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20770A" w14:textId="1410E895" w:rsidR="00834A75" w:rsidRDefault="00A6708C">
      <w:pPr>
        <w:rPr>
          <w:vanish/>
        </w:rPr>
      </w:pPr>
      <w:r>
        <w:rPr>
          <w:rFonts w:ascii="宋体" w:eastAsia="宋体" w:hAnsi="宋体" w:cs="宋体"/>
        </w:rPr>
        <w:t xml:space="preserve"> </w:t>
      </w:r>
      <w:r>
        <w:rPr>
          <w:rFonts w:ascii="宋体" w:eastAsia="宋体" w:hAnsi="宋体" w:cs="宋体"/>
          <w:vanish/>
        </w:rPr>
        <w:t>00010458101/292023Q1FALSE00010458102022-01-312022-05-0100010458102022-05-20xbrli:sharesiso4217:USD00010458102021-02-012021-05-02iso4217:USDxbrli:shares00010458102022-05-0100010458102022-01-300001045810us-gaap:CommonStockMember2022-01-300001045810us-gaap:Ad</w:t>
      </w:r>
      <w:r>
        <w:rPr>
          <w:rFonts w:ascii="宋体" w:eastAsia="宋体" w:hAnsi="宋体" w:cs="宋体"/>
          <w:vanish/>
        </w:rPr>
        <w:t>ditionalPaidInCapitalMember2022-01-300001045810us-gaap:TreasuryStockMember2022-01-300001045810us-gaap:AccumulatedOtherComprehensiveIncomeMember2022-01-300001045810us-gaap:RetainedEarningsMember2022-01-300001045810us-gaap:RetainedEarningsMember2022-01-31202</w:t>
      </w:r>
      <w:r>
        <w:rPr>
          <w:rFonts w:ascii="宋体" w:eastAsia="宋体" w:hAnsi="宋体" w:cs="宋体"/>
          <w:vanish/>
        </w:rPr>
        <w:t>2-05-010001045810us-gaap:AccumulatedOtherComprehensiveIncomeMember2022-01-312022-05-010001045810us-gaap:CommonStockMember2022-01-312022-05-010001045810us-gaap:AdditionalPaidInCapitalMember2022-01-312022-05-010001045810us-gaap:CommonStockMember2022-05-01000</w:t>
      </w:r>
      <w:r>
        <w:rPr>
          <w:rFonts w:ascii="宋体" w:eastAsia="宋体" w:hAnsi="宋体" w:cs="宋体"/>
          <w:vanish/>
        </w:rPr>
        <w:t>1045810us-gaap:AdditionalPaidInCapitalMember2022-05-010001045810us-gaap:TreasuryStockMember2022-05-010001045810us-gaap:AccumulatedOtherComprehensiveIncomeMember2022-05-010001045810us-gaap:RetainedEarningsMember2022-05-010001045810us-gaap:CommonStockMember2</w:t>
      </w:r>
      <w:r>
        <w:rPr>
          <w:rFonts w:ascii="宋体" w:eastAsia="宋体" w:hAnsi="宋体" w:cs="宋体"/>
          <w:vanish/>
        </w:rPr>
        <w:t>021-01-310001045810us-gaap:AdditionalPaidInCapitalMember2021-01-310001045810us-gaap:TreasuryStockMember2021-01-310001045810us-gaap:AccumulatedOtherComprehensiveIncomeMember2021-01-310001045810us-gaap:RetainedEarningsMember2021-01-3100010458102021-01-310001</w:t>
      </w:r>
      <w:r>
        <w:rPr>
          <w:rFonts w:ascii="宋体" w:eastAsia="宋体" w:hAnsi="宋体" w:cs="宋体"/>
          <w:vanish/>
        </w:rPr>
        <w:t>045810us-gaap:RetainedEarningsMember2021-02-012021-05-020001045810us-gaap:AccumulatedOtherComprehensiveIncomeMember2021-02-012021-05-020001045810us-gaap:CommonStockMember2021-02-012021-05-020001045810us-gaap:AdditionalPaidInCapitalMember2021-02-012021-05-0</w:t>
      </w:r>
      <w:r>
        <w:rPr>
          <w:rFonts w:ascii="宋体" w:eastAsia="宋体" w:hAnsi="宋体" w:cs="宋体"/>
          <w:vanish/>
        </w:rPr>
        <w:t>20001045810us-gaap:TreasuryStockMember2021-02-012021-05-020001045810us-gaap:CommonStockMember2021-05-020001045810us-gaap:AdditionalPaidInCapitalMember2021-05-020001045810us-gaap:TreasuryStockMember2021-05-020001045810us-gaap:AccumulatedOtherComprehensiveIn</w:t>
      </w:r>
      <w:r>
        <w:rPr>
          <w:rFonts w:ascii="宋体" w:eastAsia="宋体" w:hAnsi="宋体" w:cs="宋体"/>
          <w:vanish/>
        </w:rPr>
        <w:t>comeMember2021-05-020001045810us-gaap:RetainedEarningsMember2021-05-0200010458102021-05-0200010458102021-07-192021-07-19xbrli:pure0001045810nvda:ArmLimitedMember2022-01-312022-05-010001045810srt:MinimumMember2022-05-010001045810srt:MaximumMember2022-05-010</w:t>
      </w:r>
      <w:r>
        <w:rPr>
          <w:rFonts w:ascii="宋体" w:eastAsia="宋体" w:hAnsi="宋体" w:cs="宋体"/>
          <w:vanish/>
        </w:rPr>
        <w:t>001045810us-gaap:CostOfSalesMember2022-01-312022-05-010001045810us-gaap:CostOfSalesMember2021-02-012021-05-020001045810us-gaap:ResearchAndDevelopmentExpenseMember2022-01-312022-05-010001045810us-gaap:ResearchAndDevelopmentExpenseMember2021-02-012021-05-020</w:t>
      </w:r>
      <w:r>
        <w:rPr>
          <w:rFonts w:ascii="宋体" w:eastAsia="宋体" w:hAnsi="宋体" w:cs="宋体"/>
          <w:vanish/>
        </w:rPr>
        <w:t>001045810us-gaap:SellingGeneralAndAdministrativeExpensesMember2022-01-312022-05-010001045810us-gaap:SellingGeneralAndAdministrativeExpensesMember2021-02-012021-05-020001045810nvda:RSUsPSUsandMarketbasedPSUsMember2022-01-312022-05-010001045810nvda:ShareBase</w:t>
      </w:r>
      <w:r>
        <w:rPr>
          <w:rFonts w:ascii="宋体" w:eastAsia="宋体" w:hAnsi="宋体" w:cs="宋体"/>
          <w:vanish/>
        </w:rPr>
        <w:t>dCompensationArrangementsByShareBasedPaymentAwardEmployeeStockPurchasePlanMember2022-01-312022-05-010001045810us-gaap:CorporateDebtSecuritiesMember2022-05-010001045810us-gaap:USTreasurySecuritiesMember2022-05-010001045810us-gaap:USGovernmentAgenciesDebtSec</w:t>
      </w:r>
      <w:r>
        <w:rPr>
          <w:rFonts w:ascii="宋体" w:eastAsia="宋体" w:hAnsi="宋体" w:cs="宋体"/>
          <w:vanish/>
        </w:rPr>
        <w:t>uritiesMember2022-05-010001045810us-gaap:CertificatesOfDepositMember2022-05-010001045810us-gaap:MoneyMarketFundsMember2022-05-010001045810us-gaap:ForeignGovernmentDebtMember2022-05-010001045810us-gaap:CorporateDebtSecuritiesMember2022-01-300001045810us-gaa</w:t>
      </w:r>
      <w:r>
        <w:rPr>
          <w:rFonts w:ascii="宋体" w:eastAsia="宋体" w:hAnsi="宋体" w:cs="宋体"/>
          <w:vanish/>
        </w:rPr>
        <w:t>p:USTreasurySecuritiesMember2022-01-300001045810us-gaap:USGovernmentAgenciesDebtSecuritiesMember2022-01-300001045810us-gaap:CertificatesOfDepositMember2022-01-300001045810us-gaap:MoneyMarketFundsMember2022-01-300001045810us-gaap:ForeignGovernmentDebtMember</w:t>
      </w:r>
      <w:r>
        <w:rPr>
          <w:rFonts w:ascii="宋体" w:eastAsia="宋体" w:hAnsi="宋体" w:cs="宋体"/>
          <w:vanish/>
        </w:rPr>
        <w:t>2022-01-300001045810us-gaap:MoneyMarketFundsMemberus-gaap:FairValueInputsLevel1Member2022-05-010001045810us-gaap:MoneyMarketFundsMemberus-gaap:FairValueInputsLevel1Member2022-01-300001045810us-gaap:CorporateDebtSecuritiesMemberus-gaap:FairValueInputsLevel2</w:t>
      </w:r>
      <w:r>
        <w:rPr>
          <w:rFonts w:ascii="宋体" w:eastAsia="宋体" w:hAnsi="宋体" w:cs="宋体"/>
          <w:vanish/>
        </w:rPr>
        <w:t>Member2022-05-010001045810us-gaap:CorporateDebtSecuritiesMemberus-gaap:FairValueInputsLevel2Member2022-01-300001045810us-gaap:FairValueInputsLevel2Memberus-gaap:USTreasurySecuritiesMember2022-05-010001045810us-gaap:FairValueInputsLevel2Memberus-gaap:USTrea</w:t>
      </w:r>
      <w:r>
        <w:rPr>
          <w:rFonts w:ascii="宋体" w:eastAsia="宋体" w:hAnsi="宋体" w:cs="宋体"/>
          <w:vanish/>
        </w:rPr>
        <w:t>surySecuritiesMember2022-01-300001045810us-gaap:USGovernmentAgenciesDebtSecuritiesMemberus-gaap:FairValueInputsLevel2Member2022-05-010001045810us-gaap:USGovernmentAgenciesDebtSecuritiesMemberus-gaap:FairValueInputsLevel2Member2022-01-300001045810us-gaap:Ce</w:t>
      </w:r>
      <w:r>
        <w:rPr>
          <w:rFonts w:ascii="宋体" w:eastAsia="宋体" w:hAnsi="宋体" w:cs="宋体"/>
          <w:vanish/>
        </w:rPr>
        <w:t>rtificatesOfDepositMemberus-gaap:FairValueInputsLevel2Member2022-05-010001045810us-gaap:CertificatesOfDepositMemberus-gaap:FairValueInputsLevel2Member2022-01-300001045810us-gaap:ForeignGovernmentDebtMemberus-gaap:FairValueInputsLevel2Member2022-05-01000104</w:t>
      </w:r>
      <w:r>
        <w:rPr>
          <w:rFonts w:ascii="宋体" w:eastAsia="宋体" w:hAnsi="宋体" w:cs="宋体"/>
          <w:vanish/>
        </w:rPr>
        <w:t>5810us-gaap:ForeignGovernmentDebtMemberus-gaap:FairValueInputsLevel2Member2022-01-300001045810us-gaap:FairValueInputsLevel1Membernvda:PubliclyHeldEquitySecuritiesMember2022-05-010001045810us-gaap:FairValueInputsLevel1Membernvda:PubliclyHeldEquitySecurities</w:t>
      </w:r>
      <w:r>
        <w:rPr>
          <w:rFonts w:ascii="宋体" w:eastAsia="宋体" w:hAnsi="宋体" w:cs="宋体"/>
          <w:vanish/>
        </w:rPr>
        <w:t>Member2022-01-300001045810us-gaap:FairValueInputsLevel3Membernvda:PrivatelyHeldEquitySecuritiesMember2022-05-010001045810us-gaap:FairValueInputsLevel3Membernvda:PrivatelyHeldEquitySecuritiesMember2022-01-300001045810nvda:A2023NotesMember2022-05-01000104581</w:t>
      </w:r>
      <w:r>
        <w:rPr>
          <w:rFonts w:ascii="宋体" w:eastAsia="宋体" w:hAnsi="宋体" w:cs="宋体"/>
          <w:vanish/>
        </w:rPr>
        <w:t>0nvda:A2023NotesMemberus-gaap:FairValueInputsLevel2Member2022-05-010001045810nvda:A2023NotesMemberus-gaap:FairValueInputsLevel2Member2022-01-300001045810nvda:A2024NotesMember2022-05-010001045810us-gaap:FairValueInputsLevel2Membernvda:A2024NotesMember2022-0</w:t>
      </w:r>
      <w:r>
        <w:rPr>
          <w:rFonts w:ascii="宋体" w:eastAsia="宋体" w:hAnsi="宋体" w:cs="宋体"/>
          <w:vanish/>
        </w:rPr>
        <w:t>5-010001045810us-gaap:FairValueInputsLevel2Membernvda:A2024NotesMember2022-01-300001045810nvda:A2026NotesMember2022-05-010001045810us-gaap:FairValueInputsLevel2Membernvda:A2026NotesMember2022-05-010001045810us-gaap:FairValueInputsLevel2Membernvda:A2026Note</w:t>
      </w:r>
      <w:r>
        <w:rPr>
          <w:rFonts w:ascii="宋体" w:eastAsia="宋体" w:hAnsi="宋体" w:cs="宋体"/>
          <w:vanish/>
        </w:rPr>
        <w:t>sMember2022-01-300001045810nvda:A2028NotesMember2022-05-010001045810us-gaap:FairValueInputsLevel2Membernvda:A2028NotesMember2022-05-010001045810us-gaap:FairValueInputsLevel2Membernvda:A2028NotesMember2022-01-300001045810nvda:A2030NotesMember2022-05-0100010</w:t>
      </w:r>
      <w:r>
        <w:rPr>
          <w:rFonts w:ascii="宋体" w:eastAsia="宋体" w:hAnsi="宋体" w:cs="宋体"/>
          <w:vanish/>
        </w:rPr>
        <w:t>45810us-gaap:FairValueInputsLevel2Membernvda:A2030NotesMember2022-05-010001045810us-gaap:FairValueInputsLevel2Membernvda:A2030NotesMember2022-01-300001045810nvda:A2031NotesMember2022-05-010001045810us-gaap:FairValueInputsLevel2Membernvda:A2031NotesMember20</w:t>
      </w:r>
      <w:r>
        <w:rPr>
          <w:rFonts w:ascii="宋体" w:eastAsia="宋体" w:hAnsi="宋体" w:cs="宋体"/>
          <w:vanish/>
        </w:rPr>
        <w:t>22-05-010001045810us-gaap:FairValueInputsLevel2Membernvda:A2031NotesMember2022-01-300001045810nvda:A2040NotesMember2022-05-010001045810us-gaap:FairValueInputsLevel2Membernvda:A2040NotesMember2022-05-010001045810us-gaap:FairValueInputsLevel2Membernvda:A2040</w:t>
      </w:r>
      <w:r>
        <w:rPr>
          <w:rFonts w:ascii="宋体" w:eastAsia="宋体" w:hAnsi="宋体" w:cs="宋体"/>
          <w:vanish/>
        </w:rPr>
        <w:t>NotesMember2022-01-300001045810nvda:A2050NotesMember2022-05-010001045810us-gaap:FairValueInputsLevel2Membernvda:A2050NotesMember2022-05-010001045810us-gaap:FairValueInputsLevel2Membernvda:A2050NotesMember2022-01-300001045810nvda:A2060NotesMember2022-05-010</w:t>
      </w:r>
      <w:r>
        <w:rPr>
          <w:rFonts w:ascii="宋体" w:eastAsia="宋体" w:hAnsi="宋体" w:cs="宋体"/>
          <w:vanish/>
        </w:rPr>
        <w:t>001045810nvda:A2060NotesMemberus-gaap:FairValueInputsLevel2Member2022-05-010001045810nvda:A2060NotesMemberus-gaap:FairValueInputsLevel2Member2022-01-300001045810nvda:IntangibleAssetsArisingFromBusinessCombinationMember2022-05-010001045810nvda:IntangibleAss</w:t>
      </w:r>
      <w:r>
        <w:rPr>
          <w:rFonts w:ascii="宋体" w:eastAsia="宋体" w:hAnsi="宋体" w:cs="宋体"/>
          <w:vanish/>
        </w:rPr>
        <w:t>etsArisingFromBusinessCombinationMember2022-01-300001045810nvda:PatentsAndLicensedTechnologyMember2022-05-010001045810nvda:PatentsAndLicensedTechnologyMember2022-01-300001045810us-gaap:InProcessResearchAndDevelopmentMembernvda:MellanoxTechnologiesLtdMember</w:t>
      </w:r>
      <w:r>
        <w:rPr>
          <w:rFonts w:ascii="宋体" w:eastAsia="宋体" w:hAnsi="宋体" w:cs="宋体"/>
          <w:vanish/>
        </w:rPr>
        <w:t>2022-05-010001045810nvda:ComputeAndNetworkingMember2022-01-312022-05-010001045810nvda:GraphicsMember2022-01-312022-05-0100010458102022-05-022022-05-010001045810us-gaap:ForeignExchangeForwardMember2022-01-312022-05-010001045810nvda:A2023NotesMember2022-01-3</w:t>
      </w:r>
      <w:r>
        <w:rPr>
          <w:rFonts w:ascii="宋体" w:eastAsia="宋体" w:hAnsi="宋体" w:cs="宋体"/>
          <w:vanish/>
        </w:rPr>
        <w:t>12022-05-010001045810nvda:A2023NotesMember2022-01-300001045810nvda:A2024NotesMember2022-01-312022-05-010001045810nvda:A2024NotesMember2022-01-300001045810nvda:A2026NotesMember2022-01-312022-05-010001045810nvda:A2026NotesMember2022-01-300001045810nvda:A2028</w:t>
      </w:r>
      <w:r>
        <w:rPr>
          <w:rFonts w:ascii="宋体" w:eastAsia="宋体" w:hAnsi="宋体" w:cs="宋体"/>
          <w:vanish/>
        </w:rPr>
        <w:t>NotesMember2022-01-312022-05-010001045810nvda:A2028NotesMember2022-01-300001045810nvda:A2030NotesMember2022-01-312022-05-010001045810nvda:A2030NotesMember2022-01-300001045810nvda:A2031NotesMember2022-01-312022-05-010001045810nvda:A2031NotesMember2022-01-30</w:t>
      </w:r>
      <w:r>
        <w:rPr>
          <w:rFonts w:ascii="宋体" w:eastAsia="宋体" w:hAnsi="宋体" w:cs="宋体"/>
          <w:vanish/>
        </w:rPr>
        <w:t>0001045810nvda:A2040NotesMember2022-01-312022-05-010001045810nvda:A2040NotesMember2022-01-300001045810nvda:A2050NotesMember2022-01-312022-05-010001045810nvda:A2050NotesMember2022-01-300001045810nvda:A2060NotesMember2022-01-312022-05-010001045810nvda:A2060N</w:t>
      </w:r>
      <w:r>
        <w:rPr>
          <w:rFonts w:ascii="宋体" w:eastAsia="宋体" w:hAnsi="宋体" w:cs="宋体"/>
          <w:vanish/>
        </w:rPr>
        <w:t>otesMember2022-01-300001045810us-gaap:CommercialPaperMember2022-05-010001045810nvda:AdministrativeOrderIssuedByTheSECMemberus-gaap:SubsequentEventMember2022-05-022022-05-270001045810us-gaap:SubsequentEventMember2022-05-23nvda:segment0001045810nvda:Graphics</w:t>
      </w:r>
      <w:r>
        <w:rPr>
          <w:rFonts w:ascii="宋体" w:eastAsia="宋体" w:hAnsi="宋体" w:cs="宋体"/>
          <w:vanish/>
        </w:rPr>
        <w:t>Memberus-gaap:OperatingSegmentsMember2022-01-312022-05-010001045810nvda:ComputeAndNetworkingMemberus-gaap:OperatingSegmentsMember2022-01-312022-05-010001045810us-gaap:CorporateNonSegmentMember2022-01-312022-05-010001045810nvda:GraphicsMemberus-gaap:Operati</w:t>
      </w:r>
      <w:r>
        <w:rPr>
          <w:rFonts w:ascii="宋体" w:eastAsia="宋体" w:hAnsi="宋体" w:cs="宋体"/>
          <w:vanish/>
        </w:rPr>
        <w:t>ngSegmentsMember2021-02-012021-05-020001045810nvda:ComputeAndNetworkingMemberus-gaap:OperatingSegmentsMember2021-02-012021-05-020001045810us-gaap:CorporateNonSegmentMember2021-02-012021-05-020001045810country:TW2022-01-312022-05-010001045810country:TW2021-</w:t>
      </w:r>
      <w:r>
        <w:rPr>
          <w:rFonts w:ascii="宋体" w:eastAsia="宋体" w:hAnsi="宋体" w:cs="宋体"/>
          <w:vanish/>
        </w:rPr>
        <w:t>02-012021-05-020001045810nvda:ChinaIncludingHongKongMember2022-01-312022-05-010001045810nvda:ChinaIncludingHongKongMember2021-02-012021-05-020001045810country:US2022-01-312022-05-010001045810country:US2021-02-012021-05-020001045810nvda:AllOtherCountriesNot</w:t>
      </w:r>
      <w:r>
        <w:rPr>
          <w:rFonts w:ascii="宋体" w:eastAsia="宋体" w:hAnsi="宋体" w:cs="宋体"/>
          <w:vanish/>
        </w:rPr>
        <w:t>SeparatelyDisclosedMember2022-01-312022-05-010001045810nvda:AllOtherCountriesNotSeparatelyDisclosedMember2021-02-012021-05-020001045810nvda:GamingMember2022-01-312022-05-010001045810nvda:GamingMember2021-02-012021-05-020001045810nvda:DataCenterMember2022-0</w:t>
      </w:r>
      <w:r>
        <w:rPr>
          <w:rFonts w:ascii="宋体" w:eastAsia="宋体" w:hAnsi="宋体" w:cs="宋体"/>
          <w:vanish/>
        </w:rPr>
        <w:t>1-312022-05-010001045810nvda:DataCenterMember2021-02-012021-05-020001045810nvda:ProfessionalVisualizationMember2022-01-312022-05-010001045810nvda:ProfessionalVisualizationMember2021-02-012021-05-020001045810nvda:AutomotiveMember2022-01-312022-05-0100010458</w:t>
      </w:r>
      <w:r>
        <w:rPr>
          <w:rFonts w:ascii="宋体" w:eastAsia="宋体" w:hAnsi="宋体" w:cs="宋体"/>
          <w:vanish/>
        </w:rPr>
        <w:t>10nvda:AutomotiveMember2021-02-012021-05-020001045810nvda:OEMAndOtherMember2022-01-312022-05-010001045810nvda:OEMAndOtherMember2021-02-012021-05-020001045810us-gaap:AccountsReceivableMemberus-gaap:CustomerConcentrationRiskMembernvda:OneCustomerMember2022-0</w:t>
      </w:r>
      <w:r>
        <w:rPr>
          <w:rFonts w:ascii="宋体" w:eastAsia="宋体" w:hAnsi="宋体" w:cs="宋体"/>
          <w:vanish/>
        </w:rPr>
        <w:t>1-312022-05-010001045810us-gaap:AccountsReceivableMemberus-gaap:CustomerConcentrationRiskMembernvda:TwoCustomersMember2021-02-012022-01-30</w:t>
      </w:r>
    </w:p>
    <w:p w14:paraId="7C20770B" w14:textId="77777777" w:rsidR="00834A75" w:rsidRDefault="00834A75">
      <w:pPr>
        <w:spacing w:after="180"/>
        <w:jc w:val="both"/>
      </w:pPr>
    </w:p>
    <w:p w14:paraId="7C20770C" w14:textId="77777777" w:rsidR="00834A75" w:rsidRDefault="00A6708C">
      <w:pPr>
        <w:jc w:val="center"/>
      </w:pPr>
      <w:r>
        <w:rPr>
          <w:rFonts w:ascii="sans-serif" w:eastAsia="sans-serif" w:hAnsi="sans-serif" w:cs="sans-serif"/>
          <w:b/>
          <w:bCs/>
          <w:color w:val="000000"/>
          <w:sz w:val="18"/>
          <w:szCs w:val="18"/>
        </w:rPr>
        <w:t>UNITED STATES</w:t>
      </w:r>
    </w:p>
    <w:p w14:paraId="7C20770D" w14:textId="77777777" w:rsidR="00834A75" w:rsidRDefault="00A6708C">
      <w:pPr>
        <w:jc w:val="center"/>
      </w:pPr>
      <w:r>
        <w:rPr>
          <w:rFonts w:ascii="sans-serif" w:eastAsia="sans-serif" w:hAnsi="sans-serif" w:cs="sans-serif"/>
          <w:b/>
          <w:bCs/>
          <w:color w:val="000000"/>
          <w:sz w:val="18"/>
          <w:szCs w:val="18"/>
        </w:rPr>
        <w:t>SECURITIES AND EXCHANGE COMMISSION</w:t>
      </w:r>
    </w:p>
    <w:p w14:paraId="7C20770E" w14:textId="77777777" w:rsidR="00834A75" w:rsidRDefault="00A6708C">
      <w:pPr>
        <w:jc w:val="center"/>
      </w:pPr>
      <w:r>
        <w:rPr>
          <w:rFonts w:ascii="sans-serif" w:eastAsia="sans-serif" w:hAnsi="sans-serif" w:cs="sans-serif"/>
          <w:b/>
          <w:bCs/>
          <w:color w:val="000000"/>
          <w:sz w:val="18"/>
          <w:szCs w:val="18"/>
        </w:rPr>
        <w:t>Washington, D.C. 20549</w:t>
      </w:r>
    </w:p>
    <w:tbl>
      <w:tblPr>
        <w:tblW w:w="1389" w:type="pct"/>
        <w:jc w:val="center"/>
        <w:tblCellMar>
          <w:top w:w="15" w:type="dxa"/>
          <w:left w:w="15" w:type="dxa"/>
          <w:bottom w:w="15" w:type="dxa"/>
          <w:right w:w="15" w:type="dxa"/>
        </w:tblCellMar>
        <w:tblLook w:val="04A0" w:firstRow="1" w:lastRow="0" w:firstColumn="1" w:lastColumn="0" w:noHBand="0" w:noVBand="1"/>
      </w:tblPr>
      <w:tblGrid>
        <w:gridCol w:w="36"/>
        <w:gridCol w:w="2244"/>
        <w:gridCol w:w="36"/>
      </w:tblGrid>
      <w:tr w:rsidR="00834A75" w14:paraId="7C207712" w14:textId="77777777">
        <w:trPr>
          <w:jc w:val="center"/>
        </w:trPr>
        <w:tc>
          <w:tcPr>
            <w:tcW w:w="50" w:type="pct"/>
            <w:shd w:val="clear" w:color="auto" w:fill="auto"/>
            <w:vAlign w:val="bottom"/>
          </w:tcPr>
          <w:p w14:paraId="7C20770F" w14:textId="77777777" w:rsidR="00834A75" w:rsidRDefault="00834A75">
            <w:pPr>
              <w:rPr>
                <w:rFonts w:ascii="宋体"/>
              </w:rPr>
            </w:pPr>
          </w:p>
        </w:tc>
        <w:tc>
          <w:tcPr>
            <w:tcW w:w="4945" w:type="pct"/>
            <w:shd w:val="clear" w:color="auto" w:fill="auto"/>
            <w:vAlign w:val="bottom"/>
          </w:tcPr>
          <w:p w14:paraId="7C207710" w14:textId="77777777" w:rsidR="00834A75" w:rsidRDefault="00834A75">
            <w:pPr>
              <w:rPr>
                <w:rFonts w:ascii="宋体"/>
              </w:rPr>
            </w:pPr>
          </w:p>
        </w:tc>
        <w:tc>
          <w:tcPr>
            <w:tcW w:w="5" w:type="pct"/>
            <w:shd w:val="clear" w:color="auto" w:fill="auto"/>
            <w:vAlign w:val="bottom"/>
          </w:tcPr>
          <w:p w14:paraId="7C207711" w14:textId="77777777" w:rsidR="00834A75" w:rsidRDefault="00834A75">
            <w:pPr>
              <w:rPr>
                <w:rFonts w:ascii="宋体"/>
              </w:rPr>
            </w:pPr>
          </w:p>
        </w:tc>
      </w:tr>
      <w:tr w:rsidR="00834A75" w14:paraId="7C207714" w14:textId="77777777">
        <w:trPr>
          <w:trHeight w:val="60"/>
          <w:jc w:val="center"/>
        </w:trPr>
        <w:tc>
          <w:tcPr>
            <w:tcW w:w="0" w:type="auto"/>
            <w:gridSpan w:val="3"/>
            <w:tcBorders>
              <w:bottom w:val="single" w:sz="8" w:space="0" w:color="000000"/>
            </w:tcBorders>
            <w:shd w:val="clear" w:color="auto" w:fill="auto"/>
            <w:tcMar>
              <w:top w:w="0" w:type="dxa"/>
              <w:left w:w="20" w:type="dxa"/>
              <w:bottom w:w="0" w:type="dxa"/>
              <w:right w:w="20" w:type="dxa"/>
            </w:tcMar>
            <w:vAlign w:val="bottom"/>
          </w:tcPr>
          <w:p w14:paraId="7C207713" w14:textId="77777777" w:rsidR="00834A75" w:rsidRDefault="00834A75">
            <w:pPr>
              <w:rPr>
                <w:rFonts w:ascii="宋体"/>
              </w:rPr>
            </w:pPr>
          </w:p>
        </w:tc>
      </w:tr>
    </w:tbl>
    <w:p w14:paraId="7C207715" w14:textId="77777777" w:rsidR="00834A75" w:rsidRDefault="00A6708C">
      <w:pPr>
        <w:jc w:val="center"/>
      </w:pPr>
      <w:r>
        <w:rPr>
          <w:rFonts w:ascii="sans-serif" w:eastAsia="sans-serif" w:hAnsi="sans-serif" w:cs="sans-serif"/>
          <w:b/>
          <w:bCs/>
          <w:color w:val="000000"/>
          <w:sz w:val="28"/>
          <w:szCs w:val="28"/>
        </w:rPr>
        <w:t xml:space="preserve">FORM 10-Q </w:t>
      </w:r>
    </w:p>
    <w:tbl>
      <w:tblPr>
        <w:tblW w:w="4743" w:type="pct"/>
        <w:jc w:val="center"/>
        <w:tblCellMar>
          <w:top w:w="15" w:type="dxa"/>
          <w:left w:w="15" w:type="dxa"/>
          <w:bottom w:w="15" w:type="dxa"/>
          <w:right w:w="15" w:type="dxa"/>
        </w:tblCellMar>
        <w:tblLook w:val="04A0" w:firstRow="1" w:lastRow="0" w:firstColumn="1" w:lastColumn="0" w:noHBand="0" w:noVBand="1"/>
      </w:tblPr>
      <w:tblGrid>
        <w:gridCol w:w="65"/>
        <w:gridCol w:w="176"/>
        <w:gridCol w:w="36"/>
        <w:gridCol w:w="65"/>
        <w:gridCol w:w="7530"/>
        <w:gridCol w:w="36"/>
      </w:tblGrid>
      <w:tr w:rsidR="00834A75" w14:paraId="7C20771C" w14:textId="77777777">
        <w:trPr>
          <w:jc w:val="center"/>
        </w:trPr>
        <w:tc>
          <w:tcPr>
            <w:tcW w:w="50" w:type="pct"/>
            <w:shd w:val="clear" w:color="auto" w:fill="auto"/>
            <w:vAlign w:val="bottom"/>
          </w:tcPr>
          <w:p w14:paraId="7C207716" w14:textId="77777777" w:rsidR="00834A75" w:rsidRDefault="00834A75">
            <w:pPr>
              <w:rPr>
                <w:rFonts w:ascii="宋体"/>
              </w:rPr>
            </w:pPr>
          </w:p>
        </w:tc>
        <w:tc>
          <w:tcPr>
            <w:tcW w:w="120" w:type="pct"/>
            <w:shd w:val="clear" w:color="auto" w:fill="auto"/>
            <w:vAlign w:val="bottom"/>
          </w:tcPr>
          <w:p w14:paraId="7C207717" w14:textId="77777777" w:rsidR="00834A75" w:rsidRDefault="00834A75">
            <w:pPr>
              <w:rPr>
                <w:rFonts w:ascii="宋体"/>
              </w:rPr>
            </w:pPr>
          </w:p>
        </w:tc>
        <w:tc>
          <w:tcPr>
            <w:tcW w:w="5" w:type="pct"/>
            <w:shd w:val="clear" w:color="auto" w:fill="auto"/>
            <w:vAlign w:val="bottom"/>
          </w:tcPr>
          <w:p w14:paraId="7C207718" w14:textId="77777777" w:rsidR="00834A75" w:rsidRDefault="00834A75">
            <w:pPr>
              <w:rPr>
                <w:rFonts w:ascii="宋体"/>
              </w:rPr>
            </w:pPr>
          </w:p>
        </w:tc>
        <w:tc>
          <w:tcPr>
            <w:tcW w:w="50" w:type="pct"/>
            <w:shd w:val="clear" w:color="auto" w:fill="auto"/>
            <w:vAlign w:val="bottom"/>
          </w:tcPr>
          <w:p w14:paraId="7C207719" w14:textId="77777777" w:rsidR="00834A75" w:rsidRDefault="00834A75">
            <w:pPr>
              <w:rPr>
                <w:rFonts w:ascii="宋体"/>
              </w:rPr>
            </w:pPr>
          </w:p>
        </w:tc>
        <w:tc>
          <w:tcPr>
            <w:tcW w:w="4769" w:type="pct"/>
            <w:shd w:val="clear" w:color="auto" w:fill="auto"/>
            <w:vAlign w:val="bottom"/>
          </w:tcPr>
          <w:p w14:paraId="7C20771A" w14:textId="77777777" w:rsidR="00834A75" w:rsidRDefault="00834A75">
            <w:pPr>
              <w:rPr>
                <w:rFonts w:ascii="宋体"/>
              </w:rPr>
            </w:pPr>
          </w:p>
        </w:tc>
        <w:tc>
          <w:tcPr>
            <w:tcW w:w="5" w:type="pct"/>
            <w:shd w:val="clear" w:color="auto" w:fill="auto"/>
            <w:vAlign w:val="bottom"/>
          </w:tcPr>
          <w:p w14:paraId="7C20771B" w14:textId="77777777" w:rsidR="00834A75" w:rsidRDefault="00834A75">
            <w:pPr>
              <w:rPr>
                <w:rFonts w:ascii="宋体"/>
              </w:rPr>
            </w:pPr>
          </w:p>
        </w:tc>
      </w:tr>
      <w:tr w:rsidR="00834A75" w14:paraId="7C20771F" w14:textId="77777777">
        <w:trPr>
          <w:jc w:val="center"/>
        </w:trPr>
        <w:tc>
          <w:tcPr>
            <w:tcW w:w="0" w:type="auto"/>
            <w:gridSpan w:val="3"/>
            <w:shd w:val="clear" w:color="auto" w:fill="auto"/>
            <w:tcMar>
              <w:top w:w="40" w:type="dxa"/>
              <w:left w:w="20" w:type="dxa"/>
              <w:bottom w:w="40" w:type="dxa"/>
              <w:right w:w="20" w:type="dxa"/>
            </w:tcMar>
          </w:tcPr>
          <w:p w14:paraId="7C20771D" w14:textId="77777777" w:rsidR="00834A75" w:rsidRDefault="00A6708C">
            <w:pPr>
              <w:textAlignment w:val="top"/>
            </w:pPr>
            <w:r>
              <w:rPr>
                <w:rFonts w:ascii="Times New Roman" w:eastAsia="宋体" w:hAnsi="Times New Roman"/>
                <w:color w:val="000000"/>
                <w:sz w:val="20"/>
                <w:szCs w:val="20"/>
              </w:rPr>
              <w:t>☒</w:t>
            </w:r>
          </w:p>
        </w:tc>
        <w:tc>
          <w:tcPr>
            <w:tcW w:w="0" w:type="auto"/>
            <w:gridSpan w:val="3"/>
            <w:shd w:val="clear" w:color="auto" w:fill="auto"/>
            <w:tcMar>
              <w:top w:w="40" w:type="dxa"/>
              <w:left w:w="20" w:type="dxa"/>
              <w:bottom w:w="40" w:type="dxa"/>
              <w:right w:w="20" w:type="dxa"/>
            </w:tcMar>
          </w:tcPr>
          <w:p w14:paraId="7C20771E" w14:textId="77777777" w:rsidR="00834A75" w:rsidRDefault="00A6708C">
            <w:pPr>
              <w:textAlignment w:val="top"/>
            </w:pPr>
            <w:r>
              <w:rPr>
                <w:rFonts w:ascii="sans-serif" w:eastAsia="sans-serif" w:hAnsi="sans-serif" w:cs="sans-serif"/>
                <w:b/>
                <w:bCs/>
                <w:color w:val="000000"/>
                <w:sz w:val="18"/>
                <w:szCs w:val="18"/>
              </w:rPr>
              <w:t xml:space="preserve">QUARTERLY </w:t>
            </w:r>
            <w:r>
              <w:rPr>
                <w:rFonts w:ascii="sans-serif" w:eastAsia="sans-serif" w:hAnsi="sans-serif" w:cs="sans-serif"/>
                <w:b/>
                <w:bCs/>
                <w:color w:val="000000"/>
                <w:sz w:val="18"/>
                <w:szCs w:val="18"/>
              </w:rPr>
              <w:t>REPORT PURSUANT TO SECTION 13 OR 15(d) OF THE SECURITIES EXCHANGE ACT OF 1934</w:t>
            </w:r>
          </w:p>
        </w:tc>
      </w:tr>
    </w:tbl>
    <w:p w14:paraId="7C207720" w14:textId="77777777" w:rsidR="00834A75" w:rsidRDefault="00A6708C">
      <w:pPr>
        <w:ind w:firstLine="450"/>
        <w:jc w:val="both"/>
      </w:pPr>
      <w:r>
        <w:rPr>
          <w:rFonts w:ascii="sans-serif" w:eastAsia="sans-serif" w:hAnsi="sans-serif" w:cs="sans-serif"/>
          <w:b/>
          <w:bCs/>
          <w:color w:val="000000"/>
          <w:sz w:val="18"/>
          <w:szCs w:val="18"/>
        </w:rPr>
        <w:t>For the quarterly period ended May 1, 2022</w:t>
      </w:r>
    </w:p>
    <w:p w14:paraId="7C207721" w14:textId="77777777" w:rsidR="00834A75" w:rsidRDefault="00A6708C">
      <w:pPr>
        <w:jc w:val="center"/>
      </w:pPr>
      <w:r>
        <w:rPr>
          <w:rFonts w:ascii="sans-serif" w:eastAsia="sans-serif" w:hAnsi="sans-serif" w:cs="sans-serif"/>
          <w:b/>
          <w:bCs/>
          <w:color w:val="000000"/>
          <w:sz w:val="18"/>
          <w:szCs w:val="18"/>
        </w:rPr>
        <w:t>OR</w:t>
      </w:r>
    </w:p>
    <w:tbl>
      <w:tblPr>
        <w:tblW w:w="4743" w:type="pct"/>
        <w:jc w:val="center"/>
        <w:tblCellMar>
          <w:top w:w="15" w:type="dxa"/>
          <w:left w:w="15" w:type="dxa"/>
          <w:bottom w:w="15" w:type="dxa"/>
          <w:right w:w="15" w:type="dxa"/>
        </w:tblCellMar>
        <w:tblLook w:val="04A0" w:firstRow="1" w:lastRow="0" w:firstColumn="1" w:lastColumn="0" w:noHBand="0" w:noVBand="1"/>
      </w:tblPr>
      <w:tblGrid>
        <w:gridCol w:w="65"/>
        <w:gridCol w:w="176"/>
        <w:gridCol w:w="36"/>
        <w:gridCol w:w="65"/>
        <w:gridCol w:w="7530"/>
        <w:gridCol w:w="36"/>
      </w:tblGrid>
      <w:tr w:rsidR="00834A75" w14:paraId="7C207728" w14:textId="77777777">
        <w:trPr>
          <w:jc w:val="center"/>
        </w:trPr>
        <w:tc>
          <w:tcPr>
            <w:tcW w:w="50" w:type="pct"/>
            <w:shd w:val="clear" w:color="auto" w:fill="auto"/>
            <w:vAlign w:val="bottom"/>
          </w:tcPr>
          <w:p w14:paraId="7C207722" w14:textId="77777777" w:rsidR="00834A75" w:rsidRDefault="00834A75">
            <w:pPr>
              <w:rPr>
                <w:rFonts w:ascii="宋体"/>
              </w:rPr>
            </w:pPr>
          </w:p>
        </w:tc>
        <w:tc>
          <w:tcPr>
            <w:tcW w:w="120" w:type="pct"/>
            <w:shd w:val="clear" w:color="auto" w:fill="auto"/>
            <w:vAlign w:val="bottom"/>
          </w:tcPr>
          <w:p w14:paraId="7C207723" w14:textId="77777777" w:rsidR="00834A75" w:rsidRDefault="00834A75">
            <w:pPr>
              <w:rPr>
                <w:rFonts w:ascii="宋体"/>
              </w:rPr>
            </w:pPr>
          </w:p>
        </w:tc>
        <w:tc>
          <w:tcPr>
            <w:tcW w:w="5" w:type="pct"/>
            <w:shd w:val="clear" w:color="auto" w:fill="auto"/>
            <w:vAlign w:val="bottom"/>
          </w:tcPr>
          <w:p w14:paraId="7C207724" w14:textId="77777777" w:rsidR="00834A75" w:rsidRDefault="00834A75">
            <w:pPr>
              <w:rPr>
                <w:rFonts w:ascii="宋体"/>
              </w:rPr>
            </w:pPr>
          </w:p>
        </w:tc>
        <w:tc>
          <w:tcPr>
            <w:tcW w:w="50" w:type="pct"/>
            <w:shd w:val="clear" w:color="auto" w:fill="auto"/>
            <w:vAlign w:val="bottom"/>
          </w:tcPr>
          <w:p w14:paraId="7C207725" w14:textId="77777777" w:rsidR="00834A75" w:rsidRDefault="00834A75">
            <w:pPr>
              <w:rPr>
                <w:rFonts w:ascii="宋体"/>
              </w:rPr>
            </w:pPr>
          </w:p>
        </w:tc>
        <w:tc>
          <w:tcPr>
            <w:tcW w:w="4769" w:type="pct"/>
            <w:shd w:val="clear" w:color="auto" w:fill="auto"/>
            <w:vAlign w:val="bottom"/>
          </w:tcPr>
          <w:p w14:paraId="7C207726" w14:textId="77777777" w:rsidR="00834A75" w:rsidRDefault="00834A75">
            <w:pPr>
              <w:rPr>
                <w:rFonts w:ascii="宋体"/>
              </w:rPr>
            </w:pPr>
          </w:p>
        </w:tc>
        <w:tc>
          <w:tcPr>
            <w:tcW w:w="5" w:type="pct"/>
            <w:shd w:val="clear" w:color="auto" w:fill="auto"/>
            <w:vAlign w:val="bottom"/>
          </w:tcPr>
          <w:p w14:paraId="7C207727" w14:textId="77777777" w:rsidR="00834A75" w:rsidRDefault="00834A75">
            <w:pPr>
              <w:rPr>
                <w:rFonts w:ascii="宋体"/>
              </w:rPr>
            </w:pPr>
          </w:p>
        </w:tc>
      </w:tr>
      <w:tr w:rsidR="00834A75" w14:paraId="7C20772B" w14:textId="77777777">
        <w:trPr>
          <w:jc w:val="center"/>
        </w:trPr>
        <w:tc>
          <w:tcPr>
            <w:tcW w:w="0" w:type="auto"/>
            <w:gridSpan w:val="3"/>
            <w:shd w:val="clear" w:color="auto" w:fill="auto"/>
            <w:tcMar>
              <w:top w:w="40" w:type="dxa"/>
              <w:left w:w="20" w:type="dxa"/>
              <w:bottom w:w="40" w:type="dxa"/>
              <w:right w:w="20" w:type="dxa"/>
            </w:tcMar>
          </w:tcPr>
          <w:p w14:paraId="7C207729" w14:textId="77777777" w:rsidR="00834A75" w:rsidRDefault="00A6708C">
            <w:pPr>
              <w:textAlignment w:val="top"/>
            </w:pPr>
            <w:r>
              <w:rPr>
                <w:rFonts w:ascii="Times New Roman" w:eastAsia="宋体" w:hAnsi="Times New Roman"/>
                <w:color w:val="000000"/>
                <w:sz w:val="20"/>
                <w:szCs w:val="20"/>
              </w:rPr>
              <w:t>☐</w:t>
            </w:r>
          </w:p>
        </w:tc>
        <w:tc>
          <w:tcPr>
            <w:tcW w:w="0" w:type="auto"/>
            <w:gridSpan w:val="3"/>
            <w:shd w:val="clear" w:color="auto" w:fill="auto"/>
            <w:tcMar>
              <w:top w:w="40" w:type="dxa"/>
              <w:left w:w="20" w:type="dxa"/>
              <w:bottom w:w="40" w:type="dxa"/>
              <w:right w:w="20" w:type="dxa"/>
            </w:tcMar>
          </w:tcPr>
          <w:p w14:paraId="7C20772A" w14:textId="77777777" w:rsidR="00834A75" w:rsidRDefault="00A6708C">
            <w:pPr>
              <w:textAlignment w:val="top"/>
            </w:pPr>
            <w:r>
              <w:rPr>
                <w:rFonts w:ascii="sans-serif" w:eastAsia="sans-serif" w:hAnsi="sans-serif" w:cs="sans-serif"/>
                <w:b/>
                <w:bCs/>
                <w:color w:val="000000"/>
                <w:sz w:val="18"/>
                <w:szCs w:val="18"/>
              </w:rPr>
              <w:t>TRANSITION REPORT PURSUANT TO SECTION 13 OR 15(d) OF THE SECURITIES EXCHANGE ACT OF 1934</w:t>
            </w:r>
          </w:p>
        </w:tc>
      </w:tr>
    </w:tbl>
    <w:p w14:paraId="7C20772C" w14:textId="77777777" w:rsidR="00834A75" w:rsidRDefault="00A6708C">
      <w:pPr>
        <w:jc w:val="center"/>
      </w:pPr>
      <w:r>
        <w:rPr>
          <w:rFonts w:ascii="sans-serif" w:eastAsia="sans-serif" w:hAnsi="sans-serif" w:cs="sans-serif"/>
          <w:b/>
          <w:bCs/>
          <w:color w:val="000000"/>
          <w:sz w:val="16"/>
          <w:szCs w:val="16"/>
        </w:rPr>
        <w:t xml:space="preserve">Commission file number: 0-23985 </w:t>
      </w:r>
    </w:p>
    <w:p w14:paraId="7C20772D" w14:textId="77777777" w:rsidR="00834A75" w:rsidRDefault="00A6708C">
      <w:pPr>
        <w:jc w:val="center"/>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/NVIDIA /./Inline XBRL Viewer2_files/nvda-20220501_g1.jpg"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7C20934E" wp14:editId="7C20934F">
            <wp:extent cx="304800" cy="304800"/>
            <wp:effectExtent l="0" t="0" r="0" b="0"/>
            <wp:docPr id="43" name="图片 14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146" descr="IMG_256"/>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p w14:paraId="7C20772E" w14:textId="77777777" w:rsidR="00834A75" w:rsidRDefault="00834A75">
      <w:pPr>
        <w:jc w:val="center"/>
      </w:pPr>
    </w:p>
    <w:p w14:paraId="7C20772F" w14:textId="77777777" w:rsidR="00834A75" w:rsidRDefault="00A6708C">
      <w:pPr>
        <w:jc w:val="center"/>
      </w:pPr>
      <w:r>
        <w:rPr>
          <w:rFonts w:ascii="sans-serif" w:eastAsia="sans-serif" w:hAnsi="sans-serif" w:cs="sans-serif"/>
          <w:b/>
          <w:bCs/>
          <w:color w:val="000000"/>
          <w:sz w:val="28"/>
          <w:szCs w:val="28"/>
        </w:rPr>
        <w:t>NVIDIA CORPORATION</w:t>
      </w:r>
    </w:p>
    <w:p w14:paraId="7C207730" w14:textId="77777777" w:rsidR="00834A75" w:rsidRDefault="00A6708C">
      <w:pPr>
        <w:jc w:val="center"/>
      </w:pPr>
      <w:r>
        <w:rPr>
          <w:rFonts w:ascii="sans-serif" w:eastAsia="sans-serif" w:hAnsi="sans-serif" w:cs="sans-serif"/>
          <w:b/>
          <w:bCs/>
          <w:color w:val="000000"/>
          <w:sz w:val="16"/>
          <w:szCs w:val="16"/>
        </w:rPr>
        <w:t xml:space="preserve">(Exact name of registrant as specified in its charter) </w:t>
      </w:r>
    </w:p>
    <w:tbl>
      <w:tblPr>
        <w:tblW w:w="4736" w:type="pct"/>
        <w:jc w:val="center"/>
        <w:tblCellMar>
          <w:top w:w="15" w:type="dxa"/>
          <w:left w:w="15" w:type="dxa"/>
          <w:bottom w:w="15" w:type="dxa"/>
          <w:right w:w="15" w:type="dxa"/>
        </w:tblCellMar>
        <w:tblLook w:val="04A0" w:firstRow="1" w:lastRow="0" w:firstColumn="1" w:lastColumn="0" w:noHBand="0" w:noVBand="1"/>
      </w:tblPr>
      <w:tblGrid>
        <w:gridCol w:w="64"/>
        <w:gridCol w:w="3846"/>
        <w:gridCol w:w="37"/>
        <w:gridCol w:w="65"/>
        <w:gridCol w:w="3847"/>
        <w:gridCol w:w="37"/>
      </w:tblGrid>
      <w:tr w:rsidR="00834A75" w14:paraId="7C207737" w14:textId="77777777">
        <w:trPr>
          <w:jc w:val="center"/>
        </w:trPr>
        <w:tc>
          <w:tcPr>
            <w:tcW w:w="50" w:type="pct"/>
            <w:shd w:val="clear" w:color="auto" w:fill="auto"/>
            <w:vAlign w:val="bottom"/>
          </w:tcPr>
          <w:p w14:paraId="7C207731" w14:textId="77777777" w:rsidR="00834A75" w:rsidRDefault="00834A75">
            <w:pPr>
              <w:rPr>
                <w:rFonts w:ascii="宋体"/>
              </w:rPr>
            </w:pPr>
          </w:p>
        </w:tc>
        <w:tc>
          <w:tcPr>
            <w:tcW w:w="2445" w:type="pct"/>
            <w:shd w:val="clear" w:color="auto" w:fill="auto"/>
            <w:vAlign w:val="bottom"/>
          </w:tcPr>
          <w:p w14:paraId="7C207732" w14:textId="77777777" w:rsidR="00834A75" w:rsidRDefault="00834A75">
            <w:pPr>
              <w:rPr>
                <w:rFonts w:ascii="宋体"/>
              </w:rPr>
            </w:pPr>
          </w:p>
        </w:tc>
        <w:tc>
          <w:tcPr>
            <w:tcW w:w="5" w:type="pct"/>
            <w:shd w:val="clear" w:color="auto" w:fill="auto"/>
            <w:vAlign w:val="bottom"/>
          </w:tcPr>
          <w:p w14:paraId="7C207733" w14:textId="77777777" w:rsidR="00834A75" w:rsidRDefault="00834A75">
            <w:pPr>
              <w:rPr>
                <w:rFonts w:ascii="宋体"/>
              </w:rPr>
            </w:pPr>
          </w:p>
        </w:tc>
        <w:tc>
          <w:tcPr>
            <w:tcW w:w="50" w:type="pct"/>
            <w:shd w:val="clear" w:color="auto" w:fill="auto"/>
            <w:vAlign w:val="bottom"/>
          </w:tcPr>
          <w:p w14:paraId="7C207734" w14:textId="77777777" w:rsidR="00834A75" w:rsidRDefault="00834A75">
            <w:pPr>
              <w:rPr>
                <w:rFonts w:ascii="宋体"/>
              </w:rPr>
            </w:pPr>
          </w:p>
        </w:tc>
        <w:tc>
          <w:tcPr>
            <w:tcW w:w="2445" w:type="pct"/>
            <w:shd w:val="clear" w:color="auto" w:fill="auto"/>
            <w:vAlign w:val="bottom"/>
          </w:tcPr>
          <w:p w14:paraId="7C207735" w14:textId="77777777" w:rsidR="00834A75" w:rsidRDefault="00834A75">
            <w:pPr>
              <w:rPr>
                <w:rFonts w:ascii="宋体"/>
              </w:rPr>
            </w:pPr>
          </w:p>
        </w:tc>
        <w:tc>
          <w:tcPr>
            <w:tcW w:w="5" w:type="pct"/>
            <w:shd w:val="clear" w:color="auto" w:fill="auto"/>
            <w:vAlign w:val="bottom"/>
          </w:tcPr>
          <w:p w14:paraId="7C207736" w14:textId="77777777" w:rsidR="00834A75" w:rsidRDefault="00834A75">
            <w:pPr>
              <w:rPr>
                <w:rFonts w:ascii="宋体"/>
              </w:rPr>
            </w:pPr>
          </w:p>
        </w:tc>
      </w:tr>
      <w:tr w:rsidR="00834A75" w14:paraId="7C20773A" w14:textId="77777777">
        <w:trPr>
          <w:jc w:val="center"/>
        </w:trPr>
        <w:tc>
          <w:tcPr>
            <w:tcW w:w="0" w:type="auto"/>
            <w:gridSpan w:val="3"/>
            <w:shd w:val="clear" w:color="auto" w:fill="auto"/>
            <w:tcMar>
              <w:top w:w="40" w:type="dxa"/>
              <w:left w:w="20" w:type="dxa"/>
              <w:bottom w:w="40" w:type="dxa"/>
              <w:right w:w="20" w:type="dxa"/>
            </w:tcMar>
          </w:tcPr>
          <w:p w14:paraId="7C207738" w14:textId="77777777" w:rsidR="00834A75" w:rsidRDefault="00A6708C">
            <w:pPr>
              <w:jc w:val="center"/>
              <w:textAlignment w:val="top"/>
            </w:pPr>
            <w:r>
              <w:rPr>
                <w:rFonts w:ascii="sans-serif" w:eastAsia="sans-serif" w:hAnsi="sans-serif" w:cs="sans-serif"/>
                <w:b/>
                <w:bCs/>
                <w:color w:val="000000"/>
                <w:sz w:val="18"/>
                <w:szCs w:val="18"/>
              </w:rPr>
              <w:t>Delaware</w:t>
            </w:r>
          </w:p>
        </w:tc>
        <w:tc>
          <w:tcPr>
            <w:tcW w:w="0" w:type="auto"/>
            <w:gridSpan w:val="3"/>
            <w:shd w:val="clear" w:color="auto" w:fill="auto"/>
            <w:tcMar>
              <w:top w:w="40" w:type="dxa"/>
              <w:left w:w="20" w:type="dxa"/>
              <w:bottom w:w="40" w:type="dxa"/>
              <w:right w:w="20" w:type="dxa"/>
            </w:tcMar>
          </w:tcPr>
          <w:p w14:paraId="7C207739" w14:textId="77777777" w:rsidR="00834A75" w:rsidRDefault="00A6708C">
            <w:pPr>
              <w:jc w:val="center"/>
              <w:textAlignment w:val="top"/>
            </w:pPr>
            <w:r>
              <w:rPr>
                <w:rFonts w:ascii="sans-serif" w:eastAsia="sans-serif" w:hAnsi="sans-serif" w:cs="sans-serif"/>
                <w:b/>
                <w:bCs/>
                <w:color w:val="000000"/>
                <w:sz w:val="18"/>
                <w:szCs w:val="18"/>
              </w:rPr>
              <w:t>94-3177549</w:t>
            </w:r>
          </w:p>
        </w:tc>
      </w:tr>
      <w:tr w:rsidR="00834A75" w14:paraId="7C20773D" w14:textId="77777777">
        <w:trPr>
          <w:jc w:val="center"/>
        </w:trPr>
        <w:tc>
          <w:tcPr>
            <w:tcW w:w="0" w:type="auto"/>
            <w:gridSpan w:val="3"/>
            <w:shd w:val="clear" w:color="auto" w:fill="auto"/>
            <w:tcMar>
              <w:top w:w="40" w:type="dxa"/>
              <w:left w:w="20" w:type="dxa"/>
              <w:bottom w:w="40" w:type="dxa"/>
              <w:right w:w="20" w:type="dxa"/>
            </w:tcMar>
          </w:tcPr>
          <w:p w14:paraId="7C20773B" w14:textId="77777777" w:rsidR="00834A75" w:rsidRDefault="00A6708C">
            <w:pPr>
              <w:jc w:val="center"/>
              <w:textAlignment w:val="top"/>
            </w:pPr>
            <w:r>
              <w:rPr>
                <w:rFonts w:ascii="sans-serif" w:eastAsia="sans-serif" w:hAnsi="sans-serif" w:cs="sans-serif"/>
                <w:b/>
                <w:bCs/>
                <w:color w:val="000000"/>
                <w:sz w:val="18"/>
                <w:szCs w:val="18"/>
              </w:rPr>
              <w:t>(State or Other Jurisdiction of</w:t>
            </w:r>
          </w:p>
        </w:tc>
        <w:tc>
          <w:tcPr>
            <w:tcW w:w="0" w:type="auto"/>
            <w:gridSpan w:val="3"/>
            <w:shd w:val="clear" w:color="auto" w:fill="auto"/>
            <w:tcMar>
              <w:top w:w="40" w:type="dxa"/>
              <w:left w:w="20" w:type="dxa"/>
              <w:bottom w:w="40" w:type="dxa"/>
              <w:right w:w="20" w:type="dxa"/>
            </w:tcMar>
          </w:tcPr>
          <w:p w14:paraId="7C20773C" w14:textId="77777777" w:rsidR="00834A75" w:rsidRDefault="00A6708C">
            <w:pPr>
              <w:jc w:val="center"/>
              <w:textAlignment w:val="top"/>
            </w:pPr>
            <w:r>
              <w:rPr>
                <w:rFonts w:ascii="sans-serif" w:eastAsia="sans-serif" w:hAnsi="sans-serif" w:cs="sans-serif"/>
                <w:b/>
                <w:bCs/>
                <w:color w:val="000000"/>
                <w:sz w:val="18"/>
                <w:szCs w:val="18"/>
              </w:rPr>
              <w:t>(I.R.S. Employer</w:t>
            </w:r>
          </w:p>
        </w:tc>
      </w:tr>
      <w:tr w:rsidR="00834A75" w14:paraId="7C207740" w14:textId="77777777">
        <w:trPr>
          <w:jc w:val="center"/>
        </w:trPr>
        <w:tc>
          <w:tcPr>
            <w:tcW w:w="0" w:type="auto"/>
            <w:gridSpan w:val="3"/>
            <w:shd w:val="clear" w:color="auto" w:fill="auto"/>
            <w:tcMar>
              <w:top w:w="40" w:type="dxa"/>
              <w:left w:w="20" w:type="dxa"/>
              <w:bottom w:w="40" w:type="dxa"/>
              <w:right w:w="20" w:type="dxa"/>
            </w:tcMar>
          </w:tcPr>
          <w:p w14:paraId="7C20773E" w14:textId="77777777" w:rsidR="00834A75" w:rsidRDefault="00A6708C">
            <w:pPr>
              <w:jc w:val="center"/>
              <w:textAlignment w:val="top"/>
            </w:pPr>
            <w:r>
              <w:rPr>
                <w:rFonts w:ascii="sans-serif" w:eastAsia="sans-serif" w:hAnsi="sans-serif" w:cs="sans-serif"/>
                <w:b/>
                <w:bCs/>
                <w:color w:val="000000"/>
                <w:sz w:val="18"/>
                <w:szCs w:val="18"/>
              </w:rPr>
              <w:t>Incorporation or Organization)</w:t>
            </w:r>
          </w:p>
        </w:tc>
        <w:tc>
          <w:tcPr>
            <w:tcW w:w="0" w:type="auto"/>
            <w:gridSpan w:val="3"/>
            <w:shd w:val="clear" w:color="auto" w:fill="auto"/>
            <w:tcMar>
              <w:top w:w="40" w:type="dxa"/>
              <w:left w:w="20" w:type="dxa"/>
              <w:bottom w:w="40" w:type="dxa"/>
              <w:right w:w="20" w:type="dxa"/>
            </w:tcMar>
          </w:tcPr>
          <w:p w14:paraId="7C20773F" w14:textId="77777777" w:rsidR="00834A75" w:rsidRDefault="00A6708C">
            <w:pPr>
              <w:jc w:val="center"/>
              <w:textAlignment w:val="top"/>
            </w:pPr>
            <w:r>
              <w:rPr>
                <w:rFonts w:ascii="sans-serif" w:eastAsia="sans-serif" w:hAnsi="sans-serif" w:cs="sans-serif"/>
                <w:b/>
                <w:bCs/>
                <w:color w:val="000000"/>
                <w:sz w:val="18"/>
                <w:szCs w:val="18"/>
              </w:rPr>
              <w:t>Identification No.)</w:t>
            </w:r>
          </w:p>
        </w:tc>
      </w:tr>
    </w:tbl>
    <w:p w14:paraId="7C207741" w14:textId="77777777" w:rsidR="00834A75" w:rsidRDefault="00A6708C">
      <w:pPr>
        <w:jc w:val="center"/>
      </w:pPr>
      <w:r>
        <w:rPr>
          <w:rFonts w:ascii="sans-serif" w:eastAsia="sans-serif" w:hAnsi="sans-serif" w:cs="sans-serif"/>
          <w:b/>
          <w:bCs/>
          <w:color w:val="000000"/>
          <w:sz w:val="18"/>
          <w:szCs w:val="18"/>
        </w:rPr>
        <w:t xml:space="preserve">2788 San Tomas Expressway </w:t>
      </w:r>
    </w:p>
    <w:p w14:paraId="7C207742" w14:textId="77777777" w:rsidR="00834A75" w:rsidRDefault="00A6708C">
      <w:pPr>
        <w:jc w:val="center"/>
      </w:pPr>
      <w:r>
        <w:rPr>
          <w:rFonts w:ascii="sans-serif" w:eastAsia="sans-serif" w:hAnsi="sans-serif" w:cs="sans-serif"/>
          <w:b/>
          <w:bCs/>
          <w:color w:val="000000"/>
          <w:sz w:val="18"/>
          <w:szCs w:val="18"/>
        </w:rPr>
        <w:t xml:space="preserve">Santa Clara, California 95051 </w:t>
      </w:r>
    </w:p>
    <w:p w14:paraId="7C207743" w14:textId="77777777" w:rsidR="00834A75" w:rsidRDefault="00A6708C">
      <w:pPr>
        <w:jc w:val="center"/>
      </w:pPr>
      <w:r>
        <w:rPr>
          <w:rFonts w:ascii="sans-serif" w:eastAsia="sans-serif" w:hAnsi="sans-serif" w:cs="sans-serif"/>
          <w:b/>
          <w:bCs/>
          <w:color w:val="000000"/>
          <w:sz w:val="18"/>
          <w:szCs w:val="18"/>
        </w:rPr>
        <w:t xml:space="preserve">(408) 486-2000 </w:t>
      </w:r>
    </w:p>
    <w:p w14:paraId="7C207744" w14:textId="77777777" w:rsidR="00834A75" w:rsidRDefault="00A6708C">
      <w:pPr>
        <w:jc w:val="center"/>
      </w:pPr>
      <w:r>
        <w:rPr>
          <w:rFonts w:ascii="sans-serif" w:eastAsia="sans-serif" w:hAnsi="sans-serif" w:cs="sans-serif"/>
          <w:b/>
          <w:bCs/>
          <w:color w:val="000000"/>
          <w:sz w:val="16"/>
          <w:szCs w:val="16"/>
        </w:rPr>
        <w:t>(Address, including zip code, and telephone number,</w:t>
      </w:r>
    </w:p>
    <w:p w14:paraId="7C207745" w14:textId="77777777" w:rsidR="00834A75" w:rsidRDefault="00A6708C">
      <w:pPr>
        <w:spacing w:after="180"/>
        <w:jc w:val="center"/>
      </w:pPr>
      <w:r>
        <w:rPr>
          <w:rFonts w:ascii="sans-serif" w:eastAsia="sans-serif" w:hAnsi="sans-serif" w:cs="sans-serif"/>
          <w:b/>
          <w:bCs/>
          <w:color w:val="000000"/>
          <w:sz w:val="16"/>
          <w:szCs w:val="16"/>
        </w:rPr>
        <w:t>including area code, of principal executive offices)</w:t>
      </w:r>
    </w:p>
    <w:p w14:paraId="7C207746" w14:textId="77777777" w:rsidR="00834A75" w:rsidRDefault="00A6708C">
      <w:pPr>
        <w:jc w:val="center"/>
      </w:pPr>
      <w:r>
        <w:rPr>
          <w:rFonts w:ascii="sans-serif" w:eastAsia="sans-serif" w:hAnsi="sans-serif" w:cs="sans-serif"/>
          <w:b/>
          <w:bCs/>
          <w:color w:val="000000"/>
          <w:sz w:val="16"/>
          <w:szCs w:val="16"/>
        </w:rPr>
        <w:t>N/A</w:t>
      </w:r>
    </w:p>
    <w:p w14:paraId="7C207747" w14:textId="77777777" w:rsidR="00834A75" w:rsidRDefault="00A6708C">
      <w:pPr>
        <w:spacing w:after="180"/>
        <w:jc w:val="center"/>
      </w:pPr>
      <w:r>
        <w:rPr>
          <w:rFonts w:ascii="sans-serif" w:eastAsia="sans-serif" w:hAnsi="sans-serif" w:cs="sans-serif"/>
          <w:b/>
          <w:bCs/>
          <w:color w:val="000000"/>
          <w:sz w:val="16"/>
          <w:szCs w:val="16"/>
        </w:rPr>
        <w:t>(Former name, former address and former fiscal year if changed since last report)</w:t>
      </w:r>
    </w:p>
    <w:p w14:paraId="7C207748" w14:textId="77777777" w:rsidR="00834A75" w:rsidRDefault="00A6708C">
      <w:pPr>
        <w:spacing w:after="180"/>
        <w:jc w:val="center"/>
      </w:pPr>
      <w:r>
        <w:rPr>
          <w:rFonts w:ascii="sans-serif" w:eastAsia="sans-serif" w:hAnsi="sans-serif" w:cs="sans-serif"/>
          <w:b/>
          <w:bCs/>
          <w:color w:val="000000"/>
          <w:sz w:val="18"/>
          <w:szCs w:val="18"/>
        </w:rPr>
        <w:t>Securities registe</w:t>
      </w:r>
      <w:r>
        <w:rPr>
          <w:rFonts w:ascii="sans-serif" w:eastAsia="sans-serif" w:hAnsi="sans-serif" w:cs="sans-serif"/>
          <w:b/>
          <w:bCs/>
          <w:color w:val="000000"/>
          <w:sz w:val="18"/>
          <w:szCs w:val="18"/>
        </w:rPr>
        <w:t>red pursuant to Section 12(b) of the Act:</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2672"/>
        <w:gridCol w:w="37"/>
        <w:gridCol w:w="69"/>
        <w:gridCol w:w="2546"/>
        <w:gridCol w:w="36"/>
        <w:gridCol w:w="70"/>
        <w:gridCol w:w="2801"/>
        <w:gridCol w:w="36"/>
      </w:tblGrid>
      <w:tr w:rsidR="00834A75" w14:paraId="7C207752" w14:textId="77777777">
        <w:trPr>
          <w:jc w:val="center"/>
        </w:trPr>
        <w:tc>
          <w:tcPr>
            <w:tcW w:w="50" w:type="pct"/>
            <w:shd w:val="clear" w:color="auto" w:fill="auto"/>
            <w:vAlign w:val="bottom"/>
          </w:tcPr>
          <w:p w14:paraId="7C207749" w14:textId="77777777" w:rsidR="00834A75" w:rsidRDefault="00834A75">
            <w:pPr>
              <w:rPr>
                <w:rFonts w:ascii="宋体"/>
              </w:rPr>
            </w:pPr>
          </w:p>
        </w:tc>
        <w:tc>
          <w:tcPr>
            <w:tcW w:w="1611" w:type="pct"/>
            <w:shd w:val="clear" w:color="auto" w:fill="auto"/>
            <w:vAlign w:val="bottom"/>
          </w:tcPr>
          <w:p w14:paraId="7C20774A" w14:textId="77777777" w:rsidR="00834A75" w:rsidRDefault="00834A75">
            <w:pPr>
              <w:rPr>
                <w:rFonts w:ascii="宋体"/>
              </w:rPr>
            </w:pPr>
          </w:p>
        </w:tc>
        <w:tc>
          <w:tcPr>
            <w:tcW w:w="5" w:type="pct"/>
            <w:shd w:val="clear" w:color="auto" w:fill="auto"/>
            <w:vAlign w:val="bottom"/>
          </w:tcPr>
          <w:p w14:paraId="7C20774B" w14:textId="77777777" w:rsidR="00834A75" w:rsidRDefault="00834A75">
            <w:pPr>
              <w:rPr>
                <w:rFonts w:ascii="宋体"/>
              </w:rPr>
            </w:pPr>
          </w:p>
        </w:tc>
        <w:tc>
          <w:tcPr>
            <w:tcW w:w="50" w:type="pct"/>
            <w:shd w:val="clear" w:color="auto" w:fill="auto"/>
            <w:vAlign w:val="bottom"/>
          </w:tcPr>
          <w:p w14:paraId="7C20774C" w14:textId="77777777" w:rsidR="00834A75" w:rsidRDefault="00834A75">
            <w:pPr>
              <w:rPr>
                <w:rFonts w:ascii="宋体"/>
              </w:rPr>
            </w:pPr>
          </w:p>
        </w:tc>
        <w:tc>
          <w:tcPr>
            <w:tcW w:w="1535" w:type="pct"/>
            <w:shd w:val="clear" w:color="auto" w:fill="auto"/>
            <w:vAlign w:val="bottom"/>
          </w:tcPr>
          <w:p w14:paraId="7C20774D" w14:textId="77777777" w:rsidR="00834A75" w:rsidRDefault="00834A75">
            <w:pPr>
              <w:rPr>
                <w:rFonts w:ascii="宋体"/>
              </w:rPr>
            </w:pPr>
          </w:p>
        </w:tc>
        <w:tc>
          <w:tcPr>
            <w:tcW w:w="5" w:type="pct"/>
            <w:shd w:val="clear" w:color="auto" w:fill="auto"/>
            <w:vAlign w:val="bottom"/>
          </w:tcPr>
          <w:p w14:paraId="7C20774E" w14:textId="77777777" w:rsidR="00834A75" w:rsidRDefault="00834A75">
            <w:pPr>
              <w:rPr>
                <w:rFonts w:ascii="宋体"/>
              </w:rPr>
            </w:pPr>
          </w:p>
        </w:tc>
        <w:tc>
          <w:tcPr>
            <w:tcW w:w="50" w:type="pct"/>
            <w:shd w:val="clear" w:color="auto" w:fill="auto"/>
            <w:vAlign w:val="bottom"/>
          </w:tcPr>
          <w:p w14:paraId="7C20774F" w14:textId="77777777" w:rsidR="00834A75" w:rsidRDefault="00834A75">
            <w:pPr>
              <w:rPr>
                <w:rFonts w:ascii="宋体"/>
              </w:rPr>
            </w:pPr>
          </w:p>
        </w:tc>
        <w:tc>
          <w:tcPr>
            <w:tcW w:w="1688" w:type="pct"/>
            <w:shd w:val="clear" w:color="auto" w:fill="auto"/>
            <w:vAlign w:val="bottom"/>
          </w:tcPr>
          <w:p w14:paraId="7C207750" w14:textId="77777777" w:rsidR="00834A75" w:rsidRDefault="00834A75">
            <w:pPr>
              <w:rPr>
                <w:rFonts w:ascii="宋体"/>
              </w:rPr>
            </w:pPr>
          </w:p>
        </w:tc>
        <w:tc>
          <w:tcPr>
            <w:tcW w:w="5" w:type="pct"/>
            <w:shd w:val="clear" w:color="auto" w:fill="auto"/>
            <w:vAlign w:val="bottom"/>
          </w:tcPr>
          <w:p w14:paraId="7C207751" w14:textId="77777777" w:rsidR="00834A75" w:rsidRDefault="00834A75">
            <w:pPr>
              <w:rPr>
                <w:rFonts w:ascii="宋体"/>
              </w:rPr>
            </w:pPr>
          </w:p>
        </w:tc>
      </w:tr>
      <w:tr w:rsidR="00834A75" w14:paraId="7C207756" w14:textId="77777777">
        <w:trPr>
          <w:jc w:val="center"/>
        </w:trPr>
        <w:tc>
          <w:tcPr>
            <w:tcW w:w="0" w:type="auto"/>
            <w:gridSpan w:val="3"/>
            <w:shd w:val="clear" w:color="auto" w:fill="auto"/>
            <w:tcMar>
              <w:top w:w="40" w:type="dxa"/>
              <w:left w:w="20" w:type="dxa"/>
              <w:bottom w:w="40" w:type="dxa"/>
              <w:right w:w="20" w:type="dxa"/>
            </w:tcMar>
            <w:vAlign w:val="bottom"/>
          </w:tcPr>
          <w:p w14:paraId="7C207753" w14:textId="77777777" w:rsidR="00834A75" w:rsidRDefault="00A6708C">
            <w:pPr>
              <w:jc w:val="center"/>
              <w:textAlignment w:val="bottom"/>
            </w:pPr>
            <w:r>
              <w:rPr>
                <w:rFonts w:ascii="sans-serif" w:eastAsia="sans-serif" w:hAnsi="sans-serif" w:cs="sans-serif"/>
                <w:b/>
                <w:bCs/>
                <w:color w:val="000000"/>
                <w:sz w:val="18"/>
                <w:szCs w:val="18"/>
              </w:rPr>
              <w:t>Title of each class</w:t>
            </w:r>
          </w:p>
        </w:tc>
        <w:tc>
          <w:tcPr>
            <w:tcW w:w="0" w:type="auto"/>
            <w:gridSpan w:val="3"/>
            <w:shd w:val="clear" w:color="auto" w:fill="auto"/>
            <w:tcMar>
              <w:top w:w="40" w:type="dxa"/>
              <w:left w:w="20" w:type="dxa"/>
              <w:bottom w:w="40" w:type="dxa"/>
              <w:right w:w="20" w:type="dxa"/>
            </w:tcMar>
            <w:vAlign w:val="bottom"/>
          </w:tcPr>
          <w:p w14:paraId="7C207754" w14:textId="77777777" w:rsidR="00834A75" w:rsidRDefault="00A6708C">
            <w:pPr>
              <w:jc w:val="center"/>
              <w:textAlignment w:val="bottom"/>
            </w:pPr>
            <w:r>
              <w:rPr>
                <w:rFonts w:ascii="sans-serif" w:eastAsia="sans-serif" w:hAnsi="sans-serif" w:cs="sans-serif"/>
                <w:b/>
                <w:bCs/>
                <w:color w:val="000000"/>
                <w:sz w:val="18"/>
                <w:szCs w:val="18"/>
              </w:rPr>
              <w:t>Trading Symbol(s)</w:t>
            </w:r>
          </w:p>
        </w:tc>
        <w:tc>
          <w:tcPr>
            <w:tcW w:w="0" w:type="auto"/>
            <w:gridSpan w:val="3"/>
            <w:shd w:val="clear" w:color="auto" w:fill="auto"/>
            <w:tcMar>
              <w:top w:w="40" w:type="dxa"/>
              <w:left w:w="20" w:type="dxa"/>
              <w:bottom w:w="40" w:type="dxa"/>
              <w:right w:w="20" w:type="dxa"/>
            </w:tcMar>
            <w:vAlign w:val="bottom"/>
          </w:tcPr>
          <w:p w14:paraId="7C207755" w14:textId="77777777" w:rsidR="00834A75" w:rsidRDefault="00A6708C">
            <w:pPr>
              <w:jc w:val="center"/>
              <w:textAlignment w:val="bottom"/>
            </w:pPr>
            <w:r>
              <w:rPr>
                <w:rFonts w:ascii="sans-serif" w:eastAsia="sans-serif" w:hAnsi="sans-serif" w:cs="sans-serif"/>
                <w:b/>
                <w:bCs/>
                <w:color w:val="000000"/>
                <w:sz w:val="18"/>
                <w:szCs w:val="18"/>
              </w:rPr>
              <w:t>Name of each exchange on which registered</w:t>
            </w:r>
          </w:p>
        </w:tc>
      </w:tr>
      <w:tr w:rsidR="00834A75" w14:paraId="7C20775A" w14:textId="77777777">
        <w:trPr>
          <w:jc w:val="center"/>
        </w:trPr>
        <w:tc>
          <w:tcPr>
            <w:tcW w:w="0" w:type="auto"/>
            <w:gridSpan w:val="3"/>
            <w:shd w:val="clear" w:color="auto" w:fill="auto"/>
            <w:tcMar>
              <w:top w:w="40" w:type="dxa"/>
              <w:left w:w="20" w:type="dxa"/>
              <w:bottom w:w="40" w:type="dxa"/>
              <w:right w:w="20" w:type="dxa"/>
            </w:tcMar>
            <w:vAlign w:val="bottom"/>
          </w:tcPr>
          <w:p w14:paraId="7C207757" w14:textId="77777777" w:rsidR="00834A75" w:rsidRDefault="00A6708C">
            <w:pPr>
              <w:jc w:val="center"/>
              <w:textAlignment w:val="bottom"/>
            </w:pPr>
            <w:r>
              <w:rPr>
                <w:rFonts w:ascii="sans-serif" w:eastAsia="sans-serif" w:hAnsi="sans-serif" w:cs="sans-serif"/>
                <w:color w:val="000000"/>
                <w:sz w:val="18"/>
                <w:szCs w:val="18"/>
              </w:rPr>
              <w:t>Common Stock, $0.001 par value per share</w:t>
            </w:r>
          </w:p>
        </w:tc>
        <w:tc>
          <w:tcPr>
            <w:tcW w:w="0" w:type="auto"/>
            <w:gridSpan w:val="3"/>
            <w:shd w:val="clear" w:color="auto" w:fill="auto"/>
            <w:tcMar>
              <w:top w:w="40" w:type="dxa"/>
              <w:left w:w="20" w:type="dxa"/>
              <w:bottom w:w="40" w:type="dxa"/>
              <w:right w:w="20" w:type="dxa"/>
            </w:tcMar>
            <w:vAlign w:val="bottom"/>
          </w:tcPr>
          <w:p w14:paraId="7C207758" w14:textId="77777777" w:rsidR="00834A75" w:rsidRDefault="00A6708C">
            <w:pPr>
              <w:jc w:val="center"/>
              <w:textAlignment w:val="bottom"/>
            </w:pPr>
            <w:r>
              <w:rPr>
                <w:rFonts w:ascii="sans-serif" w:eastAsia="sans-serif" w:hAnsi="sans-serif" w:cs="sans-serif"/>
                <w:color w:val="000000"/>
                <w:sz w:val="18"/>
                <w:szCs w:val="18"/>
              </w:rPr>
              <w:t>NVDA</w:t>
            </w:r>
          </w:p>
        </w:tc>
        <w:tc>
          <w:tcPr>
            <w:tcW w:w="0" w:type="auto"/>
            <w:gridSpan w:val="3"/>
            <w:shd w:val="clear" w:color="auto" w:fill="auto"/>
            <w:tcMar>
              <w:top w:w="40" w:type="dxa"/>
              <w:left w:w="20" w:type="dxa"/>
              <w:bottom w:w="40" w:type="dxa"/>
              <w:right w:w="20" w:type="dxa"/>
            </w:tcMar>
            <w:vAlign w:val="bottom"/>
          </w:tcPr>
          <w:p w14:paraId="7C207759" w14:textId="77777777" w:rsidR="00834A75" w:rsidRDefault="00A6708C">
            <w:pPr>
              <w:jc w:val="center"/>
              <w:textAlignment w:val="bottom"/>
            </w:pPr>
            <w:r>
              <w:rPr>
                <w:rFonts w:ascii="sans-serif" w:eastAsia="sans-serif" w:hAnsi="sans-serif" w:cs="sans-serif"/>
                <w:color w:val="000000"/>
                <w:sz w:val="18"/>
                <w:szCs w:val="18"/>
              </w:rPr>
              <w:t>The Nasdaq Global Select Market</w:t>
            </w:r>
          </w:p>
        </w:tc>
      </w:tr>
    </w:tbl>
    <w:p w14:paraId="7C20775B" w14:textId="77777777" w:rsidR="00834A75" w:rsidRDefault="00A6708C">
      <w:pPr>
        <w:spacing w:after="180"/>
      </w:pPr>
      <w:r>
        <w:rPr>
          <w:rFonts w:ascii="sans-serif" w:eastAsia="sans-serif" w:hAnsi="sans-serif" w:cs="sans-serif"/>
          <w:color w:val="000000"/>
          <w:sz w:val="18"/>
          <w:szCs w:val="18"/>
        </w:rPr>
        <w:t>Indicate by check mark whether the registrant (1) has filed all reports required to be filed by Section 13 or 15(d) of the Securities Exchange Act of 1934 during the preceding 12 months (or for such shorter period that the registrant was required to file s</w:t>
      </w:r>
      <w:r>
        <w:rPr>
          <w:rFonts w:ascii="sans-serif" w:eastAsia="sans-serif" w:hAnsi="sans-serif" w:cs="sans-serif"/>
          <w:color w:val="000000"/>
          <w:sz w:val="18"/>
          <w:szCs w:val="18"/>
        </w:rPr>
        <w:t xml:space="preserve">uch reports), and (2) has been subject to such filing requirements for the past 90 days. Yes </w:t>
      </w:r>
      <w:r>
        <w:rPr>
          <w:rFonts w:ascii="Times New Roman" w:eastAsia="宋体" w:hAnsi="Times New Roman"/>
          <w:color w:val="000000"/>
          <w:sz w:val="20"/>
          <w:szCs w:val="20"/>
        </w:rPr>
        <w:t>☒</w:t>
      </w:r>
      <w:r>
        <w:rPr>
          <w:rFonts w:ascii="sans-serif" w:eastAsia="sans-serif" w:hAnsi="sans-serif" w:cs="sans-serif"/>
          <w:color w:val="000000"/>
          <w:sz w:val="18"/>
          <w:szCs w:val="18"/>
        </w:rPr>
        <w:t xml:space="preserve"> No </w:t>
      </w:r>
      <w:r>
        <w:rPr>
          <w:rFonts w:ascii="Times New Roman" w:eastAsia="宋体" w:hAnsi="Times New Roman"/>
          <w:color w:val="000000"/>
          <w:sz w:val="20"/>
          <w:szCs w:val="20"/>
        </w:rPr>
        <w:t>☐</w:t>
      </w:r>
    </w:p>
    <w:p w14:paraId="7C20775C" w14:textId="77777777" w:rsidR="00834A75" w:rsidRDefault="00A6708C">
      <w:pPr>
        <w:spacing w:after="180"/>
        <w:jc w:val="both"/>
      </w:pPr>
      <w:r>
        <w:rPr>
          <w:rFonts w:ascii="sans-serif" w:eastAsia="sans-serif" w:hAnsi="sans-serif" w:cs="sans-serif"/>
          <w:color w:val="000000"/>
          <w:sz w:val="18"/>
          <w:szCs w:val="18"/>
        </w:rPr>
        <w:t>Indicate by check mark whether the registrant has submitted electronically every Interactive Data File required to be submitted pursuant to Rule 405 of Regulation S-T (§232.405 of this chapter) during the preceding 12 months (or for such shorter period tha</w:t>
      </w:r>
      <w:r>
        <w:rPr>
          <w:rFonts w:ascii="sans-serif" w:eastAsia="sans-serif" w:hAnsi="sans-serif" w:cs="sans-serif"/>
          <w:color w:val="000000"/>
          <w:sz w:val="18"/>
          <w:szCs w:val="18"/>
        </w:rPr>
        <w:t xml:space="preserve">t the registrant was required to submit such files). Yes </w:t>
      </w:r>
      <w:r>
        <w:rPr>
          <w:rFonts w:ascii="Times New Roman" w:eastAsia="宋体" w:hAnsi="Times New Roman"/>
          <w:color w:val="000000"/>
          <w:sz w:val="20"/>
          <w:szCs w:val="20"/>
        </w:rPr>
        <w:t>☒</w:t>
      </w:r>
      <w:r>
        <w:rPr>
          <w:rFonts w:ascii="sans-serif" w:eastAsia="sans-serif" w:hAnsi="sans-serif" w:cs="sans-serif"/>
          <w:color w:val="000000"/>
          <w:sz w:val="18"/>
          <w:szCs w:val="18"/>
        </w:rPr>
        <w:t xml:space="preserve"> No </w:t>
      </w:r>
      <w:r>
        <w:rPr>
          <w:rFonts w:ascii="Times New Roman" w:eastAsia="宋体" w:hAnsi="Times New Roman"/>
          <w:color w:val="000000"/>
          <w:sz w:val="20"/>
          <w:szCs w:val="20"/>
        </w:rPr>
        <w:t>☐</w:t>
      </w:r>
    </w:p>
    <w:p w14:paraId="7C20775D" w14:textId="77777777" w:rsidR="00834A75" w:rsidRDefault="00A6708C">
      <w:pPr>
        <w:jc w:val="both"/>
      </w:pPr>
      <w:r>
        <w:rPr>
          <w:rFonts w:ascii="sans-serif" w:eastAsia="sans-serif" w:hAnsi="sans-serif" w:cs="sans-serif"/>
          <w:color w:val="000000"/>
          <w:sz w:val="18"/>
          <w:szCs w:val="18"/>
        </w:rPr>
        <w:t>Indicate by check mark whether the registrant is a large accelerated filer, an accelerated filer, a non-accelerated filer, a smaller reporting company, or an emerging growth company. See defin</w:t>
      </w:r>
      <w:r>
        <w:rPr>
          <w:rFonts w:ascii="sans-serif" w:eastAsia="sans-serif" w:hAnsi="sans-serif" w:cs="sans-serif"/>
          <w:color w:val="000000"/>
          <w:sz w:val="18"/>
          <w:szCs w:val="18"/>
        </w:rPr>
        <w:t>itions of “large accelerated filer”, “accelerated filer”, “smaller reporting company”, and "emerging growth company" in Rule 12b-2 of the Exchange Act.</w:t>
      </w:r>
    </w:p>
    <w:tbl>
      <w:tblPr>
        <w:tblW w:w="5000" w:type="pct"/>
        <w:tblCellMar>
          <w:top w:w="15" w:type="dxa"/>
          <w:left w:w="15" w:type="dxa"/>
          <w:bottom w:w="15" w:type="dxa"/>
          <w:right w:w="15" w:type="dxa"/>
        </w:tblCellMar>
        <w:tblLook w:val="04A0" w:firstRow="1" w:lastRow="0" w:firstColumn="1" w:lastColumn="0" w:noHBand="0" w:noVBand="1"/>
      </w:tblPr>
      <w:tblGrid>
        <w:gridCol w:w="51"/>
        <w:gridCol w:w="1265"/>
        <w:gridCol w:w="36"/>
        <w:gridCol w:w="37"/>
        <w:gridCol w:w="196"/>
        <w:gridCol w:w="36"/>
        <w:gridCol w:w="49"/>
        <w:gridCol w:w="1249"/>
        <w:gridCol w:w="36"/>
        <w:gridCol w:w="37"/>
        <w:gridCol w:w="196"/>
        <w:gridCol w:w="36"/>
        <w:gridCol w:w="68"/>
        <w:gridCol w:w="1231"/>
        <w:gridCol w:w="36"/>
        <w:gridCol w:w="37"/>
        <w:gridCol w:w="196"/>
        <w:gridCol w:w="36"/>
        <w:gridCol w:w="37"/>
        <w:gridCol w:w="1412"/>
        <w:gridCol w:w="36"/>
        <w:gridCol w:w="37"/>
        <w:gridCol w:w="196"/>
        <w:gridCol w:w="36"/>
        <w:gridCol w:w="37"/>
        <w:gridCol w:w="1412"/>
        <w:gridCol w:w="36"/>
        <w:gridCol w:w="37"/>
        <w:gridCol w:w="196"/>
        <w:gridCol w:w="36"/>
      </w:tblGrid>
      <w:tr w:rsidR="00834A75" w14:paraId="7C20777C" w14:textId="77777777">
        <w:tc>
          <w:tcPr>
            <w:tcW w:w="50" w:type="pct"/>
            <w:shd w:val="clear" w:color="auto" w:fill="auto"/>
            <w:vAlign w:val="bottom"/>
          </w:tcPr>
          <w:p w14:paraId="7C20775E" w14:textId="77777777" w:rsidR="00834A75" w:rsidRDefault="00834A75">
            <w:pPr>
              <w:rPr>
                <w:rFonts w:ascii="宋体"/>
              </w:rPr>
            </w:pPr>
          </w:p>
        </w:tc>
        <w:tc>
          <w:tcPr>
            <w:tcW w:w="777" w:type="pct"/>
            <w:shd w:val="clear" w:color="auto" w:fill="auto"/>
            <w:vAlign w:val="bottom"/>
          </w:tcPr>
          <w:p w14:paraId="7C20775F" w14:textId="77777777" w:rsidR="00834A75" w:rsidRDefault="00834A75">
            <w:pPr>
              <w:rPr>
                <w:rFonts w:ascii="宋体"/>
              </w:rPr>
            </w:pPr>
          </w:p>
        </w:tc>
        <w:tc>
          <w:tcPr>
            <w:tcW w:w="5" w:type="pct"/>
            <w:shd w:val="clear" w:color="auto" w:fill="auto"/>
            <w:vAlign w:val="bottom"/>
          </w:tcPr>
          <w:p w14:paraId="7C207760" w14:textId="77777777" w:rsidR="00834A75" w:rsidRDefault="00834A75">
            <w:pPr>
              <w:rPr>
                <w:rFonts w:ascii="宋体"/>
              </w:rPr>
            </w:pPr>
          </w:p>
        </w:tc>
        <w:tc>
          <w:tcPr>
            <w:tcW w:w="5" w:type="pct"/>
            <w:shd w:val="clear" w:color="auto" w:fill="auto"/>
            <w:vAlign w:val="bottom"/>
          </w:tcPr>
          <w:p w14:paraId="7C207761" w14:textId="77777777" w:rsidR="00834A75" w:rsidRDefault="00834A75">
            <w:pPr>
              <w:rPr>
                <w:rFonts w:ascii="宋体"/>
              </w:rPr>
            </w:pPr>
          </w:p>
        </w:tc>
        <w:tc>
          <w:tcPr>
            <w:tcW w:w="121" w:type="pct"/>
            <w:shd w:val="clear" w:color="auto" w:fill="auto"/>
            <w:vAlign w:val="bottom"/>
          </w:tcPr>
          <w:p w14:paraId="7C207762" w14:textId="77777777" w:rsidR="00834A75" w:rsidRDefault="00834A75">
            <w:pPr>
              <w:rPr>
                <w:rFonts w:ascii="宋体"/>
              </w:rPr>
            </w:pPr>
          </w:p>
        </w:tc>
        <w:tc>
          <w:tcPr>
            <w:tcW w:w="5" w:type="pct"/>
            <w:shd w:val="clear" w:color="auto" w:fill="auto"/>
            <w:vAlign w:val="bottom"/>
          </w:tcPr>
          <w:p w14:paraId="7C207763" w14:textId="77777777" w:rsidR="00834A75" w:rsidRDefault="00834A75">
            <w:pPr>
              <w:rPr>
                <w:rFonts w:ascii="宋体"/>
              </w:rPr>
            </w:pPr>
          </w:p>
        </w:tc>
        <w:tc>
          <w:tcPr>
            <w:tcW w:w="50" w:type="pct"/>
            <w:shd w:val="clear" w:color="auto" w:fill="auto"/>
            <w:vAlign w:val="bottom"/>
          </w:tcPr>
          <w:p w14:paraId="7C207764" w14:textId="77777777" w:rsidR="00834A75" w:rsidRDefault="00834A75">
            <w:pPr>
              <w:rPr>
                <w:rFonts w:ascii="宋体"/>
              </w:rPr>
            </w:pPr>
          </w:p>
        </w:tc>
        <w:tc>
          <w:tcPr>
            <w:tcW w:w="777" w:type="pct"/>
            <w:shd w:val="clear" w:color="auto" w:fill="auto"/>
            <w:vAlign w:val="bottom"/>
          </w:tcPr>
          <w:p w14:paraId="7C207765" w14:textId="77777777" w:rsidR="00834A75" w:rsidRDefault="00834A75">
            <w:pPr>
              <w:rPr>
                <w:rFonts w:ascii="宋体"/>
              </w:rPr>
            </w:pPr>
          </w:p>
        </w:tc>
        <w:tc>
          <w:tcPr>
            <w:tcW w:w="5" w:type="pct"/>
            <w:shd w:val="clear" w:color="auto" w:fill="auto"/>
            <w:vAlign w:val="bottom"/>
          </w:tcPr>
          <w:p w14:paraId="7C207766" w14:textId="77777777" w:rsidR="00834A75" w:rsidRDefault="00834A75">
            <w:pPr>
              <w:rPr>
                <w:rFonts w:ascii="宋体"/>
              </w:rPr>
            </w:pPr>
          </w:p>
        </w:tc>
        <w:tc>
          <w:tcPr>
            <w:tcW w:w="5" w:type="pct"/>
            <w:shd w:val="clear" w:color="auto" w:fill="auto"/>
            <w:vAlign w:val="bottom"/>
          </w:tcPr>
          <w:p w14:paraId="7C207767" w14:textId="77777777" w:rsidR="00834A75" w:rsidRDefault="00834A75">
            <w:pPr>
              <w:rPr>
                <w:rFonts w:ascii="宋体"/>
              </w:rPr>
            </w:pPr>
          </w:p>
        </w:tc>
        <w:tc>
          <w:tcPr>
            <w:tcW w:w="121" w:type="pct"/>
            <w:shd w:val="clear" w:color="auto" w:fill="auto"/>
            <w:vAlign w:val="bottom"/>
          </w:tcPr>
          <w:p w14:paraId="7C207768" w14:textId="77777777" w:rsidR="00834A75" w:rsidRDefault="00834A75">
            <w:pPr>
              <w:rPr>
                <w:rFonts w:ascii="宋体"/>
              </w:rPr>
            </w:pPr>
          </w:p>
        </w:tc>
        <w:tc>
          <w:tcPr>
            <w:tcW w:w="5" w:type="pct"/>
            <w:shd w:val="clear" w:color="auto" w:fill="auto"/>
            <w:vAlign w:val="bottom"/>
          </w:tcPr>
          <w:p w14:paraId="7C207769" w14:textId="77777777" w:rsidR="00834A75" w:rsidRDefault="00834A75">
            <w:pPr>
              <w:rPr>
                <w:rFonts w:ascii="宋体"/>
              </w:rPr>
            </w:pPr>
          </w:p>
        </w:tc>
        <w:tc>
          <w:tcPr>
            <w:tcW w:w="50" w:type="pct"/>
            <w:shd w:val="clear" w:color="auto" w:fill="auto"/>
            <w:vAlign w:val="bottom"/>
          </w:tcPr>
          <w:p w14:paraId="7C20776A" w14:textId="77777777" w:rsidR="00834A75" w:rsidRDefault="00834A75">
            <w:pPr>
              <w:rPr>
                <w:rFonts w:ascii="宋体"/>
              </w:rPr>
            </w:pPr>
          </w:p>
        </w:tc>
        <w:tc>
          <w:tcPr>
            <w:tcW w:w="777" w:type="pct"/>
            <w:shd w:val="clear" w:color="auto" w:fill="auto"/>
            <w:vAlign w:val="bottom"/>
          </w:tcPr>
          <w:p w14:paraId="7C20776B" w14:textId="77777777" w:rsidR="00834A75" w:rsidRDefault="00834A75">
            <w:pPr>
              <w:rPr>
                <w:rFonts w:ascii="宋体"/>
              </w:rPr>
            </w:pPr>
          </w:p>
        </w:tc>
        <w:tc>
          <w:tcPr>
            <w:tcW w:w="5" w:type="pct"/>
            <w:shd w:val="clear" w:color="auto" w:fill="auto"/>
            <w:vAlign w:val="bottom"/>
          </w:tcPr>
          <w:p w14:paraId="7C20776C" w14:textId="77777777" w:rsidR="00834A75" w:rsidRDefault="00834A75">
            <w:pPr>
              <w:rPr>
                <w:rFonts w:ascii="宋体"/>
              </w:rPr>
            </w:pPr>
          </w:p>
        </w:tc>
        <w:tc>
          <w:tcPr>
            <w:tcW w:w="5" w:type="pct"/>
            <w:shd w:val="clear" w:color="auto" w:fill="auto"/>
            <w:vAlign w:val="bottom"/>
          </w:tcPr>
          <w:p w14:paraId="7C20776D" w14:textId="77777777" w:rsidR="00834A75" w:rsidRDefault="00834A75">
            <w:pPr>
              <w:rPr>
                <w:rFonts w:ascii="宋体"/>
              </w:rPr>
            </w:pPr>
          </w:p>
        </w:tc>
        <w:tc>
          <w:tcPr>
            <w:tcW w:w="121" w:type="pct"/>
            <w:shd w:val="clear" w:color="auto" w:fill="auto"/>
            <w:vAlign w:val="bottom"/>
          </w:tcPr>
          <w:p w14:paraId="7C20776E" w14:textId="77777777" w:rsidR="00834A75" w:rsidRDefault="00834A75">
            <w:pPr>
              <w:rPr>
                <w:rFonts w:ascii="宋体"/>
              </w:rPr>
            </w:pPr>
          </w:p>
        </w:tc>
        <w:tc>
          <w:tcPr>
            <w:tcW w:w="5" w:type="pct"/>
            <w:shd w:val="clear" w:color="auto" w:fill="auto"/>
            <w:vAlign w:val="bottom"/>
          </w:tcPr>
          <w:p w14:paraId="7C20776F" w14:textId="77777777" w:rsidR="00834A75" w:rsidRDefault="00834A75">
            <w:pPr>
              <w:rPr>
                <w:rFonts w:ascii="宋体"/>
              </w:rPr>
            </w:pPr>
          </w:p>
        </w:tc>
        <w:tc>
          <w:tcPr>
            <w:tcW w:w="50" w:type="pct"/>
            <w:shd w:val="clear" w:color="auto" w:fill="auto"/>
            <w:vAlign w:val="bottom"/>
          </w:tcPr>
          <w:p w14:paraId="7C207770" w14:textId="77777777" w:rsidR="00834A75" w:rsidRDefault="00834A75">
            <w:pPr>
              <w:rPr>
                <w:rFonts w:ascii="宋体"/>
              </w:rPr>
            </w:pPr>
          </w:p>
        </w:tc>
        <w:tc>
          <w:tcPr>
            <w:tcW w:w="867" w:type="pct"/>
            <w:shd w:val="clear" w:color="auto" w:fill="auto"/>
            <w:vAlign w:val="bottom"/>
          </w:tcPr>
          <w:p w14:paraId="7C207771" w14:textId="77777777" w:rsidR="00834A75" w:rsidRDefault="00834A75">
            <w:pPr>
              <w:rPr>
                <w:rFonts w:ascii="宋体"/>
              </w:rPr>
            </w:pPr>
          </w:p>
        </w:tc>
        <w:tc>
          <w:tcPr>
            <w:tcW w:w="5" w:type="pct"/>
            <w:shd w:val="clear" w:color="auto" w:fill="auto"/>
            <w:vAlign w:val="bottom"/>
          </w:tcPr>
          <w:p w14:paraId="7C207772" w14:textId="77777777" w:rsidR="00834A75" w:rsidRDefault="00834A75">
            <w:pPr>
              <w:rPr>
                <w:rFonts w:ascii="宋体"/>
              </w:rPr>
            </w:pPr>
          </w:p>
        </w:tc>
        <w:tc>
          <w:tcPr>
            <w:tcW w:w="5" w:type="pct"/>
            <w:shd w:val="clear" w:color="auto" w:fill="auto"/>
            <w:vAlign w:val="bottom"/>
          </w:tcPr>
          <w:p w14:paraId="7C207773" w14:textId="77777777" w:rsidR="00834A75" w:rsidRDefault="00834A75">
            <w:pPr>
              <w:rPr>
                <w:rFonts w:ascii="宋体"/>
              </w:rPr>
            </w:pPr>
          </w:p>
        </w:tc>
        <w:tc>
          <w:tcPr>
            <w:tcW w:w="121" w:type="pct"/>
            <w:shd w:val="clear" w:color="auto" w:fill="auto"/>
            <w:vAlign w:val="bottom"/>
          </w:tcPr>
          <w:p w14:paraId="7C207774" w14:textId="77777777" w:rsidR="00834A75" w:rsidRDefault="00834A75">
            <w:pPr>
              <w:rPr>
                <w:rFonts w:ascii="宋体"/>
              </w:rPr>
            </w:pPr>
          </w:p>
        </w:tc>
        <w:tc>
          <w:tcPr>
            <w:tcW w:w="5" w:type="pct"/>
            <w:shd w:val="clear" w:color="auto" w:fill="auto"/>
            <w:vAlign w:val="bottom"/>
          </w:tcPr>
          <w:p w14:paraId="7C207775" w14:textId="77777777" w:rsidR="00834A75" w:rsidRDefault="00834A75">
            <w:pPr>
              <w:rPr>
                <w:rFonts w:ascii="宋体"/>
              </w:rPr>
            </w:pPr>
          </w:p>
        </w:tc>
        <w:tc>
          <w:tcPr>
            <w:tcW w:w="50" w:type="pct"/>
            <w:shd w:val="clear" w:color="auto" w:fill="auto"/>
            <w:vAlign w:val="bottom"/>
          </w:tcPr>
          <w:p w14:paraId="7C207776" w14:textId="77777777" w:rsidR="00834A75" w:rsidRDefault="00834A75">
            <w:pPr>
              <w:rPr>
                <w:rFonts w:ascii="宋体"/>
              </w:rPr>
            </w:pPr>
          </w:p>
        </w:tc>
        <w:tc>
          <w:tcPr>
            <w:tcW w:w="867" w:type="pct"/>
            <w:shd w:val="clear" w:color="auto" w:fill="auto"/>
            <w:vAlign w:val="bottom"/>
          </w:tcPr>
          <w:p w14:paraId="7C207777" w14:textId="77777777" w:rsidR="00834A75" w:rsidRDefault="00834A75">
            <w:pPr>
              <w:rPr>
                <w:rFonts w:ascii="宋体"/>
              </w:rPr>
            </w:pPr>
          </w:p>
        </w:tc>
        <w:tc>
          <w:tcPr>
            <w:tcW w:w="5" w:type="pct"/>
            <w:shd w:val="clear" w:color="auto" w:fill="auto"/>
            <w:vAlign w:val="bottom"/>
          </w:tcPr>
          <w:p w14:paraId="7C207778" w14:textId="77777777" w:rsidR="00834A75" w:rsidRDefault="00834A75">
            <w:pPr>
              <w:rPr>
                <w:rFonts w:ascii="宋体"/>
              </w:rPr>
            </w:pPr>
          </w:p>
        </w:tc>
        <w:tc>
          <w:tcPr>
            <w:tcW w:w="5" w:type="pct"/>
            <w:shd w:val="clear" w:color="auto" w:fill="auto"/>
            <w:vAlign w:val="bottom"/>
          </w:tcPr>
          <w:p w14:paraId="7C207779" w14:textId="77777777" w:rsidR="00834A75" w:rsidRDefault="00834A75">
            <w:pPr>
              <w:rPr>
                <w:rFonts w:ascii="宋体"/>
              </w:rPr>
            </w:pPr>
          </w:p>
        </w:tc>
        <w:tc>
          <w:tcPr>
            <w:tcW w:w="121" w:type="pct"/>
            <w:shd w:val="clear" w:color="auto" w:fill="auto"/>
            <w:vAlign w:val="bottom"/>
          </w:tcPr>
          <w:p w14:paraId="7C20777A" w14:textId="77777777" w:rsidR="00834A75" w:rsidRDefault="00834A75">
            <w:pPr>
              <w:rPr>
                <w:rFonts w:ascii="宋体"/>
              </w:rPr>
            </w:pPr>
          </w:p>
        </w:tc>
        <w:tc>
          <w:tcPr>
            <w:tcW w:w="5" w:type="pct"/>
            <w:shd w:val="clear" w:color="auto" w:fill="auto"/>
            <w:vAlign w:val="bottom"/>
          </w:tcPr>
          <w:p w14:paraId="7C20777B" w14:textId="77777777" w:rsidR="00834A75" w:rsidRDefault="00834A75">
            <w:pPr>
              <w:rPr>
                <w:rFonts w:ascii="宋体"/>
              </w:rPr>
            </w:pPr>
          </w:p>
        </w:tc>
      </w:tr>
      <w:tr w:rsidR="00834A75" w14:paraId="7C207787" w14:textId="77777777">
        <w:tc>
          <w:tcPr>
            <w:tcW w:w="0" w:type="auto"/>
            <w:gridSpan w:val="3"/>
            <w:shd w:val="clear" w:color="auto" w:fill="auto"/>
            <w:tcMar>
              <w:top w:w="40" w:type="dxa"/>
              <w:left w:w="20" w:type="dxa"/>
              <w:bottom w:w="40" w:type="dxa"/>
              <w:right w:w="20" w:type="dxa"/>
            </w:tcMar>
            <w:vAlign w:val="bottom"/>
          </w:tcPr>
          <w:p w14:paraId="7C20777D" w14:textId="77777777" w:rsidR="00834A75" w:rsidRDefault="00A6708C">
            <w:pPr>
              <w:jc w:val="center"/>
              <w:textAlignment w:val="bottom"/>
            </w:pPr>
            <w:r>
              <w:rPr>
                <w:rFonts w:ascii="sans-serif" w:eastAsia="sans-serif" w:hAnsi="sans-serif" w:cs="sans-serif"/>
                <w:color w:val="000000"/>
                <w:sz w:val="16"/>
                <w:szCs w:val="16"/>
              </w:rPr>
              <w:lastRenderedPageBreak/>
              <w:t>Large accelerated filer</w:t>
            </w:r>
          </w:p>
        </w:tc>
        <w:tc>
          <w:tcPr>
            <w:tcW w:w="0" w:type="auto"/>
            <w:gridSpan w:val="3"/>
            <w:shd w:val="clear" w:color="auto" w:fill="auto"/>
            <w:tcMar>
              <w:top w:w="40" w:type="dxa"/>
              <w:left w:w="20" w:type="dxa"/>
              <w:bottom w:w="40" w:type="dxa"/>
              <w:right w:w="20" w:type="dxa"/>
            </w:tcMar>
            <w:vAlign w:val="bottom"/>
          </w:tcPr>
          <w:p w14:paraId="7C20777E" w14:textId="77777777" w:rsidR="00834A75" w:rsidRDefault="00A6708C">
            <w:pPr>
              <w:jc w:val="center"/>
              <w:textAlignment w:val="bottom"/>
            </w:pPr>
            <w:r>
              <w:rPr>
                <w:rFonts w:ascii="Times New Roman" w:eastAsia="宋体" w:hAnsi="Times New Roman"/>
                <w:color w:val="000000"/>
                <w:sz w:val="20"/>
                <w:szCs w:val="20"/>
              </w:rPr>
              <w:t>☒</w:t>
            </w:r>
          </w:p>
        </w:tc>
        <w:tc>
          <w:tcPr>
            <w:tcW w:w="0" w:type="auto"/>
            <w:gridSpan w:val="3"/>
            <w:shd w:val="clear" w:color="auto" w:fill="auto"/>
            <w:tcMar>
              <w:top w:w="40" w:type="dxa"/>
              <w:left w:w="20" w:type="dxa"/>
              <w:bottom w:w="40" w:type="dxa"/>
              <w:right w:w="20" w:type="dxa"/>
            </w:tcMar>
            <w:vAlign w:val="bottom"/>
          </w:tcPr>
          <w:p w14:paraId="7C20777F" w14:textId="77777777" w:rsidR="00834A75" w:rsidRDefault="00A6708C">
            <w:pPr>
              <w:jc w:val="center"/>
              <w:textAlignment w:val="bottom"/>
            </w:pPr>
            <w:r>
              <w:rPr>
                <w:rFonts w:ascii="sans-serif" w:eastAsia="sans-serif" w:hAnsi="sans-serif" w:cs="sans-serif"/>
                <w:color w:val="000000"/>
                <w:sz w:val="16"/>
                <w:szCs w:val="16"/>
              </w:rPr>
              <w:t>Accelerated filer</w:t>
            </w:r>
          </w:p>
        </w:tc>
        <w:tc>
          <w:tcPr>
            <w:tcW w:w="0" w:type="auto"/>
            <w:gridSpan w:val="3"/>
            <w:shd w:val="clear" w:color="auto" w:fill="auto"/>
            <w:tcMar>
              <w:top w:w="40" w:type="dxa"/>
              <w:left w:w="20" w:type="dxa"/>
              <w:bottom w:w="40" w:type="dxa"/>
              <w:right w:w="20" w:type="dxa"/>
            </w:tcMar>
            <w:vAlign w:val="bottom"/>
          </w:tcPr>
          <w:p w14:paraId="7C207780" w14:textId="77777777" w:rsidR="00834A75" w:rsidRDefault="00A6708C">
            <w:pPr>
              <w:jc w:val="center"/>
              <w:textAlignment w:val="bottom"/>
            </w:pPr>
            <w:r>
              <w:rPr>
                <w:rFonts w:ascii="Times New Roman" w:eastAsia="宋体" w:hAnsi="Times New Roman"/>
                <w:color w:val="000000"/>
                <w:sz w:val="20"/>
                <w:szCs w:val="20"/>
              </w:rPr>
              <w:t>☐</w:t>
            </w:r>
          </w:p>
        </w:tc>
        <w:tc>
          <w:tcPr>
            <w:tcW w:w="0" w:type="auto"/>
            <w:gridSpan w:val="3"/>
            <w:shd w:val="clear" w:color="auto" w:fill="auto"/>
            <w:tcMar>
              <w:top w:w="40" w:type="dxa"/>
              <w:left w:w="20" w:type="dxa"/>
              <w:bottom w:w="40" w:type="dxa"/>
              <w:right w:w="20" w:type="dxa"/>
            </w:tcMar>
            <w:vAlign w:val="bottom"/>
          </w:tcPr>
          <w:p w14:paraId="7C207781" w14:textId="77777777" w:rsidR="00834A75" w:rsidRDefault="00A6708C">
            <w:pPr>
              <w:jc w:val="center"/>
              <w:textAlignment w:val="bottom"/>
            </w:pPr>
            <w:r>
              <w:rPr>
                <w:rFonts w:ascii="sans-serif" w:eastAsia="sans-serif" w:hAnsi="sans-serif" w:cs="sans-serif"/>
                <w:color w:val="000000"/>
                <w:sz w:val="16"/>
                <w:szCs w:val="16"/>
              </w:rPr>
              <w:t>Non-accelerated filer</w:t>
            </w:r>
          </w:p>
        </w:tc>
        <w:tc>
          <w:tcPr>
            <w:tcW w:w="0" w:type="auto"/>
            <w:gridSpan w:val="3"/>
            <w:shd w:val="clear" w:color="auto" w:fill="auto"/>
            <w:tcMar>
              <w:top w:w="40" w:type="dxa"/>
              <w:left w:w="20" w:type="dxa"/>
              <w:bottom w:w="40" w:type="dxa"/>
              <w:right w:w="20" w:type="dxa"/>
            </w:tcMar>
            <w:vAlign w:val="bottom"/>
          </w:tcPr>
          <w:p w14:paraId="7C207782" w14:textId="77777777" w:rsidR="00834A75" w:rsidRDefault="00A6708C">
            <w:pPr>
              <w:jc w:val="center"/>
              <w:textAlignment w:val="bottom"/>
            </w:pPr>
            <w:r>
              <w:rPr>
                <w:rFonts w:ascii="Times New Roman" w:eastAsia="宋体" w:hAnsi="Times New Roman"/>
                <w:color w:val="000000"/>
                <w:sz w:val="20"/>
                <w:szCs w:val="20"/>
              </w:rPr>
              <w:t>☐</w:t>
            </w:r>
          </w:p>
        </w:tc>
        <w:tc>
          <w:tcPr>
            <w:tcW w:w="0" w:type="auto"/>
            <w:gridSpan w:val="3"/>
            <w:shd w:val="clear" w:color="auto" w:fill="auto"/>
            <w:tcMar>
              <w:top w:w="40" w:type="dxa"/>
              <w:left w:w="20" w:type="dxa"/>
              <w:bottom w:w="40" w:type="dxa"/>
              <w:right w:w="20" w:type="dxa"/>
            </w:tcMar>
            <w:vAlign w:val="bottom"/>
          </w:tcPr>
          <w:p w14:paraId="7C207783" w14:textId="77777777" w:rsidR="00834A75" w:rsidRDefault="00A6708C">
            <w:pPr>
              <w:jc w:val="center"/>
              <w:textAlignment w:val="bottom"/>
            </w:pPr>
            <w:r>
              <w:rPr>
                <w:rFonts w:ascii="sans-serif" w:eastAsia="sans-serif" w:hAnsi="sans-serif" w:cs="sans-serif"/>
                <w:color w:val="000000"/>
                <w:sz w:val="16"/>
                <w:szCs w:val="16"/>
              </w:rPr>
              <w:t>Smaller reporting company</w:t>
            </w:r>
          </w:p>
        </w:tc>
        <w:tc>
          <w:tcPr>
            <w:tcW w:w="0" w:type="auto"/>
            <w:gridSpan w:val="3"/>
            <w:shd w:val="clear" w:color="auto" w:fill="auto"/>
            <w:tcMar>
              <w:top w:w="40" w:type="dxa"/>
              <w:left w:w="20" w:type="dxa"/>
              <w:bottom w:w="40" w:type="dxa"/>
              <w:right w:w="20" w:type="dxa"/>
            </w:tcMar>
            <w:vAlign w:val="bottom"/>
          </w:tcPr>
          <w:p w14:paraId="7C207784" w14:textId="77777777" w:rsidR="00834A75" w:rsidRDefault="00A6708C">
            <w:pPr>
              <w:jc w:val="center"/>
              <w:textAlignment w:val="bottom"/>
            </w:pPr>
            <w:r>
              <w:rPr>
                <w:rFonts w:ascii="Times New Roman" w:eastAsia="宋体" w:hAnsi="Times New Roman"/>
                <w:color w:val="000000"/>
                <w:sz w:val="20"/>
                <w:szCs w:val="20"/>
              </w:rPr>
              <w:t>☐</w:t>
            </w:r>
          </w:p>
        </w:tc>
        <w:tc>
          <w:tcPr>
            <w:tcW w:w="0" w:type="auto"/>
            <w:gridSpan w:val="3"/>
            <w:shd w:val="clear" w:color="auto" w:fill="auto"/>
            <w:tcMar>
              <w:top w:w="40" w:type="dxa"/>
              <w:left w:w="20" w:type="dxa"/>
              <w:bottom w:w="40" w:type="dxa"/>
              <w:right w:w="20" w:type="dxa"/>
            </w:tcMar>
            <w:vAlign w:val="bottom"/>
          </w:tcPr>
          <w:p w14:paraId="7C207785" w14:textId="77777777" w:rsidR="00834A75" w:rsidRDefault="00A6708C">
            <w:pPr>
              <w:jc w:val="center"/>
              <w:textAlignment w:val="bottom"/>
            </w:pPr>
            <w:r>
              <w:rPr>
                <w:rFonts w:ascii="sans-serif" w:eastAsia="sans-serif" w:hAnsi="sans-serif" w:cs="sans-serif"/>
                <w:color w:val="000000"/>
                <w:sz w:val="16"/>
                <w:szCs w:val="16"/>
              </w:rPr>
              <w:t>Emerging growth company</w:t>
            </w:r>
          </w:p>
        </w:tc>
        <w:tc>
          <w:tcPr>
            <w:tcW w:w="0" w:type="auto"/>
            <w:gridSpan w:val="3"/>
            <w:shd w:val="clear" w:color="auto" w:fill="auto"/>
            <w:tcMar>
              <w:top w:w="40" w:type="dxa"/>
              <w:left w:w="20" w:type="dxa"/>
              <w:bottom w:w="40" w:type="dxa"/>
              <w:right w:w="20" w:type="dxa"/>
            </w:tcMar>
            <w:vAlign w:val="bottom"/>
          </w:tcPr>
          <w:p w14:paraId="7C207786" w14:textId="77777777" w:rsidR="00834A75" w:rsidRDefault="00A6708C">
            <w:pPr>
              <w:jc w:val="center"/>
              <w:textAlignment w:val="bottom"/>
            </w:pPr>
            <w:r>
              <w:rPr>
                <w:rFonts w:ascii="Times New Roman" w:eastAsia="宋体" w:hAnsi="Times New Roman"/>
                <w:color w:val="000000"/>
                <w:sz w:val="20"/>
                <w:szCs w:val="20"/>
              </w:rPr>
              <w:t>☐</w:t>
            </w:r>
          </w:p>
        </w:tc>
      </w:tr>
    </w:tbl>
    <w:p w14:paraId="7C207788" w14:textId="77777777" w:rsidR="00834A75" w:rsidRDefault="00A6708C">
      <w:pPr>
        <w:spacing w:after="180"/>
        <w:jc w:val="both"/>
      </w:pPr>
      <w:r>
        <w:rPr>
          <w:rFonts w:ascii="sans-serif" w:eastAsia="sans-serif" w:hAnsi="sans-serif" w:cs="sans-serif"/>
          <w:color w:val="000000"/>
          <w:sz w:val="18"/>
          <w:szCs w:val="18"/>
        </w:rPr>
        <w:t xml:space="preserve">If an emerging growth company, indicate by check mark if the registrant has elected not to use the extended transition period for complying with any new or revised financial accounting standards provided pursuant to Section 13(a) of the Exchange Act. </w:t>
      </w:r>
      <w:r>
        <w:rPr>
          <w:rFonts w:ascii="Times New Roman" w:eastAsia="宋体" w:hAnsi="Times New Roman"/>
          <w:color w:val="000000"/>
          <w:sz w:val="20"/>
          <w:szCs w:val="20"/>
        </w:rPr>
        <w:t>☐</w:t>
      </w:r>
    </w:p>
    <w:p w14:paraId="7C207789" w14:textId="77777777" w:rsidR="00834A75" w:rsidRDefault="00A6708C">
      <w:pPr>
        <w:spacing w:after="180"/>
        <w:jc w:val="both"/>
      </w:pPr>
      <w:r>
        <w:rPr>
          <w:rFonts w:ascii="sans-serif" w:eastAsia="sans-serif" w:hAnsi="sans-serif" w:cs="sans-serif"/>
          <w:color w:val="000000"/>
          <w:sz w:val="18"/>
          <w:szCs w:val="18"/>
        </w:rPr>
        <w:t>Ind</w:t>
      </w:r>
      <w:r>
        <w:rPr>
          <w:rFonts w:ascii="sans-serif" w:eastAsia="sans-serif" w:hAnsi="sans-serif" w:cs="sans-serif"/>
          <w:color w:val="000000"/>
          <w:sz w:val="18"/>
          <w:szCs w:val="18"/>
        </w:rPr>
        <w:t xml:space="preserve">icate by check mark whether the registrant is a shell company (as defined in Rule 12b-2 of the Exchange Act). Yes </w:t>
      </w:r>
      <w:r>
        <w:rPr>
          <w:rFonts w:ascii="Times New Roman" w:eastAsia="宋体" w:hAnsi="Times New Roman"/>
          <w:color w:val="000000"/>
          <w:sz w:val="20"/>
          <w:szCs w:val="20"/>
        </w:rPr>
        <w:t>☐</w:t>
      </w:r>
      <w:r>
        <w:rPr>
          <w:rFonts w:ascii="sans-serif" w:eastAsia="sans-serif" w:hAnsi="sans-serif" w:cs="sans-serif"/>
          <w:color w:val="000000"/>
          <w:sz w:val="18"/>
          <w:szCs w:val="18"/>
        </w:rPr>
        <w:t xml:space="preserve"> No </w:t>
      </w:r>
      <w:r>
        <w:rPr>
          <w:rFonts w:ascii="Times New Roman" w:eastAsia="宋体" w:hAnsi="Times New Roman"/>
          <w:color w:val="000000"/>
          <w:sz w:val="20"/>
          <w:szCs w:val="20"/>
        </w:rPr>
        <w:t>☒</w:t>
      </w:r>
    </w:p>
    <w:p w14:paraId="7C20778A" w14:textId="77777777" w:rsidR="00834A75" w:rsidRDefault="00A6708C">
      <w:pPr>
        <w:jc w:val="both"/>
      </w:pPr>
      <w:r>
        <w:rPr>
          <w:rFonts w:ascii="sans-serif" w:eastAsia="sans-serif" w:hAnsi="sans-serif" w:cs="sans-serif"/>
          <w:color w:val="000000"/>
          <w:sz w:val="18"/>
          <w:szCs w:val="18"/>
        </w:rPr>
        <w:t>The number of shares of common stock, $0.001 par value, outstanding as of May 20, 2022, was 2.50 billion.</w:t>
      </w:r>
    </w:p>
    <w:p w14:paraId="7C20778B" w14:textId="77777777" w:rsidR="00834A75" w:rsidRDefault="00834A75">
      <w:pPr>
        <w:spacing w:after="180"/>
        <w:jc w:val="both"/>
      </w:pPr>
    </w:p>
    <w:p w14:paraId="7C20778C" w14:textId="77777777" w:rsidR="00834A75" w:rsidRDefault="00A6708C">
      <w:r>
        <w:pict w14:anchorId="7C209350">
          <v:rect id="_x0000_i1025" style="width:415.3pt;height:1.5pt" o:hralign="center" o:hrstd="t" o:hr="t" fillcolor="#a0a0a0" stroked="f"/>
        </w:pict>
      </w:r>
    </w:p>
    <w:p w14:paraId="7C20778D" w14:textId="77777777" w:rsidR="00834A75" w:rsidRDefault="00834A75">
      <w:pPr>
        <w:spacing w:after="180"/>
        <w:jc w:val="both"/>
      </w:pPr>
    </w:p>
    <w:p w14:paraId="7C20778E" w14:textId="77777777" w:rsidR="00834A75" w:rsidRDefault="00A6708C">
      <w:pPr>
        <w:jc w:val="center"/>
      </w:pPr>
      <w:r>
        <w:rPr>
          <w:rFonts w:ascii="sans-serif" w:eastAsia="sans-serif" w:hAnsi="sans-serif" w:cs="sans-serif"/>
          <w:b/>
          <w:bCs/>
          <w:color w:val="000000"/>
          <w:sz w:val="20"/>
          <w:szCs w:val="20"/>
        </w:rPr>
        <w:t xml:space="preserve">NVIDIA </w:t>
      </w:r>
      <w:r>
        <w:rPr>
          <w:rFonts w:ascii="sans-serif" w:eastAsia="sans-serif" w:hAnsi="sans-serif" w:cs="sans-serif"/>
          <w:b/>
          <w:bCs/>
          <w:color w:val="000000"/>
          <w:sz w:val="20"/>
          <w:szCs w:val="20"/>
        </w:rPr>
        <w:t>CORPORATION</w:t>
      </w:r>
    </w:p>
    <w:p w14:paraId="7C20778F" w14:textId="77777777" w:rsidR="00834A75" w:rsidRDefault="00A6708C">
      <w:pPr>
        <w:jc w:val="center"/>
      </w:pPr>
      <w:r>
        <w:rPr>
          <w:rFonts w:ascii="sans-serif" w:eastAsia="sans-serif" w:hAnsi="sans-serif" w:cs="sans-serif"/>
          <w:b/>
          <w:bCs/>
          <w:color w:val="000000"/>
          <w:sz w:val="20"/>
          <w:szCs w:val="20"/>
        </w:rPr>
        <w:t>FORM 10-Q</w:t>
      </w:r>
    </w:p>
    <w:p w14:paraId="7C207790" w14:textId="77777777" w:rsidR="00834A75" w:rsidRDefault="00A6708C">
      <w:pPr>
        <w:spacing w:after="180"/>
        <w:jc w:val="center"/>
      </w:pPr>
      <w:r>
        <w:rPr>
          <w:rFonts w:ascii="sans-serif" w:eastAsia="sans-serif" w:hAnsi="sans-serif" w:cs="sans-serif"/>
          <w:b/>
          <w:bCs/>
          <w:color w:val="000000"/>
          <w:sz w:val="20"/>
          <w:szCs w:val="20"/>
        </w:rPr>
        <w:t xml:space="preserve">FOR THE QUARTER ENDED May 1, 2022 </w:t>
      </w:r>
    </w:p>
    <w:p w14:paraId="7C207791" w14:textId="77777777" w:rsidR="00834A75" w:rsidRDefault="00A6708C">
      <w:pPr>
        <w:jc w:val="center"/>
      </w:pPr>
      <w:r>
        <w:rPr>
          <w:rFonts w:ascii="sans-serif" w:eastAsia="sans-serif" w:hAnsi="sans-serif" w:cs="sans-serif"/>
          <w:b/>
          <w:bCs/>
          <w:color w:val="000000"/>
          <w:sz w:val="20"/>
          <w:szCs w:val="20"/>
        </w:rPr>
        <w:t>TABLE OF CONTENTS</w:t>
      </w:r>
    </w:p>
    <w:tbl>
      <w:tblPr>
        <w:tblW w:w="4920" w:type="pct"/>
        <w:jc w:val="center"/>
        <w:tblCellMar>
          <w:top w:w="15" w:type="dxa"/>
          <w:left w:w="15" w:type="dxa"/>
          <w:bottom w:w="15" w:type="dxa"/>
          <w:right w:w="15" w:type="dxa"/>
        </w:tblCellMar>
        <w:tblLook w:val="04A0" w:firstRow="1" w:lastRow="0" w:firstColumn="1" w:lastColumn="0" w:noHBand="0" w:noVBand="1"/>
      </w:tblPr>
      <w:tblGrid>
        <w:gridCol w:w="82"/>
        <w:gridCol w:w="725"/>
        <w:gridCol w:w="36"/>
        <w:gridCol w:w="61"/>
        <w:gridCol w:w="6632"/>
        <w:gridCol w:w="36"/>
        <w:gridCol w:w="61"/>
        <w:gridCol w:w="534"/>
        <w:gridCol w:w="36"/>
      </w:tblGrid>
      <w:tr w:rsidR="00834A75" w14:paraId="7C20779B" w14:textId="77777777">
        <w:trPr>
          <w:jc w:val="center"/>
        </w:trPr>
        <w:tc>
          <w:tcPr>
            <w:tcW w:w="50" w:type="pct"/>
            <w:shd w:val="clear" w:color="auto" w:fill="auto"/>
            <w:vAlign w:val="bottom"/>
          </w:tcPr>
          <w:p w14:paraId="7C207792" w14:textId="77777777" w:rsidR="00834A75" w:rsidRDefault="00834A75">
            <w:pPr>
              <w:rPr>
                <w:rFonts w:ascii="宋体"/>
              </w:rPr>
            </w:pPr>
          </w:p>
        </w:tc>
        <w:tc>
          <w:tcPr>
            <w:tcW w:w="442" w:type="pct"/>
            <w:shd w:val="clear" w:color="auto" w:fill="auto"/>
            <w:vAlign w:val="bottom"/>
          </w:tcPr>
          <w:p w14:paraId="7C207793" w14:textId="77777777" w:rsidR="00834A75" w:rsidRDefault="00834A75">
            <w:pPr>
              <w:rPr>
                <w:rFonts w:ascii="宋体"/>
              </w:rPr>
            </w:pPr>
          </w:p>
        </w:tc>
        <w:tc>
          <w:tcPr>
            <w:tcW w:w="5" w:type="pct"/>
            <w:shd w:val="clear" w:color="auto" w:fill="auto"/>
            <w:vAlign w:val="bottom"/>
          </w:tcPr>
          <w:p w14:paraId="7C207794" w14:textId="77777777" w:rsidR="00834A75" w:rsidRDefault="00834A75">
            <w:pPr>
              <w:rPr>
                <w:rFonts w:ascii="宋体"/>
              </w:rPr>
            </w:pPr>
          </w:p>
        </w:tc>
        <w:tc>
          <w:tcPr>
            <w:tcW w:w="50" w:type="pct"/>
            <w:shd w:val="clear" w:color="auto" w:fill="auto"/>
            <w:vAlign w:val="bottom"/>
          </w:tcPr>
          <w:p w14:paraId="7C207795" w14:textId="77777777" w:rsidR="00834A75" w:rsidRDefault="00834A75">
            <w:pPr>
              <w:rPr>
                <w:rFonts w:ascii="宋体"/>
              </w:rPr>
            </w:pPr>
          </w:p>
        </w:tc>
        <w:tc>
          <w:tcPr>
            <w:tcW w:w="4053" w:type="pct"/>
            <w:shd w:val="clear" w:color="auto" w:fill="auto"/>
            <w:vAlign w:val="bottom"/>
          </w:tcPr>
          <w:p w14:paraId="7C207796" w14:textId="77777777" w:rsidR="00834A75" w:rsidRDefault="00834A75">
            <w:pPr>
              <w:rPr>
                <w:rFonts w:ascii="宋体"/>
              </w:rPr>
            </w:pPr>
          </w:p>
        </w:tc>
        <w:tc>
          <w:tcPr>
            <w:tcW w:w="5" w:type="pct"/>
            <w:shd w:val="clear" w:color="auto" w:fill="auto"/>
            <w:vAlign w:val="bottom"/>
          </w:tcPr>
          <w:p w14:paraId="7C207797" w14:textId="77777777" w:rsidR="00834A75" w:rsidRDefault="00834A75">
            <w:pPr>
              <w:rPr>
                <w:rFonts w:ascii="宋体"/>
              </w:rPr>
            </w:pPr>
          </w:p>
        </w:tc>
        <w:tc>
          <w:tcPr>
            <w:tcW w:w="50" w:type="pct"/>
            <w:shd w:val="clear" w:color="auto" w:fill="auto"/>
            <w:vAlign w:val="bottom"/>
          </w:tcPr>
          <w:p w14:paraId="7C207798" w14:textId="77777777" w:rsidR="00834A75" w:rsidRDefault="00834A75">
            <w:pPr>
              <w:rPr>
                <w:rFonts w:ascii="宋体"/>
              </w:rPr>
            </w:pPr>
          </w:p>
        </w:tc>
        <w:tc>
          <w:tcPr>
            <w:tcW w:w="338" w:type="pct"/>
            <w:shd w:val="clear" w:color="auto" w:fill="auto"/>
            <w:vAlign w:val="bottom"/>
          </w:tcPr>
          <w:p w14:paraId="7C207799" w14:textId="77777777" w:rsidR="00834A75" w:rsidRDefault="00834A75">
            <w:pPr>
              <w:rPr>
                <w:rFonts w:ascii="宋体"/>
              </w:rPr>
            </w:pPr>
          </w:p>
        </w:tc>
        <w:tc>
          <w:tcPr>
            <w:tcW w:w="5" w:type="pct"/>
            <w:shd w:val="clear" w:color="auto" w:fill="auto"/>
            <w:vAlign w:val="bottom"/>
          </w:tcPr>
          <w:p w14:paraId="7C20779A" w14:textId="77777777" w:rsidR="00834A75" w:rsidRDefault="00834A75">
            <w:pPr>
              <w:rPr>
                <w:rFonts w:ascii="宋体"/>
              </w:rPr>
            </w:pPr>
          </w:p>
        </w:tc>
      </w:tr>
      <w:tr w:rsidR="00834A75" w14:paraId="7C20779F" w14:textId="77777777">
        <w:trPr>
          <w:jc w:val="center"/>
        </w:trPr>
        <w:tc>
          <w:tcPr>
            <w:tcW w:w="0" w:type="auto"/>
            <w:gridSpan w:val="3"/>
            <w:shd w:val="clear" w:color="auto" w:fill="auto"/>
            <w:tcMar>
              <w:top w:w="40" w:type="dxa"/>
              <w:left w:w="20" w:type="dxa"/>
              <w:bottom w:w="40" w:type="dxa"/>
              <w:right w:w="20" w:type="dxa"/>
            </w:tcMar>
            <w:vAlign w:val="bottom"/>
          </w:tcPr>
          <w:p w14:paraId="7C20779C" w14:textId="77777777" w:rsidR="00834A75" w:rsidRDefault="00A6708C">
            <w:pPr>
              <w:textAlignment w:val="bottom"/>
            </w:pPr>
            <w:r>
              <w:rPr>
                <w:rFonts w:ascii="sans-serif" w:eastAsia="sans-serif" w:hAnsi="sans-serif" w:cs="sans-serif"/>
                <w:color w:val="000000"/>
                <w:sz w:val="20"/>
                <w:szCs w:val="20"/>
              </w:rPr>
              <w:t> </w:t>
            </w:r>
          </w:p>
        </w:tc>
        <w:tc>
          <w:tcPr>
            <w:tcW w:w="0" w:type="auto"/>
            <w:gridSpan w:val="3"/>
            <w:shd w:val="clear" w:color="auto" w:fill="auto"/>
            <w:tcMar>
              <w:top w:w="40" w:type="dxa"/>
              <w:left w:w="20" w:type="dxa"/>
              <w:bottom w:w="40" w:type="dxa"/>
              <w:right w:w="20" w:type="dxa"/>
            </w:tcMar>
            <w:vAlign w:val="bottom"/>
          </w:tcPr>
          <w:p w14:paraId="7C20779D" w14:textId="77777777" w:rsidR="00834A75" w:rsidRDefault="00A6708C">
            <w:pPr>
              <w:textAlignment w:val="bottom"/>
            </w:pPr>
            <w:r>
              <w:rPr>
                <w:rFonts w:ascii="sans-serif" w:eastAsia="sans-serif" w:hAnsi="sans-serif" w:cs="sans-serif"/>
                <w:color w:val="000000"/>
                <w:sz w:val="20"/>
                <w:szCs w:val="20"/>
              </w:rPr>
              <w:t> </w:t>
            </w:r>
          </w:p>
        </w:tc>
        <w:tc>
          <w:tcPr>
            <w:tcW w:w="0" w:type="auto"/>
            <w:gridSpan w:val="3"/>
            <w:shd w:val="clear" w:color="auto" w:fill="auto"/>
            <w:tcMar>
              <w:top w:w="40" w:type="dxa"/>
              <w:left w:w="20" w:type="dxa"/>
              <w:bottom w:w="40" w:type="dxa"/>
              <w:right w:w="20" w:type="dxa"/>
            </w:tcMar>
            <w:vAlign w:val="bottom"/>
          </w:tcPr>
          <w:p w14:paraId="7C20779E" w14:textId="77777777" w:rsidR="00834A75" w:rsidRDefault="00A6708C">
            <w:pPr>
              <w:jc w:val="right"/>
              <w:textAlignment w:val="bottom"/>
            </w:pPr>
            <w:r>
              <w:rPr>
                <w:rFonts w:ascii="sans-serif" w:eastAsia="sans-serif" w:hAnsi="sans-serif" w:cs="sans-serif"/>
                <w:b/>
                <w:bCs/>
                <w:color w:val="000000"/>
                <w:sz w:val="20"/>
                <w:szCs w:val="20"/>
              </w:rPr>
              <w:t>Page</w:t>
            </w:r>
          </w:p>
        </w:tc>
      </w:tr>
      <w:tr w:rsidR="00834A75" w14:paraId="7C2077A3" w14:textId="77777777">
        <w:trPr>
          <w:jc w:val="center"/>
        </w:trPr>
        <w:tc>
          <w:tcPr>
            <w:tcW w:w="0" w:type="auto"/>
            <w:gridSpan w:val="3"/>
            <w:shd w:val="clear" w:color="auto" w:fill="auto"/>
            <w:tcMar>
              <w:top w:w="40" w:type="dxa"/>
              <w:left w:w="20" w:type="dxa"/>
              <w:bottom w:w="40" w:type="dxa"/>
              <w:right w:w="20" w:type="dxa"/>
            </w:tcMar>
            <w:vAlign w:val="bottom"/>
          </w:tcPr>
          <w:p w14:paraId="7C2077A0" w14:textId="77777777" w:rsidR="00834A75" w:rsidRDefault="00A6708C">
            <w:pPr>
              <w:textAlignment w:val="bottom"/>
            </w:pPr>
            <w:r>
              <w:rPr>
                <w:rFonts w:ascii="sans-serif" w:eastAsia="sans-serif" w:hAnsi="sans-serif" w:cs="sans-serif"/>
                <w:color w:val="000000"/>
                <w:sz w:val="20"/>
                <w:szCs w:val="20"/>
              </w:rPr>
              <w:t> </w:t>
            </w:r>
          </w:p>
        </w:tc>
        <w:tc>
          <w:tcPr>
            <w:tcW w:w="0" w:type="auto"/>
            <w:gridSpan w:val="3"/>
            <w:shd w:val="clear" w:color="auto" w:fill="auto"/>
            <w:tcMar>
              <w:top w:w="40" w:type="dxa"/>
              <w:left w:w="20" w:type="dxa"/>
              <w:bottom w:w="40" w:type="dxa"/>
              <w:right w:w="20" w:type="dxa"/>
            </w:tcMar>
            <w:vAlign w:val="bottom"/>
          </w:tcPr>
          <w:p w14:paraId="7C2077A1" w14:textId="77777777" w:rsidR="00834A75" w:rsidRDefault="00A6708C">
            <w:pPr>
              <w:jc w:val="center"/>
              <w:textAlignment w:val="bottom"/>
            </w:pPr>
            <w:hyperlink r:id="rId7" w:anchor="ide6f62c3c5684ffd944431dcb2ab94ae_10" w:history="1">
              <w:r>
                <w:rPr>
                  <w:rStyle w:val="a5"/>
                  <w:rFonts w:ascii="sans-serif" w:eastAsia="sans-serif" w:hAnsi="sans-serif" w:cs="sans-serif"/>
                  <w:b/>
                  <w:bCs/>
                  <w:sz w:val="20"/>
                  <w:szCs w:val="20"/>
                </w:rPr>
                <w:t>PART I : FINANCIAL INFORMATION</w:t>
              </w:r>
            </w:hyperlink>
          </w:p>
        </w:tc>
        <w:tc>
          <w:tcPr>
            <w:tcW w:w="0" w:type="auto"/>
            <w:gridSpan w:val="3"/>
            <w:shd w:val="clear" w:color="auto" w:fill="auto"/>
            <w:tcMar>
              <w:top w:w="40" w:type="dxa"/>
              <w:left w:w="20" w:type="dxa"/>
              <w:bottom w:w="40" w:type="dxa"/>
              <w:right w:w="20" w:type="dxa"/>
            </w:tcMar>
            <w:vAlign w:val="bottom"/>
          </w:tcPr>
          <w:p w14:paraId="7C2077A2" w14:textId="77777777" w:rsidR="00834A75" w:rsidRDefault="00A6708C">
            <w:pPr>
              <w:jc w:val="right"/>
              <w:textAlignment w:val="bottom"/>
            </w:pPr>
            <w:r>
              <w:rPr>
                <w:rFonts w:ascii="sans-serif" w:eastAsia="sans-serif" w:hAnsi="sans-serif" w:cs="sans-serif"/>
                <w:color w:val="000000"/>
                <w:sz w:val="20"/>
                <w:szCs w:val="20"/>
              </w:rPr>
              <w:t> </w:t>
            </w:r>
          </w:p>
        </w:tc>
      </w:tr>
      <w:tr w:rsidR="00834A75" w14:paraId="7C2077A7" w14:textId="77777777">
        <w:trPr>
          <w:trHeight w:val="60"/>
          <w:jc w:val="center"/>
        </w:trPr>
        <w:tc>
          <w:tcPr>
            <w:tcW w:w="0" w:type="auto"/>
            <w:gridSpan w:val="3"/>
            <w:shd w:val="clear" w:color="auto" w:fill="auto"/>
            <w:tcMar>
              <w:top w:w="0" w:type="dxa"/>
              <w:left w:w="20" w:type="dxa"/>
              <w:bottom w:w="0" w:type="dxa"/>
              <w:right w:w="20" w:type="dxa"/>
            </w:tcMar>
            <w:vAlign w:val="bottom"/>
          </w:tcPr>
          <w:p w14:paraId="7C2077A4" w14:textId="77777777" w:rsidR="00834A75" w:rsidRDefault="00834A75">
            <w:pPr>
              <w:rPr>
                <w:rFonts w:ascii="宋体"/>
              </w:rPr>
            </w:pPr>
          </w:p>
        </w:tc>
        <w:tc>
          <w:tcPr>
            <w:tcW w:w="0" w:type="auto"/>
            <w:gridSpan w:val="3"/>
            <w:shd w:val="clear" w:color="auto" w:fill="auto"/>
            <w:tcMar>
              <w:top w:w="0" w:type="dxa"/>
              <w:left w:w="20" w:type="dxa"/>
              <w:bottom w:w="0" w:type="dxa"/>
              <w:right w:w="20" w:type="dxa"/>
            </w:tcMar>
            <w:vAlign w:val="bottom"/>
          </w:tcPr>
          <w:p w14:paraId="7C2077A5" w14:textId="77777777" w:rsidR="00834A75" w:rsidRDefault="00834A75">
            <w:pPr>
              <w:rPr>
                <w:rFonts w:ascii="宋体"/>
              </w:rPr>
            </w:pPr>
          </w:p>
        </w:tc>
        <w:tc>
          <w:tcPr>
            <w:tcW w:w="0" w:type="auto"/>
            <w:gridSpan w:val="3"/>
            <w:shd w:val="clear" w:color="auto" w:fill="auto"/>
            <w:tcMar>
              <w:top w:w="0" w:type="dxa"/>
              <w:left w:w="20" w:type="dxa"/>
              <w:bottom w:w="0" w:type="dxa"/>
              <w:right w:w="20" w:type="dxa"/>
            </w:tcMar>
            <w:vAlign w:val="bottom"/>
          </w:tcPr>
          <w:p w14:paraId="7C2077A6" w14:textId="77777777" w:rsidR="00834A75" w:rsidRDefault="00834A75">
            <w:pPr>
              <w:rPr>
                <w:rFonts w:ascii="宋体"/>
              </w:rPr>
            </w:pPr>
          </w:p>
        </w:tc>
      </w:tr>
      <w:tr w:rsidR="00834A75" w14:paraId="7C2077AB" w14:textId="77777777">
        <w:trPr>
          <w:jc w:val="center"/>
        </w:trPr>
        <w:tc>
          <w:tcPr>
            <w:tcW w:w="0" w:type="auto"/>
            <w:gridSpan w:val="3"/>
            <w:shd w:val="clear" w:color="auto" w:fill="auto"/>
            <w:tcMar>
              <w:top w:w="40" w:type="dxa"/>
              <w:left w:w="20" w:type="dxa"/>
              <w:bottom w:w="40" w:type="dxa"/>
              <w:right w:w="20" w:type="dxa"/>
            </w:tcMar>
            <w:vAlign w:val="bottom"/>
          </w:tcPr>
          <w:p w14:paraId="7C2077A8" w14:textId="77777777" w:rsidR="00834A75" w:rsidRDefault="00A6708C">
            <w:pPr>
              <w:textAlignment w:val="bottom"/>
            </w:pPr>
            <w:hyperlink r:id="rId8" w:anchor="ide6f62c3c5684ffd944431dcb2ab94ae_13" w:history="1">
              <w:r>
                <w:rPr>
                  <w:rStyle w:val="a5"/>
                  <w:rFonts w:ascii="sans-serif" w:eastAsia="sans-serif" w:hAnsi="sans-serif" w:cs="sans-serif"/>
                  <w:sz w:val="20"/>
                  <w:szCs w:val="20"/>
                </w:rPr>
                <w:t>Item 1.</w:t>
              </w:r>
            </w:hyperlink>
          </w:p>
        </w:tc>
        <w:tc>
          <w:tcPr>
            <w:tcW w:w="0" w:type="auto"/>
            <w:gridSpan w:val="3"/>
            <w:shd w:val="clear" w:color="auto" w:fill="auto"/>
            <w:tcMar>
              <w:top w:w="40" w:type="dxa"/>
              <w:left w:w="20" w:type="dxa"/>
              <w:bottom w:w="40" w:type="dxa"/>
              <w:right w:w="20" w:type="dxa"/>
            </w:tcMar>
            <w:vAlign w:val="bottom"/>
          </w:tcPr>
          <w:p w14:paraId="7C2077A9" w14:textId="77777777" w:rsidR="00834A75" w:rsidRDefault="00A6708C">
            <w:pPr>
              <w:jc w:val="both"/>
              <w:textAlignment w:val="bottom"/>
            </w:pPr>
            <w:r>
              <w:rPr>
                <w:rFonts w:ascii="sans-serif" w:eastAsia="sans-serif" w:hAnsi="sans-serif" w:cs="sans-serif"/>
                <w:color w:val="000000"/>
                <w:sz w:val="20"/>
                <w:szCs w:val="20"/>
              </w:rPr>
              <w:t>Financial Statements (Unaudited)</w:t>
            </w:r>
          </w:p>
        </w:tc>
        <w:tc>
          <w:tcPr>
            <w:tcW w:w="0" w:type="auto"/>
            <w:gridSpan w:val="3"/>
            <w:shd w:val="clear" w:color="auto" w:fill="auto"/>
            <w:tcMar>
              <w:top w:w="40" w:type="dxa"/>
              <w:left w:w="20" w:type="dxa"/>
              <w:bottom w:w="40" w:type="dxa"/>
              <w:right w:w="20" w:type="dxa"/>
            </w:tcMar>
            <w:vAlign w:val="bottom"/>
          </w:tcPr>
          <w:p w14:paraId="7C2077AA" w14:textId="77777777" w:rsidR="00834A75" w:rsidRDefault="00A6708C">
            <w:pPr>
              <w:textAlignment w:val="bottom"/>
            </w:pPr>
            <w:r>
              <w:rPr>
                <w:rFonts w:ascii="sans-serif" w:eastAsia="sans-serif" w:hAnsi="sans-serif" w:cs="sans-serif"/>
                <w:color w:val="000000"/>
                <w:sz w:val="20"/>
                <w:szCs w:val="20"/>
              </w:rPr>
              <w:t> </w:t>
            </w:r>
          </w:p>
        </w:tc>
      </w:tr>
      <w:tr w:rsidR="00834A75" w14:paraId="7C2077AF" w14:textId="77777777">
        <w:trPr>
          <w:trHeight w:val="60"/>
          <w:jc w:val="center"/>
        </w:trPr>
        <w:tc>
          <w:tcPr>
            <w:tcW w:w="0" w:type="auto"/>
            <w:gridSpan w:val="3"/>
            <w:shd w:val="clear" w:color="auto" w:fill="auto"/>
            <w:tcMar>
              <w:top w:w="0" w:type="dxa"/>
              <w:left w:w="20" w:type="dxa"/>
              <w:bottom w:w="0" w:type="dxa"/>
              <w:right w:w="20" w:type="dxa"/>
            </w:tcMar>
            <w:vAlign w:val="bottom"/>
          </w:tcPr>
          <w:p w14:paraId="7C2077AC" w14:textId="77777777" w:rsidR="00834A75" w:rsidRDefault="00834A75">
            <w:pPr>
              <w:rPr>
                <w:rFonts w:ascii="宋体"/>
              </w:rPr>
            </w:pPr>
          </w:p>
        </w:tc>
        <w:tc>
          <w:tcPr>
            <w:tcW w:w="0" w:type="auto"/>
            <w:gridSpan w:val="3"/>
            <w:shd w:val="clear" w:color="auto" w:fill="auto"/>
            <w:tcMar>
              <w:top w:w="0" w:type="dxa"/>
              <w:left w:w="20" w:type="dxa"/>
              <w:bottom w:w="0" w:type="dxa"/>
              <w:right w:w="20" w:type="dxa"/>
            </w:tcMar>
            <w:vAlign w:val="bottom"/>
          </w:tcPr>
          <w:p w14:paraId="7C2077AD" w14:textId="77777777" w:rsidR="00834A75" w:rsidRDefault="00834A75">
            <w:pPr>
              <w:rPr>
                <w:rFonts w:ascii="宋体"/>
              </w:rPr>
            </w:pPr>
          </w:p>
        </w:tc>
        <w:tc>
          <w:tcPr>
            <w:tcW w:w="0" w:type="auto"/>
            <w:gridSpan w:val="3"/>
            <w:shd w:val="clear" w:color="auto" w:fill="auto"/>
            <w:tcMar>
              <w:top w:w="0" w:type="dxa"/>
              <w:left w:w="20" w:type="dxa"/>
              <w:bottom w:w="0" w:type="dxa"/>
              <w:right w:w="20" w:type="dxa"/>
            </w:tcMar>
            <w:vAlign w:val="bottom"/>
          </w:tcPr>
          <w:p w14:paraId="7C2077AE" w14:textId="77777777" w:rsidR="00834A75" w:rsidRDefault="00834A75">
            <w:pPr>
              <w:rPr>
                <w:rFonts w:ascii="宋体"/>
              </w:rPr>
            </w:pPr>
          </w:p>
        </w:tc>
      </w:tr>
      <w:tr w:rsidR="00834A75" w14:paraId="7C2077B3" w14:textId="77777777">
        <w:trPr>
          <w:jc w:val="center"/>
        </w:trPr>
        <w:tc>
          <w:tcPr>
            <w:tcW w:w="0" w:type="auto"/>
            <w:gridSpan w:val="3"/>
            <w:shd w:val="clear" w:color="auto" w:fill="auto"/>
            <w:tcMar>
              <w:top w:w="40" w:type="dxa"/>
              <w:left w:w="20" w:type="dxa"/>
              <w:bottom w:w="40" w:type="dxa"/>
              <w:right w:w="20" w:type="dxa"/>
            </w:tcMar>
            <w:vAlign w:val="bottom"/>
          </w:tcPr>
          <w:p w14:paraId="7C2077B0" w14:textId="77777777" w:rsidR="00834A75" w:rsidRDefault="00A6708C">
            <w:pPr>
              <w:textAlignment w:val="bottom"/>
            </w:pPr>
            <w:r>
              <w:rPr>
                <w:rFonts w:ascii="sans-serif" w:eastAsia="sans-serif" w:hAnsi="sans-serif" w:cs="sans-serif"/>
                <w:color w:val="000000"/>
                <w:sz w:val="20"/>
                <w:szCs w:val="20"/>
              </w:rPr>
              <w:t> </w:t>
            </w:r>
          </w:p>
        </w:tc>
        <w:tc>
          <w:tcPr>
            <w:tcW w:w="0" w:type="auto"/>
            <w:gridSpan w:val="3"/>
            <w:shd w:val="clear" w:color="auto" w:fill="auto"/>
            <w:tcMar>
              <w:top w:w="40" w:type="dxa"/>
              <w:left w:w="20" w:type="dxa"/>
              <w:bottom w:w="40" w:type="dxa"/>
              <w:right w:w="20" w:type="dxa"/>
            </w:tcMar>
            <w:vAlign w:val="bottom"/>
          </w:tcPr>
          <w:p w14:paraId="7C2077B1" w14:textId="77777777" w:rsidR="00834A75" w:rsidRDefault="00A6708C">
            <w:pPr>
              <w:textAlignment w:val="bottom"/>
            </w:pPr>
            <w:r>
              <w:rPr>
                <w:rFonts w:ascii="sans-serif" w:eastAsia="sans-serif" w:hAnsi="sans-serif" w:cs="sans-serif"/>
                <w:color w:val="000000"/>
                <w:sz w:val="20"/>
                <w:szCs w:val="20"/>
              </w:rPr>
              <w:t xml:space="preserve">a) Condensed Consolidated Statements of Income </w:t>
            </w:r>
            <w:r>
              <w:rPr>
                <w:rFonts w:ascii="sans-serif" w:eastAsia="sans-serif" w:hAnsi="sans-serif" w:cs="sans-serif"/>
                <w:color w:val="000000"/>
                <w:sz w:val="20"/>
                <w:szCs w:val="20"/>
              </w:rPr>
              <w:t>for the three months ended May 1, 2022 and May 2, 2021</w:t>
            </w:r>
          </w:p>
        </w:tc>
        <w:tc>
          <w:tcPr>
            <w:tcW w:w="0" w:type="auto"/>
            <w:gridSpan w:val="3"/>
            <w:shd w:val="clear" w:color="auto" w:fill="auto"/>
            <w:tcMar>
              <w:top w:w="40" w:type="dxa"/>
              <w:left w:w="20" w:type="dxa"/>
              <w:bottom w:w="40" w:type="dxa"/>
              <w:right w:w="20" w:type="dxa"/>
            </w:tcMar>
            <w:vAlign w:val="bottom"/>
          </w:tcPr>
          <w:p w14:paraId="7C2077B2" w14:textId="77777777" w:rsidR="00834A75" w:rsidRDefault="00A6708C">
            <w:pPr>
              <w:jc w:val="right"/>
              <w:textAlignment w:val="bottom"/>
            </w:pPr>
            <w:hyperlink r:id="rId9" w:anchor="ide6f62c3c5684ffd944431dcb2ab94ae_16" w:history="1">
              <w:r>
                <w:rPr>
                  <w:rStyle w:val="a5"/>
                  <w:rFonts w:ascii="sans-serif" w:eastAsia="sans-serif" w:hAnsi="sans-serif" w:cs="sans-serif"/>
                  <w:sz w:val="20"/>
                  <w:szCs w:val="20"/>
                </w:rPr>
                <w:t>3</w:t>
              </w:r>
            </w:hyperlink>
          </w:p>
        </w:tc>
      </w:tr>
      <w:tr w:rsidR="00834A75" w14:paraId="7C2077B7" w14:textId="77777777">
        <w:trPr>
          <w:jc w:val="center"/>
          <w:hidden/>
        </w:trPr>
        <w:tc>
          <w:tcPr>
            <w:tcW w:w="0" w:type="auto"/>
            <w:gridSpan w:val="3"/>
            <w:shd w:val="clear" w:color="auto" w:fill="auto"/>
            <w:vAlign w:val="bottom"/>
          </w:tcPr>
          <w:p w14:paraId="7C2077B4" w14:textId="77777777" w:rsidR="00834A75" w:rsidRDefault="00834A75">
            <w:pPr>
              <w:rPr>
                <w:rFonts w:ascii="宋体"/>
                <w:vanish/>
              </w:rPr>
            </w:pPr>
          </w:p>
        </w:tc>
        <w:tc>
          <w:tcPr>
            <w:tcW w:w="0" w:type="auto"/>
            <w:gridSpan w:val="3"/>
            <w:shd w:val="clear" w:color="auto" w:fill="auto"/>
            <w:vAlign w:val="bottom"/>
          </w:tcPr>
          <w:p w14:paraId="7C2077B5" w14:textId="77777777" w:rsidR="00834A75" w:rsidRDefault="00834A75">
            <w:pPr>
              <w:rPr>
                <w:rFonts w:ascii="宋体"/>
                <w:vanish/>
              </w:rPr>
            </w:pPr>
          </w:p>
        </w:tc>
        <w:tc>
          <w:tcPr>
            <w:tcW w:w="0" w:type="auto"/>
            <w:gridSpan w:val="3"/>
            <w:shd w:val="clear" w:color="auto" w:fill="auto"/>
            <w:vAlign w:val="bottom"/>
          </w:tcPr>
          <w:p w14:paraId="7C2077B6" w14:textId="77777777" w:rsidR="00834A75" w:rsidRDefault="00834A75">
            <w:pPr>
              <w:rPr>
                <w:rFonts w:ascii="宋体"/>
                <w:vanish/>
              </w:rPr>
            </w:pPr>
          </w:p>
        </w:tc>
      </w:tr>
      <w:tr w:rsidR="00834A75" w14:paraId="7C2077BB" w14:textId="77777777">
        <w:trPr>
          <w:jc w:val="center"/>
        </w:trPr>
        <w:tc>
          <w:tcPr>
            <w:tcW w:w="0" w:type="auto"/>
            <w:gridSpan w:val="3"/>
            <w:shd w:val="clear" w:color="auto" w:fill="auto"/>
            <w:tcMar>
              <w:top w:w="0" w:type="dxa"/>
              <w:left w:w="20" w:type="dxa"/>
              <w:bottom w:w="0" w:type="dxa"/>
              <w:right w:w="20" w:type="dxa"/>
            </w:tcMar>
            <w:vAlign w:val="bottom"/>
          </w:tcPr>
          <w:p w14:paraId="7C2077B8" w14:textId="77777777" w:rsidR="00834A75" w:rsidRDefault="00834A75">
            <w:pPr>
              <w:rPr>
                <w:rFonts w:ascii="宋体"/>
              </w:rPr>
            </w:pPr>
          </w:p>
        </w:tc>
        <w:tc>
          <w:tcPr>
            <w:tcW w:w="0" w:type="auto"/>
            <w:gridSpan w:val="3"/>
            <w:shd w:val="clear" w:color="auto" w:fill="auto"/>
            <w:tcMar>
              <w:top w:w="40" w:type="dxa"/>
              <w:left w:w="20" w:type="dxa"/>
              <w:bottom w:w="40" w:type="dxa"/>
              <w:right w:w="20" w:type="dxa"/>
            </w:tcMar>
            <w:vAlign w:val="bottom"/>
          </w:tcPr>
          <w:p w14:paraId="7C2077B9" w14:textId="77777777" w:rsidR="00834A75" w:rsidRDefault="00A6708C">
            <w:pPr>
              <w:textAlignment w:val="bottom"/>
            </w:pPr>
            <w:r>
              <w:rPr>
                <w:rFonts w:ascii="sans-serif" w:eastAsia="sans-serif" w:hAnsi="sans-serif" w:cs="sans-serif"/>
                <w:color w:val="000000"/>
                <w:sz w:val="20"/>
                <w:szCs w:val="20"/>
              </w:rPr>
              <w:t xml:space="preserve">b) Condensed Consolidated </w:t>
            </w:r>
            <w:r>
              <w:rPr>
                <w:rFonts w:ascii="sans-serif" w:eastAsia="sans-serif" w:hAnsi="sans-serif" w:cs="sans-serif"/>
                <w:color w:val="000000"/>
                <w:sz w:val="20"/>
                <w:szCs w:val="20"/>
              </w:rPr>
              <w:t>Statements of Comprehensive Income for the three months ended May 1, 2022 and May 2, 2021</w:t>
            </w:r>
          </w:p>
        </w:tc>
        <w:tc>
          <w:tcPr>
            <w:tcW w:w="0" w:type="auto"/>
            <w:gridSpan w:val="3"/>
            <w:shd w:val="clear" w:color="auto" w:fill="auto"/>
            <w:tcMar>
              <w:top w:w="40" w:type="dxa"/>
              <w:left w:w="20" w:type="dxa"/>
              <w:bottom w:w="40" w:type="dxa"/>
              <w:right w:w="20" w:type="dxa"/>
            </w:tcMar>
            <w:vAlign w:val="bottom"/>
          </w:tcPr>
          <w:p w14:paraId="7C2077BA" w14:textId="77777777" w:rsidR="00834A75" w:rsidRDefault="00A6708C">
            <w:pPr>
              <w:jc w:val="right"/>
              <w:textAlignment w:val="bottom"/>
            </w:pPr>
            <w:hyperlink r:id="rId10" w:anchor="ide6f62c3c5684ffd944431dcb2ab94ae_19" w:history="1">
              <w:r>
                <w:rPr>
                  <w:rStyle w:val="a5"/>
                  <w:rFonts w:ascii="sans-serif" w:eastAsia="sans-serif" w:hAnsi="sans-serif" w:cs="sans-serif"/>
                  <w:sz w:val="20"/>
                  <w:szCs w:val="20"/>
                </w:rPr>
                <w:t>4</w:t>
              </w:r>
            </w:hyperlink>
          </w:p>
        </w:tc>
      </w:tr>
      <w:tr w:rsidR="00834A75" w14:paraId="7C2077BF" w14:textId="77777777">
        <w:trPr>
          <w:jc w:val="center"/>
          <w:hidden/>
        </w:trPr>
        <w:tc>
          <w:tcPr>
            <w:tcW w:w="0" w:type="auto"/>
            <w:gridSpan w:val="3"/>
            <w:shd w:val="clear" w:color="auto" w:fill="auto"/>
            <w:vAlign w:val="bottom"/>
          </w:tcPr>
          <w:p w14:paraId="7C2077BC" w14:textId="77777777" w:rsidR="00834A75" w:rsidRDefault="00834A75">
            <w:pPr>
              <w:rPr>
                <w:rFonts w:ascii="宋体"/>
                <w:vanish/>
              </w:rPr>
            </w:pPr>
          </w:p>
        </w:tc>
        <w:tc>
          <w:tcPr>
            <w:tcW w:w="0" w:type="auto"/>
            <w:gridSpan w:val="3"/>
            <w:shd w:val="clear" w:color="auto" w:fill="auto"/>
            <w:vAlign w:val="bottom"/>
          </w:tcPr>
          <w:p w14:paraId="7C2077BD" w14:textId="77777777" w:rsidR="00834A75" w:rsidRDefault="00834A75">
            <w:pPr>
              <w:rPr>
                <w:rFonts w:ascii="宋体"/>
                <w:vanish/>
              </w:rPr>
            </w:pPr>
          </w:p>
        </w:tc>
        <w:tc>
          <w:tcPr>
            <w:tcW w:w="0" w:type="auto"/>
            <w:gridSpan w:val="3"/>
            <w:shd w:val="clear" w:color="auto" w:fill="auto"/>
            <w:vAlign w:val="bottom"/>
          </w:tcPr>
          <w:p w14:paraId="7C2077BE" w14:textId="77777777" w:rsidR="00834A75" w:rsidRDefault="00834A75">
            <w:pPr>
              <w:rPr>
                <w:rFonts w:ascii="宋体"/>
                <w:vanish/>
              </w:rPr>
            </w:pPr>
          </w:p>
        </w:tc>
      </w:tr>
      <w:tr w:rsidR="00834A75" w14:paraId="7C2077C3" w14:textId="77777777">
        <w:trPr>
          <w:jc w:val="center"/>
        </w:trPr>
        <w:tc>
          <w:tcPr>
            <w:tcW w:w="0" w:type="auto"/>
            <w:gridSpan w:val="3"/>
            <w:shd w:val="clear" w:color="auto" w:fill="auto"/>
            <w:tcMar>
              <w:top w:w="40" w:type="dxa"/>
              <w:left w:w="20" w:type="dxa"/>
              <w:bottom w:w="40" w:type="dxa"/>
              <w:right w:w="20" w:type="dxa"/>
            </w:tcMar>
            <w:vAlign w:val="bottom"/>
          </w:tcPr>
          <w:p w14:paraId="7C2077C0" w14:textId="77777777" w:rsidR="00834A75" w:rsidRDefault="00A6708C">
            <w:pPr>
              <w:textAlignment w:val="bottom"/>
            </w:pPr>
            <w:r>
              <w:rPr>
                <w:rFonts w:ascii="sans-serif" w:eastAsia="sans-serif" w:hAnsi="sans-serif" w:cs="sans-serif"/>
                <w:color w:val="000000"/>
                <w:sz w:val="20"/>
                <w:szCs w:val="20"/>
              </w:rPr>
              <w:t> </w:t>
            </w:r>
          </w:p>
        </w:tc>
        <w:tc>
          <w:tcPr>
            <w:tcW w:w="0" w:type="auto"/>
            <w:gridSpan w:val="3"/>
            <w:shd w:val="clear" w:color="auto" w:fill="auto"/>
            <w:tcMar>
              <w:top w:w="40" w:type="dxa"/>
              <w:left w:w="20" w:type="dxa"/>
              <w:bottom w:w="40" w:type="dxa"/>
              <w:right w:w="20" w:type="dxa"/>
            </w:tcMar>
            <w:vAlign w:val="bottom"/>
          </w:tcPr>
          <w:p w14:paraId="7C2077C1" w14:textId="77777777" w:rsidR="00834A75" w:rsidRDefault="00A6708C">
            <w:pPr>
              <w:jc w:val="both"/>
              <w:textAlignment w:val="bottom"/>
            </w:pPr>
            <w:r>
              <w:rPr>
                <w:rFonts w:ascii="sans-serif" w:eastAsia="sans-serif" w:hAnsi="sans-serif" w:cs="sans-serif"/>
                <w:color w:val="000000"/>
                <w:sz w:val="20"/>
                <w:szCs w:val="20"/>
              </w:rPr>
              <w:t>c) Condensed Consolidated Balance Sheets as of May 1, 2022 and January 30, 2022</w:t>
            </w:r>
          </w:p>
        </w:tc>
        <w:tc>
          <w:tcPr>
            <w:tcW w:w="0" w:type="auto"/>
            <w:gridSpan w:val="3"/>
            <w:shd w:val="clear" w:color="auto" w:fill="auto"/>
            <w:tcMar>
              <w:top w:w="40" w:type="dxa"/>
              <w:left w:w="20" w:type="dxa"/>
              <w:bottom w:w="40" w:type="dxa"/>
              <w:right w:w="20" w:type="dxa"/>
            </w:tcMar>
            <w:vAlign w:val="bottom"/>
          </w:tcPr>
          <w:p w14:paraId="7C2077C2" w14:textId="77777777" w:rsidR="00834A75" w:rsidRDefault="00A6708C">
            <w:pPr>
              <w:jc w:val="right"/>
              <w:textAlignment w:val="bottom"/>
            </w:pPr>
            <w:hyperlink r:id="rId11" w:anchor="ide6f62c3c5684ffd944431dcb2ab94ae_22" w:history="1">
              <w:r>
                <w:rPr>
                  <w:rStyle w:val="a5"/>
                  <w:rFonts w:ascii="sans-serif" w:eastAsia="sans-serif" w:hAnsi="sans-serif" w:cs="sans-serif"/>
                  <w:sz w:val="20"/>
                  <w:szCs w:val="20"/>
                </w:rPr>
                <w:t>5</w:t>
              </w:r>
            </w:hyperlink>
          </w:p>
        </w:tc>
      </w:tr>
      <w:tr w:rsidR="00834A75" w14:paraId="7C2077C7" w14:textId="77777777">
        <w:trPr>
          <w:jc w:val="center"/>
          <w:hidden/>
        </w:trPr>
        <w:tc>
          <w:tcPr>
            <w:tcW w:w="0" w:type="auto"/>
            <w:gridSpan w:val="3"/>
            <w:shd w:val="clear" w:color="auto" w:fill="auto"/>
            <w:vAlign w:val="bottom"/>
          </w:tcPr>
          <w:p w14:paraId="7C2077C4" w14:textId="77777777" w:rsidR="00834A75" w:rsidRDefault="00834A75">
            <w:pPr>
              <w:rPr>
                <w:rFonts w:ascii="宋体"/>
                <w:vanish/>
              </w:rPr>
            </w:pPr>
          </w:p>
        </w:tc>
        <w:tc>
          <w:tcPr>
            <w:tcW w:w="0" w:type="auto"/>
            <w:gridSpan w:val="3"/>
            <w:shd w:val="clear" w:color="auto" w:fill="auto"/>
            <w:vAlign w:val="bottom"/>
          </w:tcPr>
          <w:p w14:paraId="7C2077C5" w14:textId="77777777" w:rsidR="00834A75" w:rsidRDefault="00834A75">
            <w:pPr>
              <w:rPr>
                <w:rFonts w:ascii="宋体"/>
                <w:vanish/>
              </w:rPr>
            </w:pPr>
          </w:p>
        </w:tc>
        <w:tc>
          <w:tcPr>
            <w:tcW w:w="0" w:type="auto"/>
            <w:gridSpan w:val="3"/>
            <w:shd w:val="clear" w:color="auto" w:fill="auto"/>
            <w:vAlign w:val="bottom"/>
          </w:tcPr>
          <w:p w14:paraId="7C2077C6" w14:textId="77777777" w:rsidR="00834A75" w:rsidRDefault="00834A75">
            <w:pPr>
              <w:rPr>
                <w:rFonts w:ascii="宋体"/>
                <w:vanish/>
              </w:rPr>
            </w:pPr>
          </w:p>
        </w:tc>
      </w:tr>
      <w:tr w:rsidR="00834A75" w14:paraId="7C2077CB" w14:textId="77777777">
        <w:trPr>
          <w:jc w:val="center"/>
        </w:trPr>
        <w:tc>
          <w:tcPr>
            <w:tcW w:w="0" w:type="auto"/>
            <w:gridSpan w:val="3"/>
            <w:shd w:val="clear" w:color="auto" w:fill="auto"/>
            <w:tcMar>
              <w:top w:w="0" w:type="dxa"/>
              <w:left w:w="20" w:type="dxa"/>
              <w:bottom w:w="0" w:type="dxa"/>
              <w:right w:w="20" w:type="dxa"/>
            </w:tcMar>
            <w:vAlign w:val="bottom"/>
          </w:tcPr>
          <w:p w14:paraId="7C2077C8" w14:textId="77777777" w:rsidR="00834A75" w:rsidRDefault="00834A75">
            <w:pPr>
              <w:rPr>
                <w:rFonts w:ascii="宋体"/>
              </w:rPr>
            </w:pPr>
          </w:p>
        </w:tc>
        <w:tc>
          <w:tcPr>
            <w:tcW w:w="0" w:type="auto"/>
            <w:gridSpan w:val="3"/>
            <w:shd w:val="clear" w:color="auto" w:fill="auto"/>
            <w:tcMar>
              <w:top w:w="40" w:type="dxa"/>
              <w:left w:w="20" w:type="dxa"/>
              <w:bottom w:w="40" w:type="dxa"/>
              <w:right w:w="20" w:type="dxa"/>
            </w:tcMar>
            <w:vAlign w:val="bottom"/>
          </w:tcPr>
          <w:p w14:paraId="7C2077C9" w14:textId="77777777" w:rsidR="00834A75" w:rsidRDefault="00A6708C">
            <w:pPr>
              <w:textAlignment w:val="bottom"/>
            </w:pPr>
            <w:r>
              <w:rPr>
                <w:rFonts w:ascii="sans-serif" w:eastAsia="sans-serif" w:hAnsi="sans-serif" w:cs="sans-serif"/>
                <w:color w:val="000000"/>
                <w:sz w:val="20"/>
                <w:szCs w:val="20"/>
              </w:rPr>
              <w:t xml:space="preserve">d) </w:t>
            </w:r>
            <w:r>
              <w:rPr>
                <w:rFonts w:ascii="sans-serif" w:eastAsia="sans-serif" w:hAnsi="sans-serif" w:cs="sans-serif"/>
                <w:color w:val="000000"/>
                <w:sz w:val="20"/>
                <w:szCs w:val="20"/>
              </w:rPr>
              <w:t>Condensed Consolidated Statements of Shareholders' Equity for the three months ended May 1, 2022 and May 2, 2021</w:t>
            </w:r>
          </w:p>
        </w:tc>
        <w:tc>
          <w:tcPr>
            <w:tcW w:w="0" w:type="auto"/>
            <w:gridSpan w:val="3"/>
            <w:shd w:val="clear" w:color="auto" w:fill="auto"/>
            <w:tcMar>
              <w:top w:w="40" w:type="dxa"/>
              <w:left w:w="20" w:type="dxa"/>
              <w:bottom w:w="40" w:type="dxa"/>
              <w:right w:w="20" w:type="dxa"/>
            </w:tcMar>
            <w:vAlign w:val="bottom"/>
          </w:tcPr>
          <w:p w14:paraId="7C2077CA" w14:textId="77777777" w:rsidR="00834A75" w:rsidRDefault="00A6708C">
            <w:pPr>
              <w:jc w:val="right"/>
              <w:textAlignment w:val="bottom"/>
            </w:pPr>
            <w:hyperlink r:id="rId12" w:anchor="ide6f62c3c5684ffd944431dcb2ab94ae_25" w:history="1">
              <w:r>
                <w:rPr>
                  <w:rStyle w:val="a5"/>
                  <w:rFonts w:ascii="sans-serif" w:eastAsia="sans-serif" w:hAnsi="sans-serif" w:cs="sans-serif"/>
                  <w:sz w:val="20"/>
                  <w:szCs w:val="20"/>
                </w:rPr>
                <w:t>6</w:t>
              </w:r>
            </w:hyperlink>
          </w:p>
        </w:tc>
      </w:tr>
      <w:tr w:rsidR="00834A75" w14:paraId="7C2077CF" w14:textId="77777777">
        <w:trPr>
          <w:jc w:val="center"/>
          <w:hidden/>
        </w:trPr>
        <w:tc>
          <w:tcPr>
            <w:tcW w:w="0" w:type="auto"/>
            <w:gridSpan w:val="3"/>
            <w:shd w:val="clear" w:color="auto" w:fill="auto"/>
            <w:vAlign w:val="bottom"/>
          </w:tcPr>
          <w:p w14:paraId="7C2077CC" w14:textId="77777777" w:rsidR="00834A75" w:rsidRDefault="00834A75">
            <w:pPr>
              <w:rPr>
                <w:rFonts w:ascii="宋体"/>
                <w:vanish/>
              </w:rPr>
            </w:pPr>
          </w:p>
        </w:tc>
        <w:tc>
          <w:tcPr>
            <w:tcW w:w="0" w:type="auto"/>
            <w:gridSpan w:val="3"/>
            <w:shd w:val="clear" w:color="auto" w:fill="auto"/>
            <w:vAlign w:val="bottom"/>
          </w:tcPr>
          <w:p w14:paraId="7C2077CD" w14:textId="77777777" w:rsidR="00834A75" w:rsidRDefault="00834A75">
            <w:pPr>
              <w:rPr>
                <w:rFonts w:ascii="宋体"/>
                <w:vanish/>
              </w:rPr>
            </w:pPr>
          </w:p>
        </w:tc>
        <w:tc>
          <w:tcPr>
            <w:tcW w:w="0" w:type="auto"/>
            <w:gridSpan w:val="3"/>
            <w:shd w:val="clear" w:color="auto" w:fill="auto"/>
            <w:vAlign w:val="bottom"/>
          </w:tcPr>
          <w:p w14:paraId="7C2077CE" w14:textId="77777777" w:rsidR="00834A75" w:rsidRDefault="00834A75">
            <w:pPr>
              <w:rPr>
                <w:rFonts w:ascii="宋体"/>
                <w:vanish/>
              </w:rPr>
            </w:pPr>
          </w:p>
        </w:tc>
      </w:tr>
      <w:tr w:rsidR="00834A75" w14:paraId="7C2077D3" w14:textId="77777777">
        <w:trPr>
          <w:jc w:val="center"/>
        </w:trPr>
        <w:tc>
          <w:tcPr>
            <w:tcW w:w="0" w:type="auto"/>
            <w:gridSpan w:val="3"/>
            <w:shd w:val="clear" w:color="auto" w:fill="auto"/>
            <w:tcMar>
              <w:top w:w="40" w:type="dxa"/>
              <w:left w:w="20" w:type="dxa"/>
              <w:bottom w:w="40" w:type="dxa"/>
              <w:right w:w="20" w:type="dxa"/>
            </w:tcMar>
            <w:vAlign w:val="bottom"/>
          </w:tcPr>
          <w:p w14:paraId="7C2077D0" w14:textId="77777777" w:rsidR="00834A75" w:rsidRDefault="00A6708C">
            <w:pPr>
              <w:textAlignment w:val="bottom"/>
            </w:pPr>
            <w:r>
              <w:rPr>
                <w:rFonts w:ascii="sans-serif" w:eastAsia="sans-serif" w:hAnsi="sans-serif" w:cs="sans-serif"/>
                <w:color w:val="000000"/>
                <w:sz w:val="20"/>
                <w:szCs w:val="20"/>
              </w:rPr>
              <w:t> </w:t>
            </w:r>
          </w:p>
        </w:tc>
        <w:tc>
          <w:tcPr>
            <w:tcW w:w="0" w:type="auto"/>
            <w:gridSpan w:val="3"/>
            <w:shd w:val="clear" w:color="auto" w:fill="auto"/>
            <w:tcMar>
              <w:top w:w="40" w:type="dxa"/>
              <w:left w:w="20" w:type="dxa"/>
              <w:bottom w:w="40" w:type="dxa"/>
              <w:right w:w="20" w:type="dxa"/>
            </w:tcMar>
            <w:vAlign w:val="bottom"/>
          </w:tcPr>
          <w:p w14:paraId="7C2077D1" w14:textId="77777777" w:rsidR="00834A75" w:rsidRDefault="00A6708C">
            <w:pPr>
              <w:textAlignment w:val="bottom"/>
            </w:pPr>
            <w:r>
              <w:rPr>
                <w:rFonts w:ascii="sans-serif" w:eastAsia="sans-serif" w:hAnsi="sans-serif" w:cs="sans-serif"/>
                <w:color w:val="000000"/>
                <w:sz w:val="20"/>
                <w:szCs w:val="20"/>
              </w:rPr>
              <w:t>e) Condensed Consolidated Statements of Cash Flows for the three months ended May 1, 2022 and May 2, 2021</w:t>
            </w:r>
          </w:p>
        </w:tc>
        <w:tc>
          <w:tcPr>
            <w:tcW w:w="0" w:type="auto"/>
            <w:gridSpan w:val="3"/>
            <w:shd w:val="clear" w:color="auto" w:fill="auto"/>
            <w:tcMar>
              <w:top w:w="40" w:type="dxa"/>
              <w:left w:w="20" w:type="dxa"/>
              <w:bottom w:w="40" w:type="dxa"/>
              <w:right w:w="20" w:type="dxa"/>
            </w:tcMar>
            <w:vAlign w:val="bottom"/>
          </w:tcPr>
          <w:p w14:paraId="7C2077D2" w14:textId="77777777" w:rsidR="00834A75" w:rsidRDefault="00A6708C">
            <w:pPr>
              <w:jc w:val="right"/>
              <w:textAlignment w:val="bottom"/>
            </w:pPr>
            <w:hyperlink r:id="rId13" w:anchor="ide6f62c3c5684ffd944431dcb2ab94ae_34" w:history="1">
              <w:r>
                <w:rPr>
                  <w:rStyle w:val="a5"/>
                  <w:rFonts w:ascii="sans-serif" w:eastAsia="sans-serif" w:hAnsi="sans-serif" w:cs="sans-serif"/>
                  <w:sz w:val="20"/>
                  <w:szCs w:val="20"/>
                </w:rPr>
                <w:t>7</w:t>
              </w:r>
            </w:hyperlink>
          </w:p>
        </w:tc>
      </w:tr>
      <w:tr w:rsidR="00834A75" w14:paraId="7C2077D7" w14:textId="77777777">
        <w:trPr>
          <w:jc w:val="center"/>
          <w:hidden/>
        </w:trPr>
        <w:tc>
          <w:tcPr>
            <w:tcW w:w="0" w:type="auto"/>
            <w:gridSpan w:val="3"/>
            <w:shd w:val="clear" w:color="auto" w:fill="auto"/>
            <w:vAlign w:val="bottom"/>
          </w:tcPr>
          <w:p w14:paraId="7C2077D4" w14:textId="77777777" w:rsidR="00834A75" w:rsidRDefault="00834A75">
            <w:pPr>
              <w:rPr>
                <w:rFonts w:ascii="宋体"/>
                <w:vanish/>
              </w:rPr>
            </w:pPr>
          </w:p>
        </w:tc>
        <w:tc>
          <w:tcPr>
            <w:tcW w:w="0" w:type="auto"/>
            <w:gridSpan w:val="3"/>
            <w:shd w:val="clear" w:color="auto" w:fill="auto"/>
            <w:vAlign w:val="bottom"/>
          </w:tcPr>
          <w:p w14:paraId="7C2077D5" w14:textId="77777777" w:rsidR="00834A75" w:rsidRDefault="00834A75">
            <w:pPr>
              <w:rPr>
                <w:rFonts w:ascii="宋体"/>
                <w:vanish/>
              </w:rPr>
            </w:pPr>
          </w:p>
        </w:tc>
        <w:tc>
          <w:tcPr>
            <w:tcW w:w="0" w:type="auto"/>
            <w:gridSpan w:val="3"/>
            <w:shd w:val="clear" w:color="auto" w:fill="auto"/>
            <w:vAlign w:val="bottom"/>
          </w:tcPr>
          <w:p w14:paraId="7C2077D6" w14:textId="77777777" w:rsidR="00834A75" w:rsidRDefault="00834A75">
            <w:pPr>
              <w:rPr>
                <w:rFonts w:ascii="宋体"/>
                <w:vanish/>
              </w:rPr>
            </w:pPr>
          </w:p>
        </w:tc>
      </w:tr>
      <w:tr w:rsidR="00834A75" w14:paraId="7C2077DB" w14:textId="77777777">
        <w:trPr>
          <w:jc w:val="center"/>
        </w:trPr>
        <w:tc>
          <w:tcPr>
            <w:tcW w:w="0" w:type="auto"/>
            <w:gridSpan w:val="3"/>
            <w:shd w:val="clear" w:color="auto" w:fill="auto"/>
            <w:tcMar>
              <w:top w:w="40" w:type="dxa"/>
              <w:left w:w="20" w:type="dxa"/>
              <w:bottom w:w="40" w:type="dxa"/>
              <w:right w:w="20" w:type="dxa"/>
            </w:tcMar>
            <w:vAlign w:val="bottom"/>
          </w:tcPr>
          <w:p w14:paraId="7C2077D8" w14:textId="77777777" w:rsidR="00834A75" w:rsidRDefault="00A6708C">
            <w:pPr>
              <w:textAlignment w:val="bottom"/>
            </w:pPr>
            <w:r>
              <w:rPr>
                <w:rFonts w:ascii="sans-serif" w:eastAsia="sans-serif" w:hAnsi="sans-serif" w:cs="sans-serif"/>
                <w:color w:val="000000"/>
                <w:sz w:val="20"/>
                <w:szCs w:val="20"/>
              </w:rPr>
              <w:t> </w:t>
            </w:r>
          </w:p>
        </w:tc>
        <w:tc>
          <w:tcPr>
            <w:tcW w:w="0" w:type="auto"/>
            <w:gridSpan w:val="3"/>
            <w:shd w:val="clear" w:color="auto" w:fill="auto"/>
            <w:tcMar>
              <w:top w:w="40" w:type="dxa"/>
              <w:left w:w="20" w:type="dxa"/>
              <w:bottom w:w="40" w:type="dxa"/>
              <w:right w:w="20" w:type="dxa"/>
            </w:tcMar>
            <w:vAlign w:val="bottom"/>
          </w:tcPr>
          <w:p w14:paraId="7C2077D9" w14:textId="77777777" w:rsidR="00834A75" w:rsidRDefault="00A6708C">
            <w:pPr>
              <w:jc w:val="both"/>
              <w:textAlignment w:val="bottom"/>
            </w:pPr>
            <w:r>
              <w:rPr>
                <w:rFonts w:ascii="sans-serif" w:eastAsia="sans-serif" w:hAnsi="sans-serif" w:cs="sans-serif"/>
                <w:color w:val="000000"/>
                <w:sz w:val="20"/>
                <w:szCs w:val="20"/>
              </w:rPr>
              <w:t>f) Notes to Condensed Consolidated Financial Statements</w:t>
            </w:r>
          </w:p>
        </w:tc>
        <w:tc>
          <w:tcPr>
            <w:tcW w:w="0" w:type="auto"/>
            <w:gridSpan w:val="3"/>
            <w:shd w:val="clear" w:color="auto" w:fill="auto"/>
            <w:tcMar>
              <w:top w:w="40" w:type="dxa"/>
              <w:left w:w="20" w:type="dxa"/>
              <w:bottom w:w="40" w:type="dxa"/>
              <w:right w:w="20" w:type="dxa"/>
            </w:tcMar>
            <w:vAlign w:val="bottom"/>
          </w:tcPr>
          <w:p w14:paraId="7C2077DA" w14:textId="77777777" w:rsidR="00834A75" w:rsidRDefault="00A6708C">
            <w:pPr>
              <w:jc w:val="right"/>
              <w:textAlignment w:val="bottom"/>
            </w:pPr>
            <w:hyperlink r:id="rId14" w:anchor="ide6f62c3c5684ffd944431dcb2ab94ae_37" w:history="1">
              <w:r>
                <w:rPr>
                  <w:rStyle w:val="a5"/>
                  <w:rFonts w:ascii="sans-serif" w:eastAsia="sans-serif" w:hAnsi="sans-serif" w:cs="sans-serif"/>
                  <w:sz w:val="20"/>
                  <w:szCs w:val="20"/>
                </w:rPr>
                <w:t>8</w:t>
              </w:r>
            </w:hyperlink>
          </w:p>
        </w:tc>
      </w:tr>
      <w:tr w:rsidR="00834A75" w14:paraId="7C2077DF" w14:textId="77777777">
        <w:trPr>
          <w:trHeight w:val="60"/>
          <w:jc w:val="center"/>
        </w:trPr>
        <w:tc>
          <w:tcPr>
            <w:tcW w:w="0" w:type="auto"/>
            <w:gridSpan w:val="3"/>
            <w:shd w:val="clear" w:color="auto" w:fill="auto"/>
            <w:tcMar>
              <w:top w:w="0" w:type="dxa"/>
              <w:left w:w="20" w:type="dxa"/>
              <w:bottom w:w="0" w:type="dxa"/>
              <w:right w:w="20" w:type="dxa"/>
            </w:tcMar>
            <w:vAlign w:val="bottom"/>
          </w:tcPr>
          <w:p w14:paraId="7C2077DC" w14:textId="77777777" w:rsidR="00834A75" w:rsidRDefault="00834A75">
            <w:pPr>
              <w:rPr>
                <w:rFonts w:ascii="宋体"/>
              </w:rPr>
            </w:pPr>
          </w:p>
        </w:tc>
        <w:tc>
          <w:tcPr>
            <w:tcW w:w="0" w:type="auto"/>
            <w:gridSpan w:val="3"/>
            <w:shd w:val="clear" w:color="auto" w:fill="auto"/>
            <w:tcMar>
              <w:top w:w="0" w:type="dxa"/>
              <w:left w:w="20" w:type="dxa"/>
              <w:bottom w:w="0" w:type="dxa"/>
              <w:right w:w="20" w:type="dxa"/>
            </w:tcMar>
            <w:vAlign w:val="bottom"/>
          </w:tcPr>
          <w:p w14:paraId="7C2077DD" w14:textId="77777777" w:rsidR="00834A75" w:rsidRDefault="00834A75">
            <w:pPr>
              <w:rPr>
                <w:rFonts w:ascii="宋体"/>
              </w:rPr>
            </w:pPr>
          </w:p>
        </w:tc>
        <w:tc>
          <w:tcPr>
            <w:tcW w:w="0" w:type="auto"/>
            <w:gridSpan w:val="3"/>
            <w:shd w:val="clear" w:color="auto" w:fill="auto"/>
            <w:tcMar>
              <w:top w:w="0" w:type="dxa"/>
              <w:left w:w="20" w:type="dxa"/>
              <w:bottom w:w="0" w:type="dxa"/>
              <w:right w:w="20" w:type="dxa"/>
            </w:tcMar>
            <w:vAlign w:val="bottom"/>
          </w:tcPr>
          <w:p w14:paraId="7C2077DE" w14:textId="77777777" w:rsidR="00834A75" w:rsidRDefault="00834A75">
            <w:pPr>
              <w:rPr>
                <w:rFonts w:ascii="宋体"/>
              </w:rPr>
            </w:pPr>
          </w:p>
        </w:tc>
      </w:tr>
      <w:tr w:rsidR="00834A75" w14:paraId="7C2077E3" w14:textId="77777777">
        <w:trPr>
          <w:jc w:val="center"/>
        </w:trPr>
        <w:tc>
          <w:tcPr>
            <w:tcW w:w="0" w:type="auto"/>
            <w:gridSpan w:val="3"/>
            <w:shd w:val="clear" w:color="auto" w:fill="auto"/>
            <w:tcMar>
              <w:top w:w="40" w:type="dxa"/>
              <w:left w:w="20" w:type="dxa"/>
              <w:bottom w:w="40" w:type="dxa"/>
              <w:right w:w="20" w:type="dxa"/>
            </w:tcMar>
            <w:vAlign w:val="bottom"/>
          </w:tcPr>
          <w:p w14:paraId="7C2077E0" w14:textId="77777777" w:rsidR="00834A75" w:rsidRDefault="00A6708C">
            <w:pPr>
              <w:textAlignment w:val="bottom"/>
            </w:pPr>
            <w:hyperlink r:id="rId15" w:anchor="ide6f62c3c5684ffd944431dcb2ab94ae_88" w:history="1">
              <w:r>
                <w:rPr>
                  <w:rStyle w:val="a5"/>
                  <w:rFonts w:ascii="sans-serif" w:eastAsia="sans-serif" w:hAnsi="sans-serif" w:cs="sans-serif"/>
                  <w:sz w:val="20"/>
                  <w:szCs w:val="20"/>
                </w:rPr>
                <w:t>Item 2.</w:t>
              </w:r>
            </w:hyperlink>
          </w:p>
        </w:tc>
        <w:tc>
          <w:tcPr>
            <w:tcW w:w="0" w:type="auto"/>
            <w:gridSpan w:val="3"/>
            <w:shd w:val="clear" w:color="auto" w:fill="auto"/>
            <w:tcMar>
              <w:top w:w="40" w:type="dxa"/>
              <w:left w:w="20" w:type="dxa"/>
              <w:bottom w:w="40" w:type="dxa"/>
              <w:right w:w="20" w:type="dxa"/>
            </w:tcMar>
            <w:vAlign w:val="bottom"/>
          </w:tcPr>
          <w:p w14:paraId="7C2077E1" w14:textId="77777777" w:rsidR="00834A75" w:rsidRDefault="00A6708C">
            <w:pPr>
              <w:textAlignment w:val="bottom"/>
            </w:pPr>
            <w:r>
              <w:rPr>
                <w:rFonts w:ascii="sans-serif" w:eastAsia="sans-serif" w:hAnsi="sans-serif" w:cs="sans-serif"/>
                <w:color w:val="000000"/>
                <w:sz w:val="20"/>
                <w:szCs w:val="20"/>
              </w:rPr>
              <w:t>Management’s Discussion and Analysis of Financial Condition and Results of Operations</w:t>
            </w:r>
          </w:p>
        </w:tc>
        <w:tc>
          <w:tcPr>
            <w:tcW w:w="0" w:type="auto"/>
            <w:gridSpan w:val="3"/>
            <w:shd w:val="clear" w:color="auto" w:fill="auto"/>
            <w:tcMar>
              <w:top w:w="40" w:type="dxa"/>
              <w:left w:w="20" w:type="dxa"/>
              <w:bottom w:w="40" w:type="dxa"/>
              <w:right w:w="20" w:type="dxa"/>
            </w:tcMar>
            <w:vAlign w:val="bottom"/>
          </w:tcPr>
          <w:p w14:paraId="7C2077E2" w14:textId="77777777" w:rsidR="00834A75" w:rsidRDefault="00A6708C">
            <w:pPr>
              <w:jc w:val="right"/>
              <w:textAlignment w:val="bottom"/>
            </w:pPr>
            <w:hyperlink r:id="rId16" w:anchor="ide6f62c3c5684ffd944431dcb2ab94ae_88" w:history="1">
              <w:r>
                <w:rPr>
                  <w:rStyle w:val="a5"/>
                  <w:rFonts w:ascii="sans-serif" w:eastAsia="sans-serif" w:hAnsi="sans-serif" w:cs="sans-serif"/>
                  <w:sz w:val="20"/>
                  <w:szCs w:val="20"/>
                </w:rPr>
                <w:t>21</w:t>
              </w:r>
            </w:hyperlink>
          </w:p>
        </w:tc>
      </w:tr>
      <w:tr w:rsidR="00834A75" w14:paraId="7C2077E7" w14:textId="77777777">
        <w:trPr>
          <w:trHeight w:val="60"/>
          <w:jc w:val="center"/>
        </w:trPr>
        <w:tc>
          <w:tcPr>
            <w:tcW w:w="0" w:type="auto"/>
            <w:gridSpan w:val="3"/>
            <w:shd w:val="clear" w:color="auto" w:fill="auto"/>
            <w:tcMar>
              <w:top w:w="0" w:type="dxa"/>
              <w:left w:w="20" w:type="dxa"/>
              <w:bottom w:w="0" w:type="dxa"/>
              <w:right w:w="20" w:type="dxa"/>
            </w:tcMar>
            <w:vAlign w:val="bottom"/>
          </w:tcPr>
          <w:p w14:paraId="7C2077E4" w14:textId="77777777" w:rsidR="00834A75" w:rsidRDefault="00834A75">
            <w:pPr>
              <w:rPr>
                <w:rFonts w:ascii="宋体"/>
              </w:rPr>
            </w:pPr>
          </w:p>
        </w:tc>
        <w:tc>
          <w:tcPr>
            <w:tcW w:w="0" w:type="auto"/>
            <w:gridSpan w:val="3"/>
            <w:shd w:val="clear" w:color="auto" w:fill="auto"/>
            <w:tcMar>
              <w:top w:w="0" w:type="dxa"/>
              <w:left w:w="20" w:type="dxa"/>
              <w:bottom w:w="0" w:type="dxa"/>
              <w:right w:w="20" w:type="dxa"/>
            </w:tcMar>
            <w:vAlign w:val="bottom"/>
          </w:tcPr>
          <w:p w14:paraId="7C2077E5" w14:textId="77777777" w:rsidR="00834A75" w:rsidRDefault="00834A75">
            <w:pPr>
              <w:rPr>
                <w:rFonts w:ascii="宋体"/>
              </w:rPr>
            </w:pPr>
          </w:p>
        </w:tc>
        <w:tc>
          <w:tcPr>
            <w:tcW w:w="0" w:type="auto"/>
            <w:gridSpan w:val="3"/>
            <w:shd w:val="clear" w:color="auto" w:fill="auto"/>
            <w:tcMar>
              <w:top w:w="0" w:type="dxa"/>
              <w:left w:w="20" w:type="dxa"/>
              <w:bottom w:w="0" w:type="dxa"/>
              <w:right w:w="20" w:type="dxa"/>
            </w:tcMar>
            <w:vAlign w:val="bottom"/>
          </w:tcPr>
          <w:p w14:paraId="7C2077E6" w14:textId="77777777" w:rsidR="00834A75" w:rsidRDefault="00834A75">
            <w:pPr>
              <w:rPr>
                <w:rFonts w:ascii="宋体"/>
              </w:rPr>
            </w:pPr>
          </w:p>
        </w:tc>
      </w:tr>
      <w:tr w:rsidR="00834A75" w14:paraId="7C2077EB" w14:textId="77777777">
        <w:trPr>
          <w:jc w:val="center"/>
        </w:trPr>
        <w:tc>
          <w:tcPr>
            <w:tcW w:w="0" w:type="auto"/>
            <w:gridSpan w:val="3"/>
            <w:shd w:val="clear" w:color="auto" w:fill="auto"/>
            <w:tcMar>
              <w:top w:w="40" w:type="dxa"/>
              <w:left w:w="20" w:type="dxa"/>
              <w:bottom w:w="40" w:type="dxa"/>
              <w:right w:w="20" w:type="dxa"/>
            </w:tcMar>
            <w:vAlign w:val="bottom"/>
          </w:tcPr>
          <w:p w14:paraId="7C2077E8" w14:textId="77777777" w:rsidR="00834A75" w:rsidRDefault="00A6708C">
            <w:pPr>
              <w:textAlignment w:val="bottom"/>
            </w:pPr>
            <w:hyperlink r:id="rId17" w:anchor="ide6f62c3c5684ffd944431dcb2ab94ae_106" w:history="1">
              <w:r>
                <w:rPr>
                  <w:rStyle w:val="a5"/>
                  <w:rFonts w:ascii="sans-serif" w:eastAsia="sans-serif" w:hAnsi="sans-serif" w:cs="sans-serif"/>
                  <w:sz w:val="20"/>
                  <w:szCs w:val="20"/>
                </w:rPr>
                <w:t>Item 3.</w:t>
              </w:r>
            </w:hyperlink>
          </w:p>
        </w:tc>
        <w:tc>
          <w:tcPr>
            <w:tcW w:w="0" w:type="auto"/>
            <w:gridSpan w:val="3"/>
            <w:shd w:val="clear" w:color="auto" w:fill="auto"/>
            <w:tcMar>
              <w:top w:w="40" w:type="dxa"/>
              <w:left w:w="20" w:type="dxa"/>
              <w:bottom w:w="40" w:type="dxa"/>
              <w:right w:w="20" w:type="dxa"/>
            </w:tcMar>
            <w:vAlign w:val="bottom"/>
          </w:tcPr>
          <w:p w14:paraId="7C2077E9" w14:textId="77777777" w:rsidR="00834A75" w:rsidRDefault="00A6708C">
            <w:pPr>
              <w:textAlignment w:val="bottom"/>
            </w:pPr>
            <w:r>
              <w:rPr>
                <w:rFonts w:ascii="sans-serif" w:eastAsia="sans-serif" w:hAnsi="sans-serif" w:cs="sans-serif"/>
                <w:color w:val="000000"/>
                <w:sz w:val="20"/>
                <w:szCs w:val="20"/>
              </w:rPr>
              <w:t>Quantitative and Qualitative Disclosures About Market Risk</w:t>
            </w:r>
          </w:p>
        </w:tc>
        <w:tc>
          <w:tcPr>
            <w:tcW w:w="0" w:type="auto"/>
            <w:gridSpan w:val="3"/>
            <w:shd w:val="clear" w:color="auto" w:fill="auto"/>
            <w:tcMar>
              <w:top w:w="40" w:type="dxa"/>
              <w:left w:w="20" w:type="dxa"/>
              <w:bottom w:w="40" w:type="dxa"/>
              <w:right w:w="20" w:type="dxa"/>
            </w:tcMar>
            <w:vAlign w:val="bottom"/>
          </w:tcPr>
          <w:p w14:paraId="7C2077EA" w14:textId="77777777" w:rsidR="00834A75" w:rsidRDefault="00A6708C">
            <w:pPr>
              <w:jc w:val="right"/>
              <w:textAlignment w:val="bottom"/>
            </w:pPr>
            <w:hyperlink r:id="rId18" w:anchor="ide6f62c3c5684ffd944431dcb2ab94ae_106" w:history="1">
              <w:r>
                <w:rPr>
                  <w:rStyle w:val="a5"/>
                  <w:rFonts w:ascii="sans-serif" w:eastAsia="sans-serif" w:hAnsi="sans-serif" w:cs="sans-serif"/>
                  <w:sz w:val="20"/>
                  <w:szCs w:val="20"/>
                </w:rPr>
                <w:t>29</w:t>
              </w:r>
            </w:hyperlink>
          </w:p>
        </w:tc>
      </w:tr>
      <w:tr w:rsidR="00834A75" w14:paraId="7C2077EF" w14:textId="77777777">
        <w:trPr>
          <w:trHeight w:val="60"/>
          <w:jc w:val="center"/>
        </w:trPr>
        <w:tc>
          <w:tcPr>
            <w:tcW w:w="0" w:type="auto"/>
            <w:gridSpan w:val="3"/>
            <w:shd w:val="clear" w:color="auto" w:fill="auto"/>
            <w:tcMar>
              <w:top w:w="0" w:type="dxa"/>
              <w:left w:w="20" w:type="dxa"/>
              <w:bottom w:w="0" w:type="dxa"/>
              <w:right w:w="20" w:type="dxa"/>
            </w:tcMar>
            <w:vAlign w:val="bottom"/>
          </w:tcPr>
          <w:p w14:paraId="7C2077EC" w14:textId="77777777" w:rsidR="00834A75" w:rsidRDefault="00834A75">
            <w:pPr>
              <w:rPr>
                <w:rFonts w:ascii="宋体"/>
              </w:rPr>
            </w:pPr>
          </w:p>
        </w:tc>
        <w:tc>
          <w:tcPr>
            <w:tcW w:w="0" w:type="auto"/>
            <w:gridSpan w:val="3"/>
            <w:shd w:val="clear" w:color="auto" w:fill="auto"/>
            <w:tcMar>
              <w:top w:w="0" w:type="dxa"/>
              <w:left w:w="20" w:type="dxa"/>
              <w:bottom w:w="0" w:type="dxa"/>
              <w:right w:w="20" w:type="dxa"/>
            </w:tcMar>
            <w:vAlign w:val="bottom"/>
          </w:tcPr>
          <w:p w14:paraId="7C2077ED" w14:textId="77777777" w:rsidR="00834A75" w:rsidRDefault="00834A75">
            <w:pPr>
              <w:rPr>
                <w:rFonts w:ascii="宋体"/>
              </w:rPr>
            </w:pPr>
          </w:p>
        </w:tc>
        <w:tc>
          <w:tcPr>
            <w:tcW w:w="0" w:type="auto"/>
            <w:gridSpan w:val="3"/>
            <w:shd w:val="clear" w:color="auto" w:fill="auto"/>
            <w:tcMar>
              <w:top w:w="0" w:type="dxa"/>
              <w:left w:w="20" w:type="dxa"/>
              <w:bottom w:w="0" w:type="dxa"/>
              <w:right w:w="20" w:type="dxa"/>
            </w:tcMar>
            <w:vAlign w:val="bottom"/>
          </w:tcPr>
          <w:p w14:paraId="7C2077EE" w14:textId="77777777" w:rsidR="00834A75" w:rsidRDefault="00834A75">
            <w:pPr>
              <w:rPr>
                <w:rFonts w:ascii="宋体"/>
              </w:rPr>
            </w:pPr>
          </w:p>
        </w:tc>
      </w:tr>
      <w:tr w:rsidR="00834A75" w14:paraId="7C2077F3" w14:textId="77777777">
        <w:trPr>
          <w:jc w:val="center"/>
        </w:trPr>
        <w:tc>
          <w:tcPr>
            <w:tcW w:w="0" w:type="auto"/>
            <w:gridSpan w:val="3"/>
            <w:shd w:val="clear" w:color="auto" w:fill="auto"/>
            <w:tcMar>
              <w:top w:w="40" w:type="dxa"/>
              <w:left w:w="20" w:type="dxa"/>
              <w:bottom w:w="40" w:type="dxa"/>
              <w:right w:w="20" w:type="dxa"/>
            </w:tcMar>
            <w:vAlign w:val="bottom"/>
          </w:tcPr>
          <w:p w14:paraId="7C2077F0" w14:textId="77777777" w:rsidR="00834A75" w:rsidRDefault="00A6708C">
            <w:pPr>
              <w:textAlignment w:val="bottom"/>
            </w:pPr>
            <w:hyperlink r:id="rId19" w:anchor="ide6f62c3c5684ffd944431dcb2ab94ae_109" w:history="1">
              <w:r>
                <w:rPr>
                  <w:rStyle w:val="a5"/>
                  <w:rFonts w:ascii="sans-serif" w:eastAsia="sans-serif" w:hAnsi="sans-serif" w:cs="sans-serif"/>
                  <w:sz w:val="20"/>
                  <w:szCs w:val="20"/>
                </w:rPr>
                <w:t>Item 4.</w:t>
              </w:r>
            </w:hyperlink>
          </w:p>
        </w:tc>
        <w:tc>
          <w:tcPr>
            <w:tcW w:w="0" w:type="auto"/>
            <w:gridSpan w:val="3"/>
            <w:shd w:val="clear" w:color="auto" w:fill="auto"/>
            <w:tcMar>
              <w:top w:w="40" w:type="dxa"/>
              <w:left w:w="20" w:type="dxa"/>
              <w:bottom w:w="40" w:type="dxa"/>
              <w:right w:w="20" w:type="dxa"/>
            </w:tcMar>
            <w:vAlign w:val="bottom"/>
          </w:tcPr>
          <w:p w14:paraId="7C2077F1" w14:textId="77777777" w:rsidR="00834A75" w:rsidRDefault="00A6708C">
            <w:pPr>
              <w:textAlignment w:val="bottom"/>
            </w:pPr>
            <w:r>
              <w:rPr>
                <w:rFonts w:ascii="sans-serif" w:eastAsia="sans-serif" w:hAnsi="sans-serif" w:cs="sans-serif"/>
                <w:color w:val="000000"/>
                <w:sz w:val="20"/>
                <w:szCs w:val="20"/>
              </w:rPr>
              <w:t>Controls and Procedures</w:t>
            </w:r>
          </w:p>
        </w:tc>
        <w:tc>
          <w:tcPr>
            <w:tcW w:w="0" w:type="auto"/>
            <w:gridSpan w:val="3"/>
            <w:shd w:val="clear" w:color="auto" w:fill="auto"/>
            <w:tcMar>
              <w:top w:w="40" w:type="dxa"/>
              <w:left w:w="20" w:type="dxa"/>
              <w:bottom w:w="40" w:type="dxa"/>
              <w:right w:w="20" w:type="dxa"/>
            </w:tcMar>
            <w:vAlign w:val="bottom"/>
          </w:tcPr>
          <w:p w14:paraId="7C2077F2" w14:textId="77777777" w:rsidR="00834A75" w:rsidRDefault="00A6708C">
            <w:pPr>
              <w:jc w:val="right"/>
              <w:textAlignment w:val="bottom"/>
            </w:pPr>
            <w:hyperlink r:id="rId20" w:anchor="ide6f62c3c5684ffd944431dcb2ab94ae_109" w:history="1">
              <w:r>
                <w:rPr>
                  <w:rStyle w:val="a5"/>
                  <w:rFonts w:ascii="sans-serif" w:eastAsia="sans-serif" w:hAnsi="sans-serif" w:cs="sans-serif"/>
                  <w:sz w:val="20"/>
                  <w:szCs w:val="20"/>
                </w:rPr>
                <w:t>29</w:t>
              </w:r>
            </w:hyperlink>
          </w:p>
        </w:tc>
      </w:tr>
      <w:tr w:rsidR="00834A75" w14:paraId="7C2077F7" w14:textId="77777777">
        <w:trPr>
          <w:trHeight w:val="60"/>
          <w:jc w:val="center"/>
        </w:trPr>
        <w:tc>
          <w:tcPr>
            <w:tcW w:w="0" w:type="auto"/>
            <w:gridSpan w:val="3"/>
            <w:shd w:val="clear" w:color="auto" w:fill="auto"/>
            <w:tcMar>
              <w:top w:w="0" w:type="dxa"/>
              <w:left w:w="20" w:type="dxa"/>
              <w:bottom w:w="0" w:type="dxa"/>
              <w:right w:w="20" w:type="dxa"/>
            </w:tcMar>
            <w:vAlign w:val="bottom"/>
          </w:tcPr>
          <w:p w14:paraId="7C2077F4" w14:textId="77777777" w:rsidR="00834A75" w:rsidRDefault="00834A75">
            <w:pPr>
              <w:rPr>
                <w:rFonts w:ascii="宋体"/>
              </w:rPr>
            </w:pPr>
          </w:p>
        </w:tc>
        <w:tc>
          <w:tcPr>
            <w:tcW w:w="0" w:type="auto"/>
            <w:gridSpan w:val="3"/>
            <w:shd w:val="clear" w:color="auto" w:fill="auto"/>
            <w:tcMar>
              <w:top w:w="0" w:type="dxa"/>
              <w:left w:w="20" w:type="dxa"/>
              <w:bottom w:w="0" w:type="dxa"/>
              <w:right w:w="20" w:type="dxa"/>
            </w:tcMar>
            <w:vAlign w:val="bottom"/>
          </w:tcPr>
          <w:p w14:paraId="7C2077F5" w14:textId="77777777" w:rsidR="00834A75" w:rsidRDefault="00834A75">
            <w:pPr>
              <w:rPr>
                <w:rFonts w:ascii="宋体"/>
              </w:rPr>
            </w:pPr>
          </w:p>
        </w:tc>
        <w:tc>
          <w:tcPr>
            <w:tcW w:w="0" w:type="auto"/>
            <w:gridSpan w:val="3"/>
            <w:shd w:val="clear" w:color="auto" w:fill="auto"/>
            <w:tcMar>
              <w:top w:w="0" w:type="dxa"/>
              <w:left w:w="20" w:type="dxa"/>
              <w:bottom w:w="0" w:type="dxa"/>
              <w:right w:w="20" w:type="dxa"/>
            </w:tcMar>
            <w:vAlign w:val="bottom"/>
          </w:tcPr>
          <w:p w14:paraId="7C2077F6" w14:textId="77777777" w:rsidR="00834A75" w:rsidRDefault="00834A75">
            <w:pPr>
              <w:rPr>
                <w:rFonts w:ascii="宋体"/>
              </w:rPr>
            </w:pPr>
          </w:p>
        </w:tc>
      </w:tr>
      <w:tr w:rsidR="00834A75" w14:paraId="7C2077FB" w14:textId="77777777">
        <w:trPr>
          <w:jc w:val="center"/>
        </w:trPr>
        <w:tc>
          <w:tcPr>
            <w:tcW w:w="0" w:type="auto"/>
            <w:gridSpan w:val="3"/>
            <w:shd w:val="clear" w:color="auto" w:fill="auto"/>
            <w:tcMar>
              <w:top w:w="40" w:type="dxa"/>
              <w:left w:w="20" w:type="dxa"/>
              <w:bottom w:w="40" w:type="dxa"/>
              <w:right w:w="20" w:type="dxa"/>
            </w:tcMar>
            <w:vAlign w:val="bottom"/>
          </w:tcPr>
          <w:p w14:paraId="7C2077F8" w14:textId="77777777" w:rsidR="00834A75" w:rsidRDefault="00A6708C">
            <w:pPr>
              <w:textAlignment w:val="bottom"/>
            </w:pPr>
            <w:r>
              <w:rPr>
                <w:rFonts w:ascii="sans-serif" w:eastAsia="sans-serif" w:hAnsi="sans-serif" w:cs="sans-serif"/>
                <w:color w:val="000000"/>
                <w:sz w:val="20"/>
                <w:szCs w:val="20"/>
              </w:rPr>
              <w:t> </w:t>
            </w:r>
          </w:p>
        </w:tc>
        <w:tc>
          <w:tcPr>
            <w:tcW w:w="0" w:type="auto"/>
            <w:gridSpan w:val="3"/>
            <w:shd w:val="clear" w:color="auto" w:fill="auto"/>
            <w:tcMar>
              <w:top w:w="40" w:type="dxa"/>
              <w:left w:w="20" w:type="dxa"/>
              <w:bottom w:w="40" w:type="dxa"/>
              <w:right w:w="20" w:type="dxa"/>
            </w:tcMar>
            <w:vAlign w:val="bottom"/>
          </w:tcPr>
          <w:p w14:paraId="7C2077F9" w14:textId="77777777" w:rsidR="00834A75" w:rsidRDefault="00A6708C">
            <w:pPr>
              <w:jc w:val="center"/>
              <w:textAlignment w:val="bottom"/>
            </w:pPr>
            <w:hyperlink r:id="rId21" w:anchor="ide6f62c3c5684ffd944431dcb2ab94ae_112" w:history="1">
              <w:r>
                <w:rPr>
                  <w:rStyle w:val="a5"/>
                  <w:rFonts w:ascii="sans-serif" w:eastAsia="sans-serif" w:hAnsi="sans-serif" w:cs="sans-serif"/>
                  <w:b/>
                  <w:bCs/>
                  <w:sz w:val="20"/>
                  <w:szCs w:val="20"/>
                </w:rPr>
                <w:t>PART II : OTHER INFORMATION</w:t>
              </w:r>
            </w:hyperlink>
          </w:p>
        </w:tc>
        <w:tc>
          <w:tcPr>
            <w:tcW w:w="0" w:type="auto"/>
            <w:gridSpan w:val="3"/>
            <w:shd w:val="clear" w:color="auto" w:fill="auto"/>
            <w:tcMar>
              <w:top w:w="40" w:type="dxa"/>
              <w:left w:w="20" w:type="dxa"/>
              <w:bottom w:w="40" w:type="dxa"/>
              <w:right w:w="20" w:type="dxa"/>
            </w:tcMar>
            <w:vAlign w:val="bottom"/>
          </w:tcPr>
          <w:p w14:paraId="7C2077FA" w14:textId="77777777" w:rsidR="00834A75" w:rsidRDefault="00A6708C">
            <w:pPr>
              <w:jc w:val="right"/>
              <w:textAlignment w:val="bottom"/>
            </w:pPr>
            <w:r>
              <w:rPr>
                <w:rFonts w:ascii="sans-serif" w:eastAsia="sans-serif" w:hAnsi="sans-serif" w:cs="sans-serif"/>
                <w:color w:val="000000"/>
                <w:sz w:val="20"/>
                <w:szCs w:val="20"/>
              </w:rPr>
              <w:t> </w:t>
            </w:r>
          </w:p>
        </w:tc>
      </w:tr>
      <w:tr w:rsidR="00834A75" w14:paraId="7C2077FF" w14:textId="77777777">
        <w:trPr>
          <w:trHeight w:val="60"/>
          <w:jc w:val="center"/>
        </w:trPr>
        <w:tc>
          <w:tcPr>
            <w:tcW w:w="0" w:type="auto"/>
            <w:gridSpan w:val="3"/>
            <w:shd w:val="clear" w:color="auto" w:fill="auto"/>
            <w:tcMar>
              <w:top w:w="0" w:type="dxa"/>
              <w:left w:w="20" w:type="dxa"/>
              <w:bottom w:w="0" w:type="dxa"/>
              <w:right w:w="20" w:type="dxa"/>
            </w:tcMar>
            <w:vAlign w:val="bottom"/>
          </w:tcPr>
          <w:p w14:paraId="7C2077FC" w14:textId="77777777" w:rsidR="00834A75" w:rsidRDefault="00834A75">
            <w:pPr>
              <w:rPr>
                <w:rFonts w:ascii="宋体"/>
              </w:rPr>
            </w:pPr>
          </w:p>
        </w:tc>
        <w:tc>
          <w:tcPr>
            <w:tcW w:w="0" w:type="auto"/>
            <w:gridSpan w:val="3"/>
            <w:shd w:val="clear" w:color="auto" w:fill="auto"/>
            <w:tcMar>
              <w:top w:w="0" w:type="dxa"/>
              <w:left w:w="20" w:type="dxa"/>
              <w:bottom w:w="0" w:type="dxa"/>
              <w:right w:w="20" w:type="dxa"/>
            </w:tcMar>
            <w:vAlign w:val="bottom"/>
          </w:tcPr>
          <w:p w14:paraId="7C2077FD" w14:textId="77777777" w:rsidR="00834A75" w:rsidRDefault="00834A75">
            <w:pPr>
              <w:rPr>
                <w:rFonts w:ascii="宋体"/>
              </w:rPr>
            </w:pPr>
          </w:p>
        </w:tc>
        <w:tc>
          <w:tcPr>
            <w:tcW w:w="0" w:type="auto"/>
            <w:gridSpan w:val="3"/>
            <w:shd w:val="clear" w:color="auto" w:fill="auto"/>
            <w:tcMar>
              <w:top w:w="0" w:type="dxa"/>
              <w:left w:w="20" w:type="dxa"/>
              <w:bottom w:w="0" w:type="dxa"/>
              <w:right w:w="20" w:type="dxa"/>
            </w:tcMar>
            <w:vAlign w:val="bottom"/>
          </w:tcPr>
          <w:p w14:paraId="7C2077FE" w14:textId="77777777" w:rsidR="00834A75" w:rsidRDefault="00834A75">
            <w:pPr>
              <w:rPr>
                <w:rFonts w:ascii="宋体"/>
              </w:rPr>
            </w:pPr>
          </w:p>
        </w:tc>
      </w:tr>
      <w:tr w:rsidR="00834A75" w14:paraId="7C207803" w14:textId="77777777">
        <w:trPr>
          <w:jc w:val="center"/>
        </w:trPr>
        <w:tc>
          <w:tcPr>
            <w:tcW w:w="0" w:type="auto"/>
            <w:gridSpan w:val="3"/>
            <w:shd w:val="clear" w:color="auto" w:fill="auto"/>
            <w:tcMar>
              <w:top w:w="40" w:type="dxa"/>
              <w:left w:w="20" w:type="dxa"/>
              <w:bottom w:w="40" w:type="dxa"/>
              <w:right w:w="20" w:type="dxa"/>
            </w:tcMar>
            <w:vAlign w:val="bottom"/>
          </w:tcPr>
          <w:p w14:paraId="7C207800" w14:textId="77777777" w:rsidR="00834A75" w:rsidRDefault="00A6708C">
            <w:pPr>
              <w:textAlignment w:val="bottom"/>
            </w:pPr>
            <w:hyperlink r:id="rId22" w:anchor="ide6f62c3c5684ffd944431dcb2ab94ae_115" w:history="1">
              <w:r>
                <w:rPr>
                  <w:rStyle w:val="a5"/>
                  <w:rFonts w:ascii="sans-serif" w:eastAsia="sans-serif" w:hAnsi="sans-serif" w:cs="sans-serif"/>
                  <w:sz w:val="20"/>
                  <w:szCs w:val="20"/>
                </w:rPr>
                <w:t>Item 1.</w:t>
              </w:r>
            </w:hyperlink>
          </w:p>
        </w:tc>
        <w:tc>
          <w:tcPr>
            <w:tcW w:w="0" w:type="auto"/>
            <w:gridSpan w:val="3"/>
            <w:shd w:val="clear" w:color="auto" w:fill="auto"/>
            <w:tcMar>
              <w:top w:w="40" w:type="dxa"/>
              <w:left w:w="20" w:type="dxa"/>
              <w:bottom w:w="40" w:type="dxa"/>
              <w:right w:w="20" w:type="dxa"/>
            </w:tcMar>
            <w:vAlign w:val="bottom"/>
          </w:tcPr>
          <w:p w14:paraId="7C207801" w14:textId="77777777" w:rsidR="00834A75" w:rsidRDefault="00A6708C">
            <w:pPr>
              <w:textAlignment w:val="bottom"/>
            </w:pPr>
            <w:r>
              <w:rPr>
                <w:rFonts w:ascii="sans-serif" w:eastAsia="sans-serif" w:hAnsi="sans-serif" w:cs="sans-serif"/>
                <w:color w:val="000000"/>
                <w:sz w:val="20"/>
                <w:szCs w:val="20"/>
              </w:rPr>
              <w:t>Legal Proceedings</w:t>
            </w:r>
          </w:p>
        </w:tc>
        <w:tc>
          <w:tcPr>
            <w:tcW w:w="0" w:type="auto"/>
            <w:gridSpan w:val="3"/>
            <w:shd w:val="clear" w:color="auto" w:fill="auto"/>
            <w:tcMar>
              <w:top w:w="40" w:type="dxa"/>
              <w:left w:w="20" w:type="dxa"/>
              <w:bottom w:w="40" w:type="dxa"/>
              <w:right w:w="20" w:type="dxa"/>
            </w:tcMar>
            <w:vAlign w:val="bottom"/>
          </w:tcPr>
          <w:p w14:paraId="7C207802" w14:textId="77777777" w:rsidR="00834A75" w:rsidRDefault="00A6708C">
            <w:pPr>
              <w:jc w:val="right"/>
              <w:textAlignment w:val="bottom"/>
            </w:pPr>
            <w:hyperlink r:id="rId23" w:anchor="ide6f62c3c5684ffd944431dcb2ab94ae_115" w:history="1">
              <w:r>
                <w:rPr>
                  <w:rStyle w:val="a5"/>
                  <w:rFonts w:ascii="sans-serif" w:eastAsia="sans-serif" w:hAnsi="sans-serif" w:cs="sans-serif"/>
                  <w:sz w:val="20"/>
                  <w:szCs w:val="20"/>
                </w:rPr>
                <w:t>30</w:t>
              </w:r>
            </w:hyperlink>
          </w:p>
        </w:tc>
      </w:tr>
      <w:tr w:rsidR="00834A75" w14:paraId="7C207807" w14:textId="77777777">
        <w:trPr>
          <w:trHeight w:val="60"/>
          <w:jc w:val="center"/>
        </w:trPr>
        <w:tc>
          <w:tcPr>
            <w:tcW w:w="0" w:type="auto"/>
            <w:gridSpan w:val="3"/>
            <w:shd w:val="clear" w:color="auto" w:fill="auto"/>
            <w:tcMar>
              <w:top w:w="0" w:type="dxa"/>
              <w:left w:w="20" w:type="dxa"/>
              <w:bottom w:w="0" w:type="dxa"/>
              <w:right w:w="20" w:type="dxa"/>
            </w:tcMar>
            <w:vAlign w:val="bottom"/>
          </w:tcPr>
          <w:p w14:paraId="7C207804" w14:textId="77777777" w:rsidR="00834A75" w:rsidRDefault="00834A75">
            <w:pPr>
              <w:rPr>
                <w:rFonts w:ascii="宋体"/>
              </w:rPr>
            </w:pPr>
          </w:p>
        </w:tc>
        <w:tc>
          <w:tcPr>
            <w:tcW w:w="0" w:type="auto"/>
            <w:gridSpan w:val="3"/>
            <w:shd w:val="clear" w:color="auto" w:fill="auto"/>
            <w:tcMar>
              <w:top w:w="0" w:type="dxa"/>
              <w:left w:w="20" w:type="dxa"/>
              <w:bottom w:w="0" w:type="dxa"/>
              <w:right w:w="20" w:type="dxa"/>
            </w:tcMar>
            <w:vAlign w:val="bottom"/>
          </w:tcPr>
          <w:p w14:paraId="7C207805" w14:textId="77777777" w:rsidR="00834A75" w:rsidRDefault="00834A75">
            <w:pPr>
              <w:rPr>
                <w:rFonts w:ascii="宋体"/>
              </w:rPr>
            </w:pPr>
          </w:p>
        </w:tc>
        <w:tc>
          <w:tcPr>
            <w:tcW w:w="0" w:type="auto"/>
            <w:gridSpan w:val="3"/>
            <w:shd w:val="clear" w:color="auto" w:fill="auto"/>
            <w:tcMar>
              <w:top w:w="0" w:type="dxa"/>
              <w:left w:w="20" w:type="dxa"/>
              <w:bottom w:w="0" w:type="dxa"/>
              <w:right w:w="20" w:type="dxa"/>
            </w:tcMar>
            <w:vAlign w:val="bottom"/>
          </w:tcPr>
          <w:p w14:paraId="7C207806" w14:textId="77777777" w:rsidR="00834A75" w:rsidRDefault="00834A75">
            <w:pPr>
              <w:rPr>
                <w:rFonts w:ascii="宋体"/>
              </w:rPr>
            </w:pPr>
          </w:p>
        </w:tc>
      </w:tr>
      <w:tr w:rsidR="00834A75" w14:paraId="7C20780B" w14:textId="77777777">
        <w:trPr>
          <w:jc w:val="center"/>
        </w:trPr>
        <w:tc>
          <w:tcPr>
            <w:tcW w:w="0" w:type="auto"/>
            <w:gridSpan w:val="3"/>
            <w:shd w:val="clear" w:color="auto" w:fill="auto"/>
            <w:tcMar>
              <w:top w:w="40" w:type="dxa"/>
              <w:left w:w="20" w:type="dxa"/>
              <w:bottom w:w="40" w:type="dxa"/>
              <w:right w:w="20" w:type="dxa"/>
            </w:tcMar>
            <w:vAlign w:val="bottom"/>
          </w:tcPr>
          <w:p w14:paraId="7C207808" w14:textId="77777777" w:rsidR="00834A75" w:rsidRDefault="00A6708C">
            <w:pPr>
              <w:textAlignment w:val="bottom"/>
            </w:pPr>
            <w:hyperlink r:id="rId24" w:anchor="ide6f62c3c5684ffd944431dcb2ab94ae_118" w:history="1">
              <w:r>
                <w:rPr>
                  <w:rStyle w:val="a5"/>
                  <w:rFonts w:ascii="sans-serif" w:eastAsia="sans-serif" w:hAnsi="sans-serif" w:cs="sans-serif"/>
                  <w:sz w:val="20"/>
                  <w:szCs w:val="20"/>
                </w:rPr>
                <w:t>Item 1A.</w:t>
              </w:r>
            </w:hyperlink>
          </w:p>
        </w:tc>
        <w:tc>
          <w:tcPr>
            <w:tcW w:w="0" w:type="auto"/>
            <w:gridSpan w:val="3"/>
            <w:shd w:val="clear" w:color="auto" w:fill="auto"/>
            <w:tcMar>
              <w:top w:w="40" w:type="dxa"/>
              <w:left w:w="20" w:type="dxa"/>
              <w:bottom w:w="40" w:type="dxa"/>
              <w:right w:w="20" w:type="dxa"/>
            </w:tcMar>
            <w:vAlign w:val="bottom"/>
          </w:tcPr>
          <w:p w14:paraId="7C207809" w14:textId="77777777" w:rsidR="00834A75" w:rsidRDefault="00A6708C">
            <w:pPr>
              <w:textAlignment w:val="bottom"/>
            </w:pPr>
            <w:r>
              <w:rPr>
                <w:rFonts w:ascii="sans-serif" w:eastAsia="sans-serif" w:hAnsi="sans-serif" w:cs="sans-serif"/>
                <w:color w:val="000000"/>
                <w:sz w:val="20"/>
                <w:szCs w:val="20"/>
              </w:rPr>
              <w:t>Risk Factors</w:t>
            </w:r>
          </w:p>
        </w:tc>
        <w:tc>
          <w:tcPr>
            <w:tcW w:w="0" w:type="auto"/>
            <w:gridSpan w:val="3"/>
            <w:shd w:val="clear" w:color="auto" w:fill="auto"/>
            <w:tcMar>
              <w:top w:w="40" w:type="dxa"/>
              <w:left w:w="20" w:type="dxa"/>
              <w:bottom w:w="40" w:type="dxa"/>
              <w:right w:w="20" w:type="dxa"/>
            </w:tcMar>
            <w:vAlign w:val="bottom"/>
          </w:tcPr>
          <w:p w14:paraId="7C20780A" w14:textId="77777777" w:rsidR="00834A75" w:rsidRDefault="00A6708C">
            <w:pPr>
              <w:jc w:val="right"/>
              <w:textAlignment w:val="bottom"/>
            </w:pPr>
            <w:hyperlink r:id="rId25" w:anchor="ide6f62c3c5684ffd944431dcb2ab94ae_118" w:history="1">
              <w:r>
                <w:rPr>
                  <w:rStyle w:val="a5"/>
                  <w:rFonts w:ascii="sans-serif" w:eastAsia="sans-serif" w:hAnsi="sans-serif" w:cs="sans-serif"/>
                  <w:sz w:val="20"/>
                  <w:szCs w:val="20"/>
                </w:rPr>
                <w:t>30</w:t>
              </w:r>
            </w:hyperlink>
          </w:p>
        </w:tc>
      </w:tr>
      <w:tr w:rsidR="00834A75" w14:paraId="7C20780F" w14:textId="77777777">
        <w:trPr>
          <w:trHeight w:val="60"/>
          <w:jc w:val="center"/>
        </w:trPr>
        <w:tc>
          <w:tcPr>
            <w:tcW w:w="0" w:type="auto"/>
            <w:gridSpan w:val="3"/>
            <w:shd w:val="clear" w:color="auto" w:fill="auto"/>
            <w:tcMar>
              <w:top w:w="0" w:type="dxa"/>
              <w:left w:w="20" w:type="dxa"/>
              <w:bottom w:w="0" w:type="dxa"/>
              <w:right w:w="20" w:type="dxa"/>
            </w:tcMar>
            <w:vAlign w:val="bottom"/>
          </w:tcPr>
          <w:p w14:paraId="7C20780C" w14:textId="77777777" w:rsidR="00834A75" w:rsidRDefault="00834A75">
            <w:pPr>
              <w:rPr>
                <w:rFonts w:ascii="宋体"/>
              </w:rPr>
            </w:pPr>
          </w:p>
        </w:tc>
        <w:tc>
          <w:tcPr>
            <w:tcW w:w="0" w:type="auto"/>
            <w:gridSpan w:val="3"/>
            <w:shd w:val="clear" w:color="auto" w:fill="auto"/>
            <w:tcMar>
              <w:top w:w="0" w:type="dxa"/>
              <w:left w:w="20" w:type="dxa"/>
              <w:bottom w:w="0" w:type="dxa"/>
              <w:right w:w="20" w:type="dxa"/>
            </w:tcMar>
            <w:vAlign w:val="bottom"/>
          </w:tcPr>
          <w:p w14:paraId="7C20780D" w14:textId="77777777" w:rsidR="00834A75" w:rsidRDefault="00834A75">
            <w:pPr>
              <w:rPr>
                <w:rFonts w:ascii="宋体"/>
              </w:rPr>
            </w:pPr>
          </w:p>
        </w:tc>
        <w:tc>
          <w:tcPr>
            <w:tcW w:w="0" w:type="auto"/>
            <w:gridSpan w:val="3"/>
            <w:shd w:val="clear" w:color="auto" w:fill="auto"/>
            <w:tcMar>
              <w:top w:w="0" w:type="dxa"/>
              <w:left w:w="20" w:type="dxa"/>
              <w:bottom w:w="0" w:type="dxa"/>
              <w:right w:w="20" w:type="dxa"/>
            </w:tcMar>
            <w:vAlign w:val="bottom"/>
          </w:tcPr>
          <w:p w14:paraId="7C20780E" w14:textId="77777777" w:rsidR="00834A75" w:rsidRDefault="00834A75">
            <w:pPr>
              <w:rPr>
                <w:rFonts w:ascii="宋体"/>
              </w:rPr>
            </w:pPr>
          </w:p>
        </w:tc>
      </w:tr>
      <w:tr w:rsidR="00834A75" w14:paraId="7C207813" w14:textId="77777777">
        <w:trPr>
          <w:jc w:val="center"/>
        </w:trPr>
        <w:tc>
          <w:tcPr>
            <w:tcW w:w="0" w:type="auto"/>
            <w:gridSpan w:val="3"/>
            <w:shd w:val="clear" w:color="auto" w:fill="auto"/>
            <w:tcMar>
              <w:top w:w="40" w:type="dxa"/>
              <w:left w:w="20" w:type="dxa"/>
              <w:bottom w:w="40" w:type="dxa"/>
              <w:right w:w="20" w:type="dxa"/>
            </w:tcMar>
            <w:vAlign w:val="bottom"/>
          </w:tcPr>
          <w:p w14:paraId="7C207810" w14:textId="77777777" w:rsidR="00834A75" w:rsidRDefault="00A6708C">
            <w:pPr>
              <w:textAlignment w:val="bottom"/>
            </w:pPr>
            <w:hyperlink r:id="rId26" w:anchor="ide6f62c3c5684ffd944431dcb2ab94ae_121" w:history="1">
              <w:r>
                <w:rPr>
                  <w:rStyle w:val="a5"/>
                  <w:rFonts w:ascii="sans-serif" w:eastAsia="sans-serif" w:hAnsi="sans-serif" w:cs="sans-serif"/>
                  <w:sz w:val="20"/>
                  <w:szCs w:val="20"/>
                </w:rPr>
                <w:t>Item 2.</w:t>
              </w:r>
            </w:hyperlink>
          </w:p>
        </w:tc>
        <w:tc>
          <w:tcPr>
            <w:tcW w:w="0" w:type="auto"/>
            <w:gridSpan w:val="3"/>
            <w:shd w:val="clear" w:color="auto" w:fill="auto"/>
            <w:tcMar>
              <w:top w:w="40" w:type="dxa"/>
              <w:left w:w="20" w:type="dxa"/>
              <w:bottom w:w="40" w:type="dxa"/>
              <w:right w:w="20" w:type="dxa"/>
            </w:tcMar>
            <w:vAlign w:val="bottom"/>
          </w:tcPr>
          <w:p w14:paraId="7C207811" w14:textId="77777777" w:rsidR="00834A75" w:rsidRDefault="00A6708C">
            <w:pPr>
              <w:textAlignment w:val="bottom"/>
            </w:pPr>
            <w:r>
              <w:rPr>
                <w:rFonts w:ascii="sans-serif" w:eastAsia="sans-serif" w:hAnsi="sans-serif" w:cs="sans-serif"/>
                <w:color w:val="000000"/>
                <w:sz w:val="20"/>
                <w:szCs w:val="20"/>
              </w:rPr>
              <w:t>Unregistered Sales of Equity Securities and Use of Proceeds</w:t>
            </w:r>
          </w:p>
        </w:tc>
        <w:tc>
          <w:tcPr>
            <w:tcW w:w="0" w:type="auto"/>
            <w:gridSpan w:val="3"/>
            <w:shd w:val="clear" w:color="auto" w:fill="auto"/>
            <w:tcMar>
              <w:top w:w="40" w:type="dxa"/>
              <w:left w:w="20" w:type="dxa"/>
              <w:bottom w:w="40" w:type="dxa"/>
              <w:right w:w="20" w:type="dxa"/>
            </w:tcMar>
            <w:vAlign w:val="bottom"/>
          </w:tcPr>
          <w:p w14:paraId="7C207812" w14:textId="77777777" w:rsidR="00834A75" w:rsidRDefault="00A6708C">
            <w:pPr>
              <w:jc w:val="right"/>
              <w:textAlignment w:val="bottom"/>
            </w:pPr>
            <w:hyperlink r:id="rId27" w:anchor="ide6f62c3c5684ffd944431dcb2ab94ae_121" w:history="1">
              <w:r>
                <w:rPr>
                  <w:rStyle w:val="a5"/>
                  <w:rFonts w:ascii="sans-serif" w:eastAsia="sans-serif" w:hAnsi="sans-serif" w:cs="sans-serif"/>
                  <w:sz w:val="20"/>
                  <w:szCs w:val="20"/>
                </w:rPr>
                <w:t>35</w:t>
              </w:r>
            </w:hyperlink>
          </w:p>
        </w:tc>
      </w:tr>
      <w:tr w:rsidR="00834A75" w14:paraId="7C207817" w14:textId="77777777">
        <w:trPr>
          <w:trHeight w:val="60"/>
          <w:jc w:val="center"/>
        </w:trPr>
        <w:tc>
          <w:tcPr>
            <w:tcW w:w="0" w:type="auto"/>
            <w:gridSpan w:val="3"/>
            <w:shd w:val="clear" w:color="auto" w:fill="auto"/>
            <w:tcMar>
              <w:top w:w="0" w:type="dxa"/>
              <w:left w:w="20" w:type="dxa"/>
              <w:bottom w:w="0" w:type="dxa"/>
              <w:right w:w="20" w:type="dxa"/>
            </w:tcMar>
            <w:vAlign w:val="bottom"/>
          </w:tcPr>
          <w:p w14:paraId="7C207814" w14:textId="77777777" w:rsidR="00834A75" w:rsidRDefault="00834A75">
            <w:pPr>
              <w:rPr>
                <w:rFonts w:ascii="宋体"/>
              </w:rPr>
            </w:pPr>
          </w:p>
        </w:tc>
        <w:tc>
          <w:tcPr>
            <w:tcW w:w="0" w:type="auto"/>
            <w:gridSpan w:val="3"/>
            <w:shd w:val="clear" w:color="auto" w:fill="auto"/>
            <w:tcMar>
              <w:top w:w="0" w:type="dxa"/>
              <w:left w:w="20" w:type="dxa"/>
              <w:bottom w:w="0" w:type="dxa"/>
              <w:right w:w="20" w:type="dxa"/>
            </w:tcMar>
            <w:vAlign w:val="bottom"/>
          </w:tcPr>
          <w:p w14:paraId="7C207815" w14:textId="77777777" w:rsidR="00834A75" w:rsidRDefault="00834A75">
            <w:pPr>
              <w:rPr>
                <w:rFonts w:ascii="宋体"/>
              </w:rPr>
            </w:pPr>
          </w:p>
        </w:tc>
        <w:tc>
          <w:tcPr>
            <w:tcW w:w="0" w:type="auto"/>
            <w:gridSpan w:val="3"/>
            <w:shd w:val="clear" w:color="auto" w:fill="auto"/>
            <w:tcMar>
              <w:top w:w="0" w:type="dxa"/>
              <w:left w:w="20" w:type="dxa"/>
              <w:bottom w:w="0" w:type="dxa"/>
              <w:right w:w="20" w:type="dxa"/>
            </w:tcMar>
            <w:vAlign w:val="bottom"/>
          </w:tcPr>
          <w:p w14:paraId="7C207816" w14:textId="77777777" w:rsidR="00834A75" w:rsidRDefault="00834A75">
            <w:pPr>
              <w:rPr>
                <w:rFonts w:ascii="宋体"/>
              </w:rPr>
            </w:pPr>
          </w:p>
        </w:tc>
      </w:tr>
      <w:tr w:rsidR="00834A75" w14:paraId="7C20781B" w14:textId="77777777">
        <w:trPr>
          <w:jc w:val="center"/>
        </w:trPr>
        <w:tc>
          <w:tcPr>
            <w:tcW w:w="0" w:type="auto"/>
            <w:gridSpan w:val="3"/>
            <w:shd w:val="clear" w:color="auto" w:fill="auto"/>
            <w:tcMar>
              <w:top w:w="40" w:type="dxa"/>
              <w:left w:w="20" w:type="dxa"/>
              <w:bottom w:w="40" w:type="dxa"/>
              <w:right w:w="20" w:type="dxa"/>
            </w:tcMar>
            <w:vAlign w:val="bottom"/>
          </w:tcPr>
          <w:p w14:paraId="7C207818" w14:textId="77777777" w:rsidR="00834A75" w:rsidRDefault="00A6708C">
            <w:pPr>
              <w:textAlignment w:val="bottom"/>
            </w:pPr>
            <w:hyperlink r:id="rId28" w:anchor="ide6f62c3c5684ffd944431dcb2ab94ae_124" w:history="1">
              <w:r>
                <w:rPr>
                  <w:rStyle w:val="a5"/>
                  <w:rFonts w:ascii="sans-serif" w:eastAsia="sans-serif" w:hAnsi="sans-serif" w:cs="sans-serif"/>
                  <w:sz w:val="20"/>
                  <w:szCs w:val="20"/>
                </w:rPr>
                <w:t>Item 6.</w:t>
              </w:r>
            </w:hyperlink>
          </w:p>
        </w:tc>
        <w:tc>
          <w:tcPr>
            <w:tcW w:w="0" w:type="auto"/>
            <w:gridSpan w:val="3"/>
            <w:shd w:val="clear" w:color="auto" w:fill="auto"/>
            <w:tcMar>
              <w:top w:w="40" w:type="dxa"/>
              <w:left w:w="20" w:type="dxa"/>
              <w:bottom w:w="40" w:type="dxa"/>
              <w:right w:w="20" w:type="dxa"/>
            </w:tcMar>
            <w:vAlign w:val="bottom"/>
          </w:tcPr>
          <w:p w14:paraId="7C207819" w14:textId="77777777" w:rsidR="00834A75" w:rsidRDefault="00A6708C">
            <w:pPr>
              <w:textAlignment w:val="bottom"/>
            </w:pPr>
            <w:r>
              <w:rPr>
                <w:rFonts w:ascii="sans-serif" w:eastAsia="sans-serif" w:hAnsi="sans-serif" w:cs="sans-serif"/>
                <w:color w:val="000000"/>
                <w:sz w:val="20"/>
                <w:szCs w:val="20"/>
              </w:rPr>
              <w:t>Exhibits</w:t>
            </w:r>
          </w:p>
        </w:tc>
        <w:tc>
          <w:tcPr>
            <w:tcW w:w="0" w:type="auto"/>
            <w:gridSpan w:val="3"/>
            <w:shd w:val="clear" w:color="auto" w:fill="auto"/>
            <w:tcMar>
              <w:top w:w="40" w:type="dxa"/>
              <w:left w:w="20" w:type="dxa"/>
              <w:bottom w:w="40" w:type="dxa"/>
              <w:right w:w="20" w:type="dxa"/>
            </w:tcMar>
            <w:vAlign w:val="bottom"/>
          </w:tcPr>
          <w:p w14:paraId="7C20781A" w14:textId="77777777" w:rsidR="00834A75" w:rsidRDefault="00A6708C">
            <w:pPr>
              <w:jc w:val="right"/>
              <w:textAlignment w:val="bottom"/>
            </w:pPr>
            <w:hyperlink r:id="rId29" w:anchor="ide6f62c3c5684ffd944431dcb2ab94ae_124" w:history="1">
              <w:r>
                <w:rPr>
                  <w:rStyle w:val="a5"/>
                  <w:rFonts w:ascii="sans-serif" w:eastAsia="sans-serif" w:hAnsi="sans-serif" w:cs="sans-serif"/>
                  <w:sz w:val="20"/>
                  <w:szCs w:val="20"/>
                </w:rPr>
                <w:t>37</w:t>
              </w:r>
            </w:hyperlink>
          </w:p>
        </w:tc>
      </w:tr>
      <w:tr w:rsidR="00834A75" w14:paraId="7C20781F" w14:textId="77777777">
        <w:trPr>
          <w:trHeight w:val="60"/>
          <w:jc w:val="center"/>
        </w:trPr>
        <w:tc>
          <w:tcPr>
            <w:tcW w:w="0" w:type="auto"/>
            <w:gridSpan w:val="3"/>
            <w:shd w:val="clear" w:color="auto" w:fill="auto"/>
            <w:tcMar>
              <w:top w:w="0" w:type="dxa"/>
              <w:left w:w="20" w:type="dxa"/>
              <w:bottom w:w="0" w:type="dxa"/>
              <w:right w:w="20" w:type="dxa"/>
            </w:tcMar>
            <w:vAlign w:val="bottom"/>
          </w:tcPr>
          <w:p w14:paraId="7C20781C" w14:textId="77777777" w:rsidR="00834A75" w:rsidRDefault="00834A75">
            <w:pPr>
              <w:rPr>
                <w:rFonts w:ascii="宋体"/>
              </w:rPr>
            </w:pPr>
          </w:p>
        </w:tc>
        <w:tc>
          <w:tcPr>
            <w:tcW w:w="0" w:type="auto"/>
            <w:gridSpan w:val="3"/>
            <w:shd w:val="clear" w:color="auto" w:fill="auto"/>
            <w:tcMar>
              <w:top w:w="0" w:type="dxa"/>
              <w:left w:w="20" w:type="dxa"/>
              <w:bottom w:w="0" w:type="dxa"/>
              <w:right w:w="20" w:type="dxa"/>
            </w:tcMar>
            <w:vAlign w:val="bottom"/>
          </w:tcPr>
          <w:p w14:paraId="7C20781D" w14:textId="77777777" w:rsidR="00834A75" w:rsidRDefault="00834A75">
            <w:pPr>
              <w:rPr>
                <w:rFonts w:ascii="宋体"/>
              </w:rPr>
            </w:pPr>
          </w:p>
        </w:tc>
        <w:tc>
          <w:tcPr>
            <w:tcW w:w="0" w:type="auto"/>
            <w:gridSpan w:val="3"/>
            <w:shd w:val="clear" w:color="auto" w:fill="auto"/>
            <w:tcMar>
              <w:top w:w="0" w:type="dxa"/>
              <w:left w:w="20" w:type="dxa"/>
              <w:bottom w:w="0" w:type="dxa"/>
              <w:right w:w="20" w:type="dxa"/>
            </w:tcMar>
            <w:vAlign w:val="bottom"/>
          </w:tcPr>
          <w:p w14:paraId="7C20781E" w14:textId="77777777" w:rsidR="00834A75" w:rsidRDefault="00834A75">
            <w:pPr>
              <w:rPr>
                <w:rFonts w:ascii="宋体"/>
              </w:rPr>
            </w:pPr>
          </w:p>
        </w:tc>
      </w:tr>
      <w:tr w:rsidR="00834A75" w14:paraId="7C207823" w14:textId="77777777">
        <w:trPr>
          <w:jc w:val="center"/>
        </w:trPr>
        <w:tc>
          <w:tcPr>
            <w:tcW w:w="0" w:type="auto"/>
            <w:gridSpan w:val="3"/>
            <w:shd w:val="clear" w:color="auto" w:fill="auto"/>
            <w:tcMar>
              <w:top w:w="40" w:type="dxa"/>
              <w:left w:w="20" w:type="dxa"/>
              <w:bottom w:w="40" w:type="dxa"/>
              <w:right w:w="20" w:type="dxa"/>
            </w:tcMar>
            <w:vAlign w:val="bottom"/>
          </w:tcPr>
          <w:p w14:paraId="7C207820" w14:textId="77777777" w:rsidR="00834A75" w:rsidRDefault="00A6708C">
            <w:pPr>
              <w:textAlignment w:val="bottom"/>
            </w:pPr>
            <w:hyperlink r:id="rId30" w:anchor="ide6f62c3c5684ffd944431dcb2ab94ae_127" w:history="1">
              <w:r>
                <w:rPr>
                  <w:rStyle w:val="a5"/>
                  <w:rFonts w:ascii="sans-serif" w:eastAsia="sans-serif" w:hAnsi="sans-serif" w:cs="sans-serif"/>
                  <w:sz w:val="20"/>
                  <w:szCs w:val="20"/>
                </w:rPr>
                <w:t>Signature</w:t>
              </w:r>
            </w:hyperlink>
          </w:p>
        </w:tc>
        <w:tc>
          <w:tcPr>
            <w:tcW w:w="0" w:type="auto"/>
            <w:gridSpan w:val="3"/>
            <w:shd w:val="clear" w:color="auto" w:fill="auto"/>
            <w:tcMar>
              <w:top w:w="40" w:type="dxa"/>
              <w:left w:w="20" w:type="dxa"/>
              <w:bottom w:w="40" w:type="dxa"/>
              <w:right w:w="20" w:type="dxa"/>
            </w:tcMar>
            <w:vAlign w:val="bottom"/>
          </w:tcPr>
          <w:p w14:paraId="7C207821" w14:textId="77777777" w:rsidR="00834A75" w:rsidRDefault="00A6708C">
            <w:pPr>
              <w:textAlignment w:val="bottom"/>
            </w:pPr>
            <w:r>
              <w:rPr>
                <w:rFonts w:ascii="sans-serif" w:eastAsia="sans-serif" w:hAnsi="sans-serif" w:cs="sans-serif"/>
                <w:color w:val="000000"/>
                <w:sz w:val="20"/>
                <w:szCs w:val="20"/>
              </w:rPr>
              <w:t> </w:t>
            </w:r>
          </w:p>
        </w:tc>
        <w:tc>
          <w:tcPr>
            <w:tcW w:w="0" w:type="auto"/>
            <w:gridSpan w:val="3"/>
            <w:shd w:val="clear" w:color="auto" w:fill="auto"/>
            <w:tcMar>
              <w:top w:w="40" w:type="dxa"/>
              <w:left w:w="20" w:type="dxa"/>
              <w:bottom w:w="40" w:type="dxa"/>
              <w:right w:w="20" w:type="dxa"/>
            </w:tcMar>
            <w:vAlign w:val="bottom"/>
          </w:tcPr>
          <w:p w14:paraId="7C207822" w14:textId="77777777" w:rsidR="00834A75" w:rsidRDefault="00A6708C">
            <w:pPr>
              <w:jc w:val="right"/>
              <w:textAlignment w:val="bottom"/>
            </w:pPr>
            <w:hyperlink r:id="rId31" w:anchor="ide6f62c3c5684ffd944431dcb2ab94ae_127" w:history="1">
              <w:r>
                <w:rPr>
                  <w:rStyle w:val="a5"/>
                  <w:rFonts w:ascii="sans-serif" w:eastAsia="sans-serif" w:hAnsi="sans-serif" w:cs="sans-serif"/>
                  <w:sz w:val="20"/>
                  <w:szCs w:val="20"/>
                </w:rPr>
                <w:t>38</w:t>
              </w:r>
            </w:hyperlink>
          </w:p>
        </w:tc>
      </w:tr>
    </w:tbl>
    <w:p w14:paraId="7C207824" w14:textId="77777777" w:rsidR="00834A75" w:rsidRDefault="00A6708C">
      <w:pPr>
        <w:spacing w:before="240" w:after="120"/>
        <w:jc w:val="both"/>
      </w:pPr>
      <w:r>
        <w:rPr>
          <w:rFonts w:ascii="sans-serif" w:eastAsia="sans-serif" w:hAnsi="sans-serif" w:cs="sans-serif"/>
          <w:b/>
          <w:bCs/>
          <w:color w:val="76B900"/>
          <w:sz w:val="22"/>
          <w:szCs w:val="22"/>
        </w:rPr>
        <w:t>WHERE YOU CAN FIND MORE INFORMATION</w:t>
      </w:r>
    </w:p>
    <w:p w14:paraId="7C207825" w14:textId="77777777" w:rsidR="00834A75" w:rsidRDefault="00A6708C">
      <w:pPr>
        <w:spacing w:after="180"/>
        <w:jc w:val="both"/>
      </w:pPr>
      <w:r>
        <w:rPr>
          <w:rFonts w:ascii="sans-serif" w:eastAsia="sans-serif" w:hAnsi="sans-serif" w:cs="sans-serif"/>
          <w:color w:val="000000"/>
          <w:sz w:val="20"/>
          <w:szCs w:val="20"/>
        </w:rPr>
        <w:t>Investors and others should note that we announce material fi</w:t>
      </w:r>
      <w:r>
        <w:rPr>
          <w:rFonts w:ascii="sans-serif" w:eastAsia="sans-serif" w:hAnsi="sans-serif" w:cs="sans-serif"/>
          <w:color w:val="000000"/>
          <w:sz w:val="20"/>
          <w:szCs w:val="20"/>
        </w:rPr>
        <w:t>nancial information to our investors using our investor relations website, press releases, SEC filings and public conference calls and webcasts. We also use the following social media channels as a means of disclosing information about the company, our pro</w:t>
      </w:r>
      <w:r>
        <w:rPr>
          <w:rFonts w:ascii="sans-serif" w:eastAsia="sans-serif" w:hAnsi="sans-serif" w:cs="sans-serif"/>
          <w:color w:val="000000"/>
          <w:sz w:val="20"/>
          <w:szCs w:val="20"/>
        </w:rPr>
        <w:t>ducts, our planned financial and other announcements and attendance at upcoming investor and industry conferences, and other matters, and for complying with our disclosure obligations under Regulation FD: </w:t>
      </w:r>
    </w:p>
    <w:p w14:paraId="7C207826" w14:textId="77777777" w:rsidR="00834A75" w:rsidRDefault="00A6708C">
      <w:pPr>
        <w:spacing w:after="180"/>
        <w:ind w:firstLine="360"/>
        <w:jc w:val="both"/>
      </w:pPr>
      <w:r>
        <w:rPr>
          <w:rFonts w:ascii="sans-serif" w:eastAsia="sans-serif" w:hAnsi="sans-serif" w:cs="sans-serif"/>
          <w:color w:val="000000"/>
          <w:sz w:val="20"/>
          <w:szCs w:val="20"/>
        </w:rPr>
        <w:t>NVIDIA Twitter Account (https://twitter.com/nvidia</w:t>
      </w:r>
      <w:r>
        <w:rPr>
          <w:rFonts w:ascii="sans-serif" w:eastAsia="sans-serif" w:hAnsi="sans-serif" w:cs="sans-serif"/>
          <w:color w:val="000000"/>
          <w:sz w:val="20"/>
          <w:szCs w:val="20"/>
        </w:rPr>
        <w:t>)</w:t>
      </w:r>
    </w:p>
    <w:p w14:paraId="7C207827" w14:textId="77777777" w:rsidR="00834A75" w:rsidRDefault="00A6708C">
      <w:pPr>
        <w:spacing w:after="180"/>
        <w:ind w:firstLine="360"/>
        <w:jc w:val="both"/>
      </w:pPr>
      <w:r>
        <w:rPr>
          <w:rFonts w:ascii="sans-serif" w:eastAsia="sans-serif" w:hAnsi="sans-serif" w:cs="sans-serif"/>
          <w:color w:val="000000"/>
          <w:sz w:val="20"/>
          <w:szCs w:val="20"/>
        </w:rPr>
        <w:t xml:space="preserve">NVIDIA Company Blog (http://blogs.nvidia.com) </w:t>
      </w:r>
    </w:p>
    <w:p w14:paraId="7C207828" w14:textId="77777777" w:rsidR="00834A75" w:rsidRDefault="00A6708C">
      <w:pPr>
        <w:spacing w:after="180"/>
        <w:ind w:firstLine="360"/>
        <w:jc w:val="both"/>
      </w:pPr>
      <w:r>
        <w:rPr>
          <w:rFonts w:ascii="sans-serif" w:eastAsia="sans-serif" w:hAnsi="sans-serif" w:cs="sans-serif"/>
          <w:color w:val="000000"/>
          <w:sz w:val="20"/>
          <w:szCs w:val="20"/>
        </w:rPr>
        <w:t xml:space="preserve">NVIDIA Facebook Page (https://www.facebook.com/nvidia) </w:t>
      </w:r>
    </w:p>
    <w:p w14:paraId="7C207829" w14:textId="77777777" w:rsidR="00834A75" w:rsidRDefault="00A6708C">
      <w:pPr>
        <w:spacing w:after="180"/>
        <w:ind w:firstLine="360"/>
        <w:jc w:val="both"/>
      </w:pPr>
      <w:r>
        <w:rPr>
          <w:rFonts w:ascii="sans-serif" w:eastAsia="sans-serif" w:hAnsi="sans-serif" w:cs="sans-serif"/>
          <w:color w:val="000000"/>
          <w:sz w:val="20"/>
          <w:szCs w:val="20"/>
        </w:rPr>
        <w:t>NVIDIA LinkedIn Page (http://www.linkedin.com/company/nvidia)</w:t>
      </w:r>
    </w:p>
    <w:p w14:paraId="7C20782A" w14:textId="77777777" w:rsidR="00834A75" w:rsidRDefault="00A6708C">
      <w:pPr>
        <w:spacing w:after="180"/>
        <w:ind w:firstLine="360"/>
        <w:jc w:val="both"/>
      </w:pPr>
      <w:r>
        <w:rPr>
          <w:rFonts w:ascii="sans-serif" w:eastAsia="sans-serif" w:hAnsi="sans-serif" w:cs="sans-serif"/>
          <w:color w:val="000000"/>
          <w:sz w:val="20"/>
          <w:szCs w:val="20"/>
        </w:rPr>
        <w:t>NVIDIA Instagram Page (https://www.instagram.com/nvidia)</w:t>
      </w:r>
    </w:p>
    <w:p w14:paraId="7C20782B" w14:textId="77777777" w:rsidR="00834A75" w:rsidRDefault="00A6708C">
      <w:pPr>
        <w:spacing w:after="180"/>
        <w:jc w:val="both"/>
      </w:pPr>
      <w:r>
        <w:rPr>
          <w:rFonts w:ascii="sans-serif" w:eastAsia="sans-serif" w:hAnsi="sans-serif" w:cs="sans-serif"/>
          <w:color w:val="000000"/>
          <w:sz w:val="20"/>
          <w:szCs w:val="20"/>
        </w:rPr>
        <w:t>In addition, investors and other</w:t>
      </w:r>
      <w:r>
        <w:rPr>
          <w:rFonts w:ascii="sans-serif" w:eastAsia="sans-serif" w:hAnsi="sans-serif" w:cs="sans-serif"/>
          <w:color w:val="000000"/>
          <w:sz w:val="20"/>
          <w:szCs w:val="20"/>
        </w:rPr>
        <w:t>s can view NVIDIA videos on YouTube (https://www.YouTube.com/nvidia).</w:t>
      </w:r>
    </w:p>
    <w:p w14:paraId="7C20782C" w14:textId="77777777" w:rsidR="00834A75" w:rsidRDefault="00A6708C">
      <w:pPr>
        <w:spacing w:after="180"/>
        <w:jc w:val="both"/>
      </w:pPr>
      <w:r>
        <w:rPr>
          <w:rFonts w:ascii="sans-serif" w:eastAsia="sans-serif" w:hAnsi="sans-serif" w:cs="sans-serif"/>
          <w:color w:val="000000"/>
          <w:sz w:val="20"/>
          <w:szCs w:val="20"/>
        </w:rPr>
        <w:t xml:space="preserve">The information we post through these social media channels may be deemed material. Accordingly, investors should monitor these accounts and the blog, in addition to following our press </w:t>
      </w:r>
      <w:r>
        <w:rPr>
          <w:rFonts w:ascii="sans-serif" w:eastAsia="sans-serif" w:hAnsi="sans-serif" w:cs="sans-serif"/>
          <w:color w:val="000000"/>
          <w:sz w:val="20"/>
          <w:szCs w:val="20"/>
        </w:rPr>
        <w:t xml:space="preserve">releases, SEC filings and public conference calls and webcasts. This list may be updated from time to time. The information we post through these channels is not a part of this Quarterly Report on Form 10-Q. These channels may be updated from time to time </w:t>
      </w:r>
      <w:r>
        <w:rPr>
          <w:rFonts w:ascii="sans-serif" w:eastAsia="sans-serif" w:hAnsi="sans-serif" w:cs="sans-serif"/>
          <w:color w:val="000000"/>
          <w:sz w:val="20"/>
          <w:szCs w:val="20"/>
        </w:rPr>
        <w:t>on NVIDIA's investor relations website.</w:t>
      </w:r>
    </w:p>
    <w:p w14:paraId="7C20782D" w14:textId="77777777" w:rsidR="00834A75" w:rsidRDefault="00A6708C">
      <w:pPr>
        <w:spacing w:after="180"/>
        <w:jc w:val="center"/>
      </w:pPr>
      <w:r>
        <w:rPr>
          <w:rFonts w:ascii="sans-serif" w:eastAsia="sans-serif" w:hAnsi="sans-serif" w:cs="sans-serif"/>
          <w:color w:val="000000"/>
          <w:sz w:val="20"/>
          <w:szCs w:val="20"/>
        </w:rPr>
        <w:t>2</w:t>
      </w:r>
    </w:p>
    <w:p w14:paraId="7C20782E" w14:textId="77777777" w:rsidR="00834A75" w:rsidRDefault="00A6708C">
      <w:r>
        <w:pict w14:anchorId="7C209351">
          <v:rect id="_x0000_i1026" style="width:415.3pt;height:1.5pt" o:hralign="center" o:hrstd="t" o:hr="t" fillcolor="#a0a0a0" stroked="f"/>
        </w:pict>
      </w:r>
    </w:p>
    <w:p w14:paraId="7C20782F" w14:textId="77777777" w:rsidR="00834A75" w:rsidRDefault="00834A75">
      <w:pPr>
        <w:spacing w:after="180"/>
        <w:jc w:val="both"/>
      </w:pPr>
    </w:p>
    <w:p w14:paraId="7C207830" w14:textId="77777777" w:rsidR="00834A75" w:rsidRDefault="00A6708C">
      <w:pPr>
        <w:spacing w:before="240" w:after="120"/>
        <w:jc w:val="both"/>
      </w:pPr>
      <w:r>
        <w:rPr>
          <w:rFonts w:ascii="sans-serif" w:eastAsia="sans-serif" w:hAnsi="sans-serif" w:cs="sans-serif"/>
          <w:b/>
          <w:bCs/>
          <w:color w:val="76B900"/>
          <w:sz w:val="22"/>
          <w:szCs w:val="22"/>
        </w:rPr>
        <w:t>PART I. FINANCIAL INFORMATION</w:t>
      </w:r>
    </w:p>
    <w:p w14:paraId="7C207831" w14:textId="77777777" w:rsidR="00834A75" w:rsidRDefault="00A6708C">
      <w:pPr>
        <w:spacing w:before="240" w:after="120"/>
        <w:jc w:val="both"/>
      </w:pPr>
      <w:r>
        <w:rPr>
          <w:rFonts w:ascii="sans-serif" w:eastAsia="sans-serif" w:hAnsi="sans-serif" w:cs="sans-serif"/>
          <w:b/>
          <w:bCs/>
          <w:color w:val="76B900"/>
          <w:sz w:val="22"/>
          <w:szCs w:val="22"/>
        </w:rPr>
        <w:t>ITEM 1.  FINANCIAL STATEMENTS (UNAUDITED)</w:t>
      </w:r>
    </w:p>
    <w:p w14:paraId="7C207832" w14:textId="77777777" w:rsidR="00834A75" w:rsidRDefault="00A6708C">
      <w:pPr>
        <w:jc w:val="center"/>
      </w:pPr>
      <w:r>
        <w:rPr>
          <w:rFonts w:ascii="sans-serif" w:eastAsia="sans-serif" w:hAnsi="sans-serif" w:cs="sans-serif"/>
          <w:b/>
          <w:bCs/>
          <w:color w:val="000000"/>
          <w:sz w:val="20"/>
          <w:szCs w:val="20"/>
        </w:rPr>
        <w:t>NVIDIA CORPORATION AND SUBSIDIARIES</w:t>
      </w:r>
    </w:p>
    <w:p w14:paraId="7C207833" w14:textId="77777777" w:rsidR="00834A75" w:rsidRDefault="00A6708C">
      <w:pPr>
        <w:jc w:val="center"/>
      </w:pPr>
      <w:r>
        <w:rPr>
          <w:rFonts w:ascii="sans-serif" w:eastAsia="sans-serif" w:hAnsi="sans-serif" w:cs="sans-serif"/>
          <w:b/>
          <w:bCs/>
          <w:color w:val="000000"/>
          <w:sz w:val="20"/>
          <w:szCs w:val="20"/>
        </w:rPr>
        <w:t>CONDENSED CONSOLIDATED STATEMENTS OF INCOME</w:t>
      </w:r>
    </w:p>
    <w:p w14:paraId="7C207834" w14:textId="77777777" w:rsidR="00834A75" w:rsidRDefault="00A6708C">
      <w:pPr>
        <w:jc w:val="center"/>
      </w:pPr>
      <w:r>
        <w:rPr>
          <w:rFonts w:ascii="sans-serif" w:eastAsia="sans-serif" w:hAnsi="sans-serif" w:cs="sans-serif"/>
          <w:b/>
          <w:bCs/>
          <w:color w:val="000000"/>
          <w:sz w:val="20"/>
          <w:szCs w:val="20"/>
        </w:rPr>
        <w:t>(In millions, except per share data)</w:t>
      </w:r>
    </w:p>
    <w:p w14:paraId="7C207835" w14:textId="77777777" w:rsidR="00834A75" w:rsidRDefault="00A6708C">
      <w:pPr>
        <w:jc w:val="center"/>
      </w:pPr>
      <w:r>
        <w:rPr>
          <w:rFonts w:ascii="sans-serif" w:eastAsia="sans-serif" w:hAnsi="sans-serif" w:cs="sans-serif"/>
          <w:b/>
          <w:bCs/>
          <w:color w:val="000000"/>
          <w:sz w:val="20"/>
          <w:szCs w:val="20"/>
        </w:rPr>
        <w:t>(Unaudited)</w:t>
      </w:r>
    </w:p>
    <w:tbl>
      <w:tblPr>
        <w:tblW w:w="5000" w:type="pct"/>
        <w:jc w:val="center"/>
        <w:tblCellMar>
          <w:top w:w="15" w:type="dxa"/>
          <w:left w:w="15" w:type="dxa"/>
          <w:bottom w:w="15" w:type="dxa"/>
          <w:right w:w="15" w:type="dxa"/>
        </w:tblCellMar>
        <w:tblLook w:val="04A0" w:firstRow="1" w:lastRow="0" w:firstColumn="1" w:lastColumn="0" w:noHBand="0" w:noVBand="1"/>
      </w:tblPr>
      <w:tblGrid>
        <w:gridCol w:w="40"/>
        <w:gridCol w:w="5805"/>
        <w:gridCol w:w="38"/>
        <w:gridCol w:w="122"/>
        <w:gridCol w:w="889"/>
        <w:gridCol w:w="36"/>
        <w:gridCol w:w="36"/>
        <w:gridCol w:w="36"/>
        <w:gridCol w:w="36"/>
        <w:gridCol w:w="122"/>
        <w:gridCol w:w="852"/>
        <w:gridCol w:w="36"/>
        <w:gridCol w:w="36"/>
        <w:gridCol w:w="36"/>
        <w:gridCol w:w="36"/>
        <w:gridCol w:w="36"/>
        <w:gridCol w:w="36"/>
        <w:gridCol w:w="36"/>
        <w:gridCol w:w="36"/>
        <w:gridCol w:w="36"/>
      </w:tblGrid>
      <w:tr w:rsidR="00834A75" w14:paraId="7C207846" w14:textId="77777777">
        <w:trPr>
          <w:jc w:val="center"/>
        </w:trPr>
        <w:tc>
          <w:tcPr>
            <w:tcW w:w="50" w:type="pct"/>
            <w:shd w:val="clear" w:color="auto" w:fill="auto"/>
            <w:vAlign w:val="bottom"/>
          </w:tcPr>
          <w:p w14:paraId="7C207836" w14:textId="77777777" w:rsidR="00834A75" w:rsidRDefault="00834A75">
            <w:pPr>
              <w:rPr>
                <w:rFonts w:ascii="宋体"/>
              </w:rPr>
            </w:pPr>
          </w:p>
        </w:tc>
        <w:tc>
          <w:tcPr>
            <w:tcW w:w="3636" w:type="pct"/>
            <w:shd w:val="clear" w:color="auto" w:fill="auto"/>
            <w:vAlign w:val="bottom"/>
          </w:tcPr>
          <w:p w14:paraId="7C207837" w14:textId="77777777" w:rsidR="00834A75" w:rsidRDefault="00834A75">
            <w:pPr>
              <w:rPr>
                <w:rFonts w:ascii="宋体"/>
              </w:rPr>
            </w:pPr>
          </w:p>
        </w:tc>
        <w:tc>
          <w:tcPr>
            <w:tcW w:w="5" w:type="pct"/>
            <w:shd w:val="clear" w:color="auto" w:fill="auto"/>
            <w:vAlign w:val="bottom"/>
          </w:tcPr>
          <w:p w14:paraId="7C207838" w14:textId="77777777" w:rsidR="00834A75" w:rsidRDefault="00834A75">
            <w:pPr>
              <w:rPr>
                <w:rFonts w:ascii="宋体"/>
              </w:rPr>
            </w:pPr>
          </w:p>
        </w:tc>
        <w:tc>
          <w:tcPr>
            <w:tcW w:w="50" w:type="pct"/>
            <w:shd w:val="clear" w:color="auto" w:fill="auto"/>
            <w:vAlign w:val="bottom"/>
          </w:tcPr>
          <w:p w14:paraId="7C207839" w14:textId="77777777" w:rsidR="00834A75" w:rsidRDefault="00834A75">
            <w:pPr>
              <w:rPr>
                <w:rFonts w:ascii="宋体"/>
              </w:rPr>
            </w:pPr>
          </w:p>
        </w:tc>
        <w:tc>
          <w:tcPr>
            <w:tcW w:w="580" w:type="pct"/>
            <w:shd w:val="clear" w:color="auto" w:fill="auto"/>
            <w:vAlign w:val="bottom"/>
          </w:tcPr>
          <w:p w14:paraId="7C20783A" w14:textId="77777777" w:rsidR="00834A75" w:rsidRDefault="00834A75">
            <w:pPr>
              <w:rPr>
                <w:rFonts w:ascii="宋体"/>
              </w:rPr>
            </w:pPr>
          </w:p>
        </w:tc>
        <w:tc>
          <w:tcPr>
            <w:tcW w:w="5" w:type="pct"/>
            <w:shd w:val="clear" w:color="auto" w:fill="auto"/>
            <w:vAlign w:val="bottom"/>
          </w:tcPr>
          <w:p w14:paraId="7C20783B" w14:textId="77777777" w:rsidR="00834A75" w:rsidRDefault="00834A75">
            <w:pPr>
              <w:rPr>
                <w:rFonts w:ascii="宋体"/>
              </w:rPr>
            </w:pPr>
          </w:p>
        </w:tc>
        <w:tc>
          <w:tcPr>
            <w:tcW w:w="5" w:type="pct"/>
            <w:shd w:val="clear" w:color="auto" w:fill="auto"/>
            <w:vAlign w:val="bottom"/>
          </w:tcPr>
          <w:p w14:paraId="7C20783C" w14:textId="77777777" w:rsidR="00834A75" w:rsidRDefault="00834A75">
            <w:pPr>
              <w:rPr>
                <w:rFonts w:ascii="宋体"/>
              </w:rPr>
            </w:pPr>
          </w:p>
        </w:tc>
        <w:tc>
          <w:tcPr>
            <w:tcW w:w="26" w:type="pct"/>
            <w:shd w:val="clear" w:color="auto" w:fill="auto"/>
            <w:vAlign w:val="bottom"/>
          </w:tcPr>
          <w:p w14:paraId="7C20783D" w14:textId="77777777" w:rsidR="00834A75" w:rsidRDefault="00834A75">
            <w:pPr>
              <w:rPr>
                <w:rFonts w:ascii="宋体"/>
              </w:rPr>
            </w:pPr>
          </w:p>
        </w:tc>
        <w:tc>
          <w:tcPr>
            <w:tcW w:w="5" w:type="pct"/>
            <w:shd w:val="clear" w:color="auto" w:fill="auto"/>
            <w:vAlign w:val="bottom"/>
          </w:tcPr>
          <w:p w14:paraId="7C20783E" w14:textId="77777777" w:rsidR="00834A75" w:rsidRDefault="00834A75">
            <w:pPr>
              <w:rPr>
                <w:rFonts w:ascii="宋体"/>
              </w:rPr>
            </w:pPr>
          </w:p>
        </w:tc>
        <w:tc>
          <w:tcPr>
            <w:tcW w:w="50" w:type="pct"/>
            <w:shd w:val="clear" w:color="auto" w:fill="auto"/>
            <w:vAlign w:val="bottom"/>
          </w:tcPr>
          <w:p w14:paraId="7C20783F" w14:textId="77777777" w:rsidR="00834A75" w:rsidRDefault="00834A75">
            <w:pPr>
              <w:rPr>
                <w:rFonts w:ascii="宋体"/>
              </w:rPr>
            </w:pPr>
          </w:p>
        </w:tc>
        <w:tc>
          <w:tcPr>
            <w:tcW w:w="581" w:type="pct"/>
            <w:shd w:val="clear" w:color="auto" w:fill="auto"/>
            <w:vAlign w:val="bottom"/>
          </w:tcPr>
          <w:p w14:paraId="7C207840" w14:textId="77777777" w:rsidR="00834A75" w:rsidRDefault="00834A75">
            <w:pPr>
              <w:rPr>
                <w:rFonts w:ascii="宋体"/>
              </w:rPr>
            </w:pPr>
          </w:p>
        </w:tc>
        <w:tc>
          <w:tcPr>
            <w:tcW w:w="5" w:type="pct"/>
            <w:shd w:val="clear" w:color="auto" w:fill="auto"/>
            <w:vAlign w:val="bottom"/>
          </w:tcPr>
          <w:p w14:paraId="7C207841" w14:textId="77777777" w:rsidR="00834A75" w:rsidRDefault="00834A75">
            <w:pPr>
              <w:rPr>
                <w:rFonts w:ascii="宋体"/>
              </w:rPr>
            </w:pPr>
          </w:p>
        </w:tc>
        <w:tc>
          <w:tcPr>
            <w:tcW w:w="0" w:type="auto"/>
            <w:shd w:val="clear" w:color="auto" w:fill="auto"/>
            <w:vAlign w:val="bottom"/>
          </w:tcPr>
          <w:p w14:paraId="7C207842" w14:textId="77777777" w:rsidR="00834A75" w:rsidRDefault="00834A75">
            <w:pPr>
              <w:rPr>
                <w:rFonts w:ascii="宋体"/>
                <w:vanish/>
              </w:rPr>
            </w:pPr>
          </w:p>
        </w:tc>
        <w:tc>
          <w:tcPr>
            <w:tcW w:w="0" w:type="auto"/>
            <w:shd w:val="clear" w:color="auto" w:fill="auto"/>
            <w:vAlign w:val="bottom"/>
          </w:tcPr>
          <w:p w14:paraId="7C207843" w14:textId="77777777" w:rsidR="00834A75" w:rsidRDefault="00834A75">
            <w:pPr>
              <w:rPr>
                <w:rFonts w:ascii="宋体"/>
                <w:vanish/>
              </w:rPr>
            </w:pPr>
          </w:p>
        </w:tc>
        <w:tc>
          <w:tcPr>
            <w:tcW w:w="0" w:type="auto"/>
            <w:gridSpan w:val="3"/>
            <w:shd w:val="clear" w:color="auto" w:fill="auto"/>
            <w:vAlign w:val="bottom"/>
          </w:tcPr>
          <w:p w14:paraId="7C207844" w14:textId="77777777" w:rsidR="00834A75" w:rsidRDefault="00834A75">
            <w:pPr>
              <w:rPr>
                <w:rFonts w:ascii="宋体"/>
                <w:vanish/>
              </w:rPr>
            </w:pPr>
          </w:p>
        </w:tc>
        <w:tc>
          <w:tcPr>
            <w:tcW w:w="0" w:type="auto"/>
            <w:gridSpan w:val="3"/>
            <w:shd w:val="clear" w:color="auto" w:fill="auto"/>
            <w:vAlign w:val="bottom"/>
          </w:tcPr>
          <w:p w14:paraId="7C207845" w14:textId="77777777" w:rsidR="00834A75" w:rsidRDefault="00834A75">
            <w:pPr>
              <w:rPr>
                <w:rFonts w:ascii="宋体"/>
                <w:vanish/>
              </w:rPr>
            </w:pPr>
          </w:p>
        </w:tc>
      </w:tr>
      <w:tr w:rsidR="00834A75" w14:paraId="7C207851" w14:textId="77777777">
        <w:trPr>
          <w:jc w:val="center"/>
        </w:trPr>
        <w:tc>
          <w:tcPr>
            <w:tcW w:w="0" w:type="auto"/>
            <w:gridSpan w:val="3"/>
            <w:shd w:val="clear" w:color="auto" w:fill="auto"/>
            <w:tcMar>
              <w:top w:w="40" w:type="dxa"/>
              <w:left w:w="20" w:type="dxa"/>
              <w:bottom w:w="40" w:type="dxa"/>
              <w:right w:w="20" w:type="dxa"/>
            </w:tcMar>
            <w:vAlign w:val="bottom"/>
          </w:tcPr>
          <w:p w14:paraId="7C207847" w14:textId="77777777" w:rsidR="00834A75" w:rsidRDefault="00A6708C">
            <w:pPr>
              <w:textAlignment w:val="bottom"/>
            </w:pPr>
            <w:r>
              <w:rPr>
                <w:rFonts w:ascii="sans-serif" w:eastAsia="sans-serif" w:hAnsi="sans-serif" w:cs="sans-serif"/>
                <w:color w:val="000000"/>
                <w:sz w:val="20"/>
                <w:szCs w:val="20"/>
              </w:rPr>
              <w:t> </w:t>
            </w:r>
          </w:p>
        </w:tc>
        <w:tc>
          <w:tcPr>
            <w:tcW w:w="0" w:type="auto"/>
            <w:gridSpan w:val="9"/>
            <w:shd w:val="clear" w:color="auto" w:fill="auto"/>
            <w:tcMar>
              <w:top w:w="40" w:type="dxa"/>
              <w:left w:w="20" w:type="dxa"/>
              <w:bottom w:w="40" w:type="dxa"/>
              <w:right w:w="20" w:type="dxa"/>
            </w:tcMar>
            <w:vAlign w:val="bottom"/>
          </w:tcPr>
          <w:p w14:paraId="7C207848" w14:textId="77777777" w:rsidR="00834A75" w:rsidRDefault="00A6708C">
            <w:pPr>
              <w:jc w:val="center"/>
              <w:textAlignment w:val="bottom"/>
            </w:pPr>
            <w:r>
              <w:rPr>
                <w:rFonts w:ascii="sans-serif" w:eastAsia="sans-serif" w:hAnsi="sans-serif" w:cs="sans-serif"/>
                <w:b/>
                <w:bCs/>
                <w:color w:val="000000"/>
                <w:sz w:val="20"/>
                <w:szCs w:val="20"/>
              </w:rPr>
              <w:t>Three Months Ended</w:t>
            </w:r>
          </w:p>
        </w:tc>
        <w:tc>
          <w:tcPr>
            <w:tcW w:w="0" w:type="auto"/>
            <w:shd w:val="clear" w:color="auto" w:fill="auto"/>
            <w:vAlign w:val="bottom"/>
          </w:tcPr>
          <w:p w14:paraId="7C207849" w14:textId="77777777" w:rsidR="00834A75" w:rsidRDefault="00834A75">
            <w:pPr>
              <w:rPr>
                <w:rFonts w:ascii="宋体"/>
                <w:vanish/>
              </w:rPr>
            </w:pPr>
          </w:p>
        </w:tc>
        <w:tc>
          <w:tcPr>
            <w:tcW w:w="0" w:type="auto"/>
            <w:shd w:val="clear" w:color="auto" w:fill="auto"/>
            <w:vAlign w:val="bottom"/>
          </w:tcPr>
          <w:p w14:paraId="7C20784A" w14:textId="77777777" w:rsidR="00834A75" w:rsidRDefault="00834A75">
            <w:pPr>
              <w:rPr>
                <w:rFonts w:ascii="宋体"/>
                <w:vanish/>
              </w:rPr>
            </w:pPr>
          </w:p>
        </w:tc>
        <w:tc>
          <w:tcPr>
            <w:tcW w:w="0" w:type="auto"/>
            <w:shd w:val="clear" w:color="auto" w:fill="auto"/>
            <w:vAlign w:val="bottom"/>
          </w:tcPr>
          <w:p w14:paraId="7C20784B" w14:textId="77777777" w:rsidR="00834A75" w:rsidRDefault="00834A75">
            <w:pPr>
              <w:rPr>
                <w:rFonts w:ascii="宋体"/>
              </w:rPr>
            </w:pPr>
          </w:p>
        </w:tc>
        <w:tc>
          <w:tcPr>
            <w:tcW w:w="0" w:type="auto"/>
            <w:shd w:val="clear" w:color="auto" w:fill="auto"/>
            <w:vAlign w:val="bottom"/>
          </w:tcPr>
          <w:p w14:paraId="7C20784C" w14:textId="77777777" w:rsidR="00834A75" w:rsidRDefault="00834A75">
            <w:pPr>
              <w:rPr>
                <w:rFonts w:ascii="宋体"/>
              </w:rPr>
            </w:pPr>
          </w:p>
        </w:tc>
        <w:tc>
          <w:tcPr>
            <w:tcW w:w="0" w:type="auto"/>
            <w:shd w:val="clear" w:color="auto" w:fill="auto"/>
            <w:vAlign w:val="bottom"/>
          </w:tcPr>
          <w:p w14:paraId="7C20784D" w14:textId="77777777" w:rsidR="00834A75" w:rsidRDefault="00834A75">
            <w:pPr>
              <w:rPr>
                <w:rFonts w:ascii="宋体"/>
              </w:rPr>
            </w:pPr>
          </w:p>
        </w:tc>
        <w:tc>
          <w:tcPr>
            <w:tcW w:w="0" w:type="auto"/>
            <w:shd w:val="clear" w:color="auto" w:fill="auto"/>
            <w:vAlign w:val="bottom"/>
          </w:tcPr>
          <w:p w14:paraId="7C20784E" w14:textId="77777777" w:rsidR="00834A75" w:rsidRDefault="00834A75">
            <w:pPr>
              <w:rPr>
                <w:rFonts w:ascii="宋体"/>
              </w:rPr>
            </w:pPr>
          </w:p>
        </w:tc>
        <w:tc>
          <w:tcPr>
            <w:tcW w:w="0" w:type="auto"/>
            <w:shd w:val="clear" w:color="auto" w:fill="auto"/>
            <w:vAlign w:val="bottom"/>
          </w:tcPr>
          <w:p w14:paraId="7C20784F" w14:textId="77777777" w:rsidR="00834A75" w:rsidRDefault="00834A75">
            <w:pPr>
              <w:rPr>
                <w:rFonts w:ascii="宋体"/>
              </w:rPr>
            </w:pPr>
          </w:p>
        </w:tc>
        <w:tc>
          <w:tcPr>
            <w:tcW w:w="0" w:type="auto"/>
            <w:shd w:val="clear" w:color="auto" w:fill="auto"/>
            <w:vAlign w:val="bottom"/>
          </w:tcPr>
          <w:p w14:paraId="7C207850" w14:textId="77777777" w:rsidR="00834A75" w:rsidRDefault="00834A75">
            <w:pPr>
              <w:rPr>
                <w:rFonts w:ascii="宋体"/>
              </w:rPr>
            </w:pPr>
          </w:p>
        </w:tc>
      </w:tr>
      <w:tr w:rsidR="00834A75" w14:paraId="7C20785A" w14:textId="77777777">
        <w:trPr>
          <w:jc w:val="center"/>
        </w:trPr>
        <w:tc>
          <w:tcPr>
            <w:tcW w:w="0" w:type="auto"/>
            <w:gridSpan w:val="3"/>
            <w:shd w:val="clear" w:color="auto" w:fill="auto"/>
            <w:tcMar>
              <w:top w:w="40" w:type="dxa"/>
              <w:left w:w="20" w:type="dxa"/>
              <w:bottom w:w="40" w:type="dxa"/>
              <w:right w:w="20" w:type="dxa"/>
            </w:tcMar>
            <w:vAlign w:val="bottom"/>
          </w:tcPr>
          <w:p w14:paraId="7C207852" w14:textId="77777777" w:rsidR="00834A75" w:rsidRDefault="00A6708C">
            <w:pPr>
              <w:textAlignment w:val="bottom"/>
            </w:pPr>
            <w:r>
              <w:rPr>
                <w:rFonts w:ascii="sans-serif" w:eastAsia="sans-serif" w:hAnsi="sans-serif" w:cs="sans-serif"/>
                <w:color w:val="000000"/>
                <w:sz w:val="20"/>
                <w:szCs w:val="20"/>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C207853" w14:textId="77777777" w:rsidR="00834A75" w:rsidRDefault="00A6708C">
            <w:pPr>
              <w:jc w:val="center"/>
              <w:textAlignment w:val="bottom"/>
            </w:pPr>
            <w:r>
              <w:rPr>
                <w:rFonts w:ascii="sans-serif" w:eastAsia="sans-serif" w:hAnsi="sans-serif" w:cs="sans-serif"/>
                <w:b/>
                <w:bCs/>
                <w:color w:val="000000"/>
                <w:sz w:val="20"/>
                <w:szCs w:val="20"/>
              </w:rPr>
              <w:t>May 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C207854" w14:textId="77777777" w:rsidR="00834A75" w:rsidRDefault="00834A75">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C207855" w14:textId="77777777" w:rsidR="00834A75" w:rsidRDefault="00A6708C">
            <w:pPr>
              <w:jc w:val="center"/>
              <w:textAlignment w:val="bottom"/>
            </w:pPr>
            <w:r>
              <w:rPr>
                <w:rFonts w:ascii="sans-serif" w:eastAsia="sans-serif" w:hAnsi="sans-serif" w:cs="sans-serif"/>
                <w:b/>
                <w:bCs/>
                <w:color w:val="000000"/>
                <w:sz w:val="20"/>
                <w:szCs w:val="20"/>
              </w:rPr>
              <w:t>May 2,</w:t>
            </w:r>
          </w:p>
        </w:tc>
        <w:tc>
          <w:tcPr>
            <w:tcW w:w="0" w:type="auto"/>
            <w:shd w:val="clear" w:color="auto" w:fill="auto"/>
            <w:vAlign w:val="bottom"/>
          </w:tcPr>
          <w:p w14:paraId="7C207856" w14:textId="77777777" w:rsidR="00834A75" w:rsidRDefault="00834A75">
            <w:pPr>
              <w:rPr>
                <w:rFonts w:ascii="宋体"/>
                <w:vanish/>
              </w:rPr>
            </w:pPr>
          </w:p>
        </w:tc>
        <w:tc>
          <w:tcPr>
            <w:tcW w:w="0" w:type="auto"/>
            <w:shd w:val="clear" w:color="auto" w:fill="auto"/>
            <w:vAlign w:val="bottom"/>
          </w:tcPr>
          <w:p w14:paraId="7C207857" w14:textId="77777777" w:rsidR="00834A75" w:rsidRDefault="00834A75">
            <w:pPr>
              <w:rPr>
                <w:rFonts w:ascii="宋体"/>
                <w:vanish/>
              </w:rPr>
            </w:pPr>
          </w:p>
        </w:tc>
        <w:tc>
          <w:tcPr>
            <w:tcW w:w="0" w:type="auto"/>
            <w:gridSpan w:val="3"/>
            <w:shd w:val="clear" w:color="auto" w:fill="auto"/>
            <w:vAlign w:val="bottom"/>
          </w:tcPr>
          <w:p w14:paraId="7C207858" w14:textId="77777777" w:rsidR="00834A75" w:rsidRDefault="00834A75">
            <w:pPr>
              <w:rPr>
                <w:rFonts w:ascii="宋体"/>
                <w:vanish/>
              </w:rPr>
            </w:pPr>
          </w:p>
        </w:tc>
        <w:tc>
          <w:tcPr>
            <w:tcW w:w="0" w:type="auto"/>
            <w:gridSpan w:val="3"/>
            <w:shd w:val="clear" w:color="auto" w:fill="auto"/>
            <w:vAlign w:val="bottom"/>
          </w:tcPr>
          <w:p w14:paraId="7C207859" w14:textId="77777777" w:rsidR="00834A75" w:rsidRDefault="00834A75">
            <w:pPr>
              <w:rPr>
                <w:rFonts w:ascii="宋体"/>
                <w:vanish/>
              </w:rPr>
            </w:pPr>
          </w:p>
        </w:tc>
      </w:tr>
      <w:tr w:rsidR="00834A75" w14:paraId="7C207863" w14:textId="77777777">
        <w:trPr>
          <w:jc w:val="center"/>
        </w:trPr>
        <w:tc>
          <w:tcPr>
            <w:tcW w:w="0" w:type="auto"/>
            <w:gridSpan w:val="3"/>
            <w:shd w:val="clear" w:color="auto" w:fill="auto"/>
            <w:tcMar>
              <w:top w:w="0" w:type="dxa"/>
              <w:left w:w="20" w:type="dxa"/>
              <w:bottom w:w="0" w:type="dxa"/>
              <w:right w:w="20" w:type="dxa"/>
            </w:tcMar>
            <w:vAlign w:val="bottom"/>
          </w:tcPr>
          <w:p w14:paraId="7C20785B" w14:textId="77777777" w:rsidR="00834A75" w:rsidRDefault="00834A75">
            <w:pPr>
              <w:rPr>
                <w:rFonts w:ascii="宋体"/>
              </w:rPr>
            </w:pPr>
          </w:p>
        </w:tc>
        <w:tc>
          <w:tcPr>
            <w:tcW w:w="0" w:type="auto"/>
            <w:gridSpan w:val="3"/>
            <w:shd w:val="clear" w:color="auto" w:fill="auto"/>
            <w:tcMar>
              <w:top w:w="40" w:type="dxa"/>
              <w:left w:w="20" w:type="dxa"/>
              <w:bottom w:w="40" w:type="dxa"/>
              <w:right w:w="20" w:type="dxa"/>
            </w:tcMar>
            <w:vAlign w:val="bottom"/>
          </w:tcPr>
          <w:p w14:paraId="7C20785C" w14:textId="77777777" w:rsidR="00834A75" w:rsidRDefault="00A6708C">
            <w:pPr>
              <w:jc w:val="center"/>
              <w:textAlignment w:val="bottom"/>
            </w:pPr>
            <w:r>
              <w:rPr>
                <w:rFonts w:ascii="sans-serif" w:eastAsia="sans-serif" w:hAnsi="sans-serif" w:cs="sans-serif"/>
                <w:b/>
                <w:bCs/>
                <w:color w:val="000000"/>
                <w:sz w:val="20"/>
                <w:szCs w:val="20"/>
              </w:rPr>
              <w:t>2022</w:t>
            </w:r>
          </w:p>
        </w:tc>
        <w:tc>
          <w:tcPr>
            <w:tcW w:w="0" w:type="auto"/>
            <w:gridSpan w:val="3"/>
            <w:shd w:val="clear" w:color="auto" w:fill="auto"/>
            <w:tcMar>
              <w:top w:w="0" w:type="dxa"/>
              <w:left w:w="20" w:type="dxa"/>
              <w:bottom w:w="0" w:type="dxa"/>
              <w:right w:w="20" w:type="dxa"/>
            </w:tcMar>
            <w:vAlign w:val="bottom"/>
          </w:tcPr>
          <w:p w14:paraId="7C20785D" w14:textId="77777777" w:rsidR="00834A75" w:rsidRDefault="00834A75">
            <w:pPr>
              <w:rPr>
                <w:rFonts w:ascii="宋体"/>
              </w:rPr>
            </w:pPr>
          </w:p>
        </w:tc>
        <w:tc>
          <w:tcPr>
            <w:tcW w:w="0" w:type="auto"/>
            <w:gridSpan w:val="3"/>
            <w:shd w:val="clear" w:color="auto" w:fill="auto"/>
            <w:tcMar>
              <w:top w:w="40" w:type="dxa"/>
              <w:left w:w="20" w:type="dxa"/>
              <w:bottom w:w="40" w:type="dxa"/>
              <w:right w:w="20" w:type="dxa"/>
            </w:tcMar>
            <w:vAlign w:val="bottom"/>
          </w:tcPr>
          <w:p w14:paraId="7C20785E" w14:textId="77777777" w:rsidR="00834A75" w:rsidRDefault="00A6708C">
            <w:pPr>
              <w:jc w:val="center"/>
              <w:textAlignment w:val="bottom"/>
            </w:pPr>
            <w:r>
              <w:rPr>
                <w:rFonts w:ascii="sans-serif" w:eastAsia="sans-serif" w:hAnsi="sans-serif" w:cs="sans-serif"/>
                <w:b/>
                <w:bCs/>
                <w:color w:val="000000"/>
                <w:sz w:val="20"/>
                <w:szCs w:val="20"/>
              </w:rPr>
              <w:t>2021</w:t>
            </w:r>
          </w:p>
        </w:tc>
        <w:tc>
          <w:tcPr>
            <w:tcW w:w="0" w:type="auto"/>
            <w:shd w:val="clear" w:color="auto" w:fill="auto"/>
            <w:vAlign w:val="bottom"/>
          </w:tcPr>
          <w:p w14:paraId="7C20785F" w14:textId="77777777" w:rsidR="00834A75" w:rsidRDefault="00834A75">
            <w:pPr>
              <w:rPr>
                <w:rFonts w:ascii="宋体"/>
                <w:vanish/>
              </w:rPr>
            </w:pPr>
          </w:p>
        </w:tc>
        <w:tc>
          <w:tcPr>
            <w:tcW w:w="0" w:type="auto"/>
            <w:shd w:val="clear" w:color="auto" w:fill="auto"/>
            <w:vAlign w:val="bottom"/>
          </w:tcPr>
          <w:p w14:paraId="7C207860" w14:textId="77777777" w:rsidR="00834A75" w:rsidRDefault="00834A75">
            <w:pPr>
              <w:rPr>
                <w:rFonts w:ascii="宋体"/>
                <w:vanish/>
              </w:rPr>
            </w:pPr>
          </w:p>
        </w:tc>
        <w:tc>
          <w:tcPr>
            <w:tcW w:w="0" w:type="auto"/>
            <w:gridSpan w:val="3"/>
            <w:shd w:val="clear" w:color="auto" w:fill="auto"/>
            <w:vAlign w:val="bottom"/>
          </w:tcPr>
          <w:p w14:paraId="7C207861" w14:textId="77777777" w:rsidR="00834A75" w:rsidRDefault="00834A75">
            <w:pPr>
              <w:rPr>
                <w:rFonts w:ascii="宋体"/>
                <w:vanish/>
              </w:rPr>
            </w:pPr>
          </w:p>
        </w:tc>
        <w:tc>
          <w:tcPr>
            <w:tcW w:w="0" w:type="auto"/>
            <w:gridSpan w:val="3"/>
            <w:shd w:val="clear" w:color="auto" w:fill="auto"/>
            <w:vAlign w:val="bottom"/>
          </w:tcPr>
          <w:p w14:paraId="7C207862" w14:textId="77777777" w:rsidR="00834A75" w:rsidRDefault="00834A75">
            <w:pPr>
              <w:rPr>
                <w:rFonts w:ascii="宋体"/>
                <w:vanish/>
              </w:rPr>
            </w:pPr>
          </w:p>
        </w:tc>
      </w:tr>
      <w:tr w:rsidR="00834A75" w14:paraId="7C20786C" w14:textId="77777777">
        <w:trPr>
          <w:trHeight w:val="300"/>
          <w:jc w:val="center"/>
        </w:trPr>
        <w:tc>
          <w:tcPr>
            <w:tcW w:w="0" w:type="auto"/>
            <w:gridSpan w:val="3"/>
            <w:shd w:val="clear" w:color="auto" w:fill="auto"/>
            <w:tcMar>
              <w:top w:w="0" w:type="dxa"/>
              <w:left w:w="20" w:type="dxa"/>
              <w:bottom w:w="0" w:type="dxa"/>
              <w:right w:w="20" w:type="dxa"/>
            </w:tcMar>
            <w:vAlign w:val="bottom"/>
          </w:tcPr>
          <w:p w14:paraId="7C207864" w14:textId="77777777" w:rsidR="00834A75" w:rsidRDefault="00834A75">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C207865" w14:textId="77777777" w:rsidR="00834A75" w:rsidRDefault="00834A75">
            <w:pPr>
              <w:rPr>
                <w:rFonts w:ascii="宋体"/>
              </w:rPr>
            </w:pPr>
          </w:p>
        </w:tc>
        <w:tc>
          <w:tcPr>
            <w:tcW w:w="0" w:type="auto"/>
            <w:gridSpan w:val="3"/>
            <w:shd w:val="clear" w:color="auto" w:fill="auto"/>
            <w:tcMar>
              <w:top w:w="0" w:type="dxa"/>
              <w:left w:w="20" w:type="dxa"/>
              <w:bottom w:w="0" w:type="dxa"/>
              <w:right w:w="20" w:type="dxa"/>
            </w:tcMar>
            <w:vAlign w:val="bottom"/>
          </w:tcPr>
          <w:p w14:paraId="7C207866" w14:textId="77777777" w:rsidR="00834A75" w:rsidRDefault="00834A75">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C207867" w14:textId="77777777" w:rsidR="00834A75" w:rsidRDefault="00834A75">
            <w:pPr>
              <w:rPr>
                <w:rFonts w:ascii="宋体"/>
              </w:rPr>
            </w:pPr>
          </w:p>
        </w:tc>
        <w:tc>
          <w:tcPr>
            <w:tcW w:w="0" w:type="auto"/>
            <w:shd w:val="clear" w:color="auto" w:fill="auto"/>
            <w:vAlign w:val="bottom"/>
          </w:tcPr>
          <w:p w14:paraId="7C207868" w14:textId="77777777" w:rsidR="00834A75" w:rsidRDefault="00834A75">
            <w:pPr>
              <w:rPr>
                <w:rFonts w:ascii="宋体"/>
                <w:vanish/>
              </w:rPr>
            </w:pPr>
          </w:p>
        </w:tc>
        <w:tc>
          <w:tcPr>
            <w:tcW w:w="0" w:type="auto"/>
            <w:shd w:val="clear" w:color="auto" w:fill="auto"/>
            <w:vAlign w:val="bottom"/>
          </w:tcPr>
          <w:p w14:paraId="7C207869" w14:textId="77777777" w:rsidR="00834A75" w:rsidRDefault="00834A75">
            <w:pPr>
              <w:rPr>
                <w:rFonts w:ascii="宋体"/>
                <w:vanish/>
              </w:rPr>
            </w:pPr>
          </w:p>
        </w:tc>
        <w:tc>
          <w:tcPr>
            <w:tcW w:w="0" w:type="auto"/>
            <w:gridSpan w:val="3"/>
            <w:shd w:val="clear" w:color="auto" w:fill="auto"/>
            <w:vAlign w:val="bottom"/>
          </w:tcPr>
          <w:p w14:paraId="7C20786A" w14:textId="77777777" w:rsidR="00834A75" w:rsidRDefault="00834A75">
            <w:pPr>
              <w:rPr>
                <w:rFonts w:ascii="宋体"/>
                <w:vanish/>
              </w:rPr>
            </w:pPr>
          </w:p>
        </w:tc>
        <w:tc>
          <w:tcPr>
            <w:tcW w:w="0" w:type="auto"/>
            <w:gridSpan w:val="3"/>
            <w:shd w:val="clear" w:color="auto" w:fill="auto"/>
            <w:vAlign w:val="bottom"/>
          </w:tcPr>
          <w:p w14:paraId="7C20786B" w14:textId="77777777" w:rsidR="00834A75" w:rsidRDefault="00834A75">
            <w:pPr>
              <w:rPr>
                <w:rFonts w:ascii="宋体"/>
                <w:vanish/>
              </w:rPr>
            </w:pPr>
          </w:p>
        </w:tc>
      </w:tr>
      <w:tr w:rsidR="00834A75" w14:paraId="7C207879" w14:textId="77777777">
        <w:trPr>
          <w:jc w:val="center"/>
        </w:trPr>
        <w:tc>
          <w:tcPr>
            <w:tcW w:w="0" w:type="auto"/>
            <w:gridSpan w:val="3"/>
            <w:shd w:val="clear" w:color="auto" w:fill="E2EFD9"/>
            <w:tcMar>
              <w:top w:w="40" w:type="dxa"/>
              <w:left w:w="20" w:type="dxa"/>
              <w:bottom w:w="40" w:type="dxa"/>
              <w:right w:w="20" w:type="dxa"/>
            </w:tcMar>
            <w:vAlign w:val="bottom"/>
          </w:tcPr>
          <w:p w14:paraId="7C20786D" w14:textId="77777777" w:rsidR="00834A75" w:rsidRDefault="00A6708C">
            <w:pPr>
              <w:textAlignment w:val="bottom"/>
            </w:pPr>
            <w:r>
              <w:rPr>
                <w:rFonts w:ascii="sans-serif" w:eastAsia="sans-serif" w:hAnsi="sans-serif" w:cs="sans-serif"/>
                <w:color w:val="000000"/>
                <w:sz w:val="20"/>
                <w:szCs w:val="20"/>
              </w:rPr>
              <w:t>Revenue</w:t>
            </w:r>
          </w:p>
        </w:tc>
        <w:tc>
          <w:tcPr>
            <w:tcW w:w="0" w:type="auto"/>
            <w:shd w:val="clear" w:color="auto" w:fill="E2EFD9"/>
            <w:tcMar>
              <w:top w:w="40" w:type="dxa"/>
              <w:left w:w="20" w:type="dxa"/>
              <w:bottom w:w="40" w:type="dxa"/>
              <w:right w:w="0" w:type="dxa"/>
            </w:tcMar>
            <w:vAlign w:val="bottom"/>
          </w:tcPr>
          <w:p w14:paraId="7C20786E" w14:textId="77777777" w:rsidR="00834A75" w:rsidRDefault="00A6708C">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7C20786F" w14:textId="77777777" w:rsidR="00834A75" w:rsidRDefault="00A6708C">
            <w:pPr>
              <w:jc w:val="right"/>
              <w:textAlignment w:val="bottom"/>
            </w:pPr>
            <w:r>
              <w:rPr>
                <w:rFonts w:ascii="sans-serif" w:eastAsia="sans-serif" w:hAnsi="sans-serif" w:cs="sans-serif"/>
                <w:color w:val="000000"/>
                <w:sz w:val="20"/>
                <w:szCs w:val="20"/>
              </w:rPr>
              <w:t>8,288 </w:t>
            </w:r>
          </w:p>
        </w:tc>
        <w:tc>
          <w:tcPr>
            <w:tcW w:w="0" w:type="auto"/>
            <w:shd w:val="clear" w:color="auto" w:fill="E2EFD9"/>
            <w:tcMar>
              <w:top w:w="40" w:type="dxa"/>
              <w:left w:w="0" w:type="dxa"/>
              <w:bottom w:w="40" w:type="dxa"/>
              <w:right w:w="20" w:type="dxa"/>
            </w:tcMar>
            <w:vAlign w:val="bottom"/>
          </w:tcPr>
          <w:p w14:paraId="7C207870" w14:textId="77777777" w:rsidR="00834A75" w:rsidRDefault="00834A75">
            <w:pPr>
              <w:jc w:val="right"/>
              <w:rPr>
                <w:rFonts w:ascii="宋体"/>
              </w:rPr>
            </w:pPr>
          </w:p>
        </w:tc>
        <w:tc>
          <w:tcPr>
            <w:tcW w:w="0" w:type="auto"/>
            <w:gridSpan w:val="3"/>
            <w:shd w:val="clear" w:color="auto" w:fill="E2EFD9"/>
            <w:tcMar>
              <w:top w:w="0" w:type="dxa"/>
              <w:left w:w="20" w:type="dxa"/>
              <w:bottom w:w="0" w:type="dxa"/>
              <w:right w:w="20" w:type="dxa"/>
            </w:tcMar>
            <w:vAlign w:val="bottom"/>
          </w:tcPr>
          <w:p w14:paraId="7C207871" w14:textId="77777777" w:rsidR="00834A75" w:rsidRDefault="00834A75">
            <w:pPr>
              <w:rPr>
                <w:rFonts w:ascii="宋体"/>
              </w:rPr>
            </w:pPr>
          </w:p>
        </w:tc>
        <w:tc>
          <w:tcPr>
            <w:tcW w:w="0" w:type="auto"/>
            <w:shd w:val="clear" w:color="auto" w:fill="E2EFD9"/>
            <w:tcMar>
              <w:top w:w="40" w:type="dxa"/>
              <w:left w:w="20" w:type="dxa"/>
              <w:bottom w:w="40" w:type="dxa"/>
              <w:right w:w="0" w:type="dxa"/>
            </w:tcMar>
            <w:vAlign w:val="bottom"/>
          </w:tcPr>
          <w:p w14:paraId="7C207872" w14:textId="77777777" w:rsidR="00834A75" w:rsidRDefault="00A6708C">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7C207873" w14:textId="77777777" w:rsidR="00834A75" w:rsidRDefault="00A6708C">
            <w:pPr>
              <w:jc w:val="right"/>
              <w:textAlignment w:val="bottom"/>
            </w:pPr>
            <w:r>
              <w:rPr>
                <w:rFonts w:ascii="sans-serif" w:eastAsia="sans-serif" w:hAnsi="sans-serif" w:cs="sans-serif"/>
                <w:color w:val="000000"/>
                <w:sz w:val="20"/>
                <w:szCs w:val="20"/>
              </w:rPr>
              <w:t>5,661 </w:t>
            </w:r>
          </w:p>
        </w:tc>
        <w:tc>
          <w:tcPr>
            <w:tcW w:w="0" w:type="auto"/>
            <w:shd w:val="clear" w:color="auto" w:fill="E2EFD9"/>
            <w:tcMar>
              <w:top w:w="40" w:type="dxa"/>
              <w:left w:w="0" w:type="dxa"/>
              <w:bottom w:w="40" w:type="dxa"/>
              <w:right w:w="20" w:type="dxa"/>
            </w:tcMar>
            <w:vAlign w:val="bottom"/>
          </w:tcPr>
          <w:p w14:paraId="7C207874" w14:textId="77777777" w:rsidR="00834A75" w:rsidRDefault="00834A75">
            <w:pPr>
              <w:jc w:val="right"/>
              <w:rPr>
                <w:rFonts w:ascii="宋体"/>
              </w:rPr>
            </w:pPr>
          </w:p>
        </w:tc>
        <w:tc>
          <w:tcPr>
            <w:tcW w:w="0" w:type="auto"/>
            <w:shd w:val="clear" w:color="auto" w:fill="auto"/>
            <w:vAlign w:val="bottom"/>
          </w:tcPr>
          <w:p w14:paraId="7C207875" w14:textId="77777777" w:rsidR="00834A75" w:rsidRDefault="00834A75">
            <w:pPr>
              <w:rPr>
                <w:rFonts w:ascii="宋体"/>
                <w:vanish/>
              </w:rPr>
            </w:pPr>
          </w:p>
        </w:tc>
        <w:tc>
          <w:tcPr>
            <w:tcW w:w="0" w:type="auto"/>
            <w:shd w:val="clear" w:color="auto" w:fill="auto"/>
            <w:vAlign w:val="bottom"/>
          </w:tcPr>
          <w:p w14:paraId="7C207876" w14:textId="77777777" w:rsidR="00834A75" w:rsidRDefault="00834A75">
            <w:pPr>
              <w:rPr>
                <w:rFonts w:ascii="宋体"/>
                <w:vanish/>
              </w:rPr>
            </w:pPr>
          </w:p>
        </w:tc>
        <w:tc>
          <w:tcPr>
            <w:tcW w:w="0" w:type="auto"/>
            <w:gridSpan w:val="3"/>
            <w:shd w:val="clear" w:color="auto" w:fill="auto"/>
            <w:vAlign w:val="bottom"/>
          </w:tcPr>
          <w:p w14:paraId="7C207877" w14:textId="77777777" w:rsidR="00834A75" w:rsidRDefault="00834A75">
            <w:pPr>
              <w:rPr>
                <w:rFonts w:ascii="宋体"/>
                <w:vanish/>
              </w:rPr>
            </w:pPr>
          </w:p>
        </w:tc>
        <w:tc>
          <w:tcPr>
            <w:tcW w:w="0" w:type="auto"/>
            <w:gridSpan w:val="3"/>
            <w:shd w:val="clear" w:color="auto" w:fill="auto"/>
            <w:vAlign w:val="bottom"/>
          </w:tcPr>
          <w:p w14:paraId="7C207878" w14:textId="77777777" w:rsidR="00834A75" w:rsidRDefault="00834A75">
            <w:pPr>
              <w:rPr>
                <w:rFonts w:ascii="宋体"/>
                <w:vanish/>
              </w:rPr>
            </w:pPr>
          </w:p>
        </w:tc>
      </w:tr>
      <w:tr w:rsidR="00834A75" w14:paraId="7C207884" w14:textId="77777777">
        <w:trPr>
          <w:jc w:val="center"/>
        </w:trPr>
        <w:tc>
          <w:tcPr>
            <w:tcW w:w="0" w:type="auto"/>
            <w:gridSpan w:val="3"/>
            <w:shd w:val="clear" w:color="auto" w:fill="FFFFFF"/>
            <w:tcMar>
              <w:top w:w="40" w:type="dxa"/>
              <w:left w:w="515" w:type="dxa"/>
              <w:bottom w:w="40" w:type="dxa"/>
              <w:right w:w="20" w:type="dxa"/>
            </w:tcMar>
            <w:vAlign w:val="bottom"/>
          </w:tcPr>
          <w:p w14:paraId="7C20787A" w14:textId="77777777" w:rsidR="00834A75" w:rsidRDefault="00A6708C">
            <w:pPr>
              <w:textAlignment w:val="bottom"/>
            </w:pPr>
            <w:r>
              <w:rPr>
                <w:rFonts w:ascii="sans-serif" w:eastAsia="sans-serif" w:hAnsi="sans-serif" w:cs="sans-serif"/>
                <w:color w:val="000000"/>
                <w:sz w:val="20"/>
                <w:szCs w:val="20"/>
              </w:rPr>
              <w:t>Cost of revenue</w:t>
            </w:r>
          </w:p>
        </w:tc>
        <w:tc>
          <w:tcPr>
            <w:tcW w:w="0" w:type="auto"/>
            <w:gridSpan w:val="2"/>
            <w:shd w:val="clear" w:color="auto" w:fill="FFFFFF"/>
            <w:tcMar>
              <w:top w:w="40" w:type="dxa"/>
              <w:left w:w="20" w:type="dxa"/>
              <w:bottom w:w="40" w:type="dxa"/>
              <w:right w:w="0" w:type="dxa"/>
            </w:tcMar>
            <w:vAlign w:val="bottom"/>
          </w:tcPr>
          <w:p w14:paraId="7C20787B" w14:textId="77777777" w:rsidR="00834A75" w:rsidRDefault="00A6708C">
            <w:pPr>
              <w:jc w:val="right"/>
              <w:textAlignment w:val="bottom"/>
            </w:pPr>
            <w:r>
              <w:rPr>
                <w:rFonts w:ascii="sans-serif" w:eastAsia="sans-serif" w:hAnsi="sans-serif" w:cs="sans-serif"/>
                <w:color w:val="000000"/>
                <w:sz w:val="20"/>
                <w:szCs w:val="20"/>
              </w:rPr>
              <w:t>2,857 </w:t>
            </w:r>
          </w:p>
        </w:tc>
        <w:tc>
          <w:tcPr>
            <w:tcW w:w="0" w:type="auto"/>
            <w:shd w:val="clear" w:color="auto" w:fill="FFFFFF"/>
            <w:tcMar>
              <w:top w:w="40" w:type="dxa"/>
              <w:left w:w="0" w:type="dxa"/>
              <w:bottom w:w="40" w:type="dxa"/>
              <w:right w:w="20" w:type="dxa"/>
            </w:tcMar>
            <w:vAlign w:val="bottom"/>
          </w:tcPr>
          <w:p w14:paraId="7C20787C" w14:textId="77777777" w:rsidR="00834A75" w:rsidRDefault="00834A75">
            <w:pPr>
              <w:jc w:val="right"/>
              <w:rPr>
                <w:rFonts w:ascii="宋体"/>
              </w:rPr>
            </w:pPr>
          </w:p>
        </w:tc>
        <w:tc>
          <w:tcPr>
            <w:tcW w:w="0" w:type="auto"/>
            <w:gridSpan w:val="3"/>
            <w:shd w:val="clear" w:color="auto" w:fill="FFFFFF"/>
            <w:tcMar>
              <w:top w:w="0" w:type="dxa"/>
              <w:left w:w="20" w:type="dxa"/>
              <w:bottom w:w="0" w:type="dxa"/>
              <w:right w:w="20" w:type="dxa"/>
            </w:tcMar>
            <w:vAlign w:val="bottom"/>
          </w:tcPr>
          <w:p w14:paraId="7C20787D" w14:textId="77777777" w:rsidR="00834A75" w:rsidRDefault="00834A75">
            <w:pPr>
              <w:rPr>
                <w:rFonts w:ascii="宋体"/>
              </w:rPr>
            </w:pPr>
          </w:p>
        </w:tc>
        <w:tc>
          <w:tcPr>
            <w:tcW w:w="0" w:type="auto"/>
            <w:gridSpan w:val="2"/>
            <w:shd w:val="clear" w:color="auto" w:fill="FFFFFF"/>
            <w:tcMar>
              <w:top w:w="40" w:type="dxa"/>
              <w:left w:w="20" w:type="dxa"/>
              <w:bottom w:w="40" w:type="dxa"/>
              <w:right w:w="0" w:type="dxa"/>
            </w:tcMar>
            <w:vAlign w:val="bottom"/>
          </w:tcPr>
          <w:p w14:paraId="7C20787E" w14:textId="77777777" w:rsidR="00834A75" w:rsidRDefault="00A6708C">
            <w:pPr>
              <w:jc w:val="right"/>
              <w:textAlignment w:val="bottom"/>
            </w:pPr>
            <w:r>
              <w:rPr>
                <w:rFonts w:ascii="sans-serif" w:eastAsia="sans-serif" w:hAnsi="sans-serif" w:cs="sans-serif"/>
                <w:color w:val="000000"/>
                <w:sz w:val="20"/>
                <w:szCs w:val="20"/>
              </w:rPr>
              <w:t>2,032 </w:t>
            </w:r>
          </w:p>
        </w:tc>
        <w:tc>
          <w:tcPr>
            <w:tcW w:w="0" w:type="auto"/>
            <w:shd w:val="clear" w:color="auto" w:fill="FFFFFF"/>
            <w:tcMar>
              <w:top w:w="40" w:type="dxa"/>
              <w:left w:w="0" w:type="dxa"/>
              <w:bottom w:w="40" w:type="dxa"/>
              <w:right w:w="20" w:type="dxa"/>
            </w:tcMar>
            <w:vAlign w:val="bottom"/>
          </w:tcPr>
          <w:p w14:paraId="7C20787F" w14:textId="77777777" w:rsidR="00834A75" w:rsidRDefault="00834A75">
            <w:pPr>
              <w:jc w:val="right"/>
              <w:rPr>
                <w:rFonts w:ascii="宋体"/>
              </w:rPr>
            </w:pPr>
          </w:p>
        </w:tc>
        <w:tc>
          <w:tcPr>
            <w:tcW w:w="0" w:type="auto"/>
            <w:shd w:val="clear" w:color="auto" w:fill="auto"/>
            <w:vAlign w:val="bottom"/>
          </w:tcPr>
          <w:p w14:paraId="7C207880" w14:textId="77777777" w:rsidR="00834A75" w:rsidRDefault="00834A75">
            <w:pPr>
              <w:rPr>
                <w:rFonts w:ascii="宋体"/>
                <w:vanish/>
              </w:rPr>
            </w:pPr>
          </w:p>
        </w:tc>
        <w:tc>
          <w:tcPr>
            <w:tcW w:w="0" w:type="auto"/>
            <w:shd w:val="clear" w:color="auto" w:fill="auto"/>
            <w:vAlign w:val="bottom"/>
          </w:tcPr>
          <w:p w14:paraId="7C207881" w14:textId="77777777" w:rsidR="00834A75" w:rsidRDefault="00834A75">
            <w:pPr>
              <w:rPr>
                <w:rFonts w:ascii="宋体"/>
                <w:vanish/>
              </w:rPr>
            </w:pPr>
          </w:p>
        </w:tc>
        <w:tc>
          <w:tcPr>
            <w:tcW w:w="0" w:type="auto"/>
            <w:gridSpan w:val="3"/>
            <w:shd w:val="clear" w:color="auto" w:fill="auto"/>
            <w:vAlign w:val="bottom"/>
          </w:tcPr>
          <w:p w14:paraId="7C207882" w14:textId="77777777" w:rsidR="00834A75" w:rsidRDefault="00834A75">
            <w:pPr>
              <w:rPr>
                <w:rFonts w:ascii="宋体"/>
                <w:vanish/>
              </w:rPr>
            </w:pPr>
          </w:p>
        </w:tc>
        <w:tc>
          <w:tcPr>
            <w:tcW w:w="0" w:type="auto"/>
            <w:gridSpan w:val="3"/>
            <w:shd w:val="clear" w:color="auto" w:fill="auto"/>
            <w:vAlign w:val="bottom"/>
          </w:tcPr>
          <w:p w14:paraId="7C207883" w14:textId="77777777" w:rsidR="00834A75" w:rsidRDefault="00834A75">
            <w:pPr>
              <w:rPr>
                <w:rFonts w:ascii="宋体"/>
                <w:vanish/>
              </w:rPr>
            </w:pPr>
          </w:p>
        </w:tc>
      </w:tr>
      <w:tr w:rsidR="00834A75" w14:paraId="7C20788F" w14:textId="77777777">
        <w:trPr>
          <w:jc w:val="center"/>
        </w:trPr>
        <w:tc>
          <w:tcPr>
            <w:tcW w:w="0" w:type="auto"/>
            <w:gridSpan w:val="3"/>
            <w:shd w:val="clear" w:color="auto" w:fill="E2EFD9"/>
            <w:tcMar>
              <w:top w:w="40" w:type="dxa"/>
              <w:left w:w="20" w:type="dxa"/>
              <w:bottom w:w="40" w:type="dxa"/>
              <w:right w:w="20" w:type="dxa"/>
            </w:tcMar>
            <w:vAlign w:val="bottom"/>
          </w:tcPr>
          <w:p w14:paraId="7C207885" w14:textId="77777777" w:rsidR="00834A75" w:rsidRDefault="00A6708C">
            <w:pPr>
              <w:textAlignment w:val="bottom"/>
            </w:pPr>
            <w:r>
              <w:rPr>
                <w:rFonts w:ascii="sans-serif" w:eastAsia="sans-serif" w:hAnsi="sans-serif" w:cs="sans-serif"/>
                <w:color w:val="000000"/>
                <w:sz w:val="20"/>
                <w:szCs w:val="20"/>
              </w:rPr>
              <w:t>Gross profit</w:t>
            </w:r>
          </w:p>
        </w:tc>
        <w:tc>
          <w:tcPr>
            <w:tcW w:w="0" w:type="auto"/>
            <w:gridSpan w:val="2"/>
            <w:tcBorders>
              <w:top w:val="single" w:sz="8" w:space="0" w:color="000000"/>
            </w:tcBorders>
            <w:shd w:val="clear" w:color="auto" w:fill="E2EFD9"/>
            <w:tcMar>
              <w:top w:w="40" w:type="dxa"/>
              <w:left w:w="20" w:type="dxa"/>
              <w:bottom w:w="40" w:type="dxa"/>
              <w:right w:w="0" w:type="dxa"/>
            </w:tcMar>
            <w:vAlign w:val="bottom"/>
          </w:tcPr>
          <w:p w14:paraId="7C207886" w14:textId="77777777" w:rsidR="00834A75" w:rsidRDefault="00A6708C">
            <w:pPr>
              <w:jc w:val="right"/>
              <w:textAlignment w:val="bottom"/>
            </w:pPr>
            <w:r>
              <w:rPr>
                <w:rFonts w:ascii="sans-serif" w:eastAsia="sans-serif" w:hAnsi="sans-serif" w:cs="sans-serif"/>
                <w:color w:val="000000"/>
                <w:sz w:val="20"/>
                <w:szCs w:val="20"/>
              </w:rPr>
              <w:t>5,431 </w:t>
            </w:r>
          </w:p>
        </w:tc>
        <w:tc>
          <w:tcPr>
            <w:tcW w:w="0" w:type="auto"/>
            <w:tcBorders>
              <w:top w:val="single" w:sz="8" w:space="0" w:color="000000"/>
            </w:tcBorders>
            <w:shd w:val="clear" w:color="auto" w:fill="E2EFD9"/>
            <w:tcMar>
              <w:top w:w="40" w:type="dxa"/>
              <w:left w:w="0" w:type="dxa"/>
              <w:bottom w:w="40" w:type="dxa"/>
              <w:right w:w="20" w:type="dxa"/>
            </w:tcMar>
            <w:vAlign w:val="bottom"/>
          </w:tcPr>
          <w:p w14:paraId="7C207887" w14:textId="77777777" w:rsidR="00834A75" w:rsidRDefault="00834A75">
            <w:pPr>
              <w:jc w:val="right"/>
              <w:rPr>
                <w:rFonts w:ascii="宋体"/>
              </w:rPr>
            </w:pPr>
          </w:p>
        </w:tc>
        <w:tc>
          <w:tcPr>
            <w:tcW w:w="0" w:type="auto"/>
            <w:gridSpan w:val="3"/>
            <w:shd w:val="clear" w:color="auto" w:fill="E2EFD9"/>
            <w:tcMar>
              <w:top w:w="0" w:type="dxa"/>
              <w:left w:w="20" w:type="dxa"/>
              <w:bottom w:w="0" w:type="dxa"/>
              <w:right w:w="20" w:type="dxa"/>
            </w:tcMar>
            <w:vAlign w:val="bottom"/>
          </w:tcPr>
          <w:p w14:paraId="7C207888" w14:textId="77777777" w:rsidR="00834A75" w:rsidRDefault="00834A75">
            <w:pPr>
              <w:rPr>
                <w:rFonts w:ascii="宋体"/>
              </w:rPr>
            </w:pPr>
          </w:p>
        </w:tc>
        <w:tc>
          <w:tcPr>
            <w:tcW w:w="0" w:type="auto"/>
            <w:gridSpan w:val="2"/>
            <w:tcBorders>
              <w:top w:val="single" w:sz="8" w:space="0" w:color="000000"/>
            </w:tcBorders>
            <w:shd w:val="clear" w:color="auto" w:fill="E2EFD9"/>
            <w:tcMar>
              <w:top w:w="40" w:type="dxa"/>
              <w:left w:w="20" w:type="dxa"/>
              <w:bottom w:w="40" w:type="dxa"/>
              <w:right w:w="0" w:type="dxa"/>
            </w:tcMar>
            <w:vAlign w:val="bottom"/>
          </w:tcPr>
          <w:p w14:paraId="7C207889" w14:textId="77777777" w:rsidR="00834A75" w:rsidRDefault="00A6708C">
            <w:pPr>
              <w:jc w:val="right"/>
              <w:textAlignment w:val="bottom"/>
            </w:pPr>
            <w:r>
              <w:rPr>
                <w:rFonts w:ascii="sans-serif" w:eastAsia="sans-serif" w:hAnsi="sans-serif" w:cs="sans-serif"/>
                <w:color w:val="000000"/>
                <w:sz w:val="20"/>
                <w:szCs w:val="20"/>
              </w:rPr>
              <w:t>3,629 </w:t>
            </w:r>
          </w:p>
        </w:tc>
        <w:tc>
          <w:tcPr>
            <w:tcW w:w="0" w:type="auto"/>
            <w:tcBorders>
              <w:top w:val="single" w:sz="8" w:space="0" w:color="000000"/>
            </w:tcBorders>
            <w:shd w:val="clear" w:color="auto" w:fill="E2EFD9"/>
            <w:tcMar>
              <w:top w:w="40" w:type="dxa"/>
              <w:left w:w="0" w:type="dxa"/>
              <w:bottom w:w="40" w:type="dxa"/>
              <w:right w:w="20" w:type="dxa"/>
            </w:tcMar>
            <w:vAlign w:val="bottom"/>
          </w:tcPr>
          <w:p w14:paraId="7C20788A" w14:textId="77777777" w:rsidR="00834A75" w:rsidRDefault="00834A75">
            <w:pPr>
              <w:jc w:val="right"/>
              <w:rPr>
                <w:rFonts w:ascii="宋体"/>
              </w:rPr>
            </w:pPr>
          </w:p>
        </w:tc>
        <w:tc>
          <w:tcPr>
            <w:tcW w:w="0" w:type="auto"/>
            <w:shd w:val="clear" w:color="auto" w:fill="auto"/>
            <w:vAlign w:val="bottom"/>
          </w:tcPr>
          <w:p w14:paraId="7C20788B" w14:textId="77777777" w:rsidR="00834A75" w:rsidRDefault="00834A75">
            <w:pPr>
              <w:rPr>
                <w:rFonts w:ascii="宋体"/>
                <w:vanish/>
              </w:rPr>
            </w:pPr>
          </w:p>
        </w:tc>
        <w:tc>
          <w:tcPr>
            <w:tcW w:w="0" w:type="auto"/>
            <w:shd w:val="clear" w:color="auto" w:fill="auto"/>
            <w:vAlign w:val="bottom"/>
          </w:tcPr>
          <w:p w14:paraId="7C20788C" w14:textId="77777777" w:rsidR="00834A75" w:rsidRDefault="00834A75">
            <w:pPr>
              <w:rPr>
                <w:rFonts w:ascii="宋体"/>
                <w:vanish/>
              </w:rPr>
            </w:pPr>
          </w:p>
        </w:tc>
        <w:tc>
          <w:tcPr>
            <w:tcW w:w="0" w:type="auto"/>
            <w:gridSpan w:val="3"/>
            <w:shd w:val="clear" w:color="auto" w:fill="auto"/>
            <w:vAlign w:val="bottom"/>
          </w:tcPr>
          <w:p w14:paraId="7C20788D" w14:textId="77777777" w:rsidR="00834A75" w:rsidRDefault="00834A75">
            <w:pPr>
              <w:rPr>
                <w:rFonts w:ascii="宋体"/>
                <w:vanish/>
              </w:rPr>
            </w:pPr>
          </w:p>
        </w:tc>
        <w:tc>
          <w:tcPr>
            <w:tcW w:w="0" w:type="auto"/>
            <w:gridSpan w:val="3"/>
            <w:shd w:val="clear" w:color="auto" w:fill="auto"/>
            <w:vAlign w:val="bottom"/>
          </w:tcPr>
          <w:p w14:paraId="7C20788E" w14:textId="77777777" w:rsidR="00834A75" w:rsidRDefault="00834A75">
            <w:pPr>
              <w:rPr>
                <w:rFonts w:ascii="宋体"/>
                <w:vanish/>
              </w:rPr>
            </w:pPr>
          </w:p>
        </w:tc>
      </w:tr>
      <w:tr w:rsidR="00834A75" w14:paraId="7C207898" w14:textId="77777777">
        <w:trPr>
          <w:jc w:val="center"/>
        </w:trPr>
        <w:tc>
          <w:tcPr>
            <w:tcW w:w="0" w:type="auto"/>
            <w:gridSpan w:val="3"/>
            <w:shd w:val="clear" w:color="auto" w:fill="FFFFFF"/>
            <w:tcMar>
              <w:top w:w="40" w:type="dxa"/>
              <w:left w:w="20" w:type="dxa"/>
              <w:bottom w:w="40" w:type="dxa"/>
              <w:right w:w="20" w:type="dxa"/>
            </w:tcMar>
            <w:vAlign w:val="bottom"/>
          </w:tcPr>
          <w:p w14:paraId="7C207890" w14:textId="77777777" w:rsidR="00834A75" w:rsidRDefault="00A6708C">
            <w:pPr>
              <w:textAlignment w:val="bottom"/>
            </w:pPr>
            <w:r>
              <w:rPr>
                <w:rFonts w:ascii="sans-serif" w:eastAsia="sans-serif" w:hAnsi="sans-serif" w:cs="sans-serif"/>
                <w:color w:val="000000"/>
                <w:sz w:val="20"/>
                <w:szCs w:val="20"/>
              </w:rPr>
              <w:t>Operating expenses</w:t>
            </w:r>
          </w:p>
        </w:tc>
        <w:tc>
          <w:tcPr>
            <w:tcW w:w="0" w:type="auto"/>
            <w:gridSpan w:val="3"/>
            <w:shd w:val="clear" w:color="auto" w:fill="FFFFFF"/>
            <w:tcMar>
              <w:top w:w="40" w:type="dxa"/>
              <w:left w:w="20" w:type="dxa"/>
              <w:bottom w:w="40" w:type="dxa"/>
              <w:right w:w="20" w:type="dxa"/>
            </w:tcMar>
            <w:vAlign w:val="bottom"/>
          </w:tcPr>
          <w:p w14:paraId="7C207891" w14:textId="77777777" w:rsidR="00834A75" w:rsidRDefault="00A6708C">
            <w:pPr>
              <w:jc w:val="right"/>
              <w:textAlignment w:val="bottom"/>
            </w:pPr>
            <w:r>
              <w:rPr>
                <w:rFonts w:ascii="sans-serif" w:eastAsia="sans-serif" w:hAnsi="sans-serif" w:cs="sans-serif"/>
                <w:color w:val="000000"/>
                <w:sz w:val="20"/>
                <w:szCs w:val="20"/>
              </w:rPr>
              <w:t> </w:t>
            </w:r>
          </w:p>
        </w:tc>
        <w:tc>
          <w:tcPr>
            <w:tcW w:w="0" w:type="auto"/>
            <w:gridSpan w:val="3"/>
            <w:shd w:val="clear" w:color="auto" w:fill="FFFFFF"/>
            <w:tcMar>
              <w:top w:w="0" w:type="dxa"/>
              <w:left w:w="20" w:type="dxa"/>
              <w:bottom w:w="0" w:type="dxa"/>
              <w:right w:w="20" w:type="dxa"/>
            </w:tcMar>
            <w:vAlign w:val="bottom"/>
          </w:tcPr>
          <w:p w14:paraId="7C207892" w14:textId="77777777" w:rsidR="00834A75" w:rsidRDefault="00834A75">
            <w:pPr>
              <w:rPr>
                <w:rFonts w:ascii="宋体"/>
              </w:rPr>
            </w:pPr>
          </w:p>
        </w:tc>
        <w:tc>
          <w:tcPr>
            <w:tcW w:w="0" w:type="auto"/>
            <w:gridSpan w:val="3"/>
            <w:shd w:val="clear" w:color="auto" w:fill="FFFFFF"/>
            <w:tcMar>
              <w:top w:w="40" w:type="dxa"/>
              <w:left w:w="20" w:type="dxa"/>
              <w:bottom w:w="40" w:type="dxa"/>
              <w:right w:w="20" w:type="dxa"/>
            </w:tcMar>
            <w:vAlign w:val="bottom"/>
          </w:tcPr>
          <w:p w14:paraId="7C207893" w14:textId="77777777" w:rsidR="00834A75" w:rsidRDefault="00A6708C">
            <w:pPr>
              <w:textAlignment w:val="bottom"/>
            </w:pPr>
            <w:r>
              <w:rPr>
                <w:rFonts w:ascii="sans-serif" w:eastAsia="sans-serif" w:hAnsi="sans-serif" w:cs="sans-serif"/>
                <w:color w:val="000000"/>
                <w:sz w:val="20"/>
                <w:szCs w:val="20"/>
              </w:rPr>
              <w:t> </w:t>
            </w:r>
          </w:p>
        </w:tc>
        <w:tc>
          <w:tcPr>
            <w:tcW w:w="0" w:type="auto"/>
            <w:shd w:val="clear" w:color="auto" w:fill="auto"/>
            <w:vAlign w:val="bottom"/>
          </w:tcPr>
          <w:p w14:paraId="7C207894" w14:textId="77777777" w:rsidR="00834A75" w:rsidRDefault="00834A75">
            <w:pPr>
              <w:rPr>
                <w:rFonts w:ascii="宋体"/>
                <w:vanish/>
              </w:rPr>
            </w:pPr>
          </w:p>
        </w:tc>
        <w:tc>
          <w:tcPr>
            <w:tcW w:w="0" w:type="auto"/>
            <w:shd w:val="clear" w:color="auto" w:fill="auto"/>
            <w:vAlign w:val="bottom"/>
          </w:tcPr>
          <w:p w14:paraId="7C207895" w14:textId="77777777" w:rsidR="00834A75" w:rsidRDefault="00834A75">
            <w:pPr>
              <w:rPr>
                <w:rFonts w:ascii="宋体"/>
                <w:vanish/>
              </w:rPr>
            </w:pPr>
          </w:p>
        </w:tc>
        <w:tc>
          <w:tcPr>
            <w:tcW w:w="0" w:type="auto"/>
            <w:gridSpan w:val="3"/>
            <w:shd w:val="clear" w:color="auto" w:fill="auto"/>
            <w:vAlign w:val="bottom"/>
          </w:tcPr>
          <w:p w14:paraId="7C207896" w14:textId="77777777" w:rsidR="00834A75" w:rsidRDefault="00834A75">
            <w:pPr>
              <w:rPr>
                <w:rFonts w:ascii="宋体"/>
                <w:vanish/>
              </w:rPr>
            </w:pPr>
          </w:p>
        </w:tc>
        <w:tc>
          <w:tcPr>
            <w:tcW w:w="0" w:type="auto"/>
            <w:gridSpan w:val="3"/>
            <w:shd w:val="clear" w:color="auto" w:fill="auto"/>
            <w:vAlign w:val="bottom"/>
          </w:tcPr>
          <w:p w14:paraId="7C207897" w14:textId="77777777" w:rsidR="00834A75" w:rsidRDefault="00834A75">
            <w:pPr>
              <w:rPr>
                <w:rFonts w:ascii="宋体"/>
                <w:vanish/>
              </w:rPr>
            </w:pPr>
          </w:p>
        </w:tc>
      </w:tr>
      <w:tr w:rsidR="00834A75" w14:paraId="7C2078A3" w14:textId="77777777">
        <w:trPr>
          <w:jc w:val="center"/>
        </w:trPr>
        <w:tc>
          <w:tcPr>
            <w:tcW w:w="0" w:type="auto"/>
            <w:gridSpan w:val="3"/>
            <w:shd w:val="clear" w:color="auto" w:fill="E2EFD9"/>
            <w:tcMar>
              <w:top w:w="40" w:type="dxa"/>
              <w:left w:w="515" w:type="dxa"/>
              <w:bottom w:w="40" w:type="dxa"/>
              <w:right w:w="20" w:type="dxa"/>
            </w:tcMar>
            <w:vAlign w:val="bottom"/>
          </w:tcPr>
          <w:p w14:paraId="7C207899" w14:textId="77777777" w:rsidR="00834A75" w:rsidRDefault="00A6708C">
            <w:pPr>
              <w:textAlignment w:val="bottom"/>
            </w:pPr>
            <w:r>
              <w:rPr>
                <w:rFonts w:ascii="sans-serif" w:eastAsia="sans-serif" w:hAnsi="sans-serif" w:cs="sans-serif"/>
                <w:color w:val="000000"/>
                <w:sz w:val="20"/>
                <w:szCs w:val="20"/>
              </w:rPr>
              <w:t xml:space="preserve">Research and </w:t>
            </w:r>
            <w:r>
              <w:rPr>
                <w:rFonts w:ascii="sans-serif" w:eastAsia="sans-serif" w:hAnsi="sans-serif" w:cs="sans-serif"/>
                <w:color w:val="000000"/>
                <w:sz w:val="20"/>
                <w:szCs w:val="20"/>
              </w:rPr>
              <w:t>development</w:t>
            </w:r>
          </w:p>
        </w:tc>
        <w:tc>
          <w:tcPr>
            <w:tcW w:w="0" w:type="auto"/>
            <w:gridSpan w:val="2"/>
            <w:shd w:val="clear" w:color="auto" w:fill="E2EFD9"/>
            <w:tcMar>
              <w:top w:w="40" w:type="dxa"/>
              <w:left w:w="20" w:type="dxa"/>
              <w:bottom w:w="40" w:type="dxa"/>
              <w:right w:w="0" w:type="dxa"/>
            </w:tcMar>
            <w:vAlign w:val="bottom"/>
          </w:tcPr>
          <w:p w14:paraId="7C20789A" w14:textId="77777777" w:rsidR="00834A75" w:rsidRDefault="00A6708C">
            <w:pPr>
              <w:jc w:val="right"/>
              <w:textAlignment w:val="bottom"/>
            </w:pPr>
            <w:r>
              <w:rPr>
                <w:rFonts w:ascii="sans-serif" w:eastAsia="sans-serif" w:hAnsi="sans-serif" w:cs="sans-serif"/>
                <w:color w:val="000000"/>
                <w:sz w:val="20"/>
                <w:szCs w:val="20"/>
              </w:rPr>
              <w:t>1,618 </w:t>
            </w:r>
          </w:p>
        </w:tc>
        <w:tc>
          <w:tcPr>
            <w:tcW w:w="0" w:type="auto"/>
            <w:shd w:val="clear" w:color="auto" w:fill="E2EFD9"/>
            <w:tcMar>
              <w:top w:w="40" w:type="dxa"/>
              <w:left w:w="0" w:type="dxa"/>
              <w:bottom w:w="40" w:type="dxa"/>
              <w:right w:w="20" w:type="dxa"/>
            </w:tcMar>
            <w:vAlign w:val="bottom"/>
          </w:tcPr>
          <w:p w14:paraId="7C20789B" w14:textId="77777777" w:rsidR="00834A75" w:rsidRDefault="00834A75">
            <w:pPr>
              <w:jc w:val="right"/>
              <w:rPr>
                <w:rFonts w:ascii="宋体"/>
              </w:rPr>
            </w:pPr>
          </w:p>
        </w:tc>
        <w:tc>
          <w:tcPr>
            <w:tcW w:w="0" w:type="auto"/>
            <w:gridSpan w:val="3"/>
            <w:shd w:val="clear" w:color="auto" w:fill="E2EFD9"/>
            <w:tcMar>
              <w:top w:w="0" w:type="dxa"/>
              <w:left w:w="20" w:type="dxa"/>
              <w:bottom w:w="0" w:type="dxa"/>
              <w:right w:w="20" w:type="dxa"/>
            </w:tcMar>
            <w:vAlign w:val="bottom"/>
          </w:tcPr>
          <w:p w14:paraId="7C20789C" w14:textId="77777777" w:rsidR="00834A75" w:rsidRDefault="00834A75">
            <w:pPr>
              <w:rPr>
                <w:rFonts w:ascii="宋体"/>
              </w:rPr>
            </w:pPr>
          </w:p>
        </w:tc>
        <w:tc>
          <w:tcPr>
            <w:tcW w:w="0" w:type="auto"/>
            <w:gridSpan w:val="2"/>
            <w:shd w:val="clear" w:color="auto" w:fill="E2EFD9"/>
            <w:tcMar>
              <w:top w:w="40" w:type="dxa"/>
              <w:left w:w="20" w:type="dxa"/>
              <w:bottom w:w="40" w:type="dxa"/>
              <w:right w:w="0" w:type="dxa"/>
            </w:tcMar>
            <w:vAlign w:val="bottom"/>
          </w:tcPr>
          <w:p w14:paraId="7C20789D" w14:textId="77777777" w:rsidR="00834A75" w:rsidRDefault="00A6708C">
            <w:pPr>
              <w:jc w:val="right"/>
              <w:textAlignment w:val="bottom"/>
            </w:pPr>
            <w:r>
              <w:rPr>
                <w:rFonts w:ascii="sans-serif" w:eastAsia="sans-serif" w:hAnsi="sans-serif" w:cs="sans-serif"/>
                <w:color w:val="000000"/>
                <w:sz w:val="20"/>
                <w:szCs w:val="20"/>
              </w:rPr>
              <w:t>1,153 </w:t>
            </w:r>
          </w:p>
        </w:tc>
        <w:tc>
          <w:tcPr>
            <w:tcW w:w="0" w:type="auto"/>
            <w:shd w:val="clear" w:color="auto" w:fill="E2EFD9"/>
            <w:tcMar>
              <w:top w:w="40" w:type="dxa"/>
              <w:left w:w="0" w:type="dxa"/>
              <w:bottom w:w="40" w:type="dxa"/>
              <w:right w:w="20" w:type="dxa"/>
            </w:tcMar>
            <w:vAlign w:val="bottom"/>
          </w:tcPr>
          <w:p w14:paraId="7C20789E" w14:textId="77777777" w:rsidR="00834A75" w:rsidRDefault="00834A75">
            <w:pPr>
              <w:jc w:val="right"/>
              <w:rPr>
                <w:rFonts w:ascii="宋体"/>
              </w:rPr>
            </w:pPr>
          </w:p>
        </w:tc>
        <w:tc>
          <w:tcPr>
            <w:tcW w:w="0" w:type="auto"/>
            <w:shd w:val="clear" w:color="auto" w:fill="auto"/>
            <w:vAlign w:val="bottom"/>
          </w:tcPr>
          <w:p w14:paraId="7C20789F" w14:textId="77777777" w:rsidR="00834A75" w:rsidRDefault="00834A75">
            <w:pPr>
              <w:rPr>
                <w:rFonts w:ascii="宋体"/>
                <w:vanish/>
              </w:rPr>
            </w:pPr>
          </w:p>
        </w:tc>
        <w:tc>
          <w:tcPr>
            <w:tcW w:w="0" w:type="auto"/>
            <w:shd w:val="clear" w:color="auto" w:fill="auto"/>
            <w:vAlign w:val="bottom"/>
          </w:tcPr>
          <w:p w14:paraId="7C2078A0" w14:textId="77777777" w:rsidR="00834A75" w:rsidRDefault="00834A75">
            <w:pPr>
              <w:rPr>
                <w:rFonts w:ascii="宋体"/>
                <w:vanish/>
              </w:rPr>
            </w:pPr>
          </w:p>
        </w:tc>
        <w:tc>
          <w:tcPr>
            <w:tcW w:w="0" w:type="auto"/>
            <w:gridSpan w:val="3"/>
            <w:shd w:val="clear" w:color="auto" w:fill="auto"/>
            <w:vAlign w:val="bottom"/>
          </w:tcPr>
          <w:p w14:paraId="7C2078A1" w14:textId="77777777" w:rsidR="00834A75" w:rsidRDefault="00834A75">
            <w:pPr>
              <w:rPr>
                <w:rFonts w:ascii="宋体"/>
                <w:vanish/>
              </w:rPr>
            </w:pPr>
          </w:p>
        </w:tc>
        <w:tc>
          <w:tcPr>
            <w:tcW w:w="0" w:type="auto"/>
            <w:gridSpan w:val="3"/>
            <w:shd w:val="clear" w:color="auto" w:fill="auto"/>
            <w:vAlign w:val="bottom"/>
          </w:tcPr>
          <w:p w14:paraId="7C2078A2" w14:textId="77777777" w:rsidR="00834A75" w:rsidRDefault="00834A75">
            <w:pPr>
              <w:rPr>
                <w:rFonts w:ascii="宋体"/>
                <w:vanish/>
              </w:rPr>
            </w:pPr>
          </w:p>
        </w:tc>
      </w:tr>
      <w:tr w:rsidR="00834A75" w14:paraId="7C2078AE" w14:textId="77777777">
        <w:trPr>
          <w:jc w:val="center"/>
        </w:trPr>
        <w:tc>
          <w:tcPr>
            <w:tcW w:w="0" w:type="auto"/>
            <w:gridSpan w:val="3"/>
            <w:shd w:val="clear" w:color="auto" w:fill="FFFFFF"/>
            <w:tcMar>
              <w:top w:w="40" w:type="dxa"/>
              <w:left w:w="515" w:type="dxa"/>
              <w:bottom w:w="40" w:type="dxa"/>
              <w:right w:w="20" w:type="dxa"/>
            </w:tcMar>
            <w:vAlign w:val="bottom"/>
          </w:tcPr>
          <w:p w14:paraId="7C2078A4" w14:textId="77777777" w:rsidR="00834A75" w:rsidRDefault="00A6708C">
            <w:pPr>
              <w:textAlignment w:val="bottom"/>
            </w:pPr>
            <w:r>
              <w:rPr>
                <w:rFonts w:ascii="sans-serif" w:eastAsia="sans-serif" w:hAnsi="sans-serif" w:cs="sans-serif"/>
                <w:color w:val="000000"/>
                <w:sz w:val="20"/>
                <w:szCs w:val="20"/>
              </w:rPr>
              <w:t>Sales, general and administrative</w:t>
            </w:r>
          </w:p>
        </w:tc>
        <w:tc>
          <w:tcPr>
            <w:tcW w:w="0" w:type="auto"/>
            <w:gridSpan w:val="2"/>
            <w:shd w:val="clear" w:color="auto" w:fill="FFFFFF"/>
            <w:tcMar>
              <w:top w:w="40" w:type="dxa"/>
              <w:left w:w="20" w:type="dxa"/>
              <w:bottom w:w="40" w:type="dxa"/>
              <w:right w:w="0" w:type="dxa"/>
            </w:tcMar>
            <w:vAlign w:val="bottom"/>
          </w:tcPr>
          <w:p w14:paraId="7C2078A5" w14:textId="77777777" w:rsidR="00834A75" w:rsidRDefault="00A6708C">
            <w:pPr>
              <w:jc w:val="right"/>
              <w:textAlignment w:val="bottom"/>
            </w:pPr>
            <w:r>
              <w:rPr>
                <w:rFonts w:ascii="sans-serif" w:eastAsia="sans-serif" w:hAnsi="sans-serif" w:cs="sans-serif"/>
                <w:color w:val="000000"/>
                <w:sz w:val="20"/>
                <w:szCs w:val="20"/>
              </w:rPr>
              <w:t>592 </w:t>
            </w:r>
          </w:p>
        </w:tc>
        <w:tc>
          <w:tcPr>
            <w:tcW w:w="0" w:type="auto"/>
            <w:shd w:val="clear" w:color="auto" w:fill="FFFFFF"/>
            <w:tcMar>
              <w:top w:w="40" w:type="dxa"/>
              <w:left w:w="0" w:type="dxa"/>
              <w:bottom w:w="40" w:type="dxa"/>
              <w:right w:w="20" w:type="dxa"/>
            </w:tcMar>
            <w:vAlign w:val="bottom"/>
          </w:tcPr>
          <w:p w14:paraId="7C2078A6" w14:textId="77777777" w:rsidR="00834A75" w:rsidRDefault="00834A75">
            <w:pPr>
              <w:jc w:val="right"/>
              <w:rPr>
                <w:rFonts w:ascii="宋体"/>
              </w:rPr>
            </w:pPr>
          </w:p>
        </w:tc>
        <w:tc>
          <w:tcPr>
            <w:tcW w:w="0" w:type="auto"/>
            <w:gridSpan w:val="3"/>
            <w:shd w:val="clear" w:color="auto" w:fill="FFFFFF"/>
            <w:tcMar>
              <w:top w:w="0" w:type="dxa"/>
              <w:left w:w="20" w:type="dxa"/>
              <w:bottom w:w="0" w:type="dxa"/>
              <w:right w:w="20" w:type="dxa"/>
            </w:tcMar>
            <w:vAlign w:val="bottom"/>
          </w:tcPr>
          <w:p w14:paraId="7C2078A7" w14:textId="77777777" w:rsidR="00834A75" w:rsidRDefault="00834A75">
            <w:pPr>
              <w:rPr>
                <w:rFonts w:ascii="宋体"/>
              </w:rPr>
            </w:pPr>
          </w:p>
        </w:tc>
        <w:tc>
          <w:tcPr>
            <w:tcW w:w="0" w:type="auto"/>
            <w:gridSpan w:val="2"/>
            <w:shd w:val="clear" w:color="auto" w:fill="FFFFFF"/>
            <w:tcMar>
              <w:top w:w="40" w:type="dxa"/>
              <w:left w:w="20" w:type="dxa"/>
              <w:bottom w:w="40" w:type="dxa"/>
              <w:right w:w="0" w:type="dxa"/>
            </w:tcMar>
            <w:vAlign w:val="bottom"/>
          </w:tcPr>
          <w:p w14:paraId="7C2078A8" w14:textId="77777777" w:rsidR="00834A75" w:rsidRDefault="00A6708C">
            <w:pPr>
              <w:jc w:val="right"/>
              <w:textAlignment w:val="bottom"/>
            </w:pPr>
            <w:r>
              <w:rPr>
                <w:rFonts w:ascii="sans-serif" w:eastAsia="sans-serif" w:hAnsi="sans-serif" w:cs="sans-serif"/>
                <w:color w:val="000000"/>
                <w:sz w:val="20"/>
                <w:szCs w:val="20"/>
              </w:rPr>
              <w:t>520 </w:t>
            </w:r>
          </w:p>
        </w:tc>
        <w:tc>
          <w:tcPr>
            <w:tcW w:w="0" w:type="auto"/>
            <w:shd w:val="clear" w:color="auto" w:fill="FFFFFF"/>
            <w:tcMar>
              <w:top w:w="40" w:type="dxa"/>
              <w:left w:w="0" w:type="dxa"/>
              <w:bottom w:w="40" w:type="dxa"/>
              <w:right w:w="20" w:type="dxa"/>
            </w:tcMar>
            <w:vAlign w:val="bottom"/>
          </w:tcPr>
          <w:p w14:paraId="7C2078A9" w14:textId="77777777" w:rsidR="00834A75" w:rsidRDefault="00834A75">
            <w:pPr>
              <w:jc w:val="right"/>
              <w:rPr>
                <w:rFonts w:ascii="宋体"/>
              </w:rPr>
            </w:pPr>
          </w:p>
        </w:tc>
        <w:tc>
          <w:tcPr>
            <w:tcW w:w="0" w:type="auto"/>
            <w:shd w:val="clear" w:color="auto" w:fill="auto"/>
            <w:vAlign w:val="bottom"/>
          </w:tcPr>
          <w:p w14:paraId="7C2078AA" w14:textId="77777777" w:rsidR="00834A75" w:rsidRDefault="00834A75">
            <w:pPr>
              <w:rPr>
                <w:rFonts w:ascii="宋体"/>
                <w:vanish/>
              </w:rPr>
            </w:pPr>
          </w:p>
        </w:tc>
        <w:tc>
          <w:tcPr>
            <w:tcW w:w="0" w:type="auto"/>
            <w:shd w:val="clear" w:color="auto" w:fill="auto"/>
            <w:vAlign w:val="bottom"/>
          </w:tcPr>
          <w:p w14:paraId="7C2078AB" w14:textId="77777777" w:rsidR="00834A75" w:rsidRDefault="00834A75">
            <w:pPr>
              <w:rPr>
                <w:rFonts w:ascii="宋体"/>
                <w:vanish/>
              </w:rPr>
            </w:pPr>
          </w:p>
        </w:tc>
        <w:tc>
          <w:tcPr>
            <w:tcW w:w="0" w:type="auto"/>
            <w:gridSpan w:val="3"/>
            <w:shd w:val="clear" w:color="auto" w:fill="auto"/>
            <w:vAlign w:val="bottom"/>
          </w:tcPr>
          <w:p w14:paraId="7C2078AC" w14:textId="77777777" w:rsidR="00834A75" w:rsidRDefault="00834A75">
            <w:pPr>
              <w:rPr>
                <w:rFonts w:ascii="宋体"/>
                <w:vanish/>
              </w:rPr>
            </w:pPr>
          </w:p>
        </w:tc>
        <w:tc>
          <w:tcPr>
            <w:tcW w:w="0" w:type="auto"/>
            <w:gridSpan w:val="3"/>
            <w:shd w:val="clear" w:color="auto" w:fill="auto"/>
            <w:vAlign w:val="bottom"/>
          </w:tcPr>
          <w:p w14:paraId="7C2078AD" w14:textId="77777777" w:rsidR="00834A75" w:rsidRDefault="00834A75">
            <w:pPr>
              <w:rPr>
                <w:rFonts w:ascii="宋体"/>
                <w:vanish/>
              </w:rPr>
            </w:pPr>
          </w:p>
        </w:tc>
      </w:tr>
      <w:tr w:rsidR="00834A75" w14:paraId="7C2078B9" w14:textId="77777777">
        <w:trPr>
          <w:jc w:val="center"/>
        </w:trPr>
        <w:tc>
          <w:tcPr>
            <w:tcW w:w="0" w:type="auto"/>
            <w:gridSpan w:val="3"/>
            <w:shd w:val="clear" w:color="auto" w:fill="E2EFD9"/>
            <w:tcMar>
              <w:top w:w="40" w:type="dxa"/>
              <w:left w:w="20" w:type="dxa"/>
              <w:bottom w:w="40" w:type="dxa"/>
              <w:right w:w="20" w:type="dxa"/>
            </w:tcMar>
            <w:vAlign w:val="bottom"/>
          </w:tcPr>
          <w:p w14:paraId="7C2078AF" w14:textId="77777777" w:rsidR="00834A75" w:rsidRDefault="00A6708C">
            <w:pPr>
              <w:textAlignment w:val="bottom"/>
            </w:pPr>
            <w:r>
              <w:rPr>
                <w:rFonts w:ascii="sans-serif" w:eastAsia="sans-serif" w:hAnsi="sans-serif" w:cs="sans-serif"/>
                <w:color w:val="000000"/>
                <w:sz w:val="20"/>
                <w:szCs w:val="20"/>
              </w:rPr>
              <w:t>Acquisition termination cost</w:t>
            </w:r>
          </w:p>
        </w:tc>
        <w:tc>
          <w:tcPr>
            <w:tcW w:w="0" w:type="auto"/>
            <w:gridSpan w:val="2"/>
            <w:shd w:val="clear" w:color="auto" w:fill="E2EFD9"/>
            <w:tcMar>
              <w:top w:w="40" w:type="dxa"/>
              <w:left w:w="20" w:type="dxa"/>
              <w:bottom w:w="40" w:type="dxa"/>
              <w:right w:w="0" w:type="dxa"/>
            </w:tcMar>
            <w:vAlign w:val="bottom"/>
          </w:tcPr>
          <w:p w14:paraId="7C2078B0" w14:textId="77777777" w:rsidR="00834A75" w:rsidRDefault="00A6708C">
            <w:pPr>
              <w:jc w:val="right"/>
              <w:textAlignment w:val="bottom"/>
            </w:pPr>
            <w:r>
              <w:rPr>
                <w:rFonts w:ascii="sans-serif" w:eastAsia="sans-serif" w:hAnsi="sans-serif" w:cs="sans-serif"/>
                <w:color w:val="000000"/>
                <w:sz w:val="20"/>
                <w:szCs w:val="20"/>
              </w:rPr>
              <w:t>1,353 </w:t>
            </w:r>
          </w:p>
        </w:tc>
        <w:tc>
          <w:tcPr>
            <w:tcW w:w="0" w:type="auto"/>
            <w:shd w:val="clear" w:color="auto" w:fill="E2EFD9"/>
            <w:tcMar>
              <w:top w:w="40" w:type="dxa"/>
              <w:left w:w="0" w:type="dxa"/>
              <w:bottom w:w="40" w:type="dxa"/>
              <w:right w:w="20" w:type="dxa"/>
            </w:tcMar>
            <w:vAlign w:val="bottom"/>
          </w:tcPr>
          <w:p w14:paraId="7C2078B1" w14:textId="77777777" w:rsidR="00834A75" w:rsidRDefault="00834A75">
            <w:pPr>
              <w:jc w:val="right"/>
              <w:rPr>
                <w:rFonts w:ascii="宋体"/>
              </w:rPr>
            </w:pPr>
          </w:p>
        </w:tc>
        <w:tc>
          <w:tcPr>
            <w:tcW w:w="0" w:type="auto"/>
            <w:gridSpan w:val="3"/>
            <w:shd w:val="clear" w:color="auto" w:fill="E2EFD9"/>
            <w:tcMar>
              <w:top w:w="0" w:type="dxa"/>
              <w:left w:w="20" w:type="dxa"/>
              <w:bottom w:w="0" w:type="dxa"/>
              <w:right w:w="20" w:type="dxa"/>
            </w:tcMar>
            <w:vAlign w:val="bottom"/>
          </w:tcPr>
          <w:p w14:paraId="7C2078B2" w14:textId="77777777" w:rsidR="00834A75" w:rsidRDefault="00834A75">
            <w:pPr>
              <w:rPr>
                <w:rFonts w:ascii="宋体"/>
              </w:rPr>
            </w:pPr>
          </w:p>
        </w:tc>
        <w:tc>
          <w:tcPr>
            <w:tcW w:w="0" w:type="auto"/>
            <w:gridSpan w:val="2"/>
            <w:shd w:val="clear" w:color="auto" w:fill="E2EFD9"/>
            <w:tcMar>
              <w:top w:w="40" w:type="dxa"/>
              <w:left w:w="20" w:type="dxa"/>
              <w:bottom w:w="40" w:type="dxa"/>
              <w:right w:w="0" w:type="dxa"/>
            </w:tcMar>
            <w:vAlign w:val="bottom"/>
          </w:tcPr>
          <w:p w14:paraId="7C2078B3" w14:textId="77777777" w:rsidR="00834A75" w:rsidRDefault="00A6708C">
            <w:pPr>
              <w:jc w:val="right"/>
              <w:textAlignment w:val="bottom"/>
            </w:pPr>
            <w:r>
              <w:rPr>
                <w:rFonts w:ascii="sans-serif" w:eastAsia="sans-serif" w:hAnsi="sans-serif" w:cs="sans-serif"/>
                <w:color w:val="000000"/>
                <w:sz w:val="20"/>
                <w:szCs w:val="20"/>
              </w:rPr>
              <w:t>— </w:t>
            </w:r>
          </w:p>
        </w:tc>
        <w:tc>
          <w:tcPr>
            <w:tcW w:w="0" w:type="auto"/>
            <w:shd w:val="clear" w:color="auto" w:fill="E2EFD9"/>
            <w:tcMar>
              <w:top w:w="40" w:type="dxa"/>
              <w:left w:w="0" w:type="dxa"/>
              <w:bottom w:w="40" w:type="dxa"/>
              <w:right w:w="20" w:type="dxa"/>
            </w:tcMar>
            <w:vAlign w:val="bottom"/>
          </w:tcPr>
          <w:p w14:paraId="7C2078B4" w14:textId="77777777" w:rsidR="00834A75" w:rsidRDefault="00834A75">
            <w:pPr>
              <w:jc w:val="right"/>
              <w:rPr>
                <w:rFonts w:ascii="宋体"/>
              </w:rPr>
            </w:pPr>
          </w:p>
        </w:tc>
        <w:tc>
          <w:tcPr>
            <w:tcW w:w="0" w:type="auto"/>
            <w:shd w:val="clear" w:color="auto" w:fill="auto"/>
            <w:vAlign w:val="bottom"/>
          </w:tcPr>
          <w:p w14:paraId="7C2078B5" w14:textId="77777777" w:rsidR="00834A75" w:rsidRDefault="00834A75">
            <w:pPr>
              <w:rPr>
                <w:rFonts w:ascii="宋体"/>
                <w:vanish/>
              </w:rPr>
            </w:pPr>
          </w:p>
        </w:tc>
        <w:tc>
          <w:tcPr>
            <w:tcW w:w="0" w:type="auto"/>
            <w:shd w:val="clear" w:color="auto" w:fill="auto"/>
            <w:vAlign w:val="bottom"/>
          </w:tcPr>
          <w:p w14:paraId="7C2078B6" w14:textId="77777777" w:rsidR="00834A75" w:rsidRDefault="00834A75">
            <w:pPr>
              <w:rPr>
                <w:rFonts w:ascii="宋体"/>
                <w:vanish/>
              </w:rPr>
            </w:pPr>
          </w:p>
        </w:tc>
        <w:tc>
          <w:tcPr>
            <w:tcW w:w="0" w:type="auto"/>
            <w:gridSpan w:val="3"/>
            <w:shd w:val="clear" w:color="auto" w:fill="auto"/>
            <w:vAlign w:val="bottom"/>
          </w:tcPr>
          <w:p w14:paraId="7C2078B7" w14:textId="77777777" w:rsidR="00834A75" w:rsidRDefault="00834A75">
            <w:pPr>
              <w:rPr>
                <w:rFonts w:ascii="宋体"/>
                <w:vanish/>
              </w:rPr>
            </w:pPr>
          </w:p>
        </w:tc>
        <w:tc>
          <w:tcPr>
            <w:tcW w:w="0" w:type="auto"/>
            <w:gridSpan w:val="3"/>
            <w:shd w:val="clear" w:color="auto" w:fill="auto"/>
            <w:vAlign w:val="bottom"/>
          </w:tcPr>
          <w:p w14:paraId="7C2078B8" w14:textId="77777777" w:rsidR="00834A75" w:rsidRDefault="00834A75">
            <w:pPr>
              <w:rPr>
                <w:rFonts w:ascii="宋体"/>
                <w:vanish/>
              </w:rPr>
            </w:pPr>
          </w:p>
        </w:tc>
      </w:tr>
      <w:tr w:rsidR="00834A75" w14:paraId="7C2078C2" w14:textId="77777777">
        <w:trPr>
          <w:jc w:val="center"/>
          <w:hidden/>
        </w:trPr>
        <w:tc>
          <w:tcPr>
            <w:tcW w:w="0" w:type="auto"/>
            <w:gridSpan w:val="3"/>
            <w:shd w:val="clear" w:color="auto" w:fill="auto"/>
            <w:vAlign w:val="bottom"/>
          </w:tcPr>
          <w:p w14:paraId="7C2078BA" w14:textId="77777777" w:rsidR="00834A75" w:rsidRDefault="00834A75">
            <w:pPr>
              <w:rPr>
                <w:rFonts w:ascii="宋体"/>
                <w:vanish/>
              </w:rPr>
            </w:pPr>
          </w:p>
        </w:tc>
        <w:tc>
          <w:tcPr>
            <w:tcW w:w="0" w:type="auto"/>
            <w:gridSpan w:val="3"/>
            <w:shd w:val="clear" w:color="auto" w:fill="auto"/>
            <w:vAlign w:val="bottom"/>
          </w:tcPr>
          <w:p w14:paraId="7C2078BB" w14:textId="77777777" w:rsidR="00834A75" w:rsidRDefault="00834A75">
            <w:pPr>
              <w:rPr>
                <w:rFonts w:ascii="宋体"/>
                <w:vanish/>
              </w:rPr>
            </w:pPr>
          </w:p>
        </w:tc>
        <w:tc>
          <w:tcPr>
            <w:tcW w:w="0" w:type="auto"/>
            <w:gridSpan w:val="3"/>
            <w:shd w:val="clear" w:color="auto" w:fill="auto"/>
            <w:vAlign w:val="bottom"/>
          </w:tcPr>
          <w:p w14:paraId="7C2078BC" w14:textId="77777777" w:rsidR="00834A75" w:rsidRDefault="00834A75">
            <w:pPr>
              <w:rPr>
                <w:rFonts w:ascii="宋体"/>
                <w:vanish/>
              </w:rPr>
            </w:pPr>
          </w:p>
        </w:tc>
        <w:tc>
          <w:tcPr>
            <w:tcW w:w="0" w:type="auto"/>
            <w:gridSpan w:val="3"/>
            <w:shd w:val="clear" w:color="auto" w:fill="auto"/>
            <w:vAlign w:val="bottom"/>
          </w:tcPr>
          <w:p w14:paraId="7C2078BD" w14:textId="77777777" w:rsidR="00834A75" w:rsidRDefault="00834A75">
            <w:pPr>
              <w:rPr>
                <w:rFonts w:ascii="宋体"/>
                <w:vanish/>
              </w:rPr>
            </w:pPr>
          </w:p>
        </w:tc>
        <w:tc>
          <w:tcPr>
            <w:tcW w:w="0" w:type="auto"/>
            <w:shd w:val="clear" w:color="auto" w:fill="auto"/>
            <w:vAlign w:val="bottom"/>
          </w:tcPr>
          <w:p w14:paraId="7C2078BE" w14:textId="77777777" w:rsidR="00834A75" w:rsidRDefault="00834A75">
            <w:pPr>
              <w:rPr>
                <w:rFonts w:ascii="宋体"/>
                <w:vanish/>
              </w:rPr>
            </w:pPr>
          </w:p>
        </w:tc>
        <w:tc>
          <w:tcPr>
            <w:tcW w:w="0" w:type="auto"/>
            <w:shd w:val="clear" w:color="auto" w:fill="auto"/>
            <w:vAlign w:val="bottom"/>
          </w:tcPr>
          <w:p w14:paraId="7C2078BF" w14:textId="77777777" w:rsidR="00834A75" w:rsidRDefault="00834A75">
            <w:pPr>
              <w:rPr>
                <w:rFonts w:ascii="宋体"/>
                <w:vanish/>
              </w:rPr>
            </w:pPr>
          </w:p>
        </w:tc>
        <w:tc>
          <w:tcPr>
            <w:tcW w:w="0" w:type="auto"/>
            <w:gridSpan w:val="3"/>
            <w:shd w:val="clear" w:color="auto" w:fill="auto"/>
            <w:vAlign w:val="bottom"/>
          </w:tcPr>
          <w:p w14:paraId="7C2078C0" w14:textId="77777777" w:rsidR="00834A75" w:rsidRDefault="00834A75">
            <w:pPr>
              <w:rPr>
                <w:rFonts w:ascii="宋体"/>
                <w:vanish/>
              </w:rPr>
            </w:pPr>
          </w:p>
        </w:tc>
        <w:tc>
          <w:tcPr>
            <w:tcW w:w="0" w:type="auto"/>
            <w:gridSpan w:val="3"/>
            <w:shd w:val="clear" w:color="auto" w:fill="auto"/>
            <w:vAlign w:val="bottom"/>
          </w:tcPr>
          <w:p w14:paraId="7C2078C1" w14:textId="77777777" w:rsidR="00834A75" w:rsidRDefault="00834A75">
            <w:pPr>
              <w:rPr>
                <w:rFonts w:ascii="宋体"/>
                <w:vanish/>
              </w:rPr>
            </w:pPr>
          </w:p>
        </w:tc>
      </w:tr>
      <w:tr w:rsidR="00834A75" w14:paraId="7C2078CD" w14:textId="77777777">
        <w:trPr>
          <w:jc w:val="center"/>
        </w:trPr>
        <w:tc>
          <w:tcPr>
            <w:tcW w:w="0" w:type="auto"/>
            <w:gridSpan w:val="3"/>
            <w:shd w:val="clear" w:color="auto" w:fill="FFFFFF"/>
            <w:tcMar>
              <w:top w:w="40" w:type="dxa"/>
              <w:left w:w="875" w:type="dxa"/>
              <w:bottom w:w="40" w:type="dxa"/>
              <w:right w:w="20" w:type="dxa"/>
            </w:tcMar>
            <w:vAlign w:val="bottom"/>
          </w:tcPr>
          <w:p w14:paraId="7C2078C3" w14:textId="77777777" w:rsidR="00834A75" w:rsidRDefault="00A6708C">
            <w:pPr>
              <w:textAlignment w:val="bottom"/>
            </w:pPr>
            <w:r>
              <w:rPr>
                <w:rFonts w:ascii="sans-serif" w:eastAsia="sans-serif" w:hAnsi="sans-serif" w:cs="sans-serif"/>
                <w:color w:val="000000"/>
                <w:sz w:val="20"/>
                <w:szCs w:val="20"/>
              </w:rPr>
              <w:t>Total operating expenses</w:t>
            </w:r>
          </w:p>
        </w:tc>
        <w:tc>
          <w:tcPr>
            <w:tcW w:w="0" w:type="auto"/>
            <w:gridSpan w:val="2"/>
            <w:shd w:val="clear" w:color="auto" w:fill="FFFFFF"/>
            <w:tcMar>
              <w:top w:w="40" w:type="dxa"/>
              <w:left w:w="20" w:type="dxa"/>
              <w:bottom w:w="40" w:type="dxa"/>
              <w:right w:w="0" w:type="dxa"/>
            </w:tcMar>
            <w:vAlign w:val="bottom"/>
          </w:tcPr>
          <w:p w14:paraId="7C2078C4" w14:textId="77777777" w:rsidR="00834A75" w:rsidRDefault="00A6708C">
            <w:pPr>
              <w:jc w:val="right"/>
              <w:textAlignment w:val="bottom"/>
            </w:pPr>
            <w:r>
              <w:rPr>
                <w:rFonts w:ascii="sans-serif" w:eastAsia="sans-serif" w:hAnsi="sans-serif" w:cs="sans-serif"/>
                <w:color w:val="000000"/>
                <w:sz w:val="20"/>
                <w:szCs w:val="20"/>
              </w:rPr>
              <w:t>3,563 </w:t>
            </w:r>
          </w:p>
        </w:tc>
        <w:tc>
          <w:tcPr>
            <w:tcW w:w="0" w:type="auto"/>
            <w:shd w:val="clear" w:color="auto" w:fill="FFFFFF"/>
            <w:tcMar>
              <w:top w:w="40" w:type="dxa"/>
              <w:left w:w="0" w:type="dxa"/>
              <w:bottom w:w="40" w:type="dxa"/>
              <w:right w:w="20" w:type="dxa"/>
            </w:tcMar>
            <w:vAlign w:val="bottom"/>
          </w:tcPr>
          <w:p w14:paraId="7C2078C5" w14:textId="77777777" w:rsidR="00834A75" w:rsidRDefault="00834A75">
            <w:pPr>
              <w:jc w:val="right"/>
              <w:rPr>
                <w:rFonts w:ascii="宋体"/>
              </w:rPr>
            </w:pPr>
          </w:p>
        </w:tc>
        <w:tc>
          <w:tcPr>
            <w:tcW w:w="0" w:type="auto"/>
            <w:gridSpan w:val="3"/>
            <w:shd w:val="clear" w:color="auto" w:fill="FFFFFF"/>
            <w:tcMar>
              <w:top w:w="0" w:type="dxa"/>
              <w:left w:w="20" w:type="dxa"/>
              <w:bottom w:w="0" w:type="dxa"/>
              <w:right w:w="20" w:type="dxa"/>
            </w:tcMar>
            <w:vAlign w:val="bottom"/>
          </w:tcPr>
          <w:p w14:paraId="7C2078C6" w14:textId="77777777" w:rsidR="00834A75" w:rsidRDefault="00834A75">
            <w:pPr>
              <w:rPr>
                <w:rFonts w:ascii="宋体"/>
              </w:rPr>
            </w:pPr>
          </w:p>
        </w:tc>
        <w:tc>
          <w:tcPr>
            <w:tcW w:w="0" w:type="auto"/>
            <w:gridSpan w:val="2"/>
            <w:shd w:val="clear" w:color="auto" w:fill="FFFFFF"/>
            <w:tcMar>
              <w:top w:w="40" w:type="dxa"/>
              <w:left w:w="20" w:type="dxa"/>
              <w:bottom w:w="40" w:type="dxa"/>
              <w:right w:w="0" w:type="dxa"/>
            </w:tcMar>
            <w:vAlign w:val="bottom"/>
          </w:tcPr>
          <w:p w14:paraId="7C2078C7" w14:textId="77777777" w:rsidR="00834A75" w:rsidRDefault="00A6708C">
            <w:pPr>
              <w:jc w:val="right"/>
              <w:textAlignment w:val="bottom"/>
            </w:pPr>
            <w:r>
              <w:rPr>
                <w:rFonts w:ascii="sans-serif" w:eastAsia="sans-serif" w:hAnsi="sans-serif" w:cs="sans-serif"/>
                <w:color w:val="000000"/>
                <w:sz w:val="20"/>
                <w:szCs w:val="20"/>
              </w:rPr>
              <w:t>1,673 </w:t>
            </w:r>
          </w:p>
        </w:tc>
        <w:tc>
          <w:tcPr>
            <w:tcW w:w="0" w:type="auto"/>
            <w:shd w:val="clear" w:color="auto" w:fill="FFFFFF"/>
            <w:tcMar>
              <w:top w:w="40" w:type="dxa"/>
              <w:left w:w="0" w:type="dxa"/>
              <w:bottom w:w="40" w:type="dxa"/>
              <w:right w:w="20" w:type="dxa"/>
            </w:tcMar>
            <w:vAlign w:val="bottom"/>
          </w:tcPr>
          <w:p w14:paraId="7C2078C8" w14:textId="77777777" w:rsidR="00834A75" w:rsidRDefault="00834A75">
            <w:pPr>
              <w:jc w:val="right"/>
              <w:rPr>
                <w:rFonts w:ascii="宋体"/>
              </w:rPr>
            </w:pPr>
          </w:p>
        </w:tc>
        <w:tc>
          <w:tcPr>
            <w:tcW w:w="0" w:type="auto"/>
            <w:shd w:val="clear" w:color="auto" w:fill="auto"/>
            <w:vAlign w:val="bottom"/>
          </w:tcPr>
          <w:p w14:paraId="7C2078C9" w14:textId="77777777" w:rsidR="00834A75" w:rsidRDefault="00834A75">
            <w:pPr>
              <w:rPr>
                <w:rFonts w:ascii="宋体"/>
                <w:vanish/>
              </w:rPr>
            </w:pPr>
          </w:p>
        </w:tc>
        <w:tc>
          <w:tcPr>
            <w:tcW w:w="0" w:type="auto"/>
            <w:shd w:val="clear" w:color="auto" w:fill="auto"/>
            <w:vAlign w:val="bottom"/>
          </w:tcPr>
          <w:p w14:paraId="7C2078CA" w14:textId="77777777" w:rsidR="00834A75" w:rsidRDefault="00834A75">
            <w:pPr>
              <w:rPr>
                <w:rFonts w:ascii="宋体"/>
                <w:vanish/>
              </w:rPr>
            </w:pPr>
          </w:p>
        </w:tc>
        <w:tc>
          <w:tcPr>
            <w:tcW w:w="0" w:type="auto"/>
            <w:gridSpan w:val="3"/>
            <w:shd w:val="clear" w:color="auto" w:fill="auto"/>
            <w:vAlign w:val="bottom"/>
          </w:tcPr>
          <w:p w14:paraId="7C2078CB" w14:textId="77777777" w:rsidR="00834A75" w:rsidRDefault="00834A75">
            <w:pPr>
              <w:rPr>
                <w:rFonts w:ascii="宋体"/>
                <w:vanish/>
              </w:rPr>
            </w:pPr>
          </w:p>
        </w:tc>
        <w:tc>
          <w:tcPr>
            <w:tcW w:w="0" w:type="auto"/>
            <w:gridSpan w:val="3"/>
            <w:shd w:val="clear" w:color="auto" w:fill="auto"/>
            <w:vAlign w:val="bottom"/>
          </w:tcPr>
          <w:p w14:paraId="7C2078CC" w14:textId="77777777" w:rsidR="00834A75" w:rsidRDefault="00834A75">
            <w:pPr>
              <w:rPr>
                <w:rFonts w:ascii="宋体"/>
                <w:vanish/>
              </w:rPr>
            </w:pPr>
          </w:p>
        </w:tc>
      </w:tr>
      <w:tr w:rsidR="00834A75" w14:paraId="7C2078D8" w14:textId="77777777">
        <w:trPr>
          <w:jc w:val="center"/>
        </w:trPr>
        <w:tc>
          <w:tcPr>
            <w:tcW w:w="0" w:type="auto"/>
            <w:gridSpan w:val="3"/>
            <w:shd w:val="clear" w:color="auto" w:fill="E2EFD9"/>
            <w:tcMar>
              <w:top w:w="40" w:type="dxa"/>
              <w:left w:w="20" w:type="dxa"/>
              <w:bottom w:w="40" w:type="dxa"/>
              <w:right w:w="20" w:type="dxa"/>
            </w:tcMar>
            <w:vAlign w:val="bottom"/>
          </w:tcPr>
          <w:p w14:paraId="7C2078CE" w14:textId="77777777" w:rsidR="00834A75" w:rsidRDefault="00A6708C">
            <w:pPr>
              <w:textAlignment w:val="bottom"/>
            </w:pPr>
            <w:r>
              <w:rPr>
                <w:rFonts w:ascii="sans-serif" w:eastAsia="sans-serif" w:hAnsi="sans-serif" w:cs="sans-serif"/>
                <w:color w:val="000000"/>
                <w:sz w:val="20"/>
                <w:szCs w:val="20"/>
              </w:rPr>
              <w:t>Income from operations</w:t>
            </w:r>
          </w:p>
        </w:tc>
        <w:tc>
          <w:tcPr>
            <w:tcW w:w="0" w:type="auto"/>
            <w:gridSpan w:val="2"/>
            <w:tcBorders>
              <w:top w:val="single" w:sz="8" w:space="0" w:color="000000"/>
            </w:tcBorders>
            <w:shd w:val="clear" w:color="auto" w:fill="E2EFD9"/>
            <w:tcMar>
              <w:top w:w="40" w:type="dxa"/>
              <w:left w:w="20" w:type="dxa"/>
              <w:bottom w:w="40" w:type="dxa"/>
              <w:right w:w="0" w:type="dxa"/>
            </w:tcMar>
            <w:vAlign w:val="bottom"/>
          </w:tcPr>
          <w:p w14:paraId="7C2078CF" w14:textId="77777777" w:rsidR="00834A75" w:rsidRDefault="00A6708C">
            <w:pPr>
              <w:jc w:val="right"/>
              <w:textAlignment w:val="bottom"/>
            </w:pPr>
            <w:r>
              <w:rPr>
                <w:rFonts w:ascii="sans-serif" w:eastAsia="sans-serif" w:hAnsi="sans-serif" w:cs="sans-serif"/>
                <w:color w:val="000000"/>
                <w:sz w:val="20"/>
                <w:szCs w:val="20"/>
              </w:rPr>
              <w:t>1,868 </w:t>
            </w:r>
          </w:p>
        </w:tc>
        <w:tc>
          <w:tcPr>
            <w:tcW w:w="0" w:type="auto"/>
            <w:tcBorders>
              <w:top w:val="single" w:sz="8" w:space="0" w:color="000000"/>
            </w:tcBorders>
            <w:shd w:val="clear" w:color="auto" w:fill="E2EFD9"/>
            <w:tcMar>
              <w:top w:w="40" w:type="dxa"/>
              <w:left w:w="0" w:type="dxa"/>
              <w:bottom w:w="40" w:type="dxa"/>
              <w:right w:w="20" w:type="dxa"/>
            </w:tcMar>
            <w:vAlign w:val="bottom"/>
          </w:tcPr>
          <w:p w14:paraId="7C2078D0" w14:textId="77777777" w:rsidR="00834A75" w:rsidRDefault="00834A75">
            <w:pPr>
              <w:jc w:val="right"/>
              <w:rPr>
                <w:rFonts w:ascii="宋体"/>
              </w:rPr>
            </w:pPr>
          </w:p>
        </w:tc>
        <w:tc>
          <w:tcPr>
            <w:tcW w:w="0" w:type="auto"/>
            <w:gridSpan w:val="3"/>
            <w:shd w:val="clear" w:color="auto" w:fill="E2EFD9"/>
            <w:tcMar>
              <w:top w:w="0" w:type="dxa"/>
              <w:left w:w="20" w:type="dxa"/>
              <w:bottom w:w="0" w:type="dxa"/>
              <w:right w:w="20" w:type="dxa"/>
            </w:tcMar>
            <w:vAlign w:val="bottom"/>
          </w:tcPr>
          <w:p w14:paraId="7C2078D1" w14:textId="77777777" w:rsidR="00834A75" w:rsidRDefault="00834A75">
            <w:pPr>
              <w:rPr>
                <w:rFonts w:ascii="宋体"/>
              </w:rPr>
            </w:pPr>
          </w:p>
        </w:tc>
        <w:tc>
          <w:tcPr>
            <w:tcW w:w="0" w:type="auto"/>
            <w:gridSpan w:val="2"/>
            <w:tcBorders>
              <w:top w:val="single" w:sz="8" w:space="0" w:color="000000"/>
            </w:tcBorders>
            <w:shd w:val="clear" w:color="auto" w:fill="E2EFD9"/>
            <w:tcMar>
              <w:top w:w="40" w:type="dxa"/>
              <w:left w:w="20" w:type="dxa"/>
              <w:bottom w:w="40" w:type="dxa"/>
              <w:right w:w="0" w:type="dxa"/>
            </w:tcMar>
            <w:vAlign w:val="bottom"/>
          </w:tcPr>
          <w:p w14:paraId="7C2078D2" w14:textId="77777777" w:rsidR="00834A75" w:rsidRDefault="00A6708C">
            <w:pPr>
              <w:jc w:val="right"/>
              <w:textAlignment w:val="bottom"/>
            </w:pPr>
            <w:r>
              <w:rPr>
                <w:rFonts w:ascii="sans-serif" w:eastAsia="sans-serif" w:hAnsi="sans-serif" w:cs="sans-serif"/>
                <w:color w:val="000000"/>
                <w:sz w:val="20"/>
                <w:szCs w:val="20"/>
              </w:rPr>
              <w:t>1,956 </w:t>
            </w:r>
          </w:p>
        </w:tc>
        <w:tc>
          <w:tcPr>
            <w:tcW w:w="0" w:type="auto"/>
            <w:tcBorders>
              <w:top w:val="single" w:sz="8" w:space="0" w:color="000000"/>
            </w:tcBorders>
            <w:shd w:val="clear" w:color="auto" w:fill="E2EFD9"/>
            <w:tcMar>
              <w:top w:w="40" w:type="dxa"/>
              <w:left w:w="0" w:type="dxa"/>
              <w:bottom w:w="40" w:type="dxa"/>
              <w:right w:w="20" w:type="dxa"/>
            </w:tcMar>
            <w:vAlign w:val="bottom"/>
          </w:tcPr>
          <w:p w14:paraId="7C2078D3" w14:textId="77777777" w:rsidR="00834A75" w:rsidRDefault="00834A75">
            <w:pPr>
              <w:jc w:val="right"/>
              <w:rPr>
                <w:rFonts w:ascii="宋体"/>
              </w:rPr>
            </w:pPr>
          </w:p>
        </w:tc>
        <w:tc>
          <w:tcPr>
            <w:tcW w:w="0" w:type="auto"/>
            <w:shd w:val="clear" w:color="auto" w:fill="auto"/>
            <w:vAlign w:val="bottom"/>
          </w:tcPr>
          <w:p w14:paraId="7C2078D4" w14:textId="77777777" w:rsidR="00834A75" w:rsidRDefault="00834A75">
            <w:pPr>
              <w:rPr>
                <w:rFonts w:ascii="宋体"/>
                <w:vanish/>
              </w:rPr>
            </w:pPr>
          </w:p>
        </w:tc>
        <w:tc>
          <w:tcPr>
            <w:tcW w:w="0" w:type="auto"/>
            <w:shd w:val="clear" w:color="auto" w:fill="auto"/>
            <w:vAlign w:val="bottom"/>
          </w:tcPr>
          <w:p w14:paraId="7C2078D5" w14:textId="77777777" w:rsidR="00834A75" w:rsidRDefault="00834A75">
            <w:pPr>
              <w:rPr>
                <w:rFonts w:ascii="宋体"/>
                <w:vanish/>
              </w:rPr>
            </w:pPr>
          </w:p>
        </w:tc>
        <w:tc>
          <w:tcPr>
            <w:tcW w:w="0" w:type="auto"/>
            <w:gridSpan w:val="3"/>
            <w:shd w:val="clear" w:color="auto" w:fill="auto"/>
            <w:vAlign w:val="bottom"/>
          </w:tcPr>
          <w:p w14:paraId="7C2078D6" w14:textId="77777777" w:rsidR="00834A75" w:rsidRDefault="00834A75">
            <w:pPr>
              <w:rPr>
                <w:rFonts w:ascii="宋体"/>
                <w:vanish/>
              </w:rPr>
            </w:pPr>
          </w:p>
        </w:tc>
        <w:tc>
          <w:tcPr>
            <w:tcW w:w="0" w:type="auto"/>
            <w:gridSpan w:val="3"/>
            <w:shd w:val="clear" w:color="auto" w:fill="auto"/>
            <w:vAlign w:val="bottom"/>
          </w:tcPr>
          <w:p w14:paraId="7C2078D7" w14:textId="77777777" w:rsidR="00834A75" w:rsidRDefault="00834A75">
            <w:pPr>
              <w:rPr>
                <w:rFonts w:ascii="宋体"/>
                <w:vanish/>
              </w:rPr>
            </w:pPr>
          </w:p>
        </w:tc>
      </w:tr>
      <w:tr w:rsidR="00834A75" w14:paraId="7C2078E3" w14:textId="77777777">
        <w:trPr>
          <w:jc w:val="center"/>
        </w:trPr>
        <w:tc>
          <w:tcPr>
            <w:tcW w:w="0" w:type="auto"/>
            <w:gridSpan w:val="3"/>
            <w:shd w:val="clear" w:color="auto" w:fill="FFFFFF"/>
            <w:tcMar>
              <w:top w:w="40" w:type="dxa"/>
              <w:left w:w="515" w:type="dxa"/>
              <w:bottom w:w="40" w:type="dxa"/>
              <w:right w:w="20" w:type="dxa"/>
            </w:tcMar>
            <w:vAlign w:val="bottom"/>
          </w:tcPr>
          <w:p w14:paraId="7C2078D9" w14:textId="77777777" w:rsidR="00834A75" w:rsidRDefault="00A6708C">
            <w:pPr>
              <w:textAlignment w:val="bottom"/>
            </w:pPr>
            <w:r>
              <w:rPr>
                <w:rFonts w:ascii="sans-serif" w:eastAsia="sans-serif" w:hAnsi="sans-serif" w:cs="sans-serif"/>
                <w:color w:val="000000"/>
                <w:sz w:val="20"/>
                <w:szCs w:val="20"/>
              </w:rPr>
              <w:t>Interest income</w:t>
            </w:r>
          </w:p>
        </w:tc>
        <w:tc>
          <w:tcPr>
            <w:tcW w:w="0" w:type="auto"/>
            <w:gridSpan w:val="2"/>
            <w:shd w:val="clear" w:color="auto" w:fill="FFFFFF"/>
            <w:tcMar>
              <w:top w:w="40" w:type="dxa"/>
              <w:left w:w="20" w:type="dxa"/>
              <w:bottom w:w="40" w:type="dxa"/>
              <w:right w:w="0" w:type="dxa"/>
            </w:tcMar>
            <w:vAlign w:val="bottom"/>
          </w:tcPr>
          <w:p w14:paraId="7C2078DA" w14:textId="77777777" w:rsidR="00834A75" w:rsidRDefault="00A6708C">
            <w:pPr>
              <w:jc w:val="right"/>
              <w:textAlignment w:val="bottom"/>
            </w:pPr>
            <w:r>
              <w:rPr>
                <w:rFonts w:ascii="sans-serif" w:eastAsia="sans-serif" w:hAnsi="sans-serif" w:cs="sans-serif"/>
                <w:color w:val="000000"/>
                <w:sz w:val="20"/>
                <w:szCs w:val="20"/>
              </w:rPr>
              <w:t>18 </w:t>
            </w:r>
          </w:p>
        </w:tc>
        <w:tc>
          <w:tcPr>
            <w:tcW w:w="0" w:type="auto"/>
            <w:shd w:val="clear" w:color="auto" w:fill="FFFFFF"/>
            <w:tcMar>
              <w:top w:w="40" w:type="dxa"/>
              <w:left w:w="0" w:type="dxa"/>
              <w:bottom w:w="40" w:type="dxa"/>
              <w:right w:w="20" w:type="dxa"/>
            </w:tcMar>
            <w:vAlign w:val="bottom"/>
          </w:tcPr>
          <w:p w14:paraId="7C2078DB" w14:textId="77777777" w:rsidR="00834A75" w:rsidRDefault="00834A75">
            <w:pPr>
              <w:jc w:val="right"/>
              <w:rPr>
                <w:rFonts w:ascii="宋体"/>
              </w:rPr>
            </w:pPr>
          </w:p>
        </w:tc>
        <w:tc>
          <w:tcPr>
            <w:tcW w:w="0" w:type="auto"/>
            <w:gridSpan w:val="3"/>
            <w:shd w:val="clear" w:color="auto" w:fill="FFFFFF"/>
            <w:tcMar>
              <w:top w:w="0" w:type="dxa"/>
              <w:left w:w="20" w:type="dxa"/>
              <w:bottom w:w="0" w:type="dxa"/>
              <w:right w:w="20" w:type="dxa"/>
            </w:tcMar>
            <w:vAlign w:val="bottom"/>
          </w:tcPr>
          <w:p w14:paraId="7C2078DC" w14:textId="77777777" w:rsidR="00834A75" w:rsidRDefault="00834A75">
            <w:pPr>
              <w:rPr>
                <w:rFonts w:ascii="宋体"/>
              </w:rPr>
            </w:pPr>
          </w:p>
        </w:tc>
        <w:tc>
          <w:tcPr>
            <w:tcW w:w="0" w:type="auto"/>
            <w:gridSpan w:val="2"/>
            <w:shd w:val="clear" w:color="auto" w:fill="FFFFFF"/>
            <w:tcMar>
              <w:top w:w="40" w:type="dxa"/>
              <w:left w:w="20" w:type="dxa"/>
              <w:bottom w:w="40" w:type="dxa"/>
              <w:right w:w="0" w:type="dxa"/>
            </w:tcMar>
            <w:vAlign w:val="bottom"/>
          </w:tcPr>
          <w:p w14:paraId="7C2078DD" w14:textId="77777777" w:rsidR="00834A75" w:rsidRDefault="00A6708C">
            <w:pPr>
              <w:jc w:val="right"/>
              <w:textAlignment w:val="bottom"/>
            </w:pPr>
            <w:r>
              <w:rPr>
                <w:rFonts w:ascii="sans-serif" w:eastAsia="sans-serif" w:hAnsi="sans-serif" w:cs="sans-serif"/>
                <w:color w:val="000000"/>
                <w:sz w:val="20"/>
                <w:szCs w:val="20"/>
              </w:rPr>
              <w:t>6 </w:t>
            </w:r>
          </w:p>
        </w:tc>
        <w:tc>
          <w:tcPr>
            <w:tcW w:w="0" w:type="auto"/>
            <w:shd w:val="clear" w:color="auto" w:fill="FFFFFF"/>
            <w:tcMar>
              <w:top w:w="40" w:type="dxa"/>
              <w:left w:w="0" w:type="dxa"/>
              <w:bottom w:w="40" w:type="dxa"/>
              <w:right w:w="20" w:type="dxa"/>
            </w:tcMar>
            <w:vAlign w:val="bottom"/>
          </w:tcPr>
          <w:p w14:paraId="7C2078DE" w14:textId="77777777" w:rsidR="00834A75" w:rsidRDefault="00834A75">
            <w:pPr>
              <w:jc w:val="right"/>
              <w:rPr>
                <w:rFonts w:ascii="宋体"/>
              </w:rPr>
            </w:pPr>
          </w:p>
        </w:tc>
        <w:tc>
          <w:tcPr>
            <w:tcW w:w="0" w:type="auto"/>
            <w:shd w:val="clear" w:color="auto" w:fill="auto"/>
            <w:vAlign w:val="bottom"/>
          </w:tcPr>
          <w:p w14:paraId="7C2078DF" w14:textId="77777777" w:rsidR="00834A75" w:rsidRDefault="00834A75">
            <w:pPr>
              <w:rPr>
                <w:rFonts w:ascii="宋体"/>
                <w:vanish/>
              </w:rPr>
            </w:pPr>
          </w:p>
        </w:tc>
        <w:tc>
          <w:tcPr>
            <w:tcW w:w="0" w:type="auto"/>
            <w:shd w:val="clear" w:color="auto" w:fill="auto"/>
            <w:vAlign w:val="bottom"/>
          </w:tcPr>
          <w:p w14:paraId="7C2078E0" w14:textId="77777777" w:rsidR="00834A75" w:rsidRDefault="00834A75">
            <w:pPr>
              <w:rPr>
                <w:rFonts w:ascii="宋体"/>
                <w:vanish/>
              </w:rPr>
            </w:pPr>
          </w:p>
        </w:tc>
        <w:tc>
          <w:tcPr>
            <w:tcW w:w="0" w:type="auto"/>
            <w:gridSpan w:val="3"/>
            <w:shd w:val="clear" w:color="auto" w:fill="auto"/>
            <w:vAlign w:val="bottom"/>
          </w:tcPr>
          <w:p w14:paraId="7C2078E1" w14:textId="77777777" w:rsidR="00834A75" w:rsidRDefault="00834A75">
            <w:pPr>
              <w:rPr>
                <w:rFonts w:ascii="宋体"/>
                <w:vanish/>
              </w:rPr>
            </w:pPr>
          </w:p>
        </w:tc>
        <w:tc>
          <w:tcPr>
            <w:tcW w:w="0" w:type="auto"/>
            <w:gridSpan w:val="3"/>
            <w:shd w:val="clear" w:color="auto" w:fill="auto"/>
            <w:vAlign w:val="bottom"/>
          </w:tcPr>
          <w:p w14:paraId="7C2078E2" w14:textId="77777777" w:rsidR="00834A75" w:rsidRDefault="00834A75">
            <w:pPr>
              <w:rPr>
                <w:rFonts w:ascii="宋体"/>
                <w:vanish/>
              </w:rPr>
            </w:pPr>
          </w:p>
        </w:tc>
      </w:tr>
      <w:tr w:rsidR="00834A75" w14:paraId="7C2078EE" w14:textId="77777777">
        <w:trPr>
          <w:jc w:val="center"/>
        </w:trPr>
        <w:tc>
          <w:tcPr>
            <w:tcW w:w="0" w:type="auto"/>
            <w:gridSpan w:val="3"/>
            <w:shd w:val="clear" w:color="auto" w:fill="E2EFD9"/>
            <w:tcMar>
              <w:top w:w="40" w:type="dxa"/>
              <w:left w:w="515" w:type="dxa"/>
              <w:bottom w:w="40" w:type="dxa"/>
              <w:right w:w="20" w:type="dxa"/>
            </w:tcMar>
            <w:vAlign w:val="bottom"/>
          </w:tcPr>
          <w:p w14:paraId="7C2078E4" w14:textId="77777777" w:rsidR="00834A75" w:rsidRDefault="00A6708C">
            <w:pPr>
              <w:textAlignment w:val="bottom"/>
            </w:pPr>
            <w:r>
              <w:rPr>
                <w:rFonts w:ascii="sans-serif" w:eastAsia="sans-serif" w:hAnsi="sans-serif" w:cs="sans-serif"/>
                <w:color w:val="000000"/>
                <w:sz w:val="20"/>
                <w:szCs w:val="20"/>
              </w:rPr>
              <w:t>Interest expense</w:t>
            </w:r>
          </w:p>
        </w:tc>
        <w:tc>
          <w:tcPr>
            <w:tcW w:w="0" w:type="auto"/>
            <w:gridSpan w:val="2"/>
            <w:shd w:val="clear" w:color="auto" w:fill="E2EFD9"/>
            <w:tcMar>
              <w:top w:w="40" w:type="dxa"/>
              <w:left w:w="20" w:type="dxa"/>
              <w:bottom w:w="40" w:type="dxa"/>
              <w:right w:w="0" w:type="dxa"/>
            </w:tcMar>
            <w:vAlign w:val="bottom"/>
          </w:tcPr>
          <w:p w14:paraId="7C2078E5" w14:textId="77777777" w:rsidR="00834A75" w:rsidRDefault="00A6708C">
            <w:pPr>
              <w:jc w:val="right"/>
              <w:textAlignment w:val="bottom"/>
            </w:pPr>
            <w:r>
              <w:rPr>
                <w:rFonts w:ascii="sans-serif" w:eastAsia="sans-serif" w:hAnsi="sans-serif" w:cs="sans-serif"/>
                <w:color w:val="000000"/>
                <w:sz w:val="20"/>
                <w:szCs w:val="20"/>
              </w:rPr>
              <w:t>(68)</w:t>
            </w:r>
          </w:p>
        </w:tc>
        <w:tc>
          <w:tcPr>
            <w:tcW w:w="0" w:type="auto"/>
            <w:shd w:val="clear" w:color="auto" w:fill="E2EFD9"/>
            <w:tcMar>
              <w:top w:w="40" w:type="dxa"/>
              <w:left w:w="0" w:type="dxa"/>
              <w:bottom w:w="40" w:type="dxa"/>
              <w:right w:w="20" w:type="dxa"/>
            </w:tcMar>
            <w:vAlign w:val="bottom"/>
          </w:tcPr>
          <w:p w14:paraId="7C2078E6" w14:textId="77777777" w:rsidR="00834A75" w:rsidRDefault="00834A75">
            <w:pPr>
              <w:jc w:val="right"/>
              <w:rPr>
                <w:rFonts w:ascii="宋体"/>
              </w:rPr>
            </w:pPr>
          </w:p>
        </w:tc>
        <w:tc>
          <w:tcPr>
            <w:tcW w:w="0" w:type="auto"/>
            <w:gridSpan w:val="3"/>
            <w:shd w:val="clear" w:color="auto" w:fill="E2EFD9"/>
            <w:tcMar>
              <w:top w:w="0" w:type="dxa"/>
              <w:left w:w="20" w:type="dxa"/>
              <w:bottom w:w="0" w:type="dxa"/>
              <w:right w:w="20" w:type="dxa"/>
            </w:tcMar>
            <w:vAlign w:val="bottom"/>
          </w:tcPr>
          <w:p w14:paraId="7C2078E7" w14:textId="77777777" w:rsidR="00834A75" w:rsidRDefault="00834A75">
            <w:pPr>
              <w:rPr>
                <w:rFonts w:ascii="宋体"/>
              </w:rPr>
            </w:pPr>
          </w:p>
        </w:tc>
        <w:tc>
          <w:tcPr>
            <w:tcW w:w="0" w:type="auto"/>
            <w:gridSpan w:val="2"/>
            <w:shd w:val="clear" w:color="auto" w:fill="E2EFD9"/>
            <w:tcMar>
              <w:top w:w="40" w:type="dxa"/>
              <w:left w:w="20" w:type="dxa"/>
              <w:bottom w:w="40" w:type="dxa"/>
              <w:right w:w="0" w:type="dxa"/>
            </w:tcMar>
            <w:vAlign w:val="bottom"/>
          </w:tcPr>
          <w:p w14:paraId="7C2078E8" w14:textId="77777777" w:rsidR="00834A75" w:rsidRDefault="00A6708C">
            <w:pPr>
              <w:jc w:val="right"/>
              <w:textAlignment w:val="bottom"/>
            </w:pPr>
            <w:r>
              <w:rPr>
                <w:rFonts w:ascii="sans-serif" w:eastAsia="sans-serif" w:hAnsi="sans-serif" w:cs="sans-serif"/>
                <w:color w:val="000000"/>
                <w:sz w:val="20"/>
                <w:szCs w:val="20"/>
              </w:rPr>
              <w:t>(53)</w:t>
            </w:r>
          </w:p>
        </w:tc>
        <w:tc>
          <w:tcPr>
            <w:tcW w:w="0" w:type="auto"/>
            <w:shd w:val="clear" w:color="auto" w:fill="E2EFD9"/>
            <w:tcMar>
              <w:top w:w="40" w:type="dxa"/>
              <w:left w:w="0" w:type="dxa"/>
              <w:bottom w:w="40" w:type="dxa"/>
              <w:right w:w="20" w:type="dxa"/>
            </w:tcMar>
            <w:vAlign w:val="bottom"/>
          </w:tcPr>
          <w:p w14:paraId="7C2078E9" w14:textId="77777777" w:rsidR="00834A75" w:rsidRDefault="00834A75">
            <w:pPr>
              <w:jc w:val="right"/>
              <w:rPr>
                <w:rFonts w:ascii="宋体"/>
              </w:rPr>
            </w:pPr>
          </w:p>
        </w:tc>
        <w:tc>
          <w:tcPr>
            <w:tcW w:w="0" w:type="auto"/>
            <w:shd w:val="clear" w:color="auto" w:fill="auto"/>
            <w:vAlign w:val="bottom"/>
          </w:tcPr>
          <w:p w14:paraId="7C2078EA" w14:textId="77777777" w:rsidR="00834A75" w:rsidRDefault="00834A75">
            <w:pPr>
              <w:rPr>
                <w:rFonts w:ascii="宋体"/>
                <w:vanish/>
              </w:rPr>
            </w:pPr>
          </w:p>
        </w:tc>
        <w:tc>
          <w:tcPr>
            <w:tcW w:w="0" w:type="auto"/>
            <w:shd w:val="clear" w:color="auto" w:fill="auto"/>
            <w:vAlign w:val="bottom"/>
          </w:tcPr>
          <w:p w14:paraId="7C2078EB" w14:textId="77777777" w:rsidR="00834A75" w:rsidRDefault="00834A75">
            <w:pPr>
              <w:rPr>
                <w:rFonts w:ascii="宋体"/>
                <w:vanish/>
              </w:rPr>
            </w:pPr>
          </w:p>
        </w:tc>
        <w:tc>
          <w:tcPr>
            <w:tcW w:w="0" w:type="auto"/>
            <w:gridSpan w:val="3"/>
            <w:shd w:val="clear" w:color="auto" w:fill="auto"/>
            <w:vAlign w:val="bottom"/>
          </w:tcPr>
          <w:p w14:paraId="7C2078EC" w14:textId="77777777" w:rsidR="00834A75" w:rsidRDefault="00834A75">
            <w:pPr>
              <w:rPr>
                <w:rFonts w:ascii="宋体"/>
                <w:vanish/>
              </w:rPr>
            </w:pPr>
          </w:p>
        </w:tc>
        <w:tc>
          <w:tcPr>
            <w:tcW w:w="0" w:type="auto"/>
            <w:gridSpan w:val="3"/>
            <w:shd w:val="clear" w:color="auto" w:fill="auto"/>
            <w:vAlign w:val="bottom"/>
          </w:tcPr>
          <w:p w14:paraId="7C2078ED" w14:textId="77777777" w:rsidR="00834A75" w:rsidRDefault="00834A75">
            <w:pPr>
              <w:rPr>
                <w:rFonts w:ascii="宋体"/>
                <w:vanish/>
              </w:rPr>
            </w:pPr>
          </w:p>
        </w:tc>
      </w:tr>
      <w:tr w:rsidR="00834A75" w14:paraId="7C2078F9" w14:textId="77777777">
        <w:trPr>
          <w:jc w:val="center"/>
        </w:trPr>
        <w:tc>
          <w:tcPr>
            <w:tcW w:w="0" w:type="auto"/>
            <w:gridSpan w:val="3"/>
            <w:shd w:val="clear" w:color="auto" w:fill="FFFFFF"/>
            <w:tcMar>
              <w:top w:w="40" w:type="dxa"/>
              <w:left w:w="515" w:type="dxa"/>
              <w:bottom w:w="40" w:type="dxa"/>
              <w:right w:w="20" w:type="dxa"/>
            </w:tcMar>
            <w:vAlign w:val="bottom"/>
          </w:tcPr>
          <w:p w14:paraId="7C2078EF" w14:textId="77777777" w:rsidR="00834A75" w:rsidRDefault="00A6708C">
            <w:pPr>
              <w:textAlignment w:val="bottom"/>
            </w:pPr>
            <w:r>
              <w:rPr>
                <w:rFonts w:ascii="sans-serif" w:eastAsia="sans-serif" w:hAnsi="sans-serif" w:cs="sans-serif"/>
                <w:color w:val="000000"/>
                <w:sz w:val="20"/>
                <w:szCs w:val="20"/>
              </w:rPr>
              <w:t>Other, net</w:t>
            </w:r>
          </w:p>
        </w:tc>
        <w:tc>
          <w:tcPr>
            <w:tcW w:w="0" w:type="auto"/>
            <w:gridSpan w:val="2"/>
            <w:shd w:val="clear" w:color="auto" w:fill="FFFFFF"/>
            <w:tcMar>
              <w:top w:w="40" w:type="dxa"/>
              <w:left w:w="20" w:type="dxa"/>
              <w:bottom w:w="40" w:type="dxa"/>
              <w:right w:w="0" w:type="dxa"/>
            </w:tcMar>
            <w:vAlign w:val="bottom"/>
          </w:tcPr>
          <w:p w14:paraId="7C2078F0" w14:textId="77777777" w:rsidR="00834A75" w:rsidRDefault="00A6708C">
            <w:pPr>
              <w:jc w:val="right"/>
              <w:textAlignment w:val="bottom"/>
            </w:pPr>
            <w:r>
              <w:rPr>
                <w:rFonts w:ascii="sans-serif" w:eastAsia="sans-serif" w:hAnsi="sans-serif" w:cs="sans-serif"/>
                <w:color w:val="000000"/>
                <w:sz w:val="20"/>
                <w:szCs w:val="20"/>
              </w:rPr>
              <w:t>(13)</w:t>
            </w:r>
          </w:p>
        </w:tc>
        <w:tc>
          <w:tcPr>
            <w:tcW w:w="0" w:type="auto"/>
            <w:shd w:val="clear" w:color="auto" w:fill="FFFFFF"/>
            <w:tcMar>
              <w:top w:w="40" w:type="dxa"/>
              <w:left w:w="0" w:type="dxa"/>
              <w:bottom w:w="40" w:type="dxa"/>
              <w:right w:w="20" w:type="dxa"/>
            </w:tcMar>
            <w:vAlign w:val="bottom"/>
          </w:tcPr>
          <w:p w14:paraId="7C2078F1" w14:textId="77777777" w:rsidR="00834A75" w:rsidRDefault="00834A75">
            <w:pPr>
              <w:jc w:val="right"/>
              <w:rPr>
                <w:rFonts w:ascii="宋体"/>
              </w:rPr>
            </w:pPr>
          </w:p>
        </w:tc>
        <w:tc>
          <w:tcPr>
            <w:tcW w:w="0" w:type="auto"/>
            <w:gridSpan w:val="3"/>
            <w:shd w:val="clear" w:color="auto" w:fill="FFFFFF"/>
            <w:tcMar>
              <w:top w:w="0" w:type="dxa"/>
              <w:left w:w="20" w:type="dxa"/>
              <w:bottom w:w="0" w:type="dxa"/>
              <w:right w:w="20" w:type="dxa"/>
            </w:tcMar>
            <w:vAlign w:val="bottom"/>
          </w:tcPr>
          <w:p w14:paraId="7C2078F2" w14:textId="77777777" w:rsidR="00834A75" w:rsidRDefault="00834A75">
            <w:pPr>
              <w:rPr>
                <w:rFonts w:ascii="宋体"/>
              </w:rPr>
            </w:pPr>
          </w:p>
        </w:tc>
        <w:tc>
          <w:tcPr>
            <w:tcW w:w="0" w:type="auto"/>
            <w:gridSpan w:val="2"/>
            <w:shd w:val="clear" w:color="auto" w:fill="FFFFFF"/>
            <w:tcMar>
              <w:top w:w="40" w:type="dxa"/>
              <w:left w:w="20" w:type="dxa"/>
              <w:bottom w:w="40" w:type="dxa"/>
              <w:right w:w="0" w:type="dxa"/>
            </w:tcMar>
            <w:vAlign w:val="bottom"/>
          </w:tcPr>
          <w:p w14:paraId="7C2078F3" w14:textId="77777777" w:rsidR="00834A75" w:rsidRDefault="00A6708C">
            <w:pPr>
              <w:jc w:val="right"/>
              <w:textAlignment w:val="bottom"/>
            </w:pPr>
            <w:r>
              <w:rPr>
                <w:rFonts w:ascii="sans-serif" w:eastAsia="sans-serif" w:hAnsi="sans-serif" w:cs="sans-serif"/>
                <w:color w:val="000000"/>
                <w:sz w:val="20"/>
                <w:szCs w:val="20"/>
              </w:rPr>
              <w:t>135 </w:t>
            </w:r>
          </w:p>
        </w:tc>
        <w:tc>
          <w:tcPr>
            <w:tcW w:w="0" w:type="auto"/>
            <w:shd w:val="clear" w:color="auto" w:fill="FFFFFF"/>
            <w:tcMar>
              <w:top w:w="40" w:type="dxa"/>
              <w:left w:w="0" w:type="dxa"/>
              <w:bottom w:w="40" w:type="dxa"/>
              <w:right w:w="20" w:type="dxa"/>
            </w:tcMar>
            <w:vAlign w:val="bottom"/>
          </w:tcPr>
          <w:p w14:paraId="7C2078F4" w14:textId="77777777" w:rsidR="00834A75" w:rsidRDefault="00834A75">
            <w:pPr>
              <w:jc w:val="right"/>
              <w:rPr>
                <w:rFonts w:ascii="宋体"/>
              </w:rPr>
            </w:pPr>
          </w:p>
        </w:tc>
        <w:tc>
          <w:tcPr>
            <w:tcW w:w="0" w:type="auto"/>
            <w:shd w:val="clear" w:color="auto" w:fill="auto"/>
            <w:vAlign w:val="bottom"/>
          </w:tcPr>
          <w:p w14:paraId="7C2078F5" w14:textId="77777777" w:rsidR="00834A75" w:rsidRDefault="00834A75">
            <w:pPr>
              <w:rPr>
                <w:rFonts w:ascii="宋体"/>
                <w:vanish/>
              </w:rPr>
            </w:pPr>
          </w:p>
        </w:tc>
        <w:tc>
          <w:tcPr>
            <w:tcW w:w="0" w:type="auto"/>
            <w:shd w:val="clear" w:color="auto" w:fill="auto"/>
            <w:vAlign w:val="bottom"/>
          </w:tcPr>
          <w:p w14:paraId="7C2078F6" w14:textId="77777777" w:rsidR="00834A75" w:rsidRDefault="00834A75">
            <w:pPr>
              <w:rPr>
                <w:rFonts w:ascii="宋体"/>
                <w:vanish/>
              </w:rPr>
            </w:pPr>
          </w:p>
        </w:tc>
        <w:tc>
          <w:tcPr>
            <w:tcW w:w="0" w:type="auto"/>
            <w:gridSpan w:val="3"/>
            <w:shd w:val="clear" w:color="auto" w:fill="auto"/>
            <w:vAlign w:val="bottom"/>
          </w:tcPr>
          <w:p w14:paraId="7C2078F7" w14:textId="77777777" w:rsidR="00834A75" w:rsidRDefault="00834A75">
            <w:pPr>
              <w:rPr>
                <w:rFonts w:ascii="宋体"/>
                <w:vanish/>
              </w:rPr>
            </w:pPr>
          </w:p>
        </w:tc>
        <w:tc>
          <w:tcPr>
            <w:tcW w:w="0" w:type="auto"/>
            <w:gridSpan w:val="3"/>
            <w:shd w:val="clear" w:color="auto" w:fill="auto"/>
            <w:vAlign w:val="bottom"/>
          </w:tcPr>
          <w:p w14:paraId="7C2078F8" w14:textId="77777777" w:rsidR="00834A75" w:rsidRDefault="00834A75">
            <w:pPr>
              <w:rPr>
                <w:rFonts w:ascii="宋体"/>
                <w:vanish/>
              </w:rPr>
            </w:pPr>
          </w:p>
        </w:tc>
      </w:tr>
      <w:tr w:rsidR="00834A75" w14:paraId="7C207904" w14:textId="77777777">
        <w:trPr>
          <w:jc w:val="center"/>
        </w:trPr>
        <w:tc>
          <w:tcPr>
            <w:tcW w:w="0" w:type="auto"/>
            <w:gridSpan w:val="3"/>
            <w:shd w:val="clear" w:color="auto" w:fill="E2EFD9"/>
            <w:tcMar>
              <w:top w:w="40" w:type="dxa"/>
              <w:left w:w="20" w:type="dxa"/>
              <w:bottom w:w="40" w:type="dxa"/>
              <w:right w:w="20" w:type="dxa"/>
            </w:tcMar>
            <w:vAlign w:val="bottom"/>
          </w:tcPr>
          <w:p w14:paraId="7C2078FA" w14:textId="77777777" w:rsidR="00834A75" w:rsidRDefault="00A6708C">
            <w:pPr>
              <w:textAlignment w:val="bottom"/>
            </w:pPr>
            <w:r>
              <w:rPr>
                <w:rFonts w:ascii="sans-serif" w:eastAsia="sans-serif" w:hAnsi="sans-serif" w:cs="sans-serif"/>
                <w:color w:val="000000"/>
                <w:sz w:val="20"/>
                <w:szCs w:val="20"/>
              </w:rPr>
              <w:t>Other income (expense), net</w:t>
            </w:r>
          </w:p>
        </w:tc>
        <w:tc>
          <w:tcPr>
            <w:tcW w:w="0" w:type="auto"/>
            <w:gridSpan w:val="2"/>
            <w:tcBorders>
              <w:top w:val="single" w:sz="8" w:space="0" w:color="000000"/>
            </w:tcBorders>
            <w:shd w:val="clear" w:color="auto" w:fill="E2EFD9"/>
            <w:tcMar>
              <w:top w:w="40" w:type="dxa"/>
              <w:left w:w="20" w:type="dxa"/>
              <w:bottom w:w="40" w:type="dxa"/>
              <w:right w:w="0" w:type="dxa"/>
            </w:tcMar>
            <w:vAlign w:val="bottom"/>
          </w:tcPr>
          <w:p w14:paraId="7C2078FB" w14:textId="77777777" w:rsidR="00834A75" w:rsidRDefault="00A6708C">
            <w:pPr>
              <w:jc w:val="right"/>
              <w:textAlignment w:val="bottom"/>
            </w:pPr>
            <w:r>
              <w:rPr>
                <w:rFonts w:ascii="sans-serif" w:eastAsia="sans-serif" w:hAnsi="sans-serif" w:cs="sans-serif"/>
                <w:color w:val="000000"/>
                <w:sz w:val="20"/>
                <w:szCs w:val="20"/>
              </w:rPr>
              <w:t>(63)</w:t>
            </w:r>
          </w:p>
        </w:tc>
        <w:tc>
          <w:tcPr>
            <w:tcW w:w="0" w:type="auto"/>
            <w:tcBorders>
              <w:top w:val="single" w:sz="8" w:space="0" w:color="000000"/>
            </w:tcBorders>
            <w:shd w:val="clear" w:color="auto" w:fill="E2EFD9"/>
            <w:tcMar>
              <w:top w:w="40" w:type="dxa"/>
              <w:left w:w="0" w:type="dxa"/>
              <w:bottom w:w="40" w:type="dxa"/>
              <w:right w:w="20" w:type="dxa"/>
            </w:tcMar>
            <w:vAlign w:val="bottom"/>
          </w:tcPr>
          <w:p w14:paraId="7C2078FC" w14:textId="77777777" w:rsidR="00834A75" w:rsidRDefault="00834A75">
            <w:pPr>
              <w:jc w:val="right"/>
              <w:rPr>
                <w:rFonts w:ascii="宋体"/>
              </w:rPr>
            </w:pPr>
          </w:p>
        </w:tc>
        <w:tc>
          <w:tcPr>
            <w:tcW w:w="0" w:type="auto"/>
            <w:gridSpan w:val="3"/>
            <w:shd w:val="clear" w:color="auto" w:fill="E2EFD9"/>
            <w:tcMar>
              <w:top w:w="0" w:type="dxa"/>
              <w:left w:w="20" w:type="dxa"/>
              <w:bottom w:w="0" w:type="dxa"/>
              <w:right w:w="20" w:type="dxa"/>
            </w:tcMar>
            <w:vAlign w:val="bottom"/>
          </w:tcPr>
          <w:p w14:paraId="7C2078FD" w14:textId="77777777" w:rsidR="00834A75" w:rsidRDefault="00834A75">
            <w:pPr>
              <w:rPr>
                <w:rFonts w:ascii="宋体"/>
              </w:rPr>
            </w:pPr>
          </w:p>
        </w:tc>
        <w:tc>
          <w:tcPr>
            <w:tcW w:w="0" w:type="auto"/>
            <w:gridSpan w:val="2"/>
            <w:tcBorders>
              <w:top w:val="single" w:sz="8" w:space="0" w:color="000000"/>
            </w:tcBorders>
            <w:shd w:val="clear" w:color="auto" w:fill="E2EFD9"/>
            <w:tcMar>
              <w:top w:w="40" w:type="dxa"/>
              <w:left w:w="20" w:type="dxa"/>
              <w:bottom w:w="40" w:type="dxa"/>
              <w:right w:w="0" w:type="dxa"/>
            </w:tcMar>
            <w:vAlign w:val="bottom"/>
          </w:tcPr>
          <w:p w14:paraId="7C2078FE" w14:textId="77777777" w:rsidR="00834A75" w:rsidRDefault="00A6708C">
            <w:pPr>
              <w:jc w:val="right"/>
              <w:textAlignment w:val="bottom"/>
            </w:pPr>
            <w:r>
              <w:rPr>
                <w:rFonts w:ascii="sans-serif" w:eastAsia="sans-serif" w:hAnsi="sans-serif" w:cs="sans-serif"/>
                <w:color w:val="000000"/>
                <w:sz w:val="20"/>
                <w:szCs w:val="20"/>
              </w:rPr>
              <w:t>88 </w:t>
            </w:r>
          </w:p>
        </w:tc>
        <w:tc>
          <w:tcPr>
            <w:tcW w:w="0" w:type="auto"/>
            <w:tcBorders>
              <w:top w:val="single" w:sz="8" w:space="0" w:color="000000"/>
            </w:tcBorders>
            <w:shd w:val="clear" w:color="auto" w:fill="E2EFD9"/>
            <w:tcMar>
              <w:top w:w="40" w:type="dxa"/>
              <w:left w:w="0" w:type="dxa"/>
              <w:bottom w:w="40" w:type="dxa"/>
              <w:right w:w="20" w:type="dxa"/>
            </w:tcMar>
            <w:vAlign w:val="bottom"/>
          </w:tcPr>
          <w:p w14:paraId="7C2078FF" w14:textId="77777777" w:rsidR="00834A75" w:rsidRDefault="00834A75">
            <w:pPr>
              <w:jc w:val="right"/>
              <w:rPr>
                <w:rFonts w:ascii="宋体"/>
              </w:rPr>
            </w:pPr>
          </w:p>
        </w:tc>
        <w:tc>
          <w:tcPr>
            <w:tcW w:w="0" w:type="auto"/>
            <w:shd w:val="clear" w:color="auto" w:fill="auto"/>
            <w:vAlign w:val="bottom"/>
          </w:tcPr>
          <w:p w14:paraId="7C207900" w14:textId="77777777" w:rsidR="00834A75" w:rsidRDefault="00834A75">
            <w:pPr>
              <w:rPr>
                <w:rFonts w:ascii="宋体"/>
                <w:vanish/>
              </w:rPr>
            </w:pPr>
          </w:p>
        </w:tc>
        <w:tc>
          <w:tcPr>
            <w:tcW w:w="0" w:type="auto"/>
            <w:shd w:val="clear" w:color="auto" w:fill="auto"/>
            <w:vAlign w:val="bottom"/>
          </w:tcPr>
          <w:p w14:paraId="7C207901" w14:textId="77777777" w:rsidR="00834A75" w:rsidRDefault="00834A75">
            <w:pPr>
              <w:rPr>
                <w:rFonts w:ascii="宋体"/>
                <w:vanish/>
              </w:rPr>
            </w:pPr>
          </w:p>
        </w:tc>
        <w:tc>
          <w:tcPr>
            <w:tcW w:w="0" w:type="auto"/>
            <w:gridSpan w:val="3"/>
            <w:shd w:val="clear" w:color="auto" w:fill="auto"/>
            <w:vAlign w:val="bottom"/>
          </w:tcPr>
          <w:p w14:paraId="7C207902" w14:textId="77777777" w:rsidR="00834A75" w:rsidRDefault="00834A75">
            <w:pPr>
              <w:rPr>
                <w:rFonts w:ascii="宋体"/>
                <w:vanish/>
              </w:rPr>
            </w:pPr>
          </w:p>
        </w:tc>
        <w:tc>
          <w:tcPr>
            <w:tcW w:w="0" w:type="auto"/>
            <w:gridSpan w:val="3"/>
            <w:shd w:val="clear" w:color="auto" w:fill="auto"/>
            <w:vAlign w:val="bottom"/>
          </w:tcPr>
          <w:p w14:paraId="7C207903" w14:textId="77777777" w:rsidR="00834A75" w:rsidRDefault="00834A75">
            <w:pPr>
              <w:rPr>
                <w:rFonts w:ascii="宋体"/>
                <w:vanish/>
              </w:rPr>
            </w:pPr>
          </w:p>
        </w:tc>
      </w:tr>
      <w:tr w:rsidR="00834A75" w14:paraId="7C20790F" w14:textId="77777777">
        <w:trPr>
          <w:jc w:val="center"/>
        </w:trPr>
        <w:tc>
          <w:tcPr>
            <w:tcW w:w="0" w:type="auto"/>
            <w:gridSpan w:val="3"/>
            <w:shd w:val="clear" w:color="auto" w:fill="FFFFFF"/>
            <w:tcMar>
              <w:top w:w="40" w:type="dxa"/>
              <w:left w:w="20" w:type="dxa"/>
              <w:bottom w:w="40" w:type="dxa"/>
              <w:right w:w="20" w:type="dxa"/>
            </w:tcMar>
            <w:vAlign w:val="bottom"/>
          </w:tcPr>
          <w:p w14:paraId="7C207905" w14:textId="77777777" w:rsidR="00834A75" w:rsidRDefault="00A6708C">
            <w:pPr>
              <w:textAlignment w:val="bottom"/>
            </w:pPr>
            <w:r>
              <w:rPr>
                <w:rFonts w:ascii="sans-serif" w:eastAsia="sans-serif" w:hAnsi="sans-serif" w:cs="sans-serif"/>
                <w:color w:val="000000"/>
                <w:sz w:val="20"/>
                <w:szCs w:val="20"/>
              </w:rPr>
              <w:t>Income before income tax</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C207906" w14:textId="77777777" w:rsidR="00834A75" w:rsidRDefault="00A6708C">
            <w:pPr>
              <w:jc w:val="right"/>
              <w:textAlignment w:val="bottom"/>
            </w:pPr>
            <w:r>
              <w:rPr>
                <w:rFonts w:ascii="sans-serif" w:eastAsia="sans-serif" w:hAnsi="sans-serif" w:cs="sans-serif"/>
                <w:color w:val="000000"/>
                <w:sz w:val="20"/>
                <w:szCs w:val="20"/>
              </w:rPr>
              <w:t>1,805 </w:t>
            </w:r>
          </w:p>
        </w:tc>
        <w:tc>
          <w:tcPr>
            <w:tcW w:w="0" w:type="auto"/>
            <w:tcBorders>
              <w:top w:val="single" w:sz="8" w:space="0" w:color="000000"/>
            </w:tcBorders>
            <w:shd w:val="clear" w:color="auto" w:fill="FFFFFF"/>
            <w:tcMar>
              <w:top w:w="40" w:type="dxa"/>
              <w:left w:w="0" w:type="dxa"/>
              <w:bottom w:w="40" w:type="dxa"/>
              <w:right w:w="20" w:type="dxa"/>
            </w:tcMar>
            <w:vAlign w:val="bottom"/>
          </w:tcPr>
          <w:p w14:paraId="7C207907" w14:textId="77777777" w:rsidR="00834A75" w:rsidRDefault="00834A75">
            <w:pPr>
              <w:jc w:val="right"/>
              <w:rPr>
                <w:rFonts w:ascii="宋体"/>
              </w:rPr>
            </w:pPr>
          </w:p>
        </w:tc>
        <w:tc>
          <w:tcPr>
            <w:tcW w:w="0" w:type="auto"/>
            <w:gridSpan w:val="3"/>
            <w:shd w:val="clear" w:color="auto" w:fill="FFFFFF"/>
            <w:tcMar>
              <w:top w:w="0" w:type="dxa"/>
              <w:left w:w="20" w:type="dxa"/>
              <w:bottom w:w="0" w:type="dxa"/>
              <w:right w:w="20" w:type="dxa"/>
            </w:tcMar>
            <w:vAlign w:val="bottom"/>
          </w:tcPr>
          <w:p w14:paraId="7C207908" w14:textId="77777777" w:rsidR="00834A75" w:rsidRDefault="00834A75">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C207909" w14:textId="77777777" w:rsidR="00834A75" w:rsidRDefault="00A6708C">
            <w:pPr>
              <w:jc w:val="right"/>
              <w:textAlignment w:val="bottom"/>
            </w:pPr>
            <w:r>
              <w:rPr>
                <w:rFonts w:ascii="sans-serif" w:eastAsia="sans-serif" w:hAnsi="sans-serif" w:cs="sans-serif"/>
                <w:color w:val="000000"/>
                <w:sz w:val="20"/>
                <w:szCs w:val="20"/>
              </w:rPr>
              <w:t>2,044 </w:t>
            </w:r>
          </w:p>
        </w:tc>
        <w:tc>
          <w:tcPr>
            <w:tcW w:w="0" w:type="auto"/>
            <w:tcBorders>
              <w:top w:val="single" w:sz="8" w:space="0" w:color="000000"/>
            </w:tcBorders>
            <w:shd w:val="clear" w:color="auto" w:fill="FFFFFF"/>
            <w:tcMar>
              <w:top w:w="40" w:type="dxa"/>
              <w:left w:w="0" w:type="dxa"/>
              <w:bottom w:w="40" w:type="dxa"/>
              <w:right w:w="20" w:type="dxa"/>
            </w:tcMar>
            <w:vAlign w:val="bottom"/>
          </w:tcPr>
          <w:p w14:paraId="7C20790A" w14:textId="77777777" w:rsidR="00834A75" w:rsidRDefault="00834A75">
            <w:pPr>
              <w:jc w:val="right"/>
              <w:rPr>
                <w:rFonts w:ascii="宋体"/>
              </w:rPr>
            </w:pPr>
          </w:p>
        </w:tc>
        <w:tc>
          <w:tcPr>
            <w:tcW w:w="0" w:type="auto"/>
            <w:shd w:val="clear" w:color="auto" w:fill="auto"/>
            <w:vAlign w:val="bottom"/>
          </w:tcPr>
          <w:p w14:paraId="7C20790B" w14:textId="77777777" w:rsidR="00834A75" w:rsidRDefault="00834A75">
            <w:pPr>
              <w:rPr>
                <w:rFonts w:ascii="宋体"/>
                <w:vanish/>
              </w:rPr>
            </w:pPr>
          </w:p>
        </w:tc>
        <w:tc>
          <w:tcPr>
            <w:tcW w:w="0" w:type="auto"/>
            <w:shd w:val="clear" w:color="auto" w:fill="auto"/>
            <w:vAlign w:val="bottom"/>
          </w:tcPr>
          <w:p w14:paraId="7C20790C" w14:textId="77777777" w:rsidR="00834A75" w:rsidRDefault="00834A75">
            <w:pPr>
              <w:rPr>
                <w:rFonts w:ascii="宋体"/>
                <w:vanish/>
              </w:rPr>
            </w:pPr>
          </w:p>
        </w:tc>
        <w:tc>
          <w:tcPr>
            <w:tcW w:w="0" w:type="auto"/>
            <w:gridSpan w:val="3"/>
            <w:shd w:val="clear" w:color="auto" w:fill="auto"/>
            <w:vAlign w:val="bottom"/>
          </w:tcPr>
          <w:p w14:paraId="7C20790D" w14:textId="77777777" w:rsidR="00834A75" w:rsidRDefault="00834A75">
            <w:pPr>
              <w:rPr>
                <w:rFonts w:ascii="宋体"/>
                <w:vanish/>
              </w:rPr>
            </w:pPr>
          </w:p>
        </w:tc>
        <w:tc>
          <w:tcPr>
            <w:tcW w:w="0" w:type="auto"/>
            <w:gridSpan w:val="3"/>
            <w:shd w:val="clear" w:color="auto" w:fill="auto"/>
            <w:vAlign w:val="bottom"/>
          </w:tcPr>
          <w:p w14:paraId="7C20790E" w14:textId="77777777" w:rsidR="00834A75" w:rsidRDefault="00834A75">
            <w:pPr>
              <w:rPr>
                <w:rFonts w:ascii="宋体"/>
                <w:vanish/>
              </w:rPr>
            </w:pPr>
          </w:p>
        </w:tc>
      </w:tr>
      <w:tr w:rsidR="00834A75" w14:paraId="7C20791A" w14:textId="77777777">
        <w:trPr>
          <w:jc w:val="center"/>
        </w:trPr>
        <w:tc>
          <w:tcPr>
            <w:tcW w:w="0" w:type="auto"/>
            <w:gridSpan w:val="3"/>
            <w:shd w:val="clear" w:color="auto" w:fill="E2EFD9"/>
            <w:tcMar>
              <w:top w:w="40" w:type="dxa"/>
              <w:left w:w="20" w:type="dxa"/>
              <w:bottom w:w="40" w:type="dxa"/>
              <w:right w:w="20" w:type="dxa"/>
            </w:tcMar>
            <w:vAlign w:val="bottom"/>
          </w:tcPr>
          <w:p w14:paraId="7C207910" w14:textId="77777777" w:rsidR="00834A75" w:rsidRDefault="00A6708C">
            <w:pPr>
              <w:textAlignment w:val="bottom"/>
            </w:pPr>
            <w:r>
              <w:rPr>
                <w:rFonts w:ascii="sans-serif" w:eastAsia="sans-serif" w:hAnsi="sans-serif" w:cs="sans-serif"/>
                <w:color w:val="000000"/>
                <w:sz w:val="20"/>
                <w:szCs w:val="20"/>
              </w:rPr>
              <w:t>Income tax expense</w:t>
            </w:r>
          </w:p>
        </w:tc>
        <w:tc>
          <w:tcPr>
            <w:tcW w:w="0" w:type="auto"/>
            <w:gridSpan w:val="2"/>
            <w:shd w:val="clear" w:color="auto" w:fill="E2EFD9"/>
            <w:tcMar>
              <w:top w:w="40" w:type="dxa"/>
              <w:left w:w="20" w:type="dxa"/>
              <w:bottom w:w="40" w:type="dxa"/>
              <w:right w:w="0" w:type="dxa"/>
            </w:tcMar>
            <w:vAlign w:val="bottom"/>
          </w:tcPr>
          <w:p w14:paraId="7C207911" w14:textId="77777777" w:rsidR="00834A75" w:rsidRDefault="00A6708C">
            <w:pPr>
              <w:jc w:val="right"/>
              <w:textAlignment w:val="bottom"/>
            </w:pPr>
            <w:r>
              <w:rPr>
                <w:rFonts w:ascii="sans-serif" w:eastAsia="sans-serif" w:hAnsi="sans-serif" w:cs="sans-serif"/>
                <w:color w:val="000000"/>
                <w:sz w:val="20"/>
                <w:szCs w:val="20"/>
              </w:rPr>
              <w:t>187 </w:t>
            </w:r>
          </w:p>
        </w:tc>
        <w:tc>
          <w:tcPr>
            <w:tcW w:w="0" w:type="auto"/>
            <w:shd w:val="clear" w:color="auto" w:fill="E2EFD9"/>
            <w:tcMar>
              <w:top w:w="40" w:type="dxa"/>
              <w:left w:w="0" w:type="dxa"/>
              <w:bottom w:w="40" w:type="dxa"/>
              <w:right w:w="20" w:type="dxa"/>
            </w:tcMar>
            <w:vAlign w:val="bottom"/>
          </w:tcPr>
          <w:p w14:paraId="7C207912" w14:textId="77777777" w:rsidR="00834A75" w:rsidRDefault="00834A75">
            <w:pPr>
              <w:jc w:val="right"/>
              <w:rPr>
                <w:rFonts w:ascii="宋体"/>
              </w:rPr>
            </w:pPr>
          </w:p>
        </w:tc>
        <w:tc>
          <w:tcPr>
            <w:tcW w:w="0" w:type="auto"/>
            <w:gridSpan w:val="3"/>
            <w:shd w:val="clear" w:color="auto" w:fill="E2EFD9"/>
            <w:tcMar>
              <w:top w:w="0" w:type="dxa"/>
              <w:left w:w="20" w:type="dxa"/>
              <w:bottom w:w="0" w:type="dxa"/>
              <w:right w:w="20" w:type="dxa"/>
            </w:tcMar>
            <w:vAlign w:val="bottom"/>
          </w:tcPr>
          <w:p w14:paraId="7C207913" w14:textId="77777777" w:rsidR="00834A75" w:rsidRDefault="00834A75">
            <w:pPr>
              <w:rPr>
                <w:rFonts w:ascii="宋体"/>
              </w:rPr>
            </w:pPr>
          </w:p>
        </w:tc>
        <w:tc>
          <w:tcPr>
            <w:tcW w:w="0" w:type="auto"/>
            <w:gridSpan w:val="2"/>
            <w:shd w:val="clear" w:color="auto" w:fill="E2EFD9"/>
            <w:tcMar>
              <w:top w:w="40" w:type="dxa"/>
              <w:left w:w="20" w:type="dxa"/>
              <w:bottom w:w="40" w:type="dxa"/>
              <w:right w:w="0" w:type="dxa"/>
            </w:tcMar>
            <w:vAlign w:val="bottom"/>
          </w:tcPr>
          <w:p w14:paraId="7C207914" w14:textId="77777777" w:rsidR="00834A75" w:rsidRDefault="00A6708C">
            <w:pPr>
              <w:jc w:val="right"/>
              <w:textAlignment w:val="bottom"/>
            </w:pPr>
            <w:r>
              <w:rPr>
                <w:rFonts w:ascii="sans-serif" w:eastAsia="sans-serif" w:hAnsi="sans-serif" w:cs="sans-serif"/>
                <w:color w:val="000000"/>
                <w:sz w:val="20"/>
                <w:szCs w:val="20"/>
              </w:rPr>
              <w:t>132 </w:t>
            </w:r>
          </w:p>
        </w:tc>
        <w:tc>
          <w:tcPr>
            <w:tcW w:w="0" w:type="auto"/>
            <w:shd w:val="clear" w:color="auto" w:fill="E2EFD9"/>
            <w:tcMar>
              <w:top w:w="40" w:type="dxa"/>
              <w:left w:w="0" w:type="dxa"/>
              <w:bottom w:w="40" w:type="dxa"/>
              <w:right w:w="20" w:type="dxa"/>
            </w:tcMar>
            <w:vAlign w:val="bottom"/>
          </w:tcPr>
          <w:p w14:paraId="7C207915" w14:textId="77777777" w:rsidR="00834A75" w:rsidRDefault="00834A75">
            <w:pPr>
              <w:jc w:val="right"/>
              <w:rPr>
                <w:rFonts w:ascii="宋体"/>
              </w:rPr>
            </w:pPr>
          </w:p>
        </w:tc>
        <w:tc>
          <w:tcPr>
            <w:tcW w:w="0" w:type="auto"/>
            <w:shd w:val="clear" w:color="auto" w:fill="auto"/>
            <w:vAlign w:val="bottom"/>
          </w:tcPr>
          <w:p w14:paraId="7C207916" w14:textId="77777777" w:rsidR="00834A75" w:rsidRDefault="00834A75">
            <w:pPr>
              <w:rPr>
                <w:rFonts w:ascii="宋体"/>
                <w:vanish/>
              </w:rPr>
            </w:pPr>
          </w:p>
        </w:tc>
        <w:tc>
          <w:tcPr>
            <w:tcW w:w="0" w:type="auto"/>
            <w:shd w:val="clear" w:color="auto" w:fill="auto"/>
            <w:vAlign w:val="bottom"/>
          </w:tcPr>
          <w:p w14:paraId="7C207917" w14:textId="77777777" w:rsidR="00834A75" w:rsidRDefault="00834A75">
            <w:pPr>
              <w:rPr>
                <w:rFonts w:ascii="宋体"/>
                <w:vanish/>
              </w:rPr>
            </w:pPr>
          </w:p>
        </w:tc>
        <w:tc>
          <w:tcPr>
            <w:tcW w:w="0" w:type="auto"/>
            <w:gridSpan w:val="3"/>
            <w:shd w:val="clear" w:color="auto" w:fill="auto"/>
            <w:vAlign w:val="bottom"/>
          </w:tcPr>
          <w:p w14:paraId="7C207918" w14:textId="77777777" w:rsidR="00834A75" w:rsidRDefault="00834A75">
            <w:pPr>
              <w:rPr>
                <w:rFonts w:ascii="宋体"/>
                <w:vanish/>
              </w:rPr>
            </w:pPr>
          </w:p>
        </w:tc>
        <w:tc>
          <w:tcPr>
            <w:tcW w:w="0" w:type="auto"/>
            <w:gridSpan w:val="3"/>
            <w:shd w:val="clear" w:color="auto" w:fill="auto"/>
            <w:vAlign w:val="bottom"/>
          </w:tcPr>
          <w:p w14:paraId="7C207919" w14:textId="77777777" w:rsidR="00834A75" w:rsidRDefault="00834A75">
            <w:pPr>
              <w:rPr>
                <w:rFonts w:ascii="宋体"/>
                <w:vanish/>
              </w:rPr>
            </w:pPr>
          </w:p>
        </w:tc>
      </w:tr>
      <w:tr w:rsidR="00834A75" w14:paraId="7C207927" w14:textId="77777777">
        <w:trPr>
          <w:jc w:val="center"/>
        </w:trPr>
        <w:tc>
          <w:tcPr>
            <w:tcW w:w="0" w:type="auto"/>
            <w:gridSpan w:val="3"/>
            <w:shd w:val="clear" w:color="auto" w:fill="FFFFFF"/>
            <w:tcMar>
              <w:top w:w="40" w:type="dxa"/>
              <w:left w:w="20" w:type="dxa"/>
              <w:bottom w:w="40" w:type="dxa"/>
              <w:right w:w="20" w:type="dxa"/>
            </w:tcMar>
            <w:vAlign w:val="bottom"/>
          </w:tcPr>
          <w:p w14:paraId="7C20791B" w14:textId="77777777" w:rsidR="00834A75" w:rsidRDefault="00A6708C">
            <w:pPr>
              <w:textAlignment w:val="bottom"/>
            </w:pPr>
            <w:r>
              <w:rPr>
                <w:rFonts w:ascii="sans-serif" w:eastAsia="sans-serif" w:hAnsi="sans-serif" w:cs="sans-serif"/>
                <w:color w:val="000000"/>
                <w:sz w:val="20"/>
                <w:szCs w:val="20"/>
              </w:rPr>
              <w:t>Net income</w:t>
            </w:r>
          </w:p>
        </w:tc>
        <w:tc>
          <w:tcPr>
            <w:tcW w:w="0" w:type="auto"/>
            <w:tcBorders>
              <w:top w:val="single" w:sz="8" w:space="0" w:color="000000"/>
            </w:tcBorders>
            <w:shd w:val="clear" w:color="auto" w:fill="FFFFFF"/>
            <w:tcMar>
              <w:top w:w="40" w:type="dxa"/>
              <w:left w:w="20" w:type="dxa"/>
              <w:bottom w:w="40" w:type="dxa"/>
              <w:right w:w="0" w:type="dxa"/>
            </w:tcMar>
            <w:vAlign w:val="bottom"/>
          </w:tcPr>
          <w:p w14:paraId="7C20791C" w14:textId="77777777" w:rsidR="00834A75" w:rsidRDefault="00A6708C">
            <w:pPr>
              <w:textAlignment w:val="bottom"/>
            </w:pPr>
            <w:r>
              <w:rPr>
                <w:rFonts w:ascii="sans-serif" w:eastAsia="sans-serif" w:hAnsi="sans-serif" w:cs="sans-serif"/>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7C20791D" w14:textId="77777777" w:rsidR="00834A75" w:rsidRDefault="00A6708C">
            <w:pPr>
              <w:jc w:val="right"/>
              <w:textAlignment w:val="bottom"/>
            </w:pPr>
            <w:r>
              <w:rPr>
                <w:rFonts w:ascii="sans-serif" w:eastAsia="sans-serif" w:hAnsi="sans-serif" w:cs="sans-serif"/>
                <w:color w:val="000000"/>
                <w:sz w:val="20"/>
                <w:szCs w:val="20"/>
              </w:rPr>
              <w:t>1,618 </w:t>
            </w:r>
          </w:p>
        </w:tc>
        <w:tc>
          <w:tcPr>
            <w:tcW w:w="0" w:type="auto"/>
            <w:tcBorders>
              <w:top w:val="single" w:sz="8" w:space="0" w:color="000000"/>
            </w:tcBorders>
            <w:shd w:val="clear" w:color="auto" w:fill="FFFFFF"/>
            <w:tcMar>
              <w:top w:w="40" w:type="dxa"/>
              <w:left w:w="0" w:type="dxa"/>
              <w:bottom w:w="40" w:type="dxa"/>
              <w:right w:w="20" w:type="dxa"/>
            </w:tcMar>
            <w:vAlign w:val="bottom"/>
          </w:tcPr>
          <w:p w14:paraId="7C20791E" w14:textId="77777777" w:rsidR="00834A75" w:rsidRDefault="00834A75">
            <w:pPr>
              <w:jc w:val="right"/>
              <w:rPr>
                <w:rFonts w:ascii="宋体"/>
              </w:rPr>
            </w:pPr>
          </w:p>
        </w:tc>
        <w:tc>
          <w:tcPr>
            <w:tcW w:w="0" w:type="auto"/>
            <w:gridSpan w:val="3"/>
            <w:shd w:val="clear" w:color="auto" w:fill="FFFFFF"/>
            <w:tcMar>
              <w:top w:w="0" w:type="dxa"/>
              <w:left w:w="20" w:type="dxa"/>
              <w:bottom w:w="0" w:type="dxa"/>
              <w:right w:w="20" w:type="dxa"/>
            </w:tcMar>
            <w:vAlign w:val="bottom"/>
          </w:tcPr>
          <w:p w14:paraId="7C20791F" w14:textId="77777777" w:rsidR="00834A75" w:rsidRDefault="00834A75">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7C207920" w14:textId="77777777" w:rsidR="00834A75" w:rsidRDefault="00A6708C">
            <w:pPr>
              <w:textAlignment w:val="bottom"/>
            </w:pPr>
            <w:r>
              <w:rPr>
                <w:rFonts w:ascii="sans-serif" w:eastAsia="sans-serif" w:hAnsi="sans-serif" w:cs="sans-serif"/>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7C207921" w14:textId="77777777" w:rsidR="00834A75" w:rsidRDefault="00A6708C">
            <w:pPr>
              <w:jc w:val="right"/>
              <w:textAlignment w:val="bottom"/>
            </w:pPr>
            <w:r>
              <w:rPr>
                <w:rFonts w:ascii="sans-serif" w:eastAsia="sans-serif" w:hAnsi="sans-serif" w:cs="sans-serif"/>
                <w:color w:val="000000"/>
                <w:sz w:val="20"/>
                <w:szCs w:val="20"/>
              </w:rPr>
              <w:t>1,912 </w:t>
            </w:r>
          </w:p>
        </w:tc>
        <w:tc>
          <w:tcPr>
            <w:tcW w:w="0" w:type="auto"/>
            <w:tcBorders>
              <w:top w:val="single" w:sz="8" w:space="0" w:color="000000"/>
            </w:tcBorders>
            <w:shd w:val="clear" w:color="auto" w:fill="FFFFFF"/>
            <w:tcMar>
              <w:top w:w="40" w:type="dxa"/>
              <w:left w:w="0" w:type="dxa"/>
              <w:bottom w:w="40" w:type="dxa"/>
              <w:right w:w="20" w:type="dxa"/>
            </w:tcMar>
            <w:vAlign w:val="bottom"/>
          </w:tcPr>
          <w:p w14:paraId="7C207922" w14:textId="77777777" w:rsidR="00834A75" w:rsidRDefault="00834A75">
            <w:pPr>
              <w:jc w:val="right"/>
              <w:rPr>
                <w:rFonts w:ascii="宋体"/>
              </w:rPr>
            </w:pPr>
          </w:p>
        </w:tc>
        <w:tc>
          <w:tcPr>
            <w:tcW w:w="0" w:type="auto"/>
            <w:shd w:val="clear" w:color="auto" w:fill="auto"/>
            <w:vAlign w:val="bottom"/>
          </w:tcPr>
          <w:p w14:paraId="7C207923" w14:textId="77777777" w:rsidR="00834A75" w:rsidRDefault="00834A75">
            <w:pPr>
              <w:rPr>
                <w:rFonts w:ascii="宋体"/>
                <w:vanish/>
              </w:rPr>
            </w:pPr>
          </w:p>
        </w:tc>
        <w:tc>
          <w:tcPr>
            <w:tcW w:w="0" w:type="auto"/>
            <w:shd w:val="clear" w:color="auto" w:fill="auto"/>
            <w:vAlign w:val="bottom"/>
          </w:tcPr>
          <w:p w14:paraId="7C207924" w14:textId="77777777" w:rsidR="00834A75" w:rsidRDefault="00834A75">
            <w:pPr>
              <w:rPr>
                <w:rFonts w:ascii="宋体"/>
                <w:vanish/>
              </w:rPr>
            </w:pPr>
          </w:p>
        </w:tc>
        <w:tc>
          <w:tcPr>
            <w:tcW w:w="0" w:type="auto"/>
            <w:gridSpan w:val="3"/>
            <w:shd w:val="clear" w:color="auto" w:fill="auto"/>
            <w:vAlign w:val="bottom"/>
          </w:tcPr>
          <w:p w14:paraId="7C207925" w14:textId="77777777" w:rsidR="00834A75" w:rsidRDefault="00834A75">
            <w:pPr>
              <w:rPr>
                <w:rFonts w:ascii="宋体"/>
                <w:vanish/>
              </w:rPr>
            </w:pPr>
          </w:p>
        </w:tc>
        <w:tc>
          <w:tcPr>
            <w:tcW w:w="0" w:type="auto"/>
            <w:gridSpan w:val="3"/>
            <w:shd w:val="clear" w:color="auto" w:fill="auto"/>
            <w:vAlign w:val="bottom"/>
          </w:tcPr>
          <w:p w14:paraId="7C207926" w14:textId="77777777" w:rsidR="00834A75" w:rsidRDefault="00834A75">
            <w:pPr>
              <w:rPr>
                <w:rFonts w:ascii="宋体"/>
                <w:vanish/>
              </w:rPr>
            </w:pPr>
          </w:p>
        </w:tc>
      </w:tr>
      <w:tr w:rsidR="00834A75" w14:paraId="7C207930" w14:textId="77777777">
        <w:trPr>
          <w:trHeight w:val="300"/>
          <w:jc w:val="center"/>
        </w:trPr>
        <w:tc>
          <w:tcPr>
            <w:tcW w:w="0" w:type="auto"/>
            <w:gridSpan w:val="3"/>
            <w:shd w:val="clear" w:color="auto" w:fill="E2EFD9"/>
            <w:tcMar>
              <w:top w:w="0" w:type="dxa"/>
              <w:left w:w="20" w:type="dxa"/>
              <w:bottom w:w="0" w:type="dxa"/>
              <w:right w:w="20" w:type="dxa"/>
            </w:tcMar>
            <w:vAlign w:val="bottom"/>
          </w:tcPr>
          <w:p w14:paraId="7C207928" w14:textId="77777777" w:rsidR="00834A75" w:rsidRDefault="00834A75">
            <w:pPr>
              <w:rPr>
                <w:rFonts w:ascii="宋体"/>
              </w:rPr>
            </w:pPr>
          </w:p>
        </w:tc>
        <w:tc>
          <w:tcPr>
            <w:tcW w:w="0" w:type="auto"/>
            <w:gridSpan w:val="3"/>
            <w:tcBorders>
              <w:top w:val="double" w:sz="6" w:space="0" w:color="000000"/>
            </w:tcBorders>
            <w:shd w:val="clear" w:color="auto" w:fill="E2EFD9"/>
            <w:tcMar>
              <w:top w:w="0" w:type="dxa"/>
              <w:left w:w="20" w:type="dxa"/>
              <w:bottom w:w="0" w:type="dxa"/>
              <w:right w:w="20" w:type="dxa"/>
            </w:tcMar>
            <w:vAlign w:val="bottom"/>
          </w:tcPr>
          <w:p w14:paraId="7C207929" w14:textId="77777777" w:rsidR="00834A75" w:rsidRDefault="00834A75">
            <w:pPr>
              <w:rPr>
                <w:rFonts w:ascii="宋体"/>
              </w:rPr>
            </w:pPr>
          </w:p>
        </w:tc>
        <w:tc>
          <w:tcPr>
            <w:tcW w:w="0" w:type="auto"/>
            <w:gridSpan w:val="3"/>
            <w:shd w:val="clear" w:color="auto" w:fill="E2EFD9"/>
            <w:tcMar>
              <w:top w:w="0" w:type="dxa"/>
              <w:left w:w="20" w:type="dxa"/>
              <w:bottom w:w="0" w:type="dxa"/>
              <w:right w:w="20" w:type="dxa"/>
            </w:tcMar>
            <w:vAlign w:val="bottom"/>
          </w:tcPr>
          <w:p w14:paraId="7C20792A" w14:textId="77777777" w:rsidR="00834A75" w:rsidRDefault="00834A75">
            <w:pPr>
              <w:rPr>
                <w:rFonts w:ascii="宋体"/>
              </w:rPr>
            </w:pPr>
          </w:p>
        </w:tc>
        <w:tc>
          <w:tcPr>
            <w:tcW w:w="0" w:type="auto"/>
            <w:gridSpan w:val="3"/>
            <w:tcBorders>
              <w:top w:val="double" w:sz="6" w:space="0" w:color="000000"/>
            </w:tcBorders>
            <w:shd w:val="clear" w:color="auto" w:fill="E2EFD9"/>
            <w:tcMar>
              <w:top w:w="0" w:type="dxa"/>
              <w:left w:w="20" w:type="dxa"/>
              <w:bottom w:w="0" w:type="dxa"/>
              <w:right w:w="20" w:type="dxa"/>
            </w:tcMar>
            <w:vAlign w:val="bottom"/>
          </w:tcPr>
          <w:p w14:paraId="7C20792B" w14:textId="77777777" w:rsidR="00834A75" w:rsidRDefault="00834A75">
            <w:pPr>
              <w:rPr>
                <w:rFonts w:ascii="宋体"/>
              </w:rPr>
            </w:pPr>
          </w:p>
        </w:tc>
        <w:tc>
          <w:tcPr>
            <w:tcW w:w="0" w:type="auto"/>
            <w:shd w:val="clear" w:color="auto" w:fill="auto"/>
            <w:vAlign w:val="bottom"/>
          </w:tcPr>
          <w:p w14:paraId="7C20792C" w14:textId="77777777" w:rsidR="00834A75" w:rsidRDefault="00834A75">
            <w:pPr>
              <w:rPr>
                <w:rFonts w:ascii="宋体"/>
                <w:vanish/>
              </w:rPr>
            </w:pPr>
          </w:p>
        </w:tc>
        <w:tc>
          <w:tcPr>
            <w:tcW w:w="0" w:type="auto"/>
            <w:shd w:val="clear" w:color="auto" w:fill="auto"/>
            <w:vAlign w:val="bottom"/>
          </w:tcPr>
          <w:p w14:paraId="7C20792D" w14:textId="77777777" w:rsidR="00834A75" w:rsidRDefault="00834A75">
            <w:pPr>
              <w:rPr>
                <w:rFonts w:ascii="宋体"/>
                <w:vanish/>
              </w:rPr>
            </w:pPr>
          </w:p>
        </w:tc>
        <w:tc>
          <w:tcPr>
            <w:tcW w:w="0" w:type="auto"/>
            <w:gridSpan w:val="3"/>
            <w:shd w:val="clear" w:color="auto" w:fill="auto"/>
            <w:vAlign w:val="bottom"/>
          </w:tcPr>
          <w:p w14:paraId="7C20792E" w14:textId="77777777" w:rsidR="00834A75" w:rsidRDefault="00834A75">
            <w:pPr>
              <w:rPr>
                <w:rFonts w:ascii="宋体"/>
                <w:vanish/>
              </w:rPr>
            </w:pPr>
          </w:p>
        </w:tc>
        <w:tc>
          <w:tcPr>
            <w:tcW w:w="0" w:type="auto"/>
            <w:gridSpan w:val="3"/>
            <w:shd w:val="clear" w:color="auto" w:fill="auto"/>
            <w:vAlign w:val="bottom"/>
          </w:tcPr>
          <w:p w14:paraId="7C20792F" w14:textId="77777777" w:rsidR="00834A75" w:rsidRDefault="00834A75">
            <w:pPr>
              <w:rPr>
                <w:rFonts w:ascii="宋体"/>
                <w:vanish/>
              </w:rPr>
            </w:pPr>
          </w:p>
        </w:tc>
      </w:tr>
      <w:tr w:rsidR="00834A75" w14:paraId="7C207939" w14:textId="77777777">
        <w:trPr>
          <w:jc w:val="center"/>
        </w:trPr>
        <w:tc>
          <w:tcPr>
            <w:tcW w:w="0" w:type="auto"/>
            <w:gridSpan w:val="3"/>
            <w:shd w:val="clear" w:color="auto" w:fill="FFFFFF"/>
            <w:tcMar>
              <w:top w:w="40" w:type="dxa"/>
              <w:left w:w="20" w:type="dxa"/>
              <w:bottom w:w="40" w:type="dxa"/>
              <w:right w:w="20" w:type="dxa"/>
            </w:tcMar>
            <w:vAlign w:val="bottom"/>
          </w:tcPr>
          <w:p w14:paraId="7C207931" w14:textId="77777777" w:rsidR="00834A75" w:rsidRDefault="00A6708C">
            <w:pPr>
              <w:textAlignment w:val="bottom"/>
            </w:pPr>
            <w:r>
              <w:rPr>
                <w:rFonts w:ascii="sans-serif" w:eastAsia="sans-serif" w:hAnsi="sans-serif" w:cs="sans-serif"/>
                <w:color w:val="000000"/>
                <w:sz w:val="20"/>
                <w:szCs w:val="20"/>
              </w:rPr>
              <w:t xml:space="preserve">Net </w:t>
            </w:r>
            <w:r>
              <w:rPr>
                <w:rFonts w:ascii="sans-serif" w:eastAsia="sans-serif" w:hAnsi="sans-serif" w:cs="sans-serif"/>
                <w:color w:val="000000"/>
                <w:sz w:val="20"/>
                <w:szCs w:val="20"/>
              </w:rPr>
              <w:t>income per share:</w:t>
            </w:r>
          </w:p>
        </w:tc>
        <w:tc>
          <w:tcPr>
            <w:tcW w:w="0" w:type="auto"/>
            <w:gridSpan w:val="3"/>
            <w:shd w:val="clear" w:color="auto" w:fill="FFFFFF"/>
            <w:tcMar>
              <w:top w:w="0" w:type="dxa"/>
              <w:left w:w="20" w:type="dxa"/>
              <w:bottom w:w="0" w:type="dxa"/>
              <w:right w:w="20" w:type="dxa"/>
            </w:tcMar>
            <w:vAlign w:val="bottom"/>
          </w:tcPr>
          <w:p w14:paraId="7C207932" w14:textId="77777777" w:rsidR="00834A75" w:rsidRDefault="00834A75">
            <w:pPr>
              <w:rPr>
                <w:rFonts w:ascii="宋体"/>
              </w:rPr>
            </w:pPr>
          </w:p>
        </w:tc>
        <w:tc>
          <w:tcPr>
            <w:tcW w:w="0" w:type="auto"/>
            <w:gridSpan w:val="3"/>
            <w:shd w:val="clear" w:color="auto" w:fill="FFFFFF"/>
            <w:tcMar>
              <w:top w:w="0" w:type="dxa"/>
              <w:left w:w="20" w:type="dxa"/>
              <w:bottom w:w="0" w:type="dxa"/>
              <w:right w:w="20" w:type="dxa"/>
            </w:tcMar>
            <w:vAlign w:val="bottom"/>
          </w:tcPr>
          <w:p w14:paraId="7C207933" w14:textId="77777777" w:rsidR="00834A75" w:rsidRDefault="00834A75">
            <w:pPr>
              <w:rPr>
                <w:rFonts w:ascii="宋体"/>
              </w:rPr>
            </w:pPr>
          </w:p>
        </w:tc>
        <w:tc>
          <w:tcPr>
            <w:tcW w:w="0" w:type="auto"/>
            <w:gridSpan w:val="3"/>
            <w:shd w:val="clear" w:color="auto" w:fill="FFFFFF"/>
            <w:tcMar>
              <w:top w:w="0" w:type="dxa"/>
              <w:left w:w="20" w:type="dxa"/>
              <w:bottom w:w="0" w:type="dxa"/>
              <w:right w:w="20" w:type="dxa"/>
            </w:tcMar>
            <w:vAlign w:val="bottom"/>
          </w:tcPr>
          <w:p w14:paraId="7C207934" w14:textId="77777777" w:rsidR="00834A75" w:rsidRDefault="00834A75">
            <w:pPr>
              <w:rPr>
                <w:rFonts w:ascii="宋体"/>
              </w:rPr>
            </w:pPr>
          </w:p>
        </w:tc>
        <w:tc>
          <w:tcPr>
            <w:tcW w:w="0" w:type="auto"/>
            <w:shd w:val="clear" w:color="auto" w:fill="auto"/>
            <w:vAlign w:val="bottom"/>
          </w:tcPr>
          <w:p w14:paraId="7C207935" w14:textId="77777777" w:rsidR="00834A75" w:rsidRDefault="00834A75">
            <w:pPr>
              <w:rPr>
                <w:rFonts w:ascii="宋体"/>
                <w:vanish/>
              </w:rPr>
            </w:pPr>
          </w:p>
        </w:tc>
        <w:tc>
          <w:tcPr>
            <w:tcW w:w="0" w:type="auto"/>
            <w:shd w:val="clear" w:color="auto" w:fill="auto"/>
            <w:vAlign w:val="bottom"/>
          </w:tcPr>
          <w:p w14:paraId="7C207936" w14:textId="77777777" w:rsidR="00834A75" w:rsidRDefault="00834A75">
            <w:pPr>
              <w:rPr>
                <w:rFonts w:ascii="宋体"/>
                <w:vanish/>
              </w:rPr>
            </w:pPr>
          </w:p>
        </w:tc>
        <w:tc>
          <w:tcPr>
            <w:tcW w:w="0" w:type="auto"/>
            <w:gridSpan w:val="3"/>
            <w:shd w:val="clear" w:color="auto" w:fill="auto"/>
            <w:vAlign w:val="bottom"/>
          </w:tcPr>
          <w:p w14:paraId="7C207937" w14:textId="77777777" w:rsidR="00834A75" w:rsidRDefault="00834A75">
            <w:pPr>
              <w:rPr>
                <w:rFonts w:ascii="宋体"/>
                <w:vanish/>
              </w:rPr>
            </w:pPr>
          </w:p>
        </w:tc>
        <w:tc>
          <w:tcPr>
            <w:tcW w:w="0" w:type="auto"/>
            <w:gridSpan w:val="3"/>
            <w:shd w:val="clear" w:color="auto" w:fill="auto"/>
            <w:vAlign w:val="bottom"/>
          </w:tcPr>
          <w:p w14:paraId="7C207938" w14:textId="77777777" w:rsidR="00834A75" w:rsidRDefault="00834A75">
            <w:pPr>
              <w:rPr>
                <w:rFonts w:ascii="宋体"/>
                <w:vanish/>
              </w:rPr>
            </w:pPr>
          </w:p>
        </w:tc>
      </w:tr>
      <w:tr w:rsidR="00834A75" w14:paraId="7C207946" w14:textId="77777777">
        <w:trPr>
          <w:jc w:val="center"/>
        </w:trPr>
        <w:tc>
          <w:tcPr>
            <w:tcW w:w="0" w:type="auto"/>
            <w:gridSpan w:val="3"/>
            <w:shd w:val="clear" w:color="auto" w:fill="E2EFD9"/>
            <w:tcMar>
              <w:top w:w="40" w:type="dxa"/>
              <w:left w:w="515" w:type="dxa"/>
              <w:bottom w:w="40" w:type="dxa"/>
              <w:right w:w="20" w:type="dxa"/>
            </w:tcMar>
            <w:vAlign w:val="bottom"/>
          </w:tcPr>
          <w:p w14:paraId="7C20793A" w14:textId="77777777" w:rsidR="00834A75" w:rsidRDefault="00A6708C">
            <w:pPr>
              <w:textAlignment w:val="bottom"/>
            </w:pPr>
            <w:r>
              <w:rPr>
                <w:rFonts w:ascii="sans-serif" w:eastAsia="sans-serif" w:hAnsi="sans-serif" w:cs="sans-serif"/>
                <w:color w:val="000000"/>
                <w:sz w:val="20"/>
                <w:szCs w:val="20"/>
              </w:rPr>
              <w:t>Basic</w:t>
            </w:r>
          </w:p>
        </w:tc>
        <w:tc>
          <w:tcPr>
            <w:tcW w:w="0" w:type="auto"/>
            <w:shd w:val="clear" w:color="auto" w:fill="E2EFD9"/>
            <w:tcMar>
              <w:top w:w="40" w:type="dxa"/>
              <w:left w:w="20" w:type="dxa"/>
              <w:bottom w:w="40" w:type="dxa"/>
              <w:right w:w="0" w:type="dxa"/>
            </w:tcMar>
            <w:vAlign w:val="bottom"/>
          </w:tcPr>
          <w:p w14:paraId="7C20793B" w14:textId="77777777" w:rsidR="00834A75" w:rsidRDefault="00A6708C">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7C20793C" w14:textId="77777777" w:rsidR="00834A75" w:rsidRDefault="00A6708C">
            <w:pPr>
              <w:jc w:val="right"/>
              <w:textAlignment w:val="bottom"/>
            </w:pPr>
            <w:r>
              <w:rPr>
                <w:rFonts w:ascii="sans-serif" w:eastAsia="sans-serif" w:hAnsi="sans-serif" w:cs="sans-serif"/>
                <w:color w:val="000000"/>
                <w:sz w:val="20"/>
                <w:szCs w:val="20"/>
              </w:rPr>
              <w:t>0.65 </w:t>
            </w:r>
          </w:p>
        </w:tc>
        <w:tc>
          <w:tcPr>
            <w:tcW w:w="0" w:type="auto"/>
            <w:shd w:val="clear" w:color="auto" w:fill="E2EFD9"/>
            <w:tcMar>
              <w:top w:w="40" w:type="dxa"/>
              <w:left w:w="0" w:type="dxa"/>
              <w:bottom w:w="40" w:type="dxa"/>
              <w:right w:w="20" w:type="dxa"/>
            </w:tcMar>
            <w:vAlign w:val="bottom"/>
          </w:tcPr>
          <w:p w14:paraId="7C20793D" w14:textId="77777777" w:rsidR="00834A75" w:rsidRDefault="00834A75">
            <w:pPr>
              <w:jc w:val="right"/>
              <w:rPr>
                <w:rFonts w:ascii="宋体"/>
              </w:rPr>
            </w:pPr>
          </w:p>
        </w:tc>
        <w:tc>
          <w:tcPr>
            <w:tcW w:w="0" w:type="auto"/>
            <w:gridSpan w:val="3"/>
            <w:shd w:val="clear" w:color="auto" w:fill="E2EFD9"/>
            <w:tcMar>
              <w:top w:w="0" w:type="dxa"/>
              <w:left w:w="20" w:type="dxa"/>
              <w:bottom w:w="0" w:type="dxa"/>
              <w:right w:w="20" w:type="dxa"/>
            </w:tcMar>
            <w:vAlign w:val="bottom"/>
          </w:tcPr>
          <w:p w14:paraId="7C20793E" w14:textId="77777777" w:rsidR="00834A75" w:rsidRDefault="00834A75">
            <w:pPr>
              <w:rPr>
                <w:rFonts w:ascii="宋体"/>
              </w:rPr>
            </w:pPr>
          </w:p>
        </w:tc>
        <w:tc>
          <w:tcPr>
            <w:tcW w:w="0" w:type="auto"/>
            <w:shd w:val="clear" w:color="auto" w:fill="E2EFD9"/>
            <w:tcMar>
              <w:top w:w="40" w:type="dxa"/>
              <w:left w:w="20" w:type="dxa"/>
              <w:bottom w:w="40" w:type="dxa"/>
              <w:right w:w="0" w:type="dxa"/>
            </w:tcMar>
            <w:vAlign w:val="bottom"/>
          </w:tcPr>
          <w:p w14:paraId="7C20793F" w14:textId="77777777" w:rsidR="00834A75" w:rsidRDefault="00A6708C">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7C207940" w14:textId="77777777" w:rsidR="00834A75" w:rsidRDefault="00A6708C">
            <w:pPr>
              <w:jc w:val="right"/>
              <w:textAlignment w:val="bottom"/>
            </w:pPr>
            <w:r>
              <w:rPr>
                <w:rFonts w:ascii="sans-serif" w:eastAsia="sans-serif" w:hAnsi="sans-serif" w:cs="sans-serif"/>
                <w:color w:val="000000"/>
                <w:sz w:val="20"/>
                <w:szCs w:val="20"/>
              </w:rPr>
              <w:t>0.77 </w:t>
            </w:r>
          </w:p>
        </w:tc>
        <w:tc>
          <w:tcPr>
            <w:tcW w:w="0" w:type="auto"/>
            <w:shd w:val="clear" w:color="auto" w:fill="E2EFD9"/>
            <w:tcMar>
              <w:top w:w="40" w:type="dxa"/>
              <w:left w:w="0" w:type="dxa"/>
              <w:bottom w:w="40" w:type="dxa"/>
              <w:right w:w="20" w:type="dxa"/>
            </w:tcMar>
            <w:vAlign w:val="bottom"/>
          </w:tcPr>
          <w:p w14:paraId="7C207941" w14:textId="77777777" w:rsidR="00834A75" w:rsidRDefault="00834A75">
            <w:pPr>
              <w:jc w:val="right"/>
              <w:rPr>
                <w:rFonts w:ascii="宋体"/>
              </w:rPr>
            </w:pPr>
          </w:p>
        </w:tc>
        <w:tc>
          <w:tcPr>
            <w:tcW w:w="0" w:type="auto"/>
            <w:shd w:val="clear" w:color="auto" w:fill="auto"/>
            <w:vAlign w:val="bottom"/>
          </w:tcPr>
          <w:p w14:paraId="7C207942" w14:textId="77777777" w:rsidR="00834A75" w:rsidRDefault="00834A75">
            <w:pPr>
              <w:rPr>
                <w:rFonts w:ascii="宋体"/>
                <w:vanish/>
              </w:rPr>
            </w:pPr>
          </w:p>
        </w:tc>
        <w:tc>
          <w:tcPr>
            <w:tcW w:w="0" w:type="auto"/>
            <w:shd w:val="clear" w:color="auto" w:fill="auto"/>
            <w:vAlign w:val="bottom"/>
          </w:tcPr>
          <w:p w14:paraId="7C207943" w14:textId="77777777" w:rsidR="00834A75" w:rsidRDefault="00834A75">
            <w:pPr>
              <w:rPr>
                <w:rFonts w:ascii="宋体"/>
                <w:vanish/>
              </w:rPr>
            </w:pPr>
          </w:p>
        </w:tc>
        <w:tc>
          <w:tcPr>
            <w:tcW w:w="0" w:type="auto"/>
            <w:gridSpan w:val="3"/>
            <w:shd w:val="clear" w:color="auto" w:fill="auto"/>
            <w:vAlign w:val="bottom"/>
          </w:tcPr>
          <w:p w14:paraId="7C207944" w14:textId="77777777" w:rsidR="00834A75" w:rsidRDefault="00834A75">
            <w:pPr>
              <w:rPr>
                <w:rFonts w:ascii="宋体"/>
                <w:vanish/>
              </w:rPr>
            </w:pPr>
          </w:p>
        </w:tc>
        <w:tc>
          <w:tcPr>
            <w:tcW w:w="0" w:type="auto"/>
            <w:gridSpan w:val="3"/>
            <w:shd w:val="clear" w:color="auto" w:fill="auto"/>
            <w:vAlign w:val="bottom"/>
          </w:tcPr>
          <w:p w14:paraId="7C207945" w14:textId="77777777" w:rsidR="00834A75" w:rsidRDefault="00834A75">
            <w:pPr>
              <w:rPr>
                <w:rFonts w:ascii="宋体"/>
                <w:vanish/>
              </w:rPr>
            </w:pPr>
          </w:p>
        </w:tc>
      </w:tr>
      <w:tr w:rsidR="00834A75" w14:paraId="7C207953" w14:textId="77777777">
        <w:trPr>
          <w:jc w:val="center"/>
        </w:trPr>
        <w:tc>
          <w:tcPr>
            <w:tcW w:w="0" w:type="auto"/>
            <w:gridSpan w:val="3"/>
            <w:shd w:val="clear" w:color="auto" w:fill="FFFFFF"/>
            <w:tcMar>
              <w:top w:w="40" w:type="dxa"/>
              <w:left w:w="515" w:type="dxa"/>
              <w:bottom w:w="40" w:type="dxa"/>
              <w:right w:w="20" w:type="dxa"/>
            </w:tcMar>
            <w:vAlign w:val="bottom"/>
          </w:tcPr>
          <w:p w14:paraId="7C207947" w14:textId="77777777" w:rsidR="00834A75" w:rsidRDefault="00A6708C">
            <w:pPr>
              <w:textAlignment w:val="bottom"/>
            </w:pPr>
            <w:r>
              <w:rPr>
                <w:rFonts w:ascii="sans-serif" w:eastAsia="sans-serif" w:hAnsi="sans-serif" w:cs="sans-serif"/>
                <w:color w:val="000000"/>
                <w:sz w:val="20"/>
                <w:szCs w:val="20"/>
              </w:rPr>
              <w:t>Diluted</w:t>
            </w:r>
          </w:p>
        </w:tc>
        <w:tc>
          <w:tcPr>
            <w:tcW w:w="0" w:type="auto"/>
            <w:tcBorders>
              <w:top w:val="double" w:sz="6" w:space="0" w:color="000000"/>
            </w:tcBorders>
            <w:shd w:val="clear" w:color="auto" w:fill="FFFFFF"/>
            <w:tcMar>
              <w:top w:w="40" w:type="dxa"/>
              <w:left w:w="20" w:type="dxa"/>
              <w:bottom w:w="40" w:type="dxa"/>
              <w:right w:w="0" w:type="dxa"/>
            </w:tcMar>
            <w:vAlign w:val="bottom"/>
          </w:tcPr>
          <w:p w14:paraId="7C207948" w14:textId="77777777" w:rsidR="00834A75" w:rsidRDefault="00A6708C">
            <w:pPr>
              <w:textAlignment w:val="bottom"/>
            </w:pPr>
            <w:r>
              <w:rPr>
                <w:rFonts w:ascii="sans-serif" w:eastAsia="sans-serif" w:hAnsi="sans-serif" w:cs="sans-serif"/>
                <w:color w:val="000000"/>
                <w:sz w:val="20"/>
                <w:szCs w:val="20"/>
              </w:rPr>
              <w:t>$</w:t>
            </w:r>
          </w:p>
        </w:tc>
        <w:tc>
          <w:tcPr>
            <w:tcW w:w="0" w:type="auto"/>
            <w:tcBorders>
              <w:top w:val="double" w:sz="6" w:space="0" w:color="000000"/>
            </w:tcBorders>
            <w:shd w:val="clear" w:color="auto" w:fill="FFFFFF"/>
            <w:tcMar>
              <w:top w:w="40" w:type="dxa"/>
              <w:left w:w="0" w:type="dxa"/>
              <w:bottom w:w="40" w:type="dxa"/>
              <w:right w:w="0" w:type="dxa"/>
            </w:tcMar>
            <w:vAlign w:val="bottom"/>
          </w:tcPr>
          <w:p w14:paraId="7C207949" w14:textId="77777777" w:rsidR="00834A75" w:rsidRDefault="00A6708C">
            <w:pPr>
              <w:jc w:val="right"/>
              <w:textAlignment w:val="bottom"/>
            </w:pPr>
            <w:r>
              <w:rPr>
                <w:rFonts w:ascii="sans-serif" w:eastAsia="sans-serif" w:hAnsi="sans-serif" w:cs="sans-serif"/>
                <w:color w:val="000000"/>
                <w:sz w:val="20"/>
                <w:szCs w:val="20"/>
              </w:rPr>
              <w:t>0.64 </w:t>
            </w:r>
          </w:p>
        </w:tc>
        <w:tc>
          <w:tcPr>
            <w:tcW w:w="0" w:type="auto"/>
            <w:tcBorders>
              <w:top w:val="double" w:sz="6" w:space="0" w:color="000000"/>
            </w:tcBorders>
            <w:shd w:val="clear" w:color="auto" w:fill="FFFFFF"/>
            <w:tcMar>
              <w:top w:w="40" w:type="dxa"/>
              <w:left w:w="0" w:type="dxa"/>
              <w:bottom w:w="40" w:type="dxa"/>
              <w:right w:w="20" w:type="dxa"/>
            </w:tcMar>
            <w:vAlign w:val="bottom"/>
          </w:tcPr>
          <w:p w14:paraId="7C20794A" w14:textId="77777777" w:rsidR="00834A75" w:rsidRDefault="00834A75">
            <w:pPr>
              <w:jc w:val="right"/>
              <w:rPr>
                <w:rFonts w:ascii="宋体"/>
              </w:rPr>
            </w:pPr>
          </w:p>
        </w:tc>
        <w:tc>
          <w:tcPr>
            <w:tcW w:w="0" w:type="auto"/>
            <w:gridSpan w:val="3"/>
            <w:shd w:val="clear" w:color="auto" w:fill="FFFFFF"/>
            <w:tcMar>
              <w:top w:w="0" w:type="dxa"/>
              <w:left w:w="20" w:type="dxa"/>
              <w:bottom w:w="0" w:type="dxa"/>
              <w:right w:w="20" w:type="dxa"/>
            </w:tcMar>
            <w:vAlign w:val="bottom"/>
          </w:tcPr>
          <w:p w14:paraId="7C20794B" w14:textId="77777777" w:rsidR="00834A75" w:rsidRDefault="00834A75">
            <w:pPr>
              <w:rPr>
                <w:rFonts w:ascii="宋体"/>
              </w:rPr>
            </w:pPr>
          </w:p>
        </w:tc>
        <w:tc>
          <w:tcPr>
            <w:tcW w:w="0" w:type="auto"/>
            <w:tcBorders>
              <w:top w:val="double" w:sz="6" w:space="0" w:color="000000"/>
            </w:tcBorders>
            <w:shd w:val="clear" w:color="auto" w:fill="FFFFFF"/>
            <w:tcMar>
              <w:top w:w="40" w:type="dxa"/>
              <w:left w:w="20" w:type="dxa"/>
              <w:bottom w:w="40" w:type="dxa"/>
              <w:right w:w="0" w:type="dxa"/>
            </w:tcMar>
            <w:vAlign w:val="bottom"/>
          </w:tcPr>
          <w:p w14:paraId="7C20794C" w14:textId="77777777" w:rsidR="00834A75" w:rsidRDefault="00A6708C">
            <w:pPr>
              <w:textAlignment w:val="bottom"/>
            </w:pPr>
            <w:r>
              <w:rPr>
                <w:rFonts w:ascii="sans-serif" w:eastAsia="sans-serif" w:hAnsi="sans-serif" w:cs="sans-serif"/>
                <w:color w:val="000000"/>
                <w:sz w:val="20"/>
                <w:szCs w:val="20"/>
              </w:rPr>
              <w:t>$</w:t>
            </w:r>
          </w:p>
        </w:tc>
        <w:tc>
          <w:tcPr>
            <w:tcW w:w="0" w:type="auto"/>
            <w:tcBorders>
              <w:top w:val="double" w:sz="6" w:space="0" w:color="000000"/>
            </w:tcBorders>
            <w:shd w:val="clear" w:color="auto" w:fill="FFFFFF"/>
            <w:tcMar>
              <w:top w:w="40" w:type="dxa"/>
              <w:left w:w="0" w:type="dxa"/>
              <w:bottom w:w="40" w:type="dxa"/>
              <w:right w:w="0" w:type="dxa"/>
            </w:tcMar>
            <w:vAlign w:val="bottom"/>
          </w:tcPr>
          <w:p w14:paraId="7C20794D" w14:textId="77777777" w:rsidR="00834A75" w:rsidRDefault="00A6708C">
            <w:pPr>
              <w:jc w:val="right"/>
              <w:textAlignment w:val="bottom"/>
            </w:pPr>
            <w:r>
              <w:rPr>
                <w:rFonts w:ascii="sans-serif" w:eastAsia="sans-serif" w:hAnsi="sans-serif" w:cs="sans-serif"/>
                <w:color w:val="000000"/>
                <w:sz w:val="20"/>
                <w:szCs w:val="20"/>
              </w:rPr>
              <w:t>0.76 </w:t>
            </w:r>
          </w:p>
        </w:tc>
        <w:tc>
          <w:tcPr>
            <w:tcW w:w="0" w:type="auto"/>
            <w:tcBorders>
              <w:top w:val="double" w:sz="6" w:space="0" w:color="000000"/>
            </w:tcBorders>
            <w:shd w:val="clear" w:color="auto" w:fill="FFFFFF"/>
            <w:tcMar>
              <w:top w:w="40" w:type="dxa"/>
              <w:left w:w="0" w:type="dxa"/>
              <w:bottom w:w="40" w:type="dxa"/>
              <w:right w:w="20" w:type="dxa"/>
            </w:tcMar>
            <w:vAlign w:val="bottom"/>
          </w:tcPr>
          <w:p w14:paraId="7C20794E" w14:textId="77777777" w:rsidR="00834A75" w:rsidRDefault="00834A75">
            <w:pPr>
              <w:jc w:val="right"/>
              <w:rPr>
                <w:rFonts w:ascii="宋体"/>
              </w:rPr>
            </w:pPr>
          </w:p>
        </w:tc>
        <w:tc>
          <w:tcPr>
            <w:tcW w:w="0" w:type="auto"/>
            <w:shd w:val="clear" w:color="auto" w:fill="auto"/>
            <w:vAlign w:val="bottom"/>
          </w:tcPr>
          <w:p w14:paraId="7C20794F" w14:textId="77777777" w:rsidR="00834A75" w:rsidRDefault="00834A75">
            <w:pPr>
              <w:rPr>
                <w:rFonts w:ascii="宋体"/>
                <w:vanish/>
              </w:rPr>
            </w:pPr>
          </w:p>
        </w:tc>
        <w:tc>
          <w:tcPr>
            <w:tcW w:w="0" w:type="auto"/>
            <w:shd w:val="clear" w:color="auto" w:fill="auto"/>
            <w:vAlign w:val="bottom"/>
          </w:tcPr>
          <w:p w14:paraId="7C207950" w14:textId="77777777" w:rsidR="00834A75" w:rsidRDefault="00834A75">
            <w:pPr>
              <w:rPr>
                <w:rFonts w:ascii="宋体"/>
                <w:vanish/>
              </w:rPr>
            </w:pPr>
          </w:p>
        </w:tc>
        <w:tc>
          <w:tcPr>
            <w:tcW w:w="0" w:type="auto"/>
            <w:gridSpan w:val="3"/>
            <w:shd w:val="clear" w:color="auto" w:fill="auto"/>
            <w:vAlign w:val="bottom"/>
          </w:tcPr>
          <w:p w14:paraId="7C207951" w14:textId="77777777" w:rsidR="00834A75" w:rsidRDefault="00834A75">
            <w:pPr>
              <w:rPr>
                <w:rFonts w:ascii="宋体"/>
                <w:vanish/>
              </w:rPr>
            </w:pPr>
          </w:p>
        </w:tc>
        <w:tc>
          <w:tcPr>
            <w:tcW w:w="0" w:type="auto"/>
            <w:gridSpan w:val="3"/>
            <w:shd w:val="clear" w:color="auto" w:fill="auto"/>
            <w:vAlign w:val="bottom"/>
          </w:tcPr>
          <w:p w14:paraId="7C207952" w14:textId="77777777" w:rsidR="00834A75" w:rsidRDefault="00834A75">
            <w:pPr>
              <w:rPr>
                <w:rFonts w:ascii="宋体"/>
                <w:vanish/>
              </w:rPr>
            </w:pPr>
          </w:p>
        </w:tc>
      </w:tr>
      <w:tr w:rsidR="00834A75" w14:paraId="7C20795C" w14:textId="77777777">
        <w:trPr>
          <w:trHeight w:val="300"/>
          <w:jc w:val="center"/>
        </w:trPr>
        <w:tc>
          <w:tcPr>
            <w:tcW w:w="0" w:type="auto"/>
            <w:gridSpan w:val="3"/>
            <w:shd w:val="clear" w:color="auto" w:fill="E2EFD9"/>
            <w:tcMar>
              <w:top w:w="0" w:type="dxa"/>
              <w:left w:w="20" w:type="dxa"/>
              <w:bottom w:w="0" w:type="dxa"/>
              <w:right w:w="20" w:type="dxa"/>
            </w:tcMar>
            <w:vAlign w:val="bottom"/>
          </w:tcPr>
          <w:p w14:paraId="7C207954" w14:textId="77777777" w:rsidR="00834A75" w:rsidRDefault="00834A75">
            <w:pPr>
              <w:rPr>
                <w:rFonts w:ascii="宋体"/>
              </w:rPr>
            </w:pPr>
          </w:p>
        </w:tc>
        <w:tc>
          <w:tcPr>
            <w:tcW w:w="0" w:type="auto"/>
            <w:gridSpan w:val="3"/>
            <w:tcBorders>
              <w:top w:val="double" w:sz="6" w:space="0" w:color="000000"/>
            </w:tcBorders>
            <w:shd w:val="clear" w:color="auto" w:fill="E2EFD9"/>
            <w:tcMar>
              <w:top w:w="0" w:type="dxa"/>
              <w:left w:w="20" w:type="dxa"/>
              <w:bottom w:w="0" w:type="dxa"/>
              <w:right w:w="20" w:type="dxa"/>
            </w:tcMar>
            <w:vAlign w:val="bottom"/>
          </w:tcPr>
          <w:p w14:paraId="7C207955" w14:textId="77777777" w:rsidR="00834A75" w:rsidRDefault="00834A75">
            <w:pPr>
              <w:rPr>
                <w:rFonts w:ascii="宋体"/>
              </w:rPr>
            </w:pPr>
          </w:p>
        </w:tc>
        <w:tc>
          <w:tcPr>
            <w:tcW w:w="0" w:type="auto"/>
            <w:gridSpan w:val="3"/>
            <w:shd w:val="clear" w:color="auto" w:fill="E2EFD9"/>
            <w:tcMar>
              <w:top w:w="0" w:type="dxa"/>
              <w:left w:w="20" w:type="dxa"/>
              <w:bottom w:w="0" w:type="dxa"/>
              <w:right w:w="20" w:type="dxa"/>
            </w:tcMar>
            <w:vAlign w:val="bottom"/>
          </w:tcPr>
          <w:p w14:paraId="7C207956" w14:textId="77777777" w:rsidR="00834A75" w:rsidRDefault="00834A75">
            <w:pPr>
              <w:rPr>
                <w:rFonts w:ascii="宋体"/>
              </w:rPr>
            </w:pPr>
          </w:p>
        </w:tc>
        <w:tc>
          <w:tcPr>
            <w:tcW w:w="0" w:type="auto"/>
            <w:gridSpan w:val="3"/>
            <w:tcBorders>
              <w:top w:val="double" w:sz="6" w:space="0" w:color="000000"/>
            </w:tcBorders>
            <w:shd w:val="clear" w:color="auto" w:fill="E2EFD9"/>
            <w:tcMar>
              <w:top w:w="0" w:type="dxa"/>
              <w:left w:w="20" w:type="dxa"/>
              <w:bottom w:w="0" w:type="dxa"/>
              <w:right w:w="20" w:type="dxa"/>
            </w:tcMar>
            <w:vAlign w:val="bottom"/>
          </w:tcPr>
          <w:p w14:paraId="7C207957" w14:textId="77777777" w:rsidR="00834A75" w:rsidRDefault="00834A75">
            <w:pPr>
              <w:rPr>
                <w:rFonts w:ascii="宋体"/>
              </w:rPr>
            </w:pPr>
          </w:p>
        </w:tc>
        <w:tc>
          <w:tcPr>
            <w:tcW w:w="0" w:type="auto"/>
            <w:shd w:val="clear" w:color="auto" w:fill="auto"/>
            <w:vAlign w:val="bottom"/>
          </w:tcPr>
          <w:p w14:paraId="7C207958" w14:textId="77777777" w:rsidR="00834A75" w:rsidRDefault="00834A75">
            <w:pPr>
              <w:rPr>
                <w:rFonts w:ascii="宋体"/>
                <w:vanish/>
              </w:rPr>
            </w:pPr>
          </w:p>
        </w:tc>
        <w:tc>
          <w:tcPr>
            <w:tcW w:w="0" w:type="auto"/>
            <w:shd w:val="clear" w:color="auto" w:fill="auto"/>
            <w:vAlign w:val="bottom"/>
          </w:tcPr>
          <w:p w14:paraId="7C207959" w14:textId="77777777" w:rsidR="00834A75" w:rsidRDefault="00834A75">
            <w:pPr>
              <w:rPr>
                <w:rFonts w:ascii="宋体"/>
                <w:vanish/>
              </w:rPr>
            </w:pPr>
          </w:p>
        </w:tc>
        <w:tc>
          <w:tcPr>
            <w:tcW w:w="0" w:type="auto"/>
            <w:gridSpan w:val="3"/>
            <w:shd w:val="clear" w:color="auto" w:fill="auto"/>
            <w:vAlign w:val="bottom"/>
          </w:tcPr>
          <w:p w14:paraId="7C20795A" w14:textId="77777777" w:rsidR="00834A75" w:rsidRDefault="00834A75">
            <w:pPr>
              <w:rPr>
                <w:rFonts w:ascii="宋体"/>
                <w:vanish/>
              </w:rPr>
            </w:pPr>
          </w:p>
        </w:tc>
        <w:tc>
          <w:tcPr>
            <w:tcW w:w="0" w:type="auto"/>
            <w:gridSpan w:val="3"/>
            <w:shd w:val="clear" w:color="auto" w:fill="auto"/>
            <w:vAlign w:val="bottom"/>
          </w:tcPr>
          <w:p w14:paraId="7C20795B" w14:textId="77777777" w:rsidR="00834A75" w:rsidRDefault="00834A75">
            <w:pPr>
              <w:rPr>
                <w:rFonts w:ascii="宋体"/>
                <w:vanish/>
              </w:rPr>
            </w:pPr>
          </w:p>
        </w:tc>
      </w:tr>
      <w:tr w:rsidR="00834A75" w14:paraId="7C207965" w14:textId="77777777">
        <w:trPr>
          <w:jc w:val="center"/>
        </w:trPr>
        <w:tc>
          <w:tcPr>
            <w:tcW w:w="0" w:type="auto"/>
            <w:gridSpan w:val="3"/>
            <w:shd w:val="clear" w:color="auto" w:fill="FFFFFF"/>
            <w:tcMar>
              <w:top w:w="40" w:type="dxa"/>
              <w:left w:w="20" w:type="dxa"/>
              <w:bottom w:w="40" w:type="dxa"/>
              <w:right w:w="20" w:type="dxa"/>
            </w:tcMar>
            <w:vAlign w:val="bottom"/>
          </w:tcPr>
          <w:p w14:paraId="7C20795D" w14:textId="77777777" w:rsidR="00834A75" w:rsidRDefault="00A6708C">
            <w:pPr>
              <w:textAlignment w:val="bottom"/>
            </w:pPr>
            <w:r>
              <w:rPr>
                <w:rFonts w:ascii="sans-serif" w:eastAsia="sans-serif" w:hAnsi="sans-serif" w:cs="sans-serif"/>
                <w:color w:val="000000"/>
                <w:sz w:val="20"/>
                <w:szCs w:val="20"/>
              </w:rPr>
              <w:t>Weighted average shares used in per share computation:</w:t>
            </w:r>
          </w:p>
        </w:tc>
        <w:tc>
          <w:tcPr>
            <w:tcW w:w="0" w:type="auto"/>
            <w:gridSpan w:val="3"/>
            <w:shd w:val="clear" w:color="auto" w:fill="FFFFFF"/>
            <w:tcMar>
              <w:top w:w="0" w:type="dxa"/>
              <w:left w:w="20" w:type="dxa"/>
              <w:bottom w:w="0" w:type="dxa"/>
              <w:right w:w="20" w:type="dxa"/>
            </w:tcMar>
            <w:vAlign w:val="bottom"/>
          </w:tcPr>
          <w:p w14:paraId="7C20795E" w14:textId="77777777" w:rsidR="00834A75" w:rsidRDefault="00834A75">
            <w:pPr>
              <w:rPr>
                <w:rFonts w:ascii="宋体"/>
              </w:rPr>
            </w:pPr>
          </w:p>
        </w:tc>
        <w:tc>
          <w:tcPr>
            <w:tcW w:w="0" w:type="auto"/>
            <w:gridSpan w:val="3"/>
            <w:shd w:val="clear" w:color="auto" w:fill="FFFFFF"/>
            <w:tcMar>
              <w:top w:w="0" w:type="dxa"/>
              <w:left w:w="20" w:type="dxa"/>
              <w:bottom w:w="0" w:type="dxa"/>
              <w:right w:w="20" w:type="dxa"/>
            </w:tcMar>
            <w:vAlign w:val="bottom"/>
          </w:tcPr>
          <w:p w14:paraId="7C20795F" w14:textId="77777777" w:rsidR="00834A75" w:rsidRDefault="00834A75">
            <w:pPr>
              <w:rPr>
                <w:rFonts w:ascii="宋体"/>
              </w:rPr>
            </w:pPr>
          </w:p>
        </w:tc>
        <w:tc>
          <w:tcPr>
            <w:tcW w:w="0" w:type="auto"/>
            <w:gridSpan w:val="3"/>
            <w:shd w:val="clear" w:color="auto" w:fill="FFFFFF"/>
            <w:tcMar>
              <w:top w:w="0" w:type="dxa"/>
              <w:left w:w="20" w:type="dxa"/>
              <w:bottom w:w="0" w:type="dxa"/>
              <w:right w:w="20" w:type="dxa"/>
            </w:tcMar>
            <w:vAlign w:val="bottom"/>
          </w:tcPr>
          <w:p w14:paraId="7C207960" w14:textId="77777777" w:rsidR="00834A75" w:rsidRDefault="00834A75">
            <w:pPr>
              <w:rPr>
                <w:rFonts w:ascii="宋体"/>
              </w:rPr>
            </w:pPr>
          </w:p>
        </w:tc>
        <w:tc>
          <w:tcPr>
            <w:tcW w:w="0" w:type="auto"/>
            <w:shd w:val="clear" w:color="auto" w:fill="auto"/>
            <w:vAlign w:val="bottom"/>
          </w:tcPr>
          <w:p w14:paraId="7C207961" w14:textId="77777777" w:rsidR="00834A75" w:rsidRDefault="00834A75">
            <w:pPr>
              <w:rPr>
                <w:rFonts w:ascii="宋体"/>
                <w:vanish/>
              </w:rPr>
            </w:pPr>
          </w:p>
        </w:tc>
        <w:tc>
          <w:tcPr>
            <w:tcW w:w="0" w:type="auto"/>
            <w:shd w:val="clear" w:color="auto" w:fill="auto"/>
            <w:vAlign w:val="bottom"/>
          </w:tcPr>
          <w:p w14:paraId="7C207962" w14:textId="77777777" w:rsidR="00834A75" w:rsidRDefault="00834A75">
            <w:pPr>
              <w:rPr>
                <w:rFonts w:ascii="宋体"/>
                <w:vanish/>
              </w:rPr>
            </w:pPr>
          </w:p>
        </w:tc>
        <w:tc>
          <w:tcPr>
            <w:tcW w:w="0" w:type="auto"/>
            <w:gridSpan w:val="3"/>
            <w:shd w:val="clear" w:color="auto" w:fill="auto"/>
            <w:vAlign w:val="bottom"/>
          </w:tcPr>
          <w:p w14:paraId="7C207963" w14:textId="77777777" w:rsidR="00834A75" w:rsidRDefault="00834A75">
            <w:pPr>
              <w:rPr>
                <w:rFonts w:ascii="宋体"/>
                <w:vanish/>
              </w:rPr>
            </w:pPr>
          </w:p>
        </w:tc>
        <w:tc>
          <w:tcPr>
            <w:tcW w:w="0" w:type="auto"/>
            <w:gridSpan w:val="3"/>
            <w:shd w:val="clear" w:color="auto" w:fill="auto"/>
            <w:vAlign w:val="bottom"/>
          </w:tcPr>
          <w:p w14:paraId="7C207964" w14:textId="77777777" w:rsidR="00834A75" w:rsidRDefault="00834A75">
            <w:pPr>
              <w:rPr>
                <w:rFonts w:ascii="宋体"/>
                <w:vanish/>
              </w:rPr>
            </w:pPr>
          </w:p>
        </w:tc>
      </w:tr>
      <w:tr w:rsidR="00834A75" w14:paraId="7C207970" w14:textId="77777777">
        <w:trPr>
          <w:jc w:val="center"/>
        </w:trPr>
        <w:tc>
          <w:tcPr>
            <w:tcW w:w="0" w:type="auto"/>
            <w:gridSpan w:val="3"/>
            <w:shd w:val="clear" w:color="auto" w:fill="E2EFD9"/>
            <w:tcMar>
              <w:top w:w="40" w:type="dxa"/>
              <w:left w:w="515" w:type="dxa"/>
              <w:bottom w:w="40" w:type="dxa"/>
              <w:right w:w="20" w:type="dxa"/>
            </w:tcMar>
            <w:vAlign w:val="bottom"/>
          </w:tcPr>
          <w:p w14:paraId="7C207966" w14:textId="77777777" w:rsidR="00834A75" w:rsidRDefault="00A6708C">
            <w:pPr>
              <w:textAlignment w:val="bottom"/>
            </w:pPr>
            <w:r>
              <w:rPr>
                <w:rFonts w:ascii="sans-serif" w:eastAsia="sans-serif" w:hAnsi="sans-serif" w:cs="sans-serif"/>
                <w:color w:val="000000"/>
                <w:sz w:val="20"/>
                <w:szCs w:val="20"/>
              </w:rPr>
              <w:t>Basic</w:t>
            </w:r>
          </w:p>
        </w:tc>
        <w:tc>
          <w:tcPr>
            <w:tcW w:w="0" w:type="auto"/>
            <w:gridSpan w:val="2"/>
            <w:shd w:val="clear" w:color="auto" w:fill="E2EFD9"/>
            <w:tcMar>
              <w:top w:w="40" w:type="dxa"/>
              <w:left w:w="20" w:type="dxa"/>
              <w:bottom w:w="40" w:type="dxa"/>
              <w:right w:w="0" w:type="dxa"/>
            </w:tcMar>
            <w:vAlign w:val="bottom"/>
          </w:tcPr>
          <w:p w14:paraId="7C207967" w14:textId="77777777" w:rsidR="00834A75" w:rsidRDefault="00A6708C">
            <w:pPr>
              <w:jc w:val="right"/>
              <w:textAlignment w:val="bottom"/>
            </w:pPr>
            <w:r>
              <w:rPr>
                <w:rFonts w:ascii="sans-serif" w:eastAsia="sans-serif" w:hAnsi="sans-serif" w:cs="sans-serif"/>
                <w:color w:val="000000"/>
                <w:sz w:val="20"/>
                <w:szCs w:val="20"/>
              </w:rPr>
              <w:t>2,506 </w:t>
            </w:r>
          </w:p>
        </w:tc>
        <w:tc>
          <w:tcPr>
            <w:tcW w:w="0" w:type="auto"/>
            <w:shd w:val="clear" w:color="auto" w:fill="E2EFD9"/>
            <w:tcMar>
              <w:top w:w="40" w:type="dxa"/>
              <w:left w:w="0" w:type="dxa"/>
              <w:bottom w:w="40" w:type="dxa"/>
              <w:right w:w="20" w:type="dxa"/>
            </w:tcMar>
            <w:vAlign w:val="bottom"/>
          </w:tcPr>
          <w:p w14:paraId="7C207968" w14:textId="77777777" w:rsidR="00834A75" w:rsidRDefault="00834A75">
            <w:pPr>
              <w:jc w:val="right"/>
              <w:rPr>
                <w:rFonts w:ascii="宋体"/>
              </w:rPr>
            </w:pPr>
          </w:p>
        </w:tc>
        <w:tc>
          <w:tcPr>
            <w:tcW w:w="0" w:type="auto"/>
            <w:gridSpan w:val="3"/>
            <w:shd w:val="clear" w:color="auto" w:fill="E2EFD9"/>
            <w:tcMar>
              <w:top w:w="0" w:type="dxa"/>
              <w:left w:w="20" w:type="dxa"/>
              <w:bottom w:w="0" w:type="dxa"/>
              <w:right w:w="20" w:type="dxa"/>
            </w:tcMar>
            <w:vAlign w:val="bottom"/>
          </w:tcPr>
          <w:p w14:paraId="7C207969" w14:textId="77777777" w:rsidR="00834A75" w:rsidRDefault="00834A75">
            <w:pPr>
              <w:rPr>
                <w:rFonts w:ascii="宋体"/>
              </w:rPr>
            </w:pPr>
          </w:p>
        </w:tc>
        <w:tc>
          <w:tcPr>
            <w:tcW w:w="0" w:type="auto"/>
            <w:gridSpan w:val="2"/>
            <w:shd w:val="clear" w:color="auto" w:fill="E2EFD9"/>
            <w:tcMar>
              <w:top w:w="40" w:type="dxa"/>
              <w:left w:w="20" w:type="dxa"/>
              <w:bottom w:w="40" w:type="dxa"/>
              <w:right w:w="0" w:type="dxa"/>
            </w:tcMar>
            <w:vAlign w:val="bottom"/>
          </w:tcPr>
          <w:p w14:paraId="7C20796A" w14:textId="77777777" w:rsidR="00834A75" w:rsidRDefault="00A6708C">
            <w:pPr>
              <w:jc w:val="right"/>
              <w:textAlignment w:val="bottom"/>
            </w:pPr>
            <w:r>
              <w:rPr>
                <w:rFonts w:ascii="sans-serif" w:eastAsia="sans-serif" w:hAnsi="sans-serif" w:cs="sans-serif"/>
                <w:color w:val="000000"/>
                <w:sz w:val="20"/>
                <w:szCs w:val="20"/>
              </w:rPr>
              <w:t>2,484 </w:t>
            </w:r>
          </w:p>
        </w:tc>
        <w:tc>
          <w:tcPr>
            <w:tcW w:w="0" w:type="auto"/>
            <w:shd w:val="clear" w:color="auto" w:fill="E2EFD9"/>
            <w:tcMar>
              <w:top w:w="40" w:type="dxa"/>
              <w:left w:w="0" w:type="dxa"/>
              <w:bottom w:w="40" w:type="dxa"/>
              <w:right w:w="20" w:type="dxa"/>
            </w:tcMar>
            <w:vAlign w:val="bottom"/>
          </w:tcPr>
          <w:p w14:paraId="7C20796B" w14:textId="77777777" w:rsidR="00834A75" w:rsidRDefault="00834A75">
            <w:pPr>
              <w:jc w:val="right"/>
              <w:rPr>
                <w:rFonts w:ascii="宋体"/>
              </w:rPr>
            </w:pPr>
          </w:p>
        </w:tc>
        <w:tc>
          <w:tcPr>
            <w:tcW w:w="0" w:type="auto"/>
            <w:shd w:val="clear" w:color="auto" w:fill="auto"/>
            <w:vAlign w:val="bottom"/>
          </w:tcPr>
          <w:p w14:paraId="7C20796C" w14:textId="77777777" w:rsidR="00834A75" w:rsidRDefault="00834A75">
            <w:pPr>
              <w:rPr>
                <w:rFonts w:ascii="宋体"/>
                <w:vanish/>
              </w:rPr>
            </w:pPr>
          </w:p>
        </w:tc>
        <w:tc>
          <w:tcPr>
            <w:tcW w:w="0" w:type="auto"/>
            <w:shd w:val="clear" w:color="auto" w:fill="auto"/>
            <w:vAlign w:val="bottom"/>
          </w:tcPr>
          <w:p w14:paraId="7C20796D" w14:textId="77777777" w:rsidR="00834A75" w:rsidRDefault="00834A75">
            <w:pPr>
              <w:rPr>
                <w:rFonts w:ascii="宋体"/>
                <w:vanish/>
              </w:rPr>
            </w:pPr>
          </w:p>
        </w:tc>
        <w:tc>
          <w:tcPr>
            <w:tcW w:w="0" w:type="auto"/>
            <w:gridSpan w:val="3"/>
            <w:shd w:val="clear" w:color="auto" w:fill="auto"/>
            <w:vAlign w:val="bottom"/>
          </w:tcPr>
          <w:p w14:paraId="7C20796E" w14:textId="77777777" w:rsidR="00834A75" w:rsidRDefault="00834A75">
            <w:pPr>
              <w:rPr>
                <w:rFonts w:ascii="宋体"/>
                <w:vanish/>
              </w:rPr>
            </w:pPr>
          </w:p>
        </w:tc>
        <w:tc>
          <w:tcPr>
            <w:tcW w:w="0" w:type="auto"/>
            <w:gridSpan w:val="3"/>
            <w:shd w:val="clear" w:color="auto" w:fill="auto"/>
            <w:vAlign w:val="bottom"/>
          </w:tcPr>
          <w:p w14:paraId="7C20796F" w14:textId="77777777" w:rsidR="00834A75" w:rsidRDefault="00834A75">
            <w:pPr>
              <w:rPr>
                <w:rFonts w:ascii="宋体"/>
                <w:vanish/>
              </w:rPr>
            </w:pPr>
          </w:p>
        </w:tc>
      </w:tr>
      <w:tr w:rsidR="00834A75" w14:paraId="7C20797B" w14:textId="77777777">
        <w:trPr>
          <w:jc w:val="center"/>
        </w:trPr>
        <w:tc>
          <w:tcPr>
            <w:tcW w:w="0" w:type="auto"/>
            <w:gridSpan w:val="3"/>
            <w:shd w:val="clear" w:color="auto" w:fill="FFFFFF"/>
            <w:tcMar>
              <w:top w:w="40" w:type="dxa"/>
              <w:left w:w="515" w:type="dxa"/>
              <w:bottom w:w="40" w:type="dxa"/>
              <w:right w:w="20" w:type="dxa"/>
            </w:tcMar>
            <w:vAlign w:val="bottom"/>
          </w:tcPr>
          <w:p w14:paraId="7C207971" w14:textId="77777777" w:rsidR="00834A75" w:rsidRDefault="00A6708C">
            <w:pPr>
              <w:textAlignment w:val="bottom"/>
            </w:pPr>
            <w:r>
              <w:rPr>
                <w:rFonts w:ascii="sans-serif" w:eastAsia="sans-serif" w:hAnsi="sans-serif" w:cs="sans-serif"/>
                <w:color w:val="000000"/>
                <w:sz w:val="20"/>
                <w:szCs w:val="20"/>
              </w:rPr>
              <w:t>Diluted</w:t>
            </w:r>
          </w:p>
        </w:tc>
        <w:tc>
          <w:tcPr>
            <w:tcW w:w="0" w:type="auto"/>
            <w:gridSpan w:val="2"/>
            <w:tcBorders>
              <w:top w:val="double" w:sz="6" w:space="0" w:color="000000"/>
              <w:bottom w:val="double" w:sz="6" w:space="0" w:color="000000"/>
            </w:tcBorders>
            <w:shd w:val="clear" w:color="auto" w:fill="FFFFFF"/>
            <w:tcMar>
              <w:top w:w="40" w:type="dxa"/>
              <w:left w:w="20" w:type="dxa"/>
              <w:bottom w:w="40" w:type="dxa"/>
              <w:right w:w="0" w:type="dxa"/>
            </w:tcMar>
            <w:vAlign w:val="bottom"/>
          </w:tcPr>
          <w:p w14:paraId="7C207972" w14:textId="77777777" w:rsidR="00834A75" w:rsidRDefault="00A6708C">
            <w:pPr>
              <w:jc w:val="right"/>
              <w:textAlignment w:val="bottom"/>
            </w:pPr>
            <w:r>
              <w:rPr>
                <w:rFonts w:ascii="sans-serif" w:eastAsia="sans-serif" w:hAnsi="sans-serif" w:cs="sans-serif"/>
                <w:color w:val="000000"/>
                <w:sz w:val="20"/>
                <w:szCs w:val="20"/>
              </w:rPr>
              <w:t>2,537 </w:t>
            </w:r>
          </w:p>
        </w:tc>
        <w:tc>
          <w:tcPr>
            <w:tcW w:w="0" w:type="auto"/>
            <w:tcBorders>
              <w:top w:val="double" w:sz="6" w:space="0" w:color="000000"/>
              <w:bottom w:val="double" w:sz="6" w:space="0" w:color="000000"/>
            </w:tcBorders>
            <w:shd w:val="clear" w:color="auto" w:fill="FFFFFF"/>
            <w:tcMar>
              <w:top w:w="40" w:type="dxa"/>
              <w:left w:w="0" w:type="dxa"/>
              <w:bottom w:w="40" w:type="dxa"/>
              <w:right w:w="20" w:type="dxa"/>
            </w:tcMar>
            <w:vAlign w:val="bottom"/>
          </w:tcPr>
          <w:p w14:paraId="7C207973" w14:textId="77777777" w:rsidR="00834A75" w:rsidRDefault="00834A75">
            <w:pPr>
              <w:jc w:val="right"/>
              <w:rPr>
                <w:rFonts w:ascii="宋体"/>
              </w:rPr>
            </w:pPr>
          </w:p>
        </w:tc>
        <w:tc>
          <w:tcPr>
            <w:tcW w:w="0" w:type="auto"/>
            <w:gridSpan w:val="3"/>
            <w:shd w:val="clear" w:color="auto" w:fill="FFFFFF"/>
            <w:tcMar>
              <w:top w:w="0" w:type="dxa"/>
              <w:left w:w="20" w:type="dxa"/>
              <w:bottom w:w="0" w:type="dxa"/>
              <w:right w:w="20" w:type="dxa"/>
            </w:tcMar>
            <w:vAlign w:val="bottom"/>
          </w:tcPr>
          <w:p w14:paraId="7C207974" w14:textId="77777777" w:rsidR="00834A75" w:rsidRDefault="00834A75">
            <w:pPr>
              <w:rPr>
                <w:rFonts w:ascii="宋体"/>
              </w:rPr>
            </w:pPr>
          </w:p>
        </w:tc>
        <w:tc>
          <w:tcPr>
            <w:tcW w:w="0" w:type="auto"/>
            <w:gridSpan w:val="2"/>
            <w:tcBorders>
              <w:top w:val="double" w:sz="6" w:space="0" w:color="000000"/>
              <w:bottom w:val="double" w:sz="6" w:space="0" w:color="000000"/>
            </w:tcBorders>
            <w:shd w:val="clear" w:color="auto" w:fill="FFFFFF"/>
            <w:tcMar>
              <w:top w:w="40" w:type="dxa"/>
              <w:left w:w="20" w:type="dxa"/>
              <w:bottom w:w="40" w:type="dxa"/>
              <w:right w:w="0" w:type="dxa"/>
            </w:tcMar>
            <w:vAlign w:val="bottom"/>
          </w:tcPr>
          <w:p w14:paraId="7C207975" w14:textId="77777777" w:rsidR="00834A75" w:rsidRDefault="00A6708C">
            <w:pPr>
              <w:jc w:val="right"/>
              <w:textAlignment w:val="bottom"/>
            </w:pPr>
            <w:r>
              <w:rPr>
                <w:rFonts w:ascii="sans-serif" w:eastAsia="sans-serif" w:hAnsi="sans-serif" w:cs="sans-serif"/>
                <w:color w:val="000000"/>
                <w:sz w:val="20"/>
                <w:szCs w:val="20"/>
              </w:rPr>
              <w:t>2,528 </w:t>
            </w:r>
          </w:p>
        </w:tc>
        <w:tc>
          <w:tcPr>
            <w:tcW w:w="0" w:type="auto"/>
            <w:tcBorders>
              <w:top w:val="double" w:sz="6" w:space="0" w:color="000000"/>
              <w:bottom w:val="double" w:sz="6" w:space="0" w:color="000000"/>
            </w:tcBorders>
            <w:shd w:val="clear" w:color="auto" w:fill="FFFFFF"/>
            <w:tcMar>
              <w:top w:w="40" w:type="dxa"/>
              <w:left w:w="0" w:type="dxa"/>
              <w:bottom w:w="40" w:type="dxa"/>
              <w:right w:w="20" w:type="dxa"/>
            </w:tcMar>
            <w:vAlign w:val="bottom"/>
          </w:tcPr>
          <w:p w14:paraId="7C207976" w14:textId="77777777" w:rsidR="00834A75" w:rsidRDefault="00834A75">
            <w:pPr>
              <w:jc w:val="right"/>
              <w:rPr>
                <w:rFonts w:ascii="宋体"/>
              </w:rPr>
            </w:pPr>
          </w:p>
        </w:tc>
        <w:tc>
          <w:tcPr>
            <w:tcW w:w="0" w:type="auto"/>
            <w:shd w:val="clear" w:color="auto" w:fill="auto"/>
            <w:vAlign w:val="bottom"/>
          </w:tcPr>
          <w:p w14:paraId="7C207977" w14:textId="77777777" w:rsidR="00834A75" w:rsidRDefault="00834A75">
            <w:pPr>
              <w:rPr>
                <w:rFonts w:ascii="宋体"/>
                <w:vanish/>
              </w:rPr>
            </w:pPr>
          </w:p>
        </w:tc>
        <w:tc>
          <w:tcPr>
            <w:tcW w:w="0" w:type="auto"/>
            <w:shd w:val="clear" w:color="auto" w:fill="auto"/>
            <w:vAlign w:val="bottom"/>
          </w:tcPr>
          <w:p w14:paraId="7C207978" w14:textId="77777777" w:rsidR="00834A75" w:rsidRDefault="00834A75">
            <w:pPr>
              <w:rPr>
                <w:rFonts w:ascii="宋体"/>
                <w:vanish/>
              </w:rPr>
            </w:pPr>
          </w:p>
        </w:tc>
        <w:tc>
          <w:tcPr>
            <w:tcW w:w="0" w:type="auto"/>
            <w:gridSpan w:val="3"/>
            <w:shd w:val="clear" w:color="auto" w:fill="auto"/>
            <w:vAlign w:val="bottom"/>
          </w:tcPr>
          <w:p w14:paraId="7C207979" w14:textId="77777777" w:rsidR="00834A75" w:rsidRDefault="00834A75">
            <w:pPr>
              <w:rPr>
                <w:rFonts w:ascii="宋体"/>
                <w:vanish/>
              </w:rPr>
            </w:pPr>
          </w:p>
        </w:tc>
        <w:tc>
          <w:tcPr>
            <w:tcW w:w="0" w:type="auto"/>
            <w:gridSpan w:val="3"/>
            <w:shd w:val="clear" w:color="auto" w:fill="auto"/>
            <w:vAlign w:val="bottom"/>
          </w:tcPr>
          <w:p w14:paraId="7C20797A" w14:textId="77777777" w:rsidR="00834A75" w:rsidRDefault="00834A75">
            <w:pPr>
              <w:rPr>
                <w:rFonts w:ascii="宋体"/>
                <w:vanish/>
              </w:rPr>
            </w:pPr>
          </w:p>
        </w:tc>
      </w:tr>
      <w:tr w:rsidR="00834A75" w14:paraId="7C207984" w14:textId="77777777">
        <w:trPr>
          <w:jc w:val="center"/>
          <w:hidden/>
        </w:trPr>
        <w:tc>
          <w:tcPr>
            <w:tcW w:w="0" w:type="auto"/>
            <w:gridSpan w:val="3"/>
            <w:shd w:val="clear" w:color="auto" w:fill="auto"/>
            <w:vAlign w:val="bottom"/>
          </w:tcPr>
          <w:p w14:paraId="7C20797C" w14:textId="77777777" w:rsidR="00834A75" w:rsidRDefault="00834A75">
            <w:pPr>
              <w:rPr>
                <w:rFonts w:ascii="宋体"/>
                <w:vanish/>
              </w:rPr>
            </w:pPr>
          </w:p>
        </w:tc>
        <w:tc>
          <w:tcPr>
            <w:tcW w:w="0" w:type="auto"/>
            <w:gridSpan w:val="3"/>
            <w:shd w:val="clear" w:color="auto" w:fill="auto"/>
            <w:vAlign w:val="bottom"/>
          </w:tcPr>
          <w:p w14:paraId="7C20797D" w14:textId="77777777" w:rsidR="00834A75" w:rsidRDefault="00834A75">
            <w:pPr>
              <w:rPr>
                <w:rFonts w:ascii="宋体"/>
                <w:vanish/>
              </w:rPr>
            </w:pPr>
          </w:p>
        </w:tc>
        <w:tc>
          <w:tcPr>
            <w:tcW w:w="0" w:type="auto"/>
            <w:gridSpan w:val="3"/>
            <w:shd w:val="clear" w:color="auto" w:fill="auto"/>
            <w:vAlign w:val="bottom"/>
          </w:tcPr>
          <w:p w14:paraId="7C20797E" w14:textId="77777777" w:rsidR="00834A75" w:rsidRDefault="00834A75">
            <w:pPr>
              <w:rPr>
                <w:rFonts w:ascii="宋体"/>
                <w:vanish/>
              </w:rPr>
            </w:pPr>
          </w:p>
        </w:tc>
        <w:tc>
          <w:tcPr>
            <w:tcW w:w="0" w:type="auto"/>
            <w:gridSpan w:val="3"/>
            <w:shd w:val="clear" w:color="auto" w:fill="auto"/>
            <w:vAlign w:val="bottom"/>
          </w:tcPr>
          <w:p w14:paraId="7C20797F" w14:textId="77777777" w:rsidR="00834A75" w:rsidRDefault="00834A75">
            <w:pPr>
              <w:rPr>
                <w:rFonts w:ascii="宋体"/>
                <w:vanish/>
              </w:rPr>
            </w:pPr>
          </w:p>
        </w:tc>
        <w:tc>
          <w:tcPr>
            <w:tcW w:w="0" w:type="auto"/>
            <w:shd w:val="clear" w:color="auto" w:fill="auto"/>
            <w:vAlign w:val="bottom"/>
          </w:tcPr>
          <w:p w14:paraId="7C207980" w14:textId="77777777" w:rsidR="00834A75" w:rsidRDefault="00834A75">
            <w:pPr>
              <w:rPr>
                <w:rFonts w:ascii="宋体"/>
                <w:vanish/>
              </w:rPr>
            </w:pPr>
          </w:p>
        </w:tc>
        <w:tc>
          <w:tcPr>
            <w:tcW w:w="0" w:type="auto"/>
            <w:shd w:val="clear" w:color="auto" w:fill="auto"/>
            <w:vAlign w:val="bottom"/>
          </w:tcPr>
          <w:p w14:paraId="7C207981" w14:textId="77777777" w:rsidR="00834A75" w:rsidRDefault="00834A75">
            <w:pPr>
              <w:rPr>
                <w:rFonts w:ascii="宋体"/>
                <w:vanish/>
              </w:rPr>
            </w:pPr>
          </w:p>
        </w:tc>
        <w:tc>
          <w:tcPr>
            <w:tcW w:w="0" w:type="auto"/>
            <w:gridSpan w:val="3"/>
            <w:shd w:val="clear" w:color="auto" w:fill="auto"/>
            <w:vAlign w:val="bottom"/>
          </w:tcPr>
          <w:p w14:paraId="7C207982" w14:textId="77777777" w:rsidR="00834A75" w:rsidRDefault="00834A75">
            <w:pPr>
              <w:rPr>
                <w:rFonts w:ascii="宋体"/>
                <w:vanish/>
              </w:rPr>
            </w:pPr>
          </w:p>
        </w:tc>
        <w:tc>
          <w:tcPr>
            <w:tcW w:w="0" w:type="auto"/>
            <w:gridSpan w:val="3"/>
            <w:shd w:val="clear" w:color="auto" w:fill="auto"/>
            <w:vAlign w:val="bottom"/>
          </w:tcPr>
          <w:p w14:paraId="7C207983" w14:textId="77777777" w:rsidR="00834A75" w:rsidRDefault="00834A75">
            <w:pPr>
              <w:rPr>
                <w:rFonts w:ascii="宋体"/>
                <w:vanish/>
              </w:rPr>
            </w:pPr>
          </w:p>
        </w:tc>
      </w:tr>
      <w:tr w:rsidR="00834A75" w14:paraId="7C20798D" w14:textId="77777777">
        <w:trPr>
          <w:jc w:val="center"/>
          <w:hidden/>
        </w:trPr>
        <w:tc>
          <w:tcPr>
            <w:tcW w:w="0" w:type="auto"/>
            <w:gridSpan w:val="3"/>
            <w:shd w:val="clear" w:color="auto" w:fill="auto"/>
            <w:vAlign w:val="bottom"/>
          </w:tcPr>
          <w:p w14:paraId="7C207985" w14:textId="77777777" w:rsidR="00834A75" w:rsidRDefault="00834A75">
            <w:pPr>
              <w:rPr>
                <w:rFonts w:ascii="宋体"/>
                <w:vanish/>
              </w:rPr>
            </w:pPr>
          </w:p>
        </w:tc>
        <w:tc>
          <w:tcPr>
            <w:tcW w:w="0" w:type="auto"/>
            <w:gridSpan w:val="3"/>
            <w:shd w:val="clear" w:color="auto" w:fill="auto"/>
            <w:vAlign w:val="bottom"/>
          </w:tcPr>
          <w:p w14:paraId="7C207986" w14:textId="77777777" w:rsidR="00834A75" w:rsidRDefault="00834A75">
            <w:pPr>
              <w:rPr>
                <w:rFonts w:ascii="宋体"/>
                <w:vanish/>
              </w:rPr>
            </w:pPr>
          </w:p>
        </w:tc>
        <w:tc>
          <w:tcPr>
            <w:tcW w:w="0" w:type="auto"/>
            <w:gridSpan w:val="3"/>
            <w:shd w:val="clear" w:color="auto" w:fill="auto"/>
            <w:vAlign w:val="bottom"/>
          </w:tcPr>
          <w:p w14:paraId="7C207987" w14:textId="77777777" w:rsidR="00834A75" w:rsidRDefault="00834A75">
            <w:pPr>
              <w:rPr>
                <w:rFonts w:ascii="宋体"/>
                <w:vanish/>
              </w:rPr>
            </w:pPr>
          </w:p>
        </w:tc>
        <w:tc>
          <w:tcPr>
            <w:tcW w:w="0" w:type="auto"/>
            <w:gridSpan w:val="3"/>
            <w:shd w:val="clear" w:color="auto" w:fill="auto"/>
            <w:vAlign w:val="bottom"/>
          </w:tcPr>
          <w:p w14:paraId="7C207988" w14:textId="77777777" w:rsidR="00834A75" w:rsidRDefault="00834A75">
            <w:pPr>
              <w:rPr>
                <w:rFonts w:ascii="宋体"/>
                <w:vanish/>
              </w:rPr>
            </w:pPr>
          </w:p>
        </w:tc>
        <w:tc>
          <w:tcPr>
            <w:tcW w:w="0" w:type="auto"/>
            <w:shd w:val="clear" w:color="auto" w:fill="auto"/>
            <w:vAlign w:val="bottom"/>
          </w:tcPr>
          <w:p w14:paraId="7C207989" w14:textId="77777777" w:rsidR="00834A75" w:rsidRDefault="00834A75">
            <w:pPr>
              <w:rPr>
                <w:rFonts w:ascii="宋体"/>
                <w:vanish/>
              </w:rPr>
            </w:pPr>
          </w:p>
        </w:tc>
        <w:tc>
          <w:tcPr>
            <w:tcW w:w="0" w:type="auto"/>
            <w:shd w:val="clear" w:color="auto" w:fill="auto"/>
            <w:vAlign w:val="bottom"/>
          </w:tcPr>
          <w:p w14:paraId="7C20798A" w14:textId="77777777" w:rsidR="00834A75" w:rsidRDefault="00834A75">
            <w:pPr>
              <w:rPr>
                <w:rFonts w:ascii="宋体"/>
                <w:vanish/>
              </w:rPr>
            </w:pPr>
          </w:p>
        </w:tc>
        <w:tc>
          <w:tcPr>
            <w:tcW w:w="0" w:type="auto"/>
            <w:gridSpan w:val="3"/>
            <w:shd w:val="clear" w:color="auto" w:fill="auto"/>
            <w:vAlign w:val="bottom"/>
          </w:tcPr>
          <w:p w14:paraId="7C20798B" w14:textId="77777777" w:rsidR="00834A75" w:rsidRDefault="00834A75">
            <w:pPr>
              <w:rPr>
                <w:rFonts w:ascii="宋体"/>
                <w:vanish/>
              </w:rPr>
            </w:pPr>
          </w:p>
        </w:tc>
        <w:tc>
          <w:tcPr>
            <w:tcW w:w="0" w:type="auto"/>
            <w:gridSpan w:val="3"/>
            <w:shd w:val="clear" w:color="auto" w:fill="auto"/>
            <w:vAlign w:val="bottom"/>
          </w:tcPr>
          <w:p w14:paraId="7C20798C" w14:textId="77777777" w:rsidR="00834A75" w:rsidRDefault="00834A75">
            <w:pPr>
              <w:rPr>
                <w:rFonts w:ascii="宋体"/>
                <w:vanish/>
              </w:rPr>
            </w:pPr>
          </w:p>
        </w:tc>
      </w:tr>
    </w:tbl>
    <w:p w14:paraId="7C20798E" w14:textId="77777777" w:rsidR="00834A75" w:rsidRDefault="00A6708C">
      <w:pPr>
        <w:spacing w:after="180"/>
        <w:jc w:val="center"/>
      </w:pPr>
      <w:r>
        <w:rPr>
          <w:rFonts w:ascii="sans-serif" w:eastAsia="sans-serif" w:hAnsi="sans-serif" w:cs="sans-serif"/>
          <w:color w:val="000000"/>
          <w:sz w:val="20"/>
          <w:szCs w:val="20"/>
        </w:rPr>
        <w:t xml:space="preserve">See </w:t>
      </w:r>
      <w:r>
        <w:rPr>
          <w:rFonts w:ascii="sans-serif" w:eastAsia="sans-serif" w:hAnsi="sans-serif" w:cs="sans-serif"/>
          <w:color w:val="000000"/>
          <w:sz w:val="20"/>
          <w:szCs w:val="20"/>
        </w:rPr>
        <w:t>accompanying Notes to Condensed Consolidated Financial Statements.</w:t>
      </w:r>
    </w:p>
    <w:p w14:paraId="7C20798F" w14:textId="77777777" w:rsidR="00834A75" w:rsidRDefault="00834A75">
      <w:pPr>
        <w:spacing w:after="180"/>
        <w:jc w:val="center"/>
      </w:pPr>
    </w:p>
    <w:p w14:paraId="7C207990" w14:textId="77777777" w:rsidR="00834A75" w:rsidRDefault="00A6708C">
      <w:pPr>
        <w:spacing w:after="180"/>
        <w:jc w:val="center"/>
      </w:pPr>
      <w:r>
        <w:rPr>
          <w:rFonts w:ascii="sans-serif" w:eastAsia="sans-serif" w:hAnsi="sans-serif" w:cs="sans-serif"/>
          <w:color w:val="000000"/>
          <w:sz w:val="20"/>
          <w:szCs w:val="20"/>
        </w:rPr>
        <w:t>3</w:t>
      </w:r>
    </w:p>
    <w:p w14:paraId="7C207991" w14:textId="77777777" w:rsidR="00834A75" w:rsidRDefault="00A6708C">
      <w:r>
        <w:pict w14:anchorId="7C209352">
          <v:rect id="_x0000_i1027" style="width:415.3pt;height:1.5pt" o:hralign="center" o:hrstd="t" o:hr="t" fillcolor="#a0a0a0" stroked="f"/>
        </w:pict>
      </w:r>
    </w:p>
    <w:p w14:paraId="7C207992" w14:textId="77777777" w:rsidR="00834A75" w:rsidRDefault="00834A75">
      <w:pPr>
        <w:spacing w:after="180"/>
        <w:jc w:val="both"/>
      </w:pPr>
    </w:p>
    <w:p w14:paraId="7C207993" w14:textId="77777777" w:rsidR="00834A75" w:rsidRDefault="00A6708C">
      <w:pPr>
        <w:jc w:val="center"/>
      </w:pPr>
      <w:r>
        <w:rPr>
          <w:rFonts w:ascii="sans-serif" w:eastAsia="sans-serif" w:hAnsi="sans-serif" w:cs="sans-serif"/>
          <w:b/>
          <w:bCs/>
          <w:color w:val="000000"/>
          <w:sz w:val="20"/>
          <w:szCs w:val="20"/>
        </w:rPr>
        <w:t>NVIDIA CORPORATION AND SUBSIDIARIES</w:t>
      </w:r>
    </w:p>
    <w:p w14:paraId="7C207994" w14:textId="77777777" w:rsidR="00834A75" w:rsidRDefault="00A6708C">
      <w:pPr>
        <w:jc w:val="center"/>
      </w:pPr>
      <w:r>
        <w:rPr>
          <w:rFonts w:ascii="sans-serif" w:eastAsia="sans-serif" w:hAnsi="sans-serif" w:cs="sans-serif"/>
          <w:b/>
          <w:bCs/>
          <w:color w:val="000000"/>
          <w:sz w:val="20"/>
          <w:szCs w:val="20"/>
        </w:rPr>
        <w:t>CONDENSED CONSOLIDATED STATEMENTS OF COMPREHENSIVE INCOME</w:t>
      </w:r>
    </w:p>
    <w:p w14:paraId="7C207995" w14:textId="77777777" w:rsidR="00834A75" w:rsidRDefault="00A6708C">
      <w:pPr>
        <w:jc w:val="center"/>
      </w:pPr>
      <w:r>
        <w:rPr>
          <w:rFonts w:ascii="sans-serif" w:eastAsia="sans-serif" w:hAnsi="sans-serif" w:cs="sans-serif"/>
          <w:b/>
          <w:bCs/>
          <w:color w:val="000000"/>
          <w:sz w:val="20"/>
          <w:szCs w:val="20"/>
        </w:rPr>
        <w:t>(In millions)</w:t>
      </w:r>
    </w:p>
    <w:p w14:paraId="7C207996" w14:textId="77777777" w:rsidR="00834A75" w:rsidRDefault="00A6708C">
      <w:pPr>
        <w:jc w:val="center"/>
      </w:pPr>
      <w:r>
        <w:rPr>
          <w:rFonts w:ascii="sans-serif" w:eastAsia="sans-serif" w:hAnsi="sans-serif" w:cs="sans-serif"/>
          <w:b/>
          <w:bCs/>
          <w:color w:val="000000"/>
          <w:sz w:val="20"/>
          <w:szCs w:val="20"/>
        </w:rPr>
        <w:t>(Unaudited)</w:t>
      </w:r>
    </w:p>
    <w:tbl>
      <w:tblPr>
        <w:tblW w:w="5000" w:type="pct"/>
        <w:jc w:val="center"/>
        <w:tblCellMar>
          <w:top w:w="15" w:type="dxa"/>
          <w:left w:w="15" w:type="dxa"/>
          <w:bottom w:w="15" w:type="dxa"/>
          <w:right w:w="15" w:type="dxa"/>
        </w:tblCellMar>
        <w:tblLook w:val="04A0" w:firstRow="1" w:lastRow="0" w:firstColumn="1" w:lastColumn="0" w:noHBand="0" w:noVBand="1"/>
      </w:tblPr>
      <w:tblGrid>
        <w:gridCol w:w="39"/>
        <w:gridCol w:w="5806"/>
        <w:gridCol w:w="37"/>
        <w:gridCol w:w="122"/>
        <w:gridCol w:w="889"/>
        <w:gridCol w:w="36"/>
        <w:gridCol w:w="36"/>
        <w:gridCol w:w="36"/>
        <w:gridCol w:w="36"/>
        <w:gridCol w:w="122"/>
        <w:gridCol w:w="853"/>
        <w:gridCol w:w="36"/>
        <w:gridCol w:w="36"/>
        <w:gridCol w:w="36"/>
        <w:gridCol w:w="36"/>
        <w:gridCol w:w="36"/>
        <w:gridCol w:w="36"/>
        <w:gridCol w:w="36"/>
        <w:gridCol w:w="36"/>
        <w:gridCol w:w="36"/>
      </w:tblGrid>
      <w:tr w:rsidR="00834A75" w14:paraId="7C2079A7" w14:textId="77777777">
        <w:trPr>
          <w:jc w:val="center"/>
        </w:trPr>
        <w:tc>
          <w:tcPr>
            <w:tcW w:w="50" w:type="pct"/>
            <w:shd w:val="clear" w:color="auto" w:fill="auto"/>
            <w:vAlign w:val="bottom"/>
          </w:tcPr>
          <w:p w14:paraId="7C207997" w14:textId="77777777" w:rsidR="00834A75" w:rsidRDefault="00834A75">
            <w:pPr>
              <w:rPr>
                <w:rFonts w:ascii="宋体"/>
              </w:rPr>
            </w:pPr>
          </w:p>
        </w:tc>
        <w:tc>
          <w:tcPr>
            <w:tcW w:w="3636" w:type="pct"/>
            <w:shd w:val="clear" w:color="auto" w:fill="auto"/>
            <w:vAlign w:val="bottom"/>
          </w:tcPr>
          <w:p w14:paraId="7C207998" w14:textId="77777777" w:rsidR="00834A75" w:rsidRDefault="00834A75">
            <w:pPr>
              <w:rPr>
                <w:rFonts w:ascii="宋体"/>
              </w:rPr>
            </w:pPr>
          </w:p>
        </w:tc>
        <w:tc>
          <w:tcPr>
            <w:tcW w:w="5" w:type="pct"/>
            <w:shd w:val="clear" w:color="auto" w:fill="auto"/>
            <w:vAlign w:val="bottom"/>
          </w:tcPr>
          <w:p w14:paraId="7C207999" w14:textId="77777777" w:rsidR="00834A75" w:rsidRDefault="00834A75">
            <w:pPr>
              <w:rPr>
                <w:rFonts w:ascii="宋体"/>
              </w:rPr>
            </w:pPr>
          </w:p>
        </w:tc>
        <w:tc>
          <w:tcPr>
            <w:tcW w:w="50" w:type="pct"/>
            <w:shd w:val="clear" w:color="auto" w:fill="auto"/>
            <w:vAlign w:val="bottom"/>
          </w:tcPr>
          <w:p w14:paraId="7C20799A" w14:textId="77777777" w:rsidR="00834A75" w:rsidRDefault="00834A75">
            <w:pPr>
              <w:rPr>
                <w:rFonts w:ascii="宋体"/>
              </w:rPr>
            </w:pPr>
          </w:p>
        </w:tc>
        <w:tc>
          <w:tcPr>
            <w:tcW w:w="580" w:type="pct"/>
            <w:shd w:val="clear" w:color="auto" w:fill="auto"/>
            <w:vAlign w:val="bottom"/>
          </w:tcPr>
          <w:p w14:paraId="7C20799B" w14:textId="77777777" w:rsidR="00834A75" w:rsidRDefault="00834A75">
            <w:pPr>
              <w:rPr>
                <w:rFonts w:ascii="宋体"/>
              </w:rPr>
            </w:pPr>
          </w:p>
        </w:tc>
        <w:tc>
          <w:tcPr>
            <w:tcW w:w="5" w:type="pct"/>
            <w:shd w:val="clear" w:color="auto" w:fill="auto"/>
            <w:vAlign w:val="bottom"/>
          </w:tcPr>
          <w:p w14:paraId="7C20799C" w14:textId="77777777" w:rsidR="00834A75" w:rsidRDefault="00834A75">
            <w:pPr>
              <w:rPr>
                <w:rFonts w:ascii="宋体"/>
              </w:rPr>
            </w:pPr>
          </w:p>
        </w:tc>
        <w:tc>
          <w:tcPr>
            <w:tcW w:w="5" w:type="pct"/>
            <w:shd w:val="clear" w:color="auto" w:fill="auto"/>
            <w:vAlign w:val="bottom"/>
          </w:tcPr>
          <w:p w14:paraId="7C20799D" w14:textId="77777777" w:rsidR="00834A75" w:rsidRDefault="00834A75">
            <w:pPr>
              <w:rPr>
                <w:rFonts w:ascii="宋体"/>
              </w:rPr>
            </w:pPr>
          </w:p>
        </w:tc>
        <w:tc>
          <w:tcPr>
            <w:tcW w:w="26" w:type="pct"/>
            <w:shd w:val="clear" w:color="auto" w:fill="auto"/>
            <w:vAlign w:val="bottom"/>
          </w:tcPr>
          <w:p w14:paraId="7C20799E" w14:textId="77777777" w:rsidR="00834A75" w:rsidRDefault="00834A75">
            <w:pPr>
              <w:rPr>
                <w:rFonts w:ascii="宋体"/>
              </w:rPr>
            </w:pPr>
          </w:p>
        </w:tc>
        <w:tc>
          <w:tcPr>
            <w:tcW w:w="5" w:type="pct"/>
            <w:shd w:val="clear" w:color="auto" w:fill="auto"/>
            <w:vAlign w:val="bottom"/>
          </w:tcPr>
          <w:p w14:paraId="7C20799F" w14:textId="77777777" w:rsidR="00834A75" w:rsidRDefault="00834A75">
            <w:pPr>
              <w:rPr>
                <w:rFonts w:ascii="宋体"/>
              </w:rPr>
            </w:pPr>
          </w:p>
        </w:tc>
        <w:tc>
          <w:tcPr>
            <w:tcW w:w="50" w:type="pct"/>
            <w:shd w:val="clear" w:color="auto" w:fill="auto"/>
            <w:vAlign w:val="bottom"/>
          </w:tcPr>
          <w:p w14:paraId="7C2079A0" w14:textId="77777777" w:rsidR="00834A75" w:rsidRDefault="00834A75">
            <w:pPr>
              <w:rPr>
                <w:rFonts w:ascii="宋体"/>
              </w:rPr>
            </w:pPr>
          </w:p>
        </w:tc>
        <w:tc>
          <w:tcPr>
            <w:tcW w:w="581" w:type="pct"/>
            <w:shd w:val="clear" w:color="auto" w:fill="auto"/>
            <w:vAlign w:val="bottom"/>
          </w:tcPr>
          <w:p w14:paraId="7C2079A1" w14:textId="77777777" w:rsidR="00834A75" w:rsidRDefault="00834A75">
            <w:pPr>
              <w:rPr>
                <w:rFonts w:ascii="宋体"/>
              </w:rPr>
            </w:pPr>
          </w:p>
        </w:tc>
        <w:tc>
          <w:tcPr>
            <w:tcW w:w="5" w:type="pct"/>
            <w:shd w:val="clear" w:color="auto" w:fill="auto"/>
            <w:vAlign w:val="bottom"/>
          </w:tcPr>
          <w:p w14:paraId="7C2079A2" w14:textId="77777777" w:rsidR="00834A75" w:rsidRDefault="00834A75">
            <w:pPr>
              <w:rPr>
                <w:rFonts w:ascii="宋体"/>
              </w:rPr>
            </w:pPr>
          </w:p>
        </w:tc>
        <w:tc>
          <w:tcPr>
            <w:tcW w:w="0" w:type="auto"/>
            <w:shd w:val="clear" w:color="auto" w:fill="auto"/>
            <w:vAlign w:val="bottom"/>
          </w:tcPr>
          <w:p w14:paraId="7C2079A3" w14:textId="77777777" w:rsidR="00834A75" w:rsidRDefault="00834A75">
            <w:pPr>
              <w:rPr>
                <w:rFonts w:ascii="宋体"/>
                <w:vanish/>
              </w:rPr>
            </w:pPr>
          </w:p>
        </w:tc>
        <w:tc>
          <w:tcPr>
            <w:tcW w:w="0" w:type="auto"/>
            <w:shd w:val="clear" w:color="auto" w:fill="auto"/>
            <w:vAlign w:val="bottom"/>
          </w:tcPr>
          <w:p w14:paraId="7C2079A4" w14:textId="77777777" w:rsidR="00834A75" w:rsidRDefault="00834A75">
            <w:pPr>
              <w:rPr>
                <w:rFonts w:ascii="宋体"/>
                <w:vanish/>
              </w:rPr>
            </w:pPr>
          </w:p>
        </w:tc>
        <w:tc>
          <w:tcPr>
            <w:tcW w:w="0" w:type="auto"/>
            <w:gridSpan w:val="3"/>
            <w:shd w:val="clear" w:color="auto" w:fill="auto"/>
            <w:vAlign w:val="bottom"/>
          </w:tcPr>
          <w:p w14:paraId="7C2079A5" w14:textId="77777777" w:rsidR="00834A75" w:rsidRDefault="00834A75">
            <w:pPr>
              <w:rPr>
                <w:rFonts w:ascii="宋体"/>
                <w:vanish/>
              </w:rPr>
            </w:pPr>
          </w:p>
        </w:tc>
        <w:tc>
          <w:tcPr>
            <w:tcW w:w="0" w:type="auto"/>
            <w:gridSpan w:val="3"/>
            <w:shd w:val="clear" w:color="auto" w:fill="auto"/>
            <w:vAlign w:val="bottom"/>
          </w:tcPr>
          <w:p w14:paraId="7C2079A6" w14:textId="77777777" w:rsidR="00834A75" w:rsidRDefault="00834A75">
            <w:pPr>
              <w:rPr>
                <w:rFonts w:ascii="宋体"/>
                <w:vanish/>
              </w:rPr>
            </w:pPr>
          </w:p>
        </w:tc>
      </w:tr>
      <w:tr w:rsidR="00834A75" w14:paraId="7C2079B2" w14:textId="77777777">
        <w:trPr>
          <w:jc w:val="center"/>
        </w:trPr>
        <w:tc>
          <w:tcPr>
            <w:tcW w:w="0" w:type="auto"/>
            <w:gridSpan w:val="3"/>
            <w:shd w:val="clear" w:color="auto" w:fill="auto"/>
            <w:tcMar>
              <w:top w:w="40" w:type="dxa"/>
              <w:left w:w="20" w:type="dxa"/>
              <w:bottom w:w="40" w:type="dxa"/>
              <w:right w:w="20" w:type="dxa"/>
            </w:tcMar>
            <w:vAlign w:val="bottom"/>
          </w:tcPr>
          <w:p w14:paraId="7C2079A8" w14:textId="77777777" w:rsidR="00834A75" w:rsidRDefault="00A6708C">
            <w:pPr>
              <w:textAlignment w:val="bottom"/>
            </w:pPr>
            <w:r>
              <w:rPr>
                <w:rFonts w:ascii="sans-serif" w:eastAsia="sans-serif" w:hAnsi="sans-serif" w:cs="sans-serif"/>
                <w:color w:val="000000"/>
                <w:sz w:val="20"/>
                <w:szCs w:val="20"/>
              </w:rPr>
              <w:t> </w:t>
            </w:r>
          </w:p>
        </w:tc>
        <w:tc>
          <w:tcPr>
            <w:tcW w:w="0" w:type="auto"/>
            <w:gridSpan w:val="9"/>
            <w:shd w:val="clear" w:color="auto" w:fill="auto"/>
            <w:tcMar>
              <w:top w:w="40" w:type="dxa"/>
              <w:left w:w="20" w:type="dxa"/>
              <w:bottom w:w="40" w:type="dxa"/>
              <w:right w:w="20" w:type="dxa"/>
            </w:tcMar>
            <w:vAlign w:val="bottom"/>
          </w:tcPr>
          <w:p w14:paraId="7C2079A9" w14:textId="77777777" w:rsidR="00834A75" w:rsidRDefault="00A6708C">
            <w:pPr>
              <w:jc w:val="center"/>
              <w:textAlignment w:val="bottom"/>
            </w:pPr>
            <w:r>
              <w:rPr>
                <w:rFonts w:ascii="sans-serif" w:eastAsia="sans-serif" w:hAnsi="sans-serif" w:cs="sans-serif"/>
                <w:b/>
                <w:bCs/>
                <w:color w:val="000000"/>
                <w:sz w:val="20"/>
                <w:szCs w:val="20"/>
              </w:rPr>
              <w:t>Three Months Ended</w:t>
            </w:r>
          </w:p>
        </w:tc>
        <w:tc>
          <w:tcPr>
            <w:tcW w:w="0" w:type="auto"/>
            <w:shd w:val="clear" w:color="auto" w:fill="auto"/>
            <w:vAlign w:val="bottom"/>
          </w:tcPr>
          <w:p w14:paraId="7C2079AA" w14:textId="77777777" w:rsidR="00834A75" w:rsidRDefault="00834A75">
            <w:pPr>
              <w:rPr>
                <w:rFonts w:ascii="宋体"/>
                <w:vanish/>
              </w:rPr>
            </w:pPr>
          </w:p>
        </w:tc>
        <w:tc>
          <w:tcPr>
            <w:tcW w:w="0" w:type="auto"/>
            <w:shd w:val="clear" w:color="auto" w:fill="auto"/>
            <w:vAlign w:val="bottom"/>
          </w:tcPr>
          <w:p w14:paraId="7C2079AB" w14:textId="77777777" w:rsidR="00834A75" w:rsidRDefault="00834A75">
            <w:pPr>
              <w:rPr>
                <w:rFonts w:ascii="宋体"/>
                <w:vanish/>
              </w:rPr>
            </w:pPr>
          </w:p>
        </w:tc>
        <w:tc>
          <w:tcPr>
            <w:tcW w:w="0" w:type="auto"/>
            <w:shd w:val="clear" w:color="auto" w:fill="auto"/>
            <w:vAlign w:val="bottom"/>
          </w:tcPr>
          <w:p w14:paraId="7C2079AC" w14:textId="77777777" w:rsidR="00834A75" w:rsidRDefault="00834A75">
            <w:pPr>
              <w:rPr>
                <w:rFonts w:ascii="宋体"/>
              </w:rPr>
            </w:pPr>
          </w:p>
        </w:tc>
        <w:tc>
          <w:tcPr>
            <w:tcW w:w="0" w:type="auto"/>
            <w:shd w:val="clear" w:color="auto" w:fill="auto"/>
            <w:vAlign w:val="bottom"/>
          </w:tcPr>
          <w:p w14:paraId="7C2079AD" w14:textId="77777777" w:rsidR="00834A75" w:rsidRDefault="00834A75">
            <w:pPr>
              <w:rPr>
                <w:rFonts w:ascii="宋体"/>
              </w:rPr>
            </w:pPr>
          </w:p>
        </w:tc>
        <w:tc>
          <w:tcPr>
            <w:tcW w:w="0" w:type="auto"/>
            <w:shd w:val="clear" w:color="auto" w:fill="auto"/>
            <w:vAlign w:val="bottom"/>
          </w:tcPr>
          <w:p w14:paraId="7C2079AE" w14:textId="77777777" w:rsidR="00834A75" w:rsidRDefault="00834A75">
            <w:pPr>
              <w:rPr>
                <w:rFonts w:ascii="宋体"/>
              </w:rPr>
            </w:pPr>
          </w:p>
        </w:tc>
        <w:tc>
          <w:tcPr>
            <w:tcW w:w="0" w:type="auto"/>
            <w:shd w:val="clear" w:color="auto" w:fill="auto"/>
            <w:vAlign w:val="bottom"/>
          </w:tcPr>
          <w:p w14:paraId="7C2079AF" w14:textId="77777777" w:rsidR="00834A75" w:rsidRDefault="00834A75">
            <w:pPr>
              <w:rPr>
                <w:rFonts w:ascii="宋体"/>
              </w:rPr>
            </w:pPr>
          </w:p>
        </w:tc>
        <w:tc>
          <w:tcPr>
            <w:tcW w:w="0" w:type="auto"/>
            <w:shd w:val="clear" w:color="auto" w:fill="auto"/>
            <w:vAlign w:val="bottom"/>
          </w:tcPr>
          <w:p w14:paraId="7C2079B0" w14:textId="77777777" w:rsidR="00834A75" w:rsidRDefault="00834A75">
            <w:pPr>
              <w:rPr>
                <w:rFonts w:ascii="宋体"/>
              </w:rPr>
            </w:pPr>
          </w:p>
        </w:tc>
        <w:tc>
          <w:tcPr>
            <w:tcW w:w="0" w:type="auto"/>
            <w:shd w:val="clear" w:color="auto" w:fill="auto"/>
            <w:vAlign w:val="bottom"/>
          </w:tcPr>
          <w:p w14:paraId="7C2079B1" w14:textId="77777777" w:rsidR="00834A75" w:rsidRDefault="00834A75">
            <w:pPr>
              <w:rPr>
                <w:rFonts w:ascii="宋体"/>
              </w:rPr>
            </w:pPr>
          </w:p>
        </w:tc>
      </w:tr>
      <w:tr w:rsidR="00834A75" w14:paraId="7C2079BB" w14:textId="77777777">
        <w:trPr>
          <w:jc w:val="center"/>
        </w:trPr>
        <w:tc>
          <w:tcPr>
            <w:tcW w:w="0" w:type="auto"/>
            <w:gridSpan w:val="3"/>
            <w:shd w:val="clear" w:color="auto" w:fill="auto"/>
            <w:tcMar>
              <w:top w:w="40" w:type="dxa"/>
              <w:left w:w="20" w:type="dxa"/>
              <w:bottom w:w="40" w:type="dxa"/>
              <w:right w:w="20" w:type="dxa"/>
            </w:tcMar>
            <w:vAlign w:val="bottom"/>
          </w:tcPr>
          <w:p w14:paraId="7C2079B3" w14:textId="77777777" w:rsidR="00834A75" w:rsidRDefault="00A6708C">
            <w:pPr>
              <w:textAlignment w:val="bottom"/>
            </w:pPr>
            <w:r>
              <w:rPr>
                <w:rFonts w:ascii="sans-serif" w:eastAsia="sans-serif" w:hAnsi="sans-serif" w:cs="sans-serif"/>
                <w:color w:val="000000"/>
                <w:sz w:val="20"/>
                <w:szCs w:val="20"/>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C2079B4" w14:textId="77777777" w:rsidR="00834A75" w:rsidRDefault="00A6708C">
            <w:pPr>
              <w:jc w:val="center"/>
              <w:textAlignment w:val="bottom"/>
            </w:pPr>
            <w:r>
              <w:rPr>
                <w:rFonts w:ascii="sans-serif" w:eastAsia="sans-serif" w:hAnsi="sans-serif" w:cs="sans-serif"/>
                <w:b/>
                <w:bCs/>
                <w:color w:val="000000"/>
                <w:sz w:val="20"/>
                <w:szCs w:val="20"/>
              </w:rPr>
              <w:t>May 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C2079B5" w14:textId="77777777" w:rsidR="00834A75" w:rsidRDefault="00834A75">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C2079B6" w14:textId="77777777" w:rsidR="00834A75" w:rsidRDefault="00A6708C">
            <w:pPr>
              <w:jc w:val="center"/>
              <w:textAlignment w:val="bottom"/>
            </w:pPr>
            <w:r>
              <w:rPr>
                <w:rFonts w:ascii="sans-serif" w:eastAsia="sans-serif" w:hAnsi="sans-serif" w:cs="sans-serif"/>
                <w:b/>
                <w:bCs/>
                <w:color w:val="000000"/>
                <w:sz w:val="20"/>
                <w:szCs w:val="20"/>
              </w:rPr>
              <w:t xml:space="preserve">May </w:t>
            </w:r>
            <w:r>
              <w:rPr>
                <w:rFonts w:ascii="sans-serif" w:eastAsia="sans-serif" w:hAnsi="sans-serif" w:cs="sans-serif"/>
                <w:b/>
                <w:bCs/>
                <w:color w:val="000000"/>
                <w:sz w:val="20"/>
                <w:szCs w:val="20"/>
              </w:rPr>
              <w:t>2,</w:t>
            </w:r>
          </w:p>
        </w:tc>
        <w:tc>
          <w:tcPr>
            <w:tcW w:w="0" w:type="auto"/>
            <w:shd w:val="clear" w:color="auto" w:fill="auto"/>
            <w:vAlign w:val="bottom"/>
          </w:tcPr>
          <w:p w14:paraId="7C2079B7" w14:textId="77777777" w:rsidR="00834A75" w:rsidRDefault="00834A75">
            <w:pPr>
              <w:rPr>
                <w:rFonts w:ascii="宋体"/>
                <w:vanish/>
              </w:rPr>
            </w:pPr>
          </w:p>
        </w:tc>
        <w:tc>
          <w:tcPr>
            <w:tcW w:w="0" w:type="auto"/>
            <w:shd w:val="clear" w:color="auto" w:fill="auto"/>
            <w:vAlign w:val="bottom"/>
          </w:tcPr>
          <w:p w14:paraId="7C2079B8" w14:textId="77777777" w:rsidR="00834A75" w:rsidRDefault="00834A75">
            <w:pPr>
              <w:rPr>
                <w:rFonts w:ascii="宋体"/>
                <w:vanish/>
              </w:rPr>
            </w:pPr>
          </w:p>
        </w:tc>
        <w:tc>
          <w:tcPr>
            <w:tcW w:w="0" w:type="auto"/>
            <w:gridSpan w:val="3"/>
            <w:shd w:val="clear" w:color="auto" w:fill="auto"/>
            <w:vAlign w:val="bottom"/>
          </w:tcPr>
          <w:p w14:paraId="7C2079B9" w14:textId="77777777" w:rsidR="00834A75" w:rsidRDefault="00834A75">
            <w:pPr>
              <w:rPr>
                <w:rFonts w:ascii="宋体"/>
                <w:vanish/>
              </w:rPr>
            </w:pPr>
          </w:p>
        </w:tc>
        <w:tc>
          <w:tcPr>
            <w:tcW w:w="0" w:type="auto"/>
            <w:gridSpan w:val="3"/>
            <w:shd w:val="clear" w:color="auto" w:fill="auto"/>
            <w:vAlign w:val="bottom"/>
          </w:tcPr>
          <w:p w14:paraId="7C2079BA" w14:textId="77777777" w:rsidR="00834A75" w:rsidRDefault="00834A75">
            <w:pPr>
              <w:rPr>
                <w:rFonts w:ascii="宋体"/>
                <w:vanish/>
              </w:rPr>
            </w:pPr>
          </w:p>
        </w:tc>
      </w:tr>
      <w:tr w:rsidR="00834A75" w14:paraId="7C2079C4" w14:textId="77777777">
        <w:trPr>
          <w:jc w:val="center"/>
        </w:trPr>
        <w:tc>
          <w:tcPr>
            <w:tcW w:w="0" w:type="auto"/>
            <w:gridSpan w:val="3"/>
            <w:shd w:val="clear" w:color="auto" w:fill="auto"/>
            <w:tcMar>
              <w:top w:w="0" w:type="dxa"/>
              <w:left w:w="20" w:type="dxa"/>
              <w:bottom w:w="0" w:type="dxa"/>
              <w:right w:w="20" w:type="dxa"/>
            </w:tcMar>
            <w:vAlign w:val="bottom"/>
          </w:tcPr>
          <w:p w14:paraId="7C2079BC" w14:textId="77777777" w:rsidR="00834A75" w:rsidRDefault="00834A75">
            <w:pPr>
              <w:rPr>
                <w:rFonts w:ascii="宋体"/>
              </w:rPr>
            </w:pPr>
          </w:p>
        </w:tc>
        <w:tc>
          <w:tcPr>
            <w:tcW w:w="0" w:type="auto"/>
            <w:gridSpan w:val="3"/>
            <w:shd w:val="clear" w:color="auto" w:fill="auto"/>
            <w:tcMar>
              <w:top w:w="40" w:type="dxa"/>
              <w:left w:w="20" w:type="dxa"/>
              <w:bottom w:w="40" w:type="dxa"/>
              <w:right w:w="20" w:type="dxa"/>
            </w:tcMar>
            <w:vAlign w:val="bottom"/>
          </w:tcPr>
          <w:p w14:paraId="7C2079BD" w14:textId="77777777" w:rsidR="00834A75" w:rsidRDefault="00A6708C">
            <w:pPr>
              <w:jc w:val="center"/>
              <w:textAlignment w:val="bottom"/>
            </w:pPr>
            <w:r>
              <w:rPr>
                <w:rFonts w:ascii="sans-serif" w:eastAsia="sans-serif" w:hAnsi="sans-serif" w:cs="sans-serif"/>
                <w:b/>
                <w:bCs/>
                <w:color w:val="000000"/>
                <w:sz w:val="20"/>
                <w:szCs w:val="20"/>
              </w:rPr>
              <w:t>2022</w:t>
            </w:r>
          </w:p>
        </w:tc>
        <w:tc>
          <w:tcPr>
            <w:tcW w:w="0" w:type="auto"/>
            <w:gridSpan w:val="3"/>
            <w:shd w:val="clear" w:color="auto" w:fill="auto"/>
            <w:tcMar>
              <w:top w:w="0" w:type="dxa"/>
              <w:left w:w="20" w:type="dxa"/>
              <w:bottom w:w="0" w:type="dxa"/>
              <w:right w:w="20" w:type="dxa"/>
            </w:tcMar>
            <w:vAlign w:val="bottom"/>
          </w:tcPr>
          <w:p w14:paraId="7C2079BE" w14:textId="77777777" w:rsidR="00834A75" w:rsidRDefault="00834A75">
            <w:pPr>
              <w:rPr>
                <w:rFonts w:ascii="宋体"/>
              </w:rPr>
            </w:pPr>
          </w:p>
        </w:tc>
        <w:tc>
          <w:tcPr>
            <w:tcW w:w="0" w:type="auto"/>
            <w:gridSpan w:val="3"/>
            <w:shd w:val="clear" w:color="auto" w:fill="auto"/>
            <w:tcMar>
              <w:top w:w="40" w:type="dxa"/>
              <w:left w:w="20" w:type="dxa"/>
              <w:bottom w:w="40" w:type="dxa"/>
              <w:right w:w="20" w:type="dxa"/>
            </w:tcMar>
            <w:vAlign w:val="bottom"/>
          </w:tcPr>
          <w:p w14:paraId="7C2079BF" w14:textId="77777777" w:rsidR="00834A75" w:rsidRDefault="00A6708C">
            <w:pPr>
              <w:jc w:val="center"/>
              <w:textAlignment w:val="bottom"/>
            </w:pPr>
            <w:r>
              <w:rPr>
                <w:rFonts w:ascii="sans-serif" w:eastAsia="sans-serif" w:hAnsi="sans-serif" w:cs="sans-serif"/>
                <w:b/>
                <w:bCs/>
                <w:color w:val="000000"/>
                <w:sz w:val="20"/>
                <w:szCs w:val="20"/>
              </w:rPr>
              <w:t>2021</w:t>
            </w:r>
          </w:p>
        </w:tc>
        <w:tc>
          <w:tcPr>
            <w:tcW w:w="0" w:type="auto"/>
            <w:shd w:val="clear" w:color="auto" w:fill="auto"/>
            <w:vAlign w:val="bottom"/>
          </w:tcPr>
          <w:p w14:paraId="7C2079C0" w14:textId="77777777" w:rsidR="00834A75" w:rsidRDefault="00834A75">
            <w:pPr>
              <w:rPr>
                <w:rFonts w:ascii="宋体"/>
                <w:vanish/>
              </w:rPr>
            </w:pPr>
          </w:p>
        </w:tc>
        <w:tc>
          <w:tcPr>
            <w:tcW w:w="0" w:type="auto"/>
            <w:shd w:val="clear" w:color="auto" w:fill="auto"/>
            <w:vAlign w:val="bottom"/>
          </w:tcPr>
          <w:p w14:paraId="7C2079C1" w14:textId="77777777" w:rsidR="00834A75" w:rsidRDefault="00834A75">
            <w:pPr>
              <w:rPr>
                <w:rFonts w:ascii="宋体"/>
                <w:vanish/>
              </w:rPr>
            </w:pPr>
          </w:p>
        </w:tc>
        <w:tc>
          <w:tcPr>
            <w:tcW w:w="0" w:type="auto"/>
            <w:gridSpan w:val="3"/>
            <w:shd w:val="clear" w:color="auto" w:fill="auto"/>
            <w:vAlign w:val="bottom"/>
          </w:tcPr>
          <w:p w14:paraId="7C2079C2" w14:textId="77777777" w:rsidR="00834A75" w:rsidRDefault="00834A75">
            <w:pPr>
              <w:rPr>
                <w:rFonts w:ascii="宋体"/>
                <w:vanish/>
              </w:rPr>
            </w:pPr>
          </w:p>
        </w:tc>
        <w:tc>
          <w:tcPr>
            <w:tcW w:w="0" w:type="auto"/>
            <w:gridSpan w:val="3"/>
            <w:shd w:val="clear" w:color="auto" w:fill="auto"/>
            <w:vAlign w:val="bottom"/>
          </w:tcPr>
          <w:p w14:paraId="7C2079C3" w14:textId="77777777" w:rsidR="00834A75" w:rsidRDefault="00834A75">
            <w:pPr>
              <w:rPr>
                <w:rFonts w:ascii="宋体"/>
                <w:vanish/>
              </w:rPr>
            </w:pPr>
          </w:p>
        </w:tc>
      </w:tr>
      <w:tr w:rsidR="00834A75" w14:paraId="7C2079CD" w14:textId="77777777">
        <w:trPr>
          <w:jc w:val="center"/>
        </w:trPr>
        <w:tc>
          <w:tcPr>
            <w:tcW w:w="0" w:type="auto"/>
            <w:gridSpan w:val="3"/>
            <w:shd w:val="clear" w:color="auto" w:fill="auto"/>
            <w:tcMar>
              <w:top w:w="40" w:type="dxa"/>
              <w:left w:w="20" w:type="dxa"/>
              <w:bottom w:w="40" w:type="dxa"/>
              <w:right w:w="20" w:type="dxa"/>
            </w:tcMar>
            <w:vAlign w:val="bottom"/>
          </w:tcPr>
          <w:p w14:paraId="7C2079C5" w14:textId="77777777" w:rsidR="00834A75" w:rsidRDefault="00A6708C">
            <w:pPr>
              <w:textAlignment w:val="bottom"/>
            </w:pPr>
            <w:r>
              <w:rPr>
                <w:rFonts w:ascii="sans-serif" w:eastAsia="sans-serif" w:hAnsi="sans-serif" w:cs="sans-serif"/>
                <w:color w:val="000000"/>
                <w:sz w:val="20"/>
                <w:szCs w:val="20"/>
              </w:rPr>
              <w:t> </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C2079C6" w14:textId="77777777" w:rsidR="00834A75" w:rsidRDefault="00834A75">
            <w:pPr>
              <w:rPr>
                <w:rFonts w:ascii="宋体"/>
              </w:rPr>
            </w:pPr>
          </w:p>
        </w:tc>
        <w:tc>
          <w:tcPr>
            <w:tcW w:w="0" w:type="auto"/>
            <w:gridSpan w:val="3"/>
            <w:shd w:val="clear" w:color="auto" w:fill="auto"/>
            <w:tcMar>
              <w:top w:w="0" w:type="dxa"/>
              <w:left w:w="20" w:type="dxa"/>
              <w:bottom w:w="0" w:type="dxa"/>
              <w:right w:w="20" w:type="dxa"/>
            </w:tcMar>
            <w:vAlign w:val="bottom"/>
          </w:tcPr>
          <w:p w14:paraId="7C2079C7" w14:textId="77777777" w:rsidR="00834A75" w:rsidRDefault="00834A75">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C2079C8" w14:textId="77777777" w:rsidR="00834A75" w:rsidRDefault="00834A75">
            <w:pPr>
              <w:rPr>
                <w:rFonts w:ascii="宋体"/>
              </w:rPr>
            </w:pPr>
          </w:p>
        </w:tc>
        <w:tc>
          <w:tcPr>
            <w:tcW w:w="0" w:type="auto"/>
            <w:shd w:val="clear" w:color="auto" w:fill="auto"/>
            <w:vAlign w:val="bottom"/>
          </w:tcPr>
          <w:p w14:paraId="7C2079C9" w14:textId="77777777" w:rsidR="00834A75" w:rsidRDefault="00834A75">
            <w:pPr>
              <w:rPr>
                <w:rFonts w:ascii="宋体"/>
                <w:vanish/>
              </w:rPr>
            </w:pPr>
          </w:p>
        </w:tc>
        <w:tc>
          <w:tcPr>
            <w:tcW w:w="0" w:type="auto"/>
            <w:shd w:val="clear" w:color="auto" w:fill="auto"/>
            <w:vAlign w:val="bottom"/>
          </w:tcPr>
          <w:p w14:paraId="7C2079CA" w14:textId="77777777" w:rsidR="00834A75" w:rsidRDefault="00834A75">
            <w:pPr>
              <w:rPr>
                <w:rFonts w:ascii="宋体"/>
                <w:vanish/>
              </w:rPr>
            </w:pPr>
          </w:p>
        </w:tc>
        <w:tc>
          <w:tcPr>
            <w:tcW w:w="0" w:type="auto"/>
            <w:gridSpan w:val="3"/>
            <w:shd w:val="clear" w:color="auto" w:fill="auto"/>
            <w:vAlign w:val="bottom"/>
          </w:tcPr>
          <w:p w14:paraId="7C2079CB" w14:textId="77777777" w:rsidR="00834A75" w:rsidRDefault="00834A75">
            <w:pPr>
              <w:rPr>
                <w:rFonts w:ascii="宋体"/>
                <w:vanish/>
              </w:rPr>
            </w:pPr>
          </w:p>
        </w:tc>
        <w:tc>
          <w:tcPr>
            <w:tcW w:w="0" w:type="auto"/>
            <w:gridSpan w:val="3"/>
            <w:shd w:val="clear" w:color="auto" w:fill="auto"/>
            <w:vAlign w:val="bottom"/>
          </w:tcPr>
          <w:p w14:paraId="7C2079CC" w14:textId="77777777" w:rsidR="00834A75" w:rsidRDefault="00834A75">
            <w:pPr>
              <w:rPr>
                <w:rFonts w:ascii="宋体"/>
                <w:vanish/>
              </w:rPr>
            </w:pPr>
          </w:p>
        </w:tc>
      </w:tr>
      <w:tr w:rsidR="00834A75" w14:paraId="7C2079DA" w14:textId="77777777">
        <w:trPr>
          <w:jc w:val="center"/>
        </w:trPr>
        <w:tc>
          <w:tcPr>
            <w:tcW w:w="0" w:type="auto"/>
            <w:gridSpan w:val="3"/>
            <w:shd w:val="clear" w:color="auto" w:fill="E2EFD9"/>
            <w:tcMar>
              <w:top w:w="40" w:type="dxa"/>
              <w:left w:w="20" w:type="dxa"/>
              <w:bottom w:w="40" w:type="dxa"/>
              <w:right w:w="20" w:type="dxa"/>
            </w:tcMar>
            <w:vAlign w:val="bottom"/>
          </w:tcPr>
          <w:p w14:paraId="7C2079CE" w14:textId="77777777" w:rsidR="00834A75" w:rsidRDefault="00A6708C">
            <w:pPr>
              <w:textAlignment w:val="bottom"/>
            </w:pPr>
            <w:r>
              <w:rPr>
                <w:rFonts w:ascii="sans-serif" w:eastAsia="sans-serif" w:hAnsi="sans-serif" w:cs="sans-serif"/>
                <w:color w:val="000000"/>
                <w:sz w:val="20"/>
                <w:szCs w:val="20"/>
              </w:rPr>
              <w:t>Net income</w:t>
            </w:r>
          </w:p>
        </w:tc>
        <w:tc>
          <w:tcPr>
            <w:tcW w:w="0" w:type="auto"/>
            <w:shd w:val="clear" w:color="auto" w:fill="E2EFD9"/>
            <w:tcMar>
              <w:top w:w="40" w:type="dxa"/>
              <w:left w:w="20" w:type="dxa"/>
              <w:bottom w:w="40" w:type="dxa"/>
              <w:right w:w="0" w:type="dxa"/>
            </w:tcMar>
            <w:vAlign w:val="bottom"/>
          </w:tcPr>
          <w:p w14:paraId="7C2079CF" w14:textId="77777777" w:rsidR="00834A75" w:rsidRDefault="00A6708C">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7C2079D0" w14:textId="77777777" w:rsidR="00834A75" w:rsidRDefault="00A6708C">
            <w:pPr>
              <w:jc w:val="right"/>
              <w:textAlignment w:val="bottom"/>
            </w:pPr>
            <w:r>
              <w:rPr>
                <w:rFonts w:ascii="sans-serif" w:eastAsia="sans-serif" w:hAnsi="sans-serif" w:cs="sans-serif"/>
                <w:color w:val="000000"/>
                <w:sz w:val="20"/>
                <w:szCs w:val="20"/>
              </w:rPr>
              <w:t>1,618 </w:t>
            </w:r>
          </w:p>
        </w:tc>
        <w:tc>
          <w:tcPr>
            <w:tcW w:w="0" w:type="auto"/>
            <w:shd w:val="clear" w:color="auto" w:fill="E2EFD9"/>
            <w:tcMar>
              <w:top w:w="40" w:type="dxa"/>
              <w:left w:w="0" w:type="dxa"/>
              <w:bottom w:w="40" w:type="dxa"/>
              <w:right w:w="20" w:type="dxa"/>
            </w:tcMar>
            <w:vAlign w:val="bottom"/>
          </w:tcPr>
          <w:p w14:paraId="7C2079D1" w14:textId="77777777" w:rsidR="00834A75" w:rsidRDefault="00834A75">
            <w:pPr>
              <w:jc w:val="right"/>
              <w:rPr>
                <w:rFonts w:ascii="宋体"/>
              </w:rPr>
            </w:pPr>
          </w:p>
        </w:tc>
        <w:tc>
          <w:tcPr>
            <w:tcW w:w="0" w:type="auto"/>
            <w:gridSpan w:val="3"/>
            <w:shd w:val="clear" w:color="auto" w:fill="E2EFD9"/>
            <w:tcMar>
              <w:top w:w="0" w:type="dxa"/>
              <w:left w:w="20" w:type="dxa"/>
              <w:bottom w:w="0" w:type="dxa"/>
              <w:right w:w="20" w:type="dxa"/>
            </w:tcMar>
            <w:vAlign w:val="bottom"/>
          </w:tcPr>
          <w:p w14:paraId="7C2079D2" w14:textId="77777777" w:rsidR="00834A75" w:rsidRDefault="00834A75">
            <w:pPr>
              <w:rPr>
                <w:rFonts w:ascii="宋体"/>
              </w:rPr>
            </w:pPr>
          </w:p>
        </w:tc>
        <w:tc>
          <w:tcPr>
            <w:tcW w:w="0" w:type="auto"/>
            <w:shd w:val="clear" w:color="auto" w:fill="E2EFD9"/>
            <w:tcMar>
              <w:top w:w="40" w:type="dxa"/>
              <w:left w:w="20" w:type="dxa"/>
              <w:bottom w:w="40" w:type="dxa"/>
              <w:right w:w="0" w:type="dxa"/>
            </w:tcMar>
            <w:vAlign w:val="bottom"/>
          </w:tcPr>
          <w:p w14:paraId="7C2079D3" w14:textId="77777777" w:rsidR="00834A75" w:rsidRDefault="00A6708C">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7C2079D4" w14:textId="77777777" w:rsidR="00834A75" w:rsidRDefault="00A6708C">
            <w:pPr>
              <w:jc w:val="right"/>
              <w:textAlignment w:val="bottom"/>
            </w:pPr>
            <w:r>
              <w:rPr>
                <w:rFonts w:ascii="sans-serif" w:eastAsia="sans-serif" w:hAnsi="sans-serif" w:cs="sans-serif"/>
                <w:color w:val="000000"/>
                <w:sz w:val="20"/>
                <w:szCs w:val="20"/>
              </w:rPr>
              <w:t>1,912 </w:t>
            </w:r>
          </w:p>
        </w:tc>
        <w:tc>
          <w:tcPr>
            <w:tcW w:w="0" w:type="auto"/>
            <w:shd w:val="clear" w:color="auto" w:fill="E2EFD9"/>
            <w:tcMar>
              <w:top w:w="40" w:type="dxa"/>
              <w:left w:w="0" w:type="dxa"/>
              <w:bottom w:w="40" w:type="dxa"/>
              <w:right w:w="20" w:type="dxa"/>
            </w:tcMar>
            <w:vAlign w:val="bottom"/>
          </w:tcPr>
          <w:p w14:paraId="7C2079D5" w14:textId="77777777" w:rsidR="00834A75" w:rsidRDefault="00834A75">
            <w:pPr>
              <w:jc w:val="right"/>
              <w:rPr>
                <w:rFonts w:ascii="宋体"/>
              </w:rPr>
            </w:pPr>
          </w:p>
        </w:tc>
        <w:tc>
          <w:tcPr>
            <w:tcW w:w="0" w:type="auto"/>
            <w:shd w:val="clear" w:color="auto" w:fill="auto"/>
            <w:vAlign w:val="bottom"/>
          </w:tcPr>
          <w:p w14:paraId="7C2079D6" w14:textId="77777777" w:rsidR="00834A75" w:rsidRDefault="00834A75">
            <w:pPr>
              <w:rPr>
                <w:rFonts w:ascii="宋体"/>
                <w:vanish/>
              </w:rPr>
            </w:pPr>
          </w:p>
        </w:tc>
        <w:tc>
          <w:tcPr>
            <w:tcW w:w="0" w:type="auto"/>
            <w:shd w:val="clear" w:color="auto" w:fill="auto"/>
            <w:vAlign w:val="bottom"/>
          </w:tcPr>
          <w:p w14:paraId="7C2079D7" w14:textId="77777777" w:rsidR="00834A75" w:rsidRDefault="00834A75">
            <w:pPr>
              <w:rPr>
                <w:rFonts w:ascii="宋体"/>
                <w:vanish/>
              </w:rPr>
            </w:pPr>
          </w:p>
        </w:tc>
        <w:tc>
          <w:tcPr>
            <w:tcW w:w="0" w:type="auto"/>
            <w:gridSpan w:val="3"/>
            <w:shd w:val="clear" w:color="auto" w:fill="auto"/>
            <w:vAlign w:val="bottom"/>
          </w:tcPr>
          <w:p w14:paraId="7C2079D8" w14:textId="77777777" w:rsidR="00834A75" w:rsidRDefault="00834A75">
            <w:pPr>
              <w:rPr>
                <w:rFonts w:ascii="宋体"/>
                <w:vanish/>
              </w:rPr>
            </w:pPr>
          </w:p>
        </w:tc>
        <w:tc>
          <w:tcPr>
            <w:tcW w:w="0" w:type="auto"/>
            <w:gridSpan w:val="3"/>
            <w:shd w:val="clear" w:color="auto" w:fill="auto"/>
            <w:vAlign w:val="bottom"/>
          </w:tcPr>
          <w:p w14:paraId="7C2079D9" w14:textId="77777777" w:rsidR="00834A75" w:rsidRDefault="00834A75">
            <w:pPr>
              <w:rPr>
                <w:rFonts w:ascii="宋体"/>
                <w:vanish/>
              </w:rPr>
            </w:pPr>
          </w:p>
        </w:tc>
      </w:tr>
      <w:tr w:rsidR="00834A75" w14:paraId="7C2079E3" w14:textId="77777777">
        <w:trPr>
          <w:jc w:val="center"/>
        </w:trPr>
        <w:tc>
          <w:tcPr>
            <w:tcW w:w="0" w:type="auto"/>
            <w:gridSpan w:val="3"/>
            <w:shd w:val="clear" w:color="auto" w:fill="FFFFFF"/>
            <w:tcMar>
              <w:top w:w="40" w:type="dxa"/>
              <w:left w:w="20" w:type="dxa"/>
              <w:bottom w:w="40" w:type="dxa"/>
              <w:right w:w="20" w:type="dxa"/>
            </w:tcMar>
            <w:vAlign w:val="bottom"/>
          </w:tcPr>
          <w:p w14:paraId="7C2079DB" w14:textId="77777777" w:rsidR="00834A75" w:rsidRDefault="00A6708C">
            <w:pPr>
              <w:textAlignment w:val="bottom"/>
            </w:pPr>
            <w:r>
              <w:rPr>
                <w:rFonts w:ascii="sans-serif" w:eastAsia="sans-serif" w:hAnsi="sans-serif" w:cs="sans-serif"/>
                <w:color w:val="000000"/>
                <w:sz w:val="20"/>
                <w:szCs w:val="20"/>
              </w:rPr>
              <w:t>Other comprehensive loss, net of tax</w:t>
            </w:r>
          </w:p>
        </w:tc>
        <w:tc>
          <w:tcPr>
            <w:tcW w:w="0" w:type="auto"/>
            <w:gridSpan w:val="3"/>
            <w:shd w:val="clear" w:color="auto" w:fill="FFFFFF"/>
            <w:tcMar>
              <w:top w:w="0" w:type="dxa"/>
              <w:left w:w="20" w:type="dxa"/>
              <w:bottom w:w="0" w:type="dxa"/>
              <w:right w:w="20" w:type="dxa"/>
            </w:tcMar>
            <w:vAlign w:val="bottom"/>
          </w:tcPr>
          <w:p w14:paraId="7C2079DC" w14:textId="77777777" w:rsidR="00834A75" w:rsidRDefault="00834A75">
            <w:pPr>
              <w:rPr>
                <w:rFonts w:ascii="宋体"/>
              </w:rPr>
            </w:pPr>
          </w:p>
        </w:tc>
        <w:tc>
          <w:tcPr>
            <w:tcW w:w="0" w:type="auto"/>
            <w:gridSpan w:val="3"/>
            <w:shd w:val="clear" w:color="auto" w:fill="FFFFFF"/>
            <w:tcMar>
              <w:top w:w="0" w:type="dxa"/>
              <w:left w:w="20" w:type="dxa"/>
              <w:bottom w:w="0" w:type="dxa"/>
              <w:right w:w="20" w:type="dxa"/>
            </w:tcMar>
            <w:vAlign w:val="bottom"/>
          </w:tcPr>
          <w:p w14:paraId="7C2079DD" w14:textId="77777777" w:rsidR="00834A75" w:rsidRDefault="00834A75">
            <w:pPr>
              <w:rPr>
                <w:rFonts w:ascii="宋体"/>
              </w:rPr>
            </w:pPr>
          </w:p>
        </w:tc>
        <w:tc>
          <w:tcPr>
            <w:tcW w:w="0" w:type="auto"/>
            <w:gridSpan w:val="3"/>
            <w:shd w:val="clear" w:color="auto" w:fill="FFFFFF"/>
            <w:tcMar>
              <w:top w:w="0" w:type="dxa"/>
              <w:left w:w="20" w:type="dxa"/>
              <w:bottom w:w="0" w:type="dxa"/>
              <w:right w:w="20" w:type="dxa"/>
            </w:tcMar>
            <w:vAlign w:val="bottom"/>
          </w:tcPr>
          <w:p w14:paraId="7C2079DE" w14:textId="77777777" w:rsidR="00834A75" w:rsidRDefault="00834A75">
            <w:pPr>
              <w:rPr>
                <w:rFonts w:ascii="宋体"/>
              </w:rPr>
            </w:pPr>
          </w:p>
        </w:tc>
        <w:tc>
          <w:tcPr>
            <w:tcW w:w="0" w:type="auto"/>
            <w:shd w:val="clear" w:color="auto" w:fill="auto"/>
            <w:vAlign w:val="bottom"/>
          </w:tcPr>
          <w:p w14:paraId="7C2079DF" w14:textId="77777777" w:rsidR="00834A75" w:rsidRDefault="00834A75">
            <w:pPr>
              <w:rPr>
                <w:rFonts w:ascii="宋体"/>
                <w:vanish/>
              </w:rPr>
            </w:pPr>
          </w:p>
        </w:tc>
        <w:tc>
          <w:tcPr>
            <w:tcW w:w="0" w:type="auto"/>
            <w:shd w:val="clear" w:color="auto" w:fill="auto"/>
            <w:vAlign w:val="bottom"/>
          </w:tcPr>
          <w:p w14:paraId="7C2079E0" w14:textId="77777777" w:rsidR="00834A75" w:rsidRDefault="00834A75">
            <w:pPr>
              <w:rPr>
                <w:rFonts w:ascii="宋体"/>
                <w:vanish/>
              </w:rPr>
            </w:pPr>
          </w:p>
        </w:tc>
        <w:tc>
          <w:tcPr>
            <w:tcW w:w="0" w:type="auto"/>
            <w:gridSpan w:val="3"/>
            <w:shd w:val="clear" w:color="auto" w:fill="auto"/>
            <w:vAlign w:val="bottom"/>
          </w:tcPr>
          <w:p w14:paraId="7C2079E1" w14:textId="77777777" w:rsidR="00834A75" w:rsidRDefault="00834A75">
            <w:pPr>
              <w:rPr>
                <w:rFonts w:ascii="宋体"/>
                <w:vanish/>
              </w:rPr>
            </w:pPr>
          </w:p>
        </w:tc>
        <w:tc>
          <w:tcPr>
            <w:tcW w:w="0" w:type="auto"/>
            <w:gridSpan w:val="3"/>
            <w:shd w:val="clear" w:color="auto" w:fill="auto"/>
            <w:vAlign w:val="bottom"/>
          </w:tcPr>
          <w:p w14:paraId="7C2079E2" w14:textId="77777777" w:rsidR="00834A75" w:rsidRDefault="00834A75">
            <w:pPr>
              <w:rPr>
                <w:rFonts w:ascii="宋体"/>
                <w:vanish/>
              </w:rPr>
            </w:pPr>
          </w:p>
        </w:tc>
      </w:tr>
      <w:tr w:rsidR="00834A75" w14:paraId="7C2079EC" w14:textId="77777777">
        <w:trPr>
          <w:jc w:val="center"/>
        </w:trPr>
        <w:tc>
          <w:tcPr>
            <w:tcW w:w="0" w:type="auto"/>
            <w:gridSpan w:val="3"/>
            <w:shd w:val="clear" w:color="auto" w:fill="E2EFD9"/>
            <w:tcMar>
              <w:top w:w="40" w:type="dxa"/>
              <w:left w:w="20" w:type="dxa"/>
              <w:bottom w:w="40" w:type="dxa"/>
              <w:right w:w="20" w:type="dxa"/>
            </w:tcMar>
            <w:vAlign w:val="bottom"/>
          </w:tcPr>
          <w:p w14:paraId="7C2079E4" w14:textId="77777777" w:rsidR="00834A75" w:rsidRDefault="00A6708C">
            <w:pPr>
              <w:textAlignment w:val="bottom"/>
            </w:pPr>
            <w:r>
              <w:rPr>
                <w:rFonts w:ascii="sans-serif" w:eastAsia="sans-serif" w:hAnsi="sans-serif" w:cs="sans-serif"/>
                <w:color w:val="000000"/>
                <w:sz w:val="20"/>
                <w:szCs w:val="20"/>
              </w:rPr>
              <w:t>Available-for-sale securities:</w:t>
            </w:r>
          </w:p>
        </w:tc>
        <w:tc>
          <w:tcPr>
            <w:tcW w:w="0" w:type="auto"/>
            <w:gridSpan w:val="3"/>
            <w:shd w:val="clear" w:color="auto" w:fill="E2EFD9"/>
            <w:tcMar>
              <w:top w:w="0" w:type="dxa"/>
              <w:left w:w="20" w:type="dxa"/>
              <w:bottom w:w="0" w:type="dxa"/>
              <w:right w:w="20" w:type="dxa"/>
            </w:tcMar>
            <w:vAlign w:val="bottom"/>
          </w:tcPr>
          <w:p w14:paraId="7C2079E5" w14:textId="77777777" w:rsidR="00834A75" w:rsidRDefault="00834A75">
            <w:pPr>
              <w:rPr>
                <w:rFonts w:ascii="宋体"/>
              </w:rPr>
            </w:pPr>
          </w:p>
        </w:tc>
        <w:tc>
          <w:tcPr>
            <w:tcW w:w="0" w:type="auto"/>
            <w:gridSpan w:val="3"/>
            <w:shd w:val="clear" w:color="auto" w:fill="E2EFD9"/>
            <w:tcMar>
              <w:top w:w="0" w:type="dxa"/>
              <w:left w:w="20" w:type="dxa"/>
              <w:bottom w:w="0" w:type="dxa"/>
              <w:right w:w="20" w:type="dxa"/>
            </w:tcMar>
            <w:vAlign w:val="bottom"/>
          </w:tcPr>
          <w:p w14:paraId="7C2079E6" w14:textId="77777777" w:rsidR="00834A75" w:rsidRDefault="00834A75">
            <w:pPr>
              <w:rPr>
                <w:rFonts w:ascii="宋体"/>
              </w:rPr>
            </w:pPr>
          </w:p>
        </w:tc>
        <w:tc>
          <w:tcPr>
            <w:tcW w:w="0" w:type="auto"/>
            <w:gridSpan w:val="3"/>
            <w:shd w:val="clear" w:color="auto" w:fill="E2EFD9"/>
            <w:tcMar>
              <w:top w:w="0" w:type="dxa"/>
              <w:left w:w="20" w:type="dxa"/>
              <w:bottom w:w="0" w:type="dxa"/>
              <w:right w:w="20" w:type="dxa"/>
            </w:tcMar>
            <w:vAlign w:val="bottom"/>
          </w:tcPr>
          <w:p w14:paraId="7C2079E7" w14:textId="77777777" w:rsidR="00834A75" w:rsidRDefault="00834A75">
            <w:pPr>
              <w:rPr>
                <w:rFonts w:ascii="宋体"/>
              </w:rPr>
            </w:pPr>
          </w:p>
        </w:tc>
        <w:tc>
          <w:tcPr>
            <w:tcW w:w="0" w:type="auto"/>
            <w:shd w:val="clear" w:color="auto" w:fill="auto"/>
            <w:vAlign w:val="bottom"/>
          </w:tcPr>
          <w:p w14:paraId="7C2079E8" w14:textId="77777777" w:rsidR="00834A75" w:rsidRDefault="00834A75">
            <w:pPr>
              <w:rPr>
                <w:rFonts w:ascii="宋体"/>
                <w:vanish/>
              </w:rPr>
            </w:pPr>
          </w:p>
        </w:tc>
        <w:tc>
          <w:tcPr>
            <w:tcW w:w="0" w:type="auto"/>
            <w:shd w:val="clear" w:color="auto" w:fill="auto"/>
            <w:vAlign w:val="bottom"/>
          </w:tcPr>
          <w:p w14:paraId="7C2079E9" w14:textId="77777777" w:rsidR="00834A75" w:rsidRDefault="00834A75">
            <w:pPr>
              <w:rPr>
                <w:rFonts w:ascii="宋体"/>
                <w:vanish/>
              </w:rPr>
            </w:pPr>
          </w:p>
        </w:tc>
        <w:tc>
          <w:tcPr>
            <w:tcW w:w="0" w:type="auto"/>
            <w:gridSpan w:val="3"/>
            <w:shd w:val="clear" w:color="auto" w:fill="auto"/>
            <w:vAlign w:val="bottom"/>
          </w:tcPr>
          <w:p w14:paraId="7C2079EA" w14:textId="77777777" w:rsidR="00834A75" w:rsidRDefault="00834A75">
            <w:pPr>
              <w:rPr>
                <w:rFonts w:ascii="宋体"/>
                <w:vanish/>
              </w:rPr>
            </w:pPr>
          </w:p>
        </w:tc>
        <w:tc>
          <w:tcPr>
            <w:tcW w:w="0" w:type="auto"/>
            <w:gridSpan w:val="3"/>
            <w:shd w:val="clear" w:color="auto" w:fill="auto"/>
            <w:vAlign w:val="bottom"/>
          </w:tcPr>
          <w:p w14:paraId="7C2079EB" w14:textId="77777777" w:rsidR="00834A75" w:rsidRDefault="00834A75">
            <w:pPr>
              <w:rPr>
                <w:rFonts w:ascii="宋体"/>
                <w:vanish/>
              </w:rPr>
            </w:pPr>
          </w:p>
        </w:tc>
      </w:tr>
      <w:tr w:rsidR="00834A75" w14:paraId="7C2079F7" w14:textId="77777777">
        <w:trPr>
          <w:jc w:val="center"/>
        </w:trPr>
        <w:tc>
          <w:tcPr>
            <w:tcW w:w="0" w:type="auto"/>
            <w:gridSpan w:val="3"/>
            <w:shd w:val="clear" w:color="auto" w:fill="FFFFFF"/>
            <w:tcMar>
              <w:top w:w="40" w:type="dxa"/>
              <w:left w:w="245" w:type="dxa"/>
              <w:bottom w:w="40" w:type="dxa"/>
              <w:right w:w="20" w:type="dxa"/>
            </w:tcMar>
            <w:vAlign w:val="bottom"/>
          </w:tcPr>
          <w:p w14:paraId="7C2079ED" w14:textId="77777777" w:rsidR="00834A75" w:rsidRDefault="00A6708C">
            <w:pPr>
              <w:textAlignment w:val="bottom"/>
            </w:pPr>
            <w:r>
              <w:rPr>
                <w:rFonts w:ascii="sans-serif" w:eastAsia="sans-serif" w:hAnsi="sans-serif" w:cs="sans-serif"/>
                <w:color w:val="000000"/>
                <w:sz w:val="20"/>
                <w:szCs w:val="20"/>
              </w:rPr>
              <w:t>Net change in unrealized loss</w:t>
            </w:r>
          </w:p>
        </w:tc>
        <w:tc>
          <w:tcPr>
            <w:tcW w:w="0" w:type="auto"/>
            <w:gridSpan w:val="2"/>
            <w:shd w:val="clear" w:color="auto" w:fill="FFFFFF"/>
            <w:tcMar>
              <w:top w:w="40" w:type="dxa"/>
              <w:left w:w="20" w:type="dxa"/>
              <w:bottom w:w="40" w:type="dxa"/>
              <w:right w:w="0" w:type="dxa"/>
            </w:tcMar>
            <w:vAlign w:val="bottom"/>
          </w:tcPr>
          <w:p w14:paraId="7C2079EE" w14:textId="77777777" w:rsidR="00834A75" w:rsidRDefault="00A6708C">
            <w:pPr>
              <w:jc w:val="right"/>
              <w:textAlignment w:val="bottom"/>
            </w:pPr>
            <w:r>
              <w:rPr>
                <w:rFonts w:ascii="sans-serif" w:eastAsia="sans-serif" w:hAnsi="sans-serif" w:cs="sans-serif"/>
                <w:color w:val="000000"/>
                <w:sz w:val="20"/>
                <w:szCs w:val="20"/>
              </w:rPr>
              <w:t>(22)</w:t>
            </w:r>
          </w:p>
        </w:tc>
        <w:tc>
          <w:tcPr>
            <w:tcW w:w="0" w:type="auto"/>
            <w:shd w:val="clear" w:color="auto" w:fill="FFFFFF"/>
            <w:tcMar>
              <w:top w:w="40" w:type="dxa"/>
              <w:left w:w="0" w:type="dxa"/>
              <w:bottom w:w="40" w:type="dxa"/>
              <w:right w:w="20" w:type="dxa"/>
            </w:tcMar>
            <w:vAlign w:val="bottom"/>
          </w:tcPr>
          <w:p w14:paraId="7C2079EF" w14:textId="77777777" w:rsidR="00834A75" w:rsidRDefault="00834A75">
            <w:pPr>
              <w:jc w:val="right"/>
              <w:rPr>
                <w:rFonts w:ascii="宋体"/>
              </w:rPr>
            </w:pPr>
          </w:p>
        </w:tc>
        <w:tc>
          <w:tcPr>
            <w:tcW w:w="0" w:type="auto"/>
            <w:gridSpan w:val="3"/>
            <w:shd w:val="clear" w:color="auto" w:fill="FFFFFF"/>
            <w:tcMar>
              <w:top w:w="0" w:type="dxa"/>
              <w:left w:w="20" w:type="dxa"/>
              <w:bottom w:w="0" w:type="dxa"/>
              <w:right w:w="20" w:type="dxa"/>
            </w:tcMar>
            <w:vAlign w:val="bottom"/>
          </w:tcPr>
          <w:p w14:paraId="7C2079F0" w14:textId="77777777" w:rsidR="00834A75" w:rsidRDefault="00834A75">
            <w:pPr>
              <w:rPr>
                <w:rFonts w:ascii="宋体"/>
              </w:rPr>
            </w:pPr>
          </w:p>
        </w:tc>
        <w:tc>
          <w:tcPr>
            <w:tcW w:w="0" w:type="auto"/>
            <w:gridSpan w:val="2"/>
            <w:shd w:val="clear" w:color="auto" w:fill="FFFFFF"/>
            <w:tcMar>
              <w:top w:w="40" w:type="dxa"/>
              <w:left w:w="20" w:type="dxa"/>
              <w:bottom w:w="40" w:type="dxa"/>
              <w:right w:w="0" w:type="dxa"/>
            </w:tcMar>
            <w:vAlign w:val="bottom"/>
          </w:tcPr>
          <w:p w14:paraId="7C2079F1" w14:textId="77777777" w:rsidR="00834A75" w:rsidRDefault="00A6708C">
            <w:pPr>
              <w:jc w:val="right"/>
              <w:textAlignment w:val="bottom"/>
            </w:pPr>
            <w:r>
              <w:rPr>
                <w:rFonts w:ascii="sans-serif" w:eastAsia="sans-serif" w:hAnsi="sans-serif" w:cs="sans-serif"/>
                <w:color w:val="000000"/>
                <w:sz w:val="20"/>
                <w:szCs w:val="20"/>
              </w:rPr>
              <w:t>— </w:t>
            </w:r>
          </w:p>
        </w:tc>
        <w:tc>
          <w:tcPr>
            <w:tcW w:w="0" w:type="auto"/>
            <w:shd w:val="clear" w:color="auto" w:fill="FFFFFF"/>
            <w:tcMar>
              <w:top w:w="40" w:type="dxa"/>
              <w:left w:w="0" w:type="dxa"/>
              <w:bottom w:w="40" w:type="dxa"/>
              <w:right w:w="20" w:type="dxa"/>
            </w:tcMar>
            <w:vAlign w:val="bottom"/>
          </w:tcPr>
          <w:p w14:paraId="7C2079F2" w14:textId="77777777" w:rsidR="00834A75" w:rsidRDefault="00834A75">
            <w:pPr>
              <w:jc w:val="right"/>
              <w:rPr>
                <w:rFonts w:ascii="宋体"/>
              </w:rPr>
            </w:pPr>
          </w:p>
        </w:tc>
        <w:tc>
          <w:tcPr>
            <w:tcW w:w="0" w:type="auto"/>
            <w:shd w:val="clear" w:color="auto" w:fill="auto"/>
            <w:vAlign w:val="bottom"/>
          </w:tcPr>
          <w:p w14:paraId="7C2079F3" w14:textId="77777777" w:rsidR="00834A75" w:rsidRDefault="00834A75">
            <w:pPr>
              <w:rPr>
                <w:rFonts w:ascii="宋体"/>
                <w:vanish/>
              </w:rPr>
            </w:pPr>
          </w:p>
        </w:tc>
        <w:tc>
          <w:tcPr>
            <w:tcW w:w="0" w:type="auto"/>
            <w:shd w:val="clear" w:color="auto" w:fill="auto"/>
            <w:vAlign w:val="bottom"/>
          </w:tcPr>
          <w:p w14:paraId="7C2079F4" w14:textId="77777777" w:rsidR="00834A75" w:rsidRDefault="00834A75">
            <w:pPr>
              <w:rPr>
                <w:rFonts w:ascii="宋体"/>
                <w:vanish/>
              </w:rPr>
            </w:pPr>
          </w:p>
        </w:tc>
        <w:tc>
          <w:tcPr>
            <w:tcW w:w="0" w:type="auto"/>
            <w:gridSpan w:val="3"/>
            <w:shd w:val="clear" w:color="auto" w:fill="auto"/>
            <w:vAlign w:val="bottom"/>
          </w:tcPr>
          <w:p w14:paraId="7C2079F5" w14:textId="77777777" w:rsidR="00834A75" w:rsidRDefault="00834A75">
            <w:pPr>
              <w:rPr>
                <w:rFonts w:ascii="宋体"/>
                <w:vanish/>
              </w:rPr>
            </w:pPr>
          </w:p>
        </w:tc>
        <w:tc>
          <w:tcPr>
            <w:tcW w:w="0" w:type="auto"/>
            <w:gridSpan w:val="3"/>
            <w:shd w:val="clear" w:color="auto" w:fill="auto"/>
            <w:vAlign w:val="bottom"/>
          </w:tcPr>
          <w:p w14:paraId="7C2079F6" w14:textId="77777777" w:rsidR="00834A75" w:rsidRDefault="00834A75">
            <w:pPr>
              <w:rPr>
                <w:rFonts w:ascii="宋体"/>
                <w:vanish/>
              </w:rPr>
            </w:pPr>
          </w:p>
        </w:tc>
      </w:tr>
      <w:tr w:rsidR="00834A75" w14:paraId="7C207A00" w14:textId="77777777">
        <w:trPr>
          <w:jc w:val="center"/>
          <w:hidden/>
        </w:trPr>
        <w:tc>
          <w:tcPr>
            <w:tcW w:w="0" w:type="auto"/>
            <w:gridSpan w:val="3"/>
            <w:shd w:val="clear" w:color="auto" w:fill="auto"/>
            <w:vAlign w:val="bottom"/>
          </w:tcPr>
          <w:p w14:paraId="7C2079F8" w14:textId="77777777" w:rsidR="00834A75" w:rsidRDefault="00834A75">
            <w:pPr>
              <w:rPr>
                <w:rFonts w:ascii="宋体"/>
                <w:vanish/>
              </w:rPr>
            </w:pPr>
          </w:p>
        </w:tc>
        <w:tc>
          <w:tcPr>
            <w:tcW w:w="0" w:type="auto"/>
            <w:gridSpan w:val="3"/>
            <w:shd w:val="clear" w:color="auto" w:fill="auto"/>
            <w:vAlign w:val="bottom"/>
          </w:tcPr>
          <w:p w14:paraId="7C2079F9" w14:textId="77777777" w:rsidR="00834A75" w:rsidRDefault="00834A75">
            <w:pPr>
              <w:rPr>
                <w:rFonts w:ascii="宋体"/>
                <w:vanish/>
              </w:rPr>
            </w:pPr>
          </w:p>
        </w:tc>
        <w:tc>
          <w:tcPr>
            <w:tcW w:w="0" w:type="auto"/>
            <w:gridSpan w:val="3"/>
            <w:shd w:val="clear" w:color="auto" w:fill="auto"/>
            <w:vAlign w:val="bottom"/>
          </w:tcPr>
          <w:p w14:paraId="7C2079FA" w14:textId="77777777" w:rsidR="00834A75" w:rsidRDefault="00834A75">
            <w:pPr>
              <w:rPr>
                <w:rFonts w:ascii="宋体"/>
                <w:vanish/>
              </w:rPr>
            </w:pPr>
          </w:p>
        </w:tc>
        <w:tc>
          <w:tcPr>
            <w:tcW w:w="0" w:type="auto"/>
            <w:gridSpan w:val="3"/>
            <w:shd w:val="clear" w:color="auto" w:fill="auto"/>
            <w:vAlign w:val="bottom"/>
          </w:tcPr>
          <w:p w14:paraId="7C2079FB" w14:textId="77777777" w:rsidR="00834A75" w:rsidRDefault="00834A75">
            <w:pPr>
              <w:rPr>
                <w:rFonts w:ascii="宋体"/>
                <w:vanish/>
              </w:rPr>
            </w:pPr>
          </w:p>
        </w:tc>
        <w:tc>
          <w:tcPr>
            <w:tcW w:w="0" w:type="auto"/>
            <w:shd w:val="clear" w:color="auto" w:fill="auto"/>
            <w:vAlign w:val="bottom"/>
          </w:tcPr>
          <w:p w14:paraId="7C2079FC" w14:textId="77777777" w:rsidR="00834A75" w:rsidRDefault="00834A75">
            <w:pPr>
              <w:rPr>
                <w:rFonts w:ascii="宋体"/>
                <w:vanish/>
              </w:rPr>
            </w:pPr>
          </w:p>
        </w:tc>
        <w:tc>
          <w:tcPr>
            <w:tcW w:w="0" w:type="auto"/>
            <w:shd w:val="clear" w:color="auto" w:fill="auto"/>
            <w:vAlign w:val="bottom"/>
          </w:tcPr>
          <w:p w14:paraId="7C2079FD" w14:textId="77777777" w:rsidR="00834A75" w:rsidRDefault="00834A75">
            <w:pPr>
              <w:rPr>
                <w:rFonts w:ascii="宋体"/>
                <w:vanish/>
              </w:rPr>
            </w:pPr>
          </w:p>
        </w:tc>
        <w:tc>
          <w:tcPr>
            <w:tcW w:w="0" w:type="auto"/>
            <w:gridSpan w:val="3"/>
            <w:shd w:val="clear" w:color="auto" w:fill="auto"/>
            <w:vAlign w:val="bottom"/>
          </w:tcPr>
          <w:p w14:paraId="7C2079FE" w14:textId="77777777" w:rsidR="00834A75" w:rsidRDefault="00834A75">
            <w:pPr>
              <w:rPr>
                <w:rFonts w:ascii="宋体"/>
                <w:vanish/>
              </w:rPr>
            </w:pPr>
          </w:p>
        </w:tc>
        <w:tc>
          <w:tcPr>
            <w:tcW w:w="0" w:type="auto"/>
            <w:gridSpan w:val="3"/>
            <w:shd w:val="clear" w:color="auto" w:fill="auto"/>
            <w:vAlign w:val="bottom"/>
          </w:tcPr>
          <w:p w14:paraId="7C2079FF" w14:textId="77777777" w:rsidR="00834A75" w:rsidRDefault="00834A75">
            <w:pPr>
              <w:rPr>
                <w:rFonts w:ascii="宋体"/>
                <w:vanish/>
              </w:rPr>
            </w:pPr>
          </w:p>
        </w:tc>
      </w:tr>
      <w:tr w:rsidR="00834A75" w14:paraId="7C207A09" w14:textId="77777777">
        <w:trPr>
          <w:jc w:val="center"/>
          <w:hidden/>
        </w:trPr>
        <w:tc>
          <w:tcPr>
            <w:tcW w:w="0" w:type="auto"/>
            <w:gridSpan w:val="3"/>
            <w:shd w:val="clear" w:color="auto" w:fill="auto"/>
            <w:vAlign w:val="bottom"/>
          </w:tcPr>
          <w:p w14:paraId="7C207A01" w14:textId="77777777" w:rsidR="00834A75" w:rsidRDefault="00834A75">
            <w:pPr>
              <w:rPr>
                <w:rFonts w:ascii="宋体"/>
                <w:vanish/>
              </w:rPr>
            </w:pPr>
          </w:p>
        </w:tc>
        <w:tc>
          <w:tcPr>
            <w:tcW w:w="0" w:type="auto"/>
            <w:gridSpan w:val="3"/>
            <w:shd w:val="clear" w:color="auto" w:fill="auto"/>
            <w:vAlign w:val="bottom"/>
          </w:tcPr>
          <w:p w14:paraId="7C207A02" w14:textId="77777777" w:rsidR="00834A75" w:rsidRDefault="00834A75">
            <w:pPr>
              <w:rPr>
                <w:rFonts w:ascii="宋体"/>
                <w:vanish/>
              </w:rPr>
            </w:pPr>
          </w:p>
        </w:tc>
        <w:tc>
          <w:tcPr>
            <w:tcW w:w="0" w:type="auto"/>
            <w:gridSpan w:val="3"/>
            <w:shd w:val="clear" w:color="auto" w:fill="auto"/>
            <w:vAlign w:val="bottom"/>
          </w:tcPr>
          <w:p w14:paraId="7C207A03" w14:textId="77777777" w:rsidR="00834A75" w:rsidRDefault="00834A75">
            <w:pPr>
              <w:rPr>
                <w:rFonts w:ascii="宋体"/>
                <w:vanish/>
              </w:rPr>
            </w:pPr>
          </w:p>
        </w:tc>
        <w:tc>
          <w:tcPr>
            <w:tcW w:w="0" w:type="auto"/>
            <w:gridSpan w:val="3"/>
            <w:shd w:val="clear" w:color="auto" w:fill="auto"/>
            <w:vAlign w:val="bottom"/>
          </w:tcPr>
          <w:p w14:paraId="7C207A04" w14:textId="77777777" w:rsidR="00834A75" w:rsidRDefault="00834A75">
            <w:pPr>
              <w:rPr>
                <w:rFonts w:ascii="宋体"/>
                <w:vanish/>
              </w:rPr>
            </w:pPr>
          </w:p>
        </w:tc>
        <w:tc>
          <w:tcPr>
            <w:tcW w:w="0" w:type="auto"/>
            <w:shd w:val="clear" w:color="auto" w:fill="auto"/>
            <w:vAlign w:val="bottom"/>
          </w:tcPr>
          <w:p w14:paraId="7C207A05" w14:textId="77777777" w:rsidR="00834A75" w:rsidRDefault="00834A75">
            <w:pPr>
              <w:rPr>
                <w:rFonts w:ascii="宋体"/>
                <w:vanish/>
              </w:rPr>
            </w:pPr>
          </w:p>
        </w:tc>
        <w:tc>
          <w:tcPr>
            <w:tcW w:w="0" w:type="auto"/>
            <w:shd w:val="clear" w:color="auto" w:fill="auto"/>
            <w:vAlign w:val="bottom"/>
          </w:tcPr>
          <w:p w14:paraId="7C207A06" w14:textId="77777777" w:rsidR="00834A75" w:rsidRDefault="00834A75">
            <w:pPr>
              <w:rPr>
                <w:rFonts w:ascii="宋体"/>
                <w:vanish/>
              </w:rPr>
            </w:pPr>
          </w:p>
        </w:tc>
        <w:tc>
          <w:tcPr>
            <w:tcW w:w="0" w:type="auto"/>
            <w:gridSpan w:val="3"/>
            <w:shd w:val="clear" w:color="auto" w:fill="auto"/>
            <w:vAlign w:val="bottom"/>
          </w:tcPr>
          <w:p w14:paraId="7C207A07" w14:textId="77777777" w:rsidR="00834A75" w:rsidRDefault="00834A75">
            <w:pPr>
              <w:rPr>
                <w:rFonts w:ascii="宋体"/>
                <w:vanish/>
              </w:rPr>
            </w:pPr>
          </w:p>
        </w:tc>
        <w:tc>
          <w:tcPr>
            <w:tcW w:w="0" w:type="auto"/>
            <w:gridSpan w:val="3"/>
            <w:shd w:val="clear" w:color="auto" w:fill="auto"/>
            <w:vAlign w:val="bottom"/>
          </w:tcPr>
          <w:p w14:paraId="7C207A08" w14:textId="77777777" w:rsidR="00834A75" w:rsidRDefault="00834A75">
            <w:pPr>
              <w:rPr>
                <w:rFonts w:ascii="宋体"/>
                <w:vanish/>
              </w:rPr>
            </w:pPr>
          </w:p>
        </w:tc>
      </w:tr>
      <w:tr w:rsidR="00834A75" w14:paraId="7C207A12" w14:textId="77777777">
        <w:trPr>
          <w:jc w:val="center"/>
        </w:trPr>
        <w:tc>
          <w:tcPr>
            <w:tcW w:w="0" w:type="auto"/>
            <w:gridSpan w:val="3"/>
            <w:shd w:val="clear" w:color="auto" w:fill="E2EFD9"/>
            <w:tcMar>
              <w:top w:w="40" w:type="dxa"/>
              <w:left w:w="20" w:type="dxa"/>
              <w:bottom w:w="40" w:type="dxa"/>
              <w:right w:w="20" w:type="dxa"/>
            </w:tcMar>
            <w:vAlign w:val="bottom"/>
          </w:tcPr>
          <w:p w14:paraId="7C207A0A" w14:textId="77777777" w:rsidR="00834A75" w:rsidRDefault="00A6708C">
            <w:pPr>
              <w:textAlignment w:val="bottom"/>
            </w:pPr>
            <w:r>
              <w:rPr>
                <w:rFonts w:ascii="sans-serif" w:eastAsia="sans-serif" w:hAnsi="sans-serif" w:cs="sans-serif"/>
                <w:color w:val="000000"/>
                <w:sz w:val="20"/>
                <w:szCs w:val="20"/>
              </w:rPr>
              <w:t>Cash flow hedges:</w:t>
            </w:r>
          </w:p>
        </w:tc>
        <w:tc>
          <w:tcPr>
            <w:tcW w:w="0" w:type="auto"/>
            <w:gridSpan w:val="3"/>
            <w:shd w:val="clear" w:color="auto" w:fill="E2EFD9"/>
            <w:tcMar>
              <w:top w:w="0" w:type="dxa"/>
              <w:left w:w="20" w:type="dxa"/>
              <w:bottom w:w="0" w:type="dxa"/>
              <w:right w:w="20" w:type="dxa"/>
            </w:tcMar>
            <w:vAlign w:val="bottom"/>
          </w:tcPr>
          <w:p w14:paraId="7C207A0B" w14:textId="77777777" w:rsidR="00834A75" w:rsidRDefault="00834A75">
            <w:pPr>
              <w:rPr>
                <w:rFonts w:ascii="宋体"/>
              </w:rPr>
            </w:pPr>
          </w:p>
        </w:tc>
        <w:tc>
          <w:tcPr>
            <w:tcW w:w="0" w:type="auto"/>
            <w:gridSpan w:val="3"/>
            <w:shd w:val="clear" w:color="auto" w:fill="E2EFD9"/>
            <w:tcMar>
              <w:top w:w="0" w:type="dxa"/>
              <w:left w:w="20" w:type="dxa"/>
              <w:bottom w:w="0" w:type="dxa"/>
              <w:right w:w="20" w:type="dxa"/>
            </w:tcMar>
            <w:vAlign w:val="bottom"/>
          </w:tcPr>
          <w:p w14:paraId="7C207A0C" w14:textId="77777777" w:rsidR="00834A75" w:rsidRDefault="00834A75">
            <w:pPr>
              <w:rPr>
                <w:rFonts w:ascii="宋体"/>
              </w:rPr>
            </w:pPr>
          </w:p>
        </w:tc>
        <w:tc>
          <w:tcPr>
            <w:tcW w:w="0" w:type="auto"/>
            <w:gridSpan w:val="3"/>
            <w:shd w:val="clear" w:color="auto" w:fill="E2EFD9"/>
            <w:tcMar>
              <w:top w:w="0" w:type="dxa"/>
              <w:left w:w="20" w:type="dxa"/>
              <w:bottom w:w="0" w:type="dxa"/>
              <w:right w:w="20" w:type="dxa"/>
            </w:tcMar>
            <w:vAlign w:val="bottom"/>
          </w:tcPr>
          <w:p w14:paraId="7C207A0D" w14:textId="77777777" w:rsidR="00834A75" w:rsidRDefault="00834A75">
            <w:pPr>
              <w:rPr>
                <w:rFonts w:ascii="宋体"/>
              </w:rPr>
            </w:pPr>
          </w:p>
        </w:tc>
        <w:tc>
          <w:tcPr>
            <w:tcW w:w="0" w:type="auto"/>
            <w:shd w:val="clear" w:color="auto" w:fill="auto"/>
            <w:vAlign w:val="bottom"/>
          </w:tcPr>
          <w:p w14:paraId="7C207A0E" w14:textId="77777777" w:rsidR="00834A75" w:rsidRDefault="00834A75">
            <w:pPr>
              <w:rPr>
                <w:rFonts w:ascii="宋体"/>
                <w:vanish/>
              </w:rPr>
            </w:pPr>
          </w:p>
        </w:tc>
        <w:tc>
          <w:tcPr>
            <w:tcW w:w="0" w:type="auto"/>
            <w:shd w:val="clear" w:color="auto" w:fill="auto"/>
            <w:vAlign w:val="bottom"/>
          </w:tcPr>
          <w:p w14:paraId="7C207A0F" w14:textId="77777777" w:rsidR="00834A75" w:rsidRDefault="00834A75">
            <w:pPr>
              <w:rPr>
                <w:rFonts w:ascii="宋体"/>
                <w:vanish/>
              </w:rPr>
            </w:pPr>
          </w:p>
        </w:tc>
        <w:tc>
          <w:tcPr>
            <w:tcW w:w="0" w:type="auto"/>
            <w:gridSpan w:val="3"/>
            <w:shd w:val="clear" w:color="auto" w:fill="auto"/>
            <w:vAlign w:val="bottom"/>
          </w:tcPr>
          <w:p w14:paraId="7C207A10" w14:textId="77777777" w:rsidR="00834A75" w:rsidRDefault="00834A75">
            <w:pPr>
              <w:rPr>
                <w:rFonts w:ascii="宋体"/>
                <w:vanish/>
              </w:rPr>
            </w:pPr>
          </w:p>
        </w:tc>
        <w:tc>
          <w:tcPr>
            <w:tcW w:w="0" w:type="auto"/>
            <w:gridSpan w:val="3"/>
            <w:shd w:val="clear" w:color="auto" w:fill="auto"/>
            <w:vAlign w:val="bottom"/>
          </w:tcPr>
          <w:p w14:paraId="7C207A11" w14:textId="77777777" w:rsidR="00834A75" w:rsidRDefault="00834A75">
            <w:pPr>
              <w:rPr>
                <w:rFonts w:ascii="宋体"/>
                <w:vanish/>
              </w:rPr>
            </w:pPr>
          </w:p>
        </w:tc>
      </w:tr>
      <w:tr w:rsidR="00834A75" w14:paraId="7C207A1D" w14:textId="77777777">
        <w:trPr>
          <w:jc w:val="center"/>
        </w:trPr>
        <w:tc>
          <w:tcPr>
            <w:tcW w:w="0" w:type="auto"/>
            <w:gridSpan w:val="3"/>
            <w:shd w:val="clear" w:color="auto" w:fill="FFFFFF"/>
            <w:tcMar>
              <w:top w:w="40" w:type="dxa"/>
              <w:left w:w="245" w:type="dxa"/>
              <w:bottom w:w="40" w:type="dxa"/>
              <w:right w:w="20" w:type="dxa"/>
            </w:tcMar>
            <w:vAlign w:val="bottom"/>
          </w:tcPr>
          <w:p w14:paraId="7C207A13" w14:textId="77777777" w:rsidR="00834A75" w:rsidRDefault="00A6708C">
            <w:pPr>
              <w:textAlignment w:val="bottom"/>
            </w:pPr>
            <w:r>
              <w:rPr>
                <w:rFonts w:ascii="sans-serif" w:eastAsia="sans-serif" w:hAnsi="sans-serif" w:cs="sans-serif"/>
                <w:color w:val="000000"/>
                <w:sz w:val="20"/>
                <w:szCs w:val="20"/>
              </w:rPr>
              <w:t xml:space="preserve">Net </w:t>
            </w:r>
            <w:r>
              <w:rPr>
                <w:rFonts w:ascii="sans-serif" w:eastAsia="sans-serif" w:hAnsi="sans-serif" w:cs="sans-serif"/>
                <w:color w:val="000000"/>
                <w:sz w:val="20"/>
                <w:szCs w:val="20"/>
              </w:rPr>
              <w:t>unrealized loss</w:t>
            </w:r>
          </w:p>
        </w:tc>
        <w:tc>
          <w:tcPr>
            <w:tcW w:w="0" w:type="auto"/>
            <w:gridSpan w:val="2"/>
            <w:shd w:val="clear" w:color="auto" w:fill="FFFFFF"/>
            <w:tcMar>
              <w:top w:w="40" w:type="dxa"/>
              <w:left w:w="20" w:type="dxa"/>
              <w:bottom w:w="40" w:type="dxa"/>
              <w:right w:w="0" w:type="dxa"/>
            </w:tcMar>
            <w:vAlign w:val="bottom"/>
          </w:tcPr>
          <w:p w14:paraId="7C207A14" w14:textId="77777777" w:rsidR="00834A75" w:rsidRDefault="00A6708C">
            <w:pPr>
              <w:jc w:val="right"/>
              <w:textAlignment w:val="bottom"/>
            </w:pPr>
            <w:r>
              <w:rPr>
                <w:rFonts w:ascii="sans-serif" w:eastAsia="sans-serif" w:hAnsi="sans-serif" w:cs="sans-serif"/>
                <w:color w:val="000000"/>
                <w:sz w:val="20"/>
                <w:szCs w:val="20"/>
              </w:rPr>
              <w:t>(29)</w:t>
            </w:r>
          </w:p>
        </w:tc>
        <w:tc>
          <w:tcPr>
            <w:tcW w:w="0" w:type="auto"/>
            <w:shd w:val="clear" w:color="auto" w:fill="FFFFFF"/>
            <w:tcMar>
              <w:top w:w="40" w:type="dxa"/>
              <w:left w:w="0" w:type="dxa"/>
              <w:bottom w:w="40" w:type="dxa"/>
              <w:right w:w="20" w:type="dxa"/>
            </w:tcMar>
            <w:vAlign w:val="bottom"/>
          </w:tcPr>
          <w:p w14:paraId="7C207A15" w14:textId="77777777" w:rsidR="00834A75" w:rsidRDefault="00834A75">
            <w:pPr>
              <w:jc w:val="right"/>
              <w:rPr>
                <w:rFonts w:ascii="宋体"/>
              </w:rPr>
            </w:pPr>
          </w:p>
        </w:tc>
        <w:tc>
          <w:tcPr>
            <w:tcW w:w="0" w:type="auto"/>
            <w:gridSpan w:val="3"/>
            <w:shd w:val="clear" w:color="auto" w:fill="FFFFFF"/>
            <w:tcMar>
              <w:top w:w="0" w:type="dxa"/>
              <w:left w:w="20" w:type="dxa"/>
              <w:bottom w:w="0" w:type="dxa"/>
              <w:right w:w="20" w:type="dxa"/>
            </w:tcMar>
            <w:vAlign w:val="bottom"/>
          </w:tcPr>
          <w:p w14:paraId="7C207A16" w14:textId="77777777" w:rsidR="00834A75" w:rsidRDefault="00834A75">
            <w:pPr>
              <w:rPr>
                <w:rFonts w:ascii="宋体"/>
              </w:rPr>
            </w:pPr>
          </w:p>
        </w:tc>
        <w:tc>
          <w:tcPr>
            <w:tcW w:w="0" w:type="auto"/>
            <w:gridSpan w:val="2"/>
            <w:shd w:val="clear" w:color="auto" w:fill="FFFFFF"/>
            <w:tcMar>
              <w:top w:w="40" w:type="dxa"/>
              <w:left w:w="20" w:type="dxa"/>
              <w:bottom w:w="40" w:type="dxa"/>
              <w:right w:w="0" w:type="dxa"/>
            </w:tcMar>
            <w:vAlign w:val="bottom"/>
          </w:tcPr>
          <w:p w14:paraId="7C207A17" w14:textId="77777777" w:rsidR="00834A75" w:rsidRDefault="00A6708C">
            <w:pPr>
              <w:jc w:val="right"/>
              <w:textAlignment w:val="bottom"/>
            </w:pPr>
            <w:r>
              <w:rPr>
                <w:rFonts w:ascii="sans-serif" w:eastAsia="sans-serif" w:hAnsi="sans-serif" w:cs="sans-serif"/>
                <w:color w:val="000000"/>
                <w:sz w:val="20"/>
                <w:szCs w:val="20"/>
              </w:rPr>
              <w:t>(14)</w:t>
            </w:r>
          </w:p>
        </w:tc>
        <w:tc>
          <w:tcPr>
            <w:tcW w:w="0" w:type="auto"/>
            <w:shd w:val="clear" w:color="auto" w:fill="FFFFFF"/>
            <w:tcMar>
              <w:top w:w="40" w:type="dxa"/>
              <w:left w:w="0" w:type="dxa"/>
              <w:bottom w:w="40" w:type="dxa"/>
              <w:right w:w="20" w:type="dxa"/>
            </w:tcMar>
            <w:vAlign w:val="bottom"/>
          </w:tcPr>
          <w:p w14:paraId="7C207A18" w14:textId="77777777" w:rsidR="00834A75" w:rsidRDefault="00834A75">
            <w:pPr>
              <w:jc w:val="right"/>
              <w:rPr>
                <w:rFonts w:ascii="宋体"/>
              </w:rPr>
            </w:pPr>
          </w:p>
        </w:tc>
        <w:tc>
          <w:tcPr>
            <w:tcW w:w="0" w:type="auto"/>
            <w:shd w:val="clear" w:color="auto" w:fill="auto"/>
            <w:vAlign w:val="bottom"/>
          </w:tcPr>
          <w:p w14:paraId="7C207A19" w14:textId="77777777" w:rsidR="00834A75" w:rsidRDefault="00834A75">
            <w:pPr>
              <w:rPr>
                <w:rFonts w:ascii="宋体"/>
                <w:vanish/>
              </w:rPr>
            </w:pPr>
          </w:p>
        </w:tc>
        <w:tc>
          <w:tcPr>
            <w:tcW w:w="0" w:type="auto"/>
            <w:shd w:val="clear" w:color="auto" w:fill="auto"/>
            <w:vAlign w:val="bottom"/>
          </w:tcPr>
          <w:p w14:paraId="7C207A1A" w14:textId="77777777" w:rsidR="00834A75" w:rsidRDefault="00834A75">
            <w:pPr>
              <w:rPr>
                <w:rFonts w:ascii="宋体"/>
                <w:vanish/>
              </w:rPr>
            </w:pPr>
          </w:p>
        </w:tc>
        <w:tc>
          <w:tcPr>
            <w:tcW w:w="0" w:type="auto"/>
            <w:gridSpan w:val="3"/>
            <w:shd w:val="clear" w:color="auto" w:fill="auto"/>
            <w:vAlign w:val="bottom"/>
          </w:tcPr>
          <w:p w14:paraId="7C207A1B" w14:textId="77777777" w:rsidR="00834A75" w:rsidRDefault="00834A75">
            <w:pPr>
              <w:rPr>
                <w:rFonts w:ascii="宋体"/>
                <w:vanish/>
              </w:rPr>
            </w:pPr>
          </w:p>
        </w:tc>
        <w:tc>
          <w:tcPr>
            <w:tcW w:w="0" w:type="auto"/>
            <w:gridSpan w:val="3"/>
            <w:shd w:val="clear" w:color="auto" w:fill="auto"/>
            <w:vAlign w:val="bottom"/>
          </w:tcPr>
          <w:p w14:paraId="7C207A1C" w14:textId="77777777" w:rsidR="00834A75" w:rsidRDefault="00834A75">
            <w:pPr>
              <w:rPr>
                <w:rFonts w:ascii="宋体"/>
                <w:vanish/>
              </w:rPr>
            </w:pPr>
          </w:p>
        </w:tc>
      </w:tr>
      <w:tr w:rsidR="00834A75" w14:paraId="7C207A28" w14:textId="77777777">
        <w:trPr>
          <w:jc w:val="center"/>
        </w:trPr>
        <w:tc>
          <w:tcPr>
            <w:tcW w:w="0" w:type="auto"/>
            <w:gridSpan w:val="3"/>
            <w:shd w:val="clear" w:color="auto" w:fill="E2EFD9"/>
            <w:tcMar>
              <w:top w:w="40" w:type="dxa"/>
              <w:left w:w="245" w:type="dxa"/>
              <w:bottom w:w="40" w:type="dxa"/>
              <w:right w:w="20" w:type="dxa"/>
            </w:tcMar>
            <w:vAlign w:val="bottom"/>
          </w:tcPr>
          <w:p w14:paraId="7C207A1E" w14:textId="77777777" w:rsidR="00834A75" w:rsidRDefault="00A6708C">
            <w:pPr>
              <w:textAlignment w:val="bottom"/>
            </w:pPr>
            <w:r>
              <w:rPr>
                <w:rFonts w:ascii="sans-serif" w:eastAsia="sans-serif" w:hAnsi="sans-serif" w:cs="sans-serif"/>
                <w:color w:val="000000"/>
                <w:sz w:val="20"/>
                <w:szCs w:val="20"/>
              </w:rPr>
              <w:t>Reclassification adjustments for net realized gain (loss) included in net income</w:t>
            </w:r>
          </w:p>
        </w:tc>
        <w:tc>
          <w:tcPr>
            <w:tcW w:w="0" w:type="auto"/>
            <w:gridSpan w:val="2"/>
            <w:shd w:val="clear" w:color="auto" w:fill="E2EFD9"/>
            <w:tcMar>
              <w:top w:w="40" w:type="dxa"/>
              <w:left w:w="20" w:type="dxa"/>
              <w:bottom w:w="40" w:type="dxa"/>
              <w:right w:w="0" w:type="dxa"/>
            </w:tcMar>
            <w:vAlign w:val="bottom"/>
          </w:tcPr>
          <w:p w14:paraId="7C207A1F" w14:textId="77777777" w:rsidR="00834A75" w:rsidRDefault="00A6708C">
            <w:pPr>
              <w:jc w:val="right"/>
              <w:textAlignment w:val="bottom"/>
            </w:pPr>
            <w:r>
              <w:rPr>
                <w:rFonts w:ascii="sans-serif" w:eastAsia="sans-serif" w:hAnsi="sans-serif" w:cs="sans-serif"/>
                <w:color w:val="000000"/>
                <w:sz w:val="20"/>
                <w:szCs w:val="20"/>
              </w:rPr>
              <w:t>(2)</w:t>
            </w:r>
          </w:p>
        </w:tc>
        <w:tc>
          <w:tcPr>
            <w:tcW w:w="0" w:type="auto"/>
            <w:shd w:val="clear" w:color="auto" w:fill="E2EFD9"/>
            <w:tcMar>
              <w:top w:w="40" w:type="dxa"/>
              <w:left w:w="0" w:type="dxa"/>
              <w:bottom w:w="40" w:type="dxa"/>
              <w:right w:w="20" w:type="dxa"/>
            </w:tcMar>
            <w:vAlign w:val="bottom"/>
          </w:tcPr>
          <w:p w14:paraId="7C207A20" w14:textId="77777777" w:rsidR="00834A75" w:rsidRDefault="00834A75">
            <w:pPr>
              <w:jc w:val="right"/>
              <w:rPr>
                <w:rFonts w:ascii="宋体"/>
              </w:rPr>
            </w:pPr>
          </w:p>
        </w:tc>
        <w:tc>
          <w:tcPr>
            <w:tcW w:w="0" w:type="auto"/>
            <w:gridSpan w:val="3"/>
            <w:shd w:val="clear" w:color="auto" w:fill="E2EFD9"/>
            <w:tcMar>
              <w:top w:w="0" w:type="dxa"/>
              <w:left w:w="20" w:type="dxa"/>
              <w:bottom w:w="0" w:type="dxa"/>
              <w:right w:w="20" w:type="dxa"/>
            </w:tcMar>
            <w:vAlign w:val="bottom"/>
          </w:tcPr>
          <w:p w14:paraId="7C207A21" w14:textId="77777777" w:rsidR="00834A75" w:rsidRDefault="00834A75">
            <w:pPr>
              <w:rPr>
                <w:rFonts w:ascii="宋体"/>
              </w:rPr>
            </w:pPr>
          </w:p>
        </w:tc>
        <w:tc>
          <w:tcPr>
            <w:tcW w:w="0" w:type="auto"/>
            <w:gridSpan w:val="2"/>
            <w:shd w:val="clear" w:color="auto" w:fill="E2EFD9"/>
            <w:tcMar>
              <w:top w:w="40" w:type="dxa"/>
              <w:left w:w="20" w:type="dxa"/>
              <w:bottom w:w="40" w:type="dxa"/>
              <w:right w:w="0" w:type="dxa"/>
            </w:tcMar>
            <w:vAlign w:val="bottom"/>
          </w:tcPr>
          <w:p w14:paraId="7C207A22" w14:textId="77777777" w:rsidR="00834A75" w:rsidRDefault="00A6708C">
            <w:pPr>
              <w:jc w:val="right"/>
              <w:textAlignment w:val="bottom"/>
            </w:pPr>
            <w:r>
              <w:rPr>
                <w:rFonts w:ascii="sans-serif" w:eastAsia="sans-serif" w:hAnsi="sans-serif" w:cs="sans-serif"/>
                <w:color w:val="000000"/>
                <w:sz w:val="20"/>
                <w:szCs w:val="20"/>
              </w:rPr>
              <w:t>9 </w:t>
            </w:r>
          </w:p>
        </w:tc>
        <w:tc>
          <w:tcPr>
            <w:tcW w:w="0" w:type="auto"/>
            <w:shd w:val="clear" w:color="auto" w:fill="E2EFD9"/>
            <w:tcMar>
              <w:top w:w="40" w:type="dxa"/>
              <w:left w:w="0" w:type="dxa"/>
              <w:bottom w:w="40" w:type="dxa"/>
              <w:right w:w="20" w:type="dxa"/>
            </w:tcMar>
            <w:vAlign w:val="bottom"/>
          </w:tcPr>
          <w:p w14:paraId="7C207A23" w14:textId="77777777" w:rsidR="00834A75" w:rsidRDefault="00834A75">
            <w:pPr>
              <w:jc w:val="right"/>
              <w:rPr>
                <w:rFonts w:ascii="宋体"/>
              </w:rPr>
            </w:pPr>
          </w:p>
        </w:tc>
        <w:tc>
          <w:tcPr>
            <w:tcW w:w="0" w:type="auto"/>
            <w:shd w:val="clear" w:color="auto" w:fill="auto"/>
            <w:vAlign w:val="bottom"/>
          </w:tcPr>
          <w:p w14:paraId="7C207A24" w14:textId="77777777" w:rsidR="00834A75" w:rsidRDefault="00834A75">
            <w:pPr>
              <w:rPr>
                <w:rFonts w:ascii="宋体"/>
                <w:vanish/>
              </w:rPr>
            </w:pPr>
          </w:p>
        </w:tc>
        <w:tc>
          <w:tcPr>
            <w:tcW w:w="0" w:type="auto"/>
            <w:shd w:val="clear" w:color="auto" w:fill="auto"/>
            <w:vAlign w:val="bottom"/>
          </w:tcPr>
          <w:p w14:paraId="7C207A25" w14:textId="77777777" w:rsidR="00834A75" w:rsidRDefault="00834A75">
            <w:pPr>
              <w:rPr>
                <w:rFonts w:ascii="宋体"/>
                <w:vanish/>
              </w:rPr>
            </w:pPr>
          </w:p>
        </w:tc>
        <w:tc>
          <w:tcPr>
            <w:tcW w:w="0" w:type="auto"/>
            <w:gridSpan w:val="3"/>
            <w:shd w:val="clear" w:color="auto" w:fill="auto"/>
            <w:vAlign w:val="bottom"/>
          </w:tcPr>
          <w:p w14:paraId="7C207A26" w14:textId="77777777" w:rsidR="00834A75" w:rsidRDefault="00834A75">
            <w:pPr>
              <w:rPr>
                <w:rFonts w:ascii="宋体"/>
                <w:vanish/>
              </w:rPr>
            </w:pPr>
          </w:p>
        </w:tc>
        <w:tc>
          <w:tcPr>
            <w:tcW w:w="0" w:type="auto"/>
            <w:gridSpan w:val="3"/>
            <w:shd w:val="clear" w:color="auto" w:fill="auto"/>
            <w:vAlign w:val="bottom"/>
          </w:tcPr>
          <w:p w14:paraId="7C207A27" w14:textId="77777777" w:rsidR="00834A75" w:rsidRDefault="00834A75">
            <w:pPr>
              <w:rPr>
                <w:rFonts w:ascii="宋体"/>
                <w:vanish/>
              </w:rPr>
            </w:pPr>
          </w:p>
        </w:tc>
      </w:tr>
      <w:tr w:rsidR="00834A75" w14:paraId="7C207A33" w14:textId="77777777">
        <w:trPr>
          <w:jc w:val="center"/>
        </w:trPr>
        <w:tc>
          <w:tcPr>
            <w:tcW w:w="0" w:type="auto"/>
            <w:gridSpan w:val="3"/>
            <w:shd w:val="clear" w:color="auto" w:fill="FFFFFF"/>
            <w:tcMar>
              <w:top w:w="40" w:type="dxa"/>
              <w:left w:w="245" w:type="dxa"/>
              <w:bottom w:w="40" w:type="dxa"/>
              <w:right w:w="20" w:type="dxa"/>
            </w:tcMar>
            <w:vAlign w:val="bottom"/>
          </w:tcPr>
          <w:p w14:paraId="7C207A29" w14:textId="77777777" w:rsidR="00834A75" w:rsidRDefault="00A6708C">
            <w:pPr>
              <w:textAlignment w:val="bottom"/>
            </w:pPr>
            <w:r>
              <w:rPr>
                <w:rFonts w:ascii="sans-serif" w:eastAsia="sans-serif" w:hAnsi="sans-serif" w:cs="sans-serif"/>
                <w:color w:val="000000"/>
                <w:sz w:val="20"/>
                <w:szCs w:val="20"/>
              </w:rPr>
              <w:t>Net change in unrealized loss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C207A2A" w14:textId="77777777" w:rsidR="00834A75" w:rsidRDefault="00A6708C">
            <w:pPr>
              <w:jc w:val="right"/>
              <w:textAlignment w:val="bottom"/>
            </w:pPr>
            <w:r>
              <w:rPr>
                <w:rFonts w:ascii="sans-serif" w:eastAsia="sans-serif" w:hAnsi="sans-serif" w:cs="sans-serif"/>
                <w:color w:val="000000"/>
                <w:sz w:val="20"/>
                <w:szCs w:val="20"/>
              </w:rPr>
              <w:t>(31)</w:t>
            </w:r>
          </w:p>
        </w:tc>
        <w:tc>
          <w:tcPr>
            <w:tcW w:w="0" w:type="auto"/>
            <w:tcBorders>
              <w:top w:val="single" w:sz="8" w:space="0" w:color="000000"/>
            </w:tcBorders>
            <w:shd w:val="clear" w:color="auto" w:fill="FFFFFF"/>
            <w:tcMar>
              <w:top w:w="40" w:type="dxa"/>
              <w:left w:w="0" w:type="dxa"/>
              <w:bottom w:w="40" w:type="dxa"/>
              <w:right w:w="20" w:type="dxa"/>
            </w:tcMar>
            <w:vAlign w:val="bottom"/>
          </w:tcPr>
          <w:p w14:paraId="7C207A2B" w14:textId="77777777" w:rsidR="00834A75" w:rsidRDefault="00834A75">
            <w:pPr>
              <w:jc w:val="right"/>
              <w:rPr>
                <w:rFonts w:ascii="宋体"/>
              </w:rPr>
            </w:pPr>
          </w:p>
        </w:tc>
        <w:tc>
          <w:tcPr>
            <w:tcW w:w="0" w:type="auto"/>
            <w:gridSpan w:val="3"/>
            <w:shd w:val="clear" w:color="auto" w:fill="FFFFFF"/>
            <w:tcMar>
              <w:top w:w="0" w:type="dxa"/>
              <w:left w:w="20" w:type="dxa"/>
              <w:bottom w:w="0" w:type="dxa"/>
              <w:right w:w="20" w:type="dxa"/>
            </w:tcMar>
            <w:vAlign w:val="bottom"/>
          </w:tcPr>
          <w:p w14:paraId="7C207A2C" w14:textId="77777777" w:rsidR="00834A75" w:rsidRDefault="00834A75">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C207A2D" w14:textId="77777777" w:rsidR="00834A75" w:rsidRDefault="00A6708C">
            <w:pPr>
              <w:jc w:val="right"/>
              <w:textAlignment w:val="bottom"/>
            </w:pPr>
            <w:r>
              <w:rPr>
                <w:rFonts w:ascii="sans-serif" w:eastAsia="sans-serif" w:hAnsi="sans-serif" w:cs="sans-serif"/>
                <w:color w:val="000000"/>
                <w:sz w:val="20"/>
                <w:szCs w:val="20"/>
              </w:rPr>
              <w:t>(5)</w:t>
            </w:r>
          </w:p>
        </w:tc>
        <w:tc>
          <w:tcPr>
            <w:tcW w:w="0" w:type="auto"/>
            <w:tcBorders>
              <w:top w:val="single" w:sz="8" w:space="0" w:color="000000"/>
            </w:tcBorders>
            <w:shd w:val="clear" w:color="auto" w:fill="FFFFFF"/>
            <w:tcMar>
              <w:top w:w="40" w:type="dxa"/>
              <w:left w:w="0" w:type="dxa"/>
              <w:bottom w:w="40" w:type="dxa"/>
              <w:right w:w="20" w:type="dxa"/>
            </w:tcMar>
            <w:vAlign w:val="bottom"/>
          </w:tcPr>
          <w:p w14:paraId="7C207A2E" w14:textId="77777777" w:rsidR="00834A75" w:rsidRDefault="00834A75">
            <w:pPr>
              <w:jc w:val="right"/>
              <w:rPr>
                <w:rFonts w:ascii="宋体"/>
              </w:rPr>
            </w:pPr>
          </w:p>
        </w:tc>
        <w:tc>
          <w:tcPr>
            <w:tcW w:w="0" w:type="auto"/>
            <w:shd w:val="clear" w:color="auto" w:fill="auto"/>
            <w:vAlign w:val="bottom"/>
          </w:tcPr>
          <w:p w14:paraId="7C207A2F" w14:textId="77777777" w:rsidR="00834A75" w:rsidRDefault="00834A75">
            <w:pPr>
              <w:rPr>
                <w:rFonts w:ascii="宋体"/>
                <w:vanish/>
              </w:rPr>
            </w:pPr>
          </w:p>
        </w:tc>
        <w:tc>
          <w:tcPr>
            <w:tcW w:w="0" w:type="auto"/>
            <w:shd w:val="clear" w:color="auto" w:fill="auto"/>
            <w:vAlign w:val="bottom"/>
          </w:tcPr>
          <w:p w14:paraId="7C207A30" w14:textId="77777777" w:rsidR="00834A75" w:rsidRDefault="00834A75">
            <w:pPr>
              <w:rPr>
                <w:rFonts w:ascii="宋体"/>
                <w:vanish/>
              </w:rPr>
            </w:pPr>
          </w:p>
        </w:tc>
        <w:tc>
          <w:tcPr>
            <w:tcW w:w="0" w:type="auto"/>
            <w:gridSpan w:val="3"/>
            <w:shd w:val="clear" w:color="auto" w:fill="auto"/>
            <w:vAlign w:val="bottom"/>
          </w:tcPr>
          <w:p w14:paraId="7C207A31" w14:textId="77777777" w:rsidR="00834A75" w:rsidRDefault="00834A75">
            <w:pPr>
              <w:rPr>
                <w:rFonts w:ascii="宋体"/>
                <w:vanish/>
              </w:rPr>
            </w:pPr>
          </w:p>
        </w:tc>
        <w:tc>
          <w:tcPr>
            <w:tcW w:w="0" w:type="auto"/>
            <w:gridSpan w:val="3"/>
            <w:shd w:val="clear" w:color="auto" w:fill="auto"/>
            <w:vAlign w:val="bottom"/>
          </w:tcPr>
          <w:p w14:paraId="7C207A32" w14:textId="77777777" w:rsidR="00834A75" w:rsidRDefault="00834A75">
            <w:pPr>
              <w:rPr>
                <w:rFonts w:ascii="宋体"/>
                <w:vanish/>
              </w:rPr>
            </w:pPr>
          </w:p>
        </w:tc>
      </w:tr>
      <w:tr w:rsidR="00834A75" w14:paraId="7C207A3E" w14:textId="77777777">
        <w:trPr>
          <w:jc w:val="center"/>
        </w:trPr>
        <w:tc>
          <w:tcPr>
            <w:tcW w:w="0" w:type="auto"/>
            <w:gridSpan w:val="3"/>
            <w:shd w:val="clear" w:color="auto" w:fill="E2EFD9"/>
            <w:tcMar>
              <w:top w:w="40" w:type="dxa"/>
              <w:left w:w="20" w:type="dxa"/>
              <w:bottom w:w="40" w:type="dxa"/>
              <w:right w:w="20" w:type="dxa"/>
            </w:tcMar>
            <w:vAlign w:val="bottom"/>
          </w:tcPr>
          <w:p w14:paraId="7C207A34" w14:textId="77777777" w:rsidR="00834A75" w:rsidRDefault="00A6708C">
            <w:pPr>
              <w:textAlignment w:val="bottom"/>
            </w:pPr>
            <w:r>
              <w:rPr>
                <w:rFonts w:ascii="sans-serif" w:eastAsia="sans-serif" w:hAnsi="sans-serif" w:cs="sans-serif"/>
                <w:color w:val="000000"/>
                <w:sz w:val="20"/>
                <w:szCs w:val="20"/>
              </w:rPr>
              <w:t>Other comprehensive loss, net of tax</w:t>
            </w:r>
          </w:p>
        </w:tc>
        <w:tc>
          <w:tcPr>
            <w:tcW w:w="0" w:type="auto"/>
            <w:gridSpan w:val="2"/>
            <w:tcBorders>
              <w:top w:val="single" w:sz="8" w:space="0" w:color="000000"/>
            </w:tcBorders>
            <w:shd w:val="clear" w:color="auto" w:fill="E2EFD9"/>
            <w:tcMar>
              <w:top w:w="40" w:type="dxa"/>
              <w:left w:w="20" w:type="dxa"/>
              <w:bottom w:w="40" w:type="dxa"/>
              <w:right w:w="0" w:type="dxa"/>
            </w:tcMar>
            <w:vAlign w:val="bottom"/>
          </w:tcPr>
          <w:p w14:paraId="7C207A35" w14:textId="77777777" w:rsidR="00834A75" w:rsidRDefault="00A6708C">
            <w:pPr>
              <w:jc w:val="right"/>
              <w:textAlignment w:val="bottom"/>
            </w:pPr>
            <w:r>
              <w:rPr>
                <w:rFonts w:ascii="sans-serif" w:eastAsia="sans-serif" w:hAnsi="sans-serif" w:cs="sans-serif"/>
                <w:color w:val="000000"/>
                <w:sz w:val="20"/>
                <w:szCs w:val="20"/>
              </w:rPr>
              <w:t>(53)</w:t>
            </w:r>
          </w:p>
        </w:tc>
        <w:tc>
          <w:tcPr>
            <w:tcW w:w="0" w:type="auto"/>
            <w:tcBorders>
              <w:top w:val="single" w:sz="8" w:space="0" w:color="000000"/>
            </w:tcBorders>
            <w:shd w:val="clear" w:color="auto" w:fill="E2EFD9"/>
            <w:tcMar>
              <w:top w:w="40" w:type="dxa"/>
              <w:left w:w="0" w:type="dxa"/>
              <w:bottom w:w="40" w:type="dxa"/>
              <w:right w:w="20" w:type="dxa"/>
            </w:tcMar>
            <w:vAlign w:val="bottom"/>
          </w:tcPr>
          <w:p w14:paraId="7C207A36" w14:textId="77777777" w:rsidR="00834A75" w:rsidRDefault="00834A75">
            <w:pPr>
              <w:jc w:val="right"/>
              <w:rPr>
                <w:rFonts w:ascii="宋体"/>
              </w:rPr>
            </w:pPr>
          </w:p>
        </w:tc>
        <w:tc>
          <w:tcPr>
            <w:tcW w:w="0" w:type="auto"/>
            <w:gridSpan w:val="3"/>
            <w:shd w:val="clear" w:color="auto" w:fill="E2EFD9"/>
            <w:tcMar>
              <w:top w:w="0" w:type="dxa"/>
              <w:left w:w="20" w:type="dxa"/>
              <w:bottom w:w="0" w:type="dxa"/>
              <w:right w:w="20" w:type="dxa"/>
            </w:tcMar>
            <w:vAlign w:val="bottom"/>
          </w:tcPr>
          <w:p w14:paraId="7C207A37" w14:textId="77777777" w:rsidR="00834A75" w:rsidRDefault="00834A75">
            <w:pPr>
              <w:rPr>
                <w:rFonts w:ascii="宋体"/>
              </w:rPr>
            </w:pPr>
          </w:p>
        </w:tc>
        <w:tc>
          <w:tcPr>
            <w:tcW w:w="0" w:type="auto"/>
            <w:gridSpan w:val="2"/>
            <w:tcBorders>
              <w:top w:val="single" w:sz="8" w:space="0" w:color="000000"/>
            </w:tcBorders>
            <w:shd w:val="clear" w:color="auto" w:fill="E2EFD9"/>
            <w:tcMar>
              <w:top w:w="40" w:type="dxa"/>
              <w:left w:w="20" w:type="dxa"/>
              <w:bottom w:w="40" w:type="dxa"/>
              <w:right w:w="0" w:type="dxa"/>
            </w:tcMar>
            <w:vAlign w:val="bottom"/>
          </w:tcPr>
          <w:p w14:paraId="7C207A38" w14:textId="77777777" w:rsidR="00834A75" w:rsidRDefault="00A6708C">
            <w:pPr>
              <w:jc w:val="right"/>
              <w:textAlignment w:val="bottom"/>
            </w:pPr>
            <w:r>
              <w:rPr>
                <w:rFonts w:ascii="sans-serif" w:eastAsia="sans-serif" w:hAnsi="sans-serif" w:cs="sans-serif"/>
                <w:color w:val="000000"/>
                <w:sz w:val="20"/>
                <w:szCs w:val="20"/>
              </w:rPr>
              <w:t>(5)</w:t>
            </w:r>
          </w:p>
        </w:tc>
        <w:tc>
          <w:tcPr>
            <w:tcW w:w="0" w:type="auto"/>
            <w:tcBorders>
              <w:top w:val="single" w:sz="8" w:space="0" w:color="000000"/>
            </w:tcBorders>
            <w:shd w:val="clear" w:color="auto" w:fill="E2EFD9"/>
            <w:tcMar>
              <w:top w:w="40" w:type="dxa"/>
              <w:left w:w="0" w:type="dxa"/>
              <w:bottom w:w="40" w:type="dxa"/>
              <w:right w:w="20" w:type="dxa"/>
            </w:tcMar>
            <w:vAlign w:val="bottom"/>
          </w:tcPr>
          <w:p w14:paraId="7C207A39" w14:textId="77777777" w:rsidR="00834A75" w:rsidRDefault="00834A75">
            <w:pPr>
              <w:jc w:val="right"/>
              <w:rPr>
                <w:rFonts w:ascii="宋体"/>
              </w:rPr>
            </w:pPr>
          </w:p>
        </w:tc>
        <w:tc>
          <w:tcPr>
            <w:tcW w:w="0" w:type="auto"/>
            <w:shd w:val="clear" w:color="auto" w:fill="auto"/>
            <w:vAlign w:val="bottom"/>
          </w:tcPr>
          <w:p w14:paraId="7C207A3A" w14:textId="77777777" w:rsidR="00834A75" w:rsidRDefault="00834A75">
            <w:pPr>
              <w:rPr>
                <w:rFonts w:ascii="宋体"/>
                <w:vanish/>
              </w:rPr>
            </w:pPr>
          </w:p>
        </w:tc>
        <w:tc>
          <w:tcPr>
            <w:tcW w:w="0" w:type="auto"/>
            <w:shd w:val="clear" w:color="auto" w:fill="auto"/>
            <w:vAlign w:val="bottom"/>
          </w:tcPr>
          <w:p w14:paraId="7C207A3B" w14:textId="77777777" w:rsidR="00834A75" w:rsidRDefault="00834A75">
            <w:pPr>
              <w:rPr>
                <w:rFonts w:ascii="宋体"/>
                <w:vanish/>
              </w:rPr>
            </w:pPr>
          </w:p>
        </w:tc>
        <w:tc>
          <w:tcPr>
            <w:tcW w:w="0" w:type="auto"/>
            <w:gridSpan w:val="3"/>
            <w:shd w:val="clear" w:color="auto" w:fill="auto"/>
            <w:vAlign w:val="bottom"/>
          </w:tcPr>
          <w:p w14:paraId="7C207A3C" w14:textId="77777777" w:rsidR="00834A75" w:rsidRDefault="00834A75">
            <w:pPr>
              <w:rPr>
                <w:rFonts w:ascii="宋体"/>
                <w:vanish/>
              </w:rPr>
            </w:pPr>
          </w:p>
        </w:tc>
        <w:tc>
          <w:tcPr>
            <w:tcW w:w="0" w:type="auto"/>
            <w:gridSpan w:val="3"/>
            <w:shd w:val="clear" w:color="auto" w:fill="auto"/>
            <w:vAlign w:val="bottom"/>
          </w:tcPr>
          <w:p w14:paraId="7C207A3D" w14:textId="77777777" w:rsidR="00834A75" w:rsidRDefault="00834A75">
            <w:pPr>
              <w:rPr>
                <w:rFonts w:ascii="宋体"/>
                <w:vanish/>
              </w:rPr>
            </w:pPr>
          </w:p>
        </w:tc>
      </w:tr>
      <w:tr w:rsidR="00834A75" w14:paraId="7C207A4B" w14:textId="77777777">
        <w:trPr>
          <w:jc w:val="center"/>
        </w:trPr>
        <w:tc>
          <w:tcPr>
            <w:tcW w:w="0" w:type="auto"/>
            <w:gridSpan w:val="3"/>
            <w:shd w:val="clear" w:color="auto" w:fill="FFFFFF"/>
            <w:tcMar>
              <w:top w:w="40" w:type="dxa"/>
              <w:left w:w="20" w:type="dxa"/>
              <w:bottom w:w="40" w:type="dxa"/>
              <w:right w:w="20" w:type="dxa"/>
            </w:tcMar>
            <w:vAlign w:val="bottom"/>
          </w:tcPr>
          <w:p w14:paraId="7C207A3F" w14:textId="77777777" w:rsidR="00834A75" w:rsidRDefault="00A6708C">
            <w:pPr>
              <w:textAlignment w:val="bottom"/>
            </w:pPr>
            <w:r>
              <w:rPr>
                <w:rFonts w:ascii="sans-serif" w:eastAsia="sans-serif" w:hAnsi="sans-serif" w:cs="sans-serif"/>
                <w:color w:val="000000"/>
                <w:sz w:val="20"/>
                <w:szCs w:val="20"/>
              </w:rPr>
              <w:t xml:space="preserve">Total </w:t>
            </w:r>
            <w:r>
              <w:rPr>
                <w:rFonts w:ascii="sans-serif" w:eastAsia="sans-serif" w:hAnsi="sans-serif" w:cs="sans-serif"/>
                <w:color w:val="000000"/>
                <w:sz w:val="20"/>
                <w:szCs w:val="20"/>
              </w:rPr>
              <w:t>comprehensive income</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C207A40" w14:textId="77777777" w:rsidR="00834A75" w:rsidRDefault="00A6708C">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C207A41" w14:textId="77777777" w:rsidR="00834A75" w:rsidRDefault="00A6708C">
            <w:pPr>
              <w:jc w:val="right"/>
              <w:textAlignment w:val="bottom"/>
            </w:pPr>
            <w:r>
              <w:rPr>
                <w:rFonts w:ascii="sans-serif" w:eastAsia="sans-serif" w:hAnsi="sans-serif" w:cs="sans-serif"/>
                <w:color w:val="000000"/>
                <w:sz w:val="20"/>
                <w:szCs w:val="20"/>
              </w:rPr>
              <w:t>1,565 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C207A42" w14:textId="77777777" w:rsidR="00834A75" w:rsidRDefault="00834A75">
            <w:pPr>
              <w:jc w:val="right"/>
              <w:rPr>
                <w:rFonts w:ascii="宋体"/>
              </w:rPr>
            </w:pPr>
          </w:p>
        </w:tc>
        <w:tc>
          <w:tcPr>
            <w:tcW w:w="0" w:type="auto"/>
            <w:gridSpan w:val="3"/>
            <w:shd w:val="clear" w:color="auto" w:fill="FFFFFF"/>
            <w:tcMar>
              <w:top w:w="0" w:type="dxa"/>
              <w:left w:w="20" w:type="dxa"/>
              <w:bottom w:w="0" w:type="dxa"/>
              <w:right w:w="20" w:type="dxa"/>
            </w:tcMar>
            <w:vAlign w:val="bottom"/>
          </w:tcPr>
          <w:p w14:paraId="7C207A43" w14:textId="77777777" w:rsidR="00834A75" w:rsidRDefault="00834A75">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C207A44" w14:textId="77777777" w:rsidR="00834A75" w:rsidRDefault="00A6708C">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C207A45" w14:textId="77777777" w:rsidR="00834A75" w:rsidRDefault="00A6708C">
            <w:pPr>
              <w:jc w:val="right"/>
              <w:textAlignment w:val="bottom"/>
            </w:pPr>
            <w:r>
              <w:rPr>
                <w:rFonts w:ascii="sans-serif" w:eastAsia="sans-serif" w:hAnsi="sans-serif" w:cs="sans-serif"/>
                <w:color w:val="000000"/>
                <w:sz w:val="20"/>
                <w:szCs w:val="20"/>
              </w:rPr>
              <w:t>1,907 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C207A46" w14:textId="77777777" w:rsidR="00834A75" w:rsidRDefault="00834A75">
            <w:pPr>
              <w:jc w:val="right"/>
              <w:rPr>
                <w:rFonts w:ascii="宋体"/>
              </w:rPr>
            </w:pPr>
          </w:p>
        </w:tc>
        <w:tc>
          <w:tcPr>
            <w:tcW w:w="0" w:type="auto"/>
            <w:shd w:val="clear" w:color="auto" w:fill="auto"/>
            <w:vAlign w:val="bottom"/>
          </w:tcPr>
          <w:p w14:paraId="7C207A47" w14:textId="77777777" w:rsidR="00834A75" w:rsidRDefault="00834A75">
            <w:pPr>
              <w:rPr>
                <w:rFonts w:ascii="宋体"/>
                <w:vanish/>
              </w:rPr>
            </w:pPr>
          </w:p>
        </w:tc>
        <w:tc>
          <w:tcPr>
            <w:tcW w:w="0" w:type="auto"/>
            <w:shd w:val="clear" w:color="auto" w:fill="auto"/>
            <w:vAlign w:val="bottom"/>
          </w:tcPr>
          <w:p w14:paraId="7C207A48" w14:textId="77777777" w:rsidR="00834A75" w:rsidRDefault="00834A75">
            <w:pPr>
              <w:rPr>
                <w:rFonts w:ascii="宋体"/>
                <w:vanish/>
              </w:rPr>
            </w:pPr>
          </w:p>
        </w:tc>
        <w:tc>
          <w:tcPr>
            <w:tcW w:w="0" w:type="auto"/>
            <w:gridSpan w:val="3"/>
            <w:shd w:val="clear" w:color="auto" w:fill="auto"/>
            <w:vAlign w:val="bottom"/>
          </w:tcPr>
          <w:p w14:paraId="7C207A49" w14:textId="77777777" w:rsidR="00834A75" w:rsidRDefault="00834A75">
            <w:pPr>
              <w:rPr>
                <w:rFonts w:ascii="宋体"/>
                <w:vanish/>
              </w:rPr>
            </w:pPr>
          </w:p>
        </w:tc>
        <w:tc>
          <w:tcPr>
            <w:tcW w:w="0" w:type="auto"/>
            <w:gridSpan w:val="3"/>
            <w:shd w:val="clear" w:color="auto" w:fill="auto"/>
            <w:vAlign w:val="bottom"/>
          </w:tcPr>
          <w:p w14:paraId="7C207A4A" w14:textId="77777777" w:rsidR="00834A75" w:rsidRDefault="00834A75">
            <w:pPr>
              <w:rPr>
                <w:rFonts w:ascii="宋体"/>
                <w:vanish/>
              </w:rPr>
            </w:pPr>
          </w:p>
        </w:tc>
      </w:tr>
    </w:tbl>
    <w:p w14:paraId="7C207A4C" w14:textId="77777777" w:rsidR="00834A75" w:rsidRDefault="00A6708C">
      <w:pPr>
        <w:spacing w:after="180"/>
        <w:jc w:val="center"/>
      </w:pPr>
      <w:r>
        <w:rPr>
          <w:rFonts w:ascii="sans-serif" w:eastAsia="sans-serif" w:hAnsi="sans-serif" w:cs="sans-serif"/>
          <w:color w:val="000000"/>
          <w:sz w:val="20"/>
          <w:szCs w:val="20"/>
        </w:rPr>
        <w:t>See accompanying Notes to Condensed Consolidated Financial Statements.</w:t>
      </w:r>
    </w:p>
    <w:p w14:paraId="7C207A4D" w14:textId="77777777" w:rsidR="00834A75" w:rsidRDefault="00834A75">
      <w:pPr>
        <w:spacing w:after="180"/>
        <w:jc w:val="both"/>
      </w:pPr>
    </w:p>
    <w:p w14:paraId="7C207A4E" w14:textId="77777777" w:rsidR="00834A75" w:rsidRDefault="00A6708C">
      <w:pPr>
        <w:spacing w:after="180"/>
        <w:jc w:val="center"/>
      </w:pPr>
      <w:r>
        <w:rPr>
          <w:rFonts w:ascii="sans-serif" w:eastAsia="sans-serif" w:hAnsi="sans-serif" w:cs="sans-serif"/>
          <w:color w:val="000000"/>
          <w:sz w:val="20"/>
          <w:szCs w:val="20"/>
        </w:rPr>
        <w:t>4</w:t>
      </w:r>
    </w:p>
    <w:p w14:paraId="7C207A4F" w14:textId="77777777" w:rsidR="00834A75" w:rsidRDefault="00A6708C">
      <w:r>
        <w:pict w14:anchorId="7C209353">
          <v:rect id="_x0000_i1028" style="width:415.3pt;height:1.5pt" o:hralign="center" o:hrstd="t" o:hr="t" fillcolor="#a0a0a0" stroked="f"/>
        </w:pict>
      </w:r>
    </w:p>
    <w:p w14:paraId="7C207A50" w14:textId="77777777" w:rsidR="00834A75" w:rsidRDefault="00834A75">
      <w:pPr>
        <w:spacing w:after="180"/>
        <w:jc w:val="both"/>
      </w:pPr>
    </w:p>
    <w:p w14:paraId="7C207A51" w14:textId="77777777" w:rsidR="00834A75" w:rsidRDefault="00A6708C">
      <w:pPr>
        <w:jc w:val="center"/>
      </w:pPr>
      <w:r>
        <w:rPr>
          <w:rFonts w:ascii="sans-serif" w:eastAsia="sans-serif" w:hAnsi="sans-serif" w:cs="sans-serif"/>
          <w:b/>
          <w:bCs/>
          <w:color w:val="000000"/>
          <w:sz w:val="20"/>
          <w:szCs w:val="20"/>
        </w:rPr>
        <w:t>NVIDIA CORPORATION AND SUBSIDIARIES </w:t>
      </w:r>
    </w:p>
    <w:p w14:paraId="7C207A52" w14:textId="77777777" w:rsidR="00834A75" w:rsidRDefault="00A6708C">
      <w:pPr>
        <w:jc w:val="center"/>
      </w:pPr>
      <w:r>
        <w:rPr>
          <w:rFonts w:ascii="sans-serif" w:eastAsia="sans-serif" w:hAnsi="sans-serif" w:cs="sans-serif"/>
          <w:b/>
          <w:bCs/>
          <w:color w:val="000000"/>
          <w:sz w:val="20"/>
          <w:szCs w:val="20"/>
        </w:rPr>
        <w:t>CONDENSED CONSOLIDATED BALANCE SHEETS</w:t>
      </w:r>
    </w:p>
    <w:p w14:paraId="7C207A53" w14:textId="77777777" w:rsidR="00834A75" w:rsidRDefault="00A6708C">
      <w:pPr>
        <w:jc w:val="center"/>
      </w:pPr>
      <w:r>
        <w:rPr>
          <w:rFonts w:ascii="sans-serif" w:eastAsia="sans-serif" w:hAnsi="sans-serif" w:cs="sans-serif"/>
          <w:b/>
          <w:bCs/>
          <w:color w:val="000000"/>
          <w:sz w:val="20"/>
          <w:szCs w:val="20"/>
        </w:rPr>
        <w:t>(In millions)</w:t>
      </w:r>
    </w:p>
    <w:p w14:paraId="7C207A54" w14:textId="77777777" w:rsidR="00834A75" w:rsidRDefault="00A6708C">
      <w:pPr>
        <w:jc w:val="center"/>
      </w:pPr>
      <w:r>
        <w:rPr>
          <w:rFonts w:ascii="sans-serif" w:eastAsia="sans-serif" w:hAnsi="sans-serif" w:cs="sans-serif"/>
          <w:b/>
          <w:bCs/>
          <w:color w:val="000000"/>
          <w:sz w:val="20"/>
          <w:szCs w:val="20"/>
        </w:rPr>
        <w:t>(Unaudited)</w:t>
      </w:r>
    </w:p>
    <w:tbl>
      <w:tblPr>
        <w:tblW w:w="4978" w:type="pct"/>
        <w:jc w:val="center"/>
        <w:tblCellMar>
          <w:top w:w="15" w:type="dxa"/>
          <w:left w:w="15" w:type="dxa"/>
          <w:bottom w:w="15" w:type="dxa"/>
          <w:right w:w="15" w:type="dxa"/>
        </w:tblCellMar>
        <w:tblLook w:val="04A0" w:firstRow="1" w:lastRow="0" w:firstColumn="1" w:lastColumn="0" w:noHBand="0" w:noVBand="1"/>
      </w:tblPr>
      <w:tblGrid>
        <w:gridCol w:w="40"/>
        <w:gridCol w:w="6007"/>
        <w:gridCol w:w="39"/>
        <w:gridCol w:w="122"/>
        <w:gridCol w:w="924"/>
        <w:gridCol w:w="36"/>
        <w:gridCol w:w="36"/>
        <w:gridCol w:w="36"/>
        <w:gridCol w:w="36"/>
        <w:gridCol w:w="122"/>
        <w:gridCol w:w="865"/>
        <w:gridCol w:w="36"/>
      </w:tblGrid>
      <w:tr w:rsidR="00834A75" w14:paraId="7C207A61" w14:textId="77777777">
        <w:trPr>
          <w:jc w:val="center"/>
        </w:trPr>
        <w:tc>
          <w:tcPr>
            <w:tcW w:w="50" w:type="pct"/>
            <w:shd w:val="clear" w:color="auto" w:fill="auto"/>
            <w:vAlign w:val="bottom"/>
          </w:tcPr>
          <w:p w14:paraId="7C207A55" w14:textId="77777777" w:rsidR="00834A75" w:rsidRDefault="00834A75">
            <w:pPr>
              <w:rPr>
                <w:rFonts w:ascii="宋体"/>
              </w:rPr>
            </w:pPr>
          </w:p>
        </w:tc>
        <w:tc>
          <w:tcPr>
            <w:tcW w:w="3645" w:type="pct"/>
            <w:shd w:val="clear" w:color="auto" w:fill="auto"/>
            <w:vAlign w:val="bottom"/>
          </w:tcPr>
          <w:p w14:paraId="7C207A56" w14:textId="77777777" w:rsidR="00834A75" w:rsidRDefault="00834A75">
            <w:pPr>
              <w:rPr>
                <w:rFonts w:ascii="宋体"/>
              </w:rPr>
            </w:pPr>
          </w:p>
        </w:tc>
        <w:tc>
          <w:tcPr>
            <w:tcW w:w="5" w:type="pct"/>
            <w:shd w:val="clear" w:color="auto" w:fill="auto"/>
            <w:vAlign w:val="bottom"/>
          </w:tcPr>
          <w:p w14:paraId="7C207A57" w14:textId="77777777" w:rsidR="00834A75" w:rsidRDefault="00834A75">
            <w:pPr>
              <w:rPr>
                <w:rFonts w:ascii="宋体"/>
              </w:rPr>
            </w:pPr>
          </w:p>
        </w:tc>
        <w:tc>
          <w:tcPr>
            <w:tcW w:w="50" w:type="pct"/>
            <w:shd w:val="clear" w:color="auto" w:fill="auto"/>
            <w:vAlign w:val="bottom"/>
          </w:tcPr>
          <w:p w14:paraId="7C207A58" w14:textId="77777777" w:rsidR="00834A75" w:rsidRDefault="00834A75">
            <w:pPr>
              <w:rPr>
                <w:rFonts w:ascii="宋体"/>
              </w:rPr>
            </w:pPr>
          </w:p>
        </w:tc>
        <w:tc>
          <w:tcPr>
            <w:tcW w:w="583" w:type="pct"/>
            <w:shd w:val="clear" w:color="auto" w:fill="auto"/>
            <w:vAlign w:val="bottom"/>
          </w:tcPr>
          <w:p w14:paraId="7C207A59" w14:textId="77777777" w:rsidR="00834A75" w:rsidRDefault="00834A75">
            <w:pPr>
              <w:rPr>
                <w:rFonts w:ascii="宋体"/>
              </w:rPr>
            </w:pPr>
          </w:p>
        </w:tc>
        <w:tc>
          <w:tcPr>
            <w:tcW w:w="5" w:type="pct"/>
            <w:shd w:val="clear" w:color="auto" w:fill="auto"/>
            <w:vAlign w:val="bottom"/>
          </w:tcPr>
          <w:p w14:paraId="7C207A5A" w14:textId="77777777" w:rsidR="00834A75" w:rsidRDefault="00834A75">
            <w:pPr>
              <w:rPr>
                <w:rFonts w:ascii="宋体"/>
              </w:rPr>
            </w:pPr>
          </w:p>
        </w:tc>
        <w:tc>
          <w:tcPr>
            <w:tcW w:w="5" w:type="pct"/>
            <w:shd w:val="clear" w:color="auto" w:fill="auto"/>
            <w:vAlign w:val="bottom"/>
          </w:tcPr>
          <w:p w14:paraId="7C207A5B" w14:textId="77777777" w:rsidR="00834A75" w:rsidRDefault="00834A75">
            <w:pPr>
              <w:rPr>
                <w:rFonts w:ascii="宋体"/>
              </w:rPr>
            </w:pPr>
          </w:p>
        </w:tc>
        <w:tc>
          <w:tcPr>
            <w:tcW w:w="26" w:type="pct"/>
            <w:shd w:val="clear" w:color="auto" w:fill="auto"/>
            <w:vAlign w:val="bottom"/>
          </w:tcPr>
          <w:p w14:paraId="7C207A5C" w14:textId="77777777" w:rsidR="00834A75" w:rsidRDefault="00834A75">
            <w:pPr>
              <w:rPr>
                <w:rFonts w:ascii="宋体"/>
              </w:rPr>
            </w:pPr>
          </w:p>
        </w:tc>
        <w:tc>
          <w:tcPr>
            <w:tcW w:w="5" w:type="pct"/>
            <w:shd w:val="clear" w:color="auto" w:fill="auto"/>
            <w:vAlign w:val="bottom"/>
          </w:tcPr>
          <w:p w14:paraId="7C207A5D" w14:textId="77777777" w:rsidR="00834A75" w:rsidRDefault="00834A75">
            <w:pPr>
              <w:rPr>
                <w:rFonts w:ascii="宋体"/>
              </w:rPr>
            </w:pPr>
          </w:p>
        </w:tc>
        <w:tc>
          <w:tcPr>
            <w:tcW w:w="50" w:type="pct"/>
            <w:shd w:val="clear" w:color="auto" w:fill="auto"/>
            <w:vAlign w:val="bottom"/>
          </w:tcPr>
          <w:p w14:paraId="7C207A5E" w14:textId="77777777" w:rsidR="00834A75" w:rsidRDefault="00834A75">
            <w:pPr>
              <w:rPr>
                <w:rFonts w:ascii="宋体"/>
              </w:rPr>
            </w:pPr>
          </w:p>
        </w:tc>
        <w:tc>
          <w:tcPr>
            <w:tcW w:w="569" w:type="pct"/>
            <w:shd w:val="clear" w:color="auto" w:fill="auto"/>
            <w:vAlign w:val="bottom"/>
          </w:tcPr>
          <w:p w14:paraId="7C207A5F" w14:textId="77777777" w:rsidR="00834A75" w:rsidRDefault="00834A75">
            <w:pPr>
              <w:rPr>
                <w:rFonts w:ascii="宋体"/>
              </w:rPr>
            </w:pPr>
          </w:p>
        </w:tc>
        <w:tc>
          <w:tcPr>
            <w:tcW w:w="5" w:type="pct"/>
            <w:shd w:val="clear" w:color="auto" w:fill="auto"/>
            <w:vAlign w:val="bottom"/>
          </w:tcPr>
          <w:p w14:paraId="7C207A60" w14:textId="77777777" w:rsidR="00834A75" w:rsidRDefault="00834A75">
            <w:pPr>
              <w:rPr>
                <w:rFonts w:ascii="宋体"/>
              </w:rPr>
            </w:pPr>
          </w:p>
        </w:tc>
      </w:tr>
      <w:tr w:rsidR="00834A75" w14:paraId="7C207A66" w14:textId="77777777">
        <w:trPr>
          <w:jc w:val="center"/>
        </w:trPr>
        <w:tc>
          <w:tcPr>
            <w:tcW w:w="0" w:type="auto"/>
            <w:gridSpan w:val="3"/>
            <w:shd w:val="clear" w:color="auto" w:fill="auto"/>
            <w:tcMar>
              <w:top w:w="0" w:type="dxa"/>
              <w:left w:w="20" w:type="dxa"/>
              <w:bottom w:w="0" w:type="dxa"/>
              <w:right w:w="20" w:type="dxa"/>
            </w:tcMar>
            <w:vAlign w:val="bottom"/>
          </w:tcPr>
          <w:p w14:paraId="7C207A62" w14:textId="77777777" w:rsidR="00834A75" w:rsidRDefault="00834A75">
            <w:pPr>
              <w:rPr>
                <w:rFonts w:ascii="宋体"/>
              </w:rPr>
            </w:pPr>
          </w:p>
        </w:tc>
        <w:tc>
          <w:tcPr>
            <w:tcW w:w="0" w:type="auto"/>
            <w:gridSpan w:val="3"/>
            <w:shd w:val="clear" w:color="auto" w:fill="auto"/>
            <w:tcMar>
              <w:top w:w="40" w:type="dxa"/>
              <w:left w:w="20" w:type="dxa"/>
              <w:bottom w:w="40" w:type="dxa"/>
              <w:right w:w="20" w:type="dxa"/>
            </w:tcMar>
            <w:vAlign w:val="bottom"/>
          </w:tcPr>
          <w:p w14:paraId="7C207A63" w14:textId="77777777" w:rsidR="00834A75" w:rsidRDefault="00A6708C">
            <w:pPr>
              <w:jc w:val="center"/>
              <w:textAlignment w:val="bottom"/>
            </w:pPr>
            <w:r>
              <w:rPr>
                <w:rFonts w:ascii="sans-serif" w:eastAsia="sans-serif" w:hAnsi="sans-serif" w:cs="sans-serif"/>
                <w:b/>
                <w:bCs/>
                <w:color w:val="000000"/>
                <w:sz w:val="20"/>
                <w:szCs w:val="20"/>
              </w:rPr>
              <w:t>May 1,</w:t>
            </w:r>
          </w:p>
        </w:tc>
        <w:tc>
          <w:tcPr>
            <w:tcW w:w="0" w:type="auto"/>
            <w:gridSpan w:val="3"/>
            <w:shd w:val="clear" w:color="auto" w:fill="auto"/>
            <w:tcMar>
              <w:top w:w="0" w:type="dxa"/>
              <w:left w:w="20" w:type="dxa"/>
              <w:bottom w:w="0" w:type="dxa"/>
              <w:right w:w="20" w:type="dxa"/>
            </w:tcMar>
            <w:vAlign w:val="bottom"/>
          </w:tcPr>
          <w:p w14:paraId="7C207A64" w14:textId="77777777" w:rsidR="00834A75" w:rsidRDefault="00834A75">
            <w:pPr>
              <w:rPr>
                <w:rFonts w:ascii="宋体"/>
              </w:rPr>
            </w:pPr>
          </w:p>
        </w:tc>
        <w:tc>
          <w:tcPr>
            <w:tcW w:w="0" w:type="auto"/>
            <w:gridSpan w:val="3"/>
            <w:shd w:val="clear" w:color="auto" w:fill="auto"/>
            <w:tcMar>
              <w:top w:w="40" w:type="dxa"/>
              <w:left w:w="20" w:type="dxa"/>
              <w:bottom w:w="40" w:type="dxa"/>
              <w:right w:w="20" w:type="dxa"/>
            </w:tcMar>
            <w:vAlign w:val="bottom"/>
          </w:tcPr>
          <w:p w14:paraId="7C207A65" w14:textId="77777777" w:rsidR="00834A75" w:rsidRDefault="00A6708C">
            <w:pPr>
              <w:jc w:val="center"/>
              <w:textAlignment w:val="bottom"/>
            </w:pPr>
            <w:r>
              <w:rPr>
                <w:rFonts w:ascii="sans-serif" w:eastAsia="sans-serif" w:hAnsi="sans-serif" w:cs="sans-serif"/>
                <w:b/>
                <w:bCs/>
                <w:color w:val="000000"/>
                <w:sz w:val="20"/>
                <w:szCs w:val="20"/>
              </w:rPr>
              <w:t>January 30,</w:t>
            </w:r>
          </w:p>
        </w:tc>
      </w:tr>
      <w:tr w:rsidR="00834A75" w14:paraId="7C207A6B" w14:textId="77777777">
        <w:trPr>
          <w:jc w:val="center"/>
        </w:trPr>
        <w:tc>
          <w:tcPr>
            <w:tcW w:w="0" w:type="auto"/>
            <w:gridSpan w:val="3"/>
            <w:shd w:val="clear" w:color="auto" w:fill="auto"/>
            <w:tcMar>
              <w:top w:w="40" w:type="dxa"/>
              <w:left w:w="20" w:type="dxa"/>
              <w:bottom w:w="40" w:type="dxa"/>
              <w:right w:w="20" w:type="dxa"/>
            </w:tcMar>
            <w:vAlign w:val="bottom"/>
          </w:tcPr>
          <w:p w14:paraId="7C207A67" w14:textId="77777777" w:rsidR="00834A75" w:rsidRDefault="00A6708C">
            <w:pPr>
              <w:textAlignment w:val="bottom"/>
            </w:pPr>
            <w:r>
              <w:rPr>
                <w:rFonts w:ascii="sans-serif" w:eastAsia="sans-serif" w:hAnsi="sans-serif" w:cs="sans-serif"/>
                <w:color w:val="000000"/>
                <w:sz w:val="20"/>
                <w:szCs w:val="20"/>
              </w:rPr>
              <w:t> </w:t>
            </w:r>
          </w:p>
        </w:tc>
        <w:tc>
          <w:tcPr>
            <w:tcW w:w="0" w:type="auto"/>
            <w:gridSpan w:val="3"/>
            <w:shd w:val="clear" w:color="auto" w:fill="auto"/>
            <w:tcMar>
              <w:top w:w="40" w:type="dxa"/>
              <w:left w:w="20" w:type="dxa"/>
              <w:bottom w:w="40" w:type="dxa"/>
              <w:right w:w="20" w:type="dxa"/>
            </w:tcMar>
            <w:vAlign w:val="bottom"/>
          </w:tcPr>
          <w:p w14:paraId="7C207A68" w14:textId="77777777" w:rsidR="00834A75" w:rsidRDefault="00A6708C">
            <w:pPr>
              <w:jc w:val="center"/>
              <w:textAlignment w:val="bottom"/>
            </w:pPr>
            <w:r>
              <w:rPr>
                <w:rFonts w:ascii="sans-serif" w:eastAsia="sans-serif" w:hAnsi="sans-serif" w:cs="sans-serif"/>
                <w:b/>
                <w:bCs/>
                <w:color w:val="000000"/>
                <w:sz w:val="20"/>
                <w:szCs w:val="20"/>
              </w:rPr>
              <w:t>2022</w:t>
            </w:r>
          </w:p>
        </w:tc>
        <w:tc>
          <w:tcPr>
            <w:tcW w:w="0" w:type="auto"/>
            <w:gridSpan w:val="3"/>
            <w:shd w:val="clear" w:color="auto" w:fill="auto"/>
            <w:tcMar>
              <w:top w:w="0" w:type="dxa"/>
              <w:left w:w="20" w:type="dxa"/>
              <w:bottom w:w="0" w:type="dxa"/>
              <w:right w:w="20" w:type="dxa"/>
            </w:tcMar>
            <w:vAlign w:val="bottom"/>
          </w:tcPr>
          <w:p w14:paraId="7C207A69" w14:textId="77777777" w:rsidR="00834A75" w:rsidRDefault="00834A75">
            <w:pPr>
              <w:rPr>
                <w:rFonts w:ascii="宋体"/>
              </w:rPr>
            </w:pPr>
          </w:p>
        </w:tc>
        <w:tc>
          <w:tcPr>
            <w:tcW w:w="0" w:type="auto"/>
            <w:gridSpan w:val="3"/>
            <w:shd w:val="clear" w:color="auto" w:fill="auto"/>
            <w:tcMar>
              <w:top w:w="40" w:type="dxa"/>
              <w:left w:w="20" w:type="dxa"/>
              <w:bottom w:w="40" w:type="dxa"/>
              <w:right w:w="20" w:type="dxa"/>
            </w:tcMar>
            <w:vAlign w:val="bottom"/>
          </w:tcPr>
          <w:p w14:paraId="7C207A6A" w14:textId="77777777" w:rsidR="00834A75" w:rsidRDefault="00A6708C">
            <w:pPr>
              <w:jc w:val="center"/>
              <w:textAlignment w:val="bottom"/>
            </w:pPr>
            <w:r>
              <w:rPr>
                <w:rFonts w:ascii="sans-serif" w:eastAsia="sans-serif" w:hAnsi="sans-serif" w:cs="sans-serif"/>
                <w:b/>
                <w:bCs/>
                <w:color w:val="000000"/>
                <w:sz w:val="20"/>
                <w:szCs w:val="20"/>
              </w:rPr>
              <w:t>2022</w:t>
            </w:r>
          </w:p>
        </w:tc>
      </w:tr>
      <w:tr w:rsidR="00834A75" w14:paraId="7C207A70" w14:textId="77777777">
        <w:trPr>
          <w:jc w:val="center"/>
        </w:trPr>
        <w:tc>
          <w:tcPr>
            <w:tcW w:w="0" w:type="auto"/>
            <w:gridSpan w:val="3"/>
            <w:shd w:val="clear" w:color="auto" w:fill="E2EFD9"/>
            <w:tcMar>
              <w:top w:w="40" w:type="dxa"/>
              <w:left w:w="20" w:type="dxa"/>
              <w:bottom w:w="40" w:type="dxa"/>
              <w:right w:w="20" w:type="dxa"/>
            </w:tcMar>
            <w:vAlign w:val="bottom"/>
          </w:tcPr>
          <w:p w14:paraId="7C207A6C" w14:textId="77777777" w:rsidR="00834A75" w:rsidRDefault="00A6708C">
            <w:pPr>
              <w:textAlignment w:val="bottom"/>
            </w:pPr>
            <w:r>
              <w:rPr>
                <w:rFonts w:ascii="sans-serif" w:eastAsia="sans-serif" w:hAnsi="sans-serif" w:cs="sans-serif"/>
                <w:b/>
                <w:bCs/>
                <w:color w:val="000000"/>
                <w:sz w:val="20"/>
                <w:szCs w:val="20"/>
              </w:rPr>
              <w:t>ASSETS</w:t>
            </w:r>
          </w:p>
        </w:tc>
        <w:tc>
          <w:tcPr>
            <w:tcW w:w="0" w:type="auto"/>
            <w:gridSpan w:val="3"/>
            <w:tcBorders>
              <w:top w:val="single" w:sz="8" w:space="0" w:color="000000"/>
            </w:tcBorders>
            <w:shd w:val="clear" w:color="auto" w:fill="E2EFD9"/>
            <w:tcMar>
              <w:top w:w="0" w:type="dxa"/>
              <w:left w:w="20" w:type="dxa"/>
              <w:bottom w:w="0" w:type="dxa"/>
              <w:right w:w="20" w:type="dxa"/>
            </w:tcMar>
            <w:vAlign w:val="bottom"/>
          </w:tcPr>
          <w:p w14:paraId="7C207A6D" w14:textId="77777777" w:rsidR="00834A75" w:rsidRDefault="00834A75">
            <w:pPr>
              <w:rPr>
                <w:rFonts w:ascii="宋体"/>
              </w:rPr>
            </w:pPr>
          </w:p>
        </w:tc>
        <w:tc>
          <w:tcPr>
            <w:tcW w:w="0" w:type="auto"/>
            <w:gridSpan w:val="3"/>
            <w:shd w:val="clear" w:color="auto" w:fill="E2EFD9"/>
            <w:tcMar>
              <w:top w:w="0" w:type="dxa"/>
              <w:left w:w="20" w:type="dxa"/>
              <w:bottom w:w="0" w:type="dxa"/>
              <w:right w:w="20" w:type="dxa"/>
            </w:tcMar>
            <w:vAlign w:val="bottom"/>
          </w:tcPr>
          <w:p w14:paraId="7C207A6E" w14:textId="77777777" w:rsidR="00834A75" w:rsidRDefault="00834A75">
            <w:pPr>
              <w:rPr>
                <w:rFonts w:ascii="宋体"/>
              </w:rPr>
            </w:pPr>
          </w:p>
        </w:tc>
        <w:tc>
          <w:tcPr>
            <w:tcW w:w="0" w:type="auto"/>
            <w:gridSpan w:val="3"/>
            <w:tcBorders>
              <w:top w:val="single" w:sz="8" w:space="0" w:color="000000"/>
            </w:tcBorders>
            <w:shd w:val="clear" w:color="auto" w:fill="E2EFD9"/>
            <w:tcMar>
              <w:top w:w="0" w:type="dxa"/>
              <w:left w:w="20" w:type="dxa"/>
              <w:bottom w:w="0" w:type="dxa"/>
              <w:right w:w="20" w:type="dxa"/>
            </w:tcMar>
            <w:vAlign w:val="bottom"/>
          </w:tcPr>
          <w:p w14:paraId="7C207A6F" w14:textId="77777777" w:rsidR="00834A75" w:rsidRDefault="00834A75">
            <w:pPr>
              <w:rPr>
                <w:rFonts w:ascii="宋体"/>
              </w:rPr>
            </w:pPr>
          </w:p>
        </w:tc>
      </w:tr>
      <w:tr w:rsidR="00834A75" w14:paraId="7C207A75" w14:textId="77777777">
        <w:trPr>
          <w:jc w:val="center"/>
        </w:trPr>
        <w:tc>
          <w:tcPr>
            <w:tcW w:w="0" w:type="auto"/>
            <w:gridSpan w:val="3"/>
            <w:shd w:val="clear" w:color="auto" w:fill="FFFFFF"/>
            <w:tcMar>
              <w:top w:w="40" w:type="dxa"/>
              <w:left w:w="20" w:type="dxa"/>
              <w:bottom w:w="40" w:type="dxa"/>
              <w:right w:w="20" w:type="dxa"/>
            </w:tcMar>
            <w:vAlign w:val="bottom"/>
          </w:tcPr>
          <w:p w14:paraId="7C207A71" w14:textId="77777777" w:rsidR="00834A75" w:rsidRDefault="00A6708C">
            <w:pPr>
              <w:textAlignment w:val="bottom"/>
            </w:pPr>
            <w:r>
              <w:rPr>
                <w:rFonts w:ascii="sans-serif" w:eastAsia="sans-serif" w:hAnsi="sans-serif" w:cs="sans-serif"/>
                <w:color w:val="000000"/>
                <w:sz w:val="20"/>
                <w:szCs w:val="20"/>
              </w:rPr>
              <w:t>Current assets:</w:t>
            </w:r>
          </w:p>
        </w:tc>
        <w:tc>
          <w:tcPr>
            <w:tcW w:w="0" w:type="auto"/>
            <w:gridSpan w:val="3"/>
            <w:shd w:val="clear" w:color="auto" w:fill="FFFFFF"/>
            <w:tcMar>
              <w:top w:w="40" w:type="dxa"/>
              <w:left w:w="20" w:type="dxa"/>
              <w:bottom w:w="40" w:type="dxa"/>
              <w:right w:w="20" w:type="dxa"/>
            </w:tcMar>
            <w:vAlign w:val="bottom"/>
          </w:tcPr>
          <w:p w14:paraId="7C207A72" w14:textId="77777777" w:rsidR="00834A75" w:rsidRDefault="00A6708C">
            <w:pPr>
              <w:textAlignment w:val="bottom"/>
            </w:pPr>
            <w:r>
              <w:rPr>
                <w:rFonts w:ascii="sans-serif" w:eastAsia="sans-serif" w:hAnsi="sans-serif" w:cs="sans-serif"/>
                <w:color w:val="000000"/>
                <w:sz w:val="20"/>
                <w:szCs w:val="20"/>
              </w:rPr>
              <w:t> </w:t>
            </w:r>
          </w:p>
        </w:tc>
        <w:tc>
          <w:tcPr>
            <w:tcW w:w="0" w:type="auto"/>
            <w:gridSpan w:val="3"/>
            <w:shd w:val="clear" w:color="auto" w:fill="FFFFFF"/>
            <w:tcMar>
              <w:top w:w="0" w:type="dxa"/>
              <w:left w:w="20" w:type="dxa"/>
              <w:bottom w:w="0" w:type="dxa"/>
              <w:right w:w="20" w:type="dxa"/>
            </w:tcMar>
            <w:vAlign w:val="bottom"/>
          </w:tcPr>
          <w:p w14:paraId="7C207A73" w14:textId="77777777" w:rsidR="00834A75" w:rsidRDefault="00834A75">
            <w:pPr>
              <w:rPr>
                <w:rFonts w:ascii="宋体"/>
              </w:rPr>
            </w:pPr>
          </w:p>
        </w:tc>
        <w:tc>
          <w:tcPr>
            <w:tcW w:w="0" w:type="auto"/>
            <w:gridSpan w:val="3"/>
            <w:shd w:val="clear" w:color="auto" w:fill="FFFFFF"/>
            <w:tcMar>
              <w:top w:w="40" w:type="dxa"/>
              <w:left w:w="20" w:type="dxa"/>
              <w:bottom w:w="40" w:type="dxa"/>
              <w:right w:w="20" w:type="dxa"/>
            </w:tcMar>
            <w:vAlign w:val="bottom"/>
          </w:tcPr>
          <w:p w14:paraId="7C207A74" w14:textId="77777777" w:rsidR="00834A75" w:rsidRDefault="00A6708C">
            <w:pPr>
              <w:textAlignment w:val="bottom"/>
            </w:pPr>
            <w:r>
              <w:rPr>
                <w:rFonts w:ascii="sans-serif" w:eastAsia="sans-serif" w:hAnsi="sans-serif" w:cs="sans-serif"/>
                <w:color w:val="000000"/>
                <w:sz w:val="20"/>
                <w:szCs w:val="20"/>
              </w:rPr>
              <w:t> </w:t>
            </w:r>
          </w:p>
        </w:tc>
      </w:tr>
      <w:tr w:rsidR="00834A75" w14:paraId="7C207A7E" w14:textId="77777777">
        <w:trPr>
          <w:jc w:val="center"/>
        </w:trPr>
        <w:tc>
          <w:tcPr>
            <w:tcW w:w="0" w:type="auto"/>
            <w:gridSpan w:val="3"/>
            <w:shd w:val="clear" w:color="auto" w:fill="E2EFD9"/>
            <w:tcMar>
              <w:top w:w="40" w:type="dxa"/>
              <w:left w:w="245" w:type="dxa"/>
              <w:bottom w:w="40" w:type="dxa"/>
              <w:right w:w="20" w:type="dxa"/>
            </w:tcMar>
            <w:vAlign w:val="bottom"/>
          </w:tcPr>
          <w:p w14:paraId="7C207A76" w14:textId="77777777" w:rsidR="00834A75" w:rsidRDefault="00A6708C">
            <w:pPr>
              <w:textAlignment w:val="bottom"/>
            </w:pPr>
            <w:r>
              <w:rPr>
                <w:rFonts w:ascii="sans-serif" w:eastAsia="sans-serif" w:hAnsi="sans-serif" w:cs="sans-serif"/>
                <w:color w:val="000000"/>
                <w:sz w:val="20"/>
                <w:szCs w:val="20"/>
              </w:rPr>
              <w:t>Cash and cash equivalents</w:t>
            </w:r>
          </w:p>
        </w:tc>
        <w:tc>
          <w:tcPr>
            <w:tcW w:w="0" w:type="auto"/>
            <w:shd w:val="clear" w:color="auto" w:fill="E2EFD9"/>
            <w:tcMar>
              <w:top w:w="40" w:type="dxa"/>
              <w:left w:w="20" w:type="dxa"/>
              <w:bottom w:w="40" w:type="dxa"/>
              <w:right w:w="0" w:type="dxa"/>
            </w:tcMar>
            <w:vAlign w:val="bottom"/>
          </w:tcPr>
          <w:p w14:paraId="7C207A77" w14:textId="77777777" w:rsidR="00834A75" w:rsidRDefault="00A6708C">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7C207A78" w14:textId="77777777" w:rsidR="00834A75" w:rsidRDefault="00A6708C">
            <w:pPr>
              <w:jc w:val="right"/>
              <w:textAlignment w:val="bottom"/>
            </w:pPr>
            <w:r>
              <w:rPr>
                <w:rFonts w:ascii="sans-serif" w:eastAsia="sans-serif" w:hAnsi="sans-serif" w:cs="sans-serif"/>
                <w:color w:val="000000"/>
                <w:sz w:val="20"/>
                <w:szCs w:val="20"/>
              </w:rPr>
              <w:t>3,887 </w:t>
            </w:r>
          </w:p>
        </w:tc>
        <w:tc>
          <w:tcPr>
            <w:tcW w:w="0" w:type="auto"/>
            <w:shd w:val="clear" w:color="auto" w:fill="E2EFD9"/>
            <w:tcMar>
              <w:top w:w="40" w:type="dxa"/>
              <w:left w:w="0" w:type="dxa"/>
              <w:bottom w:w="40" w:type="dxa"/>
              <w:right w:w="20" w:type="dxa"/>
            </w:tcMar>
            <w:vAlign w:val="bottom"/>
          </w:tcPr>
          <w:p w14:paraId="7C207A79" w14:textId="77777777" w:rsidR="00834A75" w:rsidRDefault="00834A75">
            <w:pPr>
              <w:jc w:val="right"/>
              <w:rPr>
                <w:rFonts w:ascii="宋体"/>
              </w:rPr>
            </w:pPr>
          </w:p>
        </w:tc>
        <w:tc>
          <w:tcPr>
            <w:tcW w:w="0" w:type="auto"/>
            <w:gridSpan w:val="3"/>
            <w:shd w:val="clear" w:color="auto" w:fill="E2EFD9"/>
            <w:tcMar>
              <w:top w:w="0" w:type="dxa"/>
              <w:left w:w="20" w:type="dxa"/>
              <w:bottom w:w="0" w:type="dxa"/>
              <w:right w:w="20" w:type="dxa"/>
            </w:tcMar>
            <w:vAlign w:val="bottom"/>
          </w:tcPr>
          <w:p w14:paraId="7C207A7A" w14:textId="77777777" w:rsidR="00834A75" w:rsidRDefault="00834A75">
            <w:pPr>
              <w:rPr>
                <w:rFonts w:ascii="宋体"/>
              </w:rPr>
            </w:pPr>
          </w:p>
        </w:tc>
        <w:tc>
          <w:tcPr>
            <w:tcW w:w="0" w:type="auto"/>
            <w:shd w:val="clear" w:color="auto" w:fill="E2EFD9"/>
            <w:tcMar>
              <w:top w:w="40" w:type="dxa"/>
              <w:left w:w="20" w:type="dxa"/>
              <w:bottom w:w="40" w:type="dxa"/>
              <w:right w:w="0" w:type="dxa"/>
            </w:tcMar>
            <w:vAlign w:val="bottom"/>
          </w:tcPr>
          <w:p w14:paraId="7C207A7B" w14:textId="77777777" w:rsidR="00834A75" w:rsidRDefault="00A6708C">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7C207A7C" w14:textId="77777777" w:rsidR="00834A75" w:rsidRDefault="00A6708C">
            <w:pPr>
              <w:jc w:val="right"/>
              <w:textAlignment w:val="bottom"/>
            </w:pPr>
            <w:r>
              <w:rPr>
                <w:rFonts w:ascii="sans-serif" w:eastAsia="sans-serif" w:hAnsi="sans-serif" w:cs="sans-serif"/>
                <w:color w:val="000000"/>
                <w:sz w:val="20"/>
                <w:szCs w:val="20"/>
              </w:rPr>
              <w:t>1,990 </w:t>
            </w:r>
          </w:p>
        </w:tc>
        <w:tc>
          <w:tcPr>
            <w:tcW w:w="0" w:type="auto"/>
            <w:shd w:val="clear" w:color="auto" w:fill="E2EFD9"/>
            <w:tcMar>
              <w:top w:w="40" w:type="dxa"/>
              <w:left w:w="0" w:type="dxa"/>
              <w:bottom w:w="40" w:type="dxa"/>
              <w:right w:w="20" w:type="dxa"/>
            </w:tcMar>
            <w:vAlign w:val="bottom"/>
          </w:tcPr>
          <w:p w14:paraId="7C207A7D" w14:textId="77777777" w:rsidR="00834A75" w:rsidRDefault="00834A75">
            <w:pPr>
              <w:jc w:val="right"/>
              <w:rPr>
                <w:rFonts w:ascii="宋体"/>
              </w:rPr>
            </w:pPr>
          </w:p>
        </w:tc>
      </w:tr>
      <w:tr w:rsidR="00834A75" w14:paraId="7C207A85" w14:textId="77777777">
        <w:trPr>
          <w:jc w:val="center"/>
        </w:trPr>
        <w:tc>
          <w:tcPr>
            <w:tcW w:w="0" w:type="auto"/>
            <w:gridSpan w:val="3"/>
            <w:shd w:val="clear" w:color="auto" w:fill="FFFFFF"/>
            <w:tcMar>
              <w:top w:w="40" w:type="dxa"/>
              <w:left w:w="245" w:type="dxa"/>
              <w:bottom w:w="40" w:type="dxa"/>
              <w:right w:w="20" w:type="dxa"/>
            </w:tcMar>
            <w:vAlign w:val="bottom"/>
          </w:tcPr>
          <w:p w14:paraId="7C207A7F" w14:textId="77777777" w:rsidR="00834A75" w:rsidRDefault="00A6708C">
            <w:pPr>
              <w:textAlignment w:val="bottom"/>
            </w:pPr>
            <w:r>
              <w:rPr>
                <w:rFonts w:ascii="sans-serif" w:eastAsia="sans-serif" w:hAnsi="sans-serif" w:cs="sans-serif"/>
                <w:color w:val="000000"/>
                <w:sz w:val="20"/>
                <w:szCs w:val="20"/>
              </w:rPr>
              <w:t>Marketable securities</w:t>
            </w:r>
          </w:p>
        </w:tc>
        <w:tc>
          <w:tcPr>
            <w:tcW w:w="0" w:type="auto"/>
            <w:gridSpan w:val="2"/>
            <w:shd w:val="clear" w:color="auto" w:fill="FFFFFF"/>
            <w:tcMar>
              <w:top w:w="40" w:type="dxa"/>
              <w:left w:w="20" w:type="dxa"/>
              <w:bottom w:w="40" w:type="dxa"/>
              <w:right w:w="0" w:type="dxa"/>
            </w:tcMar>
            <w:vAlign w:val="bottom"/>
          </w:tcPr>
          <w:p w14:paraId="7C207A80" w14:textId="77777777" w:rsidR="00834A75" w:rsidRDefault="00A6708C">
            <w:pPr>
              <w:jc w:val="right"/>
              <w:textAlignment w:val="bottom"/>
            </w:pPr>
            <w:r>
              <w:rPr>
                <w:rFonts w:ascii="sans-serif" w:eastAsia="sans-serif" w:hAnsi="sans-serif" w:cs="sans-serif"/>
                <w:color w:val="000000"/>
                <w:sz w:val="20"/>
                <w:szCs w:val="20"/>
              </w:rPr>
              <w:t>16,451 </w:t>
            </w:r>
          </w:p>
        </w:tc>
        <w:tc>
          <w:tcPr>
            <w:tcW w:w="0" w:type="auto"/>
            <w:shd w:val="clear" w:color="auto" w:fill="FFFFFF"/>
            <w:tcMar>
              <w:top w:w="40" w:type="dxa"/>
              <w:left w:w="0" w:type="dxa"/>
              <w:bottom w:w="40" w:type="dxa"/>
              <w:right w:w="20" w:type="dxa"/>
            </w:tcMar>
            <w:vAlign w:val="bottom"/>
          </w:tcPr>
          <w:p w14:paraId="7C207A81" w14:textId="77777777" w:rsidR="00834A75" w:rsidRDefault="00834A75">
            <w:pPr>
              <w:jc w:val="right"/>
              <w:rPr>
                <w:rFonts w:ascii="宋体"/>
              </w:rPr>
            </w:pPr>
          </w:p>
        </w:tc>
        <w:tc>
          <w:tcPr>
            <w:tcW w:w="0" w:type="auto"/>
            <w:gridSpan w:val="3"/>
            <w:shd w:val="clear" w:color="auto" w:fill="FFFFFF"/>
            <w:tcMar>
              <w:top w:w="0" w:type="dxa"/>
              <w:left w:w="20" w:type="dxa"/>
              <w:bottom w:w="0" w:type="dxa"/>
              <w:right w:w="20" w:type="dxa"/>
            </w:tcMar>
            <w:vAlign w:val="bottom"/>
          </w:tcPr>
          <w:p w14:paraId="7C207A82" w14:textId="77777777" w:rsidR="00834A75" w:rsidRDefault="00834A75">
            <w:pPr>
              <w:rPr>
                <w:rFonts w:ascii="宋体"/>
              </w:rPr>
            </w:pPr>
          </w:p>
        </w:tc>
        <w:tc>
          <w:tcPr>
            <w:tcW w:w="0" w:type="auto"/>
            <w:gridSpan w:val="2"/>
            <w:shd w:val="clear" w:color="auto" w:fill="FFFFFF"/>
            <w:tcMar>
              <w:top w:w="40" w:type="dxa"/>
              <w:left w:w="20" w:type="dxa"/>
              <w:bottom w:w="40" w:type="dxa"/>
              <w:right w:w="0" w:type="dxa"/>
            </w:tcMar>
            <w:vAlign w:val="bottom"/>
          </w:tcPr>
          <w:p w14:paraId="7C207A83" w14:textId="77777777" w:rsidR="00834A75" w:rsidRDefault="00A6708C">
            <w:pPr>
              <w:jc w:val="right"/>
              <w:textAlignment w:val="bottom"/>
            </w:pPr>
            <w:r>
              <w:rPr>
                <w:rFonts w:ascii="sans-serif" w:eastAsia="sans-serif" w:hAnsi="sans-serif" w:cs="sans-serif"/>
                <w:color w:val="000000"/>
                <w:sz w:val="20"/>
                <w:szCs w:val="20"/>
              </w:rPr>
              <w:t>19,218 </w:t>
            </w:r>
          </w:p>
        </w:tc>
        <w:tc>
          <w:tcPr>
            <w:tcW w:w="0" w:type="auto"/>
            <w:shd w:val="clear" w:color="auto" w:fill="FFFFFF"/>
            <w:tcMar>
              <w:top w:w="40" w:type="dxa"/>
              <w:left w:w="0" w:type="dxa"/>
              <w:bottom w:w="40" w:type="dxa"/>
              <w:right w:w="20" w:type="dxa"/>
            </w:tcMar>
            <w:vAlign w:val="bottom"/>
          </w:tcPr>
          <w:p w14:paraId="7C207A84" w14:textId="77777777" w:rsidR="00834A75" w:rsidRDefault="00834A75">
            <w:pPr>
              <w:jc w:val="right"/>
              <w:rPr>
                <w:rFonts w:ascii="宋体"/>
              </w:rPr>
            </w:pPr>
          </w:p>
        </w:tc>
      </w:tr>
      <w:tr w:rsidR="00834A75" w14:paraId="7C207A8C" w14:textId="77777777">
        <w:trPr>
          <w:jc w:val="center"/>
        </w:trPr>
        <w:tc>
          <w:tcPr>
            <w:tcW w:w="0" w:type="auto"/>
            <w:gridSpan w:val="3"/>
            <w:shd w:val="clear" w:color="auto" w:fill="E2EFD9"/>
            <w:tcMar>
              <w:top w:w="40" w:type="dxa"/>
              <w:left w:w="245" w:type="dxa"/>
              <w:bottom w:w="40" w:type="dxa"/>
              <w:right w:w="20" w:type="dxa"/>
            </w:tcMar>
            <w:vAlign w:val="bottom"/>
          </w:tcPr>
          <w:p w14:paraId="7C207A86" w14:textId="77777777" w:rsidR="00834A75" w:rsidRDefault="00A6708C">
            <w:pPr>
              <w:textAlignment w:val="bottom"/>
            </w:pPr>
            <w:r>
              <w:rPr>
                <w:rFonts w:ascii="sans-serif" w:eastAsia="sans-serif" w:hAnsi="sans-serif" w:cs="sans-serif"/>
                <w:color w:val="000000"/>
                <w:sz w:val="20"/>
                <w:szCs w:val="20"/>
              </w:rPr>
              <w:t>Accounts receivable, net</w:t>
            </w:r>
          </w:p>
        </w:tc>
        <w:tc>
          <w:tcPr>
            <w:tcW w:w="0" w:type="auto"/>
            <w:gridSpan w:val="2"/>
            <w:shd w:val="clear" w:color="auto" w:fill="E2EFD9"/>
            <w:tcMar>
              <w:top w:w="40" w:type="dxa"/>
              <w:left w:w="20" w:type="dxa"/>
              <w:bottom w:w="40" w:type="dxa"/>
              <w:right w:w="0" w:type="dxa"/>
            </w:tcMar>
            <w:vAlign w:val="bottom"/>
          </w:tcPr>
          <w:p w14:paraId="7C207A87" w14:textId="77777777" w:rsidR="00834A75" w:rsidRDefault="00A6708C">
            <w:pPr>
              <w:jc w:val="right"/>
              <w:textAlignment w:val="bottom"/>
            </w:pPr>
            <w:r>
              <w:rPr>
                <w:rFonts w:ascii="sans-serif" w:eastAsia="sans-serif" w:hAnsi="sans-serif" w:cs="sans-serif"/>
                <w:color w:val="000000"/>
                <w:sz w:val="20"/>
                <w:szCs w:val="20"/>
              </w:rPr>
              <w:t>5,438 </w:t>
            </w:r>
          </w:p>
        </w:tc>
        <w:tc>
          <w:tcPr>
            <w:tcW w:w="0" w:type="auto"/>
            <w:shd w:val="clear" w:color="auto" w:fill="E2EFD9"/>
            <w:tcMar>
              <w:top w:w="40" w:type="dxa"/>
              <w:left w:w="0" w:type="dxa"/>
              <w:bottom w:w="40" w:type="dxa"/>
              <w:right w:w="20" w:type="dxa"/>
            </w:tcMar>
            <w:vAlign w:val="bottom"/>
          </w:tcPr>
          <w:p w14:paraId="7C207A88" w14:textId="77777777" w:rsidR="00834A75" w:rsidRDefault="00834A75">
            <w:pPr>
              <w:jc w:val="right"/>
              <w:rPr>
                <w:rFonts w:ascii="宋体"/>
              </w:rPr>
            </w:pPr>
          </w:p>
        </w:tc>
        <w:tc>
          <w:tcPr>
            <w:tcW w:w="0" w:type="auto"/>
            <w:gridSpan w:val="3"/>
            <w:shd w:val="clear" w:color="auto" w:fill="E2EFD9"/>
            <w:tcMar>
              <w:top w:w="0" w:type="dxa"/>
              <w:left w:w="20" w:type="dxa"/>
              <w:bottom w:w="0" w:type="dxa"/>
              <w:right w:w="20" w:type="dxa"/>
            </w:tcMar>
            <w:vAlign w:val="bottom"/>
          </w:tcPr>
          <w:p w14:paraId="7C207A89" w14:textId="77777777" w:rsidR="00834A75" w:rsidRDefault="00834A75">
            <w:pPr>
              <w:rPr>
                <w:rFonts w:ascii="宋体"/>
              </w:rPr>
            </w:pPr>
          </w:p>
        </w:tc>
        <w:tc>
          <w:tcPr>
            <w:tcW w:w="0" w:type="auto"/>
            <w:gridSpan w:val="2"/>
            <w:shd w:val="clear" w:color="auto" w:fill="E2EFD9"/>
            <w:tcMar>
              <w:top w:w="40" w:type="dxa"/>
              <w:left w:w="20" w:type="dxa"/>
              <w:bottom w:w="40" w:type="dxa"/>
              <w:right w:w="0" w:type="dxa"/>
            </w:tcMar>
            <w:vAlign w:val="bottom"/>
          </w:tcPr>
          <w:p w14:paraId="7C207A8A" w14:textId="77777777" w:rsidR="00834A75" w:rsidRDefault="00A6708C">
            <w:pPr>
              <w:jc w:val="right"/>
              <w:textAlignment w:val="bottom"/>
            </w:pPr>
            <w:r>
              <w:rPr>
                <w:rFonts w:ascii="sans-serif" w:eastAsia="sans-serif" w:hAnsi="sans-serif" w:cs="sans-serif"/>
                <w:color w:val="000000"/>
                <w:sz w:val="20"/>
                <w:szCs w:val="20"/>
              </w:rPr>
              <w:t>4,650 </w:t>
            </w:r>
          </w:p>
        </w:tc>
        <w:tc>
          <w:tcPr>
            <w:tcW w:w="0" w:type="auto"/>
            <w:shd w:val="clear" w:color="auto" w:fill="E2EFD9"/>
            <w:tcMar>
              <w:top w:w="40" w:type="dxa"/>
              <w:left w:w="0" w:type="dxa"/>
              <w:bottom w:w="40" w:type="dxa"/>
              <w:right w:w="20" w:type="dxa"/>
            </w:tcMar>
            <w:vAlign w:val="bottom"/>
          </w:tcPr>
          <w:p w14:paraId="7C207A8B" w14:textId="77777777" w:rsidR="00834A75" w:rsidRDefault="00834A75">
            <w:pPr>
              <w:jc w:val="right"/>
              <w:rPr>
                <w:rFonts w:ascii="宋体"/>
              </w:rPr>
            </w:pPr>
          </w:p>
        </w:tc>
      </w:tr>
      <w:tr w:rsidR="00834A75" w14:paraId="7C207A93" w14:textId="77777777">
        <w:trPr>
          <w:jc w:val="center"/>
        </w:trPr>
        <w:tc>
          <w:tcPr>
            <w:tcW w:w="0" w:type="auto"/>
            <w:gridSpan w:val="3"/>
            <w:shd w:val="clear" w:color="auto" w:fill="FFFFFF"/>
            <w:tcMar>
              <w:top w:w="40" w:type="dxa"/>
              <w:left w:w="245" w:type="dxa"/>
              <w:bottom w:w="40" w:type="dxa"/>
              <w:right w:w="20" w:type="dxa"/>
            </w:tcMar>
            <w:vAlign w:val="bottom"/>
          </w:tcPr>
          <w:p w14:paraId="7C207A8D" w14:textId="77777777" w:rsidR="00834A75" w:rsidRDefault="00A6708C">
            <w:pPr>
              <w:textAlignment w:val="bottom"/>
            </w:pPr>
            <w:r>
              <w:rPr>
                <w:rFonts w:ascii="sans-serif" w:eastAsia="sans-serif" w:hAnsi="sans-serif" w:cs="sans-serif"/>
                <w:color w:val="000000"/>
                <w:sz w:val="20"/>
                <w:szCs w:val="20"/>
              </w:rPr>
              <w:t>Inventories</w:t>
            </w:r>
          </w:p>
        </w:tc>
        <w:tc>
          <w:tcPr>
            <w:tcW w:w="0" w:type="auto"/>
            <w:gridSpan w:val="2"/>
            <w:shd w:val="clear" w:color="auto" w:fill="FFFFFF"/>
            <w:tcMar>
              <w:top w:w="40" w:type="dxa"/>
              <w:left w:w="20" w:type="dxa"/>
              <w:bottom w:w="40" w:type="dxa"/>
              <w:right w:w="0" w:type="dxa"/>
            </w:tcMar>
            <w:vAlign w:val="bottom"/>
          </w:tcPr>
          <w:p w14:paraId="7C207A8E" w14:textId="77777777" w:rsidR="00834A75" w:rsidRDefault="00A6708C">
            <w:pPr>
              <w:jc w:val="right"/>
              <w:textAlignment w:val="bottom"/>
            </w:pPr>
            <w:r>
              <w:rPr>
                <w:rFonts w:ascii="sans-serif" w:eastAsia="sans-serif" w:hAnsi="sans-serif" w:cs="sans-serif"/>
                <w:color w:val="000000"/>
                <w:sz w:val="20"/>
                <w:szCs w:val="20"/>
              </w:rPr>
              <w:t>3,163 </w:t>
            </w:r>
          </w:p>
        </w:tc>
        <w:tc>
          <w:tcPr>
            <w:tcW w:w="0" w:type="auto"/>
            <w:shd w:val="clear" w:color="auto" w:fill="FFFFFF"/>
            <w:tcMar>
              <w:top w:w="40" w:type="dxa"/>
              <w:left w:w="0" w:type="dxa"/>
              <w:bottom w:w="40" w:type="dxa"/>
              <w:right w:w="20" w:type="dxa"/>
            </w:tcMar>
            <w:vAlign w:val="bottom"/>
          </w:tcPr>
          <w:p w14:paraId="7C207A8F" w14:textId="77777777" w:rsidR="00834A75" w:rsidRDefault="00834A75">
            <w:pPr>
              <w:jc w:val="right"/>
              <w:rPr>
                <w:rFonts w:ascii="宋体"/>
              </w:rPr>
            </w:pPr>
          </w:p>
        </w:tc>
        <w:tc>
          <w:tcPr>
            <w:tcW w:w="0" w:type="auto"/>
            <w:gridSpan w:val="3"/>
            <w:shd w:val="clear" w:color="auto" w:fill="FFFFFF"/>
            <w:tcMar>
              <w:top w:w="0" w:type="dxa"/>
              <w:left w:w="20" w:type="dxa"/>
              <w:bottom w:w="0" w:type="dxa"/>
              <w:right w:w="20" w:type="dxa"/>
            </w:tcMar>
            <w:vAlign w:val="bottom"/>
          </w:tcPr>
          <w:p w14:paraId="7C207A90" w14:textId="77777777" w:rsidR="00834A75" w:rsidRDefault="00834A75">
            <w:pPr>
              <w:rPr>
                <w:rFonts w:ascii="宋体"/>
              </w:rPr>
            </w:pPr>
          </w:p>
        </w:tc>
        <w:tc>
          <w:tcPr>
            <w:tcW w:w="0" w:type="auto"/>
            <w:gridSpan w:val="2"/>
            <w:shd w:val="clear" w:color="auto" w:fill="FFFFFF"/>
            <w:tcMar>
              <w:top w:w="40" w:type="dxa"/>
              <w:left w:w="20" w:type="dxa"/>
              <w:bottom w:w="40" w:type="dxa"/>
              <w:right w:w="0" w:type="dxa"/>
            </w:tcMar>
            <w:vAlign w:val="bottom"/>
          </w:tcPr>
          <w:p w14:paraId="7C207A91" w14:textId="77777777" w:rsidR="00834A75" w:rsidRDefault="00A6708C">
            <w:pPr>
              <w:jc w:val="right"/>
              <w:textAlignment w:val="bottom"/>
            </w:pPr>
            <w:r>
              <w:rPr>
                <w:rFonts w:ascii="sans-serif" w:eastAsia="sans-serif" w:hAnsi="sans-serif" w:cs="sans-serif"/>
                <w:color w:val="000000"/>
                <w:sz w:val="20"/>
                <w:szCs w:val="20"/>
              </w:rPr>
              <w:t>2,605 </w:t>
            </w:r>
          </w:p>
        </w:tc>
        <w:tc>
          <w:tcPr>
            <w:tcW w:w="0" w:type="auto"/>
            <w:shd w:val="clear" w:color="auto" w:fill="FFFFFF"/>
            <w:tcMar>
              <w:top w:w="40" w:type="dxa"/>
              <w:left w:w="0" w:type="dxa"/>
              <w:bottom w:w="40" w:type="dxa"/>
              <w:right w:w="20" w:type="dxa"/>
            </w:tcMar>
            <w:vAlign w:val="bottom"/>
          </w:tcPr>
          <w:p w14:paraId="7C207A92" w14:textId="77777777" w:rsidR="00834A75" w:rsidRDefault="00834A75">
            <w:pPr>
              <w:jc w:val="right"/>
              <w:rPr>
                <w:rFonts w:ascii="宋体"/>
              </w:rPr>
            </w:pPr>
          </w:p>
        </w:tc>
      </w:tr>
      <w:tr w:rsidR="00834A75" w14:paraId="7C207A9A" w14:textId="77777777">
        <w:trPr>
          <w:jc w:val="center"/>
        </w:trPr>
        <w:tc>
          <w:tcPr>
            <w:tcW w:w="0" w:type="auto"/>
            <w:gridSpan w:val="3"/>
            <w:shd w:val="clear" w:color="auto" w:fill="E2EFD9"/>
            <w:tcMar>
              <w:top w:w="40" w:type="dxa"/>
              <w:left w:w="245" w:type="dxa"/>
              <w:bottom w:w="40" w:type="dxa"/>
              <w:right w:w="20" w:type="dxa"/>
            </w:tcMar>
            <w:vAlign w:val="bottom"/>
          </w:tcPr>
          <w:p w14:paraId="7C207A94" w14:textId="77777777" w:rsidR="00834A75" w:rsidRDefault="00A6708C">
            <w:pPr>
              <w:textAlignment w:val="bottom"/>
            </w:pPr>
            <w:r>
              <w:rPr>
                <w:rFonts w:ascii="sans-serif" w:eastAsia="sans-serif" w:hAnsi="sans-serif" w:cs="sans-serif"/>
                <w:color w:val="000000"/>
                <w:sz w:val="20"/>
                <w:szCs w:val="20"/>
              </w:rPr>
              <w:t xml:space="preserve">Prepaid expenses and other </w:t>
            </w:r>
            <w:r>
              <w:rPr>
                <w:rFonts w:ascii="sans-serif" w:eastAsia="sans-serif" w:hAnsi="sans-serif" w:cs="sans-serif"/>
                <w:color w:val="000000"/>
                <w:sz w:val="20"/>
                <w:szCs w:val="20"/>
              </w:rPr>
              <w:t>current assets</w:t>
            </w:r>
          </w:p>
        </w:tc>
        <w:tc>
          <w:tcPr>
            <w:tcW w:w="0" w:type="auto"/>
            <w:gridSpan w:val="2"/>
            <w:shd w:val="clear" w:color="auto" w:fill="E2EFD9"/>
            <w:tcMar>
              <w:top w:w="40" w:type="dxa"/>
              <w:left w:w="20" w:type="dxa"/>
              <w:bottom w:w="40" w:type="dxa"/>
              <w:right w:w="0" w:type="dxa"/>
            </w:tcMar>
            <w:vAlign w:val="bottom"/>
          </w:tcPr>
          <w:p w14:paraId="7C207A95" w14:textId="77777777" w:rsidR="00834A75" w:rsidRDefault="00A6708C">
            <w:pPr>
              <w:jc w:val="right"/>
              <w:textAlignment w:val="bottom"/>
            </w:pPr>
            <w:r>
              <w:rPr>
                <w:rFonts w:ascii="sans-serif" w:eastAsia="sans-serif" w:hAnsi="sans-serif" w:cs="sans-serif"/>
                <w:color w:val="000000"/>
                <w:sz w:val="20"/>
                <w:szCs w:val="20"/>
              </w:rPr>
              <w:t>636 </w:t>
            </w:r>
          </w:p>
        </w:tc>
        <w:tc>
          <w:tcPr>
            <w:tcW w:w="0" w:type="auto"/>
            <w:shd w:val="clear" w:color="auto" w:fill="E2EFD9"/>
            <w:tcMar>
              <w:top w:w="40" w:type="dxa"/>
              <w:left w:w="0" w:type="dxa"/>
              <w:bottom w:w="40" w:type="dxa"/>
              <w:right w:w="20" w:type="dxa"/>
            </w:tcMar>
            <w:vAlign w:val="bottom"/>
          </w:tcPr>
          <w:p w14:paraId="7C207A96" w14:textId="77777777" w:rsidR="00834A75" w:rsidRDefault="00834A75">
            <w:pPr>
              <w:jc w:val="right"/>
              <w:rPr>
                <w:rFonts w:ascii="宋体"/>
              </w:rPr>
            </w:pPr>
          </w:p>
        </w:tc>
        <w:tc>
          <w:tcPr>
            <w:tcW w:w="0" w:type="auto"/>
            <w:gridSpan w:val="3"/>
            <w:shd w:val="clear" w:color="auto" w:fill="E2EFD9"/>
            <w:tcMar>
              <w:top w:w="0" w:type="dxa"/>
              <w:left w:w="20" w:type="dxa"/>
              <w:bottom w:w="0" w:type="dxa"/>
              <w:right w:w="20" w:type="dxa"/>
            </w:tcMar>
            <w:vAlign w:val="bottom"/>
          </w:tcPr>
          <w:p w14:paraId="7C207A97" w14:textId="77777777" w:rsidR="00834A75" w:rsidRDefault="00834A75">
            <w:pPr>
              <w:rPr>
                <w:rFonts w:ascii="宋体"/>
              </w:rPr>
            </w:pPr>
          </w:p>
        </w:tc>
        <w:tc>
          <w:tcPr>
            <w:tcW w:w="0" w:type="auto"/>
            <w:gridSpan w:val="2"/>
            <w:shd w:val="clear" w:color="auto" w:fill="E2EFD9"/>
            <w:tcMar>
              <w:top w:w="40" w:type="dxa"/>
              <w:left w:w="20" w:type="dxa"/>
              <w:bottom w:w="40" w:type="dxa"/>
              <w:right w:w="0" w:type="dxa"/>
            </w:tcMar>
            <w:vAlign w:val="bottom"/>
          </w:tcPr>
          <w:p w14:paraId="7C207A98" w14:textId="77777777" w:rsidR="00834A75" w:rsidRDefault="00A6708C">
            <w:pPr>
              <w:jc w:val="right"/>
              <w:textAlignment w:val="bottom"/>
            </w:pPr>
            <w:r>
              <w:rPr>
                <w:rFonts w:ascii="sans-serif" w:eastAsia="sans-serif" w:hAnsi="sans-serif" w:cs="sans-serif"/>
                <w:color w:val="000000"/>
                <w:sz w:val="20"/>
                <w:szCs w:val="20"/>
              </w:rPr>
              <w:t>366 </w:t>
            </w:r>
          </w:p>
        </w:tc>
        <w:tc>
          <w:tcPr>
            <w:tcW w:w="0" w:type="auto"/>
            <w:shd w:val="clear" w:color="auto" w:fill="E2EFD9"/>
            <w:tcMar>
              <w:top w:w="40" w:type="dxa"/>
              <w:left w:w="0" w:type="dxa"/>
              <w:bottom w:w="40" w:type="dxa"/>
              <w:right w:w="20" w:type="dxa"/>
            </w:tcMar>
            <w:vAlign w:val="bottom"/>
          </w:tcPr>
          <w:p w14:paraId="7C207A99" w14:textId="77777777" w:rsidR="00834A75" w:rsidRDefault="00834A75">
            <w:pPr>
              <w:jc w:val="right"/>
              <w:rPr>
                <w:rFonts w:ascii="宋体"/>
              </w:rPr>
            </w:pPr>
          </w:p>
        </w:tc>
      </w:tr>
      <w:tr w:rsidR="00834A75" w14:paraId="7C207AA1" w14:textId="77777777">
        <w:trPr>
          <w:jc w:val="center"/>
        </w:trPr>
        <w:tc>
          <w:tcPr>
            <w:tcW w:w="0" w:type="auto"/>
            <w:gridSpan w:val="3"/>
            <w:shd w:val="clear" w:color="auto" w:fill="FFFFFF"/>
            <w:tcMar>
              <w:top w:w="40" w:type="dxa"/>
              <w:left w:w="20" w:type="dxa"/>
              <w:bottom w:w="40" w:type="dxa"/>
              <w:right w:w="20" w:type="dxa"/>
            </w:tcMar>
            <w:vAlign w:val="bottom"/>
          </w:tcPr>
          <w:p w14:paraId="7C207A9B" w14:textId="77777777" w:rsidR="00834A75" w:rsidRDefault="00A6708C">
            <w:pPr>
              <w:textAlignment w:val="bottom"/>
            </w:pPr>
            <w:r>
              <w:rPr>
                <w:rFonts w:ascii="sans-serif" w:eastAsia="sans-serif" w:hAnsi="sans-serif" w:cs="sans-serif"/>
                <w:color w:val="000000"/>
                <w:sz w:val="20"/>
                <w:szCs w:val="20"/>
              </w:rPr>
              <w:t>Total current assets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C207A9C" w14:textId="77777777" w:rsidR="00834A75" w:rsidRDefault="00A6708C">
            <w:pPr>
              <w:jc w:val="right"/>
              <w:textAlignment w:val="bottom"/>
            </w:pPr>
            <w:r>
              <w:rPr>
                <w:rFonts w:ascii="sans-serif" w:eastAsia="sans-serif" w:hAnsi="sans-serif" w:cs="sans-serif"/>
                <w:color w:val="000000"/>
                <w:sz w:val="20"/>
                <w:szCs w:val="20"/>
              </w:rPr>
              <w:t>29,575 </w:t>
            </w:r>
          </w:p>
        </w:tc>
        <w:tc>
          <w:tcPr>
            <w:tcW w:w="0" w:type="auto"/>
            <w:tcBorders>
              <w:top w:val="single" w:sz="8" w:space="0" w:color="000000"/>
            </w:tcBorders>
            <w:shd w:val="clear" w:color="auto" w:fill="FFFFFF"/>
            <w:tcMar>
              <w:top w:w="40" w:type="dxa"/>
              <w:left w:w="0" w:type="dxa"/>
              <w:bottom w:w="40" w:type="dxa"/>
              <w:right w:w="20" w:type="dxa"/>
            </w:tcMar>
            <w:vAlign w:val="bottom"/>
          </w:tcPr>
          <w:p w14:paraId="7C207A9D" w14:textId="77777777" w:rsidR="00834A75" w:rsidRDefault="00834A75">
            <w:pPr>
              <w:jc w:val="right"/>
              <w:rPr>
                <w:rFonts w:ascii="宋体"/>
              </w:rPr>
            </w:pPr>
          </w:p>
        </w:tc>
        <w:tc>
          <w:tcPr>
            <w:tcW w:w="0" w:type="auto"/>
            <w:gridSpan w:val="3"/>
            <w:shd w:val="clear" w:color="auto" w:fill="FFFFFF"/>
            <w:tcMar>
              <w:top w:w="0" w:type="dxa"/>
              <w:left w:w="20" w:type="dxa"/>
              <w:bottom w:w="0" w:type="dxa"/>
              <w:right w:w="20" w:type="dxa"/>
            </w:tcMar>
            <w:vAlign w:val="bottom"/>
          </w:tcPr>
          <w:p w14:paraId="7C207A9E" w14:textId="77777777" w:rsidR="00834A75" w:rsidRDefault="00834A75">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C207A9F" w14:textId="77777777" w:rsidR="00834A75" w:rsidRDefault="00A6708C">
            <w:pPr>
              <w:jc w:val="right"/>
              <w:textAlignment w:val="bottom"/>
            </w:pPr>
            <w:r>
              <w:rPr>
                <w:rFonts w:ascii="sans-serif" w:eastAsia="sans-serif" w:hAnsi="sans-serif" w:cs="sans-serif"/>
                <w:color w:val="000000"/>
                <w:sz w:val="20"/>
                <w:szCs w:val="20"/>
              </w:rPr>
              <w:t>28,829 </w:t>
            </w:r>
          </w:p>
        </w:tc>
        <w:tc>
          <w:tcPr>
            <w:tcW w:w="0" w:type="auto"/>
            <w:tcBorders>
              <w:top w:val="single" w:sz="8" w:space="0" w:color="000000"/>
            </w:tcBorders>
            <w:shd w:val="clear" w:color="auto" w:fill="FFFFFF"/>
            <w:tcMar>
              <w:top w:w="40" w:type="dxa"/>
              <w:left w:w="0" w:type="dxa"/>
              <w:bottom w:w="40" w:type="dxa"/>
              <w:right w:w="20" w:type="dxa"/>
            </w:tcMar>
            <w:vAlign w:val="bottom"/>
          </w:tcPr>
          <w:p w14:paraId="7C207AA0" w14:textId="77777777" w:rsidR="00834A75" w:rsidRDefault="00834A75">
            <w:pPr>
              <w:jc w:val="right"/>
              <w:rPr>
                <w:rFonts w:ascii="宋体"/>
              </w:rPr>
            </w:pPr>
          </w:p>
        </w:tc>
      </w:tr>
      <w:tr w:rsidR="00834A75" w14:paraId="7C207AA8" w14:textId="77777777">
        <w:trPr>
          <w:jc w:val="center"/>
        </w:trPr>
        <w:tc>
          <w:tcPr>
            <w:tcW w:w="0" w:type="auto"/>
            <w:gridSpan w:val="3"/>
            <w:shd w:val="clear" w:color="auto" w:fill="E2EFD9"/>
            <w:tcMar>
              <w:top w:w="40" w:type="dxa"/>
              <w:left w:w="20" w:type="dxa"/>
              <w:bottom w:w="40" w:type="dxa"/>
              <w:right w:w="20" w:type="dxa"/>
            </w:tcMar>
            <w:vAlign w:val="bottom"/>
          </w:tcPr>
          <w:p w14:paraId="7C207AA2" w14:textId="77777777" w:rsidR="00834A75" w:rsidRDefault="00A6708C">
            <w:pPr>
              <w:textAlignment w:val="bottom"/>
            </w:pPr>
            <w:r>
              <w:rPr>
                <w:rFonts w:ascii="sans-serif" w:eastAsia="sans-serif" w:hAnsi="sans-serif" w:cs="sans-serif"/>
                <w:color w:val="000000"/>
                <w:sz w:val="20"/>
                <w:szCs w:val="20"/>
              </w:rPr>
              <w:t>Property and equipment, net</w:t>
            </w:r>
          </w:p>
        </w:tc>
        <w:tc>
          <w:tcPr>
            <w:tcW w:w="0" w:type="auto"/>
            <w:gridSpan w:val="2"/>
            <w:shd w:val="clear" w:color="auto" w:fill="E2EFD9"/>
            <w:tcMar>
              <w:top w:w="40" w:type="dxa"/>
              <w:left w:w="20" w:type="dxa"/>
              <w:bottom w:w="40" w:type="dxa"/>
              <w:right w:w="0" w:type="dxa"/>
            </w:tcMar>
            <w:vAlign w:val="bottom"/>
          </w:tcPr>
          <w:p w14:paraId="7C207AA3" w14:textId="77777777" w:rsidR="00834A75" w:rsidRDefault="00A6708C">
            <w:pPr>
              <w:jc w:val="right"/>
              <w:textAlignment w:val="bottom"/>
            </w:pPr>
            <w:r>
              <w:rPr>
                <w:rFonts w:ascii="sans-serif" w:eastAsia="sans-serif" w:hAnsi="sans-serif" w:cs="sans-serif"/>
                <w:color w:val="000000"/>
                <w:sz w:val="20"/>
                <w:szCs w:val="20"/>
              </w:rPr>
              <w:t>2,916 </w:t>
            </w:r>
          </w:p>
        </w:tc>
        <w:tc>
          <w:tcPr>
            <w:tcW w:w="0" w:type="auto"/>
            <w:shd w:val="clear" w:color="auto" w:fill="E2EFD9"/>
            <w:tcMar>
              <w:top w:w="40" w:type="dxa"/>
              <w:left w:w="0" w:type="dxa"/>
              <w:bottom w:w="40" w:type="dxa"/>
              <w:right w:w="20" w:type="dxa"/>
            </w:tcMar>
            <w:vAlign w:val="bottom"/>
          </w:tcPr>
          <w:p w14:paraId="7C207AA4" w14:textId="77777777" w:rsidR="00834A75" w:rsidRDefault="00834A75">
            <w:pPr>
              <w:jc w:val="right"/>
              <w:rPr>
                <w:rFonts w:ascii="宋体"/>
              </w:rPr>
            </w:pPr>
          </w:p>
        </w:tc>
        <w:tc>
          <w:tcPr>
            <w:tcW w:w="0" w:type="auto"/>
            <w:gridSpan w:val="3"/>
            <w:shd w:val="clear" w:color="auto" w:fill="E2EFD9"/>
            <w:tcMar>
              <w:top w:w="0" w:type="dxa"/>
              <w:left w:w="20" w:type="dxa"/>
              <w:bottom w:w="0" w:type="dxa"/>
              <w:right w:w="20" w:type="dxa"/>
            </w:tcMar>
            <w:vAlign w:val="bottom"/>
          </w:tcPr>
          <w:p w14:paraId="7C207AA5" w14:textId="77777777" w:rsidR="00834A75" w:rsidRDefault="00834A75">
            <w:pPr>
              <w:rPr>
                <w:rFonts w:ascii="宋体"/>
              </w:rPr>
            </w:pPr>
          </w:p>
        </w:tc>
        <w:tc>
          <w:tcPr>
            <w:tcW w:w="0" w:type="auto"/>
            <w:gridSpan w:val="2"/>
            <w:shd w:val="clear" w:color="auto" w:fill="E2EFD9"/>
            <w:tcMar>
              <w:top w:w="40" w:type="dxa"/>
              <w:left w:w="20" w:type="dxa"/>
              <w:bottom w:w="40" w:type="dxa"/>
              <w:right w:w="0" w:type="dxa"/>
            </w:tcMar>
            <w:vAlign w:val="bottom"/>
          </w:tcPr>
          <w:p w14:paraId="7C207AA6" w14:textId="77777777" w:rsidR="00834A75" w:rsidRDefault="00A6708C">
            <w:pPr>
              <w:jc w:val="right"/>
              <w:textAlignment w:val="bottom"/>
            </w:pPr>
            <w:r>
              <w:rPr>
                <w:rFonts w:ascii="sans-serif" w:eastAsia="sans-serif" w:hAnsi="sans-serif" w:cs="sans-serif"/>
                <w:color w:val="000000"/>
                <w:sz w:val="20"/>
                <w:szCs w:val="20"/>
              </w:rPr>
              <w:t>2,778 </w:t>
            </w:r>
          </w:p>
        </w:tc>
        <w:tc>
          <w:tcPr>
            <w:tcW w:w="0" w:type="auto"/>
            <w:shd w:val="clear" w:color="auto" w:fill="E2EFD9"/>
            <w:tcMar>
              <w:top w:w="40" w:type="dxa"/>
              <w:left w:w="0" w:type="dxa"/>
              <w:bottom w:w="40" w:type="dxa"/>
              <w:right w:w="20" w:type="dxa"/>
            </w:tcMar>
            <w:vAlign w:val="bottom"/>
          </w:tcPr>
          <w:p w14:paraId="7C207AA7" w14:textId="77777777" w:rsidR="00834A75" w:rsidRDefault="00834A75">
            <w:pPr>
              <w:jc w:val="right"/>
              <w:rPr>
                <w:rFonts w:ascii="宋体"/>
              </w:rPr>
            </w:pPr>
          </w:p>
        </w:tc>
      </w:tr>
      <w:tr w:rsidR="00834A75" w14:paraId="7C207AAF" w14:textId="77777777">
        <w:trPr>
          <w:jc w:val="center"/>
        </w:trPr>
        <w:tc>
          <w:tcPr>
            <w:tcW w:w="0" w:type="auto"/>
            <w:gridSpan w:val="3"/>
            <w:shd w:val="clear" w:color="auto" w:fill="FFFFFF"/>
            <w:tcMar>
              <w:top w:w="40" w:type="dxa"/>
              <w:left w:w="20" w:type="dxa"/>
              <w:bottom w:w="40" w:type="dxa"/>
              <w:right w:w="20" w:type="dxa"/>
            </w:tcMar>
            <w:vAlign w:val="bottom"/>
          </w:tcPr>
          <w:p w14:paraId="7C207AA9" w14:textId="77777777" w:rsidR="00834A75" w:rsidRDefault="00A6708C">
            <w:pPr>
              <w:textAlignment w:val="bottom"/>
            </w:pPr>
            <w:r>
              <w:rPr>
                <w:rFonts w:ascii="sans-serif" w:eastAsia="sans-serif" w:hAnsi="sans-serif" w:cs="sans-serif"/>
                <w:color w:val="000000"/>
                <w:sz w:val="20"/>
                <w:szCs w:val="20"/>
              </w:rPr>
              <w:t>Operating lease assets</w:t>
            </w:r>
          </w:p>
        </w:tc>
        <w:tc>
          <w:tcPr>
            <w:tcW w:w="0" w:type="auto"/>
            <w:gridSpan w:val="2"/>
            <w:shd w:val="clear" w:color="auto" w:fill="FFFFFF"/>
            <w:tcMar>
              <w:top w:w="40" w:type="dxa"/>
              <w:left w:w="20" w:type="dxa"/>
              <w:bottom w:w="40" w:type="dxa"/>
              <w:right w:w="0" w:type="dxa"/>
            </w:tcMar>
            <w:vAlign w:val="bottom"/>
          </w:tcPr>
          <w:p w14:paraId="7C207AAA" w14:textId="77777777" w:rsidR="00834A75" w:rsidRDefault="00A6708C">
            <w:pPr>
              <w:jc w:val="right"/>
              <w:textAlignment w:val="bottom"/>
            </w:pPr>
            <w:r>
              <w:rPr>
                <w:rFonts w:ascii="sans-serif" w:eastAsia="sans-serif" w:hAnsi="sans-serif" w:cs="sans-serif"/>
                <w:color w:val="000000"/>
                <w:sz w:val="20"/>
                <w:szCs w:val="20"/>
              </w:rPr>
              <w:t>856 </w:t>
            </w:r>
          </w:p>
        </w:tc>
        <w:tc>
          <w:tcPr>
            <w:tcW w:w="0" w:type="auto"/>
            <w:shd w:val="clear" w:color="auto" w:fill="FFFFFF"/>
            <w:tcMar>
              <w:top w:w="40" w:type="dxa"/>
              <w:left w:w="0" w:type="dxa"/>
              <w:bottom w:w="40" w:type="dxa"/>
              <w:right w:w="20" w:type="dxa"/>
            </w:tcMar>
            <w:vAlign w:val="bottom"/>
          </w:tcPr>
          <w:p w14:paraId="7C207AAB" w14:textId="77777777" w:rsidR="00834A75" w:rsidRDefault="00834A75">
            <w:pPr>
              <w:jc w:val="right"/>
              <w:rPr>
                <w:rFonts w:ascii="宋体"/>
              </w:rPr>
            </w:pPr>
          </w:p>
        </w:tc>
        <w:tc>
          <w:tcPr>
            <w:tcW w:w="0" w:type="auto"/>
            <w:gridSpan w:val="3"/>
            <w:shd w:val="clear" w:color="auto" w:fill="FFFFFF"/>
            <w:tcMar>
              <w:top w:w="0" w:type="dxa"/>
              <w:left w:w="20" w:type="dxa"/>
              <w:bottom w:w="0" w:type="dxa"/>
              <w:right w:w="20" w:type="dxa"/>
            </w:tcMar>
            <w:vAlign w:val="bottom"/>
          </w:tcPr>
          <w:p w14:paraId="7C207AAC" w14:textId="77777777" w:rsidR="00834A75" w:rsidRDefault="00834A75">
            <w:pPr>
              <w:rPr>
                <w:rFonts w:ascii="宋体"/>
              </w:rPr>
            </w:pPr>
          </w:p>
        </w:tc>
        <w:tc>
          <w:tcPr>
            <w:tcW w:w="0" w:type="auto"/>
            <w:gridSpan w:val="2"/>
            <w:shd w:val="clear" w:color="auto" w:fill="FFFFFF"/>
            <w:tcMar>
              <w:top w:w="40" w:type="dxa"/>
              <w:left w:w="20" w:type="dxa"/>
              <w:bottom w:w="40" w:type="dxa"/>
              <w:right w:w="0" w:type="dxa"/>
            </w:tcMar>
            <w:vAlign w:val="bottom"/>
          </w:tcPr>
          <w:p w14:paraId="7C207AAD" w14:textId="77777777" w:rsidR="00834A75" w:rsidRDefault="00A6708C">
            <w:pPr>
              <w:jc w:val="right"/>
              <w:textAlignment w:val="bottom"/>
            </w:pPr>
            <w:r>
              <w:rPr>
                <w:rFonts w:ascii="sans-serif" w:eastAsia="sans-serif" w:hAnsi="sans-serif" w:cs="sans-serif"/>
                <w:color w:val="000000"/>
                <w:sz w:val="20"/>
                <w:szCs w:val="20"/>
              </w:rPr>
              <w:t>829 </w:t>
            </w:r>
          </w:p>
        </w:tc>
        <w:tc>
          <w:tcPr>
            <w:tcW w:w="0" w:type="auto"/>
            <w:shd w:val="clear" w:color="auto" w:fill="FFFFFF"/>
            <w:tcMar>
              <w:top w:w="40" w:type="dxa"/>
              <w:left w:w="0" w:type="dxa"/>
              <w:bottom w:w="40" w:type="dxa"/>
              <w:right w:w="20" w:type="dxa"/>
            </w:tcMar>
            <w:vAlign w:val="bottom"/>
          </w:tcPr>
          <w:p w14:paraId="7C207AAE" w14:textId="77777777" w:rsidR="00834A75" w:rsidRDefault="00834A75">
            <w:pPr>
              <w:jc w:val="right"/>
              <w:rPr>
                <w:rFonts w:ascii="宋体"/>
              </w:rPr>
            </w:pPr>
          </w:p>
        </w:tc>
      </w:tr>
      <w:tr w:rsidR="00834A75" w14:paraId="7C207AB6" w14:textId="77777777">
        <w:trPr>
          <w:jc w:val="center"/>
        </w:trPr>
        <w:tc>
          <w:tcPr>
            <w:tcW w:w="0" w:type="auto"/>
            <w:gridSpan w:val="3"/>
            <w:shd w:val="clear" w:color="auto" w:fill="E2EFD9"/>
            <w:tcMar>
              <w:top w:w="40" w:type="dxa"/>
              <w:left w:w="20" w:type="dxa"/>
              <w:bottom w:w="40" w:type="dxa"/>
              <w:right w:w="20" w:type="dxa"/>
            </w:tcMar>
            <w:vAlign w:val="bottom"/>
          </w:tcPr>
          <w:p w14:paraId="7C207AB0" w14:textId="77777777" w:rsidR="00834A75" w:rsidRDefault="00A6708C">
            <w:pPr>
              <w:textAlignment w:val="bottom"/>
            </w:pPr>
            <w:r>
              <w:rPr>
                <w:rFonts w:ascii="sans-serif" w:eastAsia="sans-serif" w:hAnsi="sans-serif" w:cs="sans-serif"/>
                <w:color w:val="000000"/>
                <w:sz w:val="20"/>
                <w:szCs w:val="20"/>
              </w:rPr>
              <w:t>Goodwill</w:t>
            </w:r>
          </w:p>
        </w:tc>
        <w:tc>
          <w:tcPr>
            <w:tcW w:w="0" w:type="auto"/>
            <w:gridSpan w:val="2"/>
            <w:shd w:val="clear" w:color="auto" w:fill="E2EFD9"/>
            <w:tcMar>
              <w:top w:w="40" w:type="dxa"/>
              <w:left w:w="20" w:type="dxa"/>
              <w:bottom w:w="40" w:type="dxa"/>
              <w:right w:w="0" w:type="dxa"/>
            </w:tcMar>
            <w:vAlign w:val="bottom"/>
          </w:tcPr>
          <w:p w14:paraId="7C207AB1" w14:textId="77777777" w:rsidR="00834A75" w:rsidRDefault="00A6708C">
            <w:pPr>
              <w:jc w:val="right"/>
              <w:textAlignment w:val="bottom"/>
            </w:pPr>
            <w:r>
              <w:rPr>
                <w:rFonts w:ascii="sans-serif" w:eastAsia="sans-serif" w:hAnsi="sans-serif" w:cs="sans-serif"/>
                <w:color w:val="000000"/>
                <w:sz w:val="20"/>
                <w:szCs w:val="20"/>
              </w:rPr>
              <w:t>4,365 </w:t>
            </w:r>
          </w:p>
        </w:tc>
        <w:tc>
          <w:tcPr>
            <w:tcW w:w="0" w:type="auto"/>
            <w:shd w:val="clear" w:color="auto" w:fill="E2EFD9"/>
            <w:tcMar>
              <w:top w:w="40" w:type="dxa"/>
              <w:left w:w="0" w:type="dxa"/>
              <w:bottom w:w="40" w:type="dxa"/>
              <w:right w:w="20" w:type="dxa"/>
            </w:tcMar>
            <w:vAlign w:val="bottom"/>
          </w:tcPr>
          <w:p w14:paraId="7C207AB2" w14:textId="77777777" w:rsidR="00834A75" w:rsidRDefault="00834A75">
            <w:pPr>
              <w:jc w:val="right"/>
              <w:rPr>
                <w:rFonts w:ascii="宋体"/>
              </w:rPr>
            </w:pPr>
          </w:p>
        </w:tc>
        <w:tc>
          <w:tcPr>
            <w:tcW w:w="0" w:type="auto"/>
            <w:gridSpan w:val="3"/>
            <w:shd w:val="clear" w:color="auto" w:fill="E2EFD9"/>
            <w:tcMar>
              <w:top w:w="0" w:type="dxa"/>
              <w:left w:w="20" w:type="dxa"/>
              <w:bottom w:w="0" w:type="dxa"/>
              <w:right w:w="20" w:type="dxa"/>
            </w:tcMar>
            <w:vAlign w:val="bottom"/>
          </w:tcPr>
          <w:p w14:paraId="7C207AB3" w14:textId="77777777" w:rsidR="00834A75" w:rsidRDefault="00834A75">
            <w:pPr>
              <w:rPr>
                <w:rFonts w:ascii="宋体"/>
              </w:rPr>
            </w:pPr>
          </w:p>
        </w:tc>
        <w:tc>
          <w:tcPr>
            <w:tcW w:w="0" w:type="auto"/>
            <w:gridSpan w:val="2"/>
            <w:shd w:val="clear" w:color="auto" w:fill="E2EFD9"/>
            <w:tcMar>
              <w:top w:w="40" w:type="dxa"/>
              <w:left w:w="20" w:type="dxa"/>
              <w:bottom w:w="40" w:type="dxa"/>
              <w:right w:w="0" w:type="dxa"/>
            </w:tcMar>
            <w:vAlign w:val="bottom"/>
          </w:tcPr>
          <w:p w14:paraId="7C207AB4" w14:textId="77777777" w:rsidR="00834A75" w:rsidRDefault="00A6708C">
            <w:pPr>
              <w:jc w:val="right"/>
              <w:textAlignment w:val="bottom"/>
            </w:pPr>
            <w:r>
              <w:rPr>
                <w:rFonts w:ascii="sans-serif" w:eastAsia="sans-serif" w:hAnsi="sans-serif" w:cs="sans-serif"/>
                <w:color w:val="000000"/>
                <w:sz w:val="20"/>
                <w:szCs w:val="20"/>
              </w:rPr>
              <w:t>4,349 </w:t>
            </w:r>
          </w:p>
        </w:tc>
        <w:tc>
          <w:tcPr>
            <w:tcW w:w="0" w:type="auto"/>
            <w:shd w:val="clear" w:color="auto" w:fill="E2EFD9"/>
            <w:tcMar>
              <w:top w:w="40" w:type="dxa"/>
              <w:left w:w="0" w:type="dxa"/>
              <w:bottom w:w="40" w:type="dxa"/>
              <w:right w:w="20" w:type="dxa"/>
            </w:tcMar>
            <w:vAlign w:val="bottom"/>
          </w:tcPr>
          <w:p w14:paraId="7C207AB5" w14:textId="77777777" w:rsidR="00834A75" w:rsidRDefault="00834A75">
            <w:pPr>
              <w:jc w:val="right"/>
              <w:rPr>
                <w:rFonts w:ascii="宋体"/>
              </w:rPr>
            </w:pPr>
          </w:p>
        </w:tc>
      </w:tr>
      <w:tr w:rsidR="00834A75" w14:paraId="7C207ABD" w14:textId="77777777">
        <w:trPr>
          <w:jc w:val="center"/>
        </w:trPr>
        <w:tc>
          <w:tcPr>
            <w:tcW w:w="0" w:type="auto"/>
            <w:gridSpan w:val="3"/>
            <w:shd w:val="clear" w:color="auto" w:fill="FFFFFF"/>
            <w:tcMar>
              <w:top w:w="40" w:type="dxa"/>
              <w:left w:w="20" w:type="dxa"/>
              <w:bottom w:w="40" w:type="dxa"/>
              <w:right w:w="20" w:type="dxa"/>
            </w:tcMar>
            <w:vAlign w:val="bottom"/>
          </w:tcPr>
          <w:p w14:paraId="7C207AB7" w14:textId="77777777" w:rsidR="00834A75" w:rsidRDefault="00A6708C">
            <w:pPr>
              <w:textAlignment w:val="bottom"/>
            </w:pPr>
            <w:r>
              <w:rPr>
                <w:rFonts w:ascii="sans-serif" w:eastAsia="sans-serif" w:hAnsi="sans-serif" w:cs="sans-serif"/>
                <w:color w:val="000000"/>
                <w:sz w:val="20"/>
                <w:szCs w:val="20"/>
              </w:rPr>
              <w:t>Intangible assets, net</w:t>
            </w:r>
          </w:p>
        </w:tc>
        <w:tc>
          <w:tcPr>
            <w:tcW w:w="0" w:type="auto"/>
            <w:gridSpan w:val="2"/>
            <w:shd w:val="clear" w:color="auto" w:fill="FFFFFF"/>
            <w:tcMar>
              <w:top w:w="40" w:type="dxa"/>
              <w:left w:w="20" w:type="dxa"/>
              <w:bottom w:w="40" w:type="dxa"/>
              <w:right w:w="0" w:type="dxa"/>
            </w:tcMar>
            <w:vAlign w:val="bottom"/>
          </w:tcPr>
          <w:p w14:paraId="7C207AB8" w14:textId="77777777" w:rsidR="00834A75" w:rsidRDefault="00A6708C">
            <w:pPr>
              <w:jc w:val="right"/>
              <w:textAlignment w:val="bottom"/>
            </w:pPr>
            <w:r>
              <w:rPr>
                <w:rFonts w:ascii="sans-serif" w:eastAsia="sans-serif" w:hAnsi="sans-serif" w:cs="sans-serif"/>
                <w:color w:val="000000"/>
                <w:sz w:val="20"/>
                <w:szCs w:val="20"/>
              </w:rPr>
              <w:t>2,211 </w:t>
            </w:r>
          </w:p>
        </w:tc>
        <w:tc>
          <w:tcPr>
            <w:tcW w:w="0" w:type="auto"/>
            <w:shd w:val="clear" w:color="auto" w:fill="FFFFFF"/>
            <w:tcMar>
              <w:top w:w="40" w:type="dxa"/>
              <w:left w:w="0" w:type="dxa"/>
              <w:bottom w:w="40" w:type="dxa"/>
              <w:right w:w="20" w:type="dxa"/>
            </w:tcMar>
            <w:vAlign w:val="bottom"/>
          </w:tcPr>
          <w:p w14:paraId="7C207AB9" w14:textId="77777777" w:rsidR="00834A75" w:rsidRDefault="00834A75">
            <w:pPr>
              <w:jc w:val="right"/>
              <w:rPr>
                <w:rFonts w:ascii="宋体"/>
              </w:rPr>
            </w:pPr>
          </w:p>
        </w:tc>
        <w:tc>
          <w:tcPr>
            <w:tcW w:w="0" w:type="auto"/>
            <w:gridSpan w:val="3"/>
            <w:shd w:val="clear" w:color="auto" w:fill="FFFFFF"/>
            <w:tcMar>
              <w:top w:w="0" w:type="dxa"/>
              <w:left w:w="20" w:type="dxa"/>
              <w:bottom w:w="0" w:type="dxa"/>
              <w:right w:w="20" w:type="dxa"/>
            </w:tcMar>
            <w:vAlign w:val="bottom"/>
          </w:tcPr>
          <w:p w14:paraId="7C207ABA" w14:textId="77777777" w:rsidR="00834A75" w:rsidRDefault="00834A75">
            <w:pPr>
              <w:rPr>
                <w:rFonts w:ascii="宋体"/>
              </w:rPr>
            </w:pPr>
          </w:p>
        </w:tc>
        <w:tc>
          <w:tcPr>
            <w:tcW w:w="0" w:type="auto"/>
            <w:gridSpan w:val="2"/>
            <w:shd w:val="clear" w:color="auto" w:fill="FFFFFF"/>
            <w:tcMar>
              <w:top w:w="40" w:type="dxa"/>
              <w:left w:w="20" w:type="dxa"/>
              <w:bottom w:w="40" w:type="dxa"/>
              <w:right w:w="0" w:type="dxa"/>
            </w:tcMar>
            <w:vAlign w:val="bottom"/>
          </w:tcPr>
          <w:p w14:paraId="7C207ABB" w14:textId="77777777" w:rsidR="00834A75" w:rsidRDefault="00A6708C">
            <w:pPr>
              <w:jc w:val="right"/>
              <w:textAlignment w:val="bottom"/>
            </w:pPr>
            <w:r>
              <w:rPr>
                <w:rFonts w:ascii="sans-serif" w:eastAsia="sans-serif" w:hAnsi="sans-serif" w:cs="sans-serif"/>
                <w:color w:val="000000"/>
                <w:sz w:val="20"/>
                <w:szCs w:val="20"/>
              </w:rPr>
              <w:t>2,339 </w:t>
            </w:r>
          </w:p>
        </w:tc>
        <w:tc>
          <w:tcPr>
            <w:tcW w:w="0" w:type="auto"/>
            <w:shd w:val="clear" w:color="auto" w:fill="FFFFFF"/>
            <w:tcMar>
              <w:top w:w="40" w:type="dxa"/>
              <w:left w:w="0" w:type="dxa"/>
              <w:bottom w:w="40" w:type="dxa"/>
              <w:right w:w="20" w:type="dxa"/>
            </w:tcMar>
            <w:vAlign w:val="bottom"/>
          </w:tcPr>
          <w:p w14:paraId="7C207ABC" w14:textId="77777777" w:rsidR="00834A75" w:rsidRDefault="00834A75">
            <w:pPr>
              <w:jc w:val="right"/>
              <w:rPr>
                <w:rFonts w:ascii="宋体"/>
              </w:rPr>
            </w:pPr>
          </w:p>
        </w:tc>
      </w:tr>
      <w:tr w:rsidR="00834A75" w14:paraId="7C207AC4" w14:textId="77777777">
        <w:trPr>
          <w:jc w:val="center"/>
        </w:trPr>
        <w:tc>
          <w:tcPr>
            <w:tcW w:w="0" w:type="auto"/>
            <w:gridSpan w:val="3"/>
            <w:shd w:val="clear" w:color="auto" w:fill="E2EFD9"/>
            <w:tcMar>
              <w:top w:w="40" w:type="dxa"/>
              <w:left w:w="20" w:type="dxa"/>
              <w:bottom w:w="40" w:type="dxa"/>
              <w:right w:w="20" w:type="dxa"/>
            </w:tcMar>
            <w:vAlign w:val="bottom"/>
          </w:tcPr>
          <w:p w14:paraId="7C207ABE" w14:textId="77777777" w:rsidR="00834A75" w:rsidRDefault="00A6708C">
            <w:pPr>
              <w:textAlignment w:val="bottom"/>
            </w:pPr>
            <w:r>
              <w:rPr>
                <w:rFonts w:ascii="sans-serif" w:eastAsia="sans-serif" w:hAnsi="sans-serif" w:cs="sans-serif"/>
                <w:color w:val="000000"/>
                <w:sz w:val="20"/>
                <w:szCs w:val="20"/>
              </w:rPr>
              <w:t>Deferred income tax assets</w:t>
            </w:r>
          </w:p>
        </w:tc>
        <w:tc>
          <w:tcPr>
            <w:tcW w:w="0" w:type="auto"/>
            <w:gridSpan w:val="2"/>
            <w:shd w:val="clear" w:color="auto" w:fill="E2EFD9"/>
            <w:tcMar>
              <w:top w:w="40" w:type="dxa"/>
              <w:left w:w="20" w:type="dxa"/>
              <w:bottom w:w="40" w:type="dxa"/>
              <w:right w:w="0" w:type="dxa"/>
            </w:tcMar>
            <w:vAlign w:val="bottom"/>
          </w:tcPr>
          <w:p w14:paraId="7C207ABF" w14:textId="77777777" w:rsidR="00834A75" w:rsidRDefault="00A6708C">
            <w:pPr>
              <w:jc w:val="right"/>
              <w:textAlignment w:val="bottom"/>
            </w:pPr>
            <w:r>
              <w:rPr>
                <w:rFonts w:ascii="sans-serif" w:eastAsia="sans-serif" w:hAnsi="sans-serif" w:cs="sans-serif"/>
                <w:color w:val="000000"/>
                <w:sz w:val="20"/>
                <w:szCs w:val="20"/>
              </w:rPr>
              <w:t>1,784 </w:t>
            </w:r>
          </w:p>
        </w:tc>
        <w:tc>
          <w:tcPr>
            <w:tcW w:w="0" w:type="auto"/>
            <w:shd w:val="clear" w:color="auto" w:fill="E2EFD9"/>
            <w:tcMar>
              <w:top w:w="40" w:type="dxa"/>
              <w:left w:w="0" w:type="dxa"/>
              <w:bottom w:w="40" w:type="dxa"/>
              <w:right w:w="20" w:type="dxa"/>
            </w:tcMar>
            <w:vAlign w:val="bottom"/>
          </w:tcPr>
          <w:p w14:paraId="7C207AC0" w14:textId="77777777" w:rsidR="00834A75" w:rsidRDefault="00834A75">
            <w:pPr>
              <w:jc w:val="right"/>
              <w:rPr>
                <w:rFonts w:ascii="宋体"/>
              </w:rPr>
            </w:pPr>
          </w:p>
        </w:tc>
        <w:tc>
          <w:tcPr>
            <w:tcW w:w="0" w:type="auto"/>
            <w:gridSpan w:val="3"/>
            <w:shd w:val="clear" w:color="auto" w:fill="E2EFD9"/>
            <w:tcMar>
              <w:top w:w="0" w:type="dxa"/>
              <w:left w:w="20" w:type="dxa"/>
              <w:bottom w:w="0" w:type="dxa"/>
              <w:right w:w="20" w:type="dxa"/>
            </w:tcMar>
            <w:vAlign w:val="bottom"/>
          </w:tcPr>
          <w:p w14:paraId="7C207AC1" w14:textId="77777777" w:rsidR="00834A75" w:rsidRDefault="00834A75">
            <w:pPr>
              <w:rPr>
                <w:rFonts w:ascii="宋体"/>
              </w:rPr>
            </w:pPr>
          </w:p>
        </w:tc>
        <w:tc>
          <w:tcPr>
            <w:tcW w:w="0" w:type="auto"/>
            <w:gridSpan w:val="2"/>
            <w:shd w:val="clear" w:color="auto" w:fill="E2EFD9"/>
            <w:tcMar>
              <w:top w:w="40" w:type="dxa"/>
              <w:left w:w="20" w:type="dxa"/>
              <w:bottom w:w="40" w:type="dxa"/>
              <w:right w:w="0" w:type="dxa"/>
            </w:tcMar>
            <w:vAlign w:val="bottom"/>
          </w:tcPr>
          <w:p w14:paraId="7C207AC2" w14:textId="77777777" w:rsidR="00834A75" w:rsidRDefault="00A6708C">
            <w:pPr>
              <w:jc w:val="right"/>
              <w:textAlignment w:val="bottom"/>
            </w:pPr>
            <w:r>
              <w:rPr>
                <w:rFonts w:ascii="sans-serif" w:eastAsia="sans-serif" w:hAnsi="sans-serif" w:cs="sans-serif"/>
                <w:color w:val="000000"/>
                <w:sz w:val="20"/>
                <w:szCs w:val="20"/>
              </w:rPr>
              <w:t>1,222 </w:t>
            </w:r>
          </w:p>
        </w:tc>
        <w:tc>
          <w:tcPr>
            <w:tcW w:w="0" w:type="auto"/>
            <w:shd w:val="clear" w:color="auto" w:fill="E2EFD9"/>
            <w:tcMar>
              <w:top w:w="40" w:type="dxa"/>
              <w:left w:w="0" w:type="dxa"/>
              <w:bottom w:w="40" w:type="dxa"/>
              <w:right w:w="20" w:type="dxa"/>
            </w:tcMar>
            <w:vAlign w:val="bottom"/>
          </w:tcPr>
          <w:p w14:paraId="7C207AC3" w14:textId="77777777" w:rsidR="00834A75" w:rsidRDefault="00834A75">
            <w:pPr>
              <w:jc w:val="right"/>
              <w:rPr>
                <w:rFonts w:ascii="宋体"/>
              </w:rPr>
            </w:pPr>
          </w:p>
        </w:tc>
      </w:tr>
      <w:tr w:rsidR="00834A75" w14:paraId="7C207ACB" w14:textId="77777777">
        <w:trPr>
          <w:jc w:val="center"/>
        </w:trPr>
        <w:tc>
          <w:tcPr>
            <w:tcW w:w="0" w:type="auto"/>
            <w:gridSpan w:val="3"/>
            <w:shd w:val="clear" w:color="auto" w:fill="FFFFFF"/>
            <w:tcMar>
              <w:top w:w="40" w:type="dxa"/>
              <w:left w:w="20" w:type="dxa"/>
              <w:bottom w:w="40" w:type="dxa"/>
              <w:right w:w="20" w:type="dxa"/>
            </w:tcMar>
            <w:vAlign w:val="bottom"/>
          </w:tcPr>
          <w:p w14:paraId="7C207AC5" w14:textId="77777777" w:rsidR="00834A75" w:rsidRDefault="00A6708C">
            <w:pPr>
              <w:textAlignment w:val="bottom"/>
            </w:pPr>
            <w:r>
              <w:rPr>
                <w:rFonts w:ascii="sans-serif" w:eastAsia="sans-serif" w:hAnsi="sans-serif" w:cs="sans-serif"/>
                <w:color w:val="000000"/>
                <w:sz w:val="20"/>
                <w:szCs w:val="20"/>
              </w:rPr>
              <w:t>Other assets</w:t>
            </w:r>
          </w:p>
        </w:tc>
        <w:tc>
          <w:tcPr>
            <w:tcW w:w="0" w:type="auto"/>
            <w:gridSpan w:val="2"/>
            <w:shd w:val="clear" w:color="auto" w:fill="FFFFFF"/>
            <w:tcMar>
              <w:top w:w="40" w:type="dxa"/>
              <w:left w:w="20" w:type="dxa"/>
              <w:bottom w:w="40" w:type="dxa"/>
              <w:right w:w="0" w:type="dxa"/>
            </w:tcMar>
            <w:vAlign w:val="bottom"/>
          </w:tcPr>
          <w:p w14:paraId="7C207AC6" w14:textId="77777777" w:rsidR="00834A75" w:rsidRDefault="00A6708C">
            <w:pPr>
              <w:jc w:val="right"/>
              <w:textAlignment w:val="bottom"/>
            </w:pPr>
            <w:r>
              <w:rPr>
                <w:rFonts w:ascii="sans-serif" w:eastAsia="sans-serif" w:hAnsi="sans-serif" w:cs="sans-serif"/>
                <w:color w:val="000000"/>
                <w:sz w:val="20"/>
                <w:szCs w:val="20"/>
              </w:rPr>
              <w:t>3,505 </w:t>
            </w:r>
          </w:p>
        </w:tc>
        <w:tc>
          <w:tcPr>
            <w:tcW w:w="0" w:type="auto"/>
            <w:shd w:val="clear" w:color="auto" w:fill="FFFFFF"/>
            <w:tcMar>
              <w:top w:w="40" w:type="dxa"/>
              <w:left w:w="0" w:type="dxa"/>
              <w:bottom w:w="40" w:type="dxa"/>
              <w:right w:w="20" w:type="dxa"/>
            </w:tcMar>
            <w:vAlign w:val="bottom"/>
          </w:tcPr>
          <w:p w14:paraId="7C207AC7" w14:textId="77777777" w:rsidR="00834A75" w:rsidRDefault="00834A75">
            <w:pPr>
              <w:jc w:val="right"/>
              <w:rPr>
                <w:rFonts w:ascii="宋体"/>
              </w:rPr>
            </w:pPr>
          </w:p>
        </w:tc>
        <w:tc>
          <w:tcPr>
            <w:tcW w:w="0" w:type="auto"/>
            <w:gridSpan w:val="3"/>
            <w:shd w:val="clear" w:color="auto" w:fill="FFFFFF"/>
            <w:tcMar>
              <w:top w:w="0" w:type="dxa"/>
              <w:left w:w="20" w:type="dxa"/>
              <w:bottom w:w="0" w:type="dxa"/>
              <w:right w:w="20" w:type="dxa"/>
            </w:tcMar>
            <w:vAlign w:val="bottom"/>
          </w:tcPr>
          <w:p w14:paraId="7C207AC8" w14:textId="77777777" w:rsidR="00834A75" w:rsidRDefault="00834A75">
            <w:pPr>
              <w:rPr>
                <w:rFonts w:ascii="宋体"/>
              </w:rPr>
            </w:pPr>
          </w:p>
        </w:tc>
        <w:tc>
          <w:tcPr>
            <w:tcW w:w="0" w:type="auto"/>
            <w:gridSpan w:val="2"/>
            <w:shd w:val="clear" w:color="auto" w:fill="FFFFFF"/>
            <w:tcMar>
              <w:top w:w="40" w:type="dxa"/>
              <w:left w:w="20" w:type="dxa"/>
              <w:bottom w:w="40" w:type="dxa"/>
              <w:right w:w="0" w:type="dxa"/>
            </w:tcMar>
            <w:vAlign w:val="bottom"/>
          </w:tcPr>
          <w:p w14:paraId="7C207AC9" w14:textId="77777777" w:rsidR="00834A75" w:rsidRDefault="00A6708C">
            <w:pPr>
              <w:jc w:val="right"/>
              <w:textAlignment w:val="bottom"/>
            </w:pPr>
            <w:r>
              <w:rPr>
                <w:rFonts w:ascii="sans-serif" w:eastAsia="sans-serif" w:hAnsi="sans-serif" w:cs="sans-serif"/>
                <w:color w:val="000000"/>
                <w:sz w:val="20"/>
                <w:szCs w:val="20"/>
              </w:rPr>
              <w:t>3,841 </w:t>
            </w:r>
          </w:p>
        </w:tc>
        <w:tc>
          <w:tcPr>
            <w:tcW w:w="0" w:type="auto"/>
            <w:shd w:val="clear" w:color="auto" w:fill="FFFFFF"/>
            <w:tcMar>
              <w:top w:w="40" w:type="dxa"/>
              <w:left w:w="0" w:type="dxa"/>
              <w:bottom w:w="40" w:type="dxa"/>
              <w:right w:w="20" w:type="dxa"/>
            </w:tcMar>
            <w:vAlign w:val="bottom"/>
          </w:tcPr>
          <w:p w14:paraId="7C207ACA" w14:textId="77777777" w:rsidR="00834A75" w:rsidRDefault="00834A75">
            <w:pPr>
              <w:jc w:val="right"/>
              <w:rPr>
                <w:rFonts w:ascii="宋体"/>
              </w:rPr>
            </w:pPr>
          </w:p>
        </w:tc>
      </w:tr>
      <w:tr w:rsidR="00834A75" w14:paraId="7C207AD4" w14:textId="77777777">
        <w:trPr>
          <w:jc w:val="center"/>
        </w:trPr>
        <w:tc>
          <w:tcPr>
            <w:tcW w:w="0" w:type="auto"/>
            <w:gridSpan w:val="3"/>
            <w:shd w:val="clear" w:color="auto" w:fill="E2EFD9"/>
            <w:tcMar>
              <w:top w:w="40" w:type="dxa"/>
              <w:left w:w="20" w:type="dxa"/>
              <w:bottom w:w="40" w:type="dxa"/>
              <w:right w:w="20" w:type="dxa"/>
            </w:tcMar>
            <w:vAlign w:val="bottom"/>
          </w:tcPr>
          <w:p w14:paraId="7C207ACC" w14:textId="77777777" w:rsidR="00834A75" w:rsidRDefault="00A6708C">
            <w:pPr>
              <w:textAlignment w:val="bottom"/>
            </w:pPr>
            <w:r>
              <w:rPr>
                <w:rFonts w:ascii="sans-serif" w:eastAsia="sans-serif" w:hAnsi="sans-serif" w:cs="sans-serif"/>
                <w:color w:val="000000"/>
                <w:sz w:val="20"/>
                <w:szCs w:val="20"/>
              </w:rPr>
              <w:t>Total assets</w:t>
            </w:r>
          </w:p>
        </w:tc>
        <w:tc>
          <w:tcPr>
            <w:tcW w:w="0" w:type="auto"/>
            <w:tcBorders>
              <w:top w:val="single" w:sz="8" w:space="0" w:color="000000"/>
            </w:tcBorders>
            <w:shd w:val="clear" w:color="auto" w:fill="E2EFD9"/>
            <w:tcMar>
              <w:top w:w="40" w:type="dxa"/>
              <w:left w:w="20" w:type="dxa"/>
              <w:bottom w:w="40" w:type="dxa"/>
              <w:right w:w="0" w:type="dxa"/>
            </w:tcMar>
            <w:vAlign w:val="bottom"/>
          </w:tcPr>
          <w:p w14:paraId="7C207ACD" w14:textId="77777777" w:rsidR="00834A75" w:rsidRDefault="00A6708C">
            <w:pPr>
              <w:textAlignment w:val="bottom"/>
            </w:pPr>
            <w:r>
              <w:rPr>
                <w:rFonts w:ascii="sans-serif" w:eastAsia="sans-serif" w:hAnsi="sans-serif" w:cs="sans-serif"/>
                <w:color w:val="000000"/>
                <w:sz w:val="20"/>
                <w:szCs w:val="20"/>
              </w:rPr>
              <w:t>$</w:t>
            </w:r>
          </w:p>
        </w:tc>
        <w:tc>
          <w:tcPr>
            <w:tcW w:w="0" w:type="auto"/>
            <w:tcBorders>
              <w:top w:val="single" w:sz="8" w:space="0" w:color="000000"/>
            </w:tcBorders>
            <w:shd w:val="clear" w:color="auto" w:fill="E2EFD9"/>
            <w:tcMar>
              <w:top w:w="40" w:type="dxa"/>
              <w:left w:w="0" w:type="dxa"/>
              <w:bottom w:w="40" w:type="dxa"/>
              <w:right w:w="0" w:type="dxa"/>
            </w:tcMar>
            <w:vAlign w:val="bottom"/>
          </w:tcPr>
          <w:p w14:paraId="7C207ACE" w14:textId="77777777" w:rsidR="00834A75" w:rsidRDefault="00A6708C">
            <w:pPr>
              <w:jc w:val="right"/>
              <w:textAlignment w:val="bottom"/>
            </w:pPr>
            <w:r>
              <w:rPr>
                <w:rFonts w:ascii="sans-serif" w:eastAsia="sans-serif" w:hAnsi="sans-serif" w:cs="sans-serif"/>
                <w:color w:val="000000"/>
                <w:sz w:val="20"/>
                <w:szCs w:val="20"/>
              </w:rPr>
              <w:t>45,212 </w:t>
            </w:r>
          </w:p>
        </w:tc>
        <w:tc>
          <w:tcPr>
            <w:tcW w:w="0" w:type="auto"/>
            <w:tcBorders>
              <w:top w:val="single" w:sz="8" w:space="0" w:color="000000"/>
            </w:tcBorders>
            <w:shd w:val="clear" w:color="auto" w:fill="E2EFD9"/>
            <w:tcMar>
              <w:top w:w="40" w:type="dxa"/>
              <w:left w:w="0" w:type="dxa"/>
              <w:bottom w:w="40" w:type="dxa"/>
              <w:right w:w="20" w:type="dxa"/>
            </w:tcMar>
            <w:vAlign w:val="bottom"/>
          </w:tcPr>
          <w:p w14:paraId="7C207ACF" w14:textId="77777777" w:rsidR="00834A75" w:rsidRDefault="00834A75">
            <w:pPr>
              <w:jc w:val="right"/>
              <w:rPr>
                <w:rFonts w:ascii="宋体"/>
              </w:rPr>
            </w:pPr>
          </w:p>
        </w:tc>
        <w:tc>
          <w:tcPr>
            <w:tcW w:w="0" w:type="auto"/>
            <w:gridSpan w:val="3"/>
            <w:shd w:val="clear" w:color="auto" w:fill="E2EFD9"/>
            <w:tcMar>
              <w:top w:w="0" w:type="dxa"/>
              <w:left w:w="20" w:type="dxa"/>
              <w:bottom w:w="0" w:type="dxa"/>
              <w:right w:w="20" w:type="dxa"/>
            </w:tcMar>
            <w:vAlign w:val="bottom"/>
          </w:tcPr>
          <w:p w14:paraId="7C207AD0" w14:textId="77777777" w:rsidR="00834A75" w:rsidRDefault="00834A75">
            <w:pPr>
              <w:rPr>
                <w:rFonts w:ascii="宋体"/>
              </w:rPr>
            </w:pPr>
          </w:p>
        </w:tc>
        <w:tc>
          <w:tcPr>
            <w:tcW w:w="0" w:type="auto"/>
            <w:tcBorders>
              <w:top w:val="single" w:sz="8" w:space="0" w:color="000000"/>
            </w:tcBorders>
            <w:shd w:val="clear" w:color="auto" w:fill="E2EFD9"/>
            <w:tcMar>
              <w:top w:w="40" w:type="dxa"/>
              <w:left w:w="20" w:type="dxa"/>
              <w:bottom w:w="40" w:type="dxa"/>
              <w:right w:w="0" w:type="dxa"/>
            </w:tcMar>
            <w:vAlign w:val="bottom"/>
          </w:tcPr>
          <w:p w14:paraId="7C207AD1" w14:textId="77777777" w:rsidR="00834A75" w:rsidRDefault="00A6708C">
            <w:pPr>
              <w:textAlignment w:val="bottom"/>
            </w:pPr>
            <w:r>
              <w:rPr>
                <w:rFonts w:ascii="sans-serif" w:eastAsia="sans-serif" w:hAnsi="sans-serif" w:cs="sans-serif"/>
                <w:color w:val="000000"/>
                <w:sz w:val="20"/>
                <w:szCs w:val="20"/>
              </w:rPr>
              <w:t>$</w:t>
            </w:r>
          </w:p>
        </w:tc>
        <w:tc>
          <w:tcPr>
            <w:tcW w:w="0" w:type="auto"/>
            <w:tcBorders>
              <w:top w:val="single" w:sz="8" w:space="0" w:color="000000"/>
            </w:tcBorders>
            <w:shd w:val="clear" w:color="auto" w:fill="E2EFD9"/>
            <w:tcMar>
              <w:top w:w="40" w:type="dxa"/>
              <w:left w:w="0" w:type="dxa"/>
              <w:bottom w:w="40" w:type="dxa"/>
              <w:right w:w="0" w:type="dxa"/>
            </w:tcMar>
            <w:vAlign w:val="bottom"/>
          </w:tcPr>
          <w:p w14:paraId="7C207AD2" w14:textId="77777777" w:rsidR="00834A75" w:rsidRDefault="00A6708C">
            <w:pPr>
              <w:jc w:val="right"/>
              <w:textAlignment w:val="bottom"/>
            </w:pPr>
            <w:r>
              <w:rPr>
                <w:rFonts w:ascii="sans-serif" w:eastAsia="sans-serif" w:hAnsi="sans-serif" w:cs="sans-serif"/>
                <w:color w:val="000000"/>
                <w:sz w:val="20"/>
                <w:szCs w:val="20"/>
              </w:rPr>
              <w:t>44,187 </w:t>
            </w:r>
          </w:p>
        </w:tc>
        <w:tc>
          <w:tcPr>
            <w:tcW w:w="0" w:type="auto"/>
            <w:tcBorders>
              <w:top w:val="single" w:sz="8" w:space="0" w:color="000000"/>
            </w:tcBorders>
            <w:shd w:val="clear" w:color="auto" w:fill="E2EFD9"/>
            <w:tcMar>
              <w:top w:w="40" w:type="dxa"/>
              <w:left w:w="0" w:type="dxa"/>
              <w:bottom w:w="40" w:type="dxa"/>
              <w:right w:w="20" w:type="dxa"/>
            </w:tcMar>
            <w:vAlign w:val="bottom"/>
          </w:tcPr>
          <w:p w14:paraId="7C207AD3" w14:textId="77777777" w:rsidR="00834A75" w:rsidRDefault="00834A75">
            <w:pPr>
              <w:jc w:val="right"/>
              <w:rPr>
                <w:rFonts w:ascii="宋体"/>
              </w:rPr>
            </w:pPr>
          </w:p>
        </w:tc>
      </w:tr>
      <w:tr w:rsidR="00834A75" w14:paraId="7C207AD9" w14:textId="77777777">
        <w:trPr>
          <w:trHeight w:val="300"/>
          <w:jc w:val="center"/>
        </w:trPr>
        <w:tc>
          <w:tcPr>
            <w:tcW w:w="0" w:type="auto"/>
            <w:gridSpan w:val="3"/>
            <w:shd w:val="clear" w:color="auto" w:fill="FFFFFF"/>
            <w:tcMar>
              <w:top w:w="0" w:type="dxa"/>
              <w:left w:w="20" w:type="dxa"/>
              <w:bottom w:w="0" w:type="dxa"/>
              <w:right w:w="20" w:type="dxa"/>
            </w:tcMar>
            <w:vAlign w:val="bottom"/>
          </w:tcPr>
          <w:p w14:paraId="7C207AD5" w14:textId="77777777" w:rsidR="00834A75" w:rsidRDefault="00834A75">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7C207AD6" w14:textId="77777777" w:rsidR="00834A75" w:rsidRDefault="00834A75">
            <w:pPr>
              <w:rPr>
                <w:rFonts w:ascii="宋体"/>
              </w:rPr>
            </w:pPr>
          </w:p>
        </w:tc>
        <w:tc>
          <w:tcPr>
            <w:tcW w:w="0" w:type="auto"/>
            <w:gridSpan w:val="3"/>
            <w:shd w:val="clear" w:color="auto" w:fill="FFFFFF"/>
            <w:tcMar>
              <w:top w:w="0" w:type="dxa"/>
              <w:left w:w="20" w:type="dxa"/>
              <w:bottom w:w="0" w:type="dxa"/>
              <w:right w:w="20" w:type="dxa"/>
            </w:tcMar>
            <w:vAlign w:val="bottom"/>
          </w:tcPr>
          <w:p w14:paraId="7C207AD7" w14:textId="77777777" w:rsidR="00834A75" w:rsidRDefault="00834A75">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7C207AD8" w14:textId="77777777" w:rsidR="00834A75" w:rsidRDefault="00834A75">
            <w:pPr>
              <w:rPr>
                <w:rFonts w:ascii="宋体"/>
              </w:rPr>
            </w:pPr>
          </w:p>
        </w:tc>
      </w:tr>
      <w:tr w:rsidR="00834A75" w14:paraId="7C207ADE" w14:textId="77777777">
        <w:trPr>
          <w:jc w:val="center"/>
        </w:trPr>
        <w:tc>
          <w:tcPr>
            <w:tcW w:w="0" w:type="auto"/>
            <w:gridSpan w:val="3"/>
            <w:shd w:val="clear" w:color="auto" w:fill="E2EFD9"/>
            <w:tcMar>
              <w:top w:w="40" w:type="dxa"/>
              <w:left w:w="20" w:type="dxa"/>
              <w:bottom w:w="40" w:type="dxa"/>
              <w:right w:w="20" w:type="dxa"/>
            </w:tcMar>
            <w:vAlign w:val="bottom"/>
          </w:tcPr>
          <w:p w14:paraId="7C207ADA" w14:textId="77777777" w:rsidR="00834A75" w:rsidRDefault="00A6708C">
            <w:pPr>
              <w:textAlignment w:val="bottom"/>
            </w:pPr>
            <w:r>
              <w:rPr>
                <w:rFonts w:ascii="sans-serif" w:eastAsia="sans-serif" w:hAnsi="sans-serif" w:cs="sans-serif"/>
                <w:b/>
                <w:bCs/>
                <w:color w:val="000000"/>
                <w:sz w:val="20"/>
                <w:szCs w:val="20"/>
              </w:rPr>
              <w:t>LIABILITIES AND SHAREHOLDERS’ EQUITY</w:t>
            </w:r>
          </w:p>
        </w:tc>
        <w:tc>
          <w:tcPr>
            <w:tcW w:w="0" w:type="auto"/>
            <w:gridSpan w:val="3"/>
            <w:shd w:val="clear" w:color="auto" w:fill="E2EFD9"/>
            <w:tcMar>
              <w:top w:w="40" w:type="dxa"/>
              <w:left w:w="20" w:type="dxa"/>
              <w:bottom w:w="40" w:type="dxa"/>
              <w:right w:w="20" w:type="dxa"/>
            </w:tcMar>
            <w:vAlign w:val="bottom"/>
          </w:tcPr>
          <w:p w14:paraId="7C207ADB" w14:textId="77777777" w:rsidR="00834A75" w:rsidRDefault="00A6708C">
            <w:pPr>
              <w:textAlignment w:val="bottom"/>
            </w:pPr>
            <w:r>
              <w:rPr>
                <w:rFonts w:ascii="sans-serif" w:eastAsia="sans-serif" w:hAnsi="sans-serif" w:cs="sans-serif"/>
                <w:color w:val="000000"/>
                <w:sz w:val="20"/>
                <w:szCs w:val="20"/>
              </w:rPr>
              <w:t> </w:t>
            </w:r>
          </w:p>
        </w:tc>
        <w:tc>
          <w:tcPr>
            <w:tcW w:w="0" w:type="auto"/>
            <w:gridSpan w:val="3"/>
            <w:shd w:val="clear" w:color="auto" w:fill="E2EFD9"/>
            <w:tcMar>
              <w:top w:w="0" w:type="dxa"/>
              <w:left w:w="20" w:type="dxa"/>
              <w:bottom w:w="0" w:type="dxa"/>
              <w:right w:w="20" w:type="dxa"/>
            </w:tcMar>
            <w:vAlign w:val="bottom"/>
          </w:tcPr>
          <w:p w14:paraId="7C207ADC" w14:textId="77777777" w:rsidR="00834A75" w:rsidRDefault="00834A75">
            <w:pPr>
              <w:rPr>
                <w:rFonts w:ascii="宋体"/>
              </w:rPr>
            </w:pPr>
          </w:p>
        </w:tc>
        <w:tc>
          <w:tcPr>
            <w:tcW w:w="0" w:type="auto"/>
            <w:gridSpan w:val="3"/>
            <w:shd w:val="clear" w:color="auto" w:fill="E2EFD9"/>
            <w:tcMar>
              <w:top w:w="40" w:type="dxa"/>
              <w:left w:w="20" w:type="dxa"/>
              <w:bottom w:w="40" w:type="dxa"/>
              <w:right w:w="20" w:type="dxa"/>
            </w:tcMar>
            <w:vAlign w:val="bottom"/>
          </w:tcPr>
          <w:p w14:paraId="7C207ADD" w14:textId="77777777" w:rsidR="00834A75" w:rsidRDefault="00A6708C">
            <w:pPr>
              <w:textAlignment w:val="bottom"/>
            </w:pPr>
            <w:r>
              <w:rPr>
                <w:rFonts w:ascii="sans-serif" w:eastAsia="sans-serif" w:hAnsi="sans-serif" w:cs="sans-serif"/>
                <w:color w:val="000000"/>
                <w:sz w:val="20"/>
                <w:szCs w:val="20"/>
              </w:rPr>
              <w:t> </w:t>
            </w:r>
          </w:p>
        </w:tc>
      </w:tr>
      <w:tr w:rsidR="00834A75" w14:paraId="7C207AE3" w14:textId="77777777">
        <w:trPr>
          <w:jc w:val="center"/>
        </w:trPr>
        <w:tc>
          <w:tcPr>
            <w:tcW w:w="0" w:type="auto"/>
            <w:gridSpan w:val="3"/>
            <w:shd w:val="clear" w:color="auto" w:fill="FFFFFF"/>
            <w:tcMar>
              <w:top w:w="40" w:type="dxa"/>
              <w:left w:w="20" w:type="dxa"/>
              <w:bottom w:w="40" w:type="dxa"/>
              <w:right w:w="20" w:type="dxa"/>
            </w:tcMar>
            <w:vAlign w:val="bottom"/>
          </w:tcPr>
          <w:p w14:paraId="7C207ADF" w14:textId="77777777" w:rsidR="00834A75" w:rsidRDefault="00A6708C">
            <w:pPr>
              <w:textAlignment w:val="bottom"/>
            </w:pPr>
            <w:r>
              <w:rPr>
                <w:rFonts w:ascii="sans-serif" w:eastAsia="sans-serif" w:hAnsi="sans-serif" w:cs="sans-serif"/>
                <w:color w:val="000000"/>
                <w:sz w:val="20"/>
                <w:szCs w:val="20"/>
              </w:rPr>
              <w:t>Current liabilities:</w:t>
            </w:r>
          </w:p>
        </w:tc>
        <w:tc>
          <w:tcPr>
            <w:tcW w:w="0" w:type="auto"/>
            <w:gridSpan w:val="3"/>
            <w:shd w:val="clear" w:color="auto" w:fill="FFFFFF"/>
            <w:tcMar>
              <w:top w:w="40" w:type="dxa"/>
              <w:left w:w="20" w:type="dxa"/>
              <w:bottom w:w="40" w:type="dxa"/>
              <w:right w:w="20" w:type="dxa"/>
            </w:tcMar>
            <w:vAlign w:val="bottom"/>
          </w:tcPr>
          <w:p w14:paraId="7C207AE0" w14:textId="77777777" w:rsidR="00834A75" w:rsidRDefault="00A6708C">
            <w:pPr>
              <w:textAlignment w:val="bottom"/>
            </w:pPr>
            <w:r>
              <w:rPr>
                <w:rFonts w:ascii="sans-serif" w:eastAsia="sans-serif" w:hAnsi="sans-serif" w:cs="sans-serif"/>
                <w:color w:val="000000"/>
                <w:sz w:val="20"/>
                <w:szCs w:val="20"/>
              </w:rPr>
              <w:t> </w:t>
            </w:r>
          </w:p>
        </w:tc>
        <w:tc>
          <w:tcPr>
            <w:tcW w:w="0" w:type="auto"/>
            <w:gridSpan w:val="3"/>
            <w:shd w:val="clear" w:color="auto" w:fill="FFFFFF"/>
            <w:tcMar>
              <w:top w:w="0" w:type="dxa"/>
              <w:left w:w="20" w:type="dxa"/>
              <w:bottom w:w="0" w:type="dxa"/>
              <w:right w:w="20" w:type="dxa"/>
            </w:tcMar>
            <w:vAlign w:val="bottom"/>
          </w:tcPr>
          <w:p w14:paraId="7C207AE1" w14:textId="77777777" w:rsidR="00834A75" w:rsidRDefault="00834A75">
            <w:pPr>
              <w:rPr>
                <w:rFonts w:ascii="宋体"/>
              </w:rPr>
            </w:pPr>
          </w:p>
        </w:tc>
        <w:tc>
          <w:tcPr>
            <w:tcW w:w="0" w:type="auto"/>
            <w:gridSpan w:val="3"/>
            <w:shd w:val="clear" w:color="auto" w:fill="FFFFFF"/>
            <w:tcMar>
              <w:top w:w="40" w:type="dxa"/>
              <w:left w:w="20" w:type="dxa"/>
              <w:bottom w:w="40" w:type="dxa"/>
              <w:right w:w="20" w:type="dxa"/>
            </w:tcMar>
            <w:vAlign w:val="bottom"/>
          </w:tcPr>
          <w:p w14:paraId="7C207AE2" w14:textId="77777777" w:rsidR="00834A75" w:rsidRDefault="00A6708C">
            <w:pPr>
              <w:textAlignment w:val="bottom"/>
            </w:pPr>
            <w:r>
              <w:rPr>
                <w:rFonts w:ascii="sans-serif" w:eastAsia="sans-serif" w:hAnsi="sans-serif" w:cs="sans-serif"/>
                <w:color w:val="000000"/>
                <w:sz w:val="20"/>
                <w:szCs w:val="20"/>
              </w:rPr>
              <w:t> </w:t>
            </w:r>
          </w:p>
        </w:tc>
      </w:tr>
      <w:tr w:rsidR="00834A75" w14:paraId="7C207AEC" w14:textId="77777777">
        <w:trPr>
          <w:jc w:val="center"/>
        </w:trPr>
        <w:tc>
          <w:tcPr>
            <w:tcW w:w="0" w:type="auto"/>
            <w:gridSpan w:val="3"/>
            <w:shd w:val="clear" w:color="auto" w:fill="E2EFD9"/>
            <w:tcMar>
              <w:top w:w="40" w:type="dxa"/>
              <w:left w:w="245" w:type="dxa"/>
              <w:bottom w:w="40" w:type="dxa"/>
              <w:right w:w="20" w:type="dxa"/>
            </w:tcMar>
            <w:vAlign w:val="bottom"/>
          </w:tcPr>
          <w:p w14:paraId="7C207AE4" w14:textId="77777777" w:rsidR="00834A75" w:rsidRDefault="00A6708C">
            <w:pPr>
              <w:textAlignment w:val="bottom"/>
            </w:pPr>
            <w:r>
              <w:rPr>
                <w:rFonts w:ascii="sans-serif" w:eastAsia="sans-serif" w:hAnsi="sans-serif" w:cs="sans-serif"/>
                <w:color w:val="000000"/>
                <w:sz w:val="20"/>
                <w:szCs w:val="20"/>
              </w:rPr>
              <w:t>Accounts payable</w:t>
            </w:r>
          </w:p>
        </w:tc>
        <w:tc>
          <w:tcPr>
            <w:tcW w:w="0" w:type="auto"/>
            <w:shd w:val="clear" w:color="auto" w:fill="E2EFD9"/>
            <w:tcMar>
              <w:top w:w="40" w:type="dxa"/>
              <w:left w:w="20" w:type="dxa"/>
              <w:bottom w:w="40" w:type="dxa"/>
              <w:right w:w="0" w:type="dxa"/>
            </w:tcMar>
            <w:vAlign w:val="bottom"/>
          </w:tcPr>
          <w:p w14:paraId="7C207AE5" w14:textId="77777777" w:rsidR="00834A75" w:rsidRDefault="00A6708C">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7C207AE6" w14:textId="77777777" w:rsidR="00834A75" w:rsidRDefault="00A6708C">
            <w:pPr>
              <w:jc w:val="right"/>
              <w:textAlignment w:val="bottom"/>
            </w:pPr>
            <w:r>
              <w:rPr>
                <w:rFonts w:ascii="sans-serif" w:eastAsia="sans-serif" w:hAnsi="sans-serif" w:cs="sans-serif"/>
                <w:color w:val="000000"/>
                <w:sz w:val="20"/>
                <w:szCs w:val="20"/>
              </w:rPr>
              <w:t>1,999 </w:t>
            </w:r>
          </w:p>
        </w:tc>
        <w:tc>
          <w:tcPr>
            <w:tcW w:w="0" w:type="auto"/>
            <w:shd w:val="clear" w:color="auto" w:fill="E2EFD9"/>
            <w:tcMar>
              <w:top w:w="40" w:type="dxa"/>
              <w:left w:w="0" w:type="dxa"/>
              <w:bottom w:w="40" w:type="dxa"/>
              <w:right w:w="20" w:type="dxa"/>
            </w:tcMar>
            <w:vAlign w:val="bottom"/>
          </w:tcPr>
          <w:p w14:paraId="7C207AE7" w14:textId="77777777" w:rsidR="00834A75" w:rsidRDefault="00834A75">
            <w:pPr>
              <w:jc w:val="right"/>
              <w:rPr>
                <w:rFonts w:ascii="宋体"/>
              </w:rPr>
            </w:pPr>
          </w:p>
        </w:tc>
        <w:tc>
          <w:tcPr>
            <w:tcW w:w="0" w:type="auto"/>
            <w:gridSpan w:val="3"/>
            <w:shd w:val="clear" w:color="auto" w:fill="E2EFD9"/>
            <w:tcMar>
              <w:top w:w="0" w:type="dxa"/>
              <w:left w:w="20" w:type="dxa"/>
              <w:bottom w:w="0" w:type="dxa"/>
              <w:right w:w="20" w:type="dxa"/>
            </w:tcMar>
            <w:vAlign w:val="bottom"/>
          </w:tcPr>
          <w:p w14:paraId="7C207AE8" w14:textId="77777777" w:rsidR="00834A75" w:rsidRDefault="00834A75">
            <w:pPr>
              <w:rPr>
                <w:rFonts w:ascii="宋体"/>
              </w:rPr>
            </w:pPr>
          </w:p>
        </w:tc>
        <w:tc>
          <w:tcPr>
            <w:tcW w:w="0" w:type="auto"/>
            <w:shd w:val="clear" w:color="auto" w:fill="E2EFD9"/>
            <w:tcMar>
              <w:top w:w="40" w:type="dxa"/>
              <w:left w:w="20" w:type="dxa"/>
              <w:bottom w:w="40" w:type="dxa"/>
              <w:right w:w="0" w:type="dxa"/>
            </w:tcMar>
            <w:vAlign w:val="bottom"/>
          </w:tcPr>
          <w:p w14:paraId="7C207AE9" w14:textId="77777777" w:rsidR="00834A75" w:rsidRDefault="00A6708C">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7C207AEA" w14:textId="77777777" w:rsidR="00834A75" w:rsidRDefault="00A6708C">
            <w:pPr>
              <w:jc w:val="right"/>
              <w:textAlignment w:val="bottom"/>
            </w:pPr>
            <w:r>
              <w:rPr>
                <w:rFonts w:ascii="sans-serif" w:eastAsia="sans-serif" w:hAnsi="sans-serif" w:cs="sans-serif"/>
                <w:color w:val="000000"/>
                <w:sz w:val="20"/>
                <w:szCs w:val="20"/>
              </w:rPr>
              <w:t>1,783 </w:t>
            </w:r>
          </w:p>
        </w:tc>
        <w:tc>
          <w:tcPr>
            <w:tcW w:w="0" w:type="auto"/>
            <w:shd w:val="clear" w:color="auto" w:fill="E2EFD9"/>
            <w:tcMar>
              <w:top w:w="40" w:type="dxa"/>
              <w:left w:w="0" w:type="dxa"/>
              <w:bottom w:w="40" w:type="dxa"/>
              <w:right w:w="20" w:type="dxa"/>
            </w:tcMar>
            <w:vAlign w:val="bottom"/>
          </w:tcPr>
          <w:p w14:paraId="7C207AEB" w14:textId="77777777" w:rsidR="00834A75" w:rsidRDefault="00834A75">
            <w:pPr>
              <w:jc w:val="right"/>
              <w:rPr>
                <w:rFonts w:ascii="宋体"/>
              </w:rPr>
            </w:pPr>
          </w:p>
        </w:tc>
      </w:tr>
      <w:tr w:rsidR="00834A75" w14:paraId="7C207AF3" w14:textId="77777777">
        <w:trPr>
          <w:jc w:val="center"/>
        </w:trPr>
        <w:tc>
          <w:tcPr>
            <w:tcW w:w="0" w:type="auto"/>
            <w:gridSpan w:val="3"/>
            <w:shd w:val="clear" w:color="auto" w:fill="FFFFFF"/>
            <w:tcMar>
              <w:top w:w="40" w:type="dxa"/>
              <w:left w:w="245" w:type="dxa"/>
              <w:bottom w:w="40" w:type="dxa"/>
              <w:right w:w="20" w:type="dxa"/>
            </w:tcMar>
            <w:vAlign w:val="bottom"/>
          </w:tcPr>
          <w:p w14:paraId="7C207AED" w14:textId="77777777" w:rsidR="00834A75" w:rsidRDefault="00A6708C">
            <w:pPr>
              <w:textAlignment w:val="bottom"/>
            </w:pPr>
            <w:r>
              <w:rPr>
                <w:rFonts w:ascii="sans-serif" w:eastAsia="sans-serif" w:hAnsi="sans-serif" w:cs="sans-serif"/>
                <w:color w:val="000000"/>
                <w:sz w:val="20"/>
                <w:szCs w:val="20"/>
              </w:rPr>
              <w:t>Accrued and other current liabilities</w:t>
            </w:r>
          </w:p>
        </w:tc>
        <w:tc>
          <w:tcPr>
            <w:tcW w:w="0" w:type="auto"/>
            <w:gridSpan w:val="2"/>
            <w:shd w:val="clear" w:color="auto" w:fill="FFFFFF"/>
            <w:tcMar>
              <w:top w:w="40" w:type="dxa"/>
              <w:left w:w="20" w:type="dxa"/>
              <w:bottom w:w="40" w:type="dxa"/>
              <w:right w:w="0" w:type="dxa"/>
            </w:tcMar>
            <w:vAlign w:val="bottom"/>
          </w:tcPr>
          <w:p w14:paraId="7C207AEE" w14:textId="77777777" w:rsidR="00834A75" w:rsidRDefault="00A6708C">
            <w:pPr>
              <w:jc w:val="right"/>
              <w:textAlignment w:val="bottom"/>
            </w:pPr>
            <w:r>
              <w:rPr>
                <w:rFonts w:ascii="sans-serif" w:eastAsia="sans-serif" w:hAnsi="sans-serif" w:cs="sans-serif"/>
                <w:color w:val="000000"/>
                <w:sz w:val="20"/>
                <w:szCs w:val="20"/>
              </w:rPr>
              <w:t>3,563 </w:t>
            </w:r>
          </w:p>
        </w:tc>
        <w:tc>
          <w:tcPr>
            <w:tcW w:w="0" w:type="auto"/>
            <w:shd w:val="clear" w:color="auto" w:fill="FFFFFF"/>
            <w:tcMar>
              <w:top w:w="40" w:type="dxa"/>
              <w:left w:w="0" w:type="dxa"/>
              <w:bottom w:w="40" w:type="dxa"/>
              <w:right w:w="20" w:type="dxa"/>
            </w:tcMar>
            <w:vAlign w:val="bottom"/>
          </w:tcPr>
          <w:p w14:paraId="7C207AEF" w14:textId="77777777" w:rsidR="00834A75" w:rsidRDefault="00834A75">
            <w:pPr>
              <w:jc w:val="right"/>
              <w:rPr>
                <w:rFonts w:ascii="宋体"/>
              </w:rPr>
            </w:pPr>
          </w:p>
        </w:tc>
        <w:tc>
          <w:tcPr>
            <w:tcW w:w="0" w:type="auto"/>
            <w:gridSpan w:val="3"/>
            <w:shd w:val="clear" w:color="auto" w:fill="FFFFFF"/>
            <w:tcMar>
              <w:top w:w="0" w:type="dxa"/>
              <w:left w:w="20" w:type="dxa"/>
              <w:bottom w:w="0" w:type="dxa"/>
              <w:right w:w="20" w:type="dxa"/>
            </w:tcMar>
            <w:vAlign w:val="bottom"/>
          </w:tcPr>
          <w:p w14:paraId="7C207AF0" w14:textId="77777777" w:rsidR="00834A75" w:rsidRDefault="00834A75">
            <w:pPr>
              <w:rPr>
                <w:rFonts w:ascii="宋体"/>
              </w:rPr>
            </w:pPr>
          </w:p>
        </w:tc>
        <w:tc>
          <w:tcPr>
            <w:tcW w:w="0" w:type="auto"/>
            <w:gridSpan w:val="2"/>
            <w:shd w:val="clear" w:color="auto" w:fill="FFFFFF"/>
            <w:tcMar>
              <w:top w:w="40" w:type="dxa"/>
              <w:left w:w="20" w:type="dxa"/>
              <w:bottom w:w="40" w:type="dxa"/>
              <w:right w:w="0" w:type="dxa"/>
            </w:tcMar>
            <w:vAlign w:val="bottom"/>
          </w:tcPr>
          <w:p w14:paraId="7C207AF1" w14:textId="77777777" w:rsidR="00834A75" w:rsidRDefault="00A6708C">
            <w:pPr>
              <w:jc w:val="right"/>
              <w:textAlignment w:val="bottom"/>
            </w:pPr>
            <w:r>
              <w:rPr>
                <w:rFonts w:ascii="sans-serif" w:eastAsia="sans-serif" w:hAnsi="sans-serif" w:cs="sans-serif"/>
                <w:color w:val="000000"/>
                <w:sz w:val="20"/>
                <w:szCs w:val="20"/>
              </w:rPr>
              <w:t>2,552 </w:t>
            </w:r>
          </w:p>
        </w:tc>
        <w:tc>
          <w:tcPr>
            <w:tcW w:w="0" w:type="auto"/>
            <w:shd w:val="clear" w:color="auto" w:fill="FFFFFF"/>
            <w:tcMar>
              <w:top w:w="40" w:type="dxa"/>
              <w:left w:w="0" w:type="dxa"/>
              <w:bottom w:w="40" w:type="dxa"/>
              <w:right w:w="20" w:type="dxa"/>
            </w:tcMar>
            <w:vAlign w:val="bottom"/>
          </w:tcPr>
          <w:p w14:paraId="7C207AF2" w14:textId="77777777" w:rsidR="00834A75" w:rsidRDefault="00834A75">
            <w:pPr>
              <w:jc w:val="right"/>
              <w:rPr>
                <w:rFonts w:ascii="宋体"/>
              </w:rPr>
            </w:pPr>
          </w:p>
        </w:tc>
      </w:tr>
      <w:tr w:rsidR="00834A75" w14:paraId="7C207AF8" w14:textId="77777777">
        <w:trPr>
          <w:jc w:val="center"/>
          <w:hidden/>
        </w:trPr>
        <w:tc>
          <w:tcPr>
            <w:tcW w:w="0" w:type="auto"/>
            <w:gridSpan w:val="3"/>
            <w:shd w:val="clear" w:color="auto" w:fill="auto"/>
            <w:vAlign w:val="bottom"/>
          </w:tcPr>
          <w:p w14:paraId="7C207AF4" w14:textId="77777777" w:rsidR="00834A75" w:rsidRDefault="00834A75">
            <w:pPr>
              <w:rPr>
                <w:rFonts w:ascii="宋体"/>
                <w:vanish/>
              </w:rPr>
            </w:pPr>
          </w:p>
        </w:tc>
        <w:tc>
          <w:tcPr>
            <w:tcW w:w="0" w:type="auto"/>
            <w:gridSpan w:val="3"/>
            <w:shd w:val="clear" w:color="auto" w:fill="auto"/>
            <w:vAlign w:val="bottom"/>
          </w:tcPr>
          <w:p w14:paraId="7C207AF5" w14:textId="77777777" w:rsidR="00834A75" w:rsidRDefault="00834A75">
            <w:pPr>
              <w:rPr>
                <w:rFonts w:ascii="宋体"/>
                <w:vanish/>
              </w:rPr>
            </w:pPr>
          </w:p>
        </w:tc>
        <w:tc>
          <w:tcPr>
            <w:tcW w:w="0" w:type="auto"/>
            <w:gridSpan w:val="3"/>
            <w:shd w:val="clear" w:color="auto" w:fill="auto"/>
            <w:vAlign w:val="bottom"/>
          </w:tcPr>
          <w:p w14:paraId="7C207AF6" w14:textId="77777777" w:rsidR="00834A75" w:rsidRDefault="00834A75">
            <w:pPr>
              <w:rPr>
                <w:rFonts w:ascii="宋体"/>
                <w:vanish/>
              </w:rPr>
            </w:pPr>
          </w:p>
        </w:tc>
        <w:tc>
          <w:tcPr>
            <w:tcW w:w="0" w:type="auto"/>
            <w:gridSpan w:val="3"/>
            <w:shd w:val="clear" w:color="auto" w:fill="auto"/>
            <w:vAlign w:val="bottom"/>
          </w:tcPr>
          <w:p w14:paraId="7C207AF7" w14:textId="77777777" w:rsidR="00834A75" w:rsidRDefault="00834A75">
            <w:pPr>
              <w:rPr>
                <w:rFonts w:ascii="宋体"/>
                <w:vanish/>
              </w:rPr>
            </w:pPr>
          </w:p>
        </w:tc>
      </w:tr>
      <w:tr w:rsidR="00834A75" w14:paraId="7C207AFF" w14:textId="77777777">
        <w:trPr>
          <w:jc w:val="center"/>
        </w:trPr>
        <w:tc>
          <w:tcPr>
            <w:tcW w:w="0" w:type="auto"/>
            <w:gridSpan w:val="3"/>
            <w:shd w:val="clear" w:color="auto" w:fill="E2EFD9"/>
            <w:tcMar>
              <w:top w:w="40" w:type="dxa"/>
              <w:left w:w="20" w:type="dxa"/>
              <w:bottom w:w="40" w:type="dxa"/>
              <w:right w:w="20" w:type="dxa"/>
            </w:tcMar>
            <w:vAlign w:val="bottom"/>
          </w:tcPr>
          <w:p w14:paraId="7C207AF9" w14:textId="77777777" w:rsidR="00834A75" w:rsidRDefault="00A6708C">
            <w:pPr>
              <w:textAlignment w:val="bottom"/>
            </w:pPr>
            <w:r>
              <w:rPr>
                <w:rFonts w:ascii="sans-serif" w:eastAsia="sans-serif" w:hAnsi="sans-serif" w:cs="sans-serif"/>
                <w:color w:val="000000"/>
                <w:sz w:val="20"/>
                <w:szCs w:val="20"/>
              </w:rPr>
              <w:t>Total current liabilities</w:t>
            </w:r>
          </w:p>
        </w:tc>
        <w:tc>
          <w:tcPr>
            <w:tcW w:w="0" w:type="auto"/>
            <w:gridSpan w:val="2"/>
            <w:tcBorders>
              <w:top w:val="single" w:sz="8" w:space="0" w:color="000000"/>
            </w:tcBorders>
            <w:shd w:val="clear" w:color="auto" w:fill="E2EFD9"/>
            <w:tcMar>
              <w:top w:w="40" w:type="dxa"/>
              <w:left w:w="20" w:type="dxa"/>
              <w:bottom w:w="40" w:type="dxa"/>
              <w:right w:w="0" w:type="dxa"/>
            </w:tcMar>
            <w:vAlign w:val="bottom"/>
          </w:tcPr>
          <w:p w14:paraId="7C207AFA" w14:textId="77777777" w:rsidR="00834A75" w:rsidRDefault="00A6708C">
            <w:pPr>
              <w:jc w:val="right"/>
              <w:textAlignment w:val="bottom"/>
            </w:pPr>
            <w:r>
              <w:rPr>
                <w:rFonts w:ascii="sans-serif" w:eastAsia="sans-serif" w:hAnsi="sans-serif" w:cs="sans-serif"/>
                <w:color w:val="000000"/>
                <w:sz w:val="20"/>
                <w:szCs w:val="20"/>
              </w:rPr>
              <w:t>5,562 </w:t>
            </w:r>
          </w:p>
        </w:tc>
        <w:tc>
          <w:tcPr>
            <w:tcW w:w="0" w:type="auto"/>
            <w:tcBorders>
              <w:top w:val="single" w:sz="8" w:space="0" w:color="000000"/>
            </w:tcBorders>
            <w:shd w:val="clear" w:color="auto" w:fill="E2EFD9"/>
            <w:tcMar>
              <w:top w:w="40" w:type="dxa"/>
              <w:left w:w="0" w:type="dxa"/>
              <w:bottom w:w="40" w:type="dxa"/>
              <w:right w:w="20" w:type="dxa"/>
            </w:tcMar>
            <w:vAlign w:val="bottom"/>
          </w:tcPr>
          <w:p w14:paraId="7C207AFB" w14:textId="77777777" w:rsidR="00834A75" w:rsidRDefault="00834A75">
            <w:pPr>
              <w:jc w:val="right"/>
              <w:rPr>
                <w:rFonts w:ascii="宋体"/>
              </w:rPr>
            </w:pPr>
          </w:p>
        </w:tc>
        <w:tc>
          <w:tcPr>
            <w:tcW w:w="0" w:type="auto"/>
            <w:gridSpan w:val="3"/>
            <w:shd w:val="clear" w:color="auto" w:fill="E2EFD9"/>
            <w:tcMar>
              <w:top w:w="0" w:type="dxa"/>
              <w:left w:w="20" w:type="dxa"/>
              <w:bottom w:w="0" w:type="dxa"/>
              <w:right w:w="20" w:type="dxa"/>
            </w:tcMar>
            <w:vAlign w:val="bottom"/>
          </w:tcPr>
          <w:p w14:paraId="7C207AFC" w14:textId="77777777" w:rsidR="00834A75" w:rsidRDefault="00834A75">
            <w:pPr>
              <w:rPr>
                <w:rFonts w:ascii="宋体"/>
              </w:rPr>
            </w:pPr>
          </w:p>
        </w:tc>
        <w:tc>
          <w:tcPr>
            <w:tcW w:w="0" w:type="auto"/>
            <w:gridSpan w:val="2"/>
            <w:tcBorders>
              <w:top w:val="single" w:sz="8" w:space="0" w:color="000000"/>
            </w:tcBorders>
            <w:shd w:val="clear" w:color="auto" w:fill="E2EFD9"/>
            <w:tcMar>
              <w:top w:w="40" w:type="dxa"/>
              <w:left w:w="20" w:type="dxa"/>
              <w:bottom w:w="40" w:type="dxa"/>
              <w:right w:w="0" w:type="dxa"/>
            </w:tcMar>
            <w:vAlign w:val="bottom"/>
          </w:tcPr>
          <w:p w14:paraId="7C207AFD" w14:textId="77777777" w:rsidR="00834A75" w:rsidRDefault="00A6708C">
            <w:pPr>
              <w:jc w:val="right"/>
              <w:textAlignment w:val="bottom"/>
            </w:pPr>
            <w:r>
              <w:rPr>
                <w:rFonts w:ascii="sans-serif" w:eastAsia="sans-serif" w:hAnsi="sans-serif" w:cs="sans-serif"/>
                <w:color w:val="000000"/>
                <w:sz w:val="20"/>
                <w:szCs w:val="20"/>
              </w:rPr>
              <w:t>4,335 </w:t>
            </w:r>
          </w:p>
        </w:tc>
        <w:tc>
          <w:tcPr>
            <w:tcW w:w="0" w:type="auto"/>
            <w:tcBorders>
              <w:top w:val="single" w:sz="8" w:space="0" w:color="000000"/>
            </w:tcBorders>
            <w:shd w:val="clear" w:color="auto" w:fill="E2EFD9"/>
            <w:tcMar>
              <w:top w:w="40" w:type="dxa"/>
              <w:left w:w="0" w:type="dxa"/>
              <w:bottom w:w="40" w:type="dxa"/>
              <w:right w:w="20" w:type="dxa"/>
            </w:tcMar>
            <w:vAlign w:val="bottom"/>
          </w:tcPr>
          <w:p w14:paraId="7C207AFE" w14:textId="77777777" w:rsidR="00834A75" w:rsidRDefault="00834A75">
            <w:pPr>
              <w:jc w:val="right"/>
              <w:rPr>
                <w:rFonts w:ascii="宋体"/>
              </w:rPr>
            </w:pPr>
          </w:p>
        </w:tc>
      </w:tr>
      <w:tr w:rsidR="00834A75" w14:paraId="7C207B06" w14:textId="77777777">
        <w:trPr>
          <w:jc w:val="center"/>
        </w:trPr>
        <w:tc>
          <w:tcPr>
            <w:tcW w:w="0" w:type="auto"/>
            <w:gridSpan w:val="3"/>
            <w:shd w:val="clear" w:color="auto" w:fill="FFFFFF"/>
            <w:tcMar>
              <w:top w:w="40" w:type="dxa"/>
              <w:left w:w="20" w:type="dxa"/>
              <w:bottom w:w="40" w:type="dxa"/>
              <w:right w:w="20" w:type="dxa"/>
            </w:tcMar>
            <w:vAlign w:val="bottom"/>
          </w:tcPr>
          <w:p w14:paraId="7C207B00" w14:textId="77777777" w:rsidR="00834A75" w:rsidRDefault="00A6708C">
            <w:pPr>
              <w:textAlignment w:val="bottom"/>
            </w:pPr>
            <w:r>
              <w:rPr>
                <w:rFonts w:ascii="sans-serif" w:eastAsia="sans-serif" w:hAnsi="sans-serif" w:cs="sans-serif"/>
                <w:color w:val="000000"/>
                <w:sz w:val="20"/>
                <w:szCs w:val="20"/>
              </w:rPr>
              <w:t>Long-term debt</w:t>
            </w:r>
          </w:p>
        </w:tc>
        <w:tc>
          <w:tcPr>
            <w:tcW w:w="0" w:type="auto"/>
            <w:gridSpan w:val="2"/>
            <w:shd w:val="clear" w:color="auto" w:fill="FFFFFF"/>
            <w:tcMar>
              <w:top w:w="40" w:type="dxa"/>
              <w:left w:w="20" w:type="dxa"/>
              <w:bottom w:w="40" w:type="dxa"/>
              <w:right w:w="0" w:type="dxa"/>
            </w:tcMar>
            <w:vAlign w:val="bottom"/>
          </w:tcPr>
          <w:p w14:paraId="7C207B01" w14:textId="77777777" w:rsidR="00834A75" w:rsidRDefault="00A6708C">
            <w:pPr>
              <w:jc w:val="right"/>
              <w:textAlignment w:val="bottom"/>
            </w:pPr>
            <w:r>
              <w:rPr>
                <w:rFonts w:ascii="sans-serif" w:eastAsia="sans-serif" w:hAnsi="sans-serif" w:cs="sans-serif"/>
                <w:color w:val="000000"/>
                <w:sz w:val="20"/>
                <w:szCs w:val="20"/>
              </w:rPr>
              <w:t>10,947 </w:t>
            </w:r>
          </w:p>
        </w:tc>
        <w:tc>
          <w:tcPr>
            <w:tcW w:w="0" w:type="auto"/>
            <w:shd w:val="clear" w:color="auto" w:fill="FFFFFF"/>
            <w:tcMar>
              <w:top w:w="40" w:type="dxa"/>
              <w:left w:w="0" w:type="dxa"/>
              <w:bottom w:w="40" w:type="dxa"/>
              <w:right w:w="20" w:type="dxa"/>
            </w:tcMar>
            <w:vAlign w:val="bottom"/>
          </w:tcPr>
          <w:p w14:paraId="7C207B02" w14:textId="77777777" w:rsidR="00834A75" w:rsidRDefault="00834A75">
            <w:pPr>
              <w:jc w:val="right"/>
              <w:rPr>
                <w:rFonts w:ascii="宋体"/>
              </w:rPr>
            </w:pPr>
          </w:p>
        </w:tc>
        <w:tc>
          <w:tcPr>
            <w:tcW w:w="0" w:type="auto"/>
            <w:gridSpan w:val="3"/>
            <w:shd w:val="clear" w:color="auto" w:fill="FFFFFF"/>
            <w:tcMar>
              <w:top w:w="0" w:type="dxa"/>
              <w:left w:w="20" w:type="dxa"/>
              <w:bottom w:w="0" w:type="dxa"/>
              <w:right w:w="20" w:type="dxa"/>
            </w:tcMar>
            <w:vAlign w:val="bottom"/>
          </w:tcPr>
          <w:p w14:paraId="7C207B03" w14:textId="77777777" w:rsidR="00834A75" w:rsidRDefault="00834A75">
            <w:pPr>
              <w:rPr>
                <w:rFonts w:ascii="宋体"/>
              </w:rPr>
            </w:pPr>
          </w:p>
        </w:tc>
        <w:tc>
          <w:tcPr>
            <w:tcW w:w="0" w:type="auto"/>
            <w:gridSpan w:val="2"/>
            <w:shd w:val="clear" w:color="auto" w:fill="FFFFFF"/>
            <w:tcMar>
              <w:top w:w="40" w:type="dxa"/>
              <w:left w:w="20" w:type="dxa"/>
              <w:bottom w:w="40" w:type="dxa"/>
              <w:right w:w="0" w:type="dxa"/>
            </w:tcMar>
            <w:vAlign w:val="bottom"/>
          </w:tcPr>
          <w:p w14:paraId="7C207B04" w14:textId="77777777" w:rsidR="00834A75" w:rsidRDefault="00A6708C">
            <w:pPr>
              <w:jc w:val="right"/>
              <w:textAlignment w:val="bottom"/>
            </w:pPr>
            <w:r>
              <w:rPr>
                <w:rFonts w:ascii="sans-serif" w:eastAsia="sans-serif" w:hAnsi="sans-serif" w:cs="sans-serif"/>
                <w:color w:val="000000"/>
                <w:sz w:val="20"/>
                <w:szCs w:val="20"/>
              </w:rPr>
              <w:t>10,946 </w:t>
            </w:r>
          </w:p>
        </w:tc>
        <w:tc>
          <w:tcPr>
            <w:tcW w:w="0" w:type="auto"/>
            <w:shd w:val="clear" w:color="auto" w:fill="FFFFFF"/>
            <w:tcMar>
              <w:top w:w="40" w:type="dxa"/>
              <w:left w:w="0" w:type="dxa"/>
              <w:bottom w:w="40" w:type="dxa"/>
              <w:right w:w="20" w:type="dxa"/>
            </w:tcMar>
            <w:vAlign w:val="bottom"/>
          </w:tcPr>
          <w:p w14:paraId="7C207B05" w14:textId="77777777" w:rsidR="00834A75" w:rsidRDefault="00834A75">
            <w:pPr>
              <w:jc w:val="right"/>
              <w:rPr>
                <w:rFonts w:ascii="宋体"/>
              </w:rPr>
            </w:pPr>
          </w:p>
        </w:tc>
      </w:tr>
      <w:tr w:rsidR="00834A75" w14:paraId="7C207B0D" w14:textId="77777777">
        <w:trPr>
          <w:jc w:val="center"/>
        </w:trPr>
        <w:tc>
          <w:tcPr>
            <w:tcW w:w="0" w:type="auto"/>
            <w:gridSpan w:val="3"/>
            <w:shd w:val="clear" w:color="auto" w:fill="E2EFD9"/>
            <w:tcMar>
              <w:top w:w="40" w:type="dxa"/>
              <w:left w:w="20" w:type="dxa"/>
              <w:bottom w:w="40" w:type="dxa"/>
              <w:right w:w="20" w:type="dxa"/>
            </w:tcMar>
            <w:vAlign w:val="bottom"/>
          </w:tcPr>
          <w:p w14:paraId="7C207B07" w14:textId="77777777" w:rsidR="00834A75" w:rsidRDefault="00A6708C">
            <w:pPr>
              <w:textAlignment w:val="bottom"/>
            </w:pPr>
            <w:r>
              <w:rPr>
                <w:rFonts w:ascii="sans-serif" w:eastAsia="sans-serif" w:hAnsi="sans-serif" w:cs="sans-serif"/>
                <w:color w:val="000000"/>
                <w:sz w:val="20"/>
                <w:szCs w:val="20"/>
              </w:rPr>
              <w:t>Long-term operating lease liabilities</w:t>
            </w:r>
          </w:p>
        </w:tc>
        <w:tc>
          <w:tcPr>
            <w:tcW w:w="0" w:type="auto"/>
            <w:gridSpan w:val="2"/>
            <w:shd w:val="clear" w:color="auto" w:fill="E2EFD9"/>
            <w:tcMar>
              <w:top w:w="40" w:type="dxa"/>
              <w:left w:w="20" w:type="dxa"/>
              <w:bottom w:w="40" w:type="dxa"/>
              <w:right w:w="0" w:type="dxa"/>
            </w:tcMar>
            <w:vAlign w:val="bottom"/>
          </w:tcPr>
          <w:p w14:paraId="7C207B08" w14:textId="77777777" w:rsidR="00834A75" w:rsidRDefault="00A6708C">
            <w:pPr>
              <w:jc w:val="right"/>
              <w:textAlignment w:val="bottom"/>
            </w:pPr>
            <w:r>
              <w:rPr>
                <w:rFonts w:ascii="sans-serif" w:eastAsia="sans-serif" w:hAnsi="sans-serif" w:cs="sans-serif"/>
                <w:color w:val="000000"/>
                <w:sz w:val="20"/>
                <w:szCs w:val="20"/>
              </w:rPr>
              <w:t>752 </w:t>
            </w:r>
          </w:p>
        </w:tc>
        <w:tc>
          <w:tcPr>
            <w:tcW w:w="0" w:type="auto"/>
            <w:shd w:val="clear" w:color="auto" w:fill="E2EFD9"/>
            <w:tcMar>
              <w:top w:w="40" w:type="dxa"/>
              <w:left w:w="0" w:type="dxa"/>
              <w:bottom w:w="40" w:type="dxa"/>
              <w:right w:w="20" w:type="dxa"/>
            </w:tcMar>
            <w:vAlign w:val="bottom"/>
          </w:tcPr>
          <w:p w14:paraId="7C207B09" w14:textId="77777777" w:rsidR="00834A75" w:rsidRDefault="00834A75">
            <w:pPr>
              <w:jc w:val="right"/>
              <w:rPr>
                <w:rFonts w:ascii="宋体"/>
              </w:rPr>
            </w:pPr>
          </w:p>
        </w:tc>
        <w:tc>
          <w:tcPr>
            <w:tcW w:w="0" w:type="auto"/>
            <w:gridSpan w:val="3"/>
            <w:shd w:val="clear" w:color="auto" w:fill="E2EFD9"/>
            <w:tcMar>
              <w:top w:w="0" w:type="dxa"/>
              <w:left w:w="20" w:type="dxa"/>
              <w:bottom w:w="0" w:type="dxa"/>
              <w:right w:w="20" w:type="dxa"/>
            </w:tcMar>
            <w:vAlign w:val="bottom"/>
          </w:tcPr>
          <w:p w14:paraId="7C207B0A" w14:textId="77777777" w:rsidR="00834A75" w:rsidRDefault="00834A75">
            <w:pPr>
              <w:rPr>
                <w:rFonts w:ascii="宋体"/>
              </w:rPr>
            </w:pPr>
          </w:p>
        </w:tc>
        <w:tc>
          <w:tcPr>
            <w:tcW w:w="0" w:type="auto"/>
            <w:gridSpan w:val="2"/>
            <w:shd w:val="clear" w:color="auto" w:fill="E2EFD9"/>
            <w:tcMar>
              <w:top w:w="40" w:type="dxa"/>
              <w:left w:w="20" w:type="dxa"/>
              <w:bottom w:w="40" w:type="dxa"/>
              <w:right w:w="0" w:type="dxa"/>
            </w:tcMar>
            <w:vAlign w:val="bottom"/>
          </w:tcPr>
          <w:p w14:paraId="7C207B0B" w14:textId="77777777" w:rsidR="00834A75" w:rsidRDefault="00A6708C">
            <w:pPr>
              <w:jc w:val="right"/>
              <w:textAlignment w:val="bottom"/>
            </w:pPr>
            <w:r>
              <w:rPr>
                <w:rFonts w:ascii="sans-serif" w:eastAsia="sans-serif" w:hAnsi="sans-serif" w:cs="sans-serif"/>
                <w:color w:val="000000"/>
                <w:sz w:val="20"/>
                <w:szCs w:val="20"/>
              </w:rPr>
              <w:t>741 </w:t>
            </w:r>
          </w:p>
        </w:tc>
        <w:tc>
          <w:tcPr>
            <w:tcW w:w="0" w:type="auto"/>
            <w:shd w:val="clear" w:color="auto" w:fill="E2EFD9"/>
            <w:tcMar>
              <w:top w:w="40" w:type="dxa"/>
              <w:left w:w="0" w:type="dxa"/>
              <w:bottom w:w="40" w:type="dxa"/>
              <w:right w:w="20" w:type="dxa"/>
            </w:tcMar>
            <w:vAlign w:val="bottom"/>
          </w:tcPr>
          <w:p w14:paraId="7C207B0C" w14:textId="77777777" w:rsidR="00834A75" w:rsidRDefault="00834A75">
            <w:pPr>
              <w:jc w:val="right"/>
              <w:rPr>
                <w:rFonts w:ascii="宋体"/>
              </w:rPr>
            </w:pPr>
          </w:p>
        </w:tc>
      </w:tr>
      <w:tr w:rsidR="00834A75" w14:paraId="7C207B14" w14:textId="77777777">
        <w:trPr>
          <w:jc w:val="center"/>
        </w:trPr>
        <w:tc>
          <w:tcPr>
            <w:tcW w:w="0" w:type="auto"/>
            <w:gridSpan w:val="3"/>
            <w:shd w:val="clear" w:color="auto" w:fill="FFFFFF"/>
            <w:tcMar>
              <w:top w:w="40" w:type="dxa"/>
              <w:left w:w="20" w:type="dxa"/>
              <w:bottom w:w="40" w:type="dxa"/>
              <w:right w:w="20" w:type="dxa"/>
            </w:tcMar>
            <w:vAlign w:val="bottom"/>
          </w:tcPr>
          <w:p w14:paraId="7C207B0E" w14:textId="77777777" w:rsidR="00834A75" w:rsidRDefault="00A6708C">
            <w:pPr>
              <w:textAlignment w:val="bottom"/>
            </w:pPr>
            <w:r>
              <w:rPr>
                <w:rFonts w:ascii="sans-serif" w:eastAsia="sans-serif" w:hAnsi="sans-serif" w:cs="sans-serif"/>
                <w:color w:val="000000"/>
                <w:sz w:val="20"/>
                <w:szCs w:val="20"/>
              </w:rPr>
              <w:t>Other long-term liabilities</w:t>
            </w:r>
          </w:p>
        </w:tc>
        <w:tc>
          <w:tcPr>
            <w:tcW w:w="0" w:type="auto"/>
            <w:gridSpan w:val="2"/>
            <w:shd w:val="clear" w:color="auto" w:fill="FFFFFF"/>
            <w:tcMar>
              <w:top w:w="40" w:type="dxa"/>
              <w:left w:w="20" w:type="dxa"/>
              <w:bottom w:w="40" w:type="dxa"/>
              <w:right w:w="0" w:type="dxa"/>
            </w:tcMar>
            <w:vAlign w:val="bottom"/>
          </w:tcPr>
          <w:p w14:paraId="7C207B0F" w14:textId="77777777" w:rsidR="00834A75" w:rsidRDefault="00A6708C">
            <w:pPr>
              <w:jc w:val="right"/>
              <w:textAlignment w:val="bottom"/>
            </w:pPr>
            <w:r>
              <w:rPr>
                <w:rFonts w:ascii="sans-serif" w:eastAsia="sans-serif" w:hAnsi="sans-serif" w:cs="sans-serif"/>
                <w:color w:val="000000"/>
                <w:sz w:val="20"/>
                <w:szCs w:val="20"/>
              </w:rPr>
              <w:t>1,631 </w:t>
            </w:r>
          </w:p>
        </w:tc>
        <w:tc>
          <w:tcPr>
            <w:tcW w:w="0" w:type="auto"/>
            <w:shd w:val="clear" w:color="auto" w:fill="FFFFFF"/>
            <w:tcMar>
              <w:top w:w="40" w:type="dxa"/>
              <w:left w:w="0" w:type="dxa"/>
              <w:bottom w:w="40" w:type="dxa"/>
              <w:right w:w="20" w:type="dxa"/>
            </w:tcMar>
            <w:vAlign w:val="bottom"/>
          </w:tcPr>
          <w:p w14:paraId="7C207B10" w14:textId="77777777" w:rsidR="00834A75" w:rsidRDefault="00834A75">
            <w:pPr>
              <w:jc w:val="right"/>
              <w:rPr>
                <w:rFonts w:ascii="宋体"/>
              </w:rPr>
            </w:pPr>
          </w:p>
        </w:tc>
        <w:tc>
          <w:tcPr>
            <w:tcW w:w="0" w:type="auto"/>
            <w:gridSpan w:val="3"/>
            <w:shd w:val="clear" w:color="auto" w:fill="FFFFFF"/>
            <w:tcMar>
              <w:top w:w="0" w:type="dxa"/>
              <w:left w:w="20" w:type="dxa"/>
              <w:bottom w:w="0" w:type="dxa"/>
              <w:right w:w="20" w:type="dxa"/>
            </w:tcMar>
            <w:vAlign w:val="bottom"/>
          </w:tcPr>
          <w:p w14:paraId="7C207B11" w14:textId="77777777" w:rsidR="00834A75" w:rsidRDefault="00834A75">
            <w:pPr>
              <w:rPr>
                <w:rFonts w:ascii="宋体"/>
              </w:rPr>
            </w:pPr>
          </w:p>
        </w:tc>
        <w:tc>
          <w:tcPr>
            <w:tcW w:w="0" w:type="auto"/>
            <w:gridSpan w:val="2"/>
            <w:shd w:val="clear" w:color="auto" w:fill="FFFFFF"/>
            <w:tcMar>
              <w:top w:w="40" w:type="dxa"/>
              <w:left w:w="20" w:type="dxa"/>
              <w:bottom w:w="40" w:type="dxa"/>
              <w:right w:w="0" w:type="dxa"/>
            </w:tcMar>
            <w:vAlign w:val="bottom"/>
          </w:tcPr>
          <w:p w14:paraId="7C207B12" w14:textId="77777777" w:rsidR="00834A75" w:rsidRDefault="00A6708C">
            <w:pPr>
              <w:jc w:val="right"/>
              <w:textAlignment w:val="bottom"/>
            </w:pPr>
            <w:r>
              <w:rPr>
                <w:rFonts w:ascii="sans-serif" w:eastAsia="sans-serif" w:hAnsi="sans-serif" w:cs="sans-serif"/>
                <w:color w:val="000000"/>
                <w:sz w:val="20"/>
                <w:szCs w:val="20"/>
              </w:rPr>
              <w:t>1,553 </w:t>
            </w:r>
          </w:p>
        </w:tc>
        <w:tc>
          <w:tcPr>
            <w:tcW w:w="0" w:type="auto"/>
            <w:shd w:val="clear" w:color="auto" w:fill="FFFFFF"/>
            <w:tcMar>
              <w:top w:w="40" w:type="dxa"/>
              <w:left w:w="0" w:type="dxa"/>
              <w:bottom w:w="40" w:type="dxa"/>
              <w:right w:w="20" w:type="dxa"/>
            </w:tcMar>
            <w:vAlign w:val="bottom"/>
          </w:tcPr>
          <w:p w14:paraId="7C207B13" w14:textId="77777777" w:rsidR="00834A75" w:rsidRDefault="00834A75">
            <w:pPr>
              <w:jc w:val="right"/>
              <w:rPr>
                <w:rFonts w:ascii="宋体"/>
              </w:rPr>
            </w:pPr>
          </w:p>
        </w:tc>
      </w:tr>
      <w:tr w:rsidR="00834A75" w14:paraId="7C207B1B" w14:textId="77777777">
        <w:trPr>
          <w:jc w:val="center"/>
        </w:trPr>
        <w:tc>
          <w:tcPr>
            <w:tcW w:w="0" w:type="auto"/>
            <w:gridSpan w:val="3"/>
            <w:shd w:val="clear" w:color="auto" w:fill="E2EFD9"/>
            <w:tcMar>
              <w:top w:w="40" w:type="dxa"/>
              <w:left w:w="20" w:type="dxa"/>
              <w:bottom w:w="40" w:type="dxa"/>
              <w:right w:w="20" w:type="dxa"/>
            </w:tcMar>
            <w:vAlign w:val="bottom"/>
          </w:tcPr>
          <w:p w14:paraId="7C207B15" w14:textId="77777777" w:rsidR="00834A75" w:rsidRDefault="00A6708C">
            <w:pPr>
              <w:textAlignment w:val="bottom"/>
            </w:pPr>
            <w:r>
              <w:rPr>
                <w:rFonts w:ascii="sans-serif" w:eastAsia="sans-serif" w:hAnsi="sans-serif" w:cs="sans-serif"/>
                <w:color w:val="000000"/>
                <w:sz w:val="20"/>
                <w:szCs w:val="20"/>
              </w:rPr>
              <w:t>Total liabilities</w:t>
            </w:r>
          </w:p>
        </w:tc>
        <w:tc>
          <w:tcPr>
            <w:tcW w:w="0" w:type="auto"/>
            <w:gridSpan w:val="2"/>
            <w:tcBorders>
              <w:top w:val="single" w:sz="8" w:space="0" w:color="000000"/>
            </w:tcBorders>
            <w:shd w:val="clear" w:color="auto" w:fill="E2EFD9"/>
            <w:tcMar>
              <w:top w:w="40" w:type="dxa"/>
              <w:left w:w="20" w:type="dxa"/>
              <w:bottom w:w="40" w:type="dxa"/>
              <w:right w:w="0" w:type="dxa"/>
            </w:tcMar>
            <w:vAlign w:val="bottom"/>
          </w:tcPr>
          <w:p w14:paraId="7C207B16" w14:textId="77777777" w:rsidR="00834A75" w:rsidRDefault="00A6708C">
            <w:pPr>
              <w:jc w:val="right"/>
              <w:textAlignment w:val="bottom"/>
            </w:pPr>
            <w:r>
              <w:rPr>
                <w:rFonts w:ascii="sans-serif" w:eastAsia="sans-serif" w:hAnsi="sans-serif" w:cs="sans-serif"/>
                <w:color w:val="000000"/>
                <w:sz w:val="20"/>
                <w:szCs w:val="20"/>
              </w:rPr>
              <w:t>18,892 </w:t>
            </w:r>
          </w:p>
        </w:tc>
        <w:tc>
          <w:tcPr>
            <w:tcW w:w="0" w:type="auto"/>
            <w:tcBorders>
              <w:top w:val="single" w:sz="8" w:space="0" w:color="000000"/>
            </w:tcBorders>
            <w:shd w:val="clear" w:color="auto" w:fill="E2EFD9"/>
            <w:tcMar>
              <w:top w:w="40" w:type="dxa"/>
              <w:left w:w="0" w:type="dxa"/>
              <w:bottom w:w="40" w:type="dxa"/>
              <w:right w:w="20" w:type="dxa"/>
            </w:tcMar>
            <w:vAlign w:val="bottom"/>
          </w:tcPr>
          <w:p w14:paraId="7C207B17" w14:textId="77777777" w:rsidR="00834A75" w:rsidRDefault="00834A75">
            <w:pPr>
              <w:jc w:val="right"/>
              <w:rPr>
                <w:rFonts w:ascii="宋体"/>
              </w:rPr>
            </w:pPr>
          </w:p>
        </w:tc>
        <w:tc>
          <w:tcPr>
            <w:tcW w:w="0" w:type="auto"/>
            <w:gridSpan w:val="3"/>
            <w:shd w:val="clear" w:color="auto" w:fill="E2EFD9"/>
            <w:tcMar>
              <w:top w:w="0" w:type="dxa"/>
              <w:left w:w="20" w:type="dxa"/>
              <w:bottom w:w="0" w:type="dxa"/>
              <w:right w:w="20" w:type="dxa"/>
            </w:tcMar>
            <w:vAlign w:val="bottom"/>
          </w:tcPr>
          <w:p w14:paraId="7C207B18" w14:textId="77777777" w:rsidR="00834A75" w:rsidRDefault="00834A75">
            <w:pPr>
              <w:rPr>
                <w:rFonts w:ascii="宋体"/>
              </w:rPr>
            </w:pPr>
          </w:p>
        </w:tc>
        <w:tc>
          <w:tcPr>
            <w:tcW w:w="0" w:type="auto"/>
            <w:gridSpan w:val="2"/>
            <w:tcBorders>
              <w:top w:val="single" w:sz="8" w:space="0" w:color="000000"/>
            </w:tcBorders>
            <w:shd w:val="clear" w:color="auto" w:fill="E2EFD9"/>
            <w:tcMar>
              <w:top w:w="40" w:type="dxa"/>
              <w:left w:w="20" w:type="dxa"/>
              <w:bottom w:w="40" w:type="dxa"/>
              <w:right w:w="0" w:type="dxa"/>
            </w:tcMar>
            <w:vAlign w:val="bottom"/>
          </w:tcPr>
          <w:p w14:paraId="7C207B19" w14:textId="77777777" w:rsidR="00834A75" w:rsidRDefault="00A6708C">
            <w:pPr>
              <w:jc w:val="right"/>
              <w:textAlignment w:val="bottom"/>
            </w:pPr>
            <w:r>
              <w:rPr>
                <w:rFonts w:ascii="sans-serif" w:eastAsia="sans-serif" w:hAnsi="sans-serif" w:cs="sans-serif"/>
                <w:color w:val="000000"/>
                <w:sz w:val="20"/>
                <w:szCs w:val="20"/>
              </w:rPr>
              <w:t>17,575 </w:t>
            </w:r>
          </w:p>
        </w:tc>
        <w:tc>
          <w:tcPr>
            <w:tcW w:w="0" w:type="auto"/>
            <w:tcBorders>
              <w:top w:val="single" w:sz="8" w:space="0" w:color="000000"/>
            </w:tcBorders>
            <w:shd w:val="clear" w:color="auto" w:fill="E2EFD9"/>
            <w:tcMar>
              <w:top w:w="40" w:type="dxa"/>
              <w:left w:w="0" w:type="dxa"/>
              <w:bottom w:w="40" w:type="dxa"/>
              <w:right w:w="20" w:type="dxa"/>
            </w:tcMar>
            <w:vAlign w:val="bottom"/>
          </w:tcPr>
          <w:p w14:paraId="7C207B1A" w14:textId="77777777" w:rsidR="00834A75" w:rsidRDefault="00834A75">
            <w:pPr>
              <w:jc w:val="right"/>
              <w:rPr>
                <w:rFonts w:ascii="宋体"/>
              </w:rPr>
            </w:pPr>
          </w:p>
        </w:tc>
      </w:tr>
      <w:tr w:rsidR="00834A75" w14:paraId="7C207B20" w14:textId="77777777">
        <w:trPr>
          <w:jc w:val="center"/>
        </w:trPr>
        <w:tc>
          <w:tcPr>
            <w:tcW w:w="0" w:type="auto"/>
            <w:gridSpan w:val="3"/>
            <w:shd w:val="clear" w:color="auto" w:fill="FFFFFF"/>
            <w:tcMar>
              <w:top w:w="40" w:type="dxa"/>
              <w:left w:w="20" w:type="dxa"/>
              <w:bottom w:w="40" w:type="dxa"/>
              <w:right w:w="20" w:type="dxa"/>
            </w:tcMar>
            <w:vAlign w:val="bottom"/>
          </w:tcPr>
          <w:p w14:paraId="7C207B1C" w14:textId="77777777" w:rsidR="00834A75" w:rsidRDefault="00A6708C">
            <w:pPr>
              <w:spacing w:before="240" w:after="120"/>
              <w:jc w:val="both"/>
              <w:textAlignment w:val="bottom"/>
            </w:pPr>
            <w:r>
              <w:rPr>
                <w:rFonts w:ascii="sans-serif" w:eastAsia="sans-serif" w:hAnsi="sans-serif" w:cs="sans-serif"/>
                <w:color w:val="000000"/>
                <w:sz w:val="20"/>
                <w:szCs w:val="20"/>
              </w:rPr>
              <w:t xml:space="preserve">Commitments and </w:t>
            </w:r>
            <w:r>
              <w:rPr>
                <w:rFonts w:ascii="sans-serif" w:eastAsia="sans-serif" w:hAnsi="sans-serif" w:cs="sans-serif"/>
                <w:color w:val="000000"/>
                <w:sz w:val="20"/>
                <w:szCs w:val="20"/>
              </w:rPr>
              <w:t>contingencies - see Note 13</w:t>
            </w:r>
          </w:p>
        </w:tc>
        <w:tc>
          <w:tcPr>
            <w:tcW w:w="0" w:type="auto"/>
            <w:gridSpan w:val="3"/>
            <w:shd w:val="clear" w:color="auto" w:fill="FFFFFF"/>
            <w:tcMar>
              <w:top w:w="0" w:type="dxa"/>
              <w:left w:w="20" w:type="dxa"/>
              <w:bottom w:w="0" w:type="dxa"/>
              <w:right w:w="20" w:type="dxa"/>
            </w:tcMar>
            <w:vAlign w:val="bottom"/>
          </w:tcPr>
          <w:p w14:paraId="7C207B1D" w14:textId="77777777" w:rsidR="00834A75" w:rsidRDefault="00834A75">
            <w:pPr>
              <w:rPr>
                <w:rFonts w:ascii="宋体"/>
              </w:rPr>
            </w:pPr>
          </w:p>
        </w:tc>
        <w:tc>
          <w:tcPr>
            <w:tcW w:w="0" w:type="auto"/>
            <w:gridSpan w:val="3"/>
            <w:shd w:val="clear" w:color="auto" w:fill="FFFFFF"/>
            <w:tcMar>
              <w:top w:w="0" w:type="dxa"/>
              <w:left w:w="20" w:type="dxa"/>
              <w:bottom w:w="0" w:type="dxa"/>
              <w:right w:w="20" w:type="dxa"/>
            </w:tcMar>
            <w:vAlign w:val="bottom"/>
          </w:tcPr>
          <w:p w14:paraId="7C207B1E" w14:textId="77777777" w:rsidR="00834A75" w:rsidRDefault="00834A75">
            <w:pPr>
              <w:rPr>
                <w:rFonts w:ascii="宋体"/>
              </w:rPr>
            </w:pPr>
          </w:p>
        </w:tc>
        <w:tc>
          <w:tcPr>
            <w:tcW w:w="0" w:type="auto"/>
            <w:gridSpan w:val="3"/>
            <w:shd w:val="clear" w:color="auto" w:fill="FFFFFF"/>
            <w:tcMar>
              <w:top w:w="0" w:type="dxa"/>
              <w:left w:w="20" w:type="dxa"/>
              <w:bottom w:w="0" w:type="dxa"/>
              <w:right w:w="20" w:type="dxa"/>
            </w:tcMar>
            <w:vAlign w:val="bottom"/>
          </w:tcPr>
          <w:p w14:paraId="7C207B1F" w14:textId="77777777" w:rsidR="00834A75" w:rsidRDefault="00834A75">
            <w:pPr>
              <w:rPr>
                <w:rFonts w:ascii="宋体"/>
              </w:rPr>
            </w:pPr>
          </w:p>
        </w:tc>
      </w:tr>
      <w:tr w:rsidR="00834A75" w14:paraId="7C207B25" w14:textId="77777777">
        <w:trPr>
          <w:jc w:val="center"/>
          <w:hidden/>
        </w:trPr>
        <w:tc>
          <w:tcPr>
            <w:tcW w:w="0" w:type="auto"/>
            <w:gridSpan w:val="3"/>
            <w:shd w:val="clear" w:color="auto" w:fill="auto"/>
            <w:vAlign w:val="bottom"/>
          </w:tcPr>
          <w:p w14:paraId="7C207B21" w14:textId="77777777" w:rsidR="00834A75" w:rsidRDefault="00834A75">
            <w:pPr>
              <w:rPr>
                <w:rFonts w:ascii="宋体"/>
                <w:vanish/>
              </w:rPr>
            </w:pPr>
          </w:p>
        </w:tc>
        <w:tc>
          <w:tcPr>
            <w:tcW w:w="0" w:type="auto"/>
            <w:gridSpan w:val="3"/>
            <w:shd w:val="clear" w:color="auto" w:fill="auto"/>
            <w:vAlign w:val="bottom"/>
          </w:tcPr>
          <w:p w14:paraId="7C207B22" w14:textId="77777777" w:rsidR="00834A75" w:rsidRDefault="00834A75">
            <w:pPr>
              <w:rPr>
                <w:rFonts w:ascii="宋体"/>
                <w:vanish/>
              </w:rPr>
            </w:pPr>
          </w:p>
        </w:tc>
        <w:tc>
          <w:tcPr>
            <w:tcW w:w="0" w:type="auto"/>
            <w:gridSpan w:val="3"/>
            <w:shd w:val="clear" w:color="auto" w:fill="auto"/>
            <w:vAlign w:val="bottom"/>
          </w:tcPr>
          <w:p w14:paraId="7C207B23" w14:textId="77777777" w:rsidR="00834A75" w:rsidRDefault="00834A75">
            <w:pPr>
              <w:rPr>
                <w:rFonts w:ascii="宋体"/>
                <w:vanish/>
              </w:rPr>
            </w:pPr>
          </w:p>
        </w:tc>
        <w:tc>
          <w:tcPr>
            <w:tcW w:w="0" w:type="auto"/>
            <w:gridSpan w:val="3"/>
            <w:shd w:val="clear" w:color="auto" w:fill="auto"/>
            <w:vAlign w:val="bottom"/>
          </w:tcPr>
          <w:p w14:paraId="7C207B24" w14:textId="77777777" w:rsidR="00834A75" w:rsidRDefault="00834A75">
            <w:pPr>
              <w:rPr>
                <w:rFonts w:ascii="宋体"/>
                <w:vanish/>
              </w:rPr>
            </w:pPr>
          </w:p>
        </w:tc>
      </w:tr>
      <w:tr w:rsidR="00834A75" w14:paraId="7C207B2A" w14:textId="77777777">
        <w:trPr>
          <w:jc w:val="center"/>
        </w:trPr>
        <w:tc>
          <w:tcPr>
            <w:tcW w:w="0" w:type="auto"/>
            <w:gridSpan w:val="3"/>
            <w:shd w:val="clear" w:color="auto" w:fill="E2EFD9"/>
            <w:tcMar>
              <w:top w:w="40" w:type="dxa"/>
              <w:left w:w="20" w:type="dxa"/>
              <w:bottom w:w="40" w:type="dxa"/>
              <w:right w:w="20" w:type="dxa"/>
            </w:tcMar>
            <w:vAlign w:val="bottom"/>
          </w:tcPr>
          <w:p w14:paraId="7C207B26" w14:textId="77777777" w:rsidR="00834A75" w:rsidRDefault="00A6708C">
            <w:pPr>
              <w:textAlignment w:val="bottom"/>
            </w:pPr>
            <w:r>
              <w:rPr>
                <w:rFonts w:ascii="sans-serif" w:eastAsia="sans-serif" w:hAnsi="sans-serif" w:cs="sans-serif"/>
                <w:color w:val="000000"/>
                <w:sz w:val="20"/>
                <w:szCs w:val="20"/>
              </w:rPr>
              <w:t>Shareholders’ equity:</w:t>
            </w:r>
          </w:p>
        </w:tc>
        <w:tc>
          <w:tcPr>
            <w:tcW w:w="0" w:type="auto"/>
            <w:gridSpan w:val="3"/>
            <w:shd w:val="clear" w:color="auto" w:fill="E2EFD9"/>
            <w:tcMar>
              <w:top w:w="40" w:type="dxa"/>
              <w:left w:w="20" w:type="dxa"/>
              <w:bottom w:w="40" w:type="dxa"/>
              <w:right w:w="20" w:type="dxa"/>
            </w:tcMar>
            <w:vAlign w:val="bottom"/>
          </w:tcPr>
          <w:p w14:paraId="7C207B27" w14:textId="77777777" w:rsidR="00834A75" w:rsidRDefault="00A6708C">
            <w:pPr>
              <w:textAlignment w:val="bottom"/>
            </w:pPr>
            <w:r>
              <w:rPr>
                <w:rFonts w:ascii="sans-serif" w:eastAsia="sans-serif" w:hAnsi="sans-serif" w:cs="sans-serif"/>
                <w:color w:val="000000"/>
                <w:sz w:val="20"/>
                <w:szCs w:val="20"/>
              </w:rPr>
              <w:t> </w:t>
            </w:r>
          </w:p>
        </w:tc>
        <w:tc>
          <w:tcPr>
            <w:tcW w:w="0" w:type="auto"/>
            <w:gridSpan w:val="3"/>
            <w:shd w:val="clear" w:color="auto" w:fill="E2EFD9"/>
            <w:tcMar>
              <w:top w:w="0" w:type="dxa"/>
              <w:left w:w="20" w:type="dxa"/>
              <w:bottom w:w="0" w:type="dxa"/>
              <w:right w:w="20" w:type="dxa"/>
            </w:tcMar>
            <w:vAlign w:val="bottom"/>
          </w:tcPr>
          <w:p w14:paraId="7C207B28" w14:textId="77777777" w:rsidR="00834A75" w:rsidRDefault="00834A75">
            <w:pPr>
              <w:rPr>
                <w:rFonts w:ascii="宋体"/>
              </w:rPr>
            </w:pPr>
          </w:p>
        </w:tc>
        <w:tc>
          <w:tcPr>
            <w:tcW w:w="0" w:type="auto"/>
            <w:gridSpan w:val="3"/>
            <w:shd w:val="clear" w:color="auto" w:fill="E2EFD9"/>
            <w:tcMar>
              <w:top w:w="40" w:type="dxa"/>
              <w:left w:w="20" w:type="dxa"/>
              <w:bottom w:w="40" w:type="dxa"/>
              <w:right w:w="20" w:type="dxa"/>
            </w:tcMar>
            <w:vAlign w:val="bottom"/>
          </w:tcPr>
          <w:p w14:paraId="7C207B29" w14:textId="77777777" w:rsidR="00834A75" w:rsidRDefault="00A6708C">
            <w:pPr>
              <w:textAlignment w:val="bottom"/>
            </w:pPr>
            <w:r>
              <w:rPr>
                <w:rFonts w:ascii="sans-serif" w:eastAsia="sans-serif" w:hAnsi="sans-serif" w:cs="sans-serif"/>
                <w:color w:val="000000"/>
                <w:sz w:val="20"/>
                <w:szCs w:val="20"/>
              </w:rPr>
              <w:t> </w:t>
            </w:r>
          </w:p>
        </w:tc>
      </w:tr>
      <w:tr w:rsidR="00834A75" w14:paraId="7C207B31" w14:textId="77777777">
        <w:trPr>
          <w:jc w:val="center"/>
        </w:trPr>
        <w:tc>
          <w:tcPr>
            <w:tcW w:w="0" w:type="auto"/>
            <w:gridSpan w:val="3"/>
            <w:shd w:val="clear" w:color="auto" w:fill="FFFFFF"/>
            <w:tcMar>
              <w:top w:w="40" w:type="dxa"/>
              <w:left w:w="245" w:type="dxa"/>
              <w:bottom w:w="40" w:type="dxa"/>
              <w:right w:w="20" w:type="dxa"/>
            </w:tcMar>
            <w:vAlign w:val="bottom"/>
          </w:tcPr>
          <w:p w14:paraId="7C207B2B" w14:textId="77777777" w:rsidR="00834A75" w:rsidRDefault="00A6708C">
            <w:pPr>
              <w:textAlignment w:val="bottom"/>
            </w:pPr>
            <w:r>
              <w:rPr>
                <w:rFonts w:ascii="sans-serif" w:eastAsia="sans-serif" w:hAnsi="sans-serif" w:cs="sans-serif"/>
                <w:color w:val="000000"/>
                <w:sz w:val="20"/>
                <w:szCs w:val="20"/>
              </w:rPr>
              <w:t>Preferred stock</w:t>
            </w:r>
          </w:p>
        </w:tc>
        <w:tc>
          <w:tcPr>
            <w:tcW w:w="0" w:type="auto"/>
            <w:gridSpan w:val="2"/>
            <w:shd w:val="clear" w:color="auto" w:fill="FFFFFF"/>
            <w:tcMar>
              <w:top w:w="40" w:type="dxa"/>
              <w:left w:w="20" w:type="dxa"/>
              <w:bottom w:w="40" w:type="dxa"/>
              <w:right w:w="0" w:type="dxa"/>
            </w:tcMar>
            <w:vAlign w:val="bottom"/>
          </w:tcPr>
          <w:p w14:paraId="7C207B2C" w14:textId="77777777" w:rsidR="00834A75" w:rsidRDefault="00A6708C">
            <w:pPr>
              <w:jc w:val="right"/>
              <w:textAlignment w:val="bottom"/>
            </w:pPr>
            <w:r>
              <w:rPr>
                <w:rFonts w:ascii="sans-serif" w:eastAsia="sans-serif" w:hAnsi="sans-serif" w:cs="sans-serif"/>
                <w:color w:val="000000"/>
                <w:sz w:val="20"/>
                <w:szCs w:val="20"/>
              </w:rPr>
              <w:t>— </w:t>
            </w:r>
          </w:p>
        </w:tc>
        <w:tc>
          <w:tcPr>
            <w:tcW w:w="0" w:type="auto"/>
            <w:shd w:val="clear" w:color="auto" w:fill="FFFFFF"/>
            <w:tcMar>
              <w:top w:w="40" w:type="dxa"/>
              <w:left w:w="0" w:type="dxa"/>
              <w:bottom w:w="40" w:type="dxa"/>
              <w:right w:w="20" w:type="dxa"/>
            </w:tcMar>
            <w:vAlign w:val="bottom"/>
          </w:tcPr>
          <w:p w14:paraId="7C207B2D" w14:textId="77777777" w:rsidR="00834A75" w:rsidRDefault="00834A75">
            <w:pPr>
              <w:jc w:val="right"/>
              <w:rPr>
                <w:rFonts w:ascii="宋体"/>
              </w:rPr>
            </w:pPr>
          </w:p>
        </w:tc>
        <w:tc>
          <w:tcPr>
            <w:tcW w:w="0" w:type="auto"/>
            <w:gridSpan w:val="3"/>
            <w:shd w:val="clear" w:color="auto" w:fill="FFFFFF"/>
            <w:tcMar>
              <w:top w:w="0" w:type="dxa"/>
              <w:left w:w="20" w:type="dxa"/>
              <w:bottom w:w="0" w:type="dxa"/>
              <w:right w:w="20" w:type="dxa"/>
            </w:tcMar>
            <w:vAlign w:val="bottom"/>
          </w:tcPr>
          <w:p w14:paraId="7C207B2E" w14:textId="77777777" w:rsidR="00834A75" w:rsidRDefault="00834A75">
            <w:pPr>
              <w:rPr>
                <w:rFonts w:ascii="宋体"/>
              </w:rPr>
            </w:pPr>
          </w:p>
        </w:tc>
        <w:tc>
          <w:tcPr>
            <w:tcW w:w="0" w:type="auto"/>
            <w:gridSpan w:val="2"/>
            <w:shd w:val="clear" w:color="auto" w:fill="FFFFFF"/>
            <w:tcMar>
              <w:top w:w="40" w:type="dxa"/>
              <w:left w:w="20" w:type="dxa"/>
              <w:bottom w:w="40" w:type="dxa"/>
              <w:right w:w="0" w:type="dxa"/>
            </w:tcMar>
            <w:vAlign w:val="bottom"/>
          </w:tcPr>
          <w:p w14:paraId="7C207B2F" w14:textId="77777777" w:rsidR="00834A75" w:rsidRDefault="00A6708C">
            <w:pPr>
              <w:jc w:val="right"/>
              <w:textAlignment w:val="bottom"/>
            </w:pPr>
            <w:r>
              <w:rPr>
                <w:rFonts w:ascii="sans-serif" w:eastAsia="sans-serif" w:hAnsi="sans-serif" w:cs="sans-serif"/>
                <w:color w:val="000000"/>
                <w:sz w:val="20"/>
                <w:szCs w:val="20"/>
              </w:rPr>
              <w:t>— </w:t>
            </w:r>
          </w:p>
        </w:tc>
        <w:tc>
          <w:tcPr>
            <w:tcW w:w="0" w:type="auto"/>
            <w:shd w:val="clear" w:color="auto" w:fill="FFFFFF"/>
            <w:tcMar>
              <w:top w:w="40" w:type="dxa"/>
              <w:left w:w="0" w:type="dxa"/>
              <w:bottom w:w="40" w:type="dxa"/>
              <w:right w:w="20" w:type="dxa"/>
            </w:tcMar>
            <w:vAlign w:val="bottom"/>
          </w:tcPr>
          <w:p w14:paraId="7C207B30" w14:textId="77777777" w:rsidR="00834A75" w:rsidRDefault="00834A75">
            <w:pPr>
              <w:jc w:val="right"/>
              <w:rPr>
                <w:rFonts w:ascii="宋体"/>
              </w:rPr>
            </w:pPr>
          </w:p>
        </w:tc>
      </w:tr>
      <w:tr w:rsidR="00834A75" w14:paraId="7C207B38" w14:textId="77777777">
        <w:trPr>
          <w:jc w:val="center"/>
        </w:trPr>
        <w:tc>
          <w:tcPr>
            <w:tcW w:w="0" w:type="auto"/>
            <w:gridSpan w:val="3"/>
            <w:shd w:val="clear" w:color="auto" w:fill="E2EFD9"/>
            <w:tcMar>
              <w:top w:w="40" w:type="dxa"/>
              <w:left w:w="245" w:type="dxa"/>
              <w:bottom w:w="40" w:type="dxa"/>
              <w:right w:w="20" w:type="dxa"/>
            </w:tcMar>
            <w:vAlign w:val="bottom"/>
          </w:tcPr>
          <w:p w14:paraId="7C207B32" w14:textId="77777777" w:rsidR="00834A75" w:rsidRDefault="00A6708C">
            <w:pPr>
              <w:textAlignment w:val="bottom"/>
            </w:pPr>
            <w:r>
              <w:rPr>
                <w:rFonts w:ascii="sans-serif" w:eastAsia="sans-serif" w:hAnsi="sans-serif" w:cs="sans-serif"/>
                <w:color w:val="000000"/>
                <w:sz w:val="20"/>
                <w:szCs w:val="20"/>
              </w:rPr>
              <w:t>Common stock</w:t>
            </w:r>
          </w:p>
        </w:tc>
        <w:tc>
          <w:tcPr>
            <w:tcW w:w="0" w:type="auto"/>
            <w:gridSpan w:val="2"/>
            <w:shd w:val="clear" w:color="auto" w:fill="E2EFD9"/>
            <w:tcMar>
              <w:top w:w="40" w:type="dxa"/>
              <w:left w:w="20" w:type="dxa"/>
              <w:bottom w:w="40" w:type="dxa"/>
              <w:right w:w="0" w:type="dxa"/>
            </w:tcMar>
            <w:vAlign w:val="bottom"/>
          </w:tcPr>
          <w:p w14:paraId="7C207B33" w14:textId="77777777" w:rsidR="00834A75" w:rsidRDefault="00A6708C">
            <w:pPr>
              <w:jc w:val="right"/>
              <w:textAlignment w:val="bottom"/>
            </w:pPr>
            <w:r>
              <w:rPr>
                <w:rFonts w:ascii="sans-serif" w:eastAsia="sans-serif" w:hAnsi="sans-serif" w:cs="sans-serif"/>
                <w:color w:val="000000"/>
                <w:sz w:val="20"/>
                <w:szCs w:val="20"/>
              </w:rPr>
              <w:t>3 </w:t>
            </w:r>
          </w:p>
        </w:tc>
        <w:tc>
          <w:tcPr>
            <w:tcW w:w="0" w:type="auto"/>
            <w:shd w:val="clear" w:color="auto" w:fill="E2EFD9"/>
            <w:tcMar>
              <w:top w:w="40" w:type="dxa"/>
              <w:left w:w="0" w:type="dxa"/>
              <w:bottom w:w="40" w:type="dxa"/>
              <w:right w:w="20" w:type="dxa"/>
            </w:tcMar>
            <w:vAlign w:val="bottom"/>
          </w:tcPr>
          <w:p w14:paraId="7C207B34" w14:textId="77777777" w:rsidR="00834A75" w:rsidRDefault="00834A75">
            <w:pPr>
              <w:jc w:val="right"/>
              <w:rPr>
                <w:rFonts w:ascii="宋体"/>
              </w:rPr>
            </w:pPr>
          </w:p>
        </w:tc>
        <w:tc>
          <w:tcPr>
            <w:tcW w:w="0" w:type="auto"/>
            <w:gridSpan w:val="3"/>
            <w:shd w:val="clear" w:color="auto" w:fill="E2EFD9"/>
            <w:tcMar>
              <w:top w:w="0" w:type="dxa"/>
              <w:left w:w="20" w:type="dxa"/>
              <w:bottom w:w="0" w:type="dxa"/>
              <w:right w:w="20" w:type="dxa"/>
            </w:tcMar>
            <w:vAlign w:val="bottom"/>
          </w:tcPr>
          <w:p w14:paraId="7C207B35" w14:textId="77777777" w:rsidR="00834A75" w:rsidRDefault="00834A75">
            <w:pPr>
              <w:rPr>
                <w:rFonts w:ascii="宋体"/>
              </w:rPr>
            </w:pPr>
          </w:p>
        </w:tc>
        <w:tc>
          <w:tcPr>
            <w:tcW w:w="0" w:type="auto"/>
            <w:gridSpan w:val="2"/>
            <w:shd w:val="clear" w:color="auto" w:fill="E2EFD9"/>
            <w:tcMar>
              <w:top w:w="40" w:type="dxa"/>
              <w:left w:w="20" w:type="dxa"/>
              <w:bottom w:w="40" w:type="dxa"/>
              <w:right w:w="0" w:type="dxa"/>
            </w:tcMar>
            <w:vAlign w:val="bottom"/>
          </w:tcPr>
          <w:p w14:paraId="7C207B36" w14:textId="77777777" w:rsidR="00834A75" w:rsidRDefault="00A6708C">
            <w:pPr>
              <w:jc w:val="right"/>
              <w:textAlignment w:val="bottom"/>
            </w:pPr>
            <w:r>
              <w:rPr>
                <w:rFonts w:ascii="sans-serif" w:eastAsia="sans-serif" w:hAnsi="sans-serif" w:cs="sans-serif"/>
                <w:color w:val="000000"/>
                <w:sz w:val="20"/>
                <w:szCs w:val="20"/>
              </w:rPr>
              <w:t>3 </w:t>
            </w:r>
          </w:p>
        </w:tc>
        <w:tc>
          <w:tcPr>
            <w:tcW w:w="0" w:type="auto"/>
            <w:shd w:val="clear" w:color="auto" w:fill="E2EFD9"/>
            <w:tcMar>
              <w:top w:w="40" w:type="dxa"/>
              <w:left w:w="0" w:type="dxa"/>
              <w:bottom w:w="40" w:type="dxa"/>
              <w:right w:w="20" w:type="dxa"/>
            </w:tcMar>
            <w:vAlign w:val="bottom"/>
          </w:tcPr>
          <w:p w14:paraId="7C207B37" w14:textId="77777777" w:rsidR="00834A75" w:rsidRDefault="00834A75">
            <w:pPr>
              <w:jc w:val="right"/>
              <w:rPr>
                <w:rFonts w:ascii="宋体"/>
              </w:rPr>
            </w:pPr>
          </w:p>
        </w:tc>
      </w:tr>
      <w:tr w:rsidR="00834A75" w14:paraId="7C207B3F" w14:textId="77777777">
        <w:trPr>
          <w:jc w:val="center"/>
        </w:trPr>
        <w:tc>
          <w:tcPr>
            <w:tcW w:w="0" w:type="auto"/>
            <w:gridSpan w:val="3"/>
            <w:shd w:val="clear" w:color="auto" w:fill="FFFFFF"/>
            <w:tcMar>
              <w:top w:w="40" w:type="dxa"/>
              <w:left w:w="245" w:type="dxa"/>
              <w:bottom w:w="40" w:type="dxa"/>
              <w:right w:w="20" w:type="dxa"/>
            </w:tcMar>
            <w:vAlign w:val="bottom"/>
          </w:tcPr>
          <w:p w14:paraId="7C207B39" w14:textId="77777777" w:rsidR="00834A75" w:rsidRDefault="00A6708C">
            <w:pPr>
              <w:textAlignment w:val="bottom"/>
            </w:pPr>
            <w:r>
              <w:rPr>
                <w:rFonts w:ascii="sans-serif" w:eastAsia="sans-serif" w:hAnsi="sans-serif" w:cs="sans-serif"/>
                <w:color w:val="000000"/>
                <w:sz w:val="20"/>
                <w:szCs w:val="20"/>
              </w:rPr>
              <w:t>Additional paid-in capital</w:t>
            </w:r>
          </w:p>
        </w:tc>
        <w:tc>
          <w:tcPr>
            <w:tcW w:w="0" w:type="auto"/>
            <w:gridSpan w:val="2"/>
            <w:shd w:val="clear" w:color="auto" w:fill="FFFFFF"/>
            <w:tcMar>
              <w:top w:w="40" w:type="dxa"/>
              <w:left w:w="20" w:type="dxa"/>
              <w:bottom w:w="40" w:type="dxa"/>
              <w:right w:w="0" w:type="dxa"/>
            </w:tcMar>
            <w:vAlign w:val="bottom"/>
          </w:tcPr>
          <w:p w14:paraId="7C207B3A" w14:textId="77777777" w:rsidR="00834A75" w:rsidRDefault="00A6708C">
            <w:pPr>
              <w:jc w:val="right"/>
              <w:textAlignment w:val="bottom"/>
            </w:pPr>
            <w:r>
              <w:rPr>
                <w:rFonts w:ascii="sans-serif" w:eastAsia="sans-serif" w:hAnsi="sans-serif" w:cs="sans-serif"/>
                <w:color w:val="000000"/>
                <w:sz w:val="20"/>
                <w:szCs w:val="20"/>
              </w:rPr>
              <w:t>10,623 </w:t>
            </w:r>
          </w:p>
        </w:tc>
        <w:tc>
          <w:tcPr>
            <w:tcW w:w="0" w:type="auto"/>
            <w:shd w:val="clear" w:color="auto" w:fill="FFFFFF"/>
            <w:tcMar>
              <w:top w:w="40" w:type="dxa"/>
              <w:left w:w="0" w:type="dxa"/>
              <w:bottom w:w="40" w:type="dxa"/>
              <w:right w:w="20" w:type="dxa"/>
            </w:tcMar>
            <w:vAlign w:val="bottom"/>
          </w:tcPr>
          <w:p w14:paraId="7C207B3B" w14:textId="77777777" w:rsidR="00834A75" w:rsidRDefault="00834A75">
            <w:pPr>
              <w:jc w:val="right"/>
              <w:rPr>
                <w:rFonts w:ascii="宋体"/>
              </w:rPr>
            </w:pPr>
          </w:p>
        </w:tc>
        <w:tc>
          <w:tcPr>
            <w:tcW w:w="0" w:type="auto"/>
            <w:gridSpan w:val="3"/>
            <w:shd w:val="clear" w:color="auto" w:fill="FFFFFF"/>
            <w:tcMar>
              <w:top w:w="0" w:type="dxa"/>
              <w:left w:w="20" w:type="dxa"/>
              <w:bottom w:w="0" w:type="dxa"/>
              <w:right w:w="20" w:type="dxa"/>
            </w:tcMar>
            <w:vAlign w:val="bottom"/>
          </w:tcPr>
          <w:p w14:paraId="7C207B3C" w14:textId="77777777" w:rsidR="00834A75" w:rsidRDefault="00834A75">
            <w:pPr>
              <w:rPr>
                <w:rFonts w:ascii="宋体"/>
              </w:rPr>
            </w:pPr>
          </w:p>
        </w:tc>
        <w:tc>
          <w:tcPr>
            <w:tcW w:w="0" w:type="auto"/>
            <w:gridSpan w:val="2"/>
            <w:shd w:val="clear" w:color="auto" w:fill="FFFFFF"/>
            <w:tcMar>
              <w:top w:w="40" w:type="dxa"/>
              <w:left w:w="20" w:type="dxa"/>
              <w:bottom w:w="40" w:type="dxa"/>
              <w:right w:w="0" w:type="dxa"/>
            </w:tcMar>
            <w:vAlign w:val="bottom"/>
          </w:tcPr>
          <w:p w14:paraId="7C207B3D" w14:textId="77777777" w:rsidR="00834A75" w:rsidRDefault="00A6708C">
            <w:pPr>
              <w:jc w:val="right"/>
              <w:textAlignment w:val="bottom"/>
            </w:pPr>
            <w:r>
              <w:rPr>
                <w:rFonts w:ascii="sans-serif" w:eastAsia="sans-serif" w:hAnsi="sans-serif" w:cs="sans-serif"/>
                <w:color w:val="000000"/>
                <w:sz w:val="20"/>
                <w:szCs w:val="20"/>
              </w:rPr>
              <w:t>10,385 </w:t>
            </w:r>
          </w:p>
        </w:tc>
        <w:tc>
          <w:tcPr>
            <w:tcW w:w="0" w:type="auto"/>
            <w:shd w:val="clear" w:color="auto" w:fill="FFFFFF"/>
            <w:tcMar>
              <w:top w:w="40" w:type="dxa"/>
              <w:left w:w="0" w:type="dxa"/>
              <w:bottom w:w="40" w:type="dxa"/>
              <w:right w:w="20" w:type="dxa"/>
            </w:tcMar>
            <w:vAlign w:val="bottom"/>
          </w:tcPr>
          <w:p w14:paraId="7C207B3E" w14:textId="77777777" w:rsidR="00834A75" w:rsidRDefault="00834A75">
            <w:pPr>
              <w:jc w:val="right"/>
              <w:rPr>
                <w:rFonts w:ascii="宋体"/>
              </w:rPr>
            </w:pPr>
          </w:p>
        </w:tc>
      </w:tr>
      <w:tr w:rsidR="00834A75" w14:paraId="7C207B44" w14:textId="77777777">
        <w:trPr>
          <w:jc w:val="center"/>
          <w:hidden/>
        </w:trPr>
        <w:tc>
          <w:tcPr>
            <w:tcW w:w="0" w:type="auto"/>
            <w:gridSpan w:val="3"/>
            <w:shd w:val="clear" w:color="auto" w:fill="auto"/>
            <w:vAlign w:val="bottom"/>
          </w:tcPr>
          <w:p w14:paraId="7C207B40" w14:textId="77777777" w:rsidR="00834A75" w:rsidRDefault="00834A75">
            <w:pPr>
              <w:rPr>
                <w:rFonts w:ascii="宋体"/>
                <w:vanish/>
              </w:rPr>
            </w:pPr>
          </w:p>
        </w:tc>
        <w:tc>
          <w:tcPr>
            <w:tcW w:w="0" w:type="auto"/>
            <w:gridSpan w:val="3"/>
            <w:shd w:val="clear" w:color="auto" w:fill="auto"/>
            <w:vAlign w:val="bottom"/>
          </w:tcPr>
          <w:p w14:paraId="7C207B41" w14:textId="77777777" w:rsidR="00834A75" w:rsidRDefault="00834A75">
            <w:pPr>
              <w:rPr>
                <w:rFonts w:ascii="宋体"/>
                <w:vanish/>
              </w:rPr>
            </w:pPr>
          </w:p>
        </w:tc>
        <w:tc>
          <w:tcPr>
            <w:tcW w:w="0" w:type="auto"/>
            <w:gridSpan w:val="3"/>
            <w:shd w:val="clear" w:color="auto" w:fill="auto"/>
            <w:vAlign w:val="bottom"/>
          </w:tcPr>
          <w:p w14:paraId="7C207B42" w14:textId="77777777" w:rsidR="00834A75" w:rsidRDefault="00834A75">
            <w:pPr>
              <w:rPr>
                <w:rFonts w:ascii="宋体"/>
                <w:vanish/>
              </w:rPr>
            </w:pPr>
          </w:p>
        </w:tc>
        <w:tc>
          <w:tcPr>
            <w:tcW w:w="0" w:type="auto"/>
            <w:gridSpan w:val="3"/>
            <w:shd w:val="clear" w:color="auto" w:fill="auto"/>
            <w:vAlign w:val="bottom"/>
          </w:tcPr>
          <w:p w14:paraId="7C207B43" w14:textId="77777777" w:rsidR="00834A75" w:rsidRDefault="00834A75">
            <w:pPr>
              <w:rPr>
                <w:rFonts w:ascii="宋体"/>
                <w:vanish/>
              </w:rPr>
            </w:pPr>
          </w:p>
        </w:tc>
      </w:tr>
      <w:tr w:rsidR="00834A75" w14:paraId="7C207B4B" w14:textId="77777777">
        <w:trPr>
          <w:jc w:val="center"/>
        </w:trPr>
        <w:tc>
          <w:tcPr>
            <w:tcW w:w="0" w:type="auto"/>
            <w:gridSpan w:val="3"/>
            <w:shd w:val="clear" w:color="auto" w:fill="E2EFD9"/>
            <w:tcMar>
              <w:top w:w="40" w:type="dxa"/>
              <w:left w:w="245" w:type="dxa"/>
              <w:bottom w:w="40" w:type="dxa"/>
              <w:right w:w="20" w:type="dxa"/>
            </w:tcMar>
            <w:vAlign w:val="bottom"/>
          </w:tcPr>
          <w:p w14:paraId="7C207B45" w14:textId="77777777" w:rsidR="00834A75" w:rsidRDefault="00A6708C">
            <w:pPr>
              <w:textAlignment w:val="bottom"/>
            </w:pPr>
            <w:r>
              <w:rPr>
                <w:rFonts w:ascii="sans-serif" w:eastAsia="sans-serif" w:hAnsi="sans-serif" w:cs="sans-serif"/>
                <w:color w:val="000000"/>
                <w:sz w:val="20"/>
                <w:szCs w:val="20"/>
              </w:rPr>
              <w:t>Accumulated other comprehensive loss</w:t>
            </w:r>
          </w:p>
        </w:tc>
        <w:tc>
          <w:tcPr>
            <w:tcW w:w="0" w:type="auto"/>
            <w:gridSpan w:val="2"/>
            <w:shd w:val="clear" w:color="auto" w:fill="E2EFD9"/>
            <w:tcMar>
              <w:top w:w="40" w:type="dxa"/>
              <w:left w:w="20" w:type="dxa"/>
              <w:bottom w:w="40" w:type="dxa"/>
              <w:right w:w="0" w:type="dxa"/>
            </w:tcMar>
            <w:vAlign w:val="bottom"/>
          </w:tcPr>
          <w:p w14:paraId="7C207B46" w14:textId="77777777" w:rsidR="00834A75" w:rsidRDefault="00A6708C">
            <w:pPr>
              <w:jc w:val="right"/>
              <w:textAlignment w:val="bottom"/>
            </w:pPr>
            <w:r>
              <w:rPr>
                <w:rFonts w:ascii="sans-serif" w:eastAsia="sans-serif" w:hAnsi="sans-serif" w:cs="sans-serif"/>
                <w:color w:val="000000"/>
                <w:sz w:val="20"/>
                <w:szCs w:val="20"/>
              </w:rPr>
              <w:t>(64)</w:t>
            </w:r>
          </w:p>
        </w:tc>
        <w:tc>
          <w:tcPr>
            <w:tcW w:w="0" w:type="auto"/>
            <w:shd w:val="clear" w:color="auto" w:fill="E2EFD9"/>
            <w:tcMar>
              <w:top w:w="40" w:type="dxa"/>
              <w:left w:w="0" w:type="dxa"/>
              <w:bottom w:w="40" w:type="dxa"/>
              <w:right w:w="20" w:type="dxa"/>
            </w:tcMar>
            <w:vAlign w:val="bottom"/>
          </w:tcPr>
          <w:p w14:paraId="7C207B47" w14:textId="77777777" w:rsidR="00834A75" w:rsidRDefault="00834A75">
            <w:pPr>
              <w:jc w:val="right"/>
              <w:rPr>
                <w:rFonts w:ascii="宋体"/>
              </w:rPr>
            </w:pPr>
          </w:p>
        </w:tc>
        <w:tc>
          <w:tcPr>
            <w:tcW w:w="0" w:type="auto"/>
            <w:gridSpan w:val="3"/>
            <w:shd w:val="clear" w:color="auto" w:fill="E2EFD9"/>
            <w:tcMar>
              <w:top w:w="0" w:type="dxa"/>
              <w:left w:w="20" w:type="dxa"/>
              <w:bottom w:w="0" w:type="dxa"/>
              <w:right w:w="20" w:type="dxa"/>
            </w:tcMar>
            <w:vAlign w:val="bottom"/>
          </w:tcPr>
          <w:p w14:paraId="7C207B48" w14:textId="77777777" w:rsidR="00834A75" w:rsidRDefault="00834A75">
            <w:pPr>
              <w:rPr>
                <w:rFonts w:ascii="宋体"/>
              </w:rPr>
            </w:pPr>
          </w:p>
        </w:tc>
        <w:tc>
          <w:tcPr>
            <w:tcW w:w="0" w:type="auto"/>
            <w:gridSpan w:val="2"/>
            <w:shd w:val="clear" w:color="auto" w:fill="E2EFD9"/>
            <w:tcMar>
              <w:top w:w="40" w:type="dxa"/>
              <w:left w:w="20" w:type="dxa"/>
              <w:bottom w:w="40" w:type="dxa"/>
              <w:right w:w="0" w:type="dxa"/>
            </w:tcMar>
            <w:vAlign w:val="bottom"/>
          </w:tcPr>
          <w:p w14:paraId="7C207B49" w14:textId="77777777" w:rsidR="00834A75" w:rsidRDefault="00A6708C">
            <w:pPr>
              <w:jc w:val="right"/>
              <w:textAlignment w:val="bottom"/>
            </w:pPr>
            <w:r>
              <w:rPr>
                <w:rFonts w:ascii="sans-serif" w:eastAsia="sans-serif" w:hAnsi="sans-serif" w:cs="sans-serif"/>
                <w:color w:val="000000"/>
                <w:sz w:val="20"/>
                <w:szCs w:val="20"/>
              </w:rPr>
              <w:t>(11)</w:t>
            </w:r>
          </w:p>
        </w:tc>
        <w:tc>
          <w:tcPr>
            <w:tcW w:w="0" w:type="auto"/>
            <w:shd w:val="clear" w:color="auto" w:fill="E2EFD9"/>
            <w:tcMar>
              <w:top w:w="40" w:type="dxa"/>
              <w:left w:w="0" w:type="dxa"/>
              <w:bottom w:w="40" w:type="dxa"/>
              <w:right w:w="20" w:type="dxa"/>
            </w:tcMar>
            <w:vAlign w:val="bottom"/>
          </w:tcPr>
          <w:p w14:paraId="7C207B4A" w14:textId="77777777" w:rsidR="00834A75" w:rsidRDefault="00834A75">
            <w:pPr>
              <w:jc w:val="right"/>
              <w:rPr>
                <w:rFonts w:ascii="宋体"/>
              </w:rPr>
            </w:pPr>
          </w:p>
        </w:tc>
      </w:tr>
      <w:tr w:rsidR="00834A75" w14:paraId="7C207B52" w14:textId="77777777">
        <w:trPr>
          <w:jc w:val="center"/>
        </w:trPr>
        <w:tc>
          <w:tcPr>
            <w:tcW w:w="0" w:type="auto"/>
            <w:gridSpan w:val="3"/>
            <w:shd w:val="clear" w:color="auto" w:fill="FFFFFF"/>
            <w:tcMar>
              <w:top w:w="40" w:type="dxa"/>
              <w:left w:w="245" w:type="dxa"/>
              <w:bottom w:w="40" w:type="dxa"/>
              <w:right w:w="20" w:type="dxa"/>
            </w:tcMar>
            <w:vAlign w:val="bottom"/>
          </w:tcPr>
          <w:p w14:paraId="7C207B4C" w14:textId="77777777" w:rsidR="00834A75" w:rsidRDefault="00A6708C">
            <w:pPr>
              <w:textAlignment w:val="bottom"/>
            </w:pPr>
            <w:r>
              <w:rPr>
                <w:rFonts w:ascii="sans-serif" w:eastAsia="sans-serif" w:hAnsi="sans-serif" w:cs="sans-serif"/>
                <w:color w:val="000000"/>
                <w:sz w:val="20"/>
                <w:szCs w:val="20"/>
              </w:rPr>
              <w:t>Retained earnings</w:t>
            </w:r>
          </w:p>
        </w:tc>
        <w:tc>
          <w:tcPr>
            <w:tcW w:w="0" w:type="auto"/>
            <w:gridSpan w:val="2"/>
            <w:shd w:val="clear" w:color="auto" w:fill="FFFFFF"/>
            <w:tcMar>
              <w:top w:w="40" w:type="dxa"/>
              <w:left w:w="20" w:type="dxa"/>
              <w:bottom w:w="40" w:type="dxa"/>
              <w:right w:w="0" w:type="dxa"/>
            </w:tcMar>
            <w:vAlign w:val="bottom"/>
          </w:tcPr>
          <w:p w14:paraId="7C207B4D" w14:textId="77777777" w:rsidR="00834A75" w:rsidRDefault="00A6708C">
            <w:pPr>
              <w:jc w:val="right"/>
              <w:textAlignment w:val="bottom"/>
            </w:pPr>
            <w:r>
              <w:rPr>
                <w:rFonts w:ascii="sans-serif" w:eastAsia="sans-serif" w:hAnsi="sans-serif" w:cs="sans-serif"/>
                <w:color w:val="000000"/>
                <w:sz w:val="20"/>
                <w:szCs w:val="20"/>
              </w:rPr>
              <w:t>15,758 </w:t>
            </w:r>
          </w:p>
        </w:tc>
        <w:tc>
          <w:tcPr>
            <w:tcW w:w="0" w:type="auto"/>
            <w:shd w:val="clear" w:color="auto" w:fill="FFFFFF"/>
            <w:tcMar>
              <w:top w:w="40" w:type="dxa"/>
              <w:left w:w="0" w:type="dxa"/>
              <w:bottom w:w="40" w:type="dxa"/>
              <w:right w:w="20" w:type="dxa"/>
            </w:tcMar>
            <w:vAlign w:val="bottom"/>
          </w:tcPr>
          <w:p w14:paraId="7C207B4E" w14:textId="77777777" w:rsidR="00834A75" w:rsidRDefault="00834A75">
            <w:pPr>
              <w:jc w:val="right"/>
              <w:rPr>
                <w:rFonts w:ascii="宋体"/>
              </w:rPr>
            </w:pPr>
          </w:p>
        </w:tc>
        <w:tc>
          <w:tcPr>
            <w:tcW w:w="0" w:type="auto"/>
            <w:gridSpan w:val="3"/>
            <w:shd w:val="clear" w:color="auto" w:fill="FFFFFF"/>
            <w:tcMar>
              <w:top w:w="0" w:type="dxa"/>
              <w:left w:w="20" w:type="dxa"/>
              <w:bottom w:w="0" w:type="dxa"/>
              <w:right w:w="20" w:type="dxa"/>
            </w:tcMar>
            <w:vAlign w:val="bottom"/>
          </w:tcPr>
          <w:p w14:paraId="7C207B4F" w14:textId="77777777" w:rsidR="00834A75" w:rsidRDefault="00834A75">
            <w:pPr>
              <w:rPr>
                <w:rFonts w:ascii="宋体"/>
              </w:rPr>
            </w:pPr>
          </w:p>
        </w:tc>
        <w:tc>
          <w:tcPr>
            <w:tcW w:w="0" w:type="auto"/>
            <w:gridSpan w:val="2"/>
            <w:shd w:val="clear" w:color="auto" w:fill="FFFFFF"/>
            <w:tcMar>
              <w:top w:w="40" w:type="dxa"/>
              <w:left w:w="20" w:type="dxa"/>
              <w:bottom w:w="40" w:type="dxa"/>
              <w:right w:w="0" w:type="dxa"/>
            </w:tcMar>
            <w:vAlign w:val="bottom"/>
          </w:tcPr>
          <w:p w14:paraId="7C207B50" w14:textId="77777777" w:rsidR="00834A75" w:rsidRDefault="00A6708C">
            <w:pPr>
              <w:jc w:val="right"/>
              <w:textAlignment w:val="bottom"/>
            </w:pPr>
            <w:r>
              <w:rPr>
                <w:rFonts w:ascii="sans-serif" w:eastAsia="sans-serif" w:hAnsi="sans-serif" w:cs="sans-serif"/>
                <w:color w:val="000000"/>
                <w:sz w:val="20"/>
                <w:szCs w:val="20"/>
              </w:rPr>
              <w:t>16,235 </w:t>
            </w:r>
          </w:p>
        </w:tc>
        <w:tc>
          <w:tcPr>
            <w:tcW w:w="0" w:type="auto"/>
            <w:shd w:val="clear" w:color="auto" w:fill="FFFFFF"/>
            <w:tcMar>
              <w:top w:w="40" w:type="dxa"/>
              <w:left w:w="0" w:type="dxa"/>
              <w:bottom w:w="40" w:type="dxa"/>
              <w:right w:w="20" w:type="dxa"/>
            </w:tcMar>
            <w:vAlign w:val="bottom"/>
          </w:tcPr>
          <w:p w14:paraId="7C207B51" w14:textId="77777777" w:rsidR="00834A75" w:rsidRDefault="00834A75">
            <w:pPr>
              <w:jc w:val="right"/>
              <w:rPr>
                <w:rFonts w:ascii="宋体"/>
              </w:rPr>
            </w:pPr>
          </w:p>
        </w:tc>
      </w:tr>
      <w:tr w:rsidR="00834A75" w14:paraId="7C207B59" w14:textId="77777777">
        <w:trPr>
          <w:jc w:val="center"/>
        </w:trPr>
        <w:tc>
          <w:tcPr>
            <w:tcW w:w="0" w:type="auto"/>
            <w:gridSpan w:val="3"/>
            <w:shd w:val="clear" w:color="auto" w:fill="E2EFD9"/>
            <w:tcMar>
              <w:top w:w="40" w:type="dxa"/>
              <w:left w:w="20" w:type="dxa"/>
              <w:bottom w:w="40" w:type="dxa"/>
              <w:right w:w="20" w:type="dxa"/>
            </w:tcMar>
            <w:vAlign w:val="bottom"/>
          </w:tcPr>
          <w:p w14:paraId="7C207B53" w14:textId="77777777" w:rsidR="00834A75" w:rsidRDefault="00A6708C">
            <w:pPr>
              <w:textAlignment w:val="bottom"/>
            </w:pPr>
            <w:r>
              <w:rPr>
                <w:rFonts w:ascii="sans-serif" w:eastAsia="sans-serif" w:hAnsi="sans-serif" w:cs="sans-serif"/>
                <w:color w:val="000000"/>
                <w:sz w:val="20"/>
                <w:szCs w:val="20"/>
              </w:rPr>
              <w:t>Total shareholders' equity</w:t>
            </w:r>
          </w:p>
        </w:tc>
        <w:tc>
          <w:tcPr>
            <w:tcW w:w="0" w:type="auto"/>
            <w:gridSpan w:val="2"/>
            <w:tcBorders>
              <w:top w:val="single" w:sz="8" w:space="0" w:color="000000"/>
            </w:tcBorders>
            <w:shd w:val="clear" w:color="auto" w:fill="E2EFD9"/>
            <w:tcMar>
              <w:top w:w="40" w:type="dxa"/>
              <w:left w:w="20" w:type="dxa"/>
              <w:bottom w:w="40" w:type="dxa"/>
              <w:right w:w="0" w:type="dxa"/>
            </w:tcMar>
            <w:vAlign w:val="bottom"/>
          </w:tcPr>
          <w:p w14:paraId="7C207B54" w14:textId="77777777" w:rsidR="00834A75" w:rsidRDefault="00A6708C">
            <w:pPr>
              <w:jc w:val="right"/>
              <w:textAlignment w:val="bottom"/>
            </w:pPr>
            <w:r>
              <w:rPr>
                <w:rFonts w:ascii="sans-serif" w:eastAsia="sans-serif" w:hAnsi="sans-serif" w:cs="sans-serif"/>
                <w:color w:val="000000"/>
                <w:sz w:val="20"/>
                <w:szCs w:val="20"/>
              </w:rPr>
              <w:t>26,320 </w:t>
            </w:r>
          </w:p>
        </w:tc>
        <w:tc>
          <w:tcPr>
            <w:tcW w:w="0" w:type="auto"/>
            <w:tcBorders>
              <w:top w:val="single" w:sz="8" w:space="0" w:color="000000"/>
            </w:tcBorders>
            <w:shd w:val="clear" w:color="auto" w:fill="E2EFD9"/>
            <w:tcMar>
              <w:top w:w="40" w:type="dxa"/>
              <w:left w:w="0" w:type="dxa"/>
              <w:bottom w:w="40" w:type="dxa"/>
              <w:right w:w="20" w:type="dxa"/>
            </w:tcMar>
            <w:vAlign w:val="bottom"/>
          </w:tcPr>
          <w:p w14:paraId="7C207B55" w14:textId="77777777" w:rsidR="00834A75" w:rsidRDefault="00834A75">
            <w:pPr>
              <w:jc w:val="right"/>
              <w:rPr>
                <w:rFonts w:ascii="宋体"/>
              </w:rPr>
            </w:pPr>
          </w:p>
        </w:tc>
        <w:tc>
          <w:tcPr>
            <w:tcW w:w="0" w:type="auto"/>
            <w:gridSpan w:val="3"/>
            <w:shd w:val="clear" w:color="auto" w:fill="E2EFD9"/>
            <w:tcMar>
              <w:top w:w="0" w:type="dxa"/>
              <w:left w:w="20" w:type="dxa"/>
              <w:bottom w:w="0" w:type="dxa"/>
              <w:right w:w="20" w:type="dxa"/>
            </w:tcMar>
            <w:vAlign w:val="bottom"/>
          </w:tcPr>
          <w:p w14:paraId="7C207B56" w14:textId="77777777" w:rsidR="00834A75" w:rsidRDefault="00834A75">
            <w:pPr>
              <w:rPr>
                <w:rFonts w:ascii="宋体"/>
              </w:rPr>
            </w:pPr>
          </w:p>
        </w:tc>
        <w:tc>
          <w:tcPr>
            <w:tcW w:w="0" w:type="auto"/>
            <w:gridSpan w:val="2"/>
            <w:tcBorders>
              <w:top w:val="single" w:sz="8" w:space="0" w:color="000000"/>
            </w:tcBorders>
            <w:shd w:val="clear" w:color="auto" w:fill="E2EFD9"/>
            <w:tcMar>
              <w:top w:w="40" w:type="dxa"/>
              <w:left w:w="20" w:type="dxa"/>
              <w:bottom w:w="40" w:type="dxa"/>
              <w:right w:w="0" w:type="dxa"/>
            </w:tcMar>
            <w:vAlign w:val="bottom"/>
          </w:tcPr>
          <w:p w14:paraId="7C207B57" w14:textId="77777777" w:rsidR="00834A75" w:rsidRDefault="00A6708C">
            <w:pPr>
              <w:jc w:val="right"/>
              <w:textAlignment w:val="bottom"/>
            </w:pPr>
            <w:r>
              <w:rPr>
                <w:rFonts w:ascii="sans-serif" w:eastAsia="sans-serif" w:hAnsi="sans-serif" w:cs="sans-serif"/>
                <w:color w:val="000000"/>
                <w:sz w:val="20"/>
                <w:szCs w:val="20"/>
              </w:rPr>
              <w:t>26,612 </w:t>
            </w:r>
          </w:p>
        </w:tc>
        <w:tc>
          <w:tcPr>
            <w:tcW w:w="0" w:type="auto"/>
            <w:tcBorders>
              <w:top w:val="single" w:sz="8" w:space="0" w:color="000000"/>
            </w:tcBorders>
            <w:shd w:val="clear" w:color="auto" w:fill="E2EFD9"/>
            <w:tcMar>
              <w:top w:w="40" w:type="dxa"/>
              <w:left w:w="0" w:type="dxa"/>
              <w:bottom w:w="40" w:type="dxa"/>
              <w:right w:w="20" w:type="dxa"/>
            </w:tcMar>
            <w:vAlign w:val="bottom"/>
          </w:tcPr>
          <w:p w14:paraId="7C207B58" w14:textId="77777777" w:rsidR="00834A75" w:rsidRDefault="00834A75">
            <w:pPr>
              <w:jc w:val="right"/>
              <w:rPr>
                <w:rFonts w:ascii="宋体"/>
              </w:rPr>
            </w:pPr>
          </w:p>
        </w:tc>
      </w:tr>
      <w:tr w:rsidR="00834A75" w14:paraId="7C207B62" w14:textId="77777777">
        <w:trPr>
          <w:jc w:val="center"/>
        </w:trPr>
        <w:tc>
          <w:tcPr>
            <w:tcW w:w="0" w:type="auto"/>
            <w:gridSpan w:val="3"/>
            <w:shd w:val="clear" w:color="auto" w:fill="FFFFFF"/>
            <w:tcMar>
              <w:top w:w="40" w:type="dxa"/>
              <w:left w:w="20" w:type="dxa"/>
              <w:bottom w:w="40" w:type="dxa"/>
              <w:right w:w="20" w:type="dxa"/>
            </w:tcMar>
            <w:vAlign w:val="bottom"/>
          </w:tcPr>
          <w:p w14:paraId="7C207B5A" w14:textId="77777777" w:rsidR="00834A75" w:rsidRDefault="00A6708C">
            <w:pPr>
              <w:textAlignment w:val="bottom"/>
            </w:pPr>
            <w:r>
              <w:rPr>
                <w:rFonts w:ascii="sans-serif" w:eastAsia="sans-serif" w:hAnsi="sans-serif" w:cs="sans-serif"/>
                <w:color w:val="000000"/>
                <w:sz w:val="20"/>
                <w:szCs w:val="20"/>
              </w:rPr>
              <w:t>Total liabilities and shareholders' equity</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C207B5B" w14:textId="77777777" w:rsidR="00834A75" w:rsidRDefault="00A6708C">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C207B5C" w14:textId="77777777" w:rsidR="00834A75" w:rsidRDefault="00A6708C">
            <w:pPr>
              <w:jc w:val="right"/>
              <w:textAlignment w:val="bottom"/>
            </w:pPr>
            <w:r>
              <w:rPr>
                <w:rFonts w:ascii="sans-serif" w:eastAsia="sans-serif" w:hAnsi="sans-serif" w:cs="sans-serif"/>
                <w:color w:val="000000"/>
                <w:sz w:val="20"/>
                <w:szCs w:val="20"/>
              </w:rPr>
              <w:t>45,212 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C207B5D" w14:textId="77777777" w:rsidR="00834A75" w:rsidRDefault="00834A75">
            <w:pPr>
              <w:jc w:val="right"/>
              <w:rPr>
                <w:rFonts w:ascii="宋体"/>
              </w:rPr>
            </w:pPr>
          </w:p>
        </w:tc>
        <w:tc>
          <w:tcPr>
            <w:tcW w:w="0" w:type="auto"/>
            <w:gridSpan w:val="3"/>
            <w:shd w:val="clear" w:color="auto" w:fill="FFFFFF"/>
            <w:tcMar>
              <w:top w:w="0" w:type="dxa"/>
              <w:left w:w="20" w:type="dxa"/>
              <w:bottom w:w="0" w:type="dxa"/>
              <w:right w:w="20" w:type="dxa"/>
            </w:tcMar>
            <w:vAlign w:val="bottom"/>
          </w:tcPr>
          <w:p w14:paraId="7C207B5E" w14:textId="77777777" w:rsidR="00834A75" w:rsidRDefault="00834A75">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C207B5F" w14:textId="77777777" w:rsidR="00834A75" w:rsidRDefault="00A6708C">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C207B60" w14:textId="77777777" w:rsidR="00834A75" w:rsidRDefault="00A6708C">
            <w:pPr>
              <w:jc w:val="right"/>
              <w:textAlignment w:val="bottom"/>
            </w:pPr>
            <w:r>
              <w:rPr>
                <w:rFonts w:ascii="sans-serif" w:eastAsia="sans-serif" w:hAnsi="sans-serif" w:cs="sans-serif"/>
                <w:color w:val="000000"/>
                <w:sz w:val="20"/>
                <w:szCs w:val="20"/>
              </w:rPr>
              <w:t>44,187 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C207B61" w14:textId="77777777" w:rsidR="00834A75" w:rsidRDefault="00834A75">
            <w:pPr>
              <w:jc w:val="right"/>
              <w:rPr>
                <w:rFonts w:ascii="宋体"/>
              </w:rPr>
            </w:pPr>
          </w:p>
        </w:tc>
      </w:tr>
    </w:tbl>
    <w:p w14:paraId="7C207B63" w14:textId="77777777" w:rsidR="00834A75" w:rsidRDefault="00A6708C">
      <w:pPr>
        <w:spacing w:after="180"/>
        <w:jc w:val="center"/>
      </w:pPr>
      <w:r>
        <w:rPr>
          <w:rFonts w:ascii="sans-serif" w:eastAsia="sans-serif" w:hAnsi="sans-serif" w:cs="sans-serif"/>
          <w:color w:val="000000"/>
          <w:sz w:val="20"/>
          <w:szCs w:val="20"/>
        </w:rPr>
        <w:t>See accompanying Notes to Condensed Consolidated Financial Statements.</w:t>
      </w:r>
    </w:p>
    <w:p w14:paraId="7C207B64" w14:textId="77777777" w:rsidR="00834A75" w:rsidRDefault="00834A75">
      <w:pPr>
        <w:spacing w:after="180"/>
        <w:jc w:val="center"/>
      </w:pPr>
    </w:p>
    <w:p w14:paraId="7C207B65" w14:textId="77777777" w:rsidR="00834A75" w:rsidRDefault="00A6708C">
      <w:pPr>
        <w:spacing w:after="180"/>
        <w:jc w:val="center"/>
      </w:pPr>
      <w:r>
        <w:rPr>
          <w:rFonts w:ascii="sans-serif" w:eastAsia="sans-serif" w:hAnsi="sans-serif" w:cs="sans-serif"/>
          <w:color w:val="000000"/>
          <w:sz w:val="20"/>
          <w:szCs w:val="20"/>
        </w:rPr>
        <w:t>5</w:t>
      </w:r>
    </w:p>
    <w:p w14:paraId="7C207B66" w14:textId="77777777" w:rsidR="00834A75" w:rsidRDefault="00A6708C">
      <w:r>
        <w:pict w14:anchorId="7C209354">
          <v:rect id="_x0000_i1029" style="width:415.3pt;height:1.5pt" o:hralign="center" o:hrstd="t" o:hr="t" fillcolor="#a0a0a0" stroked="f"/>
        </w:pict>
      </w:r>
    </w:p>
    <w:p w14:paraId="7C207B67" w14:textId="77777777" w:rsidR="00834A75" w:rsidRDefault="00834A75">
      <w:pPr>
        <w:spacing w:after="180"/>
        <w:jc w:val="both"/>
      </w:pPr>
    </w:p>
    <w:p w14:paraId="7C207B68" w14:textId="77777777" w:rsidR="00834A75" w:rsidRDefault="00A6708C">
      <w:pPr>
        <w:jc w:val="center"/>
      </w:pPr>
      <w:r>
        <w:rPr>
          <w:rFonts w:ascii="sans-serif" w:eastAsia="sans-serif" w:hAnsi="sans-serif" w:cs="sans-serif"/>
          <w:b/>
          <w:bCs/>
          <w:color w:val="000000"/>
          <w:sz w:val="20"/>
          <w:szCs w:val="20"/>
        </w:rPr>
        <w:t>NVIDIA CORPORATION AND SUBSIDIARIES</w:t>
      </w:r>
    </w:p>
    <w:p w14:paraId="7C207B69" w14:textId="77777777" w:rsidR="00834A75" w:rsidRDefault="00A6708C">
      <w:pPr>
        <w:jc w:val="center"/>
      </w:pPr>
      <w:r>
        <w:rPr>
          <w:rFonts w:ascii="sans-serif" w:eastAsia="sans-serif" w:hAnsi="sans-serif" w:cs="sans-serif"/>
          <w:b/>
          <w:bCs/>
          <w:color w:val="000000"/>
          <w:sz w:val="20"/>
          <w:szCs w:val="20"/>
        </w:rPr>
        <w:t xml:space="preserve">CONDENSED </w:t>
      </w:r>
      <w:r>
        <w:rPr>
          <w:rFonts w:ascii="sans-serif" w:eastAsia="sans-serif" w:hAnsi="sans-serif" w:cs="sans-serif"/>
          <w:b/>
          <w:bCs/>
          <w:color w:val="000000"/>
          <w:sz w:val="20"/>
          <w:szCs w:val="20"/>
        </w:rPr>
        <w:t>CONSOLIDATED STATEMENTS OF SHAREHOLDERS’ EQUITY</w:t>
      </w:r>
    </w:p>
    <w:p w14:paraId="7C207B6A" w14:textId="77777777" w:rsidR="00834A75" w:rsidRDefault="00A6708C">
      <w:pPr>
        <w:jc w:val="center"/>
      </w:pPr>
      <w:r>
        <w:rPr>
          <w:rFonts w:ascii="sans-serif" w:eastAsia="sans-serif" w:hAnsi="sans-serif" w:cs="sans-serif"/>
          <w:b/>
          <w:bCs/>
          <w:color w:val="000000"/>
          <w:sz w:val="20"/>
          <w:szCs w:val="20"/>
        </w:rPr>
        <w:t>FOR THE THREE MONTHS ENDED MAY 1, 2022 AND MAY 2, 2021</w:t>
      </w:r>
    </w:p>
    <w:p w14:paraId="7C207B6B" w14:textId="77777777" w:rsidR="00834A75" w:rsidRDefault="00A6708C">
      <w:pPr>
        <w:spacing w:after="180"/>
        <w:jc w:val="center"/>
      </w:pPr>
      <w:r>
        <w:rPr>
          <w:rFonts w:ascii="sans-serif" w:eastAsia="sans-serif" w:hAnsi="sans-serif" w:cs="sans-serif"/>
          <w:b/>
          <w:bCs/>
          <w:color w:val="000000"/>
          <w:sz w:val="20"/>
          <w:szCs w:val="20"/>
        </w:rPr>
        <w:t xml:space="preserve">(Unaudited) </w:t>
      </w:r>
    </w:p>
    <w:tbl>
      <w:tblPr>
        <w:tblW w:w="4978" w:type="pct"/>
        <w:jc w:val="center"/>
        <w:tblCellMar>
          <w:top w:w="15" w:type="dxa"/>
          <w:left w:w="15" w:type="dxa"/>
          <w:bottom w:w="15" w:type="dxa"/>
          <w:right w:w="15" w:type="dxa"/>
        </w:tblCellMar>
        <w:tblLook w:val="04A0" w:firstRow="1" w:lastRow="0" w:firstColumn="1" w:lastColumn="0" w:noHBand="0" w:noVBand="1"/>
      </w:tblPr>
      <w:tblGrid>
        <w:gridCol w:w="38"/>
        <w:gridCol w:w="2494"/>
        <w:gridCol w:w="37"/>
        <w:gridCol w:w="73"/>
        <w:gridCol w:w="389"/>
        <w:gridCol w:w="37"/>
        <w:gridCol w:w="37"/>
        <w:gridCol w:w="37"/>
        <w:gridCol w:w="36"/>
        <w:gridCol w:w="98"/>
        <w:gridCol w:w="452"/>
        <w:gridCol w:w="36"/>
        <w:gridCol w:w="36"/>
        <w:gridCol w:w="36"/>
        <w:gridCol w:w="36"/>
        <w:gridCol w:w="98"/>
        <w:gridCol w:w="593"/>
        <w:gridCol w:w="36"/>
        <w:gridCol w:w="36"/>
        <w:gridCol w:w="36"/>
        <w:gridCol w:w="36"/>
        <w:gridCol w:w="97"/>
        <w:gridCol w:w="509"/>
        <w:gridCol w:w="36"/>
        <w:gridCol w:w="36"/>
        <w:gridCol w:w="36"/>
        <w:gridCol w:w="36"/>
        <w:gridCol w:w="98"/>
        <w:gridCol w:w="916"/>
        <w:gridCol w:w="36"/>
        <w:gridCol w:w="36"/>
        <w:gridCol w:w="36"/>
        <w:gridCol w:w="36"/>
        <w:gridCol w:w="98"/>
        <w:gridCol w:w="506"/>
        <w:gridCol w:w="36"/>
        <w:gridCol w:w="36"/>
        <w:gridCol w:w="36"/>
        <w:gridCol w:w="36"/>
        <w:gridCol w:w="98"/>
        <w:gridCol w:w="802"/>
        <w:gridCol w:w="36"/>
      </w:tblGrid>
      <w:tr w:rsidR="00834A75" w14:paraId="7C207B96" w14:textId="77777777">
        <w:trPr>
          <w:jc w:val="center"/>
        </w:trPr>
        <w:tc>
          <w:tcPr>
            <w:tcW w:w="50" w:type="pct"/>
            <w:shd w:val="clear" w:color="auto" w:fill="auto"/>
            <w:vAlign w:val="bottom"/>
          </w:tcPr>
          <w:p w14:paraId="7C207B6C" w14:textId="77777777" w:rsidR="00834A75" w:rsidRDefault="00834A75">
            <w:pPr>
              <w:rPr>
                <w:rFonts w:ascii="宋体"/>
              </w:rPr>
            </w:pPr>
          </w:p>
        </w:tc>
        <w:tc>
          <w:tcPr>
            <w:tcW w:w="1883" w:type="pct"/>
            <w:shd w:val="clear" w:color="auto" w:fill="auto"/>
            <w:vAlign w:val="bottom"/>
          </w:tcPr>
          <w:p w14:paraId="7C207B6D" w14:textId="77777777" w:rsidR="00834A75" w:rsidRDefault="00834A75">
            <w:pPr>
              <w:rPr>
                <w:rFonts w:ascii="宋体"/>
              </w:rPr>
            </w:pPr>
          </w:p>
        </w:tc>
        <w:tc>
          <w:tcPr>
            <w:tcW w:w="5" w:type="pct"/>
            <w:shd w:val="clear" w:color="auto" w:fill="auto"/>
            <w:vAlign w:val="bottom"/>
          </w:tcPr>
          <w:p w14:paraId="7C207B6E" w14:textId="77777777" w:rsidR="00834A75" w:rsidRDefault="00834A75">
            <w:pPr>
              <w:rPr>
                <w:rFonts w:ascii="宋体"/>
              </w:rPr>
            </w:pPr>
          </w:p>
        </w:tc>
        <w:tc>
          <w:tcPr>
            <w:tcW w:w="50" w:type="pct"/>
            <w:shd w:val="clear" w:color="auto" w:fill="auto"/>
            <w:vAlign w:val="bottom"/>
          </w:tcPr>
          <w:p w14:paraId="7C207B6F" w14:textId="77777777" w:rsidR="00834A75" w:rsidRDefault="00834A75">
            <w:pPr>
              <w:rPr>
                <w:rFonts w:ascii="宋体"/>
              </w:rPr>
            </w:pPr>
          </w:p>
        </w:tc>
        <w:tc>
          <w:tcPr>
            <w:tcW w:w="268" w:type="pct"/>
            <w:shd w:val="clear" w:color="auto" w:fill="auto"/>
            <w:vAlign w:val="bottom"/>
          </w:tcPr>
          <w:p w14:paraId="7C207B70" w14:textId="77777777" w:rsidR="00834A75" w:rsidRDefault="00834A75">
            <w:pPr>
              <w:rPr>
                <w:rFonts w:ascii="宋体"/>
              </w:rPr>
            </w:pPr>
          </w:p>
        </w:tc>
        <w:tc>
          <w:tcPr>
            <w:tcW w:w="5" w:type="pct"/>
            <w:shd w:val="clear" w:color="auto" w:fill="auto"/>
            <w:vAlign w:val="bottom"/>
          </w:tcPr>
          <w:p w14:paraId="7C207B71" w14:textId="77777777" w:rsidR="00834A75" w:rsidRDefault="00834A75">
            <w:pPr>
              <w:rPr>
                <w:rFonts w:ascii="宋体"/>
              </w:rPr>
            </w:pPr>
          </w:p>
        </w:tc>
        <w:tc>
          <w:tcPr>
            <w:tcW w:w="5" w:type="pct"/>
            <w:shd w:val="clear" w:color="auto" w:fill="auto"/>
            <w:vAlign w:val="bottom"/>
          </w:tcPr>
          <w:p w14:paraId="7C207B72" w14:textId="77777777" w:rsidR="00834A75" w:rsidRDefault="00834A75">
            <w:pPr>
              <w:rPr>
                <w:rFonts w:ascii="宋体"/>
              </w:rPr>
            </w:pPr>
          </w:p>
        </w:tc>
        <w:tc>
          <w:tcPr>
            <w:tcW w:w="26" w:type="pct"/>
            <w:shd w:val="clear" w:color="auto" w:fill="auto"/>
            <w:vAlign w:val="bottom"/>
          </w:tcPr>
          <w:p w14:paraId="7C207B73" w14:textId="77777777" w:rsidR="00834A75" w:rsidRDefault="00834A75">
            <w:pPr>
              <w:rPr>
                <w:rFonts w:ascii="宋体"/>
              </w:rPr>
            </w:pPr>
          </w:p>
        </w:tc>
        <w:tc>
          <w:tcPr>
            <w:tcW w:w="5" w:type="pct"/>
            <w:shd w:val="clear" w:color="auto" w:fill="auto"/>
            <w:vAlign w:val="bottom"/>
          </w:tcPr>
          <w:p w14:paraId="7C207B74" w14:textId="77777777" w:rsidR="00834A75" w:rsidRDefault="00834A75">
            <w:pPr>
              <w:rPr>
                <w:rFonts w:ascii="宋体"/>
              </w:rPr>
            </w:pPr>
          </w:p>
        </w:tc>
        <w:tc>
          <w:tcPr>
            <w:tcW w:w="50" w:type="pct"/>
            <w:shd w:val="clear" w:color="auto" w:fill="auto"/>
            <w:vAlign w:val="bottom"/>
          </w:tcPr>
          <w:p w14:paraId="7C207B75" w14:textId="77777777" w:rsidR="00834A75" w:rsidRDefault="00834A75">
            <w:pPr>
              <w:rPr>
                <w:rFonts w:ascii="宋体"/>
              </w:rPr>
            </w:pPr>
          </w:p>
        </w:tc>
        <w:tc>
          <w:tcPr>
            <w:tcW w:w="260" w:type="pct"/>
            <w:shd w:val="clear" w:color="auto" w:fill="auto"/>
            <w:vAlign w:val="bottom"/>
          </w:tcPr>
          <w:p w14:paraId="7C207B76" w14:textId="77777777" w:rsidR="00834A75" w:rsidRDefault="00834A75">
            <w:pPr>
              <w:rPr>
                <w:rFonts w:ascii="宋体"/>
              </w:rPr>
            </w:pPr>
          </w:p>
        </w:tc>
        <w:tc>
          <w:tcPr>
            <w:tcW w:w="5" w:type="pct"/>
            <w:shd w:val="clear" w:color="auto" w:fill="auto"/>
            <w:vAlign w:val="bottom"/>
          </w:tcPr>
          <w:p w14:paraId="7C207B77" w14:textId="77777777" w:rsidR="00834A75" w:rsidRDefault="00834A75">
            <w:pPr>
              <w:rPr>
                <w:rFonts w:ascii="宋体"/>
              </w:rPr>
            </w:pPr>
          </w:p>
        </w:tc>
        <w:tc>
          <w:tcPr>
            <w:tcW w:w="5" w:type="pct"/>
            <w:shd w:val="clear" w:color="auto" w:fill="auto"/>
            <w:vAlign w:val="bottom"/>
          </w:tcPr>
          <w:p w14:paraId="7C207B78" w14:textId="77777777" w:rsidR="00834A75" w:rsidRDefault="00834A75">
            <w:pPr>
              <w:rPr>
                <w:rFonts w:ascii="宋体"/>
              </w:rPr>
            </w:pPr>
          </w:p>
        </w:tc>
        <w:tc>
          <w:tcPr>
            <w:tcW w:w="26" w:type="pct"/>
            <w:shd w:val="clear" w:color="auto" w:fill="auto"/>
            <w:vAlign w:val="bottom"/>
          </w:tcPr>
          <w:p w14:paraId="7C207B79" w14:textId="77777777" w:rsidR="00834A75" w:rsidRDefault="00834A75">
            <w:pPr>
              <w:rPr>
                <w:rFonts w:ascii="宋体"/>
              </w:rPr>
            </w:pPr>
          </w:p>
        </w:tc>
        <w:tc>
          <w:tcPr>
            <w:tcW w:w="5" w:type="pct"/>
            <w:shd w:val="clear" w:color="auto" w:fill="auto"/>
            <w:vAlign w:val="bottom"/>
          </w:tcPr>
          <w:p w14:paraId="7C207B7A" w14:textId="77777777" w:rsidR="00834A75" w:rsidRDefault="00834A75">
            <w:pPr>
              <w:rPr>
                <w:rFonts w:ascii="宋体"/>
              </w:rPr>
            </w:pPr>
          </w:p>
        </w:tc>
        <w:tc>
          <w:tcPr>
            <w:tcW w:w="50" w:type="pct"/>
            <w:shd w:val="clear" w:color="auto" w:fill="auto"/>
            <w:vAlign w:val="bottom"/>
          </w:tcPr>
          <w:p w14:paraId="7C207B7B" w14:textId="77777777" w:rsidR="00834A75" w:rsidRDefault="00834A75">
            <w:pPr>
              <w:rPr>
                <w:rFonts w:ascii="宋体"/>
              </w:rPr>
            </w:pPr>
          </w:p>
        </w:tc>
        <w:tc>
          <w:tcPr>
            <w:tcW w:w="334" w:type="pct"/>
            <w:shd w:val="clear" w:color="auto" w:fill="auto"/>
            <w:vAlign w:val="bottom"/>
          </w:tcPr>
          <w:p w14:paraId="7C207B7C" w14:textId="77777777" w:rsidR="00834A75" w:rsidRDefault="00834A75">
            <w:pPr>
              <w:rPr>
                <w:rFonts w:ascii="宋体"/>
              </w:rPr>
            </w:pPr>
          </w:p>
        </w:tc>
        <w:tc>
          <w:tcPr>
            <w:tcW w:w="5" w:type="pct"/>
            <w:shd w:val="clear" w:color="auto" w:fill="auto"/>
            <w:vAlign w:val="bottom"/>
          </w:tcPr>
          <w:p w14:paraId="7C207B7D" w14:textId="77777777" w:rsidR="00834A75" w:rsidRDefault="00834A75">
            <w:pPr>
              <w:rPr>
                <w:rFonts w:ascii="宋体"/>
              </w:rPr>
            </w:pPr>
          </w:p>
        </w:tc>
        <w:tc>
          <w:tcPr>
            <w:tcW w:w="5" w:type="pct"/>
            <w:shd w:val="clear" w:color="auto" w:fill="auto"/>
            <w:vAlign w:val="bottom"/>
          </w:tcPr>
          <w:p w14:paraId="7C207B7E" w14:textId="77777777" w:rsidR="00834A75" w:rsidRDefault="00834A75">
            <w:pPr>
              <w:rPr>
                <w:rFonts w:ascii="宋体"/>
              </w:rPr>
            </w:pPr>
          </w:p>
        </w:tc>
        <w:tc>
          <w:tcPr>
            <w:tcW w:w="26" w:type="pct"/>
            <w:shd w:val="clear" w:color="auto" w:fill="auto"/>
            <w:vAlign w:val="bottom"/>
          </w:tcPr>
          <w:p w14:paraId="7C207B7F" w14:textId="77777777" w:rsidR="00834A75" w:rsidRDefault="00834A75">
            <w:pPr>
              <w:rPr>
                <w:rFonts w:ascii="宋体"/>
              </w:rPr>
            </w:pPr>
          </w:p>
        </w:tc>
        <w:tc>
          <w:tcPr>
            <w:tcW w:w="5" w:type="pct"/>
            <w:shd w:val="clear" w:color="auto" w:fill="auto"/>
            <w:vAlign w:val="bottom"/>
          </w:tcPr>
          <w:p w14:paraId="7C207B80" w14:textId="77777777" w:rsidR="00834A75" w:rsidRDefault="00834A75">
            <w:pPr>
              <w:rPr>
                <w:rFonts w:ascii="宋体"/>
              </w:rPr>
            </w:pPr>
          </w:p>
        </w:tc>
        <w:tc>
          <w:tcPr>
            <w:tcW w:w="50" w:type="pct"/>
            <w:shd w:val="clear" w:color="auto" w:fill="auto"/>
            <w:vAlign w:val="bottom"/>
          </w:tcPr>
          <w:p w14:paraId="7C207B81" w14:textId="77777777" w:rsidR="00834A75" w:rsidRDefault="00834A75">
            <w:pPr>
              <w:rPr>
                <w:rFonts w:ascii="宋体"/>
              </w:rPr>
            </w:pPr>
          </w:p>
        </w:tc>
        <w:tc>
          <w:tcPr>
            <w:tcW w:w="304" w:type="pct"/>
            <w:shd w:val="clear" w:color="auto" w:fill="auto"/>
            <w:vAlign w:val="bottom"/>
          </w:tcPr>
          <w:p w14:paraId="7C207B82" w14:textId="77777777" w:rsidR="00834A75" w:rsidRDefault="00834A75">
            <w:pPr>
              <w:rPr>
                <w:rFonts w:ascii="宋体"/>
              </w:rPr>
            </w:pPr>
          </w:p>
        </w:tc>
        <w:tc>
          <w:tcPr>
            <w:tcW w:w="5" w:type="pct"/>
            <w:shd w:val="clear" w:color="auto" w:fill="auto"/>
            <w:vAlign w:val="bottom"/>
          </w:tcPr>
          <w:p w14:paraId="7C207B83" w14:textId="77777777" w:rsidR="00834A75" w:rsidRDefault="00834A75">
            <w:pPr>
              <w:rPr>
                <w:rFonts w:ascii="宋体"/>
              </w:rPr>
            </w:pPr>
          </w:p>
        </w:tc>
        <w:tc>
          <w:tcPr>
            <w:tcW w:w="5" w:type="pct"/>
            <w:shd w:val="clear" w:color="auto" w:fill="auto"/>
            <w:vAlign w:val="bottom"/>
          </w:tcPr>
          <w:p w14:paraId="7C207B84" w14:textId="77777777" w:rsidR="00834A75" w:rsidRDefault="00834A75">
            <w:pPr>
              <w:rPr>
                <w:rFonts w:ascii="宋体"/>
              </w:rPr>
            </w:pPr>
          </w:p>
        </w:tc>
        <w:tc>
          <w:tcPr>
            <w:tcW w:w="26" w:type="pct"/>
            <w:shd w:val="clear" w:color="auto" w:fill="auto"/>
            <w:vAlign w:val="bottom"/>
          </w:tcPr>
          <w:p w14:paraId="7C207B85" w14:textId="77777777" w:rsidR="00834A75" w:rsidRDefault="00834A75">
            <w:pPr>
              <w:rPr>
                <w:rFonts w:ascii="宋体"/>
              </w:rPr>
            </w:pPr>
          </w:p>
        </w:tc>
        <w:tc>
          <w:tcPr>
            <w:tcW w:w="5" w:type="pct"/>
            <w:shd w:val="clear" w:color="auto" w:fill="auto"/>
            <w:vAlign w:val="bottom"/>
          </w:tcPr>
          <w:p w14:paraId="7C207B86" w14:textId="77777777" w:rsidR="00834A75" w:rsidRDefault="00834A75">
            <w:pPr>
              <w:rPr>
                <w:rFonts w:ascii="宋体"/>
              </w:rPr>
            </w:pPr>
          </w:p>
        </w:tc>
        <w:tc>
          <w:tcPr>
            <w:tcW w:w="50" w:type="pct"/>
            <w:shd w:val="clear" w:color="auto" w:fill="auto"/>
            <w:vAlign w:val="bottom"/>
          </w:tcPr>
          <w:p w14:paraId="7C207B87" w14:textId="77777777" w:rsidR="00834A75" w:rsidRDefault="00834A75">
            <w:pPr>
              <w:rPr>
                <w:rFonts w:ascii="宋体"/>
              </w:rPr>
            </w:pPr>
          </w:p>
        </w:tc>
        <w:tc>
          <w:tcPr>
            <w:tcW w:w="525" w:type="pct"/>
            <w:shd w:val="clear" w:color="auto" w:fill="auto"/>
            <w:vAlign w:val="bottom"/>
          </w:tcPr>
          <w:p w14:paraId="7C207B88" w14:textId="77777777" w:rsidR="00834A75" w:rsidRDefault="00834A75">
            <w:pPr>
              <w:rPr>
                <w:rFonts w:ascii="宋体"/>
              </w:rPr>
            </w:pPr>
          </w:p>
        </w:tc>
        <w:tc>
          <w:tcPr>
            <w:tcW w:w="5" w:type="pct"/>
            <w:shd w:val="clear" w:color="auto" w:fill="auto"/>
            <w:vAlign w:val="bottom"/>
          </w:tcPr>
          <w:p w14:paraId="7C207B89" w14:textId="77777777" w:rsidR="00834A75" w:rsidRDefault="00834A75">
            <w:pPr>
              <w:rPr>
                <w:rFonts w:ascii="宋体"/>
              </w:rPr>
            </w:pPr>
          </w:p>
        </w:tc>
        <w:tc>
          <w:tcPr>
            <w:tcW w:w="5" w:type="pct"/>
            <w:shd w:val="clear" w:color="auto" w:fill="auto"/>
            <w:vAlign w:val="bottom"/>
          </w:tcPr>
          <w:p w14:paraId="7C207B8A" w14:textId="77777777" w:rsidR="00834A75" w:rsidRDefault="00834A75">
            <w:pPr>
              <w:rPr>
                <w:rFonts w:ascii="宋体"/>
              </w:rPr>
            </w:pPr>
          </w:p>
        </w:tc>
        <w:tc>
          <w:tcPr>
            <w:tcW w:w="26" w:type="pct"/>
            <w:shd w:val="clear" w:color="auto" w:fill="auto"/>
            <w:vAlign w:val="bottom"/>
          </w:tcPr>
          <w:p w14:paraId="7C207B8B" w14:textId="77777777" w:rsidR="00834A75" w:rsidRDefault="00834A75">
            <w:pPr>
              <w:rPr>
                <w:rFonts w:ascii="宋体"/>
              </w:rPr>
            </w:pPr>
          </w:p>
        </w:tc>
        <w:tc>
          <w:tcPr>
            <w:tcW w:w="5" w:type="pct"/>
            <w:shd w:val="clear" w:color="auto" w:fill="auto"/>
            <w:vAlign w:val="bottom"/>
          </w:tcPr>
          <w:p w14:paraId="7C207B8C" w14:textId="77777777" w:rsidR="00834A75" w:rsidRDefault="00834A75">
            <w:pPr>
              <w:rPr>
                <w:rFonts w:ascii="宋体"/>
              </w:rPr>
            </w:pPr>
          </w:p>
        </w:tc>
        <w:tc>
          <w:tcPr>
            <w:tcW w:w="50" w:type="pct"/>
            <w:shd w:val="clear" w:color="auto" w:fill="auto"/>
            <w:vAlign w:val="bottom"/>
          </w:tcPr>
          <w:p w14:paraId="7C207B8D" w14:textId="77777777" w:rsidR="00834A75" w:rsidRDefault="00834A75">
            <w:pPr>
              <w:rPr>
                <w:rFonts w:ascii="宋体"/>
              </w:rPr>
            </w:pPr>
          </w:p>
        </w:tc>
        <w:tc>
          <w:tcPr>
            <w:tcW w:w="297" w:type="pct"/>
            <w:shd w:val="clear" w:color="auto" w:fill="auto"/>
            <w:vAlign w:val="bottom"/>
          </w:tcPr>
          <w:p w14:paraId="7C207B8E" w14:textId="77777777" w:rsidR="00834A75" w:rsidRDefault="00834A75">
            <w:pPr>
              <w:rPr>
                <w:rFonts w:ascii="宋体"/>
              </w:rPr>
            </w:pPr>
          </w:p>
        </w:tc>
        <w:tc>
          <w:tcPr>
            <w:tcW w:w="5" w:type="pct"/>
            <w:shd w:val="clear" w:color="auto" w:fill="auto"/>
            <w:vAlign w:val="bottom"/>
          </w:tcPr>
          <w:p w14:paraId="7C207B8F" w14:textId="77777777" w:rsidR="00834A75" w:rsidRDefault="00834A75">
            <w:pPr>
              <w:rPr>
                <w:rFonts w:ascii="宋体"/>
              </w:rPr>
            </w:pPr>
          </w:p>
        </w:tc>
        <w:tc>
          <w:tcPr>
            <w:tcW w:w="5" w:type="pct"/>
            <w:shd w:val="clear" w:color="auto" w:fill="auto"/>
            <w:vAlign w:val="bottom"/>
          </w:tcPr>
          <w:p w14:paraId="7C207B90" w14:textId="77777777" w:rsidR="00834A75" w:rsidRDefault="00834A75">
            <w:pPr>
              <w:rPr>
                <w:rFonts w:ascii="宋体"/>
              </w:rPr>
            </w:pPr>
          </w:p>
        </w:tc>
        <w:tc>
          <w:tcPr>
            <w:tcW w:w="26" w:type="pct"/>
            <w:shd w:val="clear" w:color="auto" w:fill="auto"/>
            <w:vAlign w:val="bottom"/>
          </w:tcPr>
          <w:p w14:paraId="7C207B91" w14:textId="77777777" w:rsidR="00834A75" w:rsidRDefault="00834A75">
            <w:pPr>
              <w:rPr>
                <w:rFonts w:ascii="宋体"/>
              </w:rPr>
            </w:pPr>
          </w:p>
        </w:tc>
        <w:tc>
          <w:tcPr>
            <w:tcW w:w="5" w:type="pct"/>
            <w:shd w:val="clear" w:color="auto" w:fill="auto"/>
            <w:vAlign w:val="bottom"/>
          </w:tcPr>
          <w:p w14:paraId="7C207B92" w14:textId="77777777" w:rsidR="00834A75" w:rsidRDefault="00834A75">
            <w:pPr>
              <w:rPr>
                <w:rFonts w:ascii="宋体"/>
              </w:rPr>
            </w:pPr>
          </w:p>
        </w:tc>
        <w:tc>
          <w:tcPr>
            <w:tcW w:w="50" w:type="pct"/>
            <w:shd w:val="clear" w:color="auto" w:fill="auto"/>
            <w:vAlign w:val="bottom"/>
          </w:tcPr>
          <w:p w14:paraId="7C207B93" w14:textId="77777777" w:rsidR="00834A75" w:rsidRDefault="00834A75">
            <w:pPr>
              <w:rPr>
                <w:rFonts w:ascii="宋体"/>
              </w:rPr>
            </w:pPr>
          </w:p>
        </w:tc>
        <w:tc>
          <w:tcPr>
            <w:tcW w:w="466" w:type="pct"/>
            <w:shd w:val="clear" w:color="auto" w:fill="auto"/>
            <w:vAlign w:val="bottom"/>
          </w:tcPr>
          <w:p w14:paraId="7C207B94" w14:textId="77777777" w:rsidR="00834A75" w:rsidRDefault="00834A75">
            <w:pPr>
              <w:rPr>
                <w:rFonts w:ascii="宋体"/>
              </w:rPr>
            </w:pPr>
          </w:p>
        </w:tc>
        <w:tc>
          <w:tcPr>
            <w:tcW w:w="5" w:type="pct"/>
            <w:shd w:val="clear" w:color="auto" w:fill="auto"/>
            <w:vAlign w:val="bottom"/>
          </w:tcPr>
          <w:p w14:paraId="7C207B95" w14:textId="77777777" w:rsidR="00834A75" w:rsidRDefault="00834A75">
            <w:pPr>
              <w:rPr>
                <w:rFonts w:ascii="宋体"/>
              </w:rPr>
            </w:pPr>
          </w:p>
        </w:tc>
      </w:tr>
      <w:tr w:rsidR="00834A75" w14:paraId="7C207BA4" w14:textId="77777777">
        <w:trPr>
          <w:trHeight w:val="420"/>
          <w:jc w:val="center"/>
        </w:trPr>
        <w:tc>
          <w:tcPr>
            <w:tcW w:w="0" w:type="auto"/>
            <w:gridSpan w:val="3"/>
            <w:shd w:val="clear" w:color="auto" w:fill="auto"/>
            <w:tcMar>
              <w:top w:w="0" w:type="dxa"/>
              <w:left w:w="20" w:type="dxa"/>
              <w:bottom w:w="0" w:type="dxa"/>
              <w:right w:w="20" w:type="dxa"/>
            </w:tcMar>
            <w:vAlign w:val="bottom"/>
          </w:tcPr>
          <w:p w14:paraId="7C207B97" w14:textId="77777777" w:rsidR="00834A75" w:rsidRDefault="00834A75">
            <w:pPr>
              <w:rPr>
                <w:rFonts w:ascii="宋体"/>
              </w:rPr>
            </w:pPr>
          </w:p>
        </w:tc>
        <w:tc>
          <w:tcPr>
            <w:tcW w:w="0" w:type="auto"/>
            <w:gridSpan w:val="9"/>
            <w:shd w:val="clear" w:color="auto" w:fill="auto"/>
            <w:tcMar>
              <w:top w:w="40" w:type="dxa"/>
              <w:left w:w="20" w:type="dxa"/>
              <w:bottom w:w="40" w:type="dxa"/>
              <w:right w:w="20" w:type="dxa"/>
            </w:tcMar>
            <w:vAlign w:val="bottom"/>
          </w:tcPr>
          <w:p w14:paraId="7C207B98" w14:textId="77777777" w:rsidR="00834A75" w:rsidRDefault="00A6708C">
            <w:pPr>
              <w:jc w:val="center"/>
              <w:textAlignment w:val="bottom"/>
            </w:pPr>
            <w:r>
              <w:rPr>
                <w:rFonts w:ascii="sans-serif" w:eastAsia="sans-serif" w:hAnsi="sans-serif" w:cs="sans-serif"/>
                <w:b/>
                <w:bCs/>
                <w:color w:val="000000"/>
                <w:sz w:val="15"/>
                <w:szCs w:val="15"/>
              </w:rPr>
              <w:t>Common Stock</w:t>
            </w:r>
          </w:p>
          <w:p w14:paraId="7C207B99" w14:textId="77777777" w:rsidR="00834A75" w:rsidRDefault="00A6708C">
            <w:pPr>
              <w:jc w:val="center"/>
              <w:textAlignment w:val="bottom"/>
            </w:pPr>
            <w:r>
              <w:rPr>
                <w:rFonts w:ascii="sans-serif" w:eastAsia="sans-serif" w:hAnsi="sans-serif" w:cs="sans-serif"/>
                <w:b/>
                <w:bCs/>
                <w:color w:val="000000"/>
                <w:sz w:val="15"/>
                <w:szCs w:val="15"/>
              </w:rPr>
              <w:t>Outstanding</w:t>
            </w:r>
          </w:p>
        </w:tc>
        <w:tc>
          <w:tcPr>
            <w:tcW w:w="0" w:type="auto"/>
            <w:gridSpan w:val="3"/>
            <w:shd w:val="clear" w:color="auto" w:fill="auto"/>
            <w:tcMar>
              <w:top w:w="0" w:type="dxa"/>
              <w:left w:w="20" w:type="dxa"/>
              <w:bottom w:w="0" w:type="dxa"/>
              <w:right w:w="20" w:type="dxa"/>
            </w:tcMar>
            <w:vAlign w:val="bottom"/>
          </w:tcPr>
          <w:p w14:paraId="7C207B9A" w14:textId="77777777" w:rsidR="00834A75" w:rsidRDefault="00834A75">
            <w:pPr>
              <w:rPr>
                <w:rFonts w:ascii="宋体"/>
              </w:rPr>
            </w:pPr>
          </w:p>
        </w:tc>
        <w:tc>
          <w:tcPr>
            <w:tcW w:w="0" w:type="auto"/>
            <w:gridSpan w:val="3"/>
            <w:vMerge w:val="restart"/>
            <w:shd w:val="clear" w:color="auto" w:fill="auto"/>
            <w:tcMar>
              <w:top w:w="40" w:type="dxa"/>
              <w:left w:w="20" w:type="dxa"/>
              <w:bottom w:w="40" w:type="dxa"/>
              <w:right w:w="20" w:type="dxa"/>
            </w:tcMar>
            <w:vAlign w:val="bottom"/>
          </w:tcPr>
          <w:p w14:paraId="7C207B9B" w14:textId="77777777" w:rsidR="00834A75" w:rsidRDefault="00A6708C">
            <w:pPr>
              <w:jc w:val="center"/>
              <w:textAlignment w:val="bottom"/>
            </w:pPr>
            <w:r>
              <w:rPr>
                <w:rFonts w:ascii="sans-serif" w:eastAsia="sans-serif" w:hAnsi="sans-serif" w:cs="sans-serif"/>
                <w:b/>
                <w:bCs/>
                <w:color w:val="000000"/>
                <w:sz w:val="15"/>
                <w:szCs w:val="15"/>
              </w:rPr>
              <w:t>Additional Paid-in Capital</w:t>
            </w:r>
          </w:p>
        </w:tc>
        <w:tc>
          <w:tcPr>
            <w:tcW w:w="0" w:type="auto"/>
            <w:gridSpan w:val="3"/>
            <w:shd w:val="clear" w:color="auto" w:fill="auto"/>
            <w:tcMar>
              <w:top w:w="0" w:type="dxa"/>
              <w:left w:w="20" w:type="dxa"/>
              <w:bottom w:w="0" w:type="dxa"/>
              <w:right w:w="20" w:type="dxa"/>
            </w:tcMar>
            <w:vAlign w:val="bottom"/>
          </w:tcPr>
          <w:p w14:paraId="7C207B9C" w14:textId="77777777" w:rsidR="00834A75" w:rsidRDefault="00834A75">
            <w:pPr>
              <w:rPr>
                <w:rFonts w:ascii="宋体"/>
              </w:rPr>
            </w:pPr>
          </w:p>
        </w:tc>
        <w:tc>
          <w:tcPr>
            <w:tcW w:w="0" w:type="auto"/>
            <w:gridSpan w:val="3"/>
            <w:vMerge w:val="restart"/>
            <w:shd w:val="clear" w:color="auto" w:fill="auto"/>
            <w:tcMar>
              <w:top w:w="40" w:type="dxa"/>
              <w:left w:w="20" w:type="dxa"/>
              <w:bottom w:w="40" w:type="dxa"/>
              <w:right w:w="20" w:type="dxa"/>
            </w:tcMar>
            <w:vAlign w:val="bottom"/>
          </w:tcPr>
          <w:p w14:paraId="7C207B9D" w14:textId="77777777" w:rsidR="00834A75" w:rsidRDefault="00A6708C">
            <w:pPr>
              <w:jc w:val="center"/>
              <w:textAlignment w:val="bottom"/>
            </w:pPr>
            <w:r>
              <w:rPr>
                <w:rFonts w:ascii="sans-serif" w:eastAsia="sans-serif" w:hAnsi="sans-serif" w:cs="sans-serif"/>
                <w:b/>
                <w:bCs/>
                <w:color w:val="000000"/>
                <w:sz w:val="15"/>
                <w:szCs w:val="15"/>
              </w:rPr>
              <w:t>Treasury Stock</w:t>
            </w:r>
          </w:p>
        </w:tc>
        <w:tc>
          <w:tcPr>
            <w:tcW w:w="0" w:type="auto"/>
            <w:gridSpan w:val="3"/>
            <w:shd w:val="clear" w:color="auto" w:fill="auto"/>
            <w:tcMar>
              <w:top w:w="0" w:type="dxa"/>
              <w:left w:w="20" w:type="dxa"/>
              <w:bottom w:w="0" w:type="dxa"/>
              <w:right w:w="20" w:type="dxa"/>
            </w:tcMar>
            <w:vAlign w:val="bottom"/>
          </w:tcPr>
          <w:p w14:paraId="7C207B9E" w14:textId="77777777" w:rsidR="00834A75" w:rsidRDefault="00834A75">
            <w:pPr>
              <w:rPr>
                <w:rFonts w:ascii="宋体"/>
              </w:rPr>
            </w:pPr>
          </w:p>
        </w:tc>
        <w:tc>
          <w:tcPr>
            <w:tcW w:w="0" w:type="auto"/>
            <w:gridSpan w:val="3"/>
            <w:vMerge w:val="restart"/>
            <w:shd w:val="clear" w:color="auto" w:fill="auto"/>
            <w:tcMar>
              <w:top w:w="40" w:type="dxa"/>
              <w:left w:w="20" w:type="dxa"/>
              <w:bottom w:w="40" w:type="dxa"/>
              <w:right w:w="20" w:type="dxa"/>
            </w:tcMar>
            <w:vAlign w:val="bottom"/>
          </w:tcPr>
          <w:p w14:paraId="7C207B9F" w14:textId="77777777" w:rsidR="00834A75" w:rsidRDefault="00A6708C">
            <w:pPr>
              <w:jc w:val="center"/>
              <w:textAlignment w:val="bottom"/>
            </w:pPr>
            <w:r>
              <w:rPr>
                <w:rFonts w:ascii="sans-serif" w:eastAsia="sans-serif" w:hAnsi="sans-serif" w:cs="sans-serif"/>
                <w:b/>
                <w:bCs/>
                <w:color w:val="000000"/>
                <w:sz w:val="15"/>
                <w:szCs w:val="15"/>
              </w:rPr>
              <w:t>Accumulated Other Comprehensive Income (Loss)</w:t>
            </w:r>
          </w:p>
        </w:tc>
        <w:tc>
          <w:tcPr>
            <w:tcW w:w="0" w:type="auto"/>
            <w:gridSpan w:val="3"/>
            <w:shd w:val="clear" w:color="auto" w:fill="auto"/>
            <w:tcMar>
              <w:top w:w="0" w:type="dxa"/>
              <w:left w:w="20" w:type="dxa"/>
              <w:bottom w:w="0" w:type="dxa"/>
              <w:right w:w="20" w:type="dxa"/>
            </w:tcMar>
            <w:vAlign w:val="bottom"/>
          </w:tcPr>
          <w:p w14:paraId="7C207BA0" w14:textId="77777777" w:rsidR="00834A75" w:rsidRDefault="00834A75">
            <w:pPr>
              <w:rPr>
                <w:rFonts w:ascii="宋体"/>
              </w:rPr>
            </w:pPr>
          </w:p>
        </w:tc>
        <w:tc>
          <w:tcPr>
            <w:tcW w:w="0" w:type="auto"/>
            <w:gridSpan w:val="3"/>
            <w:vMerge w:val="restart"/>
            <w:shd w:val="clear" w:color="auto" w:fill="auto"/>
            <w:tcMar>
              <w:top w:w="40" w:type="dxa"/>
              <w:left w:w="20" w:type="dxa"/>
              <w:bottom w:w="40" w:type="dxa"/>
              <w:right w:w="20" w:type="dxa"/>
            </w:tcMar>
            <w:vAlign w:val="bottom"/>
          </w:tcPr>
          <w:p w14:paraId="7C207BA1" w14:textId="77777777" w:rsidR="00834A75" w:rsidRDefault="00A6708C">
            <w:pPr>
              <w:jc w:val="center"/>
              <w:textAlignment w:val="bottom"/>
            </w:pPr>
            <w:r>
              <w:rPr>
                <w:rFonts w:ascii="sans-serif" w:eastAsia="sans-serif" w:hAnsi="sans-serif" w:cs="sans-serif"/>
                <w:b/>
                <w:bCs/>
                <w:color w:val="000000"/>
                <w:sz w:val="15"/>
                <w:szCs w:val="15"/>
              </w:rPr>
              <w:t>Retained Earnings</w:t>
            </w:r>
          </w:p>
        </w:tc>
        <w:tc>
          <w:tcPr>
            <w:tcW w:w="0" w:type="auto"/>
            <w:gridSpan w:val="3"/>
            <w:shd w:val="clear" w:color="auto" w:fill="auto"/>
            <w:tcMar>
              <w:top w:w="0" w:type="dxa"/>
              <w:left w:w="20" w:type="dxa"/>
              <w:bottom w:w="0" w:type="dxa"/>
              <w:right w:w="20" w:type="dxa"/>
            </w:tcMar>
            <w:vAlign w:val="bottom"/>
          </w:tcPr>
          <w:p w14:paraId="7C207BA2" w14:textId="77777777" w:rsidR="00834A75" w:rsidRDefault="00834A75">
            <w:pPr>
              <w:rPr>
                <w:rFonts w:ascii="宋体"/>
              </w:rPr>
            </w:pPr>
          </w:p>
        </w:tc>
        <w:tc>
          <w:tcPr>
            <w:tcW w:w="0" w:type="auto"/>
            <w:gridSpan w:val="3"/>
            <w:vMerge w:val="restart"/>
            <w:shd w:val="clear" w:color="auto" w:fill="auto"/>
            <w:tcMar>
              <w:top w:w="40" w:type="dxa"/>
              <w:left w:w="20" w:type="dxa"/>
              <w:bottom w:w="40" w:type="dxa"/>
              <w:right w:w="20" w:type="dxa"/>
            </w:tcMar>
            <w:vAlign w:val="bottom"/>
          </w:tcPr>
          <w:p w14:paraId="7C207BA3" w14:textId="77777777" w:rsidR="00834A75" w:rsidRDefault="00A6708C">
            <w:pPr>
              <w:jc w:val="center"/>
              <w:textAlignment w:val="bottom"/>
            </w:pPr>
            <w:r>
              <w:rPr>
                <w:rFonts w:ascii="sans-serif" w:eastAsia="sans-serif" w:hAnsi="sans-serif" w:cs="sans-serif"/>
                <w:b/>
                <w:bCs/>
                <w:color w:val="000000"/>
                <w:sz w:val="15"/>
                <w:szCs w:val="15"/>
              </w:rPr>
              <w:t>Total Shareholders' Equity</w:t>
            </w:r>
          </w:p>
        </w:tc>
      </w:tr>
      <w:tr w:rsidR="00834A75" w14:paraId="7C207BB3" w14:textId="77777777">
        <w:trPr>
          <w:trHeight w:val="240"/>
          <w:jc w:val="center"/>
        </w:trPr>
        <w:tc>
          <w:tcPr>
            <w:tcW w:w="0" w:type="auto"/>
            <w:gridSpan w:val="3"/>
            <w:shd w:val="clear" w:color="auto" w:fill="auto"/>
            <w:tcMar>
              <w:top w:w="40" w:type="dxa"/>
              <w:left w:w="20" w:type="dxa"/>
              <w:bottom w:w="40" w:type="dxa"/>
              <w:right w:w="20" w:type="dxa"/>
            </w:tcMar>
            <w:vAlign w:val="bottom"/>
          </w:tcPr>
          <w:p w14:paraId="7C207BA5" w14:textId="77777777" w:rsidR="00834A75" w:rsidRDefault="00A6708C">
            <w:pPr>
              <w:textAlignment w:val="bottom"/>
            </w:pPr>
            <w:r>
              <w:rPr>
                <w:rFonts w:ascii="sans-serif" w:eastAsia="sans-serif" w:hAnsi="sans-serif" w:cs="sans-serif"/>
                <w:b/>
                <w:bCs/>
                <w:color w:val="000000"/>
                <w:sz w:val="15"/>
                <w:szCs w:val="15"/>
              </w:rPr>
              <w:t>(In millions, except per share data)</w:t>
            </w:r>
          </w:p>
        </w:tc>
        <w:tc>
          <w:tcPr>
            <w:tcW w:w="0" w:type="auto"/>
            <w:gridSpan w:val="3"/>
            <w:shd w:val="clear" w:color="auto" w:fill="auto"/>
            <w:tcMar>
              <w:top w:w="40" w:type="dxa"/>
              <w:left w:w="20" w:type="dxa"/>
              <w:bottom w:w="40" w:type="dxa"/>
              <w:right w:w="20" w:type="dxa"/>
            </w:tcMar>
            <w:vAlign w:val="bottom"/>
          </w:tcPr>
          <w:p w14:paraId="7C207BA6" w14:textId="77777777" w:rsidR="00834A75" w:rsidRDefault="00A6708C">
            <w:pPr>
              <w:jc w:val="center"/>
              <w:textAlignment w:val="bottom"/>
            </w:pPr>
            <w:r>
              <w:rPr>
                <w:rFonts w:ascii="sans-serif" w:eastAsia="sans-serif" w:hAnsi="sans-serif" w:cs="sans-serif"/>
                <w:b/>
                <w:bCs/>
                <w:color w:val="000000"/>
                <w:sz w:val="15"/>
                <w:szCs w:val="15"/>
              </w:rPr>
              <w:t>Shares</w:t>
            </w:r>
          </w:p>
        </w:tc>
        <w:tc>
          <w:tcPr>
            <w:tcW w:w="0" w:type="auto"/>
            <w:gridSpan w:val="3"/>
            <w:shd w:val="clear" w:color="auto" w:fill="auto"/>
            <w:tcMar>
              <w:top w:w="0" w:type="dxa"/>
              <w:left w:w="20" w:type="dxa"/>
              <w:bottom w:w="0" w:type="dxa"/>
              <w:right w:w="20" w:type="dxa"/>
            </w:tcMar>
            <w:vAlign w:val="bottom"/>
          </w:tcPr>
          <w:p w14:paraId="7C207BA7" w14:textId="77777777" w:rsidR="00834A75" w:rsidRDefault="00834A75">
            <w:pPr>
              <w:rPr>
                <w:rFonts w:ascii="宋体"/>
              </w:rPr>
            </w:pPr>
          </w:p>
        </w:tc>
        <w:tc>
          <w:tcPr>
            <w:tcW w:w="0" w:type="auto"/>
            <w:gridSpan w:val="3"/>
            <w:shd w:val="clear" w:color="auto" w:fill="auto"/>
            <w:tcMar>
              <w:top w:w="40" w:type="dxa"/>
              <w:left w:w="20" w:type="dxa"/>
              <w:bottom w:w="40" w:type="dxa"/>
              <w:right w:w="20" w:type="dxa"/>
            </w:tcMar>
            <w:vAlign w:val="bottom"/>
          </w:tcPr>
          <w:p w14:paraId="7C207BA8" w14:textId="77777777" w:rsidR="00834A75" w:rsidRDefault="00A6708C">
            <w:pPr>
              <w:jc w:val="center"/>
              <w:textAlignment w:val="bottom"/>
            </w:pPr>
            <w:r>
              <w:rPr>
                <w:rFonts w:ascii="sans-serif" w:eastAsia="sans-serif" w:hAnsi="sans-serif" w:cs="sans-serif"/>
                <w:b/>
                <w:bCs/>
                <w:color w:val="000000"/>
                <w:sz w:val="15"/>
                <w:szCs w:val="15"/>
              </w:rPr>
              <w:t>Amount</w:t>
            </w:r>
          </w:p>
        </w:tc>
        <w:tc>
          <w:tcPr>
            <w:tcW w:w="0" w:type="auto"/>
            <w:gridSpan w:val="3"/>
            <w:shd w:val="clear" w:color="auto" w:fill="auto"/>
            <w:tcMar>
              <w:top w:w="0" w:type="dxa"/>
              <w:left w:w="20" w:type="dxa"/>
              <w:bottom w:w="0" w:type="dxa"/>
              <w:right w:w="20" w:type="dxa"/>
            </w:tcMar>
            <w:vAlign w:val="bottom"/>
          </w:tcPr>
          <w:p w14:paraId="7C207BA9" w14:textId="77777777" w:rsidR="00834A75" w:rsidRDefault="00834A75">
            <w:pPr>
              <w:rPr>
                <w:rFonts w:ascii="宋体"/>
              </w:rPr>
            </w:pPr>
          </w:p>
        </w:tc>
        <w:tc>
          <w:tcPr>
            <w:tcW w:w="0" w:type="auto"/>
            <w:gridSpan w:val="3"/>
            <w:vMerge/>
            <w:shd w:val="clear" w:color="auto" w:fill="auto"/>
            <w:tcMar>
              <w:top w:w="40" w:type="dxa"/>
              <w:left w:w="20" w:type="dxa"/>
              <w:bottom w:w="40" w:type="dxa"/>
              <w:right w:w="20" w:type="dxa"/>
            </w:tcMar>
            <w:vAlign w:val="bottom"/>
          </w:tcPr>
          <w:p w14:paraId="7C207BAA" w14:textId="77777777" w:rsidR="00834A75" w:rsidRDefault="00834A75">
            <w:pPr>
              <w:jc w:val="center"/>
              <w:rPr>
                <w:rFonts w:ascii="宋体"/>
              </w:rPr>
            </w:pPr>
          </w:p>
        </w:tc>
        <w:tc>
          <w:tcPr>
            <w:tcW w:w="0" w:type="auto"/>
            <w:gridSpan w:val="3"/>
            <w:shd w:val="clear" w:color="auto" w:fill="auto"/>
            <w:tcMar>
              <w:top w:w="0" w:type="dxa"/>
              <w:left w:w="20" w:type="dxa"/>
              <w:bottom w:w="0" w:type="dxa"/>
              <w:right w:w="20" w:type="dxa"/>
            </w:tcMar>
            <w:vAlign w:val="bottom"/>
          </w:tcPr>
          <w:p w14:paraId="7C207BAB" w14:textId="77777777" w:rsidR="00834A75" w:rsidRDefault="00834A75">
            <w:pPr>
              <w:rPr>
                <w:rFonts w:ascii="宋体"/>
              </w:rPr>
            </w:pPr>
          </w:p>
        </w:tc>
        <w:tc>
          <w:tcPr>
            <w:tcW w:w="0" w:type="auto"/>
            <w:gridSpan w:val="3"/>
            <w:vMerge/>
            <w:shd w:val="clear" w:color="auto" w:fill="auto"/>
            <w:tcMar>
              <w:top w:w="40" w:type="dxa"/>
              <w:left w:w="20" w:type="dxa"/>
              <w:bottom w:w="40" w:type="dxa"/>
              <w:right w:w="20" w:type="dxa"/>
            </w:tcMar>
            <w:vAlign w:val="bottom"/>
          </w:tcPr>
          <w:p w14:paraId="7C207BAC" w14:textId="77777777" w:rsidR="00834A75" w:rsidRDefault="00834A75">
            <w:pPr>
              <w:jc w:val="center"/>
              <w:rPr>
                <w:rFonts w:ascii="宋体"/>
              </w:rPr>
            </w:pPr>
          </w:p>
        </w:tc>
        <w:tc>
          <w:tcPr>
            <w:tcW w:w="0" w:type="auto"/>
            <w:gridSpan w:val="3"/>
            <w:shd w:val="clear" w:color="auto" w:fill="auto"/>
            <w:tcMar>
              <w:top w:w="0" w:type="dxa"/>
              <w:left w:w="20" w:type="dxa"/>
              <w:bottom w:w="0" w:type="dxa"/>
              <w:right w:w="20" w:type="dxa"/>
            </w:tcMar>
            <w:vAlign w:val="bottom"/>
          </w:tcPr>
          <w:p w14:paraId="7C207BAD" w14:textId="77777777" w:rsidR="00834A75" w:rsidRDefault="00834A75">
            <w:pPr>
              <w:rPr>
                <w:rFonts w:ascii="宋体"/>
              </w:rPr>
            </w:pPr>
          </w:p>
        </w:tc>
        <w:tc>
          <w:tcPr>
            <w:tcW w:w="0" w:type="auto"/>
            <w:gridSpan w:val="3"/>
            <w:vMerge/>
            <w:shd w:val="clear" w:color="auto" w:fill="auto"/>
            <w:tcMar>
              <w:top w:w="40" w:type="dxa"/>
              <w:left w:w="20" w:type="dxa"/>
              <w:bottom w:w="40" w:type="dxa"/>
              <w:right w:w="20" w:type="dxa"/>
            </w:tcMar>
            <w:vAlign w:val="bottom"/>
          </w:tcPr>
          <w:p w14:paraId="7C207BAE" w14:textId="77777777" w:rsidR="00834A75" w:rsidRDefault="00834A75">
            <w:pPr>
              <w:jc w:val="center"/>
              <w:rPr>
                <w:rFonts w:ascii="宋体"/>
              </w:rPr>
            </w:pPr>
          </w:p>
        </w:tc>
        <w:tc>
          <w:tcPr>
            <w:tcW w:w="0" w:type="auto"/>
            <w:gridSpan w:val="3"/>
            <w:shd w:val="clear" w:color="auto" w:fill="auto"/>
            <w:tcMar>
              <w:top w:w="0" w:type="dxa"/>
              <w:left w:w="20" w:type="dxa"/>
              <w:bottom w:w="0" w:type="dxa"/>
              <w:right w:w="20" w:type="dxa"/>
            </w:tcMar>
            <w:vAlign w:val="bottom"/>
          </w:tcPr>
          <w:p w14:paraId="7C207BAF" w14:textId="77777777" w:rsidR="00834A75" w:rsidRDefault="00834A75">
            <w:pPr>
              <w:rPr>
                <w:rFonts w:ascii="宋体"/>
              </w:rPr>
            </w:pPr>
          </w:p>
        </w:tc>
        <w:tc>
          <w:tcPr>
            <w:tcW w:w="0" w:type="auto"/>
            <w:gridSpan w:val="3"/>
            <w:vMerge/>
            <w:shd w:val="clear" w:color="auto" w:fill="auto"/>
            <w:tcMar>
              <w:top w:w="40" w:type="dxa"/>
              <w:left w:w="20" w:type="dxa"/>
              <w:bottom w:w="40" w:type="dxa"/>
              <w:right w:w="20" w:type="dxa"/>
            </w:tcMar>
            <w:vAlign w:val="bottom"/>
          </w:tcPr>
          <w:p w14:paraId="7C207BB0" w14:textId="77777777" w:rsidR="00834A75" w:rsidRDefault="00834A75">
            <w:pPr>
              <w:jc w:val="center"/>
              <w:rPr>
                <w:rFonts w:ascii="宋体"/>
              </w:rPr>
            </w:pPr>
          </w:p>
        </w:tc>
        <w:tc>
          <w:tcPr>
            <w:tcW w:w="0" w:type="auto"/>
            <w:gridSpan w:val="3"/>
            <w:shd w:val="clear" w:color="auto" w:fill="auto"/>
            <w:tcMar>
              <w:top w:w="0" w:type="dxa"/>
              <w:left w:w="20" w:type="dxa"/>
              <w:bottom w:w="0" w:type="dxa"/>
              <w:right w:w="20" w:type="dxa"/>
            </w:tcMar>
            <w:vAlign w:val="bottom"/>
          </w:tcPr>
          <w:p w14:paraId="7C207BB1" w14:textId="77777777" w:rsidR="00834A75" w:rsidRDefault="00834A75">
            <w:pPr>
              <w:rPr>
                <w:rFonts w:ascii="宋体"/>
              </w:rPr>
            </w:pPr>
          </w:p>
        </w:tc>
        <w:tc>
          <w:tcPr>
            <w:tcW w:w="0" w:type="auto"/>
            <w:gridSpan w:val="3"/>
            <w:vMerge/>
            <w:shd w:val="clear" w:color="auto" w:fill="auto"/>
            <w:tcMar>
              <w:top w:w="40" w:type="dxa"/>
              <w:left w:w="20" w:type="dxa"/>
              <w:bottom w:w="40" w:type="dxa"/>
              <w:right w:w="20" w:type="dxa"/>
            </w:tcMar>
            <w:vAlign w:val="bottom"/>
          </w:tcPr>
          <w:p w14:paraId="7C207BB2" w14:textId="77777777" w:rsidR="00834A75" w:rsidRDefault="00834A75">
            <w:pPr>
              <w:jc w:val="center"/>
              <w:rPr>
                <w:rFonts w:ascii="宋体"/>
              </w:rPr>
            </w:pPr>
          </w:p>
        </w:tc>
      </w:tr>
      <w:tr w:rsidR="00834A75" w14:paraId="7C207BCF" w14:textId="77777777">
        <w:trPr>
          <w:jc w:val="center"/>
        </w:trPr>
        <w:tc>
          <w:tcPr>
            <w:tcW w:w="0" w:type="auto"/>
            <w:gridSpan w:val="3"/>
            <w:shd w:val="clear" w:color="auto" w:fill="E2EFD9"/>
            <w:tcMar>
              <w:top w:w="40" w:type="dxa"/>
              <w:left w:w="20" w:type="dxa"/>
              <w:bottom w:w="40" w:type="dxa"/>
              <w:right w:w="20" w:type="dxa"/>
            </w:tcMar>
            <w:vAlign w:val="bottom"/>
          </w:tcPr>
          <w:p w14:paraId="7C207BB4" w14:textId="77777777" w:rsidR="00834A75" w:rsidRDefault="00A6708C">
            <w:pPr>
              <w:textAlignment w:val="bottom"/>
            </w:pPr>
            <w:r>
              <w:rPr>
                <w:rFonts w:ascii="sans-serif" w:eastAsia="sans-serif" w:hAnsi="sans-serif" w:cs="sans-serif"/>
                <w:color w:val="000000"/>
                <w:sz w:val="15"/>
                <w:szCs w:val="15"/>
              </w:rPr>
              <w:t>Balances, January 30, 2022</w:t>
            </w:r>
          </w:p>
        </w:tc>
        <w:tc>
          <w:tcPr>
            <w:tcW w:w="0" w:type="auto"/>
            <w:gridSpan w:val="2"/>
            <w:tcBorders>
              <w:top w:val="single" w:sz="8" w:space="0" w:color="000000"/>
            </w:tcBorders>
            <w:shd w:val="clear" w:color="auto" w:fill="E2EFD9"/>
            <w:tcMar>
              <w:top w:w="40" w:type="dxa"/>
              <w:left w:w="20" w:type="dxa"/>
              <w:bottom w:w="40" w:type="dxa"/>
              <w:right w:w="0" w:type="dxa"/>
            </w:tcMar>
            <w:vAlign w:val="bottom"/>
          </w:tcPr>
          <w:p w14:paraId="7C207BB5" w14:textId="77777777" w:rsidR="00834A75" w:rsidRDefault="00A6708C">
            <w:pPr>
              <w:jc w:val="right"/>
              <w:textAlignment w:val="bottom"/>
            </w:pPr>
            <w:r>
              <w:rPr>
                <w:rFonts w:ascii="sans-serif" w:eastAsia="sans-serif" w:hAnsi="sans-serif" w:cs="sans-serif"/>
                <w:color w:val="000000"/>
                <w:sz w:val="15"/>
                <w:szCs w:val="15"/>
              </w:rPr>
              <w:t>2,506 </w:t>
            </w:r>
          </w:p>
        </w:tc>
        <w:tc>
          <w:tcPr>
            <w:tcW w:w="0" w:type="auto"/>
            <w:tcBorders>
              <w:top w:val="single" w:sz="8" w:space="0" w:color="000000"/>
            </w:tcBorders>
            <w:shd w:val="clear" w:color="auto" w:fill="E2EFD9"/>
            <w:tcMar>
              <w:top w:w="40" w:type="dxa"/>
              <w:left w:w="0" w:type="dxa"/>
              <w:bottom w:w="40" w:type="dxa"/>
              <w:right w:w="20" w:type="dxa"/>
            </w:tcMar>
            <w:vAlign w:val="bottom"/>
          </w:tcPr>
          <w:p w14:paraId="7C207BB6" w14:textId="77777777" w:rsidR="00834A75" w:rsidRDefault="00834A75">
            <w:pPr>
              <w:jc w:val="right"/>
              <w:rPr>
                <w:rFonts w:ascii="宋体"/>
              </w:rPr>
            </w:pPr>
          </w:p>
        </w:tc>
        <w:tc>
          <w:tcPr>
            <w:tcW w:w="0" w:type="auto"/>
            <w:gridSpan w:val="3"/>
            <w:shd w:val="clear" w:color="auto" w:fill="E2EFD9"/>
            <w:tcMar>
              <w:top w:w="0" w:type="dxa"/>
              <w:left w:w="20" w:type="dxa"/>
              <w:bottom w:w="0" w:type="dxa"/>
              <w:right w:w="20" w:type="dxa"/>
            </w:tcMar>
            <w:vAlign w:val="bottom"/>
          </w:tcPr>
          <w:p w14:paraId="7C207BB7" w14:textId="77777777" w:rsidR="00834A75" w:rsidRDefault="00834A75">
            <w:pPr>
              <w:rPr>
                <w:rFonts w:ascii="宋体"/>
              </w:rPr>
            </w:pPr>
          </w:p>
        </w:tc>
        <w:tc>
          <w:tcPr>
            <w:tcW w:w="0" w:type="auto"/>
            <w:tcBorders>
              <w:top w:val="single" w:sz="8" w:space="0" w:color="000000"/>
            </w:tcBorders>
            <w:shd w:val="clear" w:color="auto" w:fill="E2EFD9"/>
            <w:tcMar>
              <w:top w:w="40" w:type="dxa"/>
              <w:left w:w="20" w:type="dxa"/>
              <w:bottom w:w="40" w:type="dxa"/>
              <w:right w:w="0" w:type="dxa"/>
            </w:tcMar>
            <w:vAlign w:val="bottom"/>
          </w:tcPr>
          <w:p w14:paraId="7C207BB8" w14:textId="77777777" w:rsidR="00834A75" w:rsidRDefault="00A6708C">
            <w:pPr>
              <w:textAlignment w:val="bottom"/>
            </w:pPr>
            <w:r>
              <w:rPr>
                <w:rFonts w:ascii="sans-serif" w:eastAsia="sans-serif" w:hAnsi="sans-serif" w:cs="sans-serif"/>
                <w:color w:val="000000"/>
                <w:sz w:val="15"/>
                <w:szCs w:val="15"/>
              </w:rPr>
              <w:t>$</w:t>
            </w:r>
          </w:p>
        </w:tc>
        <w:tc>
          <w:tcPr>
            <w:tcW w:w="0" w:type="auto"/>
            <w:tcBorders>
              <w:top w:val="single" w:sz="8" w:space="0" w:color="000000"/>
            </w:tcBorders>
            <w:shd w:val="clear" w:color="auto" w:fill="E2EFD9"/>
            <w:tcMar>
              <w:top w:w="40" w:type="dxa"/>
              <w:left w:w="0" w:type="dxa"/>
              <w:bottom w:w="40" w:type="dxa"/>
              <w:right w:w="0" w:type="dxa"/>
            </w:tcMar>
            <w:vAlign w:val="bottom"/>
          </w:tcPr>
          <w:p w14:paraId="7C207BB9" w14:textId="77777777" w:rsidR="00834A75" w:rsidRDefault="00A6708C">
            <w:pPr>
              <w:jc w:val="right"/>
              <w:textAlignment w:val="bottom"/>
            </w:pPr>
            <w:r>
              <w:rPr>
                <w:rFonts w:ascii="sans-serif" w:eastAsia="sans-serif" w:hAnsi="sans-serif" w:cs="sans-serif"/>
                <w:color w:val="000000"/>
                <w:sz w:val="15"/>
                <w:szCs w:val="15"/>
              </w:rPr>
              <w:t>3 </w:t>
            </w:r>
          </w:p>
        </w:tc>
        <w:tc>
          <w:tcPr>
            <w:tcW w:w="0" w:type="auto"/>
            <w:tcBorders>
              <w:top w:val="single" w:sz="8" w:space="0" w:color="000000"/>
            </w:tcBorders>
            <w:shd w:val="clear" w:color="auto" w:fill="E2EFD9"/>
            <w:tcMar>
              <w:top w:w="40" w:type="dxa"/>
              <w:left w:w="0" w:type="dxa"/>
              <w:bottom w:w="40" w:type="dxa"/>
              <w:right w:w="20" w:type="dxa"/>
            </w:tcMar>
            <w:vAlign w:val="bottom"/>
          </w:tcPr>
          <w:p w14:paraId="7C207BBA" w14:textId="77777777" w:rsidR="00834A75" w:rsidRDefault="00834A75">
            <w:pPr>
              <w:jc w:val="right"/>
              <w:rPr>
                <w:rFonts w:ascii="宋体"/>
              </w:rPr>
            </w:pPr>
          </w:p>
        </w:tc>
        <w:tc>
          <w:tcPr>
            <w:tcW w:w="0" w:type="auto"/>
            <w:gridSpan w:val="3"/>
            <w:shd w:val="clear" w:color="auto" w:fill="E2EFD9"/>
            <w:tcMar>
              <w:top w:w="0" w:type="dxa"/>
              <w:left w:w="20" w:type="dxa"/>
              <w:bottom w:w="0" w:type="dxa"/>
              <w:right w:w="20" w:type="dxa"/>
            </w:tcMar>
            <w:vAlign w:val="bottom"/>
          </w:tcPr>
          <w:p w14:paraId="7C207BBB" w14:textId="77777777" w:rsidR="00834A75" w:rsidRDefault="00834A75">
            <w:pPr>
              <w:rPr>
                <w:rFonts w:ascii="宋体"/>
              </w:rPr>
            </w:pPr>
          </w:p>
        </w:tc>
        <w:tc>
          <w:tcPr>
            <w:tcW w:w="0" w:type="auto"/>
            <w:tcBorders>
              <w:top w:val="single" w:sz="8" w:space="0" w:color="000000"/>
            </w:tcBorders>
            <w:shd w:val="clear" w:color="auto" w:fill="E2EFD9"/>
            <w:tcMar>
              <w:top w:w="40" w:type="dxa"/>
              <w:left w:w="20" w:type="dxa"/>
              <w:bottom w:w="40" w:type="dxa"/>
              <w:right w:w="0" w:type="dxa"/>
            </w:tcMar>
            <w:vAlign w:val="bottom"/>
          </w:tcPr>
          <w:p w14:paraId="7C207BBC" w14:textId="77777777" w:rsidR="00834A75" w:rsidRDefault="00A6708C">
            <w:pPr>
              <w:textAlignment w:val="bottom"/>
            </w:pPr>
            <w:r>
              <w:rPr>
                <w:rFonts w:ascii="sans-serif" w:eastAsia="sans-serif" w:hAnsi="sans-serif" w:cs="sans-serif"/>
                <w:color w:val="000000"/>
                <w:sz w:val="15"/>
                <w:szCs w:val="15"/>
              </w:rPr>
              <w:t>$</w:t>
            </w:r>
          </w:p>
        </w:tc>
        <w:tc>
          <w:tcPr>
            <w:tcW w:w="0" w:type="auto"/>
            <w:tcBorders>
              <w:top w:val="single" w:sz="8" w:space="0" w:color="000000"/>
            </w:tcBorders>
            <w:shd w:val="clear" w:color="auto" w:fill="E2EFD9"/>
            <w:tcMar>
              <w:top w:w="40" w:type="dxa"/>
              <w:left w:w="0" w:type="dxa"/>
              <w:bottom w:w="40" w:type="dxa"/>
              <w:right w:w="0" w:type="dxa"/>
            </w:tcMar>
            <w:vAlign w:val="bottom"/>
          </w:tcPr>
          <w:p w14:paraId="7C207BBD" w14:textId="77777777" w:rsidR="00834A75" w:rsidRDefault="00A6708C">
            <w:pPr>
              <w:jc w:val="right"/>
              <w:textAlignment w:val="bottom"/>
            </w:pPr>
            <w:r>
              <w:rPr>
                <w:rFonts w:ascii="sans-serif" w:eastAsia="sans-serif" w:hAnsi="sans-serif" w:cs="sans-serif"/>
                <w:color w:val="000000"/>
                <w:sz w:val="15"/>
                <w:szCs w:val="15"/>
              </w:rPr>
              <w:t>10,385 </w:t>
            </w:r>
          </w:p>
        </w:tc>
        <w:tc>
          <w:tcPr>
            <w:tcW w:w="0" w:type="auto"/>
            <w:tcBorders>
              <w:top w:val="single" w:sz="8" w:space="0" w:color="000000"/>
            </w:tcBorders>
            <w:shd w:val="clear" w:color="auto" w:fill="E2EFD9"/>
            <w:tcMar>
              <w:top w:w="40" w:type="dxa"/>
              <w:left w:w="0" w:type="dxa"/>
              <w:bottom w:w="40" w:type="dxa"/>
              <w:right w:w="20" w:type="dxa"/>
            </w:tcMar>
            <w:vAlign w:val="bottom"/>
          </w:tcPr>
          <w:p w14:paraId="7C207BBE" w14:textId="77777777" w:rsidR="00834A75" w:rsidRDefault="00834A75">
            <w:pPr>
              <w:jc w:val="right"/>
              <w:rPr>
                <w:rFonts w:ascii="宋体"/>
              </w:rPr>
            </w:pPr>
          </w:p>
        </w:tc>
        <w:tc>
          <w:tcPr>
            <w:tcW w:w="0" w:type="auto"/>
            <w:gridSpan w:val="3"/>
            <w:shd w:val="clear" w:color="auto" w:fill="E2EFD9"/>
            <w:tcMar>
              <w:top w:w="0" w:type="dxa"/>
              <w:left w:w="20" w:type="dxa"/>
              <w:bottom w:w="0" w:type="dxa"/>
              <w:right w:w="20" w:type="dxa"/>
            </w:tcMar>
            <w:vAlign w:val="bottom"/>
          </w:tcPr>
          <w:p w14:paraId="7C207BBF" w14:textId="77777777" w:rsidR="00834A75" w:rsidRDefault="00834A75">
            <w:pPr>
              <w:rPr>
                <w:rFonts w:ascii="宋体"/>
              </w:rPr>
            </w:pPr>
          </w:p>
        </w:tc>
        <w:tc>
          <w:tcPr>
            <w:tcW w:w="0" w:type="auto"/>
            <w:tcBorders>
              <w:top w:val="single" w:sz="8" w:space="0" w:color="000000"/>
            </w:tcBorders>
            <w:shd w:val="clear" w:color="auto" w:fill="E2EFD9"/>
            <w:tcMar>
              <w:top w:w="40" w:type="dxa"/>
              <w:left w:w="20" w:type="dxa"/>
              <w:bottom w:w="40" w:type="dxa"/>
              <w:right w:w="0" w:type="dxa"/>
            </w:tcMar>
            <w:vAlign w:val="bottom"/>
          </w:tcPr>
          <w:p w14:paraId="7C207BC0" w14:textId="77777777" w:rsidR="00834A75" w:rsidRDefault="00A6708C">
            <w:pPr>
              <w:textAlignment w:val="bottom"/>
            </w:pPr>
            <w:r>
              <w:rPr>
                <w:rFonts w:ascii="sans-serif" w:eastAsia="sans-serif" w:hAnsi="sans-serif" w:cs="sans-serif"/>
                <w:color w:val="000000"/>
                <w:sz w:val="15"/>
                <w:szCs w:val="15"/>
              </w:rPr>
              <w:t>$</w:t>
            </w:r>
          </w:p>
        </w:tc>
        <w:tc>
          <w:tcPr>
            <w:tcW w:w="0" w:type="auto"/>
            <w:tcBorders>
              <w:top w:val="single" w:sz="8" w:space="0" w:color="000000"/>
            </w:tcBorders>
            <w:shd w:val="clear" w:color="auto" w:fill="E2EFD9"/>
            <w:tcMar>
              <w:top w:w="40" w:type="dxa"/>
              <w:left w:w="0" w:type="dxa"/>
              <w:bottom w:w="40" w:type="dxa"/>
              <w:right w:w="0" w:type="dxa"/>
            </w:tcMar>
            <w:vAlign w:val="bottom"/>
          </w:tcPr>
          <w:p w14:paraId="7C207BC1" w14:textId="77777777" w:rsidR="00834A75" w:rsidRDefault="00A6708C">
            <w:pPr>
              <w:jc w:val="right"/>
              <w:textAlignment w:val="bottom"/>
            </w:pPr>
            <w:r>
              <w:rPr>
                <w:rFonts w:ascii="sans-serif" w:eastAsia="sans-serif" w:hAnsi="sans-serif" w:cs="sans-serif"/>
                <w:color w:val="000000"/>
                <w:sz w:val="15"/>
                <w:szCs w:val="15"/>
              </w:rPr>
              <w:t>— </w:t>
            </w:r>
          </w:p>
        </w:tc>
        <w:tc>
          <w:tcPr>
            <w:tcW w:w="0" w:type="auto"/>
            <w:tcBorders>
              <w:top w:val="single" w:sz="8" w:space="0" w:color="000000"/>
            </w:tcBorders>
            <w:shd w:val="clear" w:color="auto" w:fill="E2EFD9"/>
            <w:tcMar>
              <w:top w:w="40" w:type="dxa"/>
              <w:left w:w="0" w:type="dxa"/>
              <w:bottom w:w="40" w:type="dxa"/>
              <w:right w:w="20" w:type="dxa"/>
            </w:tcMar>
            <w:vAlign w:val="bottom"/>
          </w:tcPr>
          <w:p w14:paraId="7C207BC2" w14:textId="77777777" w:rsidR="00834A75" w:rsidRDefault="00834A75">
            <w:pPr>
              <w:jc w:val="right"/>
              <w:rPr>
                <w:rFonts w:ascii="宋体"/>
              </w:rPr>
            </w:pPr>
          </w:p>
        </w:tc>
        <w:tc>
          <w:tcPr>
            <w:tcW w:w="0" w:type="auto"/>
            <w:gridSpan w:val="3"/>
            <w:shd w:val="clear" w:color="auto" w:fill="E2EFD9"/>
            <w:tcMar>
              <w:top w:w="0" w:type="dxa"/>
              <w:left w:w="20" w:type="dxa"/>
              <w:bottom w:w="0" w:type="dxa"/>
              <w:right w:w="20" w:type="dxa"/>
            </w:tcMar>
            <w:vAlign w:val="bottom"/>
          </w:tcPr>
          <w:p w14:paraId="7C207BC3" w14:textId="77777777" w:rsidR="00834A75" w:rsidRDefault="00834A75">
            <w:pPr>
              <w:rPr>
                <w:rFonts w:ascii="宋体"/>
              </w:rPr>
            </w:pPr>
          </w:p>
        </w:tc>
        <w:tc>
          <w:tcPr>
            <w:tcW w:w="0" w:type="auto"/>
            <w:tcBorders>
              <w:top w:val="single" w:sz="8" w:space="0" w:color="000000"/>
            </w:tcBorders>
            <w:shd w:val="clear" w:color="auto" w:fill="E2EFD9"/>
            <w:tcMar>
              <w:top w:w="40" w:type="dxa"/>
              <w:left w:w="20" w:type="dxa"/>
              <w:bottom w:w="40" w:type="dxa"/>
              <w:right w:w="0" w:type="dxa"/>
            </w:tcMar>
            <w:vAlign w:val="bottom"/>
          </w:tcPr>
          <w:p w14:paraId="7C207BC4" w14:textId="77777777" w:rsidR="00834A75" w:rsidRDefault="00A6708C">
            <w:pPr>
              <w:textAlignment w:val="bottom"/>
            </w:pPr>
            <w:r>
              <w:rPr>
                <w:rFonts w:ascii="sans-serif" w:eastAsia="sans-serif" w:hAnsi="sans-serif" w:cs="sans-serif"/>
                <w:color w:val="000000"/>
                <w:sz w:val="15"/>
                <w:szCs w:val="15"/>
              </w:rPr>
              <w:t>$</w:t>
            </w:r>
          </w:p>
        </w:tc>
        <w:tc>
          <w:tcPr>
            <w:tcW w:w="0" w:type="auto"/>
            <w:tcBorders>
              <w:top w:val="single" w:sz="8" w:space="0" w:color="000000"/>
            </w:tcBorders>
            <w:shd w:val="clear" w:color="auto" w:fill="E2EFD9"/>
            <w:tcMar>
              <w:top w:w="40" w:type="dxa"/>
              <w:left w:w="0" w:type="dxa"/>
              <w:bottom w:w="40" w:type="dxa"/>
              <w:right w:w="0" w:type="dxa"/>
            </w:tcMar>
            <w:vAlign w:val="bottom"/>
          </w:tcPr>
          <w:p w14:paraId="7C207BC5" w14:textId="77777777" w:rsidR="00834A75" w:rsidRDefault="00A6708C">
            <w:pPr>
              <w:jc w:val="right"/>
              <w:textAlignment w:val="bottom"/>
            </w:pPr>
            <w:r>
              <w:rPr>
                <w:rFonts w:ascii="sans-serif" w:eastAsia="sans-serif" w:hAnsi="sans-serif" w:cs="sans-serif"/>
                <w:color w:val="000000"/>
                <w:sz w:val="15"/>
                <w:szCs w:val="15"/>
              </w:rPr>
              <w:t>(11)</w:t>
            </w:r>
          </w:p>
        </w:tc>
        <w:tc>
          <w:tcPr>
            <w:tcW w:w="0" w:type="auto"/>
            <w:tcBorders>
              <w:top w:val="single" w:sz="8" w:space="0" w:color="000000"/>
            </w:tcBorders>
            <w:shd w:val="clear" w:color="auto" w:fill="E2EFD9"/>
            <w:tcMar>
              <w:top w:w="40" w:type="dxa"/>
              <w:left w:w="0" w:type="dxa"/>
              <w:bottom w:w="40" w:type="dxa"/>
              <w:right w:w="20" w:type="dxa"/>
            </w:tcMar>
            <w:vAlign w:val="bottom"/>
          </w:tcPr>
          <w:p w14:paraId="7C207BC6" w14:textId="77777777" w:rsidR="00834A75" w:rsidRDefault="00834A75">
            <w:pPr>
              <w:jc w:val="right"/>
              <w:rPr>
                <w:rFonts w:ascii="宋体"/>
              </w:rPr>
            </w:pPr>
          </w:p>
        </w:tc>
        <w:tc>
          <w:tcPr>
            <w:tcW w:w="0" w:type="auto"/>
            <w:gridSpan w:val="3"/>
            <w:shd w:val="clear" w:color="auto" w:fill="E2EFD9"/>
            <w:tcMar>
              <w:top w:w="0" w:type="dxa"/>
              <w:left w:w="20" w:type="dxa"/>
              <w:bottom w:w="0" w:type="dxa"/>
              <w:right w:w="20" w:type="dxa"/>
            </w:tcMar>
            <w:vAlign w:val="bottom"/>
          </w:tcPr>
          <w:p w14:paraId="7C207BC7" w14:textId="77777777" w:rsidR="00834A75" w:rsidRDefault="00834A75">
            <w:pPr>
              <w:rPr>
                <w:rFonts w:ascii="宋体"/>
              </w:rPr>
            </w:pPr>
          </w:p>
        </w:tc>
        <w:tc>
          <w:tcPr>
            <w:tcW w:w="0" w:type="auto"/>
            <w:tcBorders>
              <w:top w:val="single" w:sz="8" w:space="0" w:color="000000"/>
            </w:tcBorders>
            <w:shd w:val="clear" w:color="auto" w:fill="E2EFD9"/>
            <w:tcMar>
              <w:top w:w="40" w:type="dxa"/>
              <w:left w:w="20" w:type="dxa"/>
              <w:bottom w:w="40" w:type="dxa"/>
              <w:right w:w="0" w:type="dxa"/>
            </w:tcMar>
            <w:vAlign w:val="bottom"/>
          </w:tcPr>
          <w:p w14:paraId="7C207BC8" w14:textId="77777777" w:rsidR="00834A75" w:rsidRDefault="00A6708C">
            <w:pPr>
              <w:textAlignment w:val="bottom"/>
            </w:pPr>
            <w:r>
              <w:rPr>
                <w:rFonts w:ascii="sans-serif" w:eastAsia="sans-serif" w:hAnsi="sans-serif" w:cs="sans-serif"/>
                <w:color w:val="000000"/>
                <w:sz w:val="15"/>
                <w:szCs w:val="15"/>
              </w:rPr>
              <w:t>$</w:t>
            </w:r>
          </w:p>
        </w:tc>
        <w:tc>
          <w:tcPr>
            <w:tcW w:w="0" w:type="auto"/>
            <w:tcBorders>
              <w:top w:val="single" w:sz="8" w:space="0" w:color="000000"/>
            </w:tcBorders>
            <w:shd w:val="clear" w:color="auto" w:fill="E2EFD9"/>
            <w:tcMar>
              <w:top w:w="40" w:type="dxa"/>
              <w:left w:w="0" w:type="dxa"/>
              <w:bottom w:w="40" w:type="dxa"/>
              <w:right w:w="0" w:type="dxa"/>
            </w:tcMar>
            <w:vAlign w:val="bottom"/>
          </w:tcPr>
          <w:p w14:paraId="7C207BC9" w14:textId="77777777" w:rsidR="00834A75" w:rsidRDefault="00A6708C">
            <w:pPr>
              <w:jc w:val="right"/>
              <w:textAlignment w:val="bottom"/>
            </w:pPr>
            <w:r>
              <w:rPr>
                <w:rFonts w:ascii="sans-serif" w:eastAsia="sans-serif" w:hAnsi="sans-serif" w:cs="sans-serif"/>
                <w:color w:val="000000"/>
                <w:sz w:val="15"/>
                <w:szCs w:val="15"/>
              </w:rPr>
              <w:t>16,235 </w:t>
            </w:r>
          </w:p>
        </w:tc>
        <w:tc>
          <w:tcPr>
            <w:tcW w:w="0" w:type="auto"/>
            <w:tcBorders>
              <w:top w:val="single" w:sz="8" w:space="0" w:color="000000"/>
            </w:tcBorders>
            <w:shd w:val="clear" w:color="auto" w:fill="E2EFD9"/>
            <w:tcMar>
              <w:top w:w="40" w:type="dxa"/>
              <w:left w:w="0" w:type="dxa"/>
              <w:bottom w:w="40" w:type="dxa"/>
              <w:right w:w="20" w:type="dxa"/>
            </w:tcMar>
            <w:vAlign w:val="bottom"/>
          </w:tcPr>
          <w:p w14:paraId="7C207BCA" w14:textId="77777777" w:rsidR="00834A75" w:rsidRDefault="00834A75">
            <w:pPr>
              <w:jc w:val="right"/>
              <w:rPr>
                <w:rFonts w:ascii="宋体"/>
              </w:rPr>
            </w:pPr>
          </w:p>
        </w:tc>
        <w:tc>
          <w:tcPr>
            <w:tcW w:w="0" w:type="auto"/>
            <w:gridSpan w:val="3"/>
            <w:shd w:val="clear" w:color="auto" w:fill="E2EFD9"/>
            <w:tcMar>
              <w:top w:w="0" w:type="dxa"/>
              <w:left w:w="20" w:type="dxa"/>
              <w:bottom w:w="0" w:type="dxa"/>
              <w:right w:w="20" w:type="dxa"/>
            </w:tcMar>
            <w:vAlign w:val="bottom"/>
          </w:tcPr>
          <w:p w14:paraId="7C207BCB" w14:textId="77777777" w:rsidR="00834A75" w:rsidRDefault="00834A75">
            <w:pPr>
              <w:rPr>
                <w:rFonts w:ascii="宋体"/>
              </w:rPr>
            </w:pPr>
          </w:p>
        </w:tc>
        <w:tc>
          <w:tcPr>
            <w:tcW w:w="0" w:type="auto"/>
            <w:tcBorders>
              <w:top w:val="single" w:sz="8" w:space="0" w:color="000000"/>
            </w:tcBorders>
            <w:shd w:val="clear" w:color="auto" w:fill="E2EFD9"/>
            <w:tcMar>
              <w:top w:w="40" w:type="dxa"/>
              <w:left w:w="20" w:type="dxa"/>
              <w:bottom w:w="40" w:type="dxa"/>
              <w:right w:w="0" w:type="dxa"/>
            </w:tcMar>
            <w:vAlign w:val="bottom"/>
          </w:tcPr>
          <w:p w14:paraId="7C207BCC" w14:textId="77777777" w:rsidR="00834A75" w:rsidRDefault="00A6708C">
            <w:pPr>
              <w:textAlignment w:val="bottom"/>
            </w:pPr>
            <w:r>
              <w:rPr>
                <w:rFonts w:ascii="sans-serif" w:eastAsia="sans-serif" w:hAnsi="sans-serif" w:cs="sans-serif"/>
                <w:color w:val="000000"/>
                <w:sz w:val="15"/>
                <w:szCs w:val="15"/>
              </w:rPr>
              <w:t>$</w:t>
            </w:r>
          </w:p>
        </w:tc>
        <w:tc>
          <w:tcPr>
            <w:tcW w:w="0" w:type="auto"/>
            <w:tcBorders>
              <w:top w:val="single" w:sz="8" w:space="0" w:color="000000"/>
            </w:tcBorders>
            <w:shd w:val="clear" w:color="auto" w:fill="E2EFD9"/>
            <w:tcMar>
              <w:top w:w="40" w:type="dxa"/>
              <w:left w:w="0" w:type="dxa"/>
              <w:bottom w:w="40" w:type="dxa"/>
              <w:right w:w="0" w:type="dxa"/>
            </w:tcMar>
            <w:vAlign w:val="bottom"/>
          </w:tcPr>
          <w:p w14:paraId="7C207BCD" w14:textId="77777777" w:rsidR="00834A75" w:rsidRDefault="00A6708C">
            <w:pPr>
              <w:jc w:val="right"/>
              <w:textAlignment w:val="bottom"/>
            </w:pPr>
            <w:r>
              <w:rPr>
                <w:rFonts w:ascii="sans-serif" w:eastAsia="sans-serif" w:hAnsi="sans-serif" w:cs="sans-serif"/>
                <w:color w:val="000000"/>
                <w:sz w:val="15"/>
                <w:szCs w:val="15"/>
              </w:rPr>
              <w:t>26,612 </w:t>
            </w:r>
          </w:p>
        </w:tc>
        <w:tc>
          <w:tcPr>
            <w:tcW w:w="0" w:type="auto"/>
            <w:tcBorders>
              <w:top w:val="single" w:sz="8" w:space="0" w:color="000000"/>
            </w:tcBorders>
            <w:shd w:val="clear" w:color="auto" w:fill="E2EFD9"/>
            <w:tcMar>
              <w:top w:w="40" w:type="dxa"/>
              <w:left w:w="0" w:type="dxa"/>
              <w:bottom w:w="40" w:type="dxa"/>
              <w:right w:w="20" w:type="dxa"/>
            </w:tcMar>
            <w:vAlign w:val="bottom"/>
          </w:tcPr>
          <w:p w14:paraId="7C207BCE" w14:textId="77777777" w:rsidR="00834A75" w:rsidRDefault="00834A75">
            <w:pPr>
              <w:jc w:val="right"/>
              <w:rPr>
                <w:rFonts w:ascii="宋体"/>
              </w:rPr>
            </w:pPr>
          </w:p>
        </w:tc>
      </w:tr>
      <w:tr w:rsidR="00834A75" w14:paraId="7C207BE5" w14:textId="77777777">
        <w:trPr>
          <w:jc w:val="center"/>
        </w:trPr>
        <w:tc>
          <w:tcPr>
            <w:tcW w:w="0" w:type="auto"/>
            <w:gridSpan w:val="3"/>
            <w:shd w:val="clear" w:color="auto" w:fill="FFFFFF"/>
            <w:tcMar>
              <w:top w:w="40" w:type="dxa"/>
              <w:left w:w="20" w:type="dxa"/>
              <w:bottom w:w="40" w:type="dxa"/>
              <w:right w:w="20" w:type="dxa"/>
            </w:tcMar>
            <w:vAlign w:val="bottom"/>
          </w:tcPr>
          <w:p w14:paraId="7C207BD0" w14:textId="77777777" w:rsidR="00834A75" w:rsidRDefault="00A6708C">
            <w:pPr>
              <w:textAlignment w:val="bottom"/>
            </w:pPr>
            <w:r>
              <w:rPr>
                <w:rFonts w:ascii="sans-serif" w:eastAsia="sans-serif" w:hAnsi="sans-serif" w:cs="sans-serif"/>
                <w:color w:val="000000"/>
                <w:sz w:val="15"/>
                <w:szCs w:val="15"/>
              </w:rPr>
              <w:t>Net income</w:t>
            </w:r>
          </w:p>
        </w:tc>
        <w:tc>
          <w:tcPr>
            <w:tcW w:w="0" w:type="auto"/>
            <w:gridSpan w:val="2"/>
            <w:shd w:val="clear" w:color="auto" w:fill="FFFFFF"/>
            <w:tcMar>
              <w:top w:w="40" w:type="dxa"/>
              <w:left w:w="20" w:type="dxa"/>
              <w:bottom w:w="40" w:type="dxa"/>
              <w:right w:w="0" w:type="dxa"/>
            </w:tcMar>
            <w:vAlign w:val="bottom"/>
          </w:tcPr>
          <w:p w14:paraId="7C207BD1" w14:textId="77777777" w:rsidR="00834A75" w:rsidRDefault="00A6708C">
            <w:pPr>
              <w:jc w:val="right"/>
              <w:textAlignment w:val="bottom"/>
            </w:pPr>
            <w:r>
              <w:rPr>
                <w:rFonts w:ascii="sans-serif" w:eastAsia="sans-serif" w:hAnsi="sans-serif" w:cs="sans-serif"/>
                <w:color w:val="000000"/>
                <w:sz w:val="15"/>
                <w:szCs w:val="15"/>
              </w:rPr>
              <w:t>— </w:t>
            </w:r>
          </w:p>
        </w:tc>
        <w:tc>
          <w:tcPr>
            <w:tcW w:w="0" w:type="auto"/>
            <w:shd w:val="clear" w:color="auto" w:fill="FFFFFF"/>
            <w:tcMar>
              <w:top w:w="40" w:type="dxa"/>
              <w:left w:w="0" w:type="dxa"/>
              <w:bottom w:w="40" w:type="dxa"/>
              <w:right w:w="20" w:type="dxa"/>
            </w:tcMar>
            <w:vAlign w:val="bottom"/>
          </w:tcPr>
          <w:p w14:paraId="7C207BD2" w14:textId="77777777" w:rsidR="00834A75" w:rsidRDefault="00834A75">
            <w:pPr>
              <w:jc w:val="right"/>
              <w:rPr>
                <w:rFonts w:ascii="宋体"/>
              </w:rPr>
            </w:pPr>
          </w:p>
        </w:tc>
        <w:tc>
          <w:tcPr>
            <w:tcW w:w="0" w:type="auto"/>
            <w:gridSpan w:val="3"/>
            <w:shd w:val="clear" w:color="auto" w:fill="FFFFFF"/>
            <w:tcMar>
              <w:top w:w="0" w:type="dxa"/>
              <w:left w:w="20" w:type="dxa"/>
              <w:bottom w:w="0" w:type="dxa"/>
              <w:right w:w="20" w:type="dxa"/>
            </w:tcMar>
            <w:vAlign w:val="bottom"/>
          </w:tcPr>
          <w:p w14:paraId="7C207BD3" w14:textId="77777777" w:rsidR="00834A75" w:rsidRDefault="00834A75">
            <w:pPr>
              <w:rPr>
                <w:rFonts w:ascii="宋体"/>
              </w:rPr>
            </w:pPr>
          </w:p>
        </w:tc>
        <w:tc>
          <w:tcPr>
            <w:tcW w:w="0" w:type="auto"/>
            <w:gridSpan w:val="2"/>
            <w:shd w:val="clear" w:color="auto" w:fill="FFFFFF"/>
            <w:tcMar>
              <w:top w:w="40" w:type="dxa"/>
              <w:left w:w="20" w:type="dxa"/>
              <w:bottom w:w="40" w:type="dxa"/>
              <w:right w:w="0" w:type="dxa"/>
            </w:tcMar>
            <w:vAlign w:val="bottom"/>
          </w:tcPr>
          <w:p w14:paraId="7C207BD4" w14:textId="77777777" w:rsidR="00834A75" w:rsidRDefault="00A6708C">
            <w:pPr>
              <w:jc w:val="right"/>
              <w:textAlignment w:val="bottom"/>
            </w:pPr>
            <w:r>
              <w:rPr>
                <w:rFonts w:ascii="sans-serif" w:eastAsia="sans-serif" w:hAnsi="sans-serif" w:cs="sans-serif"/>
                <w:color w:val="000000"/>
                <w:sz w:val="15"/>
                <w:szCs w:val="15"/>
              </w:rPr>
              <w:t>— </w:t>
            </w:r>
          </w:p>
        </w:tc>
        <w:tc>
          <w:tcPr>
            <w:tcW w:w="0" w:type="auto"/>
            <w:shd w:val="clear" w:color="auto" w:fill="FFFFFF"/>
            <w:tcMar>
              <w:top w:w="40" w:type="dxa"/>
              <w:left w:w="0" w:type="dxa"/>
              <w:bottom w:w="40" w:type="dxa"/>
              <w:right w:w="20" w:type="dxa"/>
            </w:tcMar>
            <w:vAlign w:val="bottom"/>
          </w:tcPr>
          <w:p w14:paraId="7C207BD5" w14:textId="77777777" w:rsidR="00834A75" w:rsidRDefault="00834A75">
            <w:pPr>
              <w:jc w:val="right"/>
              <w:rPr>
                <w:rFonts w:ascii="宋体"/>
              </w:rPr>
            </w:pPr>
          </w:p>
        </w:tc>
        <w:tc>
          <w:tcPr>
            <w:tcW w:w="0" w:type="auto"/>
            <w:gridSpan w:val="3"/>
            <w:shd w:val="clear" w:color="auto" w:fill="FFFFFF"/>
            <w:tcMar>
              <w:top w:w="0" w:type="dxa"/>
              <w:left w:w="20" w:type="dxa"/>
              <w:bottom w:w="0" w:type="dxa"/>
              <w:right w:w="20" w:type="dxa"/>
            </w:tcMar>
            <w:vAlign w:val="bottom"/>
          </w:tcPr>
          <w:p w14:paraId="7C207BD6" w14:textId="77777777" w:rsidR="00834A75" w:rsidRDefault="00834A75">
            <w:pPr>
              <w:rPr>
                <w:rFonts w:ascii="宋体"/>
              </w:rPr>
            </w:pPr>
          </w:p>
        </w:tc>
        <w:tc>
          <w:tcPr>
            <w:tcW w:w="0" w:type="auto"/>
            <w:gridSpan w:val="2"/>
            <w:shd w:val="clear" w:color="auto" w:fill="FFFFFF"/>
            <w:tcMar>
              <w:top w:w="40" w:type="dxa"/>
              <w:left w:w="20" w:type="dxa"/>
              <w:bottom w:w="40" w:type="dxa"/>
              <w:right w:w="0" w:type="dxa"/>
            </w:tcMar>
            <w:vAlign w:val="bottom"/>
          </w:tcPr>
          <w:p w14:paraId="7C207BD7" w14:textId="77777777" w:rsidR="00834A75" w:rsidRDefault="00A6708C">
            <w:pPr>
              <w:jc w:val="right"/>
              <w:textAlignment w:val="bottom"/>
            </w:pPr>
            <w:r>
              <w:rPr>
                <w:rFonts w:ascii="sans-serif" w:eastAsia="sans-serif" w:hAnsi="sans-serif" w:cs="sans-serif"/>
                <w:color w:val="000000"/>
                <w:sz w:val="15"/>
                <w:szCs w:val="15"/>
              </w:rPr>
              <w:t>— </w:t>
            </w:r>
          </w:p>
        </w:tc>
        <w:tc>
          <w:tcPr>
            <w:tcW w:w="0" w:type="auto"/>
            <w:shd w:val="clear" w:color="auto" w:fill="FFFFFF"/>
            <w:tcMar>
              <w:top w:w="40" w:type="dxa"/>
              <w:left w:w="0" w:type="dxa"/>
              <w:bottom w:w="40" w:type="dxa"/>
              <w:right w:w="20" w:type="dxa"/>
            </w:tcMar>
            <w:vAlign w:val="bottom"/>
          </w:tcPr>
          <w:p w14:paraId="7C207BD8" w14:textId="77777777" w:rsidR="00834A75" w:rsidRDefault="00834A75">
            <w:pPr>
              <w:jc w:val="right"/>
              <w:rPr>
                <w:rFonts w:ascii="宋体"/>
              </w:rPr>
            </w:pPr>
          </w:p>
        </w:tc>
        <w:tc>
          <w:tcPr>
            <w:tcW w:w="0" w:type="auto"/>
            <w:gridSpan w:val="3"/>
            <w:shd w:val="clear" w:color="auto" w:fill="FFFFFF"/>
            <w:tcMar>
              <w:top w:w="0" w:type="dxa"/>
              <w:left w:w="20" w:type="dxa"/>
              <w:bottom w:w="0" w:type="dxa"/>
              <w:right w:w="20" w:type="dxa"/>
            </w:tcMar>
            <w:vAlign w:val="bottom"/>
          </w:tcPr>
          <w:p w14:paraId="7C207BD9" w14:textId="77777777" w:rsidR="00834A75" w:rsidRDefault="00834A75">
            <w:pPr>
              <w:rPr>
                <w:rFonts w:ascii="宋体"/>
              </w:rPr>
            </w:pPr>
          </w:p>
        </w:tc>
        <w:tc>
          <w:tcPr>
            <w:tcW w:w="0" w:type="auto"/>
            <w:gridSpan w:val="2"/>
            <w:shd w:val="clear" w:color="auto" w:fill="FFFFFF"/>
            <w:tcMar>
              <w:top w:w="40" w:type="dxa"/>
              <w:left w:w="20" w:type="dxa"/>
              <w:bottom w:w="40" w:type="dxa"/>
              <w:right w:w="0" w:type="dxa"/>
            </w:tcMar>
            <w:vAlign w:val="bottom"/>
          </w:tcPr>
          <w:p w14:paraId="7C207BDA" w14:textId="77777777" w:rsidR="00834A75" w:rsidRDefault="00A6708C">
            <w:pPr>
              <w:jc w:val="right"/>
              <w:textAlignment w:val="bottom"/>
            </w:pPr>
            <w:r>
              <w:rPr>
                <w:rFonts w:ascii="sans-serif" w:eastAsia="sans-serif" w:hAnsi="sans-serif" w:cs="sans-serif"/>
                <w:color w:val="000000"/>
                <w:sz w:val="15"/>
                <w:szCs w:val="15"/>
              </w:rPr>
              <w:t>— </w:t>
            </w:r>
          </w:p>
        </w:tc>
        <w:tc>
          <w:tcPr>
            <w:tcW w:w="0" w:type="auto"/>
            <w:shd w:val="clear" w:color="auto" w:fill="FFFFFF"/>
            <w:tcMar>
              <w:top w:w="40" w:type="dxa"/>
              <w:left w:w="0" w:type="dxa"/>
              <w:bottom w:w="40" w:type="dxa"/>
              <w:right w:w="20" w:type="dxa"/>
            </w:tcMar>
            <w:vAlign w:val="bottom"/>
          </w:tcPr>
          <w:p w14:paraId="7C207BDB" w14:textId="77777777" w:rsidR="00834A75" w:rsidRDefault="00834A75">
            <w:pPr>
              <w:jc w:val="right"/>
              <w:rPr>
                <w:rFonts w:ascii="宋体"/>
              </w:rPr>
            </w:pPr>
          </w:p>
        </w:tc>
        <w:tc>
          <w:tcPr>
            <w:tcW w:w="0" w:type="auto"/>
            <w:gridSpan w:val="3"/>
            <w:shd w:val="clear" w:color="auto" w:fill="FFFFFF"/>
            <w:tcMar>
              <w:top w:w="0" w:type="dxa"/>
              <w:left w:w="20" w:type="dxa"/>
              <w:bottom w:w="0" w:type="dxa"/>
              <w:right w:w="20" w:type="dxa"/>
            </w:tcMar>
            <w:vAlign w:val="bottom"/>
          </w:tcPr>
          <w:p w14:paraId="7C207BDC" w14:textId="77777777" w:rsidR="00834A75" w:rsidRDefault="00834A75">
            <w:pPr>
              <w:rPr>
                <w:rFonts w:ascii="宋体"/>
              </w:rPr>
            </w:pPr>
          </w:p>
        </w:tc>
        <w:tc>
          <w:tcPr>
            <w:tcW w:w="0" w:type="auto"/>
            <w:gridSpan w:val="2"/>
            <w:shd w:val="clear" w:color="auto" w:fill="FFFFFF"/>
            <w:tcMar>
              <w:top w:w="40" w:type="dxa"/>
              <w:left w:w="20" w:type="dxa"/>
              <w:bottom w:w="40" w:type="dxa"/>
              <w:right w:w="0" w:type="dxa"/>
            </w:tcMar>
            <w:vAlign w:val="bottom"/>
          </w:tcPr>
          <w:p w14:paraId="7C207BDD" w14:textId="77777777" w:rsidR="00834A75" w:rsidRDefault="00A6708C">
            <w:pPr>
              <w:jc w:val="right"/>
              <w:textAlignment w:val="bottom"/>
            </w:pPr>
            <w:r>
              <w:rPr>
                <w:rFonts w:ascii="sans-serif" w:eastAsia="sans-serif" w:hAnsi="sans-serif" w:cs="sans-serif"/>
                <w:color w:val="000000"/>
                <w:sz w:val="15"/>
                <w:szCs w:val="15"/>
              </w:rPr>
              <w:t>— </w:t>
            </w:r>
          </w:p>
        </w:tc>
        <w:tc>
          <w:tcPr>
            <w:tcW w:w="0" w:type="auto"/>
            <w:shd w:val="clear" w:color="auto" w:fill="FFFFFF"/>
            <w:tcMar>
              <w:top w:w="40" w:type="dxa"/>
              <w:left w:w="0" w:type="dxa"/>
              <w:bottom w:w="40" w:type="dxa"/>
              <w:right w:w="20" w:type="dxa"/>
            </w:tcMar>
            <w:vAlign w:val="bottom"/>
          </w:tcPr>
          <w:p w14:paraId="7C207BDE" w14:textId="77777777" w:rsidR="00834A75" w:rsidRDefault="00834A75">
            <w:pPr>
              <w:jc w:val="right"/>
              <w:rPr>
                <w:rFonts w:ascii="宋体"/>
              </w:rPr>
            </w:pPr>
          </w:p>
        </w:tc>
        <w:tc>
          <w:tcPr>
            <w:tcW w:w="0" w:type="auto"/>
            <w:gridSpan w:val="3"/>
            <w:shd w:val="clear" w:color="auto" w:fill="FFFFFF"/>
            <w:tcMar>
              <w:top w:w="0" w:type="dxa"/>
              <w:left w:w="20" w:type="dxa"/>
              <w:bottom w:w="0" w:type="dxa"/>
              <w:right w:w="20" w:type="dxa"/>
            </w:tcMar>
            <w:vAlign w:val="bottom"/>
          </w:tcPr>
          <w:p w14:paraId="7C207BDF" w14:textId="77777777" w:rsidR="00834A75" w:rsidRDefault="00834A75">
            <w:pPr>
              <w:rPr>
                <w:rFonts w:ascii="宋体"/>
              </w:rPr>
            </w:pPr>
          </w:p>
        </w:tc>
        <w:tc>
          <w:tcPr>
            <w:tcW w:w="0" w:type="auto"/>
            <w:gridSpan w:val="2"/>
            <w:shd w:val="clear" w:color="auto" w:fill="FFFFFF"/>
            <w:tcMar>
              <w:top w:w="40" w:type="dxa"/>
              <w:left w:w="20" w:type="dxa"/>
              <w:bottom w:w="40" w:type="dxa"/>
              <w:right w:w="0" w:type="dxa"/>
            </w:tcMar>
            <w:vAlign w:val="bottom"/>
          </w:tcPr>
          <w:p w14:paraId="7C207BE0" w14:textId="77777777" w:rsidR="00834A75" w:rsidRDefault="00A6708C">
            <w:pPr>
              <w:jc w:val="right"/>
              <w:textAlignment w:val="bottom"/>
            </w:pPr>
            <w:r>
              <w:rPr>
                <w:rFonts w:ascii="sans-serif" w:eastAsia="sans-serif" w:hAnsi="sans-serif" w:cs="sans-serif"/>
                <w:color w:val="000000"/>
                <w:sz w:val="15"/>
                <w:szCs w:val="15"/>
              </w:rPr>
              <w:t>1,618 </w:t>
            </w:r>
          </w:p>
        </w:tc>
        <w:tc>
          <w:tcPr>
            <w:tcW w:w="0" w:type="auto"/>
            <w:shd w:val="clear" w:color="auto" w:fill="FFFFFF"/>
            <w:tcMar>
              <w:top w:w="40" w:type="dxa"/>
              <w:left w:w="0" w:type="dxa"/>
              <w:bottom w:w="40" w:type="dxa"/>
              <w:right w:w="20" w:type="dxa"/>
            </w:tcMar>
            <w:vAlign w:val="bottom"/>
          </w:tcPr>
          <w:p w14:paraId="7C207BE1" w14:textId="77777777" w:rsidR="00834A75" w:rsidRDefault="00834A75">
            <w:pPr>
              <w:jc w:val="right"/>
              <w:rPr>
                <w:rFonts w:ascii="宋体"/>
              </w:rPr>
            </w:pPr>
          </w:p>
        </w:tc>
        <w:tc>
          <w:tcPr>
            <w:tcW w:w="0" w:type="auto"/>
            <w:gridSpan w:val="3"/>
            <w:shd w:val="clear" w:color="auto" w:fill="FFFFFF"/>
            <w:tcMar>
              <w:top w:w="0" w:type="dxa"/>
              <w:left w:w="20" w:type="dxa"/>
              <w:bottom w:w="0" w:type="dxa"/>
              <w:right w:w="20" w:type="dxa"/>
            </w:tcMar>
            <w:vAlign w:val="bottom"/>
          </w:tcPr>
          <w:p w14:paraId="7C207BE2" w14:textId="77777777" w:rsidR="00834A75" w:rsidRDefault="00834A75">
            <w:pPr>
              <w:rPr>
                <w:rFonts w:ascii="宋体"/>
              </w:rPr>
            </w:pPr>
          </w:p>
        </w:tc>
        <w:tc>
          <w:tcPr>
            <w:tcW w:w="0" w:type="auto"/>
            <w:gridSpan w:val="2"/>
            <w:shd w:val="clear" w:color="auto" w:fill="FFFFFF"/>
            <w:tcMar>
              <w:top w:w="40" w:type="dxa"/>
              <w:left w:w="20" w:type="dxa"/>
              <w:bottom w:w="40" w:type="dxa"/>
              <w:right w:w="0" w:type="dxa"/>
            </w:tcMar>
            <w:vAlign w:val="bottom"/>
          </w:tcPr>
          <w:p w14:paraId="7C207BE3" w14:textId="77777777" w:rsidR="00834A75" w:rsidRDefault="00A6708C">
            <w:pPr>
              <w:jc w:val="right"/>
              <w:textAlignment w:val="bottom"/>
            </w:pPr>
            <w:r>
              <w:rPr>
                <w:rFonts w:ascii="sans-serif" w:eastAsia="sans-serif" w:hAnsi="sans-serif" w:cs="sans-serif"/>
                <w:color w:val="000000"/>
                <w:sz w:val="15"/>
                <w:szCs w:val="15"/>
              </w:rPr>
              <w:t>1,618 </w:t>
            </w:r>
          </w:p>
        </w:tc>
        <w:tc>
          <w:tcPr>
            <w:tcW w:w="0" w:type="auto"/>
            <w:shd w:val="clear" w:color="auto" w:fill="FFFFFF"/>
            <w:tcMar>
              <w:top w:w="40" w:type="dxa"/>
              <w:left w:w="0" w:type="dxa"/>
              <w:bottom w:w="40" w:type="dxa"/>
              <w:right w:w="20" w:type="dxa"/>
            </w:tcMar>
            <w:vAlign w:val="bottom"/>
          </w:tcPr>
          <w:p w14:paraId="7C207BE4" w14:textId="77777777" w:rsidR="00834A75" w:rsidRDefault="00834A75">
            <w:pPr>
              <w:jc w:val="right"/>
              <w:rPr>
                <w:rFonts w:ascii="宋体"/>
              </w:rPr>
            </w:pPr>
          </w:p>
        </w:tc>
      </w:tr>
      <w:tr w:rsidR="00834A75" w14:paraId="7C207BFB" w14:textId="77777777">
        <w:trPr>
          <w:jc w:val="center"/>
        </w:trPr>
        <w:tc>
          <w:tcPr>
            <w:tcW w:w="0" w:type="auto"/>
            <w:gridSpan w:val="3"/>
            <w:shd w:val="clear" w:color="auto" w:fill="E2EFD9"/>
            <w:tcMar>
              <w:top w:w="40" w:type="dxa"/>
              <w:left w:w="20" w:type="dxa"/>
              <w:bottom w:w="40" w:type="dxa"/>
              <w:right w:w="20" w:type="dxa"/>
            </w:tcMar>
            <w:vAlign w:val="bottom"/>
          </w:tcPr>
          <w:p w14:paraId="7C207BE6" w14:textId="77777777" w:rsidR="00834A75" w:rsidRDefault="00A6708C">
            <w:pPr>
              <w:textAlignment w:val="bottom"/>
            </w:pPr>
            <w:r>
              <w:rPr>
                <w:rFonts w:ascii="sans-serif" w:eastAsia="sans-serif" w:hAnsi="sans-serif" w:cs="sans-serif"/>
                <w:color w:val="000000"/>
                <w:sz w:val="15"/>
                <w:szCs w:val="15"/>
              </w:rPr>
              <w:t>Other comprehensive loss</w:t>
            </w:r>
          </w:p>
        </w:tc>
        <w:tc>
          <w:tcPr>
            <w:tcW w:w="0" w:type="auto"/>
            <w:gridSpan w:val="2"/>
            <w:shd w:val="clear" w:color="auto" w:fill="E2EFD9"/>
            <w:tcMar>
              <w:top w:w="40" w:type="dxa"/>
              <w:left w:w="20" w:type="dxa"/>
              <w:bottom w:w="40" w:type="dxa"/>
              <w:right w:w="0" w:type="dxa"/>
            </w:tcMar>
            <w:vAlign w:val="bottom"/>
          </w:tcPr>
          <w:p w14:paraId="7C207BE7" w14:textId="77777777" w:rsidR="00834A75" w:rsidRDefault="00A6708C">
            <w:pPr>
              <w:jc w:val="right"/>
              <w:textAlignment w:val="bottom"/>
            </w:pPr>
            <w:r>
              <w:rPr>
                <w:rFonts w:ascii="sans-serif" w:eastAsia="sans-serif" w:hAnsi="sans-serif" w:cs="sans-serif"/>
                <w:color w:val="000000"/>
                <w:sz w:val="15"/>
                <w:szCs w:val="15"/>
              </w:rPr>
              <w:t>— </w:t>
            </w:r>
          </w:p>
        </w:tc>
        <w:tc>
          <w:tcPr>
            <w:tcW w:w="0" w:type="auto"/>
            <w:shd w:val="clear" w:color="auto" w:fill="E2EFD9"/>
            <w:tcMar>
              <w:top w:w="40" w:type="dxa"/>
              <w:left w:w="0" w:type="dxa"/>
              <w:bottom w:w="40" w:type="dxa"/>
              <w:right w:w="20" w:type="dxa"/>
            </w:tcMar>
            <w:vAlign w:val="bottom"/>
          </w:tcPr>
          <w:p w14:paraId="7C207BE8" w14:textId="77777777" w:rsidR="00834A75" w:rsidRDefault="00834A75">
            <w:pPr>
              <w:jc w:val="right"/>
              <w:rPr>
                <w:rFonts w:ascii="宋体"/>
              </w:rPr>
            </w:pPr>
          </w:p>
        </w:tc>
        <w:tc>
          <w:tcPr>
            <w:tcW w:w="0" w:type="auto"/>
            <w:gridSpan w:val="3"/>
            <w:shd w:val="clear" w:color="auto" w:fill="E2EFD9"/>
            <w:tcMar>
              <w:top w:w="0" w:type="dxa"/>
              <w:left w:w="20" w:type="dxa"/>
              <w:bottom w:w="0" w:type="dxa"/>
              <w:right w:w="20" w:type="dxa"/>
            </w:tcMar>
            <w:vAlign w:val="bottom"/>
          </w:tcPr>
          <w:p w14:paraId="7C207BE9" w14:textId="77777777" w:rsidR="00834A75" w:rsidRDefault="00834A75">
            <w:pPr>
              <w:rPr>
                <w:rFonts w:ascii="宋体"/>
              </w:rPr>
            </w:pPr>
          </w:p>
        </w:tc>
        <w:tc>
          <w:tcPr>
            <w:tcW w:w="0" w:type="auto"/>
            <w:gridSpan w:val="2"/>
            <w:shd w:val="clear" w:color="auto" w:fill="E2EFD9"/>
            <w:tcMar>
              <w:top w:w="40" w:type="dxa"/>
              <w:left w:w="20" w:type="dxa"/>
              <w:bottom w:w="40" w:type="dxa"/>
              <w:right w:w="0" w:type="dxa"/>
            </w:tcMar>
            <w:vAlign w:val="bottom"/>
          </w:tcPr>
          <w:p w14:paraId="7C207BEA" w14:textId="77777777" w:rsidR="00834A75" w:rsidRDefault="00A6708C">
            <w:pPr>
              <w:jc w:val="right"/>
              <w:textAlignment w:val="bottom"/>
            </w:pPr>
            <w:r>
              <w:rPr>
                <w:rFonts w:ascii="sans-serif" w:eastAsia="sans-serif" w:hAnsi="sans-serif" w:cs="sans-serif"/>
                <w:color w:val="000000"/>
                <w:sz w:val="15"/>
                <w:szCs w:val="15"/>
              </w:rPr>
              <w:t>— </w:t>
            </w:r>
          </w:p>
        </w:tc>
        <w:tc>
          <w:tcPr>
            <w:tcW w:w="0" w:type="auto"/>
            <w:shd w:val="clear" w:color="auto" w:fill="E2EFD9"/>
            <w:tcMar>
              <w:top w:w="40" w:type="dxa"/>
              <w:left w:w="0" w:type="dxa"/>
              <w:bottom w:w="40" w:type="dxa"/>
              <w:right w:w="20" w:type="dxa"/>
            </w:tcMar>
            <w:vAlign w:val="bottom"/>
          </w:tcPr>
          <w:p w14:paraId="7C207BEB" w14:textId="77777777" w:rsidR="00834A75" w:rsidRDefault="00834A75">
            <w:pPr>
              <w:jc w:val="right"/>
              <w:rPr>
                <w:rFonts w:ascii="宋体"/>
              </w:rPr>
            </w:pPr>
          </w:p>
        </w:tc>
        <w:tc>
          <w:tcPr>
            <w:tcW w:w="0" w:type="auto"/>
            <w:gridSpan w:val="3"/>
            <w:shd w:val="clear" w:color="auto" w:fill="E2EFD9"/>
            <w:tcMar>
              <w:top w:w="0" w:type="dxa"/>
              <w:left w:w="20" w:type="dxa"/>
              <w:bottom w:w="0" w:type="dxa"/>
              <w:right w:w="20" w:type="dxa"/>
            </w:tcMar>
            <w:vAlign w:val="bottom"/>
          </w:tcPr>
          <w:p w14:paraId="7C207BEC" w14:textId="77777777" w:rsidR="00834A75" w:rsidRDefault="00834A75">
            <w:pPr>
              <w:rPr>
                <w:rFonts w:ascii="宋体"/>
              </w:rPr>
            </w:pPr>
          </w:p>
        </w:tc>
        <w:tc>
          <w:tcPr>
            <w:tcW w:w="0" w:type="auto"/>
            <w:gridSpan w:val="2"/>
            <w:shd w:val="clear" w:color="auto" w:fill="E2EFD9"/>
            <w:tcMar>
              <w:top w:w="40" w:type="dxa"/>
              <w:left w:w="20" w:type="dxa"/>
              <w:bottom w:w="40" w:type="dxa"/>
              <w:right w:w="0" w:type="dxa"/>
            </w:tcMar>
            <w:vAlign w:val="bottom"/>
          </w:tcPr>
          <w:p w14:paraId="7C207BED" w14:textId="77777777" w:rsidR="00834A75" w:rsidRDefault="00A6708C">
            <w:pPr>
              <w:jc w:val="right"/>
              <w:textAlignment w:val="bottom"/>
            </w:pPr>
            <w:r>
              <w:rPr>
                <w:rFonts w:ascii="sans-serif" w:eastAsia="sans-serif" w:hAnsi="sans-serif" w:cs="sans-serif"/>
                <w:color w:val="000000"/>
                <w:sz w:val="15"/>
                <w:szCs w:val="15"/>
              </w:rPr>
              <w:t>— </w:t>
            </w:r>
          </w:p>
        </w:tc>
        <w:tc>
          <w:tcPr>
            <w:tcW w:w="0" w:type="auto"/>
            <w:shd w:val="clear" w:color="auto" w:fill="E2EFD9"/>
            <w:tcMar>
              <w:top w:w="40" w:type="dxa"/>
              <w:left w:w="0" w:type="dxa"/>
              <w:bottom w:w="40" w:type="dxa"/>
              <w:right w:w="20" w:type="dxa"/>
            </w:tcMar>
            <w:vAlign w:val="bottom"/>
          </w:tcPr>
          <w:p w14:paraId="7C207BEE" w14:textId="77777777" w:rsidR="00834A75" w:rsidRDefault="00834A75">
            <w:pPr>
              <w:jc w:val="right"/>
              <w:rPr>
                <w:rFonts w:ascii="宋体"/>
              </w:rPr>
            </w:pPr>
          </w:p>
        </w:tc>
        <w:tc>
          <w:tcPr>
            <w:tcW w:w="0" w:type="auto"/>
            <w:gridSpan w:val="3"/>
            <w:shd w:val="clear" w:color="auto" w:fill="E2EFD9"/>
            <w:tcMar>
              <w:top w:w="0" w:type="dxa"/>
              <w:left w:w="20" w:type="dxa"/>
              <w:bottom w:w="0" w:type="dxa"/>
              <w:right w:w="20" w:type="dxa"/>
            </w:tcMar>
            <w:vAlign w:val="bottom"/>
          </w:tcPr>
          <w:p w14:paraId="7C207BEF" w14:textId="77777777" w:rsidR="00834A75" w:rsidRDefault="00834A75">
            <w:pPr>
              <w:rPr>
                <w:rFonts w:ascii="宋体"/>
              </w:rPr>
            </w:pPr>
          </w:p>
        </w:tc>
        <w:tc>
          <w:tcPr>
            <w:tcW w:w="0" w:type="auto"/>
            <w:gridSpan w:val="2"/>
            <w:shd w:val="clear" w:color="auto" w:fill="E2EFD9"/>
            <w:tcMar>
              <w:top w:w="40" w:type="dxa"/>
              <w:left w:w="20" w:type="dxa"/>
              <w:bottom w:w="40" w:type="dxa"/>
              <w:right w:w="0" w:type="dxa"/>
            </w:tcMar>
            <w:vAlign w:val="bottom"/>
          </w:tcPr>
          <w:p w14:paraId="7C207BF0" w14:textId="77777777" w:rsidR="00834A75" w:rsidRDefault="00A6708C">
            <w:pPr>
              <w:jc w:val="right"/>
              <w:textAlignment w:val="bottom"/>
            </w:pPr>
            <w:r>
              <w:rPr>
                <w:rFonts w:ascii="sans-serif" w:eastAsia="sans-serif" w:hAnsi="sans-serif" w:cs="sans-serif"/>
                <w:color w:val="000000"/>
                <w:sz w:val="15"/>
                <w:szCs w:val="15"/>
              </w:rPr>
              <w:t>— </w:t>
            </w:r>
          </w:p>
        </w:tc>
        <w:tc>
          <w:tcPr>
            <w:tcW w:w="0" w:type="auto"/>
            <w:shd w:val="clear" w:color="auto" w:fill="E2EFD9"/>
            <w:tcMar>
              <w:top w:w="40" w:type="dxa"/>
              <w:left w:w="0" w:type="dxa"/>
              <w:bottom w:w="40" w:type="dxa"/>
              <w:right w:w="20" w:type="dxa"/>
            </w:tcMar>
            <w:vAlign w:val="bottom"/>
          </w:tcPr>
          <w:p w14:paraId="7C207BF1" w14:textId="77777777" w:rsidR="00834A75" w:rsidRDefault="00834A75">
            <w:pPr>
              <w:jc w:val="right"/>
              <w:rPr>
                <w:rFonts w:ascii="宋体"/>
              </w:rPr>
            </w:pPr>
          </w:p>
        </w:tc>
        <w:tc>
          <w:tcPr>
            <w:tcW w:w="0" w:type="auto"/>
            <w:gridSpan w:val="3"/>
            <w:shd w:val="clear" w:color="auto" w:fill="E2EFD9"/>
            <w:tcMar>
              <w:top w:w="0" w:type="dxa"/>
              <w:left w:w="20" w:type="dxa"/>
              <w:bottom w:w="0" w:type="dxa"/>
              <w:right w:w="20" w:type="dxa"/>
            </w:tcMar>
            <w:vAlign w:val="bottom"/>
          </w:tcPr>
          <w:p w14:paraId="7C207BF2" w14:textId="77777777" w:rsidR="00834A75" w:rsidRDefault="00834A75">
            <w:pPr>
              <w:rPr>
                <w:rFonts w:ascii="宋体"/>
              </w:rPr>
            </w:pPr>
          </w:p>
        </w:tc>
        <w:tc>
          <w:tcPr>
            <w:tcW w:w="0" w:type="auto"/>
            <w:gridSpan w:val="2"/>
            <w:shd w:val="clear" w:color="auto" w:fill="E2EFD9"/>
            <w:tcMar>
              <w:top w:w="40" w:type="dxa"/>
              <w:left w:w="20" w:type="dxa"/>
              <w:bottom w:w="40" w:type="dxa"/>
              <w:right w:w="0" w:type="dxa"/>
            </w:tcMar>
            <w:vAlign w:val="bottom"/>
          </w:tcPr>
          <w:p w14:paraId="7C207BF3" w14:textId="77777777" w:rsidR="00834A75" w:rsidRDefault="00A6708C">
            <w:pPr>
              <w:jc w:val="right"/>
              <w:textAlignment w:val="bottom"/>
            </w:pPr>
            <w:r>
              <w:rPr>
                <w:rFonts w:ascii="sans-serif" w:eastAsia="sans-serif" w:hAnsi="sans-serif" w:cs="sans-serif"/>
                <w:color w:val="000000"/>
                <w:sz w:val="15"/>
                <w:szCs w:val="15"/>
              </w:rPr>
              <w:t>(53)</w:t>
            </w:r>
          </w:p>
        </w:tc>
        <w:tc>
          <w:tcPr>
            <w:tcW w:w="0" w:type="auto"/>
            <w:shd w:val="clear" w:color="auto" w:fill="E2EFD9"/>
            <w:tcMar>
              <w:top w:w="40" w:type="dxa"/>
              <w:left w:w="0" w:type="dxa"/>
              <w:bottom w:w="40" w:type="dxa"/>
              <w:right w:w="20" w:type="dxa"/>
            </w:tcMar>
            <w:vAlign w:val="bottom"/>
          </w:tcPr>
          <w:p w14:paraId="7C207BF4" w14:textId="77777777" w:rsidR="00834A75" w:rsidRDefault="00834A75">
            <w:pPr>
              <w:jc w:val="right"/>
              <w:rPr>
                <w:rFonts w:ascii="宋体"/>
              </w:rPr>
            </w:pPr>
          </w:p>
        </w:tc>
        <w:tc>
          <w:tcPr>
            <w:tcW w:w="0" w:type="auto"/>
            <w:gridSpan w:val="3"/>
            <w:shd w:val="clear" w:color="auto" w:fill="E2EFD9"/>
            <w:tcMar>
              <w:top w:w="0" w:type="dxa"/>
              <w:left w:w="20" w:type="dxa"/>
              <w:bottom w:w="0" w:type="dxa"/>
              <w:right w:w="20" w:type="dxa"/>
            </w:tcMar>
            <w:vAlign w:val="bottom"/>
          </w:tcPr>
          <w:p w14:paraId="7C207BF5" w14:textId="77777777" w:rsidR="00834A75" w:rsidRDefault="00834A75">
            <w:pPr>
              <w:rPr>
                <w:rFonts w:ascii="宋体"/>
              </w:rPr>
            </w:pPr>
          </w:p>
        </w:tc>
        <w:tc>
          <w:tcPr>
            <w:tcW w:w="0" w:type="auto"/>
            <w:gridSpan w:val="2"/>
            <w:shd w:val="clear" w:color="auto" w:fill="E2EFD9"/>
            <w:tcMar>
              <w:top w:w="40" w:type="dxa"/>
              <w:left w:w="20" w:type="dxa"/>
              <w:bottom w:w="40" w:type="dxa"/>
              <w:right w:w="0" w:type="dxa"/>
            </w:tcMar>
            <w:vAlign w:val="bottom"/>
          </w:tcPr>
          <w:p w14:paraId="7C207BF6" w14:textId="77777777" w:rsidR="00834A75" w:rsidRDefault="00A6708C">
            <w:pPr>
              <w:jc w:val="right"/>
              <w:textAlignment w:val="bottom"/>
            </w:pPr>
            <w:r>
              <w:rPr>
                <w:rFonts w:ascii="sans-serif" w:eastAsia="sans-serif" w:hAnsi="sans-serif" w:cs="sans-serif"/>
                <w:color w:val="000000"/>
                <w:sz w:val="15"/>
                <w:szCs w:val="15"/>
              </w:rPr>
              <w:t>— </w:t>
            </w:r>
          </w:p>
        </w:tc>
        <w:tc>
          <w:tcPr>
            <w:tcW w:w="0" w:type="auto"/>
            <w:shd w:val="clear" w:color="auto" w:fill="E2EFD9"/>
            <w:tcMar>
              <w:top w:w="40" w:type="dxa"/>
              <w:left w:w="0" w:type="dxa"/>
              <w:bottom w:w="40" w:type="dxa"/>
              <w:right w:w="20" w:type="dxa"/>
            </w:tcMar>
            <w:vAlign w:val="bottom"/>
          </w:tcPr>
          <w:p w14:paraId="7C207BF7" w14:textId="77777777" w:rsidR="00834A75" w:rsidRDefault="00834A75">
            <w:pPr>
              <w:jc w:val="right"/>
              <w:rPr>
                <w:rFonts w:ascii="宋体"/>
              </w:rPr>
            </w:pPr>
          </w:p>
        </w:tc>
        <w:tc>
          <w:tcPr>
            <w:tcW w:w="0" w:type="auto"/>
            <w:gridSpan w:val="3"/>
            <w:shd w:val="clear" w:color="auto" w:fill="E2EFD9"/>
            <w:tcMar>
              <w:top w:w="0" w:type="dxa"/>
              <w:left w:w="20" w:type="dxa"/>
              <w:bottom w:w="0" w:type="dxa"/>
              <w:right w:w="20" w:type="dxa"/>
            </w:tcMar>
            <w:vAlign w:val="bottom"/>
          </w:tcPr>
          <w:p w14:paraId="7C207BF8" w14:textId="77777777" w:rsidR="00834A75" w:rsidRDefault="00834A75">
            <w:pPr>
              <w:rPr>
                <w:rFonts w:ascii="宋体"/>
              </w:rPr>
            </w:pPr>
          </w:p>
        </w:tc>
        <w:tc>
          <w:tcPr>
            <w:tcW w:w="0" w:type="auto"/>
            <w:gridSpan w:val="2"/>
            <w:shd w:val="clear" w:color="auto" w:fill="E2EFD9"/>
            <w:tcMar>
              <w:top w:w="40" w:type="dxa"/>
              <w:left w:w="20" w:type="dxa"/>
              <w:bottom w:w="40" w:type="dxa"/>
              <w:right w:w="0" w:type="dxa"/>
            </w:tcMar>
            <w:vAlign w:val="bottom"/>
          </w:tcPr>
          <w:p w14:paraId="7C207BF9" w14:textId="77777777" w:rsidR="00834A75" w:rsidRDefault="00A6708C">
            <w:pPr>
              <w:jc w:val="right"/>
              <w:textAlignment w:val="bottom"/>
            </w:pPr>
            <w:r>
              <w:rPr>
                <w:rFonts w:ascii="sans-serif" w:eastAsia="sans-serif" w:hAnsi="sans-serif" w:cs="sans-serif"/>
                <w:color w:val="000000"/>
                <w:sz w:val="15"/>
                <w:szCs w:val="15"/>
              </w:rPr>
              <w:t>(53)</w:t>
            </w:r>
          </w:p>
        </w:tc>
        <w:tc>
          <w:tcPr>
            <w:tcW w:w="0" w:type="auto"/>
            <w:shd w:val="clear" w:color="auto" w:fill="E2EFD9"/>
            <w:tcMar>
              <w:top w:w="40" w:type="dxa"/>
              <w:left w:w="0" w:type="dxa"/>
              <w:bottom w:w="40" w:type="dxa"/>
              <w:right w:w="20" w:type="dxa"/>
            </w:tcMar>
            <w:vAlign w:val="bottom"/>
          </w:tcPr>
          <w:p w14:paraId="7C207BFA" w14:textId="77777777" w:rsidR="00834A75" w:rsidRDefault="00834A75">
            <w:pPr>
              <w:jc w:val="right"/>
              <w:rPr>
                <w:rFonts w:ascii="宋体"/>
              </w:rPr>
            </w:pPr>
          </w:p>
        </w:tc>
      </w:tr>
      <w:tr w:rsidR="00834A75" w14:paraId="7C207C11" w14:textId="77777777">
        <w:trPr>
          <w:jc w:val="center"/>
        </w:trPr>
        <w:tc>
          <w:tcPr>
            <w:tcW w:w="0" w:type="auto"/>
            <w:gridSpan w:val="3"/>
            <w:shd w:val="clear" w:color="auto" w:fill="FFFFFF"/>
            <w:tcMar>
              <w:top w:w="40" w:type="dxa"/>
              <w:left w:w="20" w:type="dxa"/>
              <w:bottom w:w="40" w:type="dxa"/>
              <w:right w:w="20" w:type="dxa"/>
            </w:tcMar>
            <w:vAlign w:val="bottom"/>
          </w:tcPr>
          <w:p w14:paraId="7C207BFC" w14:textId="77777777" w:rsidR="00834A75" w:rsidRDefault="00A6708C">
            <w:pPr>
              <w:textAlignment w:val="bottom"/>
            </w:pPr>
            <w:r>
              <w:rPr>
                <w:rFonts w:ascii="sans-serif" w:eastAsia="sans-serif" w:hAnsi="sans-serif" w:cs="sans-serif"/>
                <w:color w:val="000000"/>
                <w:sz w:val="15"/>
                <w:szCs w:val="15"/>
              </w:rPr>
              <w:t>Issuance of common stock from stock plans </w:t>
            </w:r>
          </w:p>
        </w:tc>
        <w:tc>
          <w:tcPr>
            <w:tcW w:w="0" w:type="auto"/>
            <w:gridSpan w:val="2"/>
            <w:shd w:val="clear" w:color="auto" w:fill="FFFFFF"/>
            <w:tcMar>
              <w:top w:w="40" w:type="dxa"/>
              <w:left w:w="20" w:type="dxa"/>
              <w:bottom w:w="40" w:type="dxa"/>
              <w:right w:w="0" w:type="dxa"/>
            </w:tcMar>
            <w:vAlign w:val="bottom"/>
          </w:tcPr>
          <w:p w14:paraId="7C207BFD" w14:textId="77777777" w:rsidR="00834A75" w:rsidRDefault="00A6708C">
            <w:pPr>
              <w:jc w:val="right"/>
              <w:textAlignment w:val="bottom"/>
            </w:pPr>
            <w:r>
              <w:rPr>
                <w:rFonts w:ascii="sans-serif" w:eastAsia="sans-serif" w:hAnsi="sans-serif" w:cs="sans-serif"/>
                <w:color w:val="000000"/>
                <w:sz w:val="15"/>
                <w:szCs w:val="15"/>
              </w:rPr>
              <w:t>9 </w:t>
            </w:r>
          </w:p>
        </w:tc>
        <w:tc>
          <w:tcPr>
            <w:tcW w:w="0" w:type="auto"/>
            <w:shd w:val="clear" w:color="auto" w:fill="FFFFFF"/>
            <w:tcMar>
              <w:top w:w="40" w:type="dxa"/>
              <w:left w:w="0" w:type="dxa"/>
              <w:bottom w:w="40" w:type="dxa"/>
              <w:right w:w="20" w:type="dxa"/>
            </w:tcMar>
            <w:vAlign w:val="bottom"/>
          </w:tcPr>
          <w:p w14:paraId="7C207BFE" w14:textId="77777777" w:rsidR="00834A75" w:rsidRDefault="00834A75">
            <w:pPr>
              <w:jc w:val="right"/>
              <w:rPr>
                <w:rFonts w:ascii="宋体"/>
              </w:rPr>
            </w:pPr>
          </w:p>
        </w:tc>
        <w:tc>
          <w:tcPr>
            <w:tcW w:w="0" w:type="auto"/>
            <w:gridSpan w:val="3"/>
            <w:shd w:val="clear" w:color="auto" w:fill="FFFFFF"/>
            <w:tcMar>
              <w:top w:w="0" w:type="dxa"/>
              <w:left w:w="20" w:type="dxa"/>
              <w:bottom w:w="0" w:type="dxa"/>
              <w:right w:w="20" w:type="dxa"/>
            </w:tcMar>
            <w:vAlign w:val="bottom"/>
          </w:tcPr>
          <w:p w14:paraId="7C207BFF" w14:textId="77777777" w:rsidR="00834A75" w:rsidRDefault="00834A75">
            <w:pPr>
              <w:rPr>
                <w:rFonts w:ascii="宋体"/>
              </w:rPr>
            </w:pPr>
          </w:p>
        </w:tc>
        <w:tc>
          <w:tcPr>
            <w:tcW w:w="0" w:type="auto"/>
            <w:gridSpan w:val="2"/>
            <w:shd w:val="clear" w:color="auto" w:fill="FFFFFF"/>
            <w:tcMar>
              <w:top w:w="40" w:type="dxa"/>
              <w:left w:w="20" w:type="dxa"/>
              <w:bottom w:w="40" w:type="dxa"/>
              <w:right w:w="0" w:type="dxa"/>
            </w:tcMar>
            <w:vAlign w:val="bottom"/>
          </w:tcPr>
          <w:p w14:paraId="7C207C00" w14:textId="77777777" w:rsidR="00834A75" w:rsidRDefault="00A6708C">
            <w:pPr>
              <w:jc w:val="right"/>
              <w:textAlignment w:val="bottom"/>
            </w:pPr>
            <w:r>
              <w:rPr>
                <w:rFonts w:ascii="sans-serif" w:eastAsia="sans-serif" w:hAnsi="sans-serif" w:cs="sans-serif"/>
                <w:color w:val="000000"/>
                <w:sz w:val="15"/>
                <w:szCs w:val="15"/>
              </w:rPr>
              <w:t>— </w:t>
            </w:r>
          </w:p>
        </w:tc>
        <w:tc>
          <w:tcPr>
            <w:tcW w:w="0" w:type="auto"/>
            <w:shd w:val="clear" w:color="auto" w:fill="FFFFFF"/>
            <w:tcMar>
              <w:top w:w="40" w:type="dxa"/>
              <w:left w:w="0" w:type="dxa"/>
              <w:bottom w:w="40" w:type="dxa"/>
              <w:right w:w="20" w:type="dxa"/>
            </w:tcMar>
            <w:vAlign w:val="bottom"/>
          </w:tcPr>
          <w:p w14:paraId="7C207C01" w14:textId="77777777" w:rsidR="00834A75" w:rsidRDefault="00834A75">
            <w:pPr>
              <w:jc w:val="right"/>
              <w:rPr>
                <w:rFonts w:ascii="宋体"/>
              </w:rPr>
            </w:pPr>
          </w:p>
        </w:tc>
        <w:tc>
          <w:tcPr>
            <w:tcW w:w="0" w:type="auto"/>
            <w:gridSpan w:val="3"/>
            <w:shd w:val="clear" w:color="auto" w:fill="FFFFFF"/>
            <w:tcMar>
              <w:top w:w="0" w:type="dxa"/>
              <w:left w:w="20" w:type="dxa"/>
              <w:bottom w:w="0" w:type="dxa"/>
              <w:right w:w="20" w:type="dxa"/>
            </w:tcMar>
            <w:vAlign w:val="bottom"/>
          </w:tcPr>
          <w:p w14:paraId="7C207C02" w14:textId="77777777" w:rsidR="00834A75" w:rsidRDefault="00834A75">
            <w:pPr>
              <w:rPr>
                <w:rFonts w:ascii="宋体"/>
              </w:rPr>
            </w:pPr>
          </w:p>
        </w:tc>
        <w:tc>
          <w:tcPr>
            <w:tcW w:w="0" w:type="auto"/>
            <w:gridSpan w:val="2"/>
            <w:shd w:val="clear" w:color="auto" w:fill="FFFFFF"/>
            <w:tcMar>
              <w:top w:w="40" w:type="dxa"/>
              <w:left w:w="20" w:type="dxa"/>
              <w:bottom w:w="40" w:type="dxa"/>
              <w:right w:w="0" w:type="dxa"/>
            </w:tcMar>
            <w:vAlign w:val="bottom"/>
          </w:tcPr>
          <w:p w14:paraId="7C207C03" w14:textId="77777777" w:rsidR="00834A75" w:rsidRDefault="00A6708C">
            <w:pPr>
              <w:jc w:val="right"/>
              <w:textAlignment w:val="bottom"/>
            </w:pPr>
            <w:r>
              <w:rPr>
                <w:rFonts w:ascii="sans-serif" w:eastAsia="sans-serif" w:hAnsi="sans-serif" w:cs="sans-serif"/>
                <w:color w:val="000000"/>
                <w:sz w:val="15"/>
                <w:szCs w:val="15"/>
              </w:rPr>
              <w:t>204 </w:t>
            </w:r>
          </w:p>
        </w:tc>
        <w:tc>
          <w:tcPr>
            <w:tcW w:w="0" w:type="auto"/>
            <w:shd w:val="clear" w:color="auto" w:fill="FFFFFF"/>
            <w:tcMar>
              <w:top w:w="40" w:type="dxa"/>
              <w:left w:w="0" w:type="dxa"/>
              <w:bottom w:w="40" w:type="dxa"/>
              <w:right w:w="20" w:type="dxa"/>
            </w:tcMar>
            <w:vAlign w:val="bottom"/>
          </w:tcPr>
          <w:p w14:paraId="7C207C04" w14:textId="77777777" w:rsidR="00834A75" w:rsidRDefault="00834A75">
            <w:pPr>
              <w:jc w:val="right"/>
              <w:rPr>
                <w:rFonts w:ascii="宋体"/>
              </w:rPr>
            </w:pPr>
          </w:p>
        </w:tc>
        <w:tc>
          <w:tcPr>
            <w:tcW w:w="0" w:type="auto"/>
            <w:gridSpan w:val="3"/>
            <w:shd w:val="clear" w:color="auto" w:fill="FFFFFF"/>
            <w:tcMar>
              <w:top w:w="0" w:type="dxa"/>
              <w:left w:w="20" w:type="dxa"/>
              <w:bottom w:w="0" w:type="dxa"/>
              <w:right w:w="20" w:type="dxa"/>
            </w:tcMar>
            <w:vAlign w:val="bottom"/>
          </w:tcPr>
          <w:p w14:paraId="7C207C05" w14:textId="77777777" w:rsidR="00834A75" w:rsidRDefault="00834A75">
            <w:pPr>
              <w:rPr>
                <w:rFonts w:ascii="宋体"/>
              </w:rPr>
            </w:pPr>
          </w:p>
        </w:tc>
        <w:tc>
          <w:tcPr>
            <w:tcW w:w="0" w:type="auto"/>
            <w:gridSpan w:val="2"/>
            <w:shd w:val="clear" w:color="auto" w:fill="FFFFFF"/>
            <w:tcMar>
              <w:top w:w="40" w:type="dxa"/>
              <w:left w:w="20" w:type="dxa"/>
              <w:bottom w:w="40" w:type="dxa"/>
              <w:right w:w="0" w:type="dxa"/>
            </w:tcMar>
            <w:vAlign w:val="bottom"/>
          </w:tcPr>
          <w:p w14:paraId="7C207C06" w14:textId="77777777" w:rsidR="00834A75" w:rsidRDefault="00A6708C">
            <w:pPr>
              <w:jc w:val="right"/>
              <w:textAlignment w:val="bottom"/>
            </w:pPr>
            <w:r>
              <w:rPr>
                <w:rFonts w:ascii="sans-serif" w:eastAsia="sans-serif" w:hAnsi="sans-serif" w:cs="sans-serif"/>
                <w:color w:val="000000"/>
                <w:sz w:val="15"/>
                <w:szCs w:val="15"/>
              </w:rPr>
              <w:t>— </w:t>
            </w:r>
          </w:p>
        </w:tc>
        <w:tc>
          <w:tcPr>
            <w:tcW w:w="0" w:type="auto"/>
            <w:shd w:val="clear" w:color="auto" w:fill="FFFFFF"/>
            <w:tcMar>
              <w:top w:w="40" w:type="dxa"/>
              <w:left w:w="0" w:type="dxa"/>
              <w:bottom w:w="40" w:type="dxa"/>
              <w:right w:w="20" w:type="dxa"/>
            </w:tcMar>
            <w:vAlign w:val="bottom"/>
          </w:tcPr>
          <w:p w14:paraId="7C207C07" w14:textId="77777777" w:rsidR="00834A75" w:rsidRDefault="00834A75">
            <w:pPr>
              <w:jc w:val="right"/>
              <w:rPr>
                <w:rFonts w:ascii="宋体"/>
              </w:rPr>
            </w:pPr>
          </w:p>
        </w:tc>
        <w:tc>
          <w:tcPr>
            <w:tcW w:w="0" w:type="auto"/>
            <w:gridSpan w:val="3"/>
            <w:shd w:val="clear" w:color="auto" w:fill="FFFFFF"/>
            <w:tcMar>
              <w:top w:w="0" w:type="dxa"/>
              <w:left w:w="20" w:type="dxa"/>
              <w:bottom w:w="0" w:type="dxa"/>
              <w:right w:w="20" w:type="dxa"/>
            </w:tcMar>
            <w:vAlign w:val="bottom"/>
          </w:tcPr>
          <w:p w14:paraId="7C207C08" w14:textId="77777777" w:rsidR="00834A75" w:rsidRDefault="00834A75">
            <w:pPr>
              <w:rPr>
                <w:rFonts w:ascii="宋体"/>
              </w:rPr>
            </w:pPr>
          </w:p>
        </w:tc>
        <w:tc>
          <w:tcPr>
            <w:tcW w:w="0" w:type="auto"/>
            <w:gridSpan w:val="2"/>
            <w:shd w:val="clear" w:color="auto" w:fill="FFFFFF"/>
            <w:tcMar>
              <w:top w:w="40" w:type="dxa"/>
              <w:left w:w="20" w:type="dxa"/>
              <w:bottom w:w="40" w:type="dxa"/>
              <w:right w:w="0" w:type="dxa"/>
            </w:tcMar>
            <w:vAlign w:val="bottom"/>
          </w:tcPr>
          <w:p w14:paraId="7C207C09" w14:textId="77777777" w:rsidR="00834A75" w:rsidRDefault="00A6708C">
            <w:pPr>
              <w:jc w:val="right"/>
              <w:textAlignment w:val="bottom"/>
            </w:pPr>
            <w:r>
              <w:rPr>
                <w:rFonts w:ascii="sans-serif" w:eastAsia="sans-serif" w:hAnsi="sans-serif" w:cs="sans-serif"/>
                <w:color w:val="000000"/>
                <w:sz w:val="15"/>
                <w:szCs w:val="15"/>
              </w:rPr>
              <w:t>— </w:t>
            </w:r>
          </w:p>
        </w:tc>
        <w:tc>
          <w:tcPr>
            <w:tcW w:w="0" w:type="auto"/>
            <w:shd w:val="clear" w:color="auto" w:fill="FFFFFF"/>
            <w:tcMar>
              <w:top w:w="40" w:type="dxa"/>
              <w:left w:w="0" w:type="dxa"/>
              <w:bottom w:w="40" w:type="dxa"/>
              <w:right w:w="20" w:type="dxa"/>
            </w:tcMar>
            <w:vAlign w:val="bottom"/>
          </w:tcPr>
          <w:p w14:paraId="7C207C0A" w14:textId="77777777" w:rsidR="00834A75" w:rsidRDefault="00834A75">
            <w:pPr>
              <w:jc w:val="right"/>
              <w:rPr>
                <w:rFonts w:ascii="宋体"/>
              </w:rPr>
            </w:pPr>
          </w:p>
        </w:tc>
        <w:tc>
          <w:tcPr>
            <w:tcW w:w="0" w:type="auto"/>
            <w:gridSpan w:val="3"/>
            <w:shd w:val="clear" w:color="auto" w:fill="FFFFFF"/>
            <w:tcMar>
              <w:top w:w="0" w:type="dxa"/>
              <w:left w:w="20" w:type="dxa"/>
              <w:bottom w:w="0" w:type="dxa"/>
              <w:right w:w="20" w:type="dxa"/>
            </w:tcMar>
            <w:vAlign w:val="bottom"/>
          </w:tcPr>
          <w:p w14:paraId="7C207C0B" w14:textId="77777777" w:rsidR="00834A75" w:rsidRDefault="00834A75">
            <w:pPr>
              <w:rPr>
                <w:rFonts w:ascii="宋体"/>
              </w:rPr>
            </w:pPr>
          </w:p>
        </w:tc>
        <w:tc>
          <w:tcPr>
            <w:tcW w:w="0" w:type="auto"/>
            <w:gridSpan w:val="2"/>
            <w:shd w:val="clear" w:color="auto" w:fill="FFFFFF"/>
            <w:tcMar>
              <w:top w:w="40" w:type="dxa"/>
              <w:left w:w="20" w:type="dxa"/>
              <w:bottom w:w="40" w:type="dxa"/>
              <w:right w:w="0" w:type="dxa"/>
            </w:tcMar>
            <w:vAlign w:val="bottom"/>
          </w:tcPr>
          <w:p w14:paraId="7C207C0C" w14:textId="77777777" w:rsidR="00834A75" w:rsidRDefault="00A6708C">
            <w:pPr>
              <w:jc w:val="right"/>
              <w:textAlignment w:val="bottom"/>
            </w:pPr>
            <w:r>
              <w:rPr>
                <w:rFonts w:ascii="sans-serif" w:eastAsia="sans-serif" w:hAnsi="sans-serif" w:cs="sans-serif"/>
                <w:color w:val="000000"/>
                <w:sz w:val="15"/>
                <w:szCs w:val="15"/>
              </w:rPr>
              <w:t>— </w:t>
            </w:r>
          </w:p>
        </w:tc>
        <w:tc>
          <w:tcPr>
            <w:tcW w:w="0" w:type="auto"/>
            <w:shd w:val="clear" w:color="auto" w:fill="FFFFFF"/>
            <w:tcMar>
              <w:top w:w="40" w:type="dxa"/>
              <w:left w:w="0" w:type="dxa"/>
              <w:bottom w:w="40" w:type="dxa"/>
              <w:right w:w="20" w:type="dxa"/>
            </w:tcMar>
            <w:vAlign w:val="bottom"/>
          </w:tcPr>
          <w:p w14:paraId="7C207C0D" w14:textId="77777777" w:rsidR="00834A75" w:rsidRDefault="00834A75">
            <w:pPr>
              <w:jc w:val="right"/>
              <w:rPr>
                <w:rFonts w:ascii="宋体"/>
              </w:rPr>
            </w:pPr>
          </w:p>
        </w:tc>
        <w:tc>
          <w:tcPr>
            <w:tcW w:w="0" w:type="auto"/>
            <w:gridSpan w:val="3"/>
            <w:shd w:val="clear" w:color="auto" w:fill="FFFFFF"/>
            <w:tcMar>
              <w:top w:w="0" w:type="dxa"/>
              <w:left w:w="20" w:type="dxa"/>
              <w:bottom w:w="0" w:type="dxa"/>
              <w:right w:w="20" w:type="dxa"/>
            </w:tcMar>
            <w:vAlign w:val="bottom"/>
          </w:tcPr>
          <w:p w14:paraId="7C207C0E" w14:textId="77777777" w:rsidR="00834A75" w:rsidRDefault="00834A75">
            <w:pPr>
              <w:rPr>
                <w:rFonts w:ascii="宋体"/>
              </w:rPr>
            </w:pPr>
          </w:p>
        </w:tc>
        <w:tc>
          <w:tcPr>
            <w:tcW w:w="0" w:type="auto"/>
            <w:gridSpan w:val="2"/>
            <w:shd w:val="clear" w:color="auto" w:fill="FFFFFF"/>
            <w:tcMar>
              <w:top w:w="40" w:type="dxa"/>
              <w:left w:w="20" w:type="dxa"/>
              <w:bottom w:w="40" w:type="dxa"/>
              <w:right w:w="0" w:type="dxa"/>
            </w:tcMar>
            <w:vAlign w:val="bottom"/>
          </w:tcPr>
          <w:p w14:paraId="7C207C0F" w14:textId="77777777" w:rsidR="00834A75" w:rsidRDefault="00A6708C">
            <w:pPr>
              <w:jc w:val="right"/>
              <w:textAlignment w:val="bottom"/>
            </w:pPr>
            <w:r>
              <w:rPr>
                <w:rFonts w:ascii="sans-serif" w:eastAsia="sans-serif" w:hAnsi="sans-serif" w:cs="sans-serif"/>
                <w:color w:val="000000"/>
                <w:sz w:val="15"/>
                <w:szCs w:val="15"/>
              </w:rPr>
              <w:t>204 </w:t>
            </w:r>
          </w:p>
        </w:tc>
        <w:tc>
          <w:tcPr>
            <w:tcW w:w="0" w:type="auto"/>
            <w:shd w:val="clear" w:color="auto" w:fill="FFFFFF"/>
            <w:tcMar>
              <w:top w:w="40" w:type="dxa"/>
              <w:left w:w="0" w:type="dxa"/>
              <w:bottom w:w="40" w:type="dxa"/>
              <w:right w:w="20" w:type="dxa"/>
            </w:tcMar>
            <w:vAlign w:val="bottom"/>
          </w:tcPr>
          <w:p w14:paraId="7C207C10" w14:textId="77777777" w:rsidR="00834A75" w:rsidRDefault="00834A75">
            <w:pPr>
              <w:jc w:val="right"/>
              <w:rPr>
                <w:rFonts w:ascii="宋体"/>
              </w:rPr>
            </w:pPr>
          </w:p>
        </w:tc>
      </w:tr>
      <w:tr w:rsidR="00834A75" w14:paraId="7C207C27" w14:textId="77777777">
        <w:trPr>
          <w:jc w:val="center"/>
        </w:trPr>
        <w:tc>
          <w:tcPr>
            <w:tcW w:w="0" w:type="auto"/>
            <w:gridSpan w:val="3"/>
            <w:shd w:val="clear" w:color="auto" w:fill="E2EFD9"/>
            <w:tcMar>
              <w:top w:w="40" w:type="dxa"/>
              <w:left w:w="20" w:type="dxa"/>
              <w:bottom w:w="40" w:type="dxa"/>
              <w:right w:w="20" w:type="dxa"/>
            </w:tcMar>
            <w:vAlign w:val="bottom"/>
          </w:tcPr>
          <w:p w14:paraId="7C207C12" w14:textId="77777777" w:rsidR="00834A75" w:rsidRDefault="00A6708C">
            <w:pPr>
              <w:textAlignment w:val="bottom"/>
            </w:pPr>
            <w:r>
              <w:rPr>
                <w:rFonts w:ascii="sans-serif" w:eastAsia="sans-serif" w:hAnsi="sans-serif" w:cs="sans-serif"/>
                <w:color w:val="000000"/>
                <w:sz w:val="15"/>
                <w:szCs w:val="15"/>
              </w:rPr>
              <w:t>Tax withholding related to vesting of restricted stoc</w:t>
            </w:r>
            <w:r>
              <w:rPr>
                <w:rFonts w:ascii="sans-serif" w:eastAsia="sans-serif" w:hAnsi="sans-serif" w:cs="sans-serif"/>
                <w:color w:val="000000"/>
                <w:sz w:val="15"/>
                <w:szCs w:val="15"/>
              </w:rPr>
              <w:t>k units</w:t>
            </w:r>
          </w:p>
        </w:tc>
        <w:tc>
          <w:tcPr>
            <w:tcW w:w="0" w:type="auto"/>
            <w:gridSpan w:val="2"/>
            <w:shd w:val="clear" w:color="auto" w:fill="E2EFD9"/>
            <w:tcMar>
              <w:top w:w="40" w:type="dxa"/>
              <w:left w:w="20" w:type="dxa"/>
              <w:bottom w:w="40" w:type="dxa"/>
              <w:right w:w="0" w:type="dxa"/>
            </w:tcMar>
            <w:vAlign w:val="bottom"/>
          </w:tcPr>
          <w:p w14:paraId="7C207C13" w14:textId="77777777" w:rsidR="00834A75" w:rsidRDefault="00A6708C">
            <w:pPr>
              <w:jc w:val="right"/>
              <w:textAlignment w:val="bottom"/>
            </w:pPr>
            <w:r>
              <w:rPr>
                <w:rFonts w:ascii="sans-serif" w:eastAsia="sans-serif" w:hAnsi="sans-serif" w:cs="sans-serif"/>
                <w:color w:val="000000"/>
                <w:sz w:val="15"/>
                <w:szCs w:val="15"/>
              </w:rPr>
              <w:t>(2)</w:t>
            </w:r>
          </w:p>
        </w:tc>
        <w:tc>
          <w:tcPr>
            <w:tcW w:w="0" w:type="auto"/>
            <w:shd w:val="clear" w:color="auto" w:fill="E2EFD9"/>
            <w:tcMar>
              <w:top w:w="40" w:type="dxa"/>
              <w:left w:w="0" w:type="dxa"/>
              <w:bottom w:w="40" w:type="dxa"/>
              <w:right w:w="20" w:type="dxa"/>
            </w:tcMar>
            <w:vAlign w:val="bottom"/>
          </w:tcPr>
          <w:p w14:paraId="7C207C14" w14:textId="77777777" w:rsidR="00834A75" w:rsidRDefault="00834A75">
            <w:pPr>
              <w:jc w:val="right"/>
              <w:rPr>
                <w:rFonts w:ascii="宋体"/>
              </w:rPr>
            </w:pPr>
          </w:p>
        </w:tc>
        <w:tc>
          <w:tcPr>
            <w:tcW w:w="0" w:type="auto"/>
            <w:gridSpan w:val="3"/>
            <w:shd w:val="clear" w:color="auto" w:fill="E2EFD9"/>
            <w:tcMar>
              <w:top w:w="0" w:type="dxa"/>
              <w:left w:w="20" w:type="dxa"/>
              <w:bottom w:w="0" w:type="dxa"/>
              <w:right w:w="20" w:type="dxa"/>
            </w:tcMar>
            <w:vAlign w:val="bottom"/>
          </w:tcPr>
          <w:p w14:paraId="7C207C15" w14:textId="77777777" w:rsidR="00834A75" w:rsidRDefault="00834A75">
            <w:pPr>
              <w:rPr>
                <w:rFonts w:ascii="宋体"/>
              </w:rPr>
            </w:pPr>
          </w:p>
        </w:tc>
        <w:tc>
          <w:tcPr>
            <w:tcW w:w="0" w:type="auto"/>
            <w:gridSpan w:val="2"/>
            <w:shd w:val="clear" w:color="auto" w:fill="E2EFD9"/>
            <w:tcMar>
              <w:top w:w="40" w:type="dxa"/>
              <w:left w:w="20" w:type="dxa"/>
              <w:bottom w:w="40" w:type="dxa"/>
              <w:right w:w="0" w:type="dxa"/>
            </w:tcMar>
            <w:vAlign w:val="bottom"/>
          </w:tcPr>
          <w:p w14:paraId="7C207C16" w14:textId="77777777" w:rsidR="00834A75" w:rsidRDefault="00A6708C">
            <w:pPr>
              <w:jc w:val="right"/>
              <w:textAlignment w:val="bottom"/>
            </w:pPr>
            <w:r>
              <w:rPr>
                <w:rFonts w:ascii="sans-serif" w:eastAsia="sans-serif" w:hAnsi="sans-serif" w:cs="sans-serif"/>
                <w:color w:val="000000"/>
                <w:sz w:val="15"/>
                <w:szCs w:val="15"/>
              </w:rPr>
              <w:t>— </w:t>
            </w:r>
          </w:p>
        </w:tc>
        <w:tc>
          <w:tcPr>
            <w:tcW w:w="0" w:type="auto"/>
            <w:shd w:val="clear" w:color="auto" w:fill="E2EFD9"/>
            <w:tcMar>
              <w:top w:w="40" w:type="dxa"/>
              <w:left w:w="0" w:type="dxa"/>
              <w:bottom w:w="40" w:type="dxa"/>
              <w:right w:w="20" w:type="dxa"/>
            </w:tcMar>
            <w:vAlign w:val="bottom"/>
          </w:tcPr>
          <w:p w14:paraId="7C207C17" w14:textId="77777777" w:rsidR="00834A75" w:rsidRDefault="00834A75">
            <w:pPr>
              <w:jc w:val="right"/>
              <w:rPr>
                <w:rFonts w:ascii="宋体"/>
              </w:rPr>
            </w:pPr>
          </w:p>
        </w:tc>
        <w:tc>
          <w:tcPr>
            <w:tcW w:w="0" w:type="auto"/>
            <w:gridSpan w:val="3"/>
            <w:shd w:val="clear" w:color="auto" w:fill="E2EFD9"/>
            <w:tcMar>
              <w:top w:w="0" w:type="dxa"/>
              <w:left w:w="20" w:type="dxa"/>
              <w:bottom w:w="0" w:type="dxa"/>
              <w:right w:w="20" w:type="dxa"/>
            </w:tcMar>
            <w:vAlign w:val="bottom"/>
          </w:tcPr>
          <w:p w14:paraId="7C207C18" w14:textId="77777777" w:rsidR="00834A75" w:rsidRDefault="00834A75">
            <w:pPr>
              <w:rPr>
                <w:rFonts w:ascii="宋体"/>
              </w:rPr>
            </w:pPr>
          </w:p>
        </w:tc>
        <w:tc>
          <w:tcPr>
            <w:tcW w:w="0" w:type="auto"/>
            <w:gridSpan w:val="2"/>
            <w:shd w:val="clear" w:color="auto" w:fill="E2EFD9"/>
            <w:tcMar>
              <w:top w:w="40" w:type="dxa"/>
              <w:left w:w="20" w:type="dxa"/>
              <w:bottom w:w="40" w:type="dxa"/>
              <w:right w:w="0" w:type="dxa"/>
            </w:tcMar>
            <w:vAlign w:val="bottom"/>
          </w:tcPr>
          <w:p w14:paraId="7C207C19" w14:textId="77777777" w:rsidR="00834A75" w:rsidRDefault="00A6708C">
            <w:pPr>
              <w:jc w:val="right"/>
              <w:textAlignment w:val="bottom"/>
            </w:pPr>
            <w:r>
              <w:rPr>
                <w:rFonts w:ascii="sans-serif" w:eastAsia="sans-serif" w:hAnsi="sans-serif" w:cs="sans-serif"/>
                <w:color w:val="000000"/>
                <w:sz w:val="15"/>
                <w:szCs w:val="15"/>
              </w:rPr>
              <w:t>(538)</w:t>
            </w:r>
          </w:p>
        </w:tc>
        <w:tc>
          <w:tcPr>
            <w:tcW w:w="0" w:type="auto"/>
            <w:shd w:val="clear" w:color="auto" w:fill="E2EFD9"/>
            <w:tcMar>
              <w:top w:w="40" w:type="dxa"/>
              <w:left w:w="0" w:type="dxa"/>
              <w:bottom w:w="40" w:type="dxa"/>
              <w:right w:w="20" w:type="dxa"/>
            </w:tcMar>
            <w:vAlign w:val="bottom"/>
          </w:tcPr>
          <w:p w14:paraId="7C207C1A" w14:textId="77777777" w:rsidR="00834A75" w:rsidRDefault="00834A75">
            <w:pPr>
              <w:jc w:val="right"/>
              <w:rPr>
                <w:rFonts w:ascii="宋体"/>
              </w:rPr>
            </w:pPr>
          </w:p>
        </w:tc>
        <w:tc>
          <w:tcPr>
            <w:tcW w:w="0" w:type="auto"/>
            <w:gridSpan w:val="3"/>
            <w:shd w:val="clear" w:color="auto" w:fill="E2EFD9"/>
            <w:tcMar>
              <w:top w:w="0" w:type="dxa"/>
              <w:left w:w="20" w:type="dxa"/>
              <w:bottom w:w="0" w:type="dxa"/>
              <w:right w:w="20" w:type="dxa"/>
            </w:tcMar>
            <w:vAlign w:val="bottom"/>
          </w:tcPr>
          <w:p w14:paraId="7C207C1B" w14:textId="77777777" w:rsidR="00834A75" w:rsidRDefault="00834A75">
            <w:pPr>
              <w:rPr>
                <w:rFonts w:ascii="宋体"/>
              </w:rPr>
            </w:pPr>
          </w:p>
        </w:tc>
        <w:tc>
          <w:tcPr>
            <w:tcW w:w="0" w:type="auto"/>
            <w:gridSpan w:val="2"/>
            <w:shd w:val="clear" w:color="auto" w:fill="E2EFD9"/>
            <w:tcMar>
              <w:top w:w="40" w:type="dxa"/>
              <w:left w:w="20" w:type="dxa"/>
              <w:bottom w:w="40" w:type="dxa"/>
              <w:right w:w="0" w:type="dxa"/>
            </w:tcMar>
            <w:vAlign w:val="bottom"/>
          </w:tcPr>
          <w:p w14:paraId="7C207C1C" w14:textId="77777777" w:rsidR="00834A75" w:rsidRDefault="00A6708C">
            <w:pPr>
              <w:jc w:val="right"/>
              <w:textAlignment w:val="bottom"/>
            </w:pPr>
            <w:r>
              <w:rPr>
                <w:rFonts w:ascii="sans-serif" w:eastAsia="sans-serif" w:hAnsi="sans-serif" w:cs="sans-serif"/>
                <w:color w:val="000000"/>
                <w:sz w:val="15"/>
                <w:szCs w:val="15"/>
              </w:rPr>
              <w:t>— </w:t>
            </w:r>
          </w:p>
        </w:tc>
        <w:tc>
          <w:tcPr>
            <w:tcW w:w="0" w:type="auto"/>
            <w:shd w:val="clear" w:color="auto" w:fill="E2EFD9"/>
            <w:tcMar>
              <w:top w:w="40" w:type="dxa"/>
              <w:left w:w="0" w:type="dxa"/>
              <w:bottom w:w="40" w:type="dxa"/>
              <w:right w:w="20" w:type="dxa"/>
            </w:tcMar>
            <w:vAlign w:val="bottom"/>
          </w:tcPr>
          <w:p w14:paraId="7C207C1D" w14:textId="77777777" w:rsidR="00834A75" w:rsidRDefault="00834A75">
            <w:pPr>
              <w:jc w:val="right"/>
              <w:rPr>
                <w:rFonts w:ascii="宋体"/>
              </w:rPr>
            </w:pPr>
          </w:p>
        </w:tc>
        <w:tc>
          <w:tcPr>
            <w:tcW w:w="0" w:type="auto"/>
            <w:gridSpan w:val="3"/>
            <w:shd w:val="clear" w:color="auto" w:fill="E2EFD9"/>
            <w:tcMar>
              <w:top w:w="0" w:type="dxa"/>
              <w:left w:w="20" w:type="dxa"/>
              <w:bottom w:w="0" w:type="dxa"/>
              <w:right w:w="20" w:type="dxa"/>
            </w:tcMar>
            <w:vAlign w:val="bottom"/>
          </w:tcPr>
          <w:p w14:paraId="7C207C1E" w14:textId="77777777" w:rsidR="00834A75" w:rsidRDefault="00834A75">
            <w:pPr>
              <w:rPr>
                <w:rFonts w:ascii="宋体"/>
              </w:rPr>
            </w:pPr>
          </w:p>
        </w:tc>
        <w:tc>
          <w:tcPr>
            <w:tcW w:w="0" w:type="auto"/>
            <w:gridSpan w:val="2"/>
            <w:shd w:val="clear" w:color="auto" w:fill="E2EFD9"/>
            <w:tcMar>
              <w:top w:w="40" w:type="dxa"/>
              <w:left w:w="20" w:type="dxa"/>
              <w:bottom w:w="40" w:type="dxa"/>
              <w:right w:w="0" w:type="dxa"/>
            </w:tcMar>
            <w:vAlign w:val="bottom"/>
          </w:tcPr>
          <w:p w14:paraId="7C207C1F" w14:textId="77777777" w:rsidR="00834A75" w:rsidRDefault="00A6708C">
            <w:pPr>
              <w:jc w:val="right"/>
              <w:textAlignment w:val="bottom"/>
            </w:pPr>
            <w:r>
              <w:rPr>
                <w:rFonts w:ascii="sans-serif" w:eastAsia="sans-serif" w:hAnsi="sans-serif" w:cs="sans-serif"/>
                <w:color w:val="000000"/>
                <w:sz w:val="15"/>
                <w:szCs w:val="15"/>
              </w:rPr>
              <w:t>— </w:t>
            </w:r>
          </w:p>
        </w:tc>
        <w:tc>
          <w:tcPr>
            <w:tcW w:w="0" w:type="auto"/>
            <w:shd w:val="clear" w:color="auto" w:fill="E2EFD9"/>
            <w:tcMar>
              <w:top w:w="40" w:type="dxa"/>
              <w:left w:w="0" w:type="dxa"/>
              <w:bottom w:w="40" w:type="dxa"/>
              <w:right w:w="20" w:type="dxa"/>
            </w:tcMar>
            <w:vAlign w:val="bottom"/>
          </w:tcPr>
          <w:p w14:paraId="7C207C20" w14:textId="77777777" w:rsidR="00834A75" w:rsidRDefault="00834A75">
            <w:pPr>
              <w:jc w:val="right"/>
              <w:rPr>
                <w:rFonts w:ascii="宋体"/>
              </w:rPr>
            </w:pPr>
          </w:p>
        </w:tc>
        <w:tc>
          <w:tcPr>
            <w:tcW w:w="0" w:type="auto"/>
            <w:gridSpan w:val="3"/>
            <w:shd w:val="clear" w:color="auto" w:fill="E2EFD9"/>
            <w:tcMar>
              <w:top w:w="0" w:type="dxa"/>
              <w:left w:w="20" w:type="dxa"/>
              <w:bottom w:w="0" w:type="dxa"/>
              <w:right w:w="20" w:type="dxa"/>
            </w:tcMar>
            <w:vAlign w:val="bottom"/>
          </w:tcPr>
          <w:p w14:paraId="7C207C21" w14:textId="77777777" w:rsidR="00834A75" w:rsidRDefault="00834A75">
            <w:pPr>
              <w:rPr>
                <w:rFonts w:ascii="宋体"/>
              </w:rPr>
            </w:pPr>
          </w:p>
        </w:tc>
        <w:tc>
          <w:tcPr>
            <w:tcW w:w="0" w:type="auto"/>
            <w:gridSpan w:val="2"/>
            <w:shd w:val="clear" w:color="auto" w:fill="E2EFD9"/>
            <w:tcMar>
              <w:top w:w="40" w:type="dxa"/>
              <w:left w:w="20" w:type="dxa"/>
              <w:bottom w:w="40" w:type="dxa"/>
              <w:right w:w="0" w:type="dxa"/>
            </w:tcMar>
            <w:vAlign w:val="bottom"/>
          </w:tcPr>
          <w:p w14:paraId="7C207C22" w14:textId="77777777" w:rsidR="00834A75" w:rsidRDefault="00A6708C">
            <w:pPr>
              <w:jc w:val="right"/>
              <w:textAlignment w:val="bottom"/>
            </w:pPr>
            <w:r>
              <w:rPr>
                <w:rFonts w:ascii="sans-serif" w:eastAsia="sans-serif" w:hAnsi="sans-serif" w:cs="sans-serif"/>
                <w:color w:val="000000"/>
                <w:sz w:val="15"/>
                <w:szCs w:val="15"/>
              </w:rPr>
              <w:t>— </w:t>
            </w:r>
          </w:p>
        </w:tc>
        <w:tc>
          <w:tcPr>
            <w:tcW w:w="0" w:type="auto"/>
            <w:shd w:val="clear" w:color="auto" w:fill="E2EFD9"/>
            <w:tcMar>
              <w:top w:w="40" w:type="dxa"/>
              <w:left w:w="0" w:type="dxa"/>
              <w:bottom w:w="40" w:type="dxa"/>
              <w:right w:w="20" w:type="dxa"/>
            </w:tcMar>
            <w:vAlign w:val="bottom"/>
          </w:tcPr>
          <w:p w14:paraId="7C207C23" w14:textId="77777777" w:rsidR="00834A75" w:rsidRDefault="00834A75">
            <w:pPr>
              <w:jc w:val="right"/>
              <w:rPr>
                <w:rFonts w:ascii="宋体"/>
              </w:rPr>
            </w:pPr>
          </w:p>
        </w:tc>
        <w:tc>
          <w:tcPr>
            <w:tcW w:w="0" w:type="auto"/>
            <w:gridSpan w:val="3"/>
            <w:shd w:val="clear" w:color="auto" w:fill="E2EFD9"/>
            <w:tcMar>
              <w:top w:w="0" w:type="dxa"/>
              <w:left w:w="20" w:type="dxa"/>
              <w:bottom w:w="0" w:type="dxa"/>
              <w:right w:w="20" w:type="dxa"/>
            </w:tcMar>
            <w:vAlign w:val="bottom"/>
          </w:tcPr>
          <w:p w14:paraId="7C207C24" w14:textId="77777777" w:rsidR="00834A75" w:rsidRDefault="00834A75">
            <w:pPr>
              <w:rPr>
                <w:rFonts w:ascii="宋体"/>
              </w:rPr>
            </w:pPr>
          </w:p>
        </w:tc>
        <w:tc>
          <w:tcPr>
            <w:tcW w:w="0" w:type="auto"/>
            <w:gridSpan w:val="2"/>
            <w:shd w:val="clear" w:color="auto" w:fill="E2EFD9"/>
            <w:tcMar>
              <w:top w:w="40" w:type="dxa"/>
              <w:left w:w="20" w:type="dxa"/>
              <w:bottom w:w="40" w:type="dxa"/>
              <w:right w:w="0" w:type="dxa"/>
            </w:tcMar>
            <w:vAlign w:val="bottom"/>
          </w:tcPr>
          <w:p w14:paraId="7C207C25" w14:textId="77777777" w:rsidR="00834A75" w:rsidRDefault="00A6708C">
            <w:pPr>
              <w:jc w:val="right"/>
              <w:textAlignment w:val="bottom"/>
            </w:pPr>
            <w:r>
              <w:rPr>
                <w:rFonts w:ascii="sans-serif" w:eastAsia="sans-serif" w:hAnsi="sans-serif" w:cs="sans-serif"/>
                <w:color w:val="000000"/>
                <w:sz w:val="15"/>
                <w:szCs w:val="15"/>
              </w:rPr>
              <w:t>(538)</w:t>
            </w:r>
          </w:p>
        </w:tc>
        <w:tc>
          <w:tcPr>
            <w:tcW w:w="0" w:type="auto"/>
            <w:shd w:val="clear" w:color="auto" w:fill="E2EFD9"/>
            <w:tcMar>
              <w:top w:w="40" w:type="dxa"/>
              <w:left w:w="0" w:type="dxa"/>
              <w:bottom w:w="40" w:type="dxa"/>
              <w:right w:w="20" w:type="dxa"/>
            </w:tcMar>
            <w:vAlign w:val="bottom"/>
          </w:tcPr>
          <w:p w14:paraId="7C207C26" w14:textId="77777777" w:rsidR="00834A75" w:rsidRDefault="00834A75">
            <w:pPr>
              <w:jc w:val="right"/>
              <w:rPr>
                <w:rFonts w:ascii="宋体"/>
              </w:rPr>
            </w:pPr>
          </w:p>
        </w:tc>
      </w:tr>
      <w:tr w:rsidR="00834A75" w14:paraId="7C207C3D" w14:textId="77777777">
        <w:trPr>
          <w:jc w:val="center"/>
        </w:trPr>
        <w:tc>
          <w:tcPr>
            <w:tcW w:w="0" w:type="auto"/>
            <w:gridSpan w:val="3"/>
            <w:shd w:val="clear" w:color="auto" w:fill="FFFFFF"/>
            <w:tcMar>
              <w:top w:w="40" w:type="dxa"/>
              <w:left w:w="20" w:type="dxa"/>
              <w:bottom w:w="40" w:type="dxa"/>
              <w:right w:w="20" w:type="dxa"/>
            </w:tcMar>
            <w:vAlign w:val="bottom"/>
          </w:tcPr>
          <w:p w14:paraId="7C207C28" w14:textId="77777777" w:rsidR="00834A75" w:rsidRDefault="00A6708C">
            <w:pPr>
              <w:textAlignment w:val="bottom"/>
            </w:pPr>
            <w:r>
              <w:rPr>
                <w:rFonts w:ascii="sans-serif" w:eastAsia="sans-serif" w:hAnsi="sans-serif" w:cs="sans-serif"/>
                <w:color w:val="000000"/>
                <w:sz w:val="15"/>
                <w:szCs w:val="15"/>
              </w:rPr>
              <w:t>Share repurchase</w:t>
            </w:r>
          </w:p>
        </w:tc>
        <w:tc>
          <w:tcPr>
            <w:tcW w:w="0" w:type="auto"/>
            <w:gridSpan w:val="2"/>
            <w:shd w:val="clear" w:color="auto" w:fill="FFFFFF"/>
            <w:tcMar>
              <w:top w:w="40" w:type="dxa"/>
              <w:left w:w="20" w:type="dxa"/>
              <w:bottom w:w="40" w:type="dxa"/>
              <w:right w:w="0" w:type="dxa"/>
            </w:tcMar>
            <w:vAlign w:val="bottom"/>
          </w:tcPr>
          <w:p w14:paraId="7C207C29" w14:textId="77777777" w:rsidR="00834A75" w:rsidRDefault="00A6708C">
            <w:pPr>
              <w:jc w:val="right"/>
              <w:textAlignment w:val="bottom"/>
            </w:pPr>
            <w:r>
              <w:rPr>
                <w:rFonts w:ascii="sans-serif" w:eastAsia="sans-serif" w:hAnsi="sans-serif" w:cs="sans-serif"/>
                <w:color w:val="000000"/>
                <w:sz w:val="15"/>
                <w:szCs w:val="15"/>
              </w:rPr>
              <w:t>(9)</w:t>
            </w:r>
          </w:p>
        </w:tc>
        <w:tc>
          <w:tcPr>
            <w:tcW w:w="0" w:type="auto"/>
            <w:shd w:val="clear" w:color="auto" w:fill="FFFFFF"/>
            <w:tcMar>
              <w:top w:w="40" w:type="dxa"/>
              <w:left w:w="0" w:type="dxa"/>
              <w:bottom w:w="40" w:type="dxa"/>
              <w:right w:w="20" w:type="dxa"/>
            </w:tcMar>
            <w:vAlign w:val="bottom"/>
          </w:tcPr>
          <w:p w14:paraId="7C207C2A" w14:textId="77777777" w:rsidR="00834A75" w:rsidRDefault="00834A75">
            <w:pPr>
              <w:jc w:val="right"/>
              <w:rPr>
                <w:rFonts w:ascii="宋体"/>
              </w:rPr>
            </w:pPr>
          </w:p>
        </w:tc>
        <w:tc>
          <w:tcPr>
            <w:tcW w:w="0" w:type="auto"/>
            <w:gridSpan w:val="3"/>
            <w:shd w:val="clear" w:color="auto" w:fill="FFFFFF"/>
            <w:tcMar>
              <w:top w:w="0" w:type="dxa"/>
              <w:left w:w="20" w:type="dxa"/>
              <w:bottom w:w="0" w:type="dxa"/>
              <w:right w:w="20" w:type="dxa"/>
            </w:tcMar>
            <w:vAlign w:val="bottom"/>
          </w:tcPr>
          <w:p w14:paraId="7C207C2B" w14:textId="77777777" w:rsidR="00834A75" w:rsidRDefault="00834A75">
            <w:pPr>
              <w:rPr>
                <w:rFonts w:ascii="宋体"/>
              </w:rPr>
            </w:pPr>
          </w:p>
        </w:tc>
        <w:tc>
          <w:tcPr>
            <w:tcW w:w="0" w:type="auto"/>
            <w:gridSpan w:val="2"/>
            <w:shd w:val="clear" w:color="auto" w:fill="FFFFFF"/>
            <w:tcMar>
              <w:top w:w="40" w:type="dxa"/>
              <w:left w:w="20" w:type="dxa"/>
              <w:bottom w:w="40" w:type="dxa"/>
              <w:right w:w="0" w:type="dxa"/>
            </w:tcMar>
            <w:vAlign w:val="bottom"/>
          </w:tcPr>
          <w:p w14:paraId="7C207C2C" w14:textId="77777777" w:rsidR="00834A75" w:rsidRDefault="00A6708C">
            <w:pPr>
              <w:jc w:val="right"/>
              <w:textAlignment w:val="bottom"/>
            </w:pPr>
            <w:r>
              <w:rPr>
                <w:rFonts w:ascii="sans-serif" w:eastAsia="sans-serif" w:hAnsi="sans-serif" w:cs="sans-serif"/>
                <w:color w:val="000000"/>
                <w:sz w:val="15"/>
                <w:szCs w:val="15"/>
              </w:rPr>
              <w:t>— </w:t>
            </w:r>
          </w:p>
        </w:tc>
        <w:tc>
          <w:tcPr>
            <w:tcW w:w="0" w:type="auto"/>
            <w:shd w:val="clear" w:color="auto" w:fill="FFFFFF"/>
            <w:tcMar>
              <w:top w:w="40" w:type="dxa"/>
              <w:left w:w="0" w:type="dxa"/>
              <w:bottom w:w="40" w:type="dxa"/>
              <w:right w:w="20" w:type="dxa"/>
            </w:tcMar>
            <w:vAlign w:val="bottom"/>
          </w:tcPr>
          <w:p w14:paraId="7C207C2D" w14:textId="77777777" w:rsidR="00834A75" w:rsidRDefault="00834A75">
            <w:pPr>
              <w:jc w:val="right"/>
              <w:rPr>
                <w:rFonts w:ascii="宋体"/>
              </w:rPr>
            </w:pPr>
          </w:p>
        </w:tc>
        <w:tc>
          <w:tcPr>
            <w:tcW w:w="0" w:type="auto"/>
            <w:gridSpan w:val="3"/>
            <w:shd w:val="clear" w:color="auto" w:fill="FFFFFF"/>
            <w:tcMar>
              <w:top w:w="0" w:type="dxa"/>
              <w:left w:w="20" w:type="dxa"/>
              <w:bottom w:w="0" w:type="dxa"/>
              <w:right w:w="20" w:type="dxa"/>
            </w:tcMar>
            <w:vAlign w:val="bottom"/>
          </w:tcPr>
          <w:p w14:paraId="7C207C2E" w14:textId="77777777" w:rsidR="00834A75" w:rsidRDefault="00834A75">
            <w:pPr>
              <w:rPr>
                <w:rFonts w:ascii="宋体"/>
              </w:rPr>
            </w:pPr>
          </w:p>
        </w:tc>
        <w:tc>
          <w:tcPr>
            <w:tcW w:w="0" w:type="auto"/>
            <w:gridSpan w:val="2"/>
            <w:shd w:val="clear" w:color="auto" w:fill="FFFFFF"/>
            <w:tcMar>
              <w:top w:w="40" w:type="dxa"/>
              <w:left w:w="20" w:type="dxa"/>
              <w:bottom w:w="40" w:type="dxa"/>
              <w:right w:w="0" w:type="dxa"/>
            </w:tcMar>
            <w:vAlign w:val="bottom"/>
          </w:tcPr>
          <w:p w14:paraId="7C207C2F" w14:textId="77777777" w:rsidR="00834A75" w:rsidRDefault="00A6708C">
            <w:pPr>
              <w:jc w:val="right"/>
              <w:textAlignment w:val="bottom"/>
            </w:pPr>
            <w:r>
              <w:rPr>
                <w:rFonts w:ascii="sans-serif" w:eastAsia="sans-serif" w:hAnsi="sans-serif" w:cs="sans-serif"/>
                <w:color w:val="000000"/>
                <w:sz w:val="15"/>
                <w:szCs w:val="15"/>
              </w:rPr>
              <w:t>(1)</w:t>
            </w:r>
          </w:p>
        </w:tc>
        <w:tc>
          <w:tcPr>
            <w:tcW w:w="0" w:type="auto"/>
            <w:shd w:val="clear" w:color="auto" w:fill="FFFFFF"/>
            <w:tcMar>
              <w:top w:w="40" w:type="dxa"/>
              <w:left w:w="0" w:type="dxa"/>
              <w:bottom w:w="40" w:type="dxa"/>
              <w:right w:w="20" w:type="dxa"/>
            </w:tcMar>
            <w:vAlign w:val="bottom"/>
          </w:tcPr>
          <w:p w14:paraId="7C207C30" w14:textId="77777777" w:rsidR="00834A75" w:rsidRDefault="00834A75">
            <w:pPr>
              <w:jc w:val="right"/>
              <w:rPr>
                <w:rFonts w:ascii="宋体"/>
              </w:rPr>
            </w:pPr>
          </w:p>
        </w:tc>
        <w:tc>
          <w:tcPr>
            <w:tcW w:w="0" w:type="auto"/>
            <w:gridSpan w:val="3"/>
            <w:shd w:val="clear" w:color="auto" w:fill="FFFFFF"/>
            <w:tcMar>
              <w:top w:w="0" w:type="dxa"/>
              <w:left w:w="20" w:type="dxa"/>
              <w:bottom w:w="0" w:type="dxa"/>
              <w:right w:w="20" w:type="dxa"/>
            </w:tcMar>
            <w:vAlign w:val="bottom"/>
          </w:tcPr>
          <w:p w14:paraId="7C207C31" w14:textId="77777777" w:rsidR="00834A75" w:rsidRDefault="00834A75">
            <w:pPr>
              <w:rPr>
                <w:rFonts w:ascii="宋体"/>
              </w:rPr>
            </w:pPr>
          </w:p>
        </w:tc>
        <w:tc>
          <w:tcPr>
            <w:tcW w:w="0" w:type="auto"/>
            <w:gridSpan w:val="2"/>
            <w:shd w:val="clear" w:color="auto" w:fill="FFFFFF"/>
            <w:tcMar>
              <w:top w:w="40" w:type="dxa"/>
              <w:left w:w="20" w:type="dxa"/>
              <w:bottom w:w="40" w:type="dxa"/>
              <w:right w:w="0" w:type="dxa"/>
            </w:tcMar>
            <w:vAlign w:val="bottom"/>
          </w:tcPr>
          <w:p w14:paraId="7C207C32" w14:textId="77777777" w:rsidR="00834A75" w:rsidRDefault="00A6708C">
            <w:pPr>
              <w:jc w:val="right"/>
              <w:textAlignment w:val="bottom"/>
            </w:pPr>
            <w:r>
              <w:rPr>
                <w:rFonts w:ascii="sans-serif" w:eastAsia="sans-serif" w:hAnsi="sans-serif" w:cs="sans-serif"/>
                <w:color w:val="000000"/>
                <w:sz w:val="15"/>
                <w:szCs w:val="15"/>
              </w:rPr>
              <w:t>— </w:t>
            </w:r>
          </w:p>
        </w:tc>
        <w:tc>
          <w:tcPr>
            <w:tcW w:w="0" w:type="auto"/>
            <w:shd w:val="clear" w:color="auto" w:fill="FFFFFF"/>
            <w:tcMar>
              <w:top w:w="40" w:type="dxa"/>
              <w:left w:w="0" w:type="dxa"/>
              <w:bottom w:w="40" w:type="dxa"/>
              <w:right w:w="20" w:type="dxa"/>
            </w:tcMar>
            <w:vAlign w:val="bottom"/>
          </w:tcPr>
          <w:p w14:paraId="7C207C33" w14:textId="77777777" w:rsidR="00834A75" w:rsidRDefault="00834A75">
            <w:pPr>
              <w:jc w:val="right"/>
              <w:rPr>
                <w:rFonts w:ascii="宋体"/>
              </w:rPr>
            </w:pPr>
          </w:p>
        </w:tc>
        <w:tc>
          <w:tcPr>
            <w:tcW w:w="0" w:type="auto"/>
            <w:gridSpan w:val="3"/>
            <w:shd w:val="clear" w:color="auto" w:fill="FFFFFF"/>
            <w:tcMar>
              <w:top w:w="0" w:type="dxa"/>
              <w:left w:w="20" w:type="dxa"/>
              <w:bottom w:w="0" w:type="dxa"/>
              <w:right w:w="20" w:type="dxa"/>
            </w:tcMar>
            <w:vAlign w:val="bottom"/>
          </w:tcPr>
          <w:p w14:paraId="7C207C34" w14:textId="77777777" w:rsidR="00834A75" w:rsidRDefault="00834A75">
            <w:pPr>
              <w:rPr>
                <w:rFonts w:ascii="宋体"/>
              </w:rPr>
            </w:pPr>
          </w:p>
        </w:tc>
        <w:tc>
          <w:tcPr>
            <w:tcW w:w="0" w:type="auto"/>
            <w:gridSpan w:val="2"/>
            <w:shd w:val="clear" w:color="auto" w:fill="FFFFFF"/>
            <w:tcMar>
              <w:top w:w="40" w:type="dxa"/>
              <w:left w:w="20" w:type="dxa"/>
              <w:bottom w:w="40" w:type="dxa"/>
              <w:right w:w="0" w:type="dxa"/>
            </w:tcMar>
            <w:vAlign w:val="bottom"/>
          </w:tcPr>
          <w:p w14:paraId="7C207C35" w14:textId="77777777" w:rsidR="00834A75" w:rsidRDefault="00A6708C">
            <w:pPr>
              <w:jc w:val="right"/>
              <w:textAlignment w:val="bottom"/>
            </w:pPr>
            <w:r>
              <w:rPr>
                <w:rFonts w:ascii="sans-serif" w:eastAsia="sans-serif" w:hAnsi="sans-serif" w:cs="sans-serif"/>
                <w:color w:val="000000"/>
                <w:sz w:val="15"/>
                <w:szCs w:val="15"/>
              </w:rPr>
              <w:t>— </w:t>
            </w:r>
          </w:p>
        </w:tc>
        <w:tc>
          <w:tcPr>
            <w:tcW w:w="0" w:type="auto"/>
            <w:shd w:val="clear" w:color="auto" w:fill="FFFFFF"/>
            <w:tcMar>
              <w:top w:w="40" w:type="dxa"/>
              <w:left w:w="0" w:type="dxa"/>
              <w:bottom w:w="40" w:type="dxa"/>
              <w:right w:w="20" w:type="dxa"/>
            </w:tcMar>
            <w:vAlign w:val="bottom"/>
          </w:tcPr>
          <w:p w14:paraId="7C207C36" w14:textId="77777777" w:rsidR="00834A75" w:rsidRDefault="00834A75">
            <w:pPr>
              <w:jc w:val="right"/>
              <w:rPr>
                <w:rFonts w:ascii="宋体"/>
              </w:rPr>
            </w:pPr>
          </w:p>
        </w:tc>
        <w:tc>
          <w:tcPr>
            <w:tcW w:w="0" w:type="auto"/>
            <w:gridSpan w:val="3"/>
            <w:shd w:val="clear" w:color="auto" w:fill="FFFFFF"/>
            <w:tcMar>
              <w:top w:w="0" w:type="dxa"/>
              <w:left w:w="20" w:type="dxa"/>
              <w:bottom w:w="0" w:type="dxa"/>
              <w:right w:w="20" w:type="dxa"/>
            </w:tcMar>
            <w:vAlign w:val="bottom"/>
          </w:tcPr>
          <w:p w14:paraId="7C207C37" w14:textId="77777777" w:rsidR="00834A75" w:rsidRDefault="00834A75">
            <w:pPr>
              <w:rPr>
                <w:rFonts w:ascii="宋体"/>
              </w:rPr>
            </w:pPr>
          </w:p>
        </w:tc>
        <w:tc>
          <w:tcPr>
            <w:tcW w:w="0" w:type="auto"/>
            <w:gridSpan w:val="2"/>
            <w:shd w:val="clear" w:color="auto" w:fill="FFFFFF"/>
            <w:tcMar>
              <w:top w:w="40" w:type="dxa"/>
              <w:left w:w="20" w:type="dxa"/>
              <w:bottom w:w="40" w:type="dxa"/>
              <w:right w:w="0" w:type="dxa"/>
            </w:tcMar>
            <w:vAlign w:val="bottom"/>
          </w:tcPr>
          <w:p w14:paraId="7C207C38" w14:textId="77777777" w:rsidR="00834A75" w:rsidRDefault="00A6708C">
            <w:pPr>
              <w:jc w:val="right"/>
              <w:textAlignment w:val="bottom"/>
            </w:pPr>
            <w:r>
              <w:rPr>
                <w:rFonts w:ascii="sans-serif" w:eastAsia="sans-serif" w:hAnsi="sans-serif" w:cs="sans-serif"/>
                <w:color w:val="000000"/>
                <w:sz w:val="15"/>
                <w:szCs w:val="15"/>
              </w:rPr>
              <w:t>(1,995)</w:t>
            </w:r>
          </w:p>
        </w:tc>
        <w:tc>
          <w:tcPr>
            <w:tcW w:w="0" w:type="auto"/>
            <w:shd w:val="clear" w:color="auto" w:fill="FFFFFF"/>
            <w:tcMar>
              <w:top w:w="40" w:type="dxa"/>
              <w:left w:w="0" w:type="dxa"/>
              <w:bottom w:w="40" w:type="dxa"/>
              <w:right w:w="20" w:type="dxa"/>
            </w:tcMar>
            <w:vAlign w:val="bottom"/>
          </w:tcPr>
          <w:p w14:paraId="7C207C39" w14:textId="77777777" w:rsidR="00834A75" w:rsidRDefault="00834A75">
            <w:pPr>
              <w:jc w:val="right"/>
              <w:rPr>
                <w:rFonts w:ascii="宋体"/>
              </w:rPr>
            </w:pPr>
          </w:p>
        </w:tc>
        <w:tc>
          <w:tcPr>
            <w:tcW w:w="0" w:type="auto"/>
            <w:gridSpan w:val="3"/>
            <w:shd w:val="clear" w:color="auto" w:fill="FFFFFF"/>
            <w:tcMar>
              <w:top w:w="0" w:type="dxa"/>
              <w:left w:w="20" w:type="dxa"/>
              <w:bottom w:w="0" w:type="dxa"/>
              <w:right w:w="20" w:type="dxa"/>
            </w:tcMar>
            <w:vAlign w:val="bottom"/>
          </w:tcPr>
          <w:p w14:paraId="7C207C3A" w14:textId="77777777" w:rsidR="00834A75" w:rsidRDefault="00834A75">
            <w:pPr>
              <w:rPr>
                <w:rFonts w:ascii="宋体"/>
              </w:rPr>
            </w:pPr>
          </w:p>
        </w:tc>
        <w:tc>
          <w:tcPr>
            <w:tcW w:w="0" w:type="auto"/>
            <w:gridSpan w:val="2"/>
            <w:shd w:val="clear" w:color="auto" w:fill="FFFFFF"/>
            <w:tcMar>
              <w:top w:w="40" w:type="dxa"/>
              <w:left w:w="20" w:type="dxa"/>
              <w:bottom w:w="40" w:type="dxa"/>
              <w:right w:w="0" w:type="dxa"/>
            </w:tcMar>
            <w:vAlign w:val="bottom"/>
          </w:tcPr>
          <w:p w14:paraId="7C207C3B" w14:textId="77777777" w:rsidR="00834A75" w:rsidRDefault="00A6708C">
            <w:pPr>
              <w:jc w:val="right"/>
              <w:textAlignment w:val="bottom"/>
            </w:pPr>
            <w:r>
              <w:rPr>
                <w:rFonts w:ascii="sans-serif" w:eastAsia="sans-serif" w:hAnsi="sans-serif" w:cs="sans-serif"/>
                <w:color w:val="000000"/>
                <w:sz w:val="15"/>
                <w:szCs w:val="15"/>
              </w:rPr>
              <w:t>(1,996)</w:t>
            </w:r>
          </w:p>
        </w:tc>
        <w:tc>
          <w:tcPr>
            <w:tcW w:w="0" w:type="auto"/>
            <w:shd w:val="clear" w:color="auto" w:fill="FFFFFF"/>
            <w:tcMar>
              <w:top w:w="40" w:type="dxa"/>
              <w:left w:w="0" w:type="dxa"/>
              <w:bottom w:w="40" w:type="dxa"/>
              <w:right w:w="20" w:type="dxa"/>
            </w:tcMar>
            <w:vAlign w:val="bottom"/>
          </w:tcPr>
          <w:p w14:paraId="7C207C3C" w14:textId="77777777" w:rsidR="00834A75" w:rsidRDefault="00834A75">
            <w:pPr>
              <w:jc w:val="right"/>
              <w:rPr>
                <w:rFonts w:ascii="宋体"/>
              </w:rPr>
            </w:pPr>
          </w:p>
        </w:tc>
      </w:tr>
      <w:tr w:rsidR="00834A75" w14:paraId="7C207C53" w14:textId="77777777">
        <w:trPr>
          <w:jc w:val="center"/>
        </w:trPr>
        <w:tc>
          <w:tcPr>
            <w:tcW w:w="0" w:type="auto"/>
            <w:gridSpan w:val="3"/>
            <w:shd w:val="clear" w:color="auto" w:fill="E2EFD9"/>
            <w:tcMar>
              <w:top w:w="40" w:type="dxa"/>
              <w:left w:w="20" w:type="dxa"/>
              <w:bottom w:w="40" w:type="dxa"/>
              <w:right w:w="20" w:type="dxa"/>
            </w:tcMar>
            <w:vAlign w:val="bottom"/>
          </w:tcPr>
          <w:p w14:paraId="7C207C3E" w14:textId="77777777" w:rsidR="00834A75" w:rsidRDefault="00A6708C">
            <w:pPr>
              <w:textAlignment w:val="bottom"/>
            </w:pPr>
            <w:r>
              <w:rPr>
                <w:rFonts w:ascii="sans-serif" w:eastAsia="sans-serif" w:hAnsi="sans-serif" w:cs="sans-serif"/>
                <w:color w:val="000000"/>
                <w:sz w:val="15"/>
                <w:szCs w:val="15"/>
              </w:rPr>
              <w:t>Cash dividends declared and paid (</w:t>
            </w:r>
            <w:r>
              <w:rPr>
                <w:rFonts w:ascii="sans-serif" w:eastAsia="sans-serif" w:hAnsi="sans-serif" w:cs="sans-serif"/>
                <w:color w:val="000000"/>
                <w:sz w:val="15"/>
                <w:szCs w:val="15"/>
              </w:rPr>
              <w:t>$0.04 per common share)</w:t>
            </w:r>
          </w:p>
        </w:tc>
        <w:tc>
          <w:tcPr>
            <w:tcW w:w="0" w:type="auto"/>
            <w:gridSpan w:val="2"/>
            <w:shd w:val="clear" w:color="auto" w:fill="E2EFD9"/>
            <w:tcMar>
              <w:top w:w="40" w:type="dxa"/>
              <w:left w:w="20" w:type="dxa"/>
              <w:bottom w:w="40" w:type="dxa"/>
              <w:right w:w="0" w:type="dxa"/>
            </w:tcMar>
            <w:vAlign w:val="bottom"/>
          </w:tcPr>
          <w:p w14:paraId="7C207C3F" w14:textId="77777777" w:rsidR="00834A75" w:rsidRDefault="00A6708C">
            <w:pPr>
              <w:jc w:val="right"/>
              <w:textAlignment w:val="bottom"/>
            </w:pPr>
            <w:r>
              <w:rPr>
                <w:rFonts w:ascii="sans-serif" w:eastAsia="sans-serif" w:hAnsi="sans-serif" w:cs="sans-serif"/>
                <w:color w:val="000000"/>
                <w:sz w:val="15"/>
                <w:szCs w:val="15"/>
              </w:rPr>
              <w:t>— </w:t>
            </w:r>
          </w:p>
        </w:tc>
        <w:tc>
          <w:tcPr>
            <w:tcW w:w="0" w:type="auto"/>
            <w:shd w:val="clear" w:color="auto" w:fill="E2EFD9"/>
            <w:tcMar>
              <w:top w:w="40" w:type="dxa"/>
              <w:left w:w="0" w:type="dxa"/>
              <w:bottom w:w="40" w:type="dxa"/>
              <w:right w:w="20" w:type="dxa"/>
            </w:tcMar>
            <w:vAlign w:val="bottom"/>
          </w:tcPr>
          <w:p w14:paraId="7C207C40" w14:textId="77777777" w:rsidR="00834A75" w:rsidRDefault="00834A75">
            <w:pPr>
              <w:jc w:val="right"/>
              <w:rPr>
                <w:rFonts w:ascii="宋体"/>
              </w:rPr>
            </w:pPr>
          </w:p>
        </w:tc>
        <w:tc>
          <w:tcPr>
            <w:tcW w:w="0" w:type="auto"/>
            <w:gridSpan w:val="3"/>
            <w:shd w:val="clear" w:color="auto" w:fill="E2EFD9"/>
            <w:tcMar>
              <w:top w:w="0" w:type="dxa"/>
              <w:left w:w="20" w:type="dxa"/>
              <w:bottom w:w="0" w:type="dxa"/>
              <w:right w:w="20" w:type="dxa"/>
            </w:tcMar>
            <w:vAlign w:val="bottom"/>
          </w:tcPr>
          <w:p w14:paraId="7C207C41" w14:textId="77777777" w:rsidR="00834A75" w:rsidRDefault="00834A75">
            <w:pPr>
              <w:rPr>
                <w:rFonts w:ascii="宋体"/>
              </w:rPr>
            </w:pPr>
          </w:p>
        </w:tc>
        <w:tc>
          <w:tcPr>
            <w:tcW w:w="0" w:type="auto"/>
            <w:gridSpan w:val="2"/>
            <w:shd w:val="clear" w:color="auto" w:fill="E2EFD9"/>
            <w:tcMar>
              <w:top w:w="40" w:type="dxa"/>
              <w:left w:w="20" w:type="dxa"/>
              <w:bottom w:w="40" w:type="dxa"/>
              <w:right w:w="0" w:type="dxa"/>
            </w:tcMar>
            <w:vAlign w:val="bottom"/>
          </w:tcPr>
          <w:p w14:paraId="7C207C42" w14:textId="77777777" w:rsidR="00834A75" w:rsidRDefault="00A6708C">
            <w:pPr>
              <w:jc w:val="right"/>
              <w:textAlignment w:val="bottom"/>
            </w:pPr>
            <w:r>
              <w:rPr>
                <w:rFonts w:ascii="sans-serif" w:eastAsia="sans-serif" w:hAnsi="sans-serif" w:cs="sans-serif"/>
                <w:color w:val="000000"/>
                <w:sz w:val="15"/>
                <w:szCs w:val="15"/>
              </w:rPr>
              <w:t>— </w:t>
            </w:r>
          </w:p>
        </w:tc>
        <w:tc>
          <w:tcPr>
            <w:tcW w:w="0" w:type="auto"/>
            <w:shd w:val="clear" w:color="auto" w:fill="E2EFD9"/>
            <w:tcMar>
              <w:top w:w="40" w:type="dxa"/>
              <w:left w:w="0" w:type="dxa"/>
              <w:bottom w:w="40" w:type="dxa"/>
              <w:right w:w="20" w:type="dxa"/>
            </w:tcMar>
            <w:vAlign w:val="bottom"/>
          </w:tcPr>
          <w:p w14:paraId="7C207C43" w14:textId="77777777" w:rsidR="00834A75" w:rsidRDefault="00834A75">
            <w:pPr>
              <w:jc w:val="right"/>
              <w:rPr>
                <w:rFonts w:ascii="宋体"/>
              </w:rPr>
            </w:pPr>
          </w:p>
        </w:tc>
        <w:tc>
          <w:tcPr>
            <w:tcW w:w="0" w:type="auto"/>
            <w:gridSpan w:val="3"/>
            <w:shd w:val="clear" w:color="auto" w:fill="E2EFD9"/>
            <w:tcMar>
              <w:top w:w="0" w:type="dxa"/>
              <w:left w:w="20" w:type="dxa"/>
              <w:bottom w:w="0" w:type="dxa"/>
              <w:right w:w="20" w:type="dxa"/>
            </w:tcMar>
            <w:vAlign w:val="bottom"/>
          </w:tcPr>
          <w:p w14:paraId="7C207C44" w14:textId="77777777" w:rsidR="00834A75" w:rsidRDefault="00834A75">
            <w:pPr>
              <w:rPr>
                <w:rFonts w:ascii="宋体"/>
              </w:rPr>
            </w:pPr>
          </w:p>
        </w:tc>
        <w:tc>
          <w:tcPr>
            <w:tcW w:w="0" w:type="auto"/>
            <w:gridSpan w:val="2"/>
            <w:shd w:val="clear" w:color="auto" w:fill="E2EFD9"/>
            <w:tcMar>
              <w:top w:w="40" w:type="dxa"/>
              <w:left w:w="20" w:type="dxa"/>
              <w:bottom w:w="40" w:type="dxa"/>
              <w:right w:w="0" w:type="dxa"/>
            </w:tcMar>
            <w:vAlign w:val="bottom"/>
          </w:tcPr>
          <w:p w14:paraId="7C207C45" w14:textId="77777777" w:rsidR="00834A75" w:rsidRDefault="00A6708C">
            <w:pPr>
              <w:jc w:val="right"/>
              <w:textAlignment w:val="bottom"/>
            </w:pPr>
            <w:r>
              <w:rPr>
                <w:rFonts w:ascii="sans-serif" w:eastAsia="sans-serif" w:hAnsi="sans-serif" w:cs="sans-serif"/>
                <w:color w:val="000000"/>
                <w:sz w:val="15"/>
                <w:szCs w:val="15"/>
              </w:rPr>
              <w:t>— </w:t>
            </w:r>
          </w:p>
        </w:tc>
        <w:tc>
          <w:tcPr>
            <w:tcW w:w="0" w:type="auto"/>
            <w:shd w:val="clear" w:color="auto" w:fill="E2EFD9"/>
            <w:tcMar>
              <w:top w:w="40" w:type="dxa"/>
              <w:left w:w="0" w:type="dxa"/>
              <w:bottom w:w="40" w:type="dxa"/>
              <w:right w:w="20" w:type="dxa"/>
            </w:tcMar>
            <w:vAlign w:val="bottom"/>
          </w:tcPr>
          <w:p w14:paraId="7C207C46" w14:textId="77777777" w:rsidR="00834A75" w:rsidRDefault="00834A75">
            <w:pPr>
              <w:jc w:val="right"/>
              <w:rPr>
                <w:rFonts w:ascii="宋体"/>
              </w:rPr>
            </w:pPr>
          </w:p>
        </w:tc>
        <w:tc>
          <w:tcPr>
            <w:tcW w:w="0" w:type="auto"/>
            <w:gridSpan w:val="3"/>
            <w:shd w:val="clear" w:color="auto" w:fill="E2EFD9"/>
            <w:tcMar>
              <w:top w:w="0" w:type="dxa"/>
              <w:left w:w="20" w:type="dxa"/>
              <w:bottom w:w="0" w:type="dxa"/>
              <w:right w:w="20" w:type="dxa"/>
            </w:tcMar>
            <w:vAlign w:val="bottom"/>
          </w:tcPr>
          <w:p w14:paraId="7C207C47" w14:textId="77777777" w:rsidR="00834A75" w:rsidRDefault="00834A75">
            <w:pPr>
              <w:rPr>
                <w:rFonts w:ascii="宋体"/>
              </w:rPr>
            </w:pPr>
          </w:p>
        </w:tc>
        <w:tc>
          <w:tcPr>
            <w:tcW w:w="0" w:type="auto"/>
            <w:gridSpan w:val="2"/>
            <w:shd w:val="clear" w:color="auto" w:fill="E2EFD9"/>
            <w:tcMar>
              <w:top w:w="40" w:type="dxa"/>
              <w:left w:w="20" w:type="dxa"/>
              <w:bottom w:w="40" w:type="dxa"/>
              <w:right w:w="0" w:type="dxa"/>
            </w:tcMar>
            <w:vAlign w:val="bottom"/>
          </w:tcPr>
          <w:p w14:paraId="7C207C48" w14:textId="77777777" w:rsidR="00834A75" w:rsidRDefault="00A6708C">
            <w:pPr>
              <w:jc w:val="right"/>
              <w:textAlignment w:val="bottom"/>
            </w:pPr>
            <w:r>
              <w:rPr>
                <w:rFonts w:ascii="sans-serif" w:eastAsia="sans-serif" w:hAnsi="sans-serif" w:cs="sans-serif"/>
                <w:color w:val="000000"/>
                <w:sz w:val="15"/>
                <w:szCs w:val="15"/>
              </w:rPr>
              <w:t>— </w:t>
            </w:r>
          </w:p>
        </w:tc>
        <w:tc>
          <w:tcPr>
            <w:tcW w:w="0" w:type="auto"/>
            <w:shd w:val="clear" w:color="auto" w:fill="E2EFD9"/>
            <w:tcMar>
              <w:top w:w="40" w:type="dxa"/>
              <w:left w:w="0" w:type="dxa"/>
              <w:bottom w:w="40" w:type="dxa"/>
              <w:right w:w="20" w:type="dxa"/>
            </w:tcMar>
            <w:vAlign w:val="bottom"/>
          </w:tcPr>
          <w:p w14:paraId="7C207C49" w14:textId="77777777" w:rsidR="00834A75" w:rsidRDefault="00834A75">
            <w:pPr>
              <w:jc w:val="right"/>
              <w:rPr>
                <w:rFonts w:ascii="宋体"/>
              </w:rPr>
            </w:pPr>
          </w:p>
        </w:tc>
        <w:tc>
          <w:tcPr>
            <w:tcW w:w="0" w:type="auto"/>
            <w:gridSpan w:val="3"/>
            <w:shd w:val="clear" w:color="auto" w:fill="E2EFD9"/>
            <w:tcMar>
              <w:top w:w="0" w:type="dxa"/>
              <w:left w:w="20" w:type="dxa"/>
              <w:bottom w:w="0" w:type="dxa"/>
              <w:right w:w="20" w:type="dxa"/>
            </w:tcMar>
            <w:vAlign w:val="bottom"/>
          </w:tcPr>
          <w:p w14:paraId="7C207C4A" w14:textId="77777777" w:rsidR="00834A75" w:rsidRDefault="00834A75">
            <w:pPr>
              <w:rPr>
                <w:rFonts w:ascii="宋体"/>
              </w:rPr>
            </w:pPr>
          </w:p>
        </w:tc>
        <w:tc>
          <w:tcPr>
            <w:tcW w:w="0" w:type="auto"/>
            <w:gridSpan w:val="2"/>
            <w:shd w:val="clear" w:color="auto" w:fill="E2EFD9"/>
            <w:tcMar>
              <w:top w:w="40" w:type="dxa"/>
              <w:left w:w="20" w:type="dxa"/>
              <w:bottom w:w="40" w:type="dxa"/>
              <w:right w:w="0" w:type="dxa"/>
            </w:tcMar>
            <w:vAlign w:val="bottom"/>
          </w:tcPr>
          <w:p w14:paraId="7C207C4B" w14:textId="77777777" w:rsidR="00834A75" w:rsidRDefault="00A6708C">
            <w:pPr>
              <w:jc w:val="right"/>
              <w:textAlignment w:val="bottom"/>
            </w:pPr>
            <w:r>
              <w:rPr>
                <w:rFonts w:ascii="sans-serif" w:eastAsia="sans-serif" w:hAnsi="sans-serif" w:cs="sans-serif"/>
                <w:color w:val="000000"/>
                <w:sz w:val="15"/>
                <w:szCs w:val="15"/>
              </w:rPr>
              <w:t>— </w:t>
            </w:r>
          </w:p>
        </w:tc>
        <w:tc>
          <w:tcPr>
            <w:tcW w:w="0" w:type="auto"/>
            <w:shd w:val="clear" w:color="auto" w:fill="E2EFD9"/>
            <w:tcMar>
              <w:top w:w="40" w:type="dxa"/>
              <w:left w:w="0" w:type="dxa"/>
              <w:bottom w:w="40" w:type="dxa"/>
              <w:right w:w="20" w:type="dxa"/>
            </w:tcMar>
            <w:vAlign w:val="bottom"/>
          </w:tcPr>
          <w:p w14:paraId="7C207C4C" w14:textId="77777777" w:rsidR="00834A75" w:rsidRDefault="00834A75">
            <w:pPr>
              <w:jc w:val="right"/>
              <w:rPr>
                <w:rFonts w:ascii="宋体"/>
              </w:rPr>
            </w:pPr>
          </w:p>
        </w:tc>
        <w:tc>
          <w:tcPr>
            <w:tcW w:w="0" w:type="auto"/>
            <w:gridSpan w:val="3"/>
            <w:shd w:val="clear" w:color="auto" w:fill="E2EFD9"/>
            <w:tcMar>
              <w:top w:w="0" w:type="dxa"/>
              <w:left w:w="20" w:type="dxa"/>
              <w:bottom w:w="0" w:type="dxa"/>
              <w:right w:w="20" w:type="dxa"/>
            </w:tcMar>
            <w:vAlign w:val="bottom"/>
          </w:tcPr>
          <w:p w14:paraId="7C207C4D" w14:textId="77777777" w:rsidR="00834A75" w:rsidRDefault="00834A75">
            <w:pPr>
              <w:rPr>
                <w:rFonts w:ascii="宋体"/>
              </w:rPr>
            </w:pPr>
          </w:p>
        </w:tc>
        <w:tc>
          <w:tcPr>
            <w:tcW w:w="0" w:type="auto"/>
            <w:gridSpan w:val="2"/>
            <w:shd w:val="clear" w:color="auto" w:fill="E2EFD9"/>
            <w:tcMar>
              <w:top w:w="40" w:type="dxa"/>
              <w:left w:w="20" w:type="dxa"/>
              <w:bottom w:w="40" w:type="dxa"/>
              <w:right w:w="0" w:type="dxa"/>
            </w:tcMar>
            <w:vAlign w:val="bottom"/>
          </w:tcPr>
          <w:p w14:paraId="7C207C4E" w14:textId="77777777" w:rsidR="00834A75" w:rsidRDefault="00A6708C">
            <w:pPr>
              <w:jc w:val="right"/>
              <w:textAlignment w:val="bottom"/>
            </w:pPr>
            <w:r>
              <w:rPr>
                <w:rFonts w:ascii="sans-serif" w:eastAsia="sans-serif" w:hAnsi="sans-serif" w:cs="sans-serif"/>
                <w:color w:val="000000"/>
                <w:sz w:val="15"/>
                <w:szCs w:val="15"/>
              </w:rPr>
              <w:t>(100)</w:t>
            </w:r>
          </w:p>
        </w:tc>
        <w:tc>
          <w:tcPr>
            <w:tcW w:w="0" w:type="auto"/>
            <w:shd w:val="clear" w:color="auto" w:fill="E2EFD9"/>
            <w:tcMar>
              <w:top w:w="40" w:type="dxa"/>
              <w:left w:w="0" w:type="dxa"/>
              <w:bottom w:w="40" w:type="dxa"/>
              <w:right w:w="20" w:type="dxa"/>
            </w:tcMar>
            <w:vAlign w:val="bottom"/>
          </w:tcPr>
          <w:p w14:paraId="7C207C4F" w14:textId="77777777" w:rsidR="00834A75" w:rsidRDefault="00834A75">
            <w:pPr>
              <w:jc w:val="right"/>
              <w:rPr>
                <w:rFonts w:ascii="宋体"/>
              </w:rPr>
            </w:pPr>
          </w:p>
        </w:tc>
        <w:tc>
          <w:tcPr>
            <w:tcW w:w="0" w:type="auto"/>
            <w:gridSpan w:val="3"/>
            <w:shd w:val="clear" w:color="auto" w:fill="E2EFD9"/>
            <w:tcMar>
              <w:top w:w="0" w:type="dxa"/>
              <w:left w:w="20" w:type="dxa"/>
              <w:bottom w:w="0" w:type="dxa"/>
              <w:right w:w="20" w:type="dxa"/>
            </w:tcMar>
            <w:vAlign w:val="bottom"/>
          </w:tcPr>
          <w:p w14:paraId="7C207C50" w14:textId="77777777" w:rsidR="00834A75" w:rsidRDefault="00834A75">
            <w:pPr>
              <w:rPr>
                <w:rFonts w:ascii="宋体"/>
              </w:rPr>
            </w:pPr>
          </w:p>
        </w:tc>
        <w:tc>
          <w:tcPr>
            <w:tcW w:w="0" w:type="auto"/>
            <w:gridSpan w:val="2"/>
            <w:shd w:val="clear" w:color="auto" w:fill="E2EFD9"/>
            <w:tcMar>
              <w:top w:w="40" w:type="dxa"/>
              <w:left w:w="20" w:type="dxa"/>
              <w:bottom w:w="40" w:type="dxa"/>
              <w:right w:w="0" w:type="dxa"/>
            </w:tcMar>
            <w:vAlign w:val="bottom"/>
          </w:tcPr>
          <w:p w14:paraId="7C207C51" w14:textId="77777777" w:rsidR="00834A75" w:rsidRDefault="00A6708C">
            <w:pPr>
              <w:jc w:val="right"/>
              <w:textAlignment w:val="bottom"/>
            </w:pPr>
            <w:r>
              <w:rPr>
                <w:rFonts w:ascii="sans-serif" w:eastAsia="sans-serif" w:hAnsi="sans-serif" w:cs="sans-serif"/>
                <w:color w:val="000000"/>
                <w:sz w:val="15"/>
                <w:szCs w:val="15"/>
              </w:rPr>
              <w:t>(100)</w:t>
            </w:r>
          </w:p>
        </w:tc>
        <w:tc>
          <w:tcPr>
            <w:tcW w:w="0" w:type="auto"/>
            <w:shd w:val="clear" w:color="auto" w:fill="E2EFD9"/>
            <w:tcMar>
              <w:top w:w="40" w:type="dxa"/>
              <w:left w:w="0" w:type="dxa"/>
              <w:bottom w:w="40" w:type="dxa"/>
              <w:right w:w="20" w:type="dxa"/>
            </w:tcMar>
            <w:vAlign w:val="bottom"/>
          </w:tcPr>
          <w:p w14:paraId="7C207C52" w14:textId="77777777" w:rsidR="00834A75" w:rsidRDefault="00834A75">
            <w:pPr>
              <w:jc w:val="right"/>
              <w:rPr>
                <w:rFonts w:ascii="宋体"/>
              </w:rPr>
            </w:pPr>
          </w:p>
        </w:tc>
      </w:tr>
      <w:tr w:rsidR="00834A75" w14:paraId="7C207C62" w14:textId="77777777">
        <w:trPr>
          <w:jc w:val="center"/>
          <w:hidden/>
        </w:trPr>
        <w:tc>
          <w:tcPr>
            <w:tcW w:w="0" w:type="auto"/>
            <w:gridSpan w:val="3"/>
            <w:shd w:val="clear" w:color="auto" w:fill="auto"/>
            <w:vAlign w:val="bottom"/>
          </w:tcPr>
          <w:p w14:paraId="7C207C54" w14:textId="77777777" w:rsidR="00834A75" w:rsidRDefault="00834A75">
            <w:pPr>
              <w:rPr>
                <w:rFonts w:ascii="宋体"/>
                <w:vanish/>
              </w:rPr>
            </w:pPr>
          </w:p>
        </w:tc>
        <w:tc>
          <w:tcPr>
            <w:tcW w:w="0" w:type="auto"/>
            <w:gridSpan w:val="3"/>
            <w:shd w:val="clear" w:color="auto" w:fill="auto"/>
            <w:vAlign w:val="bottom"/>
          </w:tcPr>
          <w:p w14:paraId="7C207C55" w14:textId="77777777" w:rsidR="00834A75" w:rsidRDefault="00834A75">
            <w:pPr>
              <w:rPr>
                <w:rFonts w:ascii="宋体"/>
                <w:vanish/>
              </w:rPr>
            </w:pPr>
          </w:p>
        </w:tc>
        <w:tc>
          <w:tcPr>
            <w:tcW w:w="0" w:type="auto"/>
            <w:gridSpan w:val="3"/>
            <w:shd w:val="clear" w:color="auto" w:fill="auto"/>
            <w:vAlign w:val="bottom"/>
          </w:tcPr>
          <w:p w14:paraId="7C207C56" w14:textId="77777777" w:rsidR="00834A75" w:rsidRDefault="00834A75">
            <w:pPr>
              <w:rPr>
                <w:rFonts w:ascii="宋体"/>
                <w:vanish/>
              </w:rPr>
            </w:pPr>
          </w:p>
        </w:tc>
        <w:tc>
          <w:tcPr>
            <w:tcW w:w="0" w:type="auto"/>
            <w:gridSpan w:val="3"/>
            <w:shd w:val="clear" w:color="auto" w:fill="auto"/>
            <w:vAlign w:val="bottom"/>
          </w:tcPr>
          <w:p w14:paraId="7C207C57" w14:textId="77777777" w:rsidR="00834A75" w:rsidRDefault="00834A75">
            <w:pPr>
              <w:rPr>
                <w:rFonts w:ascii="宋体"/>
                <w:vanish/>
              </w:rPr>
            </w:pPr>
          </w:p>
        </w:tc>
        <w:tc>
          <w:tcPr>
            <w:tcW w:w="0" w:type="auto"/>
            <w:gridSpan w:val="3"/>
            <w:shd w:val="clear" w:color="auto" w:fill="auto"/>
            <w:vAlign w:val="bottom"/>
          </w:tcPr>
          <w:p w14:paraId="7C207C58" w14:textId="77777777" w:rsidR="00834A75" w:rsidRDefault="00834A75">
            <w:pPr>
              <w:rPr>
                <w:rFonts w:ascii="宋体"/>
                <w:vanish/>
              </w:rPr>
            </w:pPr>
          </w:p>
        </w:tc>
        <w:tc>
          <w:tcPr>
            <w:tcW w:w="0" w:type="auto"/>
            <w:gridSpan w:val="3"/>
            <w:shd w:val="clear" w:color="auto" w:fill="auto"/>
            <w:vAlign w:val="bottom"/>
          </w:tcPr>
          <w:p w14:paraId="7C207C59" w14:textId="77777777" w:rsidR="00834A75" w:rsidRDefault="00834A75">
            <w:pPr>
              <w:rPr>
                <w:rFonts w:ascii="宋体"/>
                <w:vanish/>
              </w:rPr>
            </w:pPr>
          </w:p>
        </w:tc>
        <w:tc>
          <w:tcPr>
            <w:tcW w:w="0" w:type="auto"/>
            <w:gridSpan w:val="3"/>
            <w:shd w:val="clear" w:color="auto" w:fill="auto"/>
            <w:vAlign w:val="bottom"/>
          </w:tcPr>
          <w:p w14:paraId="7C207C5A" w14:textId="77777777" w:rsidR="00834A75" w:rsidRDefault="00834A75">
            <w:pPr>
              <w:rPr>
                <w:rFonts w:ascii="宋体"/>
                <w:vanish/>
              </w:rPr>
            </w:pPr>
          </w:p>
        </w:tc>
        <w:tc>
          <w:tcPr>
            <w:tcW w:w="0" w:type="auto"/>
            <w:gridSpan w:val="3"/>
            <w:shd w:val="clear" w:color="auto" w:fill="auto"/>
            <w:vAlign w:val="bottom"/>
          </w:tcPr>
          <w:p w14:paraId="7C207C5B" w14:textId="77777777" w:rsidR="00834A75" w:rsidRDefault="00834A75">
            <w:pPr>
              <w:rPr>
                <w:rFonts w:ascii="宋体"/>
                <w:vanish/>
              </w:rPr>
            </w:pPr>
          </w:p>
        </w:tc>
        <w:tc>
          <w:tcPr>
            <w:tcW w:w="0" w:type="auto"/>
            <w:gridSpan w:val="3"/>
            <w:shd w:val="clear" w:color="auto" w:fill="auto"/>
            <w:vAlign w:val="bottom"/>
          </w:tcPr>
          <w:p w14:paraId="7C207C5C" w14:textId="77777777" w:rsidR="00834A75" w:rsidRDefault="00834A75">
            <w:pPr>
              <w:rPr>
                <w:rFonts w:ascii="宋体"/>
                <w:vanish/>
              </w:rPr>
            </w:pPr>
          </w:p>
        </w:tc>
        <w:tc>
          <w:tcPr>
            <w:tcW w:w="0" w:type="auto"/>
            <w:gridSpan w:val="3"/>
            <w:shd w:val="clear" w:color="auto" w:fill="auto"/>
            <w:vAlign w:val="bottom"/>
          </w:tcPr>
          <w:p w14:paraId="7C207C5D" w14:textId="77777777" w:rsidR="00834A75" w:rsidRDefault="00834A75">
            <w:pPr>
              <w:rPr>
                <w:rFonts w:ascii="宋体"/>
                <w:vanish/>
              </w:rPr>
            </w:pPr>
          </w:p>
        </w:tc>
        <w:tc>
          <w:tcPr>
            <w:tcW w:w="0" w:type="auto"/>
            <w:gridSpan w:val="3"/>
            <w:shd w:val="clear" w:color="auto" w:fill="auto"/>
            <w:vAlign w:val="bottom"/>
          </w:tcPr>
          <w:p w14:paraId="7C207C5E" w14:textId="77777777" w:rsidR="00834A75" w:rsidRDefault="00834A75">
            <w:pPr>
              <w:rPr>
                <w:rFonts w:ascii="宋体"/>
                <w:vanish/>
              </w:rPr>
            </w:pPr>
          </w:p>
        </w:tc>
        <w:tc>
          <w:tcPr>
            <w:tcW w:w="0" w:type="auto"/>
            <w:gridSpan w:val="3"/>
            <w:shd w:val="clear" w:color="auto" w:fill="auto"/>
            <w:vAlign w:val="bottom"/>
          </w:tcPr>
          <w:p w14:paraId="7C207C5F" w14:textId="77777777" w:rsidR="00834A75" w:rsidRDefault="00834A75">
            <w:pPr>
              <w:rPr>
                <w:rFonts w:ascii="宋体"/>
                <w:vanish/>
              </w:rPr>
            </w:pPr>
          </w:p>
        </w:tc>
        <w:tc>
          <w:tcPr>
            <w:tcW w:w="0" w:type="auto"/>
            <w:gridSpan w:val="3"/>
            <w:shd w:val="clear" w:color="auto" w:fill="auto"/>
            <w:vAlign w:val="bottom"/>
          </w:tcPr>
          <w:p w14:paraId="7C207C60" w14:textId="77777777" w:rsidR="00834A75" w:rsidRDefault="00834A75">
            <w:pPr>
              <w:rPr>
                <w:rFonts w:ascii="宋体"/>
                <w:vanish/>
              </w:rPr>
            </w:pPr>
          </w:p>
        </w:tc>
        <w:tc>
          <w:tcPr>
            <w:tcW w:w="0" w:type="auto"/>
            <w:gridSpan w:val="3"/>
            <w:shd w:val="clear" w:color="auto" w:fill="auto"/>
            <w:vAlign w:val="bottom"/>
          </w:tcPr>
          <w:p w14:paraId="7C207C61" w14:textId="77777777" w:rsidR="00834A75" w:rsidRDefault="00834A75">
            <w:pPr>
              <w:rPr>
                <w:rFonts w:ascii="宋体"/>
                <w:vanish/>
              </w:rPr>
            </w:pPr>
          </w:p>
        </w:tc>
      </w:tr>
      <w:tr w:rsidR="00834A75" w14:paraId="7C207C78" w14:textId="77777777">
        <w:trPr>
          <w:jc w:val="center"/>
        </w:trPr>
        <w:tc>
          <w:tcPr>
            <w:tcW w:w="0" w:type="auto"/>
            <w:gridSpan w:val="3"/>
            <w:shd w:val="clear" w:color="auto" w:fill="FFFFFF"/>
            <w:tcMar>
              <w:top w:w="40" w:type="dxa"/>
              <w:left w:w="20" w:type="dxa"/>
              <w:bottom w:w="40" w:type="dxa"/>
              <w:right w:w="20" w:type="dxa"/>
            </w:tcMar>
            <w:vAlign w:val="bottom"/>
          </w:tcPr>
          <w:p w14:paraId="7C207C63" w14:textId="77777777" w:rsidR="00834A75" w:rsidRDefault="00A6708C">
            <w:pPr>
              <w:textAlignment w:val="bottom"/>
            </w:pPr>
            <w:r>
              <w:rPr>
                <w:rFonts w:ascii="sans-serif" w:eastAsia="sans-serif" w:hAnsi="sans-serif" w:cs="sans-serif"/>
                <w:color w:val="000000"/>
                <w:sz w:val="15"/>
                <w:szCs w:val="15"/>
              </w:rPr>
              <w:t>Stock-based compensation</w:t>
            </w:r>
          </w:p>
        </w:tc>
        <w:tc>
          <w:tcPr>
            <w:tcW w:w="0" w:type="auto"/>
            <w:gridSpan w:val="2"/>
            <w:shd w:val="clear" w:color="auto" w:fill="FFFFFF"/>
            <w:tcMar>
              <w:top w:w="40" w:type="dxa"/>
              <w:left w:w="20" w:type="dxa"/>
              <w:bottom w:w="40" w:type="dxa"/>
              <w:right w:w="0" w:type="dxa"/>
            </w:tcMar>
            <w:vAlign w:val="bottom"/>
          </w:tcPr>
          <w:p w14:paraId="7C207C64" w14:textId="77777777" w:rsidR="00834A75" w:rsidRDefault="00A6708C">
            <w:pPr>
              <w:jc w:val="right"/>
              <w:textAlignment w:val="bottom"/>
            </w:pPr>
            <w:r>
              <w:rPr>
                <w:rFonts w:ascii="sans-serif" w:eastAsia="sans-serif" w:hAnsi="sans-serif" w:cs="sans-serif"/>
                <w:color w:val="000000"/>
                <w:sz w:val="15"/>
                <w:szCs w:val="15"/>
              </w:rPr>
              <w:t>— </w:t>
            </w:r>
          </w:p>
        </w:tc>
        <w:tc>
          <w:tcPr>
            <w:tcW w:w="0" w:type="auto"/>
            <w:shd w:val="clear" w:color="auto" w:fill="FFFFFF"/>
            <w:tcMar>
              <w:top w:w="40" w:type="dxa"/>
              <w:left w:w="0" w:type="dxa"/>
              <w:bottom w:w="40" w:type="dxa"/>
              <w:right w:w="20" w:type="dxa"/>
            </w:tcMar>
            <w:vAlign w:val="bottom"/>
          </w:tcPr>
          <w:p w14:paraId="7C207C65" w14:textId="77777777" w:rsidR="00834A75" w:rsidRDefault="00834A75">
            <w:pPr>
              <w:jc w:val="right"/>
              <w:rPr>
                <w:rFonts w:ascii="宋体"/>
              </w:rPr>
            </w:pPr>
          </w:p>
        </w:tc>
        <w:tc>
          <w:tcPr>
            <w:tcW w:w="0" w:type="auto"/>
            <w:gridSpan w:val="3"/>
            <w:shd w:val="clear" w:color="auto" w:fill="FFFFFF"/>
            <w:tcMar>
              <w:top w:w="0" w:type="dxa"/>
              <w:left w:w="20" w:type="dxa"/>
              <w:bottom w:w="0" w:type="dxa"/>
              <w:right w:w="20" w:type="dxa"/>
            </w:tcMar>
            <w:vAlign w:val="bottom"/>
          </w:tcPr>
          <w:p w14:paraId="7C207C66" w14:textId="77777777" w:rsidR="00834A75" w:rsidRDefault="00834A75">
            <w:pPr>
              <w:rPr>
                <w:rFonts w:ascii="宋体"/>
              </w:rPr>
            </w:pPr>
          </w:p>
        </w:tc>
        <w:tc>
          <w:tcPr>
            <w:tcW w:w="0" w:type="auto"/>
            <w:gridSpan w:val="2"/>
            <w:shd w:val="clear" w:color="auto" w:fill="FFFFFF"/>
            <w:tcMar>
              <w:top w:w="40" w:type="dxa"/>
              <w:left w:w="20" w:type="dxa"/>
              <w:bottom w:w="40" w:type="dxa"/>
              <w:right w:w="0" w:type="dxa"/>
            </w:tcMar>
            <w:vAlign w:val="bottom"/>
          </w:tcPr>
          <w:p w14:paraId="7C207C67" w14:textId="77777777" w:rsidR="00834A75" w:rsidRDefault="00A6708C">
            <w:pPr>
              <w:jc w:val="right"/>
              <w:textAlignment w:val="bottom"/>
            </w:pPr>
            <w:r>
              <w:rPr>
                <w:rFonts w:ascii="sans-serif" w:eastAsia="sans-serif" w:hAnsi="sans-serif" w:cs="sans-serif"/>
                <w:color w:val="000000"/>
                <w:sz w:val="15"/>
                <w:szCs w:val="15"/>
              </w:rPr>
              <w:t>— </w:t>
            </w:r>
          </w:p>
        </w:tc>
        <w:tc>
          <w:tcPr>
            <w:tcW w:w="0" w:type="auto"/>
            <w:shd w:val="clear" w:color="auto" w:fill="FFFFFF"/>
            <w:tcMar>
              <w:top w:w="40" w:type="dxa"/>
              <w:left w:w="0" w:type="dxa"/>
              <w:bottom w:w="40" w:type="dxa"/>
              <w:right w:w="20" w:type="dxa"/>
            </w:tcMar>
            <w:vAlign w:val="bottom"/>
          </w:tcPr>
          <w:p w14:paraId="7C207C68" w14:textId="77777777" w:rsidR="00834A75" w:rsidRDefault="00834A75">
            <w:pPr>
              <w:jc w:val="right"/>
              <w:rPr>
                <w:rFonts w:ascii="宋体"/>
              </w:rPr>
            </w:pPr>
          </w:p>
        </w:tc>
        <w:tc>
          <w:tcPr>
            <w:tcW w:w="0" w:type="auto"/>
            <w:gridSpan w:val="3"/>
            <w:shd w:val="clear" w:color="auto" w:fill="FFFFFF"/>
            <w:tcMar>
              <w:top w:w="0" w:type="dxa"/>
              <w:left w:w="20" w:type="dxa"/>
              <w:bottom w:w="0" w:type="dxa"/>
              <w:right w:w="20" w:type="dxa"/>
            </w:tcMar>
            <w:vAlign w:val="bottom"/>
          </w:tcPr>
          <w:p w14:paraId="7C207C69" w14:textId="77777777" w:rsidR="00834A75" w:rsidRDefault="00834A75">
            <w:pPr>
              <w:rPr>
                <w:rFonts w:ascii="宋体"/>
              </w:rPr>
            </w:pPr>
          </w:p>
        </w:tc>
        <w:tc>
          <w:tcPr>
            <w:tcW w:w="0" w:type="auto"/>
            <w:gridSpan w:val="2"/>
            <w:shd w:val="clear" w:color="auto" w:fill="FFFFFF"/>
            <w:tcMar>
              <w:top w:w="40" w:type="dxa"/>
              <w:left w:w="20" w:type="dxa"/>
              <w:bottom w:w="40" w:type="dxa"/>
              <w:right w:w="0" w:type="dxa"/>
            </w:tcMar>
            <w:vAlign w:val="bottom"/>
          </w:tcPr>
          <w:p w14:paraId="7C207C6A" w14:textId="77777777" w:rsidR="00834A75" w:rsidRDefault="00A6708C">
            <w:pPr>
              <w:jc w:val="right"/>
              <w:textAlignment w:val="bottom"/>
            </w:pPr>
            <w:r>
              <w:rPr>
                <w:rFonts w:ascii="sans-serif" w:eastAsia="sans-serif" w:hAnsi="sans-serif" w:cs="sans-serif"/>
                <w:color w:val="000000"/>
                <w:sz w:val="15"/>
                <w:szCs w:val="15"/>
              </w:rPr>
              <w:t>573 </w:t>
            </w:r>
          </w:p>
        </w:tc>
        <w:tc>
          <w:tcPr>
            <w:tcW w:w="0" w:type="auto"/>
            <w:shd w:val="clear" w:color="auto" w:fill="FFFFFF"/>
            <w:tcMar>
              <w:top w:w="40" w:type="dxa"/>
              <w:left w:w="0" w:type="dxa"/>
              <w:bottom w:w="40" w:type="dxa"/>
              <w:right w:w="20" w:type="dxa"/>
            </w:tcMar>
            <w:vAlign w:val="bottom"/>
          </w:tcPr>
          <w:p w14:paraId="7C207C6B" w14:textId="77777777" w:rsidR="00834A75" w:rsidRDefault="00834A75">
            <w:pPr>
              <w:jc w:val="right"/>
              <w:rPr>
                <w:rFonts w:ascii="宋体"/>
              </w:rPr>
            </w:pPr>
          </w:p>
        </w:tc>
        <w:tc>
          <w:tcPr>
            <w:tcW w:w="0" w:type="auto"/>
            <w:gridSpan w:val="3"/>
            <w:shd w:val="clear" w:color="auto" w:fill="FFFFFF"/>
            <w:tcMar>
              <w:top w:w="0" w:type="dxa"/>
              <w:left w:w="20" w:type="dxa"/>
              <w:bottom w:w="0" w:type="dxa"/>
              <w:right w:w="20" w:type="dxa"/>
            </w:tcMar>
            <w:vAlign w:val="bottom"/>
          </w:tcPr>
          <w:p w14:paraId="7C207C6C" w14:textId="77777777" w:rsidR="00834A75" w:rsidRDefault="00834A75">
            <w:pPr>
              <w:rPr>
                <w:rFonts w:ascii="宋体"/>
              </w:rPr>
            </w:pPr>
          </w:p>
        </w:tc>
        <w:tc>
          <w:tcPr>
            <w:tcW w:w="0" w:type="auto"/>
            <w:gridSpan w:val="2"/>
            <w:shd w:val="clear" w:color="auto" w:fill="FFFFFF"/>
            <w:tcMar>
              <w:top w:w="40" w:type="dxa"/>
              <w:left w:w="20" w:type="dxa"/>
              <w:bottom w:w="40" w:type="dxa"/>
              <w:right w:w="0" w:type="dxa"/>
            </w:tcMar>
            <w:vAlign w:val="bottom"/>
          </w:tcPr>
          <w:p w14:paraId="7C207C6D" w14:textId="77777777" w:rsidR="00834A75" w:rsidRDefault="00A6708C">
            <w:pPr>
              <w:jc w:val="right"/>
              <w:textAlignment w:val="bottom"/>
            </w:pPr>
            <w:r>
              <w:rPr>
                <w:rFonts w:ascii="sans-serif" w:eastAsia="sans-serif" w:hAnsi="sans-serif" w:cs="sans-serif"/>
                <w:color w:val="000000"/>
                <w:sz w:val="15"/>
                <w:szCs w:val="15"/>
              </w:rPr>
              <w:t>— </w:t>
            </w:r>
          </w:p>
        </w:tc>
        <w:tc>
          <w:tcPr>
            <w:tcW w:w="0" w:type="auto"/>
            <w:shd w:val="clear" w:color="auto" w:fill="FFFFFF"/>
            <w:tcMar>
              <w:top w:w="40" w:type="dxa"/>
              <w:left w:w="0" w:type="dxa"/>
              <w:bottom w:w="40" w:type="dxa"/>
              <w:right w:w="20" w:type="dxa"/>
            </w:tcMar>
            <w:vAlign w:val="bottom"/>
          </w:tcPr>
          <w:p w14:paraId="7C207C6E" w14:textId="77777777" w:rsidR="00834A75" w:rsidRDefault="00834A75">
            <w:pPr>
              <w:jc w:val="right"/>
              <w:rPr>
                <w:rFonts w:ascii="宋体"/>
              </w:rPr>
            </w:pPr>
          </w:p>
        </w:tc>
        <w:tc>
          <w:tcPr>
            <w:tcW w:w="0" w:type="auto"/>
            <w:gridSpan w:val="3"/>
            <w:shd w:val="clear" w:color="auto" w:fill="FFFFFF"/>
            <w:tcMar>
              <w:top w:w="0" w:type="dxa"/>
              <w:left w:w="20" w:type="dxa"/>
              <w:bottom w:w="0" w:type="dxa"/>
              <w:right w:w="20" w:type="dxa"/>
            </w:tcMar>
            <w:vAlign w:val="bottom"/>
          </w:tcPr>
          <w:p w14:paraId="7C207C6F" w14:textId="77777777" w:rsidR="00834A75" w:rsidRDefault="00834A75">
            <w:pPr>
              <w:rPr>
                <w:rFonts w:ascii="宋体"/>
              </w:rPr>
            </w:pPr>
          </w:p>
        </w:tc>
        <w:tc>
          <w:tcPr>
            <w:tcW w:w="0" w:type="auto"/>
            <w:gridSpan w:val="2"/>
            <w:shd w:val="clear" w:color="auto" w:fill="FFFFFF"/>
            <w:tcMar>
              <w:top w:w="40" w:type="dxa"/>
              <w:left w:w="20" w:type="dxa"/>
              <w:bottom w:w="40" w:type="dxa"/>
              <w:right w:w="0" w:type="dxa"/>
            </w:tcMar>
            <w:vAlign w:val="bottom"/>
          </w:tcPr>
          <w:p w14:paraId="7C207C70" w14:textId="77777777" w:rsidR="00834A75" w:rsidRDefault="00A6708C">
            <w:pPr>
              <w:jc w:val="right"/>
              <w:textAlignment w:val="bottom"/>
            </w:pPr>
            <w:r>
              <w:rPr>
                <w:rFonts w:ascii="sans-serif" w:eastAsia="sans-serif" w:hAnsi="sans-serif" w:cs="sans-serif"/>
                <w:color w:val="000000"/>
                <w:sz w:val="15"/>
                <w:szCs w:val="15"/>
              </w:rPr>
              <w:t>— </w:t>
            </w:r>
          </w:p>
        </w:tc>
        <w:tc>
          <w:tcPr>
            <w:tcW w:w="0" w:type="auto"/>
            <w:shd w:val="clear" w:color="auto" w:fill="FFFFFF"/>
            <w:tcMar>
              <w:top w:w="40" w:type="dxa"/>
              <w:left w:w="0" w:type="dxa"/>
              <w:bottom w:w="40" w:type="dxa"/>
              <w:right w:w="20" w:type="dxa"/>
            </w:tcMar>
            <w:vAlign w:val="bottom"/>
          </w:tcPr>
          <w:p w14:paraId="7C207C71" w14:textId="77777777" w:rsidR="00834A75" w:rsidRDefault="00834A75">
            <w:pPr>
              <w:jc w:val="right"/>
              <w:rPr>
                <w:rFonts w:ascii="宋体"/>
              </w:rPr>
            </w:pPr>
          </w:p>
        </w:tc>
        <w:tc>
          <w:tcPr>
            <w:tcW w:w="0" w:type="auto"/>
            <w:gridSpan w:val="3"/>
            <w:shd w:val="clear" w:color="auto" w:fill="FFFFFF"/>
            <w:tcMar>
              <w:top w:w="0" w:type="dxa"/>
              <w:left w:w="20" w:type="dxa"/>
              <w:bottom w:w="0" w:type="dxa"/>
              <w:right w:w="20" w:type="dxa"/>
            </w:tcMar>
            <w:vAlign w:val="bottom"/>
          </w:tcPr>
          <w:p w14:paraId="7C207C72" w14:textId="77777777" w:rsidR="00834A75" w:rsidRDefault="00834A75">
            <w:pPr>
              <w:rPr>
                <w:rFonts w:ascii="宋体"/>
              </w:rPr>
            </w:pPr>
          </w:p>
        </w:tc>
        <w:tc>
          <w:tcPr>
            <w:tcW w:w="0" w:type="auto"/>
            <w:gridSpan w:val="2"/>
            <w:shd w:val="clear" w:color="auto" w:fill="FFFFFF"/>
            <w:tcMar>
              <w:top w:w="40" w:type="dxa"/>
              <w:left w:w="20" w:type="dxa"/>
              <w:bottom w:w="40" w:type="dxa"/>
              <w:right w:w="0" w:type="dxa"/>
            </w:tcMar>
            <w:vAlign w:val="bottom"/>
          </w:tcPr>
          <w:p w14:paraId="7C207C73" w14:textId="77777777" w:rsidR="00834A75" w:rsidRDefault="00A6708C">
            <w:pPr>
              <w:jc w:val="right"/>
              <w:textAlignment w:val="bottom"/>
            </w:pPr>
            <w:r>
              <w:rPr>
                <w:rFonts w:ascii="sans-serif" w:eastAsia="sans-serif" w:hAnsi="sans-serif" w:cs="sans-serif"/>
                <w:color w:val="000000"/>
                <w:sz w:val="15"/>
                <w:szCs w:val="15"/>
              </w:rPr>
              <w:t>— </w:t>
            </w:r>
          </w:p>
        </w:tc>
        <w:tc>
          <w:tcPr>
            <w:tcW w:w="0" w:type="auto"/>
            <w:shd w:val="clear" w:color="auto" w:fill="FFFFFF"/>
            <w:tcMar>
              <w:top w:w="40" w:type="dxa"/>
              <w:left w:w="0" w:type="dxa"/>
              <w:bottom w:w="40" w:type="dxa"/>
              <w:right w:w="20" w:type="dxa"/>
            </w:tcMar>
            <w:vAlign w:val="bottom"/>
          </w:tcPr>
          <w:p w14:paraId="7C207C74" w14:textId="77777777" w:rsidR="00834A75" w:rsidRDefault="00834A75">
            <w:pPr>
              <w:jc w:val="right"/>
              <w:rPr>
                <w:rFonts w:ascii="宋体"/>
              </w:rPr>
            </w:pPr>
          </w:p>
        </w:tc>
        <w:tc>
          <w:tcPr>
            <w:tcW w:w="0" w:type="auto"/>
            <w:gridSpan w:val="3"/>
            <w:shd w:val="clear" w:color="auto" w:fill="FFFFFF"/>
            <w:tcMar>
              <w:top w:w="0" w:type="dxa"/>
              <w:left w:w="20" w:type="dxa"/>
              <w:bottom w:w="0" w:type="dxa"/>
              <w:right w:w="20" w:type="dxa"/>
            </w:tcMar>
            <w:vAlign w:val="bottom"/>
          </w:tcPr>
          <w:p w14:paraId="7C207C75" w14:textId="77777777" w:rsidR="00834A75" w:rsidRDefault="00834A75">
            <w:pPr>
              <w:rPr>
                <w:rFonts w:ascii="宋体"/>
              </w:rPr>
            </w:pPr>
          </w:p>
        </w:tc>
        <w:tc>
          <w:tcPr>
            <w:tcW w:w="0" w:type="auto"/>
            <w:gridSpan w:val="2"/>
            <w:shd w:val="clear" w:color="auto" w:fill="FFFFFF"/>
            <w:tcMar>
              <w:top w:w="40" w:type="dxa"/>
              <w:left w:w="20" w:type="dxa"/>
              <w:bottom w:w="40" w:type="dxa"/>
              <w:right w:w="0" w:type="dxa"/>
            </w:tcMar>
            <w:vAlign w:val="bottom"/>
          </w:tcPr>
          <w:p w14:paraId="7C207C76" w14:textId="77777777" w:rsidR="00834A75" w:rsidRDefault="00A6708C">
            <w:pPr>
              <w:jc w:val="right"/>
              <w:textAlignment w:val="bottom"/>
            </w:pPr>
            <w:r>
              <w:rPr>
                <w:rFonts w:ascii="sans-serif" w:eastAsia="sans-serif" w:hAnsi="sans-serif" w:cs="sans-serif"/>
                <w:color w:val="000000"/>
                <w:sz w:val="15"/>
                <w:szCs w:val="15"/>
              </w:rPr>
              <w:t>573 </w:t>
            </w:r>
          </w:p>
        </w:tc>
        <w:tc>
          <w:tcPr>
            <w:tcW w:w="0" w:type="auto"/>
            <w:shd w:val="clear" w:color="auto" w:fill="FFFFFF"/>
            <w:tcMar>
              <w:top w:w="40" w:type="dxa"/>
              <w:left w:w="0" w:type="dxa"/>
              <w:bottom w:w="40" w:type="dxa"/>
              <w:right w:w="20" w:type="dxa"/>
            </w:tcMar>
            <w:vAlign w:val="bottom"/>
          </w:tcPr>
          <w:p w14:paraId="7C207C77" w14:textId="77777777" w:rsidR="00834A75" w:rsidRDefault="00834A75">
            <w:pPr>
              <w:jc w:val="right"/>
              <w:rPr>
                <w:rFonts w:ascii="宋体"/>
              </w:rPr>
            </w:pPr>
          </w:p>
        </w:tc>
      </w:tr>
      <w:tr w:rsidR="00834A75" w14:paraId="7C207C94" w14:textId="77777777">
        <w:trPr>
          <w:jc w:val="center"/>
        </w:trPr>
        <w:tc>
          <w:tcPr>
            <w:tcW w:w="0" w:type="auto"/>
            <w:gridSpan w:val="3"/>
            <w:shd w:val="clear" w:color="auto" w:fill="E2EFD9"/>
            <w:tcMar>
              <w:top w:w="40" w:type="dxa"/>
              <w:left w:w="20" w:type="dxa"/>
              <w:bottom w:w="40" w:type="dxa"/>
              <w:right w:w="20" w:type="dxa"/>
            </w:tcMar>
            <w:vAlign w:val="bottom"/>
          </w:tcPr>
          <w:p w14:paraId="7C207C79" w14:textId="77777777" w:rsidR="00834A75" w:rsidRDefault="00A6708C">
            <w:pPr>
              <w:textAlignment w:val="bottom"/>
            </w:pPr>
            <w:r>
              <w:rPr>
                <w:rFonts w:ascii="sans-serif" w:eastAsia="sans-serif" w:hAnsi="sans-serif" w:cs="sans-serif"/>
                <w:color w:val="000000"/>
                <w:sz w:val="15"/>
                <w:szCs w:val="15"/>
              </w:rPr>
              <w:t>Balances, May 1, 2022</w:t>
            </w:r>
          </w:p>
        </w:tc>
        <w:tc>
          <w:tcPr>
            <w:tcW w:w="0" w:type="auto"/>
            <w:gridSpan w:val="2"/>
            <w:tcBorders>
              <w:top w:val="single" w:sz="8" w:space="0" w:color="000000"/>
            </w:tcBorders>
            <w:shd w:val="clear" w:color="auto" w:fill="E2EFD9"/>
            <w:tcMar>
              <w:top w:w="40" w:type="dxa"/>
              <w:left w:w="20" w:type="dxa"/>
              <w:bottom w:w="40" w:type="dxa"/>
              <w:right w:w="0" w:type="dxa"/>
            </w:tcMar>
            <w:vAlign w:val="bottom"/>
          </w:tcPr>
          <w:p w14:paraId="7C207C7A" w14:textId="77777777" w:rsidR="00834A75" w:rsidRDefault="00A6708C">
            <w:pPr>
              <w:jc w:val="right"/>
              <w:textAlignment w:val="bottom"/>
            </w:pPr>
            <w:r>
              <w:rPr>
                <w:rFonts w:ascii="sans-serif" w:eastAsia="sans-serif" w:hAnsi="sans-serif" w:cs="sans-serif"/>
                <w:color w:val="000000"/>
                <w:sz w:val="15"/>
                <w:szCs w:val="15"/>
              </w:rPr>
              <w:t>2,5</w:t>
            </w:r>
            <w:r>
              <w:rPr>
                <w:rFonts w:ascii="sans-serif" w:eastAsia="sans-serif" w:hAnsi="sans-serif" w:cs="sans-serif"/>
                <w:color w:val="000000"/>
                <w:sz w:val="15"/>
                <w:szCs w:val="15"/>
              </w:rPr>
              <w:t>04 </w:t>
            </w:r>
          </w:p>
        </w:tc>
        <w:tc>
          <w:tcPr>
            <w:tcW w:w="0" w:type="auto"/>
            <w:tcBorders>
              <w:top w:val="single" w:sz="8" w:space="0" w:color="000000"/>
            </w:tcBorders>
            <w:shd w:val="clear" w:color="auto" w:fill="E2EFD9"/>
            <w:tcMar>
              <w:top w:w="40" w:type="dxa"/>
              <w:left w:w="0" w:type="dxa"/>
              <w:bottom w:w="40" w:type="dxa"/>
              <w:right w:w="20" w:type="dxa"/>
            </w:tcMar>
            <w:vAlign w:val="bottom"/>
          </w:tcPr>
          <w:p w14:paraId="7C207C7B" w14:textId="77777777" w:rsidR="00834A75" w:rsidRDefault="00834A75">
            <w:pPr>
              <w:jc w:val="right"/>
              <w:rPr>
                <w:rFonts w:ascii="宋体"/>
              </w:rPr>
            </w:pPr>
          </w:p>
        </w:tc>
        <w:tc>
          <w:tcPr>
            <w:tcW w:w="0" w:type="auto"/>
            <w:gridSpan w:val="3"/>
            <w:shd w:val="clear" w:color="auto" w:fill="E2EFD9"/>
            <w:tcMar>
              <w:top w:w="0" w:type="dxa"/>
              <w:left w:w="20" w:type="dxa"/>
              <w:bottom w:w="0" w:type="dxa"/>
              <w:right w:w="20" w:type="dxa"/>
            </w:tcMar>
            <w:vAlign w:val="bottom"/>
          </w:tcPr>
          <w:p w14:paraId="7C207C7C" w14:textId="77777777" w:rsidR="00834A75" w:rsidRDefault="00834A75">
            <w:pPr>
              <w:rPr>
                <w:rFonts w:ascii="宋体"/>
              </w:rPr>
            </w:pPr>
          </w:p>
        </w:tc>
        <w:tc>
          <w:tcPr>
            <w:tcW w:w="0" w:type="auto"/>
            <w:tcBorders>
              <w:top w:val="single" w:sz="8" w:space="0" w:color="000000"/>
            </w:tcBorders>
            <w:shd w:val="clear" w:color="auto" w:fill="E2EFD9"/>
            <w:tcMar>
              <w:top w:w="40" w:type="dxa"/>
              <w:left w:w="20" w:type="dxa"/>
              <w:bottom w:w="40" w:type="dxa"/>
              <w:right w:w="0" w:type="dxa"/>
            </w:tcMar>
            <w:vAlign w:val="bottom"/>
          </w:tcPr>
          <w:p w14:paraId="7C207C7D" w14:textId="77777777" w:rsidR="00834A75" w:rsidRDefault="00A6708C">
            <w:pPr>
              <w:textAlignment w:val="bottom"/>
            </w:pPr>
            <w:r>
              <w:rPr>
                <w:rFonts w:ascii="sans-serif" w:eastAsia="sans-serif" w:hAnsi="sans-serif" w:cs="sans-serif"/>
                <w:color w:val="000000"/>
                <w:sz w:val="15"/>
                <w:szCs w:val="15"/>
              </w:rPr>
              <w:t>$</w:t>
            </w:r>
          </w:p>
        </w:tc>
        <w:tc>
          <w:tcPr>
            <w:tcW w:w="0" w:type="auto"/>
            <w:tcBorders>
              <w:top w:val="single" w:sz="8" w:space="0" w:color="000000"/>
            </w:tcBorders>
            <w:shd w:val="clear" w:color="auto" w:fill="E2EFD9"/>
            <w:tcMar>
              <w:top w:w="40" w:type="dxa"/>
              <w:left w:w="0" w:type="dxa"/>
              <w:bottom w:w="40" w:type="dxa"/>
              <w:right w:w="0" w:type="dxa"/>
            </w:tcMar>
            <w:vAlign w:val="bottom"/>
          </w:tcPr>
          <w:p w14:paraId="7C207C7E" w14:textId="77777777" w:rsidR="00834A75" w:rsidRDefault="00A6708C">
            <w:pPr>
              <w:jc w:val="right"/>
              <w:textAlignment w:val="bottom"/>
            </w:pPr>
            <w:r>
              <w:rPr>
                <w:rFonts w:ascii="sans-serif" w:eastAsia="sans-serif" w:hAnsi="sans-serif" w:cs="sans-serif"/>
                <w:color w:val="000000"/>
                <w:sz w:val="15"/>
                <w:szCs w:val="15"/>
              </w:rPr>
              <w:t>3 </w:t>
            </w:r>
          </w:p>
        </w:tc>
        <w:tc>
          <w:tcPr>
            <w:tcW w:w="0" w:type="auto"/>
            <w:tcBorders>
              <w:top w:val="single" w:sz="8" w:space="0" w:color="000000"/>
            </w:tcBorders>
            <w:shd w:val="clear" w:color="auto" w:fill="E2EFD9"/>
            <w:tcMar>
              <w:top w:w="40" w:type="dxa"/>
              <w:left w:w="0" w:type="dxa"/>
              <w:bottom w:w="40" w:type="dxa"/>
              <w:right w:w="20" w:type="dxa"/>
            </w:tcMar>
            <w:vAlign w:val="bottom"/>
          </w:tcPr>
          <w:p w14:paraId="7C207C7F" w14:textId="77777777" w:rsidR="00834A75" w:rsidRDefault="00834A75">
            <w:pPr>
              <w:jc w:val="right"/>
              <w:rPr>
                <w:rFonts w:ascii="宋体"/>
              </w:rPr>
            </w:pPr>
          </w:p>
        </w:tc>
        <w:tc>
          <w:tcPr>
            <w:tcW w:w="0" w:type="auto"/>
            <w:gridSpan w:val="3"/>
            <w:shd w:val="clear" w:color="auto" w:fill="E2EFD9"/>
            <w:tcMar>
              <w:top w:w="0" w:type="dxa"/>
              <w:left w:w="20" w:type="dxa"/>
              <w:bottom w:w="0" w:type="dxa"/>
              <w:right w:w="20" w:type="dxa"/>
            </w:tcMar>
            <w:vAlign w:val="bottom"/>
          </w:tcPr>
          <w:p w14:paraId="7C207C80" w14:textId="77777777" w:rsidR="00834A75" w:rsidRDefault="00834A75">
            <w:pPr>
              <w:rPr>
                <w:rFonts w:ascii="宋体"/>
              </w:rPr>
            </w:pPr>
          </w:p>
        </w:tc>
        <w:tc>
          <w:tcPr>
            <w:tcW w:w="0" w:type="auto"/>
            <w:tcBorders>
              <w:top w:val="single" w:sz="8" w:space="0" w:color="000000"/>
            </w:tcBorders>
            <w:shd w:val="clear" w:color="auto" w:fill="E2EFD9"/>
            <w:tcMar>
              <w:top w:w="40" w:type="dxa"/>
              <w:left w:w="20" w:type="dxa"/>
              <w:bottom w:w="40" w:type="dxa"/>
              <w:right w:w="0" w:type="dxa"/>
            </w:tcMar>
            <w:vAlign w:val="bottom"/>
          </w:tcPr>
          <w:p w14:paraId="7C207C81" w14:textId="77777777" w:rsidR="00834A75" w:rsidRDefault="00A6708C">
            <w:pPr>
              <w:textAlignment w:val="bottom"/>
            </w:pPr>
            <w:r>
              <w:rPr>
                <w:rFonts w:ascii="sans-serif" w:eastAsia="sans-serif" w:hAnsi="sans-serif" w:cs="sans-serif"/>
                <w:color w:val="000000"/>
                <w:sz w:val="15"/>
                <w:szCs w:val="15"/>
              </w:rPr>
              <w:t>$</w:t>
            </w:r>
          </w:p>
        </w:tc>
        <w:tc>
          <w:tcPr>
            <w:tcW w:w="0" w:type="auto"/>
            <w:tcBorders>
              <w:top w:val="single" w:sz="8" w:space="0" w:color="000000"/>
            </w:tcBorders>
            <w:shd w:val="clear" w:color="auto" w:fill="E2EFD9"/>
            <w:tcMar>
              <w:top w:w="40" w:type="dxa"/>
              <w:left w:w="0" w:type="dxa"/>
              <w:bottom w:w="40" w:type="dxa"/>
              <w:right w:w="0" w:type="dxa"/>
            </w:tcMar>
            <w:vAlign w:val="bottom"/>
          </w:tcPr>
          <w:p w14:paraId="7C207C82" w14:textId="77777777" w:rsidR="00834A75" w:rsidRDefault="00A6708C">
            <w:pPr>
              <w:jc w:val="right"/>
              <w:textAlignment w:val="bottom"/>
            </w:pPr>
            <w:r>
              <w:rPr>
                <w:rFonts w:ascii="sans-serif" w:eastAsia="sans-serif" w:hAnsi="sans-serif" w:cs="sans-serif"/>
                <w:color w:val="000000"/>
                <w:sz w:val="15"/>
                <w:szCs w:val="15"/>
              </w:rPr>
              <w:t>10,623 </w:t>
            </w:r>
          </w:p>
        </w:tc>
        <w:tc>
          <w:tcPr>
            <w:tcW w:w="0" w:type="auto"/>
            <w:tcBorders>
              <w:top w:val="single" w:sz="8" w:space="0" w:color="000000"/>
            </w:tcBorders>
            <w:shd w:val="clear" w:color="auto" w:fill="E2EFD9"/>
            <w:tcMar>
              <w:top w:w="40" w:type="dxa"/>
              <w:left w:w="0" w:type="dxa"/>
              <w:bottom w:w="40" w:type="dxa"/>
              <w:right w:w="20" w:type="dxa"/>
            </w:tcMar>
            <w:vAlign w:val="bottom"/>
          </w:tcPr>
          <w:p w14:paraId="7C207C83" w14:textId="77777777" w:rsidR="00834A75" w:rsidRDefault="00834A75">
            <w:pPr>
              <w:jc w:val="right"/>
              <w:rPr>
                <w:rFonts w:ascii="宋体"/>
              </w:rPr>
            </w:pPr>
          </w:p>
        </w:tc>
        <w:tc>
          <w:tcPr>
            <w:tcW w:w="0" w:type="auto"/>
            <w:gridSpan w:val="3"/>
            <w:shd w:val="clear" w:color="auto" w:fill="E2EFD9"/>
            <w:tcMar>
              <w:top w:w="0" w:type="dxa"/>
              <w:left w:w="20" w:type="dxa"/>
              <w:bottom w:w="0" w:type="dxa"/>
              <w:right w:w="20" w:type="dxa"/>
            </w:tcMar>
            <w:vAlign w:val="bottom"/>
          </w:tcPr>
          <w:p w14:paraId="7C207C84" w14:textId="77777777" w:rsidR="00834A75" w:rsidRDefault="00834A75">
            <w:pPr>
              <w:rPr>
                <w:rFonts w:ascii="宋体"/>
              </w:rPr>
            </w:pPr>
          </w:p>
        </w:tc>
        <w:tc>
          <w:tcPr>
            <w:tcW w:w="0" w:type="auto"/>
            <w:tcBorders>
              <w:top w:val="single" w:sz="8" w:space="0" w:color="000000"/>
            </w:tcBorders>
            <w:shd w:val="clear" w:color="auto" w:fill="E2EFD9"/>
            <w:tcMar>
              <w:top w:w="40" w:type="dxa"/>
              <w:left w:w="20" w:type="dxa"/>
              <w:bottom w:w="40" w:type="dxa"/>
              <w:right w:w="0" w:type="dxa"/>
            </w:tcMar>
            <w:vAlign w:val="bottom"/>
          </w:tcPr>
          <w:p w14:paraId="7C207C85" w14:textId="77777777" w:rsidR="00834A75" w:rsidRDefault="00A6708C">
            <w:pPr>
              <w:textAlignment w:val="bottom"/>
            </w:pPr>
            <w:r>
              <w:rPr>
                <w:rFonts w:ascii="sans-serif" w:eastAsia="sans-serif" w:hAnsi="sans-serif" w:cs="sans-serif"/>
                <w:color w:val="000000"/>
                <w:sz w:val="15"/>
                <w:szCs w:val="15"/>
              </w:rPr>
              <w:t>$</w:t>
            </w:r>
          </w:p>
        </w:tc>
        <w:tc>
          <w:tcPr>
            <w:tcW w:w="0" w:type="auto"/>
            <w:tcBorders>
              <w:top w:val="single" w:sz="8" w:space="0" w:color="000000"/>
            </w:tcBorders>
            <w:shd w:val="clear" w:color="auto" w:fill="E2EFD9"/>
            <w:tcMar>
              <w:top w:w="40" w:type="dxa"/>
              <w:left w:w="0" w:type="dxa"/>
              <w:bottom w:w="40" w:type="dxa"/>
              <w:right w:w="0" w:type="dxa"/>
            </w:tcMar>
            <w:vAlign w:val="bottom"/>
          </w:tcPr>
          <w:p w14:paraId="7C207C86" w14:textId="77777777" w:rsidR="00834A75" w:rsidRDefault="00A6708C">
            <w:pPr>
              <w:jc w:val="right"/>
              <w:textAlignment w:val="bottom"/>
            </w:pPr>
            <w:r>
              <w:rPr>
                <w:rFonts w:ascii="sans-serif" w:eastAsia="sans-serif" w:hAnsi="sans-serif" w:cs="sans-serif"/>
                <w:color w:val="000000"/>
                <w:sz w:val="15"/>
                <w:szCs w:val="15"/>
              </w:rPr>
              <w:t>— </w:t>
            </w:r>
          </w:p>
        </w:tc>
        <w:tc>
          <w:tcPr>
            <w:tcW w:w="0" w:type="auto"/>
            <w:tcBorders>
              <w:top w:val="single" w:sz="8" w:space="0" w:color="000000"/>
            </w:tcBorders>
            <w:shd w:val="clear" w:color="auto" w:fill="E2EFD9"/>
            <w:tcMar>
              <w:top w:w="40" w:type="dxa"/>
              <w:left w:w="0" w:type="dxa"/>
              <w:bottom w:w="40" w:type="dxa"/>
              <w:right w:w="20" w:type="dxa"/>
            </w:tcMar>
            <w:vAlign w:val="bottom"/>
          </w:tcPr>
          <w:p w14:paraId="7C207C87" w14:textId="77777777" w:rsidR="00834A75" w:rsidRDefault="00834A75">
            <w:pPr>
              <w:jc w:val="right"/>
              <w:rPr>
                <w:rFonts w:ascii="宋体"/>
              </w:rPr>
            </w:pPr>
          </w:p>
        </w:tc>
        <w:tc>
          <w:tcPr>
            <w:tcW w:w="0" w:type="auto"/>
            <w:gridSpan w:val="3"/>
            <w:shd w:val="clear" w:color="auto" w:fill="E2EFD9"/>
            <w:tcMar>
              <w:top w:w="0" w:type="dxa"/>
              <w:left w:w="20" w:type="dxa"/>
              <w:bottom w:w="0" w:type="dxa"/>
              <w:right w:w="20" w:type="dxa"/>
            </w:tcMar>
            <w:vAlign w:val="bottom"/>
          </w:tcPr>
          <w:p w14:paraId="7C207C88" w14:textId="77777777" w:rsidR="00834A75" w:rsidRDefault="00834A75">
            <w:pPr>
              <w:rPr>
                <w:rFonts w:ascii="宋体"/>
              </w:rPr>
            </w:pPr>
          </w:p>
        </w:tc>
        <w:tc>
          <w:tcPr>
            <w:tcW w:w="0" w:type="auto"/>
            <w:tcBorders>
              <w:top w:val="single" w:sz="8" w:space="0" w:color="000000"/>
            </w:tcBorders>
            <w:shd w:val="clear" w:color="auto" w:fill="E2EFD9"/>
            <w:tcMar>
              <w:top w:w="40" w:type="dxa"/>
              <w:left w:w="20" w:type="dxa"/>
              <w:bottom w:w="40" w:type="dxa"/>
              <w:right w:w="0" w:type="dxa"/>
            </w:tcMar>
            <w:vAlign w:val="bottom"/>
          </w:tcPr>
          <w:p w14:paraId="7C207C89" w14:textId="77777777" w:rsidR="00834A75" w:rsidRDefault="00A6708C">
            <w:pPr>
              <w:textAlignment w:val="bottom"/>
            </w:pPr>
            <w:r>
              <w:rPr>
                <w:rFonts w:ascii="sans-serif" w:eastAsia="sans-serif" w:hAnsi="sans-serif" w:cs="sans-serif"/>
                <w:color w:val="000000"/>
                <w:sz w:val="15"/>
                <w:szCs w:val="15"/>
              </w:rPr>
              <w:t>$</w:t>
            </w:r>
          </w:p>
        </w:tc>
        <w:tc>
          <w:tcPr>
            <w:tcW w:w="0" w:type="auto"/>
            <w:tcBorders>
              <w:top w:val="single" w:sz="8" w:space="0" w:color="000000"/>
            </w:tcBorders>
            <w:shd w:val="clear" w:color="auto" w:fill="E2EFD9"/>
            <w:tcMar>
              <w:top w:w="40" w:type="dxa"/>
              <w:left w:w="0" w:type="dxa"/>
              <w:bottom w:w="40" w:type="dxa"/>
              <w:right w:w="0" w:type="dxa"/>
            </w:tcMar>
            <w:vAlign w:val="bottom"/>
          </w:tcPr>
          <w:p w14:paraId="7C207C8A" w14:textId="77777777" w:rsidR="00834A75" w:rsidRDefault="00A6708C">
            <w:pPr>
              <w:jc w:val="right"/>
              <w:textAlignment w:val="bottom"/>
            </w:pPr>
            <w:r>
              <w:rPr>
                <w:rFonts w:ascii="sans-serif" w:eastAsia="sans-serif" w:hAnsi="sans-serif" w:cs="sans-serif"/>
                <w:color w:val="000000"/>
                <w:sz w:val="15"/>
                <w:szCs w:val="15"/>
              </w:rPr>
              <w:t>(64)</w:t>
            </w:r>
          </w:p>
        </w:tc>
        <w:tc>
          <w:tcPr>
            <w:tcW w:w="0" w:type="auto"/>
            <w:tcBorders>
              <w:top w:val="single" w:sz="8" w:space="0" w:color="000000"/>
            </w:tcBorders>
            <w:shd w:val="clear" w:color="auto" w:fill="E2EFD9"/>
            <w:tcMar>
              <w:top w:w="40" w:type="dxa"/>
              <w:left w:w="0" w:type="dxa"/>
              <w:bottom w:w="40" w:type="dxa"/>
              <w:right w:w="20" w:type="dxa"/>
            </w:tcMar>
            <w:vAlign w:val="bottom"/>
          </w:tcPr>
          <w:p w14:paraId="7C207C8B" w14:textId="77777777" w:rsidR="00834A75" w:rsidRDefault="00834A75">
            <w:pPr>
              <w:jc w:val="right"/>
              <w:rPr>
                <w:rFonts w:ascii="宋体"/>
              </w:rPr>
            </w:pPr>
          </w:p>
        </w:tc>
        <w:tc>
          <w:tcPr>
            <w:tcW w:w="0" w:type="auto"/>
            <w:gridSpan w:val="3"/>
            <w:shd w:val="clear" w:color="auto" w:fill="E2EFD9"/>
            <w:tcMar>
              <w:top w:w="0" w:type="dxa"/>
              <w:left w:w="20" w:type="dxa"/>
              <w:bottom w:w="0" w:type="dxa"/>
              <w:right w:w="20" w:type="dxa"/>
            </w:tcMar>
            <w:vAlign w:val="bottom"/>
          </w:tcPr>
          <w:p w14:paraId="7C207C8C" w14:textId="77777777" w:rsidR="00834A75" w:rsidRDefault="00834A75">
            <w:pPr>
              <w:rPr>
                <w:rFonts w:ascii="宋体"/>
              </w:rPr>
            </w:pPr>
          </w:p>
        </w:tc>
        <w:tc>
          <w:tcPr>
            <w:tcW w:w="0" w:type="auto"/>
            <w:tcBorders>
              <w:top w:val="single" w:sz="8" w:space="0" w:color="000000"/>
            </w:tcBorders>
            <w:shd w:val="clear" w:color="auto" w:fill="E2EFD9"/>
            <w:tcMar>
              <w:top w:w="40" w:type="dxa"/>
              <w:left w:w="20" w:type="dxa"/>
              <w:bottom w:w="40" w:type="dxa"/>
              <w:right w:w="0" w:type="dxa"/>
            </w:tcMar>
            <w:vAlign w:val="bottom"/>
          </w:tcPr>
          <w:p w14:paraId="7C207C8D" w14:textId="77777777" w:rsidR="00834A75" w:rsidRDefault="00A6708C">
            <w:pPr>
              <w:textAlignment w:val="bottom"/>
            </w:pPr>
            <w:r>
              <w:rPr>
                <w:rFonts w:ascii="sans-serif" w:eastAsia="sans-serif" w:hAnsi="sans-serif" w:cs="sans-serif"/>
                <w:color w:val="000000"/>
                <w:sz w:val="15"/>
                <w:szCs w:val="15"/>
              </w:rPr>
              <w:t>$</w:t>
            </w:r>
          </w:p>
        </w:tc>
        <w:tc>
          <w:tcPr>
            <w:tcW w:w="0" w:type="auto"/>
            <w:tcBorders>
              <w:top w:val="single" w:sz="8" w:space="0" w:color="000000"/>
            </w:tcBorders>
            <w:shd w:val="clear" w:color="auto" w:fill="E2EFD9"/>
            <w:tcMar>
              <w:top w:w="40" w:type="dxa"/>
              <w:left w:w="0" w:type="dxa"/>
              <w:bottom w:w="40" w:type="dxa"/>
              <w:right w:w="0" w:type="dxa"/>
            </w:tcMar>
            <w:vAlign w:val="bottom"/>
          </w:tcPr>
          <w:p w14:paraId="7C207C8E" w14:textId="77777777" w:rsidR="00834A75" w:rsidRDefault="00A6708C">
            <w:pPr>
              <w:jc w:val="right"/>
              <w:textAlignment w:val="bottom"/>
            </w:pPr>
            <w:r>
              <w:rPr>
                <w:rFonts w:ascii="sans-serif" w:eastAsia="sans-serif" w:hAnsi="sans-serif" w:cs="sans-serif"/>
                <w:color w:val="000000"/>
                <w:sz w:val="15"/>
                <w:szCs w:val="15"/>
              </w:rPr>
              <w:t>15,758 </w:t>
            </w:r>
          </w:p>
        </w:tc>
        <w:tc>
          <w:tcPr>
            <w:tcW w:w="0" w:type="auto"/>
            <w:tcBorders>
              <w:top w:val="single" w:sz="8" w:space="0" w:color="000000"/>
            </w:tcBorders>
            <w:shd w:val="clear" w:color="auto" w:fill="E2EFD9"/>
            <w:tcMar>
              <w:top w:w="40" w:type="dxa"/>
              <w:left w:w="0" w:type="dxa"/>
              <w:bottom w:w="40" w:type="dxa"/>
              <w:right w:w="20" w:type="dxa"/>
            </w:tcMar>
            <w:vAlign w:val="bottom"/>
          </w:tcPr>
          <w:p w14:paraId="7C207C8F" w14:textId="77777777" w:rsidR="00834A75" w:rsidRDefault="00834A75">
            <w:pPr>
              <w:jc w:val="right"/>
              <w:rPr>
                <w:rFonts w:ascii="宋体"/>
              </w:rPr>
            </w:pPr>
          </w:p>
        </w:tc>
        <w:tc>
          <w:tcPr>
            <w:tcW w:w="0" w:type="auto"/>
            <w:gridSpan w:val="3"/>
            <w:shd w:val="clear" w:color="auto" w:fill="E2EFD9"/>
            <w:tcMar>
              <w:top w:w="0" w:type="dxa"/>
              <w:left w:w="20" w:type="dxa"/>
              <w:bottom w:w="0" w:type="dxa"/>
              <w:right w:w="20" w:type="dxa"/>
            </w:tcMar>
            <w:vAlign w:val="bottom"/>
          </w:tcPr>
          <w:p w14:paraId="7C207C90" w14:textId="77777777" w:rsidR="00834A75" w:rsidRDefault="00834A75">
            <w:pPr>
              <w:rPr>
                <w:rFonts w:ascii="宋体"/>
              </w:rPr>
            </w:pPr>
          </w:p>
        </w:tc>
        <w:tc>
          <w:tcPr>
            <w:tcW w:w="0" w:type="auto"/>
            <w:tcBorders>
              <w:top w:val="single" w:sz="8" w:space="0" w:color="000000"/>
            </w:tcBorders>
            <w:shd w:val="clear" w:color="auto" w:fill="E2EFD9"/>
            <w:tcMar>
              <w:top w:w="40" w:type="dxa"/>
              <w:left w:w="20" w:type="dxa"/>
              <w:bottom w:w="40" w:type="dxa"/>
              <w:right w:w="0" w:type="dxa"/>
            </w:tcMar>
            <w:vAlign w:val="bottom"/>
          </w:tcPr>
          <w:p w14:paraId="7C207C91" w14:textId="77777777" w:rsidR="00834A75" w:rsidRDefault="00A6708C">
            <w:pPr>
              <w:textAlignment w:val="bottom"/>
            </w:pPr>
            <w:r>
              <w:rPr>
                <w:rFonts w:ascii="sans-serif" w:eastAsia="sans-serif" w:hAnsi="sans-serif" w:cs="sans-serif"/>
                <w:color w:val="000000"/>
                <w:sz w:val="15"/>
                <w:szCs w:val="15"/>
              </w:rPr>
              <w:t>$</w:t>
            </w:r>
          </w:p>
        </w:tc>
        <w:tc>
          <w:tcPr>
            <w:tcW w:w="0" w:type="auto"/>
            <w:tcBorders>
              <w:top w:val="single" w:sz="8" w:space="0" w:color="000000"/>
            </w:tcBorders>
            <w:shd w:val="clear" w:color="auto" w:fill="E2EFD9"/>
            <w:tcMar>
              <w:top w:w="40" w:type="dxa"/>
              <w:left w:w="0" w:type="dxa"/>
              <w:bottom w:w="40" w:type="dxa"/>
              <w:right w:w="0" w:type="dxa"/>
            </w:tcMar>
            <w:vAlign w:val="bottom"/>
          </w:tcPr>
          <w:p w14:paraId="7C207C92" w14:textId="77777777" w:rsidR="00834A75" w:rsidRDefault="00A6708C">
            <w:pPr>
              <w:jc w:val="right"/>
              <w:textAlignment w:val="bottom"/>
            </w:pPr>
            <w:r>
              <w:rPr>
                <w:rFonts w:ascii="sans-serif" w:eastAsia="sans-serif" w:hAnsi="sans-serif" w:cs="sans-serif"/>
                <w:color w:val="000000"/>
                <w:sz w:val="15"/>
                <w:szCs w:val="15"/>
              </w:rPr>
              <w:t>26,320 </w:t>
            </w:r>
          </w:p>
        </w:tc>
        <w:tc>
          <w:tcPr>
            <w:tcW w:w="0" w:type="auto"/>
            <w:tcBorders>
              <w:top w:val="single" w:sz="8" w:space="0" w:color="000000"/>
            </w:tcBorders>
            <w:shd w:val="clear" w:color="auto" w:fill="E2EFD9"/>
            <w:tcMar>
              <w:top w:w="40" w:type="dxa"/>
              <w:left w:w="0" w:type="dxa"/>
              <w:bottom w:w="40" w:type="dxa"/>
              <w:right w:w="20" w:type="dxa"/>
            </w:tcMar>
            <w:vAlign w:val="bottom"/>
          </w:tcPr>
          <w:p w14:paraId="7C207C93" w14:textId="77777777" w:rsidR="00834A75" w:rsidRDefault="00834A75">
            <w:pPr>
              <w:jc w:val="right"/>
              <w:rPr>
                <w:rFonts w:ascii="宋体"/>
              </w:rPr>
            </w:pPr>
          </w:p>
        </w:tc>
      </w:tr>
      <w:tr w:rsidR="00834A75" w14:paraId="7C207CB0" w14:textId="77777777">
        <w:trPr>
          <w:jc w:val="center"/>
        </w:trPr>
        <w:tc>
          <w:tcPr>
            <w:tcW w:w="0" w:type="auto"/>
            <w:gridSpan w:val="3"/>
            <w:shd w:val="clear" w:color="auto" w:fill="FFFFFF"/>
            <w:tcMar>
              <w:top w:w="40" w:type="dxa"/>
              <w:left w:w="20" w:type="dxa"/>
              <w:bottom w:w="40" w:type="dxa"/>
              <w:right w:w="20" w:type="dxa"/>
            </w:tcMar>
            <w:vAlign w:val="bottom"/>
          </w:tcPr>
          <w:p w14:paraId="7C207C95" w14:textId="77777777" w:rsidR="00834A75" w:rsidRDefault="00A6708C">
            <w:pPr>
              <w:textAlignment w:val="bottom"/>
            </w:pPr>
            <w:r>
              <w:rPr>
                <w:rFonts w:ascii="sans-serif" w:eastAsia="sans-serif" w:hAnsi="sans-serif" w:cs="sans-serif"/>
                <w:color w:val="000000"/>
                <w:sz w:val="15"/>
                <w:szCs w:val="15"/>
              </w:rPr>
              <w:t>Balances, January 31, 2021</w:t>
            </w:r>
          </w:p>
        </w:tc>
        <w:tc>
          <w:tcPr>
            <w:tcW w:w="0" w:type="auto"/>
            <w:gridSpan w:val="2"/>
            <w:tcBorders>
              <w:top w:val="double" w:sz="6" w:space="0" w:color="000000"/>
            </w:tcBorders>
            <w:shd w:val="clear" w:color="auto" w:fill="FFFFFF"/>
            <w:tcMar>
              <w:top w:w="40" w:type="dxa"/>
              <w:left w:w="20" w:type="dxa"/>
              <w:bottom w:w="40" w:type="dxa"/>
              <w:right w:w="0" w:type="dxa"/>
            </w:tcMar>
            <w:vAlign w:val="bottom"/>
          </w:tcPr>
          <w:p w14:paraId="7C207C96" w14:textId="77777777" w:rsidR="00834A75" w:rsidRDefault="00A6708C">
            <w:pPr>
              <w:jc w:val="right"/>
              <w:textAlignment w:val="bottom"/>
            </w:pPr>
            <w:r>
              <w:rPr>
                <w:rFonts w:ascii="sans-serif" w:eastAsia="sans-serif" w:hAnsi="sans-serif" w:cs="sans-serif"/>
                <w:color w:val="000000"/>
                <w:sz w:val="15"/>
                <w:szCs w:val="15"/>
              </w:rPr>
              <w:t>2,479 </w:t>
            </w:r>
          </w:p>
        </w:tc>
        <w:tc>
          <w:tcPr>
            <w:tcW w:w="0" w:type="auto"/>
            <w:tcBorders>
              <w:top w:val="double" w:sz="6" w:space="0" w:color="000000"/>
            </w:tcBorders>
            <w:shd w:val="clear" w:color="auto" w:fill="FFFFFF"/>
            <w:tcMar>
              <w:top w:w="40" w:type="dxa"/>
              <w:left w:w="0" w:type="dxa"/>
              <w:bottom w:w="40" w:type="dxa"/>
              <w:right w:w="20" w:type="dxa"/>
            </w:tcMar>
            <w:vAlign w:val="bottom"/>
          </w:tcPr>
          <w:p w14:paraId="7C207C97" w14:textId="77777777" w:rsidR="00834A75" w:rsidRDefault="00834A75">
            <w:pPr>
              <w:jc w:val="right"/>
              <w:rPr>
                <w:rFonts w:ascii="宋体"/>
              </w:rPr>
            </w:pPr>
          </w:p>
        </w:tc>
        <w:tc>
          <w:tcPr>
            <w:tcW w:w="0" w:type="auto"/>
            <w:gridSpan w:val="3"/>
            <w:shd w:val="clear" w:color="auto" w:fill="FFFFFF"/>
            <w:tcMar>
              <w:top w:w="0" w:type="dxa"/>
              <w:left w:w="20" w:type="dxa"/>
              <w:bottom w:w="0" w:type="dxa"/>
              <w:right w:w="20" w:type="dxa"/>
            </w:tcMar>
            <w:vAlign w:val="bottom"/>
          </w:tcPr>
          <w:p w14:paraId="7C207C98" w14:textId="77777777" w:rsidR="00834A75" w:rsidRDefault="00834A75">
            <w:pPr>
              <w:rPr>
                <w:rFonts w:ascii="宋体"/>
              </w:rPr>
            </w:pPr>
          </w:p>
        </w:tc>
        <w:tc>
          <w:tcPr>
            <w:tcW w:w="0" w:type="auto"/>
            <w:tcBorders>
              <w:top w:val="double" w:sz="6" w:space="0" w:color="000000"/>
            </w:tcBorders>
            <w:shd w:val="clear" w:color="auto" w:fill="FFFFFF"/>
            <w:tcMar>
              <w:top w:w="40" w:type="dxa"/>
              <w:left w:w="20" w:type="dxa"/>
              <w:bottom w:w="40" w:type="dxa"/>
              <w:right w:w="0" w:type="dxa"/>
            </w:tcMar>
            <w:vAlign w:val="bottom"/>
          </w:tcPr>
          <w:p w14:paraId="7C207C99" w14:textId="77777777" w:rsidR="00834A75" w:rsidRDefault="00A6708C">
            <w:pPr>
              <w:textAlignment w:val="bottom"/>
            </w:pPr>
            <w:r>
              <w:rPr>
                <w:rFonts w:ascii="sans-serif" w:eastAsia="sans-serif" w:hAnsi="sans-serif" w:cs="sans-serif"/>
                <w:color w:val="000000"/>
                <w:sz w:val="15"/>
                <w:szCs w:val="15"/>
              </w:rPr>
              <w:t>$</w:t>
            </w:r>
          </w:p>
        </w:tc>
        <w:tc>
          <w:tcPr>
            <w:tcW w:w="0" w:type="auto"/>
            <w:tcBorders>
              <w:top w:val="double" w:sz="6" w:space="0" w:color="000000"/>
            </w:tcBorders>
            <w:shd w:val="clear" w:color="auto" w:fill="FFFFFF"/>
            <w:tcMar>
              <w:top w:w="40" w:type="dxa"/>
              <w:left w:w="0" w:type="dxa"/>
              <w:bottom w:w="40" w:type="dxa"/>
              <w:right w:w="0" w:type="dxa"/>
            </w:tcMar>
            <w:vAlign w:val="bottom"/>
          </w:tcPr>
          <w:p w14:paraId="7C207C9A" w14:textId="77777777" w:rsidR="00834A75" w:rsidRDefault="00A6708C">
            <w:pPr>
              <w:jc w:val="right"/>
              <w:textAlignment w:val="bottom"/>
            </w:pPr>
            <w:r>
              <w:rPr>
                <w:rFonts w:ascii="sans-serif" w:eastAsia="sans-serif" w:hAnsi="sans-serif" w:cs="sans-serif"/>
                <w:color w:val="000000"/>
                <w:sz w:val="15"/>
                <w:szCs w:val="15"/>
              </w:rPr>
              <w:t>3 </w:t>
            </w:r>
          </w:p>
        </w:tc>
        <w:tc>
          <w:tcPr>
            <w:tcW w:w="0" w:type="auto"/>
            <w:tcBorders>
              <w:top w:val="double" w:sz="6" w:space="0" w:color="000000"/>
            </w:tcBorders>
            <w:shd w:val="clear" w:color="auto" w:fill="FFFFFF"/>
            <w:tcMar>
              <w:top w:w="40" w:type="dxa"/>
              <w:left w:w="0" w:type="dxa"/>
              <w:bottom w:w="40" w:type="dxa"/>
              <w:right w:w="20" w:type="dxa"/>
            </w:tcMar>
            <w:vAlign w:val="bottom"/>
          </w:tcPr>
          <w:p w14:paraId="7C207C9B" w14:textId="77777777" w:rsidR="00834A75" w:rsidRDefault="00834A75">
            <w:pPr>
              <w:jc w:val="right"/>
              <w:rPr>
                <w:rFonts w:ascii="宋体"/>
              </w:rPr>
            </w:pPr>
          </w:p>
        </w:tc>
        <w:tc>
          <w:tcPr>
            <w:tcW w:w="0" w:type="auto"/>
            <w:gridSpan w:val="3"/>
            <w:shd w:val="clear" w:color="auto" w:fill="FFFFFF"/>
            <w:tcMar>
              <w:top w:w="0" w:type="dxa"/>
              <w:left w:w="20" w:type="dxa"/>
              <w:bottom w:w="0" w:type="dxa"/>
              <w:right w:w="20" w:type="dxa"/>
            </w:tcMar>
            <w:vAlign w:val="bottom"/>
          </w:tcPr>
          <w:p w14:paraId="7C207C9C" w14:textId="77777777" w:rsidR="00834A75" w:rsidRDefault="00834A75">
            <w:pPr>
              <w:rPr>
                <w:rFonts w:ascii="宋体"/>
              </w:rPr>
            </w:pPr>
          </w:p>
        </w:tc>
        <w:tc>
          <w:tcPr>
            <w:tcW w:w="0" w:type="auto"/>
            <w:tcBorders>
              <w:top w:val="double" w:sz="6" w:space="0" w:color="000000"/>
            </w:tcBorders>
            <w:shd w:val="clear" w:color="auto" w:fill="FFFFFF"/>
            <w:tcMar>
              <w:top w:w="40" w:type="dxa"/>
              <w:left w:w="20" w:type="dxa"/>
              <w:bottom w:w="40" w:type="dxa"/>
              <w:right w:w="0" w:type="dxa"/>
            </w:tcMar>
            <w:vAlign w:val="bottom"/>
          </w:tcPr>
          <w:p w14:paraId="7C207C9D" w14:textId="77777777" w:rsidR="00834A75" w:rsidRDefault="00A6708C">
            <w:pPr>
              <w:textAlignment w:val="bottom"/>
            </w:pPr>
            <w:r>
              <w:rPr>
                <w:rFonts w:ascii="sans-serif" w:eastAsia="sans-serif" w:hAnsi="sans-serif" w:cs="sans-serif"/>
                <w:color w:val="000000"/>
                <w:sz w:val="15"/>
                <w:szCs w:val="15"/>
              </w:rPr>
              <w:t>$</w:t>
            </w:r>
          </w:p>
        </w:tc>
        <w:tc>
          <w:tcPr>
            <w:tcW w:w="0" w:type="auto"/>
            <w:tcBorders>
              <w:top w:val="double" w:sz="6" w:space="0" w:color="000000"/>
            </w:tcBorders>
            <w:shd w:val="clear" w:color="auto" w:fill="FFFFFF"/>
            <w:tcMar>
              <w:top w:w="40" w:type="dxa"/>
              <w:left w:w="0" w:type="dxa"/>
              <w:bottom w:w="40" w:type="dxa"/>
              <w:right w:w="0" w:type="dxa"/>
            </w:tcMar>
            <w:vAlign w:val="bottom"/>
          </w:tcPr>
          <w:p w14:paraId="7C207C9E" w14:textId="77777777" w:rsidR="00834A75" w:rsidRDefault="00A6708C">
            <w:pPr>
              <w:jc w:val="right"/>
              <w:textAlignment w:val="bottom"/>
            </w:pPr>
            <w:r>
              <w:rPr>
                <w:rFonts w:ascii="sans-serif" w:eastAsia="sans-serif" w:hAnsi="sans-serif" w:cs="sans-serif"/>
                <w:color w:val="000000"/>
                <w:sz w:val="15"/>
                <w:szCs w:val="15"/>
              </w:rPr>
              <w:t>8,719 </w:t>
            </w:r>
          </w:p>
        </w:tc>
        <w:tc>
          <w:tcPr>
            <w:tcW w:w="0" w:type="auto"/>
            <w:tcBorders>
              <w:top w:val="double" w:sz="6" w:space="0" w:color="000000"/>
            </w:tcBorders>
            <w:shd w:val="clear" w:color="auto" w:fill="FFFFFF"/>
            <w:tcMar>
              <w:top w:w="40" w:type="dxa"/>
              <w:left w:w="0" w:type="dxa"/>
              <w:bottom w:w="40" w:type="dxa"/>
              <w:right w:w="20" w:type="dxa"/>
            </w:tcMar>
            <w:vAlign w:val="bottom"/>
          </w:tcPr>
          <w:p w14:paraId="7C207C9F" w14:textId="77777777" w:rsidR="00834A75" w:rsidRDefault="00834A75">
            <w:pPr>
              <w:jc w:val="right"/>
              <w:rPr>
                <w:rFonts w:ascii="宋体"/>
              </w:rPr>
            </w:pPr>
          </w:p>
        </w:tc>
        <w:tc>
          <w:tcPr>
            <w:tcW w:w="0" w:type="auto"/>
            <w:gridSpan w:val="3"/>
            <w:shd w:val="clear" w:color="auto" w:fill="FFFFFF"/>
            <w:tcMar>
              <w:top w:w="0" w:type="dxa"/>
              <w:left w:w="20" w:type="dxa"/>
              <w:bottom w:w="0" w:type="dxa"/>
              <w:right w:w="20" w:type="dxa"/>
            </w:tcMar>
            <w:vAlign w:val="bottom"/>
          </w:tcPr>
          <w:p w14:paraId="7C207CA0" w14:textId="77777777" w:rsidR="00834A75" w:rsidRDefault="00834A75">
            <w:pPr>
              <w:rPr>
                <w:rFonts w:ascii="宋体"/>
              </w:rPr>
            </w:pPr>
          </w:p>
        </w:tc>
        <w:tc>
          <w:tcPr>
            <w:tcW w:w="0" w:type="auto"/>
            <w:tcBorders>
              <w:top w:val="double" w:sz="6" w:space="0" w:color="000000"/>
            </w:tcBorders>
            <w:shd w:val="clear" w:color="auto" w:fill="FFFFFF"/>
            <w:tcMar>
              <w:top w:w="40" w:type="dxa"/>
              <w:left w:w="20" w:type="dxa"/>
              <w:bottom w:w="40" w:type="dxa"/>
              <w:right w:w="0" w:type="dxa"/>
            </w:tcMar>
            <w:vAlign w:val="bottom"/>
          </w:tcPr>
          <w:p w14:paraId="7C207CA1" w14:textId="77777777" w:rsidR="00834A75" w:rsidRDefault="00A6708C">
            <w:pPr>
              <w:textAlignment w:val="bottom"/>
            </w:pPr>
            <w:r>
              <w:rPr>
                <w:rFonts w:ascii="sans-serif" w:eastAsia="sans-serif" w:hAnsi="sans-serif" w:cs="sans-serif"/>
                <w:color w:val="000000"/>
                <w:sz w:val="15"/>
                <w:szCs w:val="15"/>
              </w:rPr>
              <w:t>$</w:t>
            </w:r>
          </w:p>
        </w:tc>
        <w:tc>
          <w:tcPr>
            <w:tcW w:w="0" w:type="auto"/>
            <w:tcBorders>
              <w:top w:val="double" w:sz="6" w:space="0" w:color="000000"/>
            </w:tcBorders>
            <w:shd w:val="clear" w:color="auto" w:fill="FFFFFF"/>
            <w:tcMar>
              <w:top w:w="40" w:type="dxa"/>
              <w:left w:w="0" w:type="dxa"/>
              <w:bottom w:w="40" w:type="dxa"/>
              <w:right w:w="0" w:type="dxa"/>
            </w:tcMar>
            <w:vAlign w:val="bottom"/>
          </w:tcPr>
          <w:p w14:paraId="7C207CA2" w14:textId="77777777" w:rsidR="00834A75" w:rsidRDefault="00A6708C">
            <w:pPr>
              <w:jc w:val="right"/>
              <w:textAlignment w:val="bottom"/>
            </w:pPr>
            <w:r>
              <w:rPr>
                <w:rFonts w:ascii="sans-serif" w:eastAsia="sans-serif" w:hAnsi="sans-serif" w:cs="sans-serif"/>
                <w:color w:val="000000"/>
                <w:sz w:val="15"/>
                <w:szCs w:val="15"/>
              </w:rPr>
              <w:t>(10,756)</w:t>
            </w:r>
          </w:p>
        </w:tc>
        <w:tc>
          <w:tcPr>
            <w:tcW w:w="0" w:type="auto"/>
            <w:tcBorders>
              <w:top w:val="double" w:sz="6" w:space="0" w:color="000000"/>
            </w:tcBorders>
            <w:shd w:val="clear" w:color="auto" w:fill="FFFFFF"/>
            <w:tcMar>
              <w:top w:w="40" w:type="dxa"/>
              <w:left w:w="0" w:type="dxa"/>
              <w:bottom w:w="40" w:type="dxa"/>
              <w:right w:w="20" w:type="dxa"/>
            </w:tcMar>
            <w:vAlign w:val="bottom"/>
          </w:tcPr>
          <w:p w14:paraId="7C207CA3" w14:textId="77777777" w:rsidR="00834A75" w:rsidRDefault="00834A75">
            <w:pPr>
              <w:jc w:val="right"/>
              <w:rPr>
                <w:rFonts w:ascii="宋体"/>
              </w:rPr>
            </w:pPr>
          </w:p>
        </w:tc>
        <w:tc>
          <w:tcPr>
            <w:tcW w:w="0" w:type="auto"/>
            <w:gridSpan w:val="3"/>
            <w:shd w:val="clear" w:color="auto" w:fill="FFFFFF"/>
            <w:tcMar>
              <w:top w:w="0" w:type="dxa"/>
              <w:left w:w="20" w:type="dxa"/>
              <w:bottom w:w="0" w:type="dxa"/>
              <w:right w:w="20" w:type="dxa"/>
            </w:tcMar>
            <w:vAlign w:val="bottom"/>
          </w:tcPr>
          <w:p w14:paraId="7C207CA4" w14:textId="77777777" w:rsidR="00834A75" w:rsidRDefault="00834A75">
            <w:pPr>
              <w:rPr>
                <w:rFonts w:ascii="宋体"/>
              </w:rPr>
            </w:pPr>
          </w:p>
        </w:tc>
        <w:tc>
          <w:tcPr>
            <w:tcW w:w="0" w:type="auto"/>
            <w:tcBorders>
              <w:top w:val="double" w:sz="6" w:space="0" w:color="000000"/>
            </w:tcBorders>
            <w:shd w:val="clear" w:color="auto" w:fill="FFFFFF"/>
            <w:tcMar>
              <w:top w:w="40" w:type="dxa"/>
              <w:left w:w="20" w:type="dxa"/>
              <w:bottom w:w="40" w:type="dxa"/>
              <w:right w:w="0" w:type="dxa"/>
            </w:tcMar>
            <w:vAlign w:val="bottom"/>
          </w:tcPr>
          <w:p w14:paraId="7C207CA5" w14:textId="77777777" w:rsidR="00834A75" w:rsidRDefault="00A6708C">
            <w:pPr>
              <w:textAlignment w:val="bottom"/>
            </w:pPr>
            <w:r>
              <w:rPr>
                <w:rFonts w:ascii="sans-serif" w:eastAsia="sans-serif" w:hAnsi="sans-serif" w:cs="sans-serif"/>
                <w:color w:val="000000"/>
                <w:sz w:val="15"/>
                <w:szCs w:val="15"/>
              </w:rPr>
              <w:t>$</w:t>
            </w:r>
          </w:p>
        </w:tc>
        <w:tc>
          <w:tcPr>
            <w:tcW w:w="0" w:type="auto"/>
            <w:tcBorders>
              <w:top w:val="double" w:sz="6" w:space="0" w:color="000000"/>
            </w:tcBorders>
            <w:shd w:val="clear" w:color="auto" w:fill="FFFFFF"/>
            <w:tcMar>
              <w:top w:w="40" w:type="dxa"/>
              <w:left w:w="0" w:type="dxa"/>
              <w:bottom w:w="40" w:type="dxa"/>
              <w:right w:w="0" w:type="dxa"/>
            </w:tcMar>
            <w:vAlign w:val="bottom"/>
          </w:tcPr>
          <w:p w14:paraId="7C207CA6" w14:textId="77777777" w:rsidR="00834A75" w:rsidRDefault="00A6708C">
            <w:pPr>
              <w:jc w:val="right"/>
              <w:textAlignment w:val="bottom"/>
            </w:pPr>
            <w:r>
              <w:rPr>
                <w:rFonts w:ascii="sans-serif" w:eastAsia="sans-serif" w:hAnsi="sans-serif" w:cs="sans-serif"/>
                <w:color w:val="000000"/>
                <w:sz w:val="15"/>
                <w:szCs w:val="15"/>
              </w:rPr>
              <w:t>19 </w:t>
            </w:r>
          </w:p>
        </w:tc>
        <w:tc>
          <w:tcPr>
            <w:tcW w:w="0" w:type="auto"/>
            <w:tcBorders>
              <w:top w:val="double" w:sz="6" w:space="0" w:color="000000"/>
            </w:tcBorders>
            <w:shd w:val="clear" w:color="auto" w:fill="FFFFFF"/>
            <w:tcMar>
              <w:top w:w="40" w:type="dxa"/>
              <w:left w:w="0" w:type="dxa"/>
              <w:bottom w:w="40" w:type="dxa"/>
              <w:right w:w="20" w:type="dxa"/>
            </w:tcMar>
            <w:vAlign w:val="bottom"/>
          </w:tcPr>
          <w:p w14:paraId="7C207CA7" w14:textId="77777777" w:rsidR="00834A75" w:rsidRDefault="00834A75">
            <w:pPr>
              <w:jc w:val="right"/>
              <w:rPr>
                <w:rFonts w:ascii="宋体"/>
              </w:rPr>
            </w:pPr>
          </w:p>
        </w:tc>
        <w:tc>
          <w:tcPr>
            <w:tcW w:w="0" w:type="auto"/>
            <w:gridSpan w:val="3"/>
            <w:shd w:val="clear" w:color="auto" w:fill="FFFFFF"/>
            <w:tcMar>
              <w:top w:w="0" w:type="dxa"/>
              <w:left w:w="20" w:type="dxa"/>
              <w:bottom w:w="0" w:type="dxa"/>
              <w:right w:w="20" w:type="dxa"/>
            </w:tcMar>
            <w:vAlign w:val="bottom"/>
          </w:tcPr>
          <w:p w14:paraId="7C207CA8" w14:textId="77777777" w:rsidR="00834A75" w:rsidRDefault="00834A75">
            <w:pPr>
              <w:rPr>
                <w:rFonts w:ascii="宋体"/>
              </w:rPr>
            </w:pPr>
          </w:p>
        </w:tc>
        <w:tc>
          <w:tcPr>
            <w:tcW w:w="0" w:type="auto"/>
            <w:tcBorders>
              <w:top w:val="double" w:sz="6" w:space="0" w:color="000000"/>
            </w:tcBorders>
            <w:shd w:val="clear" w:color="auto" w:fill="FFFFFF"/>
            <w:tcMar>
              <w:top w:w="40" w:type="dxa"/>
              <w:left w:w="20" w:type="dxa"/>
              <w:bottom w:w="40" w:type="dxa"/>
              <w:right w:w="0" w:type="dxa"/>
            </w:tcMar>
            <w:vAlign w:val="bottom"/>
          </w:tcPr>
          <w:p w14:paraId="7C207CA9" w14:textId="77777777" w:rsidR="00834A75" w:rsidRDefault="00A6708C">
            <w:pPr>
              <w:textAlignment w:val="bottom"/>
            </w:pPr>
            <w:r>
              <w:rPr>
                <w:rFonts w:ascii="sans-serif" w:eastAsia="sans-serif" w:hAnsi="sans-serif" w:cs="sans-serif"/>
                <w:color w:val="000000"/>
                <w:sz w:val="15"/>
                <w:szCs w:val="15"/>
              </w:rPr>
              <w:t>$</w:t>
            </w:r>
          </w:p>
        </w:tc>
        <w:tc>
          <w:tcPr>
            <w:tcW w:w="0" w:type="auto"/>
            <w:tcBorders>
              <w:top w:val="double" w:sz="6" w:space="0" w:color="000000"/>
            </w:tcBorders>
            <w:shd w:val="clear" w:color="auto" w:fill="FFFFFF"/>
            <w:tcMar>
              <w:top w:w="40" w:type="dxa"/>
              <w:left w:w="0" w:type="dxa"/>
              <w:bottom w:w="40" w:type="dxa"/>
              <w:right w:w="0" w:type="dxa"/>
            </w:tcMar>
            <w:vAlign w:val="bottom"/>
          </w:tcPr>
          <w:p w14:paraId="7C207CAA" w14:textId="77777777" w:rsidR="00834A75" w:rsidRDefault="00A6708C">
            <w:pPr>
              <w:jc w:val="right"/>
              <w:textAlignment w:val="bottom"/>
            </w:pPr>
            <w:r>
              <w:rPr>
                <w:rFonts w:ascii="sans-serif" w:eastAsia="sans-serif" w:hAnsi="sans-serif" w:cs="sans-serif"/>
                <w:color w:val="000000"/>
                <w:sz w:val="15"/>
                <w:szCs w:val="15"/>
              </w:rPr>
              <w:t>18,908 </w:t>
            </w:r>
          </w:p>
        </w:tc>
        <w:tc>
          <w:tcPr>
            <w:tcW w:w="0" w:type="auto"/>
            <w:tcBorders>
              <w:top w:val="double" w:sz="6" w:space="0" w:color="000000"/>
            </w:tcBorders>
            <w:shd w:val="clear" w:color="auto" w:fill="FFFFFF"/>
            <w:tcMar>
              <w:top w:w="40" w:type="dxa"/>
              <w:left w:w="0" w:type="dxa"/>
              <w:bottom w:w="40" w:type="dxa"/>
              <w:right w:w="20" w:type="dxa"/>
            </w:tcMar>
            <w:vAlign w:val="bottom"/>
          </w:tcPr>
          <w:p w14:paraId="7C207CAB" w14:textId="77777777" w:rsidR="00834A75" w:rsidRDefault="00834A75">
            <w:pPr>
              <w:jc w:val="right"/>
              <w:rPr>
                <w:rFonts w:ascii="宋体"/>
              </w:rPr>
            </w:pPr>
          </w:p>
        </w:tc>
        <w:tc>
          <w:tcPr>
            <w:tcW w:w="0" w:type="auto"/>
            <w:gridSpan w:val="3"/>
            <w:shd w:val="clear" w:color="auto" w:fill="FFFFFF"/>
            <w:tcMar>
              <w:top w:w="0" w:type="dxa"/>
              <w:left w:w="20" w:type="dxa"/>
              <w:bottom w:w="0" w:type="dxa"/>
              <w:right w:w="20" w:type="dxa"/>
            </w:tcMar>
            <w:vAlign w:val="bottom"/>
          </w:tcPr>
          <w:p w14:paraId="7C207CAC" w14:textId="77777777" w:rsidR="00834A75" w:rsidRDefault="00834A75">
            <w:pPr>
              <w:rPr>
                <w:rFonts w:ascii="宋体"/>
              </w:rPr>
            </w:pPr>
          </w:p>
        </w:tc>
        <w:tc>
          <w:tcPr>
            <w:tcW w:w="0" w:type="auto"/>
            <w:tcBorders>
              <w:top w:val="double" w:sz="6" w:space="0" w:color="000000"/>
            </w:tcBorders>
            <w:shd w:val="clear" w:color="auto" w:fill="FFFFFF"/>
            <w:tcMar>
              <w:top w:w="40" w:type="dxa"/>
              <w:left w:w="20" w:type="dxa"/>
              <w:bottom w:w="40" w:type="dxa"/>
              <w:right w:w="0" w:type="dxa"/>
            </w:tcMar>
            <w:vAlign w:val="bottom"/>
          </w:tcPr>
          <w:p w14:paraId="7C207CAD" w14:textId="77777777" w:rsidR="00834A75" w:rsidRDefault="00A6708C">
            <w:pPr>
              <w:textAlignment w:val="bottom"/>
            </w:pPr>
            <w:r>
              <w:rPr>
                <w:rFonts w:ascii="sans-serif" w:eastAsia="sans-serif" w:hAnsi="sans-serif" w:cs="sans-serif"/>
                <w:color w:val="000000"/>
                <w:sz w:val="15"/>
                <w:szCs w:val="15"/>
              </w:rPr>
              <w:t>$</w:t>
            </w:r>
          </w:p>
        </w:tc>
        <w:tc>
          <w:tcPr>
            <w:tcW w:w="0" w:type="auto"/>
            <w:tcBorders>
              <w:top w:val="double" w:sz="6" w:space="0" w:color="000000"/>
            </w:tcBorders>
            <w:shd w:val="clear" w:color="auto" w:fill="FFFFFF"/>
            <w:tcMar>
              <w:top w:w="40" w:type="dxa"/>
              <w:left w:w="0" w:type="dxa"/>
              <w:bottom w:w="40" w:type="dxa"/>
              <w:right w:w="0" w:type="dxa"/>
            </w:tcMar>
            <w:vAlign w:val="bottom"/>
          </w:tcPr>
          <w:p w14:paraId="7C207CAE" w14:textId="77777777" w:rsidR="00834A75" w:rsidRDefault="00A6708C">
            <w:pPr>
              <w:jc w:val="right"/>
              <w:textAlignment w:val="bottom"/>
            </w:pPr>
            <w:r>
              <w:rPr>
                <w:rFonts w:ascii="sans-serif" w:eastAsia="sans-serif" w:hAnsi="sans-serif" w:cs="sans-serif"/>
                <w:color w:val="000000"/>
                <w:sz w:val="15"/>
                <w:szCs w:val="15"/>
              </w:rPr>
              <w:t>16,893 </w:t>
            </w:r>
          </w:p>
        </w:tc>
        <w:tc>
          <w:tcPr>
            <w:tcW w:w="0" w:type="auto"/>
            <w:tcBorders>
              <w:top w:val="double" w:sz="6" w:space="0" w:color="000000"/>
            </w:tcBorders>
            <w:shd w:val="clear" w:color="auto" w:fill="FFFFFF"/>
            <w:tcMar>
              <w:top w:w="40" w:type="dxa"/>
              <w:left w:w="0" w:type="dxa"/>
              <w:bottom w:w="40" w:type="dxa"/>
              <w:right w:w="20" w:type="dxa"/>
            </w:tcMar>
            <w:vAlign w:val="bottom"/>
          </w:tcPr>
          <w:p w14:paraId="7C207CAF" w14:textId="77777777" w:rsidR="00834A75" w:rsidRDefault="00834A75">
            <w:pPr>
              <w:jc w:val="right"/>
              <w:rPr>
                <w:rFonts w:ascii="宋体"/>
              </w:rPr>
            </w:pPr>
          </w:p>
        </w:tc>
      </w:tr>
      <w:tr w:rsidR="00834A75" w14:paraId="7C207CC6" w14:textId="77777777">
        <w:trPr>
          <w:jc w:val="center"/>
        </w:trPr>
        <w:tc>
          <w:tcPr>
            <w:tcW w:w="0" w:type="auto"/>
            <w:gridSpan w:val="3"/>
            <w:shd w:val="clear" w:color="auto" w:fill="E2EFD9"/>
            <w:tcMar>
              <w:top w:w="40" w:type="dxa"/>
              <w:left w:w="20" w:type="dxa"/>
              <w:bottom w:w="40" w:type="dxa"/>
              <w:right w:w="20" w:type="dxa"/>
            </w:tcMar>
            <w:vAlign w:val="bottom"/>
          </w:tcPr>
          <w:p w14:paraId="7C207CB1" w14:textId="77777777" w:rsidR="00834A75" w:rsidRDefault="00A6708C">
            <w:pPr>
              <w:textAlignment w:val="bottom"/>
            </w:pPr>
            <w:r>
              <w:rPr>
                <w:rFonts w:ascii="sans-serif" w:eastAsia="sans-serif" w:hAnsi="sans-serif" w:cs="sans-serif"/>
                <w:color w:val="000000"/>
                <w:sz w:val="15"/>
                <w:szCs w:val="15"/>
              </w:rPr>
              <w:t>Net income</w:t>
            </w:r>
          </w:p>
        </w:tc>
        <w:tc>
          <w:tcPr>
            <w:tcW w:w="0" w:type="auto"/>
            <w:gridSpan w:val="2"/>
            <w:shd w:val="clear" w:color="auto" w:fill="E2EFD9"/>
            <w:tcMar>
              <w:top w:w="40" w:type="dxa"/>
              <w:left w:w="20" w:type="dxa"/>
              <w:bottom w:w="40" w:type="dxa"/>
              <w:right w:w="0" w:type="dxa"/>
            </w:tcMar>
            <w:vAlign w:val="bottom"/>
          </w:tcPr>
          <w:p w14:paraId="7C207CB2" w14:textId="77777777" w:rsidR="00834A75" w:rsidRDefault="00A6708C">
            <w:pPr>
              <w:jc w:val="right"/>
              <w:textAlignment w:val="bottom"/>
            </w:pPr>
            <w:r>
              <w:rPr>
                <w:rFonts w:ascii="sans-serif" w:eastAsia="sans-serif" w:hAnsi="sans-serif" w:cs="sans-serif"/>
                <w:color w:val="000000"/>
                <w:sz w:val="15"/>
                <w:szCs w:val="15"/>
              </w:rPr>
              <w:t>— </w:t>
            </w:r>
          </w:p>
        </w:tc>
        <w:tc>
          <w:tcPr>
            <w:tcW w:w="0" w:type="auto"/>
            <w:shd w:val="clear" w:color="auto" w:fill="E2EFD9"/>
            <w:tcMar>
              <w:top w:w="40" w:type="dxa"/>
              <w:left w:w="0" w:type="dxa"/>
              <w:bottom w:w="40" w:type="dxa"/>
              <w:right w:w="20" w:type="dxa"/>
            </w:tcMar>
            <w:vAlign w:val="bottom"/>
          </w:tcPr>
          <w:p w14:paraId="7C207CB3" w14:textId="77777777" w:rsidR="00834A75" w:rsidRDefault="00834A75">
            <w:pPr>
              <w:jc w:val="right"/>
              <w:rPr>
                <w:rFonts w:ascii="宋体"/>
              </w:rPr>
            </w:pPr>
          </w:p>
        </w:tc>
        <w:tc>
          <w:tcPr>
            <w:tcW w:w="0" w:type="auto"/>
            <w:gridSpan w:val="3"/>
            <w:shd w:val="clear" w:color="auto" w:fill="E2EFD9"/>
            <w:tcMar>
              <w:top w:w="0" w:type="dxa"/>
              <w:left w:w="20" w:type="dxa"/>
              <w:bottom w:w="0" w:type="dxa"/>
              <w:right w:w="20" w:type="dxa"/>
            </w:tcMar>
            <w:vAlign w:val="bottom"/>
          </w:tcPr>
          <w:p w14:paraId="7C207CB4" w14:textId="77777777" w:rsidR="00834A75" w:rsidRDefault="00834A75">
            <w:pPr>
              <w:rPr>
                <w:rFonts w:ascii="宋体"/>
              </w:rPr>
            </w:pPr>
          </w:p>
        </w:tc>
        <w:tc>
          <w:tcPr>
            <w:tcW w:w="0" w:type="auto"/>
            <w:gridSpan w:val="2"/>
            <w:shd w:val="clear" w:color="auto" w:fill="E2EFD9"/>
            <w:tcMar>
              <w:top w:w="40" w:type="dxa"/>
              <w:left w:w="20" w:type="dxa"/>
              <w:bottom w:w="40" w:type="dxa"/>
              <w:right w:w="0" w:type="dxa"/>
            </w:tcMar>
            <w:vAlign w:val="bottom"/>
          </w:tcPr>
          <w:p w14:paraId="7C207CB5" w14:textId="77777777" w:rsidR="00834A75" w:rsidRDefault="00A6708C">
            <w:pPr>
              <w:jc w:val="right"/>
              <w:textAlignment w:val="bottom"/>
            </w:pPr>
            <w:r>
              <w:rPr>
                <w:rFonts w:ascii="sans-serif" w:eastAsia="sans-serif" w:hAnsi="sans-serif" w:cs="sans-serif"/>
                <w:color w:val="000000"/>
                <w:sz w:val="15"/>
                <w:szCs w:val="15"/>
              </w:rPr>
              <w:t>— </w:t>
            </w:r>
          </w:p>
        </w:tc>
        <w:tc>
          <w:tcPr>
            <w:tcW w:w="0" w:type="auto"/>
            <w:shd w:val="clear" w:color="auto" w:fill="E2EFD9"/>
            <w:tcMar>
              <w:top w:w="40" w:type="dxa"/>
              <w:left w:w="0" w:type="dxa"/>
              <w:bottom w:w="40" w:type="dxa"/>
              <w:right w:w="20" w:type="dxa"/>
            </w:tcMar>
            <w:vAlign w:val="bottom"/>
          </w:tcPr>
          <w:p w14:paraId="7C207CB6" w14:textId="77777777" w:rsidR="00834A75" w:rsidRDefault="00834A75">
            <w:pPr>
              <w:jc w:val="right"/>
              <w:rPr>
                <w:rFonts w:ascii="宋体"/>
              </w:rPr>
            </w:pPr>
          </w:p>
        </w:tc>
        <w:tc>
          <w:tcPr>
            <w:tcW w:w="0" w:type="auto"/>
            <w:gridSpan w:val="3"/>
            <w:shd w:val="clear" w:color="auto" w:fill="E2EFD9"/>
            <w:tcMar>
              <w:top w:w="0" w:type="dxa"/>
              <w:left w:w="20" w:type="dxa"/>
              <w:bottom w:w="0" w:type="dxa"/>
              <w:right w:w="20" w:type="dxa"/>
            </w:tcMar>
            <w:vAlign w:val="bottom"/>
          </w:tcPr>
          <w:p w14:paraId="7C207CB7" w14:textId="77777777" w:rsidR="00834A75" w:rsidRDefault="00834A75">
            <w:pPr>
              <w:rPr>
                <w:rFonts w:ascii="宋体"/>
              </w:rPr>
            </w:pPr>
          </w:p>
        </w:tc>
        <w:tc>
          <w:tcPr>
            <w:tcW w:w="0" w:type="auto"/>
            <w:gridSpan w:val="2"/>
            <w:shd w:val="clear" w:color="auto" w:fill="E2EFD9"/>
            <w:tcMar>
              <w:top w:w="40" w:type="dxa"/>
              <w:left w:w="20" w:type="dxa"/>
              <w:bottom w:w="40" w:type="dxa"/>
              <w:right w:w="0" w:type="dxa"/>
            </w:tcMar>
            <w:vAlign w:val="bottom"/>
          </w:tcPr>
          <w:p w14:paraId="7C207CB8" w14:textId="77777777" w:rsidR="00834A75" w:rsidRDefault="00A6708C">
            <w:pPr>
              <w:jc w:val="right"/>
              <w:textAlignment w:val="bottom"/>
            </w:pPr>
            <w:r>
              <w:rPr>
                <w:rFonts w:ascii="sans-serif" w:eastAsia="sans-serif" w:hAnsi="sans-serif" w:cs="sans-serif"/>
                <w:color w:val="000000"/>
                <w:sz w:val="15"/>
                <w:szCs w:val="15"/>
              </w:rPr>
              <w:t>— </w:t>
            </w:r>
          </w:p>
        </w:tc>
        <w:tc>
          <w:tcPr>
            <w:tcW w:w="0" w:type="auto"/>
            <w:shd w:val="clear" w:color="auto" w:fill="E2EFD9"/>
            <w:tcMar>
              <w:top w:w="40" w:type="dxa"/>
              <w:left w:w="0" w:type="dxa"/>
              <w:bottom w:w="40" w:type="dxa"/>
              <w:right w:w="20" w:type="dxa"/>
            </w:tcMar>
            <w:vAlign w:val="bottom"/>
          </w:tcPr>
          <w:p w14:paraId="7C207CB9" w14:textId="77777777" w:rsidR="00834A75" w:rsidRDefault="00834A75">
            <w:pPr>
              <w:jc w:val="right"/>
              <w:rPr>
                <w:rFonts w:ascii="宋体"/>
              </w:rPr>
            </w:pPr>
          </w:p>
        </w:tc>
        <w:tc>
          <w:tcPr>
            <w:tcW w:w="0" w:type="auto"/>
            <w:gridSpan w:val="3"/>
            <w:shd w:val="clear" w:color="auto" w:fill="E2EFD9"/>
            <w:tcMar>
              <w:top w:w="0" w:type="dxa"/>
              <w:left w:w="20" w:type="dxa"/>
              <w:bottom w:w="0" w:type="dxa"/>
              <w:right w:w="20" w:type="dxa"/>
            </w:tcMar>
            <w:vAlign w:val="bottom"/>
          </w:tcPr>
          <w:p w14:paraId="7C207CBA" w14:textId="77777777" w:rsidR="00834A75" w:rsidRDefault="00834A75">
            <w:pPr>
              <w:rPr>
                <w:rFonts w:ascii="宋体"/>
              </w:rPr>
            </w:pPr>
          </w:p>
        </w:tc>
        <w:tc>
          <w:tcPr>
            <w:tcW w:w="0" w:type="auto"/>
            <w:gridSpan w:val="2"/>
            <w:shd w:val="clear" w:color="auto" w:fill="E2EFD9"/>
            <w:tcMar>
              <w:top w:w="40" w:type="dxa"/>
              <w:left w:w="20" w:type="dxa"/>
              <w:bottom w:w="40" w:type="dxa"/>
              <w:right w:w="0" w:type="dxa"/>
            </w:tcMar>
            <w:vAlign w:val="bottom"/>
          </w:tcPr>
          <w:p w14:paraId="7C207CBB" w14:textId="77777777" w:rsidR="00834A75" w:rsidRDefault="00A6708C">
            <w:pPr>
              <w:jc w:val="right"/>
              <w:textAlignment w:val="bottom"/>
            </w:pPr>
            <w:r>
              <w:rPr>
                <w:rFonts w:ascii="sans-serif" w:eastAsia="sans-serif" w:hAnsi="sans-serif" w:cs="sans-serif"/>
                <w:color w:val="000000"/>
                <w:sz w:val="15"/>
                <w:szCs w:val="15"/>
              </w:rPr>
              <w:t>— </w:t>
            </w:r>
          </w:p>
        </w:tc>
        <w:tc>
          <w:tcPr>
            <w:tcW w:w="0" w:type="auto"/>
            <w:shd w:val="clear" w:color="auto" w:fill="E2EFD9"/>
            <w:tcMar>
              <w:top w:w="40" w:type="dxa"/>
              <w:left w:w="0" w:type="dxa"/>
              <w:bottom w:w="40" w:type="dxa"/>
              <w:right w:w="20" w:type="dxa"/>
            </w:tcMar>
            <w:vAlign w:val="bottom"/>
          </w:tcPr>
          <w:p w14:paraId="7C207CBC" w14:textId="77777777" w:rsidR="00834A75" w:rsidRDefault="00834A75">
            <w:pPr>
              <w:jc w:val="right"/>
              <w:rPr>
                <w:rFonts w:ascii="宋体"/>
              </w:rPr>
            </w:pPr>
          </w:p>
        </w:tc>
        <w:tc>
          <w:tcPr>
            <w:tcW w:w="0" w:type="auto"/>
            <w:gridSpan w:val="3"/>
            <w:shd w:val="clear" w:color="auto" w:fill="E2EFD9"/>
            <w:tcMar>
              <w:top w:w="0" w:type="dxa"/>
              <w:left w:w="20" w:type="dxa"/>
              <w:bottom w:w="0" w:type="dxa"/>
              <w:right w:w="20" w:type="dxa"/>
            </w:tcMar>
            <w:vAlign w:val="bottom"/>
          </w:tcPr>
          <w:p w14:paraId="7C207CBD" w14:textId="77777777" w:rsidR="00834A75" w:rsidRDefault="00834A75">
            <w:pPr>
              <w:rPr>
                <w:rFonts w:ascii="宋体"/>
              </w:rPr>
            </w:pPr>
          </w:p>
        </w:tc>
        <w:tc>
          <w:tcPr>
            <w:tcW w:w="0" w:type="auto"/>
            <w:gridSpan w:val="2"/>
            <w:shd w:val="clear" w:color="auto" w:fill="E2EFD9"/>
            <w:tcMar>
              <w:top w:w="40" w:type="dxa"/>
              <w:left w:w="20" w:type="dxa"/>
              <w:bottom w:w="40" w:type="dxa"/>
              <w:right w:w="0" w:type="dxa"/>
            </w:tcMar>
            <w:vAlign w:val="bottom"/>
          </w:tcPr>
          <w:p w14:paraId="7C207CBE" w14:textId="77777777" w:rsidR="00834A75" w:rsidRDefault="00A6708C">
            <w:pPr>
              <w:jc w:val="right"/>
              <w:textAlignment w:val="bottom"/>
            </w:pPr>
            <w:r>
              <w:rPr>
                <w:rFonts w:ascii="sans-serif" w:eastAsia="sans-serif" w:hAnsi="sans-serif" w:cs="sans-serif"/>
                <w:color w:val="000000"/>
                <w:sz w:val="15"/>
                <w:szCs w:val="15"/>
              </w:rPr>
              <w:t>— </w:t>
            </w:r>
          </w:p>
        </w:tc>
        <w:tc>
          <w:tcPr>
            <w:tcW w:w="0" w:type="auto"/>
            <w:shd w:val="clear" w:color="auto" w:fill="E2EFD9"/>
            <w:tcMar>
              <w:top w:w="40" w:type="dxa"/>
              <w:left w:w="0" w:type="dxa"/>
              <w:bottom w:w="40" w:type="dxa"/>
              <w:right w:w="20" w:type="dxa"/>
            </w:tcMar>
            <w:vAlign w:val="bottom"/>
          </w:tcPr>
          <w:p w14:paraId="7C207CBF" w14:textId="77777777" w:rsidR="00834A75" w:rsidRDefault="00834A75">
            <w:pPr>
              <w:jc w:val="right"/>
              <w:rPr>
                <w:rFonts w:ascii="宋体"/>
              </w:rPr>
            </w:pPr>
          </w:p>
        </w:tc>
        <w:tc>
          <w:tcPr>
            <w:tcW w:w="0" w:type="auto"/>
            <w:gridSpan w:val="3"/>
            <w:shd w:val="clear" w:color="auto" w:fill="E2EFD9"/>
            <w:tcMar>
              <w:top w:w="0" w:type="dxa"/>
              <w:left w:w="20" w:type="dxa"/>
              <w:bottom w:w="0" w:type="dxa"/>
              <w:right w:w="20" w:type="dxa"/>
            </w:tcMar>
            <w:vAlign w:val="bottom"/>
          </w:tcPr>
          <w:p w14:paraId="7C207CC0" w14:textId="77777777" w:rsidR="00834A75" w:rsidRDefault="00834A75">
            <w:pPr>
              <w:rPr>
                <w:rFonts w:ascii="宋体"/>
              </w:rPr>
            </w:pPr>
          </w:p>
        </w:tc>
        <w:tc>
          <w:tcPr>
            <w:tcW w:w="0" w:type="auto"/>
            <w:gridSpan w:val="2"/>
            <w:shd w:val="clear" w:color="auto" w:fill="E2EFD9"/>
            <w:tcMar>
              <w:top w:w="40" w:type="dxa"/>
              <w:left w:w="20" w:type="dxa"/>
              <w:bottom w:w="40" w:type="dxa"/>
              <w:right w:w="0" w:type="dxa"/>
            </w:tcMar>
            <w:vAlign w:val="bottom"/>
          </w:tcPr>
          <w:p w14:paraId="7C207CC1" w14:textId="77777777" w:rsidR="00834A75" w:rsidRDefault="00A6708C">
            <w:pPr>
              <w:jc w:val="right"/>
              <w:textAlignment w:val="bottom"/>
            </w:pPr>
            <w:r>
              <w:rPr>
                <w:rFonts w:ascii="sans-serif" w:eastAsia="sans-serif" w:hAnsi="sans-serif" w:cs="sans-serif"/>
                <w:color w:val="000000"/>
                <w:sz w:val="15"/>
                <w:szCs w:val="15"/>
              </w:rPr>
              <w:t>1,912 </w:t>
            </w:r>
          </w:p>
        </w:tc>
        <w:tc>
          <w:tcPr>
            <w:tcW w:w="0" w:type="auto"/>
            <w:shd w:val="clear" w:color="auto" w:fill="E2EFD9"/>
            <w:tcMar>
              <w:top w:w="40" w:type="dxa"/>
              <w:left w:w="0" w:type="dxa"/>
              <w:bottom w:w="40" w:type="dxa"/>
              <w:right w:w="20" w:type="dxa"/>
            </w:tcMar>
            <w:vAlign w:val="bottom"/>
          </w:tcPr>
          <w:p w14:paraId="7C207CC2" w14:textId="77777777" w:rsidR="00834A75" w:rsidRDefault="00834A75">
            <w:pPr>
              <w:jc w:val="right"/>
              <w:rPr>
                <w:rFonts w:ascii="宋体"/>
              </w:rPr>
            </w:pPr>
          </w:p>
        </w:tc>
        <w:tc>
          <w:tcPr>
            <w:tcW w:w="0" w:type="auto"/>
            <w:gridSpan w:val="3"/>
            <w:shd w:val="clear" w:color="auto" w:fill="E2EFD9"/>
            <w:tcMar>
              <w:top w:w="0" w:type="dxa"/>
              <w:left w:w="20" w:type="dxa"/>
              <w:bottom w:w="0" w:type="dxa"/>
              <w:right w:w="20" w:type="dxa"/>
            </w:tcMar>
            <w:vAlign w:val="bottom"/>
          </w:tcPr>
          <w:p w14:paraId="7C207CC3" w14:textId="77777777" w:rsidR="00834A75" w:rsidRDefault="00834A75">
            <w:pPr>
              <w:rPr>
                <w:rFonts w:ascii="宋体"/>
              </w:rPr>
            </w:pPr>
          </w:p>
        </w:tc>
        <w:tc>
          <w:tcPr>
            <w:tcW w:w="0" w:type="auto"/>
            <w:gridSpan w:val="2"/>
            <w:shd w:val="clear" w:color="auto" w:fill="E2EFD9"/>
            <w:tcMar>
              <w:top w:w="40" w:type="dxa"/>
              <w:left w:w="20" w:type="dxa"/>
              <w:bottom w:w="40" w:type="dxa"/>
              <w:right w:w="0" w:type="dxa"/>
            </w:tcMar>
            <w:vAlign w:val="bottom"/>
          </w:tcPr>
          <w:p w14:paraId="7C207CC4" w14:textId="77777777" w:rsidR="00834A75" w:rsidRDefault="00A6708C">
            <w:pPr>
              <w:jc w:val="right"/>
              <w:textAlignment w:val="bottom"/>
            </w:pPr>
            <w:r>
              <w:rPr>
                <w:rFonts w:ascii="sans-serif" w:eastAsia="sans-serif" w:hAnsi="sans-serif" w:cs="sans-serif"/>
                <w:color w:val="000000"/>
                <w:sz w:val="15"/>
                <w:szCs w:val="15"/>
              </w:rPr>
              <w:t>1,912 </w:t>
            </w:r>
          </w:p>
        </w:tc>
        <w:tc>
          <w:tcPr>
            <w:tcW w:w="0" w:type="auto"/>
            <w:shd w:val="clear" w:color="auto" w:fill="E2EFD9"/>
            <w:tcMar>
              <w:top w:w="40" w:type="dxa"/>
              <w:left w:w="0" w:type="dxa"/>
              <w:bottom w:w="40" w:type="dxa"/>
              <w:right w:w="20" w:type="dxa"/>
            </w:tcMar>
            <w:vAlign w:val="bottom"/>
          </w:tcPr>
          <w:p w14:paraId="7C207CC5" w14:textId="77777777" w:rsidR="00834A75" w:rsidRDefault="00834A75">
            <w:pPr>
              <w:jc w:val="right"/>
              <w:rPr>
                <w:rFonts w:ascii="宋体"/>
              </w:rPr>
            </w:pPr>
          </w:p>
        </w:tc>
      </w:tr>
      <w:tr w:rsidR="00834A75" w14:paraId="7C207CDC" w14:textId="77777777">
        <w:trPr>
          <w:jc w:val="center"/>
        </w:trPr>
        <w:tc>
          <w:tcPr>
            <w:tcW w:w="0" w:type="auto"/>
            <w:gridSpan w:val="3"/>
            <w:shd w:val="clear" w:color="auto" w:fill="FFFFFF"/>
            <w:tcMar>
              <w:top w:w="40" w:type="dxa"/>
              <w:left w:w="20" w:type="dxa"/>
              <w:bottom w:w="40" w:type="dxa"/>
              <w:right w:w="20" w:type="dxa"/>
            </w:tcMar>
            <w:vAlign w:val="bottom"/>
          </w:tcPr>
          <w:p w14:paraId="7C207CC7" w14:textId="77777777" w:rsidR="00834A75" w:rsidRDefault="00A6708C">
            <w:pPr>
              <w:textAlignment w:val="bottom"/>
            </w:pPr>
            <w:r>
              <w:rPr>
                <w:rFonts w:ascii="sans-serif" w:eastAsia="sans-serif" w:hAnsi="sans-serif" w:cs="sans-serif"/>
                <w:color w:val="000000"/>
                <w:sz w:val="15"/>
                <w:szCs w:val="15"/>
              </w:rPr>
              <w:t>Other comprehensive loss</w:t>
            </w:r>
          </w:p>
        </w:tc>
        <w:tc>
          <w:tcPr>
            <w:tcW w:w="0" w:type="auto"/>
            <w:gridSpan w:val="2"/>
            <w:shd w:val="clear" w:color="auto" w:fill="FFFFFF"/>
            <w:tcMar>
              <w:top w:w="40" w:type="dxa"/>
              <w:left w:w="20" w:type="dxa"/>
              <w:bottom w:w="40" w:type="dxa"/>
              <w:right w:w="0" w:type="dxa"/>
            </w:tcMar>
            <w:vAlign w:val="bottom"/>
          </w:tcPr>
          <w:p w14:paraId="7C207CC8" w14:textId="77777777" w:rsidR="00834A75" w:rsidRDefault="00A6708C">
            <w:pPr>
              <w:jc w:val="right"/>
              <w:textAlignment w:val="bottom"/>
            </w:pPr>
            <w:r>
              <w:rPr>
                <w:rFonts w:ascii="sans-serif" w:eastAsia="sans-serif" w:hAnsi="sans-serif" w:cs="sans-serif"/>
                <w:color w:val="000000"/>
                <w:sz w:val="15"/>
                <w:szCs w:val="15"/>
              </w:rPr>
              <w:t>— </w:t>
            </w:r>
          </w:p>
        </w:tc>
        <w:tc>
          <w:tcPr>
            <w:tcW w:w="0" w:type="auto"/>
            <w:shd w:val="clear" w:color="auto" w:fill="FFFFFF"/>
            <w:tcMar>
              <w:top w:w="40" w:type="dxa"/>
              <w:left w:w="0" w:type="dxa"/>
              <w:bottom w:w="40" w:type="dxa"/>
              <w:right w:w="20" w:type="dxa"/>
            </w:tcMar>
            <w:vAlign w:val="bottom"/>
          </w:tcPr>
          <w:p w14:paraId="7C207CC9" w14:textId="77777777" w:rsidR="00834A75" w:rsidRDefault="00834A75">
            <w:pPr>
              <w:jc w:val="right"/>
              <w:rPr>
                <w:rFonts w:ascii="宋体"/>
              </w:rPr>
            </w:pPr>
          </w:p>
        </w:tc>
        <w:tc>
          <w:tcPr>
            <w:tcW w:w="0" w:type="auto"/>
            <w:gridSpan w:val="3"/>
            <w:shd w:val="clear" w:color="auto" w:fill="FFFFFF"/>
            <w:tcMar>
              <w:top w:w="0" w:type="dxa"/>
              <w:left w:w="20" w:type="dxa"/>
              <w:bottom w:w="0" w:type="dxa"/>
              <w:right w:w="20" w:type="dxa"/>
            </w:tcMar>
            <w:vAlign w:val="bottom"/>
          </w:tcPr>
          <w:p w14:paraId="7C207CCA" w14:textId="77777777" w:rsidR="00834A75" w:rsidRDefault="00834A75">
            <w:pPr>
              <w:rPr>
                <w:rFonts w:ascii="宋体"/>
              </w:rPr>
            </w:pPr>
          </w:p>
        </w:tc>
        <w:tc>
          <w:tcPr>
            <w:tcW w:w="0" w:type="auto"/>
            <w:gridSpan w:val="2"/>
            <w:shd w:val="clear" w:color="auto" w:fill="FFFFFF"/>
            <w:tcMar>
              <w:top w:w="40" w:type="dxa"/>
              <w:left w:w="20" w:type="dxa"/>
              <w:bottom w:w="40" w:type="dxa"/>
              <w:right w:w="0" w:type="dxa"/>
            </w:tcMar>
            <w:vAlign w:val="bottom"/>
          </w:tcPr>
          <w:p w14:paraId="7C207CCB" w14:textId="77777777" w:rsidR="00834A75" w:rsidRDefault="00A6708C">
            <w:pPr>
              <w:jc w:val="right"/>
              <w:textAlignment w:val="bottom"/>
            </w:pPr>
            <w:r>
              <w:rPr>
                <w:rFonts w:ascii="sans-serif" w:eastAsia="sans-serif" w:hAnsi="sans-serif" w:cs="sans-serif"/>
                <w:color w:val="000000"/>
                <w:sz w:val="15"/>
                <w:szCs w:val="15"/>
              </w:rPr>
              <w:t>— </w:t>
            </w:r>
          </w:p>
        </w:tc>
        <w:tc>
          <w:tcPr>
            <w:tcW w:w="0" w:type="auto"/>
            <w:shd w:val="clear" w:color="auto" w:fill="FFFFFF"/>
            <w:tcMar>
              <w:top w:w="40" w:type="dxa"/>
              <w:left w:w="0" w:type="dxa"/>
              <w:bottom w:w="40" w:type="dxa"/>
              <w:right w:w="20" w:type="dxa"/>
            </w:tcMar>
            <w:vAlign w:val="bottom"/>
          </w:tcPr>
          <w:p w14:paraId="7C207CCC" w14:textId="77777777" w:rsidR="00834A75" w:rsidRDefault="00834A75">
            <w:pPr>
              <w:jc w:val="right"/>
              <w:rPr>
                <w:rFonts w:ascii="宋体"/>
              </w:rPr>
            </w:pPr>
          </w:p>
        </w:tc>
        <w:tc>
          <w:tcPr>
            <w:tcW w:w="0" w:type="auto"/>
            <w:gridSpan w:val="3"/>
            <w:shd w:val="clear" w:color="auto" w:fill="FFFFFF"/>
            <w:tcMar>
              <w:top w:w="0" w:type="dxa"/>
              <w:left w:w="20" w:type="dxa"/>
              <w:bottom w:w="0" w:type="dxa"/>
              <w:right w:w="20" w:type="dxa"/>
            </w:tcMar>
            <w:vAlign w:val="bottom"/>
          </w:tcPr>
          <w:p w14:paraId="7C207CCD" w14:textId="77777777" w:rsidR="00834A75" w:rsidRDefault="00834A75">
            <w:pPr>
              <w:rPr>
                <w:rFonts w:ascii="宋体"/>
              </w:rPr>
            </w:pPr>
          </w:p>
        </w:tc>
        <w:tc>
          <w:tcPr>
            <w:tcW w:w="0" w:type="auto"/>
            <w:gridSpan w:val="2"/>
            <w:shd w:val="clear" w:color="auto" w:fill="FFFFFF"/>
            <w:tcMar>
              <w:top w:w="40" w:type="dxa"/>
              <w:left w:w="20" w:type="dxa"/>
              <w:bottom w:w="40" w:type="dxa"/>
              <w:right w:w="0" w:type="dxa"/>
            </w:tcMar>
            <w:vAlign w:val="bottom"/>
          </w:tcPr>
          <w:p w14:paraId="7C207CCE" w14:textId="77777777" w:rsidR="00834A75" w:rsidRDefault="00A6708C">
            <w:pPr>
              <w:jc w:val="right"/>
              <w:textAlignment w:val="bottom"/>
            </w:pPr>
            <w:r>
              <w:rPr>
                <w:rFonts w:ascii="sans-serif" w:eastAsia="sans-serif" w:hAnsi="sans-serif" w:cs="sans-serif"/>
                <w:color w:val="000000"/>
                <w:sz w:val="15"/>
                <w:szCs w:val="15"/>
              </w:rPr>
              <w:t>— </w:t>
            </w:r>
          </w:p>
        </w:tc>
        <w:tc>
          <w:tcPr>
            <w:tcW w:w="0" w:type="auto"/>
            <w:shd w:val="clear" w:color="auto" w:fill="FFFFFF"/>
            <w:tcMar>
              <w:top w:w="40" w:type="dxa"/>
              <w:left w:w="0" w:type="dxa"/>
              <w:bottom w:w="40" w:type="dxa"/>
              <w:right w:w="20" w:type="dxa"/>
            </w:tcMar>
            <w:vAlign w:val="bottom"/>
          </w:tcPr>
          <w:p w14:paraId="7C207CCF" w14:textId="77777777" w:rsidR="00834A75" w:rsidRDefault="00834A75">
            <w:pPr>
              <w:jc w:val="right"/>
              <w:rPr>
                <w:rFonts w:ascii="宋体"/>
              </w:rPr>
            </w:pPr>
          </w:p>
        </w:tc>
        <w:tc>
          <w:tcPr>
            <w:tcW w:w="0" w:type="auto"/>
            <w:gridSpan w:val="3"/>
            <w:shd w:val="clear" w:color="auto" w:fill="FFFFFF"/>
            <w:tcMar>
              <w:top w:w="0" w:type="dxa"/>
              <w:left w:w="20" w:type="dxa"/>
              <w:bottom w:w="0" w:type="dxa"/>
              <w:right w:w="20" w:type="dxa"/>
            </w:tcMar>
            <w:vAlign w:val="bottom"/>
          </w:tcPr>
          <w:p w14:paraId="7C207CD0" w14:textId="77777777" w:rsidR="00834A75" w:rsidRDefault="00834A75">
            <w:pPr>
              <w:rPr>
                <w:rFonts w:ascii="宋体"/>
              </w:rPr>
            </w:pPr>
          </w:p>
        </w:tc>
        <w:tc>
          <w:tcPr>
            <w:tcW w:w="0" w:type="auto"/>
            <w:gridSpan w:val="2"/>
            <w:shd w:val="clear" w:color="auto" w:fill="FFFFFF"/>
            <w:tcMar>
              <w:top w:w="40" w:type="dxa"/>
              <w:left w:w="20" w:type="dxa"/>
              <w:bottom w:w="40" w:type="dxa"/>
              <w:right w:w="0" w:type="dxa"/>
            </w:tcMar>
            <w:vAlign w:val="bottom"/>
          </w:tcPr>
          <w:p w14:paraId="7C207CD1" w14:textId="77777777" w:rsidR="00834A75" w:rsidRDefault="00A6708C">
            <w:pPr>
              <w:jc w:val="right"/>
              <w:textAlignment w:val="bottom"/>
            </w:pPr>
            <w:r>
              <w:rPr>
                <w:rFonts w:ascii="sans-serif" w:eastAsia="sans-serif" w:hAnsi="sans-serif" w:cs="sans-serif"/>
                <w:color w:val="000000"/>
                <w:sz w:val="15"/>
                <w:szCs w:val="15"/>
              </w:rPr>
              <w:t>— </w:t>
            </w:r>
          </w:p>
        </w:tc>
        <w:tc>
          <w:tcPr>
            <w:tcW w:w="0" w:type="auto"/>
            <w:shd w:val="clear" w:color="auto" w:fill="FFFFFF"/>
            <w:tcMar>
              <w:top w:w="40" w:type="dxa"/>
              <w:left w:w="0" w:type="dxa"/>
              <w:bottom w:w="40" w:type="dxa"/>
              <w:right w:w="20" w:type="dxa"/>
            </w:tcMar>
            <w:vAlign w:val="bottom"/>
          </w:tcPr>
          <w:p w14:paraId="7C207CD2" w14:textId="77777777" w:rsidR="00834A75" w:rsidRDefault="00834A75">
            <w:pPr>
              <w:jc w:val="right"/>
              <w:rPr>
                <w:rFonts w:ascii="宋体"/>
              </w:rPr>
            </w:pPr>
          </w:p>
        </w:tc>
        <w:tc>
          <w:tcPr>
            <w:tcW w:w="0" w:type="auto"/>
            <w:gridSpan w:val="3"/>
            <w:shd w:val="clear" w:color="auto" w:fill="FFFFFF"/>
            <w:tcMar>
              <w:top w:w="0" w:type="dxa"/>
              <w:left w:w="20" w:type="dxa"/>
              <w:bottom w:w="0" w:type="dxa"/>
              <w:right w:w="20" w:type="dxa"/>
            </w:tcMar>
            <w:vAlign w:val="bottom"/>
          </w:tcPr>
          <w:p w14:paraId="7C207CD3" w14:textId="77777777" w:rsidR="00834A75" w:rsidRDefault="00834A75">
            <w:pPr>
              <w:rPr>
                <w:rFonts w:ascii="宋体"/>
              </w:rPr>
            </w:pPr>
          </w:p>
        </w:tc>
        <w:tc>
          <w:tcPr>
            <w:tcW w:w="0" w:type="auto"/>
            <w:gridSpan w:val="2"/>
            <w:shd w:val="clear" w:color="auto" w:fill="FFFFFF"/>
            <w:tcMar>
              <w:top w:w="40" w:type="dxa"/>
              <w:left w:w="20" w:type="dxa"/>
              <w:bottom w:w="40" w:type="dxa"/>
              <w:right w:w="0" w:type="dxa"/>
            </w:tcMar>
            <w:vAlign w:val="bottom"/>
          </w:tcPr>
          <w:p w14:paraId="7C207CD4" w14:textId="77777777" w:rsidR="00834A75" w:rsidRDefault="00A6708C">
            <w:pPr>
              <w:jc w:val="right"/>
              <w:textAlignment w:val="bottom"/>
            </w:pPr>
            <w:r>
              <w:rPr>
                <w:rFonts w:ascii="sans-serif" w:eastAsia="sans-serif" w:hAnsi="sans-serif" w:cs="sans-serif"/>
                <w:color w:val="000000"/>
                <w:sz w:val="15"/>
                <w:szCs w:val="15"/>
              </w:rPr>
              <w:t>(5)</w:t>
            </w:r>
          </w:p>
        </w:tc>
        <w:tc>
          <w:tcPr>
            <w:tcW w:w="0" w:type="auto"/>
            <w:shd w:val="clear" w:color="auto" w:fill="FFFFFF"/>
            <w:tcMar>
              <w:top w:w="40" w:type="dxa"/>
              <w:left w:w="0" w:type="dxa"/>
              <w:bottom w:w="40" w:type="dxa"/>
              <w:right w:w="20" w:type="dxa"/>
            </w:tcMar>
            <w:vAlign w:val="bottom"/>
          </w:tcPr>
          <w:p w14:paraId="7C207CD5" w14:textId="77777777" w:rsidR="00834A75" w:rsidRDefault="00834A75">
            <w:pPr>
              <w:jc w:val="right"/>
              <w:rPr>
                <w:rFonts w:ascii="宋体"/>
              </w:rPr>
            </w:pPr>
          </w:p>
        </w:tc>
        <w:tc>
          <w:tcPr>
            <w:tcW w:w="0" w:type="auto"/>
            <w:gridSpan w:val="3"/>
            <w:shd w:val="clear" w:color="auto" w:fill="FFFFFF"/>
            <w:tcMar>
              <w:top w:w="0" w:type="dxa"/>
              <w:left w:w="20" w:type="dxa"/>
              <w:bottom w:w="0" w:type="dxa"/>
              <w:right w:w="20" w:type="dxa"/>
            </w:tcMar>
            <w:vAlign w:val="bottom"/>
          </w:tcPr>
          <w:p w14:paraId="7C207CD6" w14:textId="77777777" w:rsidR="00834A75" w:rsidRDefault="00834A75">
            <w:pPr>
              <w:rPr>
                <w:rFonts w:ascii="宋体"/>
              </w:rPr>
            </w:pPr>
          </w:p>
        </w:tc>
        <w:tc>
          <w:tcPr>
            <w:tcW w:w="0" w:type="auto"/>
            <w:gridSpan w:val="2"/>
            <w:shd w:val="clear" w:color="auto" w:fill="FFFFFF"/>
            <w:tcMar>
              <w:top w:w="40" w:type="dxa"/>
              <w:left w:w="20" w:type="dxa"/>
              <w:bottom w:w="40" w:type="dxa"/>
              <w:right w:w="0" w:type="dxa"/>
            </w:tcMar>
            <w:vAlign w:val="bottom"/>
          </w:tcPr>
          <w:p w14:paraId="7C207CD7" w14:textId="77777777" w:rsidR="00834A75" w:rsidRDefault="00A6708C">
            <w:pPr>
              <w:jc w:val="right"/>
              <w:textAlignment w:val="bottom"/>
            </w:pPr>
            <w:r>
              <w:rPr>
                <w:rFonts w:ascii="sans-serif" w:eastAsia="sans-serif" w:hAnsi="sans-serif" w:cs="sans-serif"/>
                <w:color w:val="000000"/>
                <w:sz w:val="15"/>
                <w:szCs w:val="15"/>
              </w:rPr>
              <w:t>— </w:t>
            </w:r>
          </w:p>
        </w:tc>
        <w:tc>
          <w:tcPr>
            <w:tcW w:w="0" w:type="auto"/>
            <w:shd w:val="clear" w:color="auto" w:fill="FFFFFF"/>
            <w:tcMar>
              <w:top w:w="40" w:type="dxa"/>
              <w:left w:w="0" w:type="dxa"/>
              <w:bottom w:w="40" w:type="dxa"/>
              <w:right w:w="20" w:type="dxa"/>
            </w:tcMar>
            <w:vAlign w:val="bottom"/>
          </w:tcPr>
          <w:p w14:paraId="7C207CD8" w14:textId="77777777" w:rsidR="00834A75" w:rsidRDefault="00834A75">
            <w:pPr>
              <w:jc w:val="right"/>
              <w:rPr>
                <w:rFonts w:ascii="宋体"/>
              </w:rPr>
            </w:pPr>
          </w:p>
        </w:tc>
        <w:tc>
          <w:tcPr>
            <w:tcW w:w="0" w:type="auto"/>
            <w:gridSpan w:val="3"/>
            <w:shd w:val="clear" w:color="auto" w:fill="FFFFFF"/>
            <w:tcMar>
              <w:top w:w="0" w:type="dxa"/>
              <w:left w:w="20" w:type="dxa"/>
              <w:bottom w:w="0" w:type="dxa"/>
              <w:right w:w="20" w:type="dxa"/>
            </w:tcMar>
            <w:vAlign w:val="bottom"/>
          </w:tcPr>
          <w:p w14:paraId="7C207CD9" w14:textId="77777777" w:rsidR="00834A75" w:rsidRDefault="00834A75">
            <w:pPr>
              <w:rPr>
                <w:rFonts w:ascii="宋体"/>
              </w:rPr>
            </w:pPr>
          </w:p>
        </w:tc>
        <w:tc>
          <w:tcPr>
            <w:tcW w:w="0" w:type="auto"/>
            <w:gridSpan w:val="2"/>
            <w:shd w:val="clear" w:color="auto" w:fill="FFFFFF"/>
            <w:tcMar>
              <w:top w:w="40" w:type="dxa"/>
              <w:left w:w="20" w:type="dxa"/>
              <w:bottom w:w="40" w:type="dxa"/>
              <w:right w:w="0" w:type="dxa"/>
            </w:tcMar>
            <w:vAlign w:val="bottom"/>
          </w:tcPr>
          <w:p w14:paraId="7C207CDA" w14:textId="77777777" w:rsidR="00834A75" w:rsidRDefault="00A6708C">
            <w:pPr>
              <w:jc w:val="right"/>
              <w:textAlignment w:val="bottom"/>
            </w:pPr>
            <w:r>
              <w:rPr>
                <w:rFonts w:ascii="sans-serif" w:eastAsia="sans-serif" w:hAnsi="sans-serif" w:cs="sans-serif"/>
                <w:color w:val="000000"/>
                <w:sz w:val="15"/>
                <w:szCs w:val="15"/>
              </w:rPr>
              <w:t>(5)</w:t>
            </w:r>
          </w:p>
        </w:tc>
        <w:tc>
          <w:tcPr>
            <w:tcW w:w="0" w:type="auto"/>
            <w:shd w:val="clear" w:color="auto" w:fill="FFFFFF"/>
            <w:tcMar>
              <w:top w:w="40" w:type="dxa"/>
              <w:left w:w="0" w:type="dxa"/>
              <w:bottom w:w="40" w:type="dxa"/>
              <w:right w:w="20" w:type="dxa"/>
            </w:tcMar>
            <w:vAlign w:val="bottom"/>
          </w:tcPr>
          <w:p w14:paraId="7C207CDB" w14:textId="77777777" w:rsidR="00834A75" w:rsidRDefault="00834A75">
            <w:pPr>
              <w:jc w:val="right"/>
              <w:rPr>
                <w:rFonts w:ascii="宋体"/>
              </w:rPr>
            </w:pPr>
          </w:p>
        </w:tc>
      </w:tr>
      <w:tr w:rsidR="00834A75" w14:paraId="7C207CF2" w14:textId="77777777">
        <w:trPr>
          <w:jc w:val="center"/>
        </w:trPr>
        <w:tc>
          <w:tcPr>
            <w:tcW w:w="0" w:type="auto"/>
            <w:gridSpan w:val="3"/>
            <w:shd w:val="clear" w:color="auto" w:fill="E2EFD9"/>
            <w:tcMar>
              <w:top w:w="40" w:type="dxa"/>
              <w:left w:w="20" w:type="dxa"/>
              <w:bottom w:w="40" w:type="dxa"/>
              <w:right w:w="20" w:type="dxa"/>
            </w:tcMar>
            <w:vAlign w:val="bottom"/>
          </w:tcPr>
          <w:p w14:paraId="7C207CDD" w14:textId="77777777" w:rsidR="00834A75" w:rsidRDefault="00A6708C">
            <w:pPr>
              <w:textAlignment w:val="bottom"/>
            </w:pPr>
            <w:r>
              <w:rPr>
                <w:rFonts w:ascii="sans-serif" w:eastAsia="sans-serif" w:hAnsi="sans-serif" w:cs="sans-serif"/>
                <w:color w:val="000000"/>
                <w:sz w:val="15"/>
                <w:szCs w:val="15"/>
              </w:rPr>
              <w:t>Issuance of common stock from stock plans </w:t>
            </w:r>
          </w:p>
        </w:tc>
        <w:tc>
          <w:tcPr>
            <w:tcW w:w="0" w:type="auto"/>
            <w:gridSpan w:val="2"/>
            <w:shd w:val="clear" w:color="auto" w:fill="E2EFD9"/>
            <w:tcMar>
              <w:top w:w="40" w:type="dxa"/>
              <w:left w:w="20" w:type="dxa"/>
              <w:bottom w:w="40" w:type="dxa"/>
              <w:right w:w="0" w:type="dxa"/>
            </w:tcMar>
            <w:vAlign w:val="bottom"/>
          </w:tcPr>
          <w:p w14:paraId="7C207CDE" w14:textId="77777777" w:rsidR="00834A75" w:rsidRDefault="00A6708C">
            <w:pPr>
              <w:jc w:val="right"/>
              <w:textAlignment w:val="bottom"/>
            </w:pPr>
            <w:r>
              <w:rPr>
                <w:rFonts w:ascii="sans-serif" w:eastAsia="sans-serif" w:hAnsi="sans-serif" w:cs="sans-serif"/>
                <w:color w:val="000000"/>
                <w:sz w:val="15"/>
                <w:szCs w:val="15"/>
              </w:rPr>
              <w:t>15 </w:t>
            </w:r>
          </w:p>
        </w:tc>
        <w:tc>
          <w:tcPr>
            <w:tcW w:w="0" w:type="auto"/>
            <w:shd w:val="clear" w:color="auto" w:fill="E2EFD9"/>
            <w:tcMar>
              <w:top w:w="40" w:type="dxa"/>
              <w:left w:w="0" w:type="dxa"/>
              <w:bottom w:w="40" w:type="dxa"/>
              <w:right w:w="20" w:type="dxa"/>
            </w:tcMar>
            <w:vAlign w:val="bottom"/>
          </w:tcPr>
          <w:p w14:paraId="7C207CDF" w14:textId="77777777" w:rsidR="00834A75" w:rsidRDefault="00834A75">
            <w:pPr>
              <w:jc w:val="right"/>
              <w:rPr>
                <w:rFonts w:ascii="宋体"/>
              </w:rPr>
            </w:pPr>
          </w:p>
        </w:tc>
        <w:tc>
          <w:tcPr>
            <w:tcW w:w="0" w:type="auto"/>
            <w:gridSpan w:val="3"/>
            <w:shd w:val="clear" w:color="auto" w:fill="E2EFD9"/>
            <w:tcMar>
              <w:top w:w="0" w:type="dxa"/>
              <w:left w:w="20" w:type="dxa"/>
              <w:bottom w:w="0" w:type="dxa"/>
              <w:right w:w="20" w:type="dxa"/>
            </w:tcMar>
            <w:vAlign w:val="bottom"/>
          </w:tcPr>
          <w:p w14:paraId="7C207CE0" w14:textId="77777777" w:rsidR="00834A75" w:rsidRDefault="00834A75">
            <w:pPr>
              <w:rPr>
                <w:rFonts w:ascii="宋体"/>
              </w:rPr>
            </w:pPr>
          </w:p>
        </w:tc>
        <w:tc>
          <w:tcPr>
            <w:tcW w:w="0" w:type="auto"/>
            <w:gridSpan w:val="2"/>
            <w:shd w:val="clear" w:color="auto" w:fill="E2EFD9"/>
            <w:tcMar>
              <w:top w:w="40" w:type="dxa"/>
              <w:left w:w="20" w:type="dxa"/>
              <w:bottom w:w="40" w:type="dxa"/>
              <w:right w:w="0" w:type="dxa"/>
            </w:tcMar>
            <w:vAlign w:val="bottom"/>
          </w:tcPr>
          <w:p w14:paraId="7C207CE1" w14:textId="77777777" w:rsidR="00834A75" w:rsidRDefault="00A6708C">
            <w:pPr>
              <w:jc w:val="right"/>
              <w:textAlignment w:val="bottom"/>
            </w:pPr>
            <w:r>
              <w:rPr>
                <w:rFonts w:ascii="sans-serif" w:eastAsia="sans-serif" w:hAnsi="sans-serif" w:cs="sans-serif"/>
                <w:color w:val="000000"/>
                <w:sz w:val="15"/>
                <w:szCs w:val="15"/>
              </w:rPr>
              <w:t>— </w:t>
            </w:r>
          </w:p>
        </w:tc>
        <w:tc>
          <w:tcPr>
            <w:tcW w:w="0" w:type="auto"/>
            <w:shd w:val="clear" w:color="auto" w:fill="E2EFD9"/>
            <w:tcMar>
              <w:top w:w="40" w:type="dxa"/>
              <w:left w:w="0" w:type="dxa"/>
              <w:bottom w:w="40" w:type="dxa"/>
              <w:right w:w="20" w:type="dxa"/>
            </w:tcMar>
            <w:vAlign w:val="bottom"/>
          </w:tcPr>
          <w:p w14:paraId="7C207CE2" w14:textId="77777777" w:rsidR="00834A75" w:rsidRDefault="00834A75">
            <w:pPr>
              <w:jc w:val="right"/>
              <w:rPr>
                <w:rFonts w:ascii="宋体"/>
              </w:rPr>
            </w:pPr>
          </w:p>
        </w:tc>
        <w:tc>
          <w:tcPr>
            <w:tcW w:w="0" w:type="auto"/>
            <w:gridSpan w:val="3"/>
            <w:shd w:val="clear" w:color="auto" w:fill="E2EFD9"/>
            <w:tcMar>
              <w:top w:w="0" w:type="dxa"/>
              <w:left w:w="20" w:type="dxa"/>
              <w:bottom w:w="0" w:type="dxa"/>
              <w:right w:w="20" w:type="dxa"/>
            </w:tcMar>
            <w:vAlign w:val="bottom"/>
          </w:tcPr>
          <w:p w14:paraId="7C207CE3" w14:textId="77777777" w:rsidR="00834A75" w:rsidRDefault="00834A75">
            <w:pPr>
              <w:rPr>
                <w:rFonts w:ascii="宋体"/>
              </w:rPr>
            </w:pPr>
          </w:p>
        </w:tc>
        <w:tc>
          <w:tcPr>
            <w:tcW w:w="0" w:type="auto"/>
            <w:gridSpan w:val="2"/>
            <w:shd w:val="clear" w:color="auto" w:fill="E2EFD9"/>
            <w:tcMar>
              <w:top w:w="40" w:type="dxa"/>
              <w:left w:w="20" w:type="dxa"/>
              <w:bottom w:w="40" w:type="dxa"/>
              <w:right w:w="0" w:type="dxa"/>
            </w:tcMar>
            <w:vAlign w:val="bottom"/>
          </w:tcPr>
          <w:p w14:paraId="7C207CE4" w14:textId="77777777" w:rsidR="00834A75" w:rsidRDefault="00A6708C">
            <w:pPr>
              <w:jc w:val="right"/>
              <w:textAlignment w:val="bottom"/>
            </w:pPr>
            <w:r>
              <w:rPr>
                <w:rFonts w:ascii="sans-serif" w:eastAsia="sans-serif" w:hAnsi="sans-serif" w:cs="sans-serif"/>
                <w:color w:val="000000"/>
                <w:sz w:val="15"/>
                <w:szCs w:val="15"/>
              </w:rPr>
              <w:t>126 </w:t>
            </w:r>
          </w:p>
        </w:tc>
        <w:tc>
          <w:tcPr>
            <w:tcW w:w="0" w:type="auto"/>
            <w:shd w:val="clear" w:color="auto" w:fill="E2EFD9"/>
            <w:tcMar>
              <w:top w:w="40" w:type="dxa"/>
              <w:left w:w="0" w:type="dxa"/>
              <w:bottom w:w="40" w:type="dxa"/>
              <w:right w:w="20" w:type="dxa"/>
            </w:tcMar>
            <w:vAlign w:val="bottom"/>
          </w:tcPr>
          <w:p w14:paraId="7C207CE5" w14:textId="77777777" w:rsidR="00834A75" w:rsidRDefault="00834A75">
            <w:pPr>
              <w:jc w:val="right"/>
              <w:rPr>
                <w:rFonts w:ascii="宋体"/>
              </w:rPr>
            </w:pPr>
          </w:p>
        </w:tc>
        <w:tc>
          <w:tcPr>
            <w:tcW w:w="0" w:type="auto"/>
            <w:gridSpan w:val="3"/>
            <w:shd w:val="clear" w:color="auto" w:fill="E2EFD9"/>
            <w:tcMar>
              <w:top w:w="0" w:type="dxa"/>
              <w:left w:w="20" w:type="dxa"/>
              <w:bottom w:w="0" w:type="dxa"/>
              <w:right w:w="20" w:type="dxa"/>
            </w:tcMar>
            <w:vAlign w:val="bottom"/>
          </w:tcPr>
          <w:p w14:paraId="7C207CE6" w14:textId="77777777" w:rsidR="00834A75" w:rsidRDefault="00834A75">
            <w:pPr>
              <w:rPr>
                <w:rFonts w:ascii="宋体"/>
              </w:rPr>
            </w:pPr>
          </w:p>
        </w:tc>
        <w:tc>
          <w:tcPr>
            <w:tcW w:w="0" w:type="auto"/>
            <w:gridSpan w:val="2"/>
            <w:shd w:val="clear" w:color="auto" w:fill="E2EFD9"/>
            <w:tcMar>
              <w:top w:w="40" w:type="dxa"/>
              <w:left w:w="20" w:type="dxa"/>
              <w:bottom w:w="40" w:type="dxa"/>
              <w:right w:w="0" w:type="dxa"/>
            </w:tcMar>
            <w:vAlign w:val="bottom"/>
          </w:tcPr>
          <w:p w14:paraId="7C207CE7" w14:textId="77777777" w:rsidR="00834A75" w:rsidRDefault="00A6708C">
            <w:pPr>
              <w:jc w:val="right"/>
              <w:textAlignment w:val="bottom"/>
            </w:pPr>
            <w:r>
              <w:rPr>
                <w:rFonts w:ascii="sans-serif" w:eastAsia="sans-serif" w:hAnsi="sans-serif" w:cs="sans-serif"/>
                <w:color w:val="000000"/>
                <w:sz w:val="15"/>
                <w:szCs w:val="15"/>
              </w:rPr>
              <w:t>— </w:t>
            </w:r>
          </w:p>
        </w:tc>
        <w:tc>
          <w:tcPr>
            <w:tcW w:w="0" w:type="auto"/>
            <w:shd w:val="clear" w:color="auto" w:fill="E2EFD9"/>
            <w:tcMar>
              <w:top w:w="40" w:type="dxa"/>
              <w:left w:w="0" w:type="dxa"/>
              <w:bottom w:w="40" w:type="dxa"/>
              <w:right w:w="20" w:type="dxa"/>
            </w:tcMar>
            <w:vAlign w:val="bottom"/>
          </w:tcPr>
          <w:p w14:paraId="7C207CE8" w14:textId="77777777" w:rsidR="00834A75" w:rsidRDefault="00834A75">
            <w:pPr>
              <w:jc w:val="right"/>
              <w:rPr>
                <w:rFonts w:ascii="宋体"/>
              </w:rPr>
            </w:pPr>
          </w:p>
        </w:tc>
        <w:tc>
          <w:tcPr>
            <w:tcW w:w="0" w:type="auto"/>
            <w:gridSpan w:val="3"/>
            <w:shd w:val="clear" w:color="auto" w:fill="E2EFD9"/>
            <w:tcMar>
              <w:top w:w="0" w:type="dxa"/>
              <w:left w:w="20" w:type="dxa"/>
              <w:bottom w:w="0" w:type="dxa"/>
              <w:right w:w="20" w:type="dxa"/>
            </w:tcMar>
            <w:vAlign w:val="bottom"/>
          </w:tcPr>
          <w:p w14:paraId="7C207CE9" w14:textId="77777777" w:rsidR="00834A75" w:rsidRDefault="00834A75">
            <w:pPr>
              <w:rPr>
                <w:rFonts w:ascii="宋体"/>
              </w:rPr>
            </w:pPr>
          </w:p>
        </w:tc>
        <w:tc>
          <w:tcPr>
            <w:tcW w:w="0" w:type="auto"/>
            <w:gridSpan w:val="2"/>
            <w:shd w:val="clear" w:color="auto" w:fill="E2EFD9"/>
            <w:tcMar>
              <w:top w:w="40" w:type="dxa"/>
              <w:left w:w="20" w:type="dxa"/>
              <w:bottom w:w="40" w:type="dxa"/>
              <w:right w:w="0" w:type="dxa"/>
            </w:tcMar>
            <w:vAlign w:val="bottom"/>
          </w:tcPr>
          <w:p w14:paraId="7C207CEA" w14:textId="77777777" w:rsidR="00834A75" w:rsidRDefault="00A6708C">
            <w:pPr>
              <w:jc w:val="right"/>
              <w:textAlignment w:val="bottom"/>
            </w:pPr>
            <w:r>
              <w:rPr>
                <w:rFonts w:ascii="sans-serif" w:eastAsia="sans-serif" w:hAnsi="sans-serif" w:cs="sans-serif"/>
                <w:color w:val="000000"/>
                <w:sz w:val="15"/>
                <w:szCs w:val="15"/>
              </w:rPr>
              <w:t>— </w:t>
            </w:r>
          </w:p>
        </w:tc>
        <w:tc>
          <w:tcPr>
            <w:tcW w:w="0" w:type="auto"/>
            <w:shd w:val="clear" w:color="auto" w:fill="E2EFD9"/>
            <w:tcMar>
              <w:top w:w="40" w:type="dxa"/>
              <w:left w:w="0" w:type="dxa"/>
              <w:bottom w:w="40" w:type="dxa"/>
              <w:right w:w="20" w:type="dxa"/>
            </w:tcMar>
            <w:vAlign w:val="bottom"/>
          </w:tcPr>
          <w:p w14:paraId="7C207CEB" w14:textId="77777777" w:rsidR="00834A75" w:rsidRDefault="00834A75">
            <w:pPr>
              <w:jc w:val="right"/>
              <w:rPr>
                <w:rFonts w:ascii="宋体"/>
              </w:rPr>
            </w:pPr>
          </w:p>
        </w:tc>
        <w:tc>
          <w:tcPr>
            <w:tcW w:w="0" w:type="auto"/>
            <w:gridSpan w:val="3"/>
            <w:shd w:val="clear" w:color="auto" w:fill="E2EFD9"/>
            <w:tcMar>
              <w:top w:w="0" w:type="dxa"/>
              <w:left w:w="20" w:type="dxa"/>
              <w:bottom w:w="0" w:type="dxa"/>
              <w:right w:w="20" w:type="dxa"/>
            </w:tcMar>
            <w:vAlign w:val="bottom"/>
          </w:tcPr>
          <w:p w14:paraId="7C207CEC" w14:textId="77777777" w:rsidR="00834A75" w:rsidRDefault="00834A75">
            <w:pPr>
              <w:rPr>
                <w:rFonts w:ascii="宋体"/>
              </w:rPr>
            </w:pPr>
          </w:p>
        </w:tc>
        <w:tc>
          <w:tcPr>
            <w:tcW w:w="0" w:type="auto"/>
            <w:gridSpan w:val="2"/>
            <w:shd w:val="clear" w:color="auto" w:fill="E2EFD9"/>
            <w:tcMar>
              <w:top w:w="40" w:type="dxa"/>
              <w:left w:w="20" w:type="dxa"/>
              <w:bottom w:w="40" w:type="dxa"/>
              <w:right w:w="0" w:type="dxa"/>
            </w:tcMar>
            <w:vAlign w:val="bottom"/>
          </w:tcPr>
          <w:p w14:paraId="7C207CED" w14:textId="77777777" w:rsidR="00834A75" w:rsidRDefault="00A6708C">
            <w:pPr>
              <w:jc w:val="right"/>
              <w:textAlignment w:val="bottom"/>
            </w:pPr>
            <w:r>
              <w:rPr>
                <w:rFonts w:ascii="sans-serif" w:eastAsia="sans-serif" w:hAnsi="sans-serif" w:cs="sans-serif"/>
                <w:color w:val="000000"/>
                <w:sz w:val="15"/>
                <w:szCs w:val="15"/>
              </w:rPr>
              <w:t>— </w:t>
            </w:r>
          </w:p>
        </w:tc>
        <w:tc>
          <w:tcPr>
            <w:tcW w:w="0" w:type="auto"/>
            <w:shd w:val="clear" w:color="auto" w:fill="E2EFD9"/>
            <w:tcMar>
              <w:top w:w="40" w:type="dxa"/>
              <w:left w:w="0" w:type="dxa"/>
              <w:bottom w:w="40" w:type="dxa"/>
              <w:right w:w="20" w:type="dxa"/>
            </w:tcMar>
            <w:vAlign w:val="bottom"/>
          </w:tcPr>
          <w:p w14:paraId="7C207CEE" w14:textId="77777777" w:rsidR="00834A75" w:rsidRDefault="00834A75">
            <w:pPr>
              <w:jc w:val="right"/>
              <w:rPr>
                <w:rFonts w:ascii="宋体"/>
              </w:rPr>
            </w:pPr>
          </w:p>
        </w:tc>
        <w:tc>
          <w:tcPr>
            <w:tcW w:w="0" w:type="auto"/>
            <w:gridSpan w:val="3"/>
            <w:shd w:val="clear" w:color="auto" w:fill="E2EFD9"/>
            <w:tcMar>
              <w:top w:w="0" w:type="dxa"/>
              <w:left w:w="20" w:type="dxa"/>
              <w:bottom w:w="0" w:type="dxa"/>
              <w:right w:w="20" w:type="dxa"/>
            </w:tcMar>
            <w:vAlign w:val="bottom"/>
          </w:tcPr>
          <w:p w14:paraId="7C207CEF" w14:textId="77777777" w:rsidR="00834A75" w:rsidRDefault="00834A75">
            <w:pPr>
              <w:rPr>
                <w:rFonts w:ascii="宋体"/>
              </w:rPr>
            </w:pPr>
          </w:p>
        </w:tc>
        <w:tc>
          <w:tcPr>
            <w:tcW w:w="0" w:type="auto"/>
            <w:gridSpan w:val="2"/>
            <w:shd w:val="clear" w:color="auto" w:fill="E2EFD9"/>
            <w:tcMar>
              <w:top w:w="40" w:type="dxa"/>
              <w:left w:w="20" w:type="dxa"/>
              <w:bottom w:w="40" w:type="dxa"/>
              <w:right w:w="0" w:type="dxa"/>
            </w:tcMar>
            <w:vAlign w:val="bottom"/>
          </w:tcPr>
          <w:p w14:paraId="7C207CF0" w14:textId="77777777" w:rsidR="00834A75" w:rsidRDefault="00A6708C">
            <w:pPr>
              <w:jc w:val="right"/>
              <w:textAlignment w:val="bottom"/>
            </w:pPr>
            <w:r>
              <w:rPr>
                <w:rFonts w:ascii="sans-serif" w:eastAsia="sans-serif" w:hAnsi="sans-serif" w:cs="sans-serif"/>
                <w:color w:val="000000"/>
                <w:sz w:val="15"/>
                <w:szCs w:val="15"/>
              </w:rPr>
              <w:t>126 </w:t>
            </w:r>
          </w:p>
        </w:tc>
        <w:tc>
          <w:tcPr>
            <w:tcW w:w="0" w:type="auto"/>
            <w:shd w:val="clear" w:color="auto" w:fill="E2EFD9"/>
            <w:tcMar>
              <w:top w:w="40" w:type="dxa"/>
              <w:left w:w="0" w:type="dxa"/>
              <w:bottom w:w="40" w:type="dxa"/>
              <w:right w:w="20" w:type="dxa"/>
            </w:tcMar>
            <w:vAlign w:val="bottom"/>
          </w:tcPr>
          <w:p w14:paraId="7C207CF1" w14:textId="77777777" w:rsidR="00834A75" w:rsidRDefault="00834A75">
            <w:pPr>
              <w:jc w:val="right"/>
              <w:rPr>
                <w:rFonts w:ascii="宋体"/>
              </w:rPr>
            </w:pPr>
          </w:p>
        </w:tc>
      </w:tr>
      <w:tr w:rsidR="00834A75" w14:paraId="7C207D08" w14:textId="77777777">
        <w:trPr>
          <w:jc w:val="center"/>
        </w:trPr>
        <w:tc>
          <w:tcPr>
            <w:tcW w:w="0" w:type="auto"/>
            <w:gridSpan w:val="3"/>
            <w:shd w:val="clear" w:color="auto" w:fill="FFFFFF"/>
            <w:tcMar>
              <w:top w:w="40" w:type="dxa"/>
              <w:left w:w="20" w:type="dxa"/>
              <w:bottom w:w="40" w:type="dxa"/>
              <w:right w:w="20" w:type="dxa"/>
            </w:tcMar>
            <w:vAlign w:val="bottom"/>
          </w:tcPr>
          <w:p w14:paraId="7C207CF3" w14:textId="77777777" w:rsidR="00834A75" w:rsidRDefault="00A6708C">
            <w:pPr>
              <w:textAlignment w:val="bottom"/>
            </w:pPr>
            <w:r>
              <w:rPr>
                <w:rFonts w:ascii="sans-serif" w:eastAsia="sans-serif" w:hAnsi="sans-serif" w:cs="sans-serif"/>
                <w:color w:val="000000"/>
                <w:sz w:val="15"/>
                <w:szCs w:val="15"/>
              </w:rPr>
              <w:t>Tax withholding related to vesting of restricted stoc</w:t>
            </w:r>
            <w:r>
              <w:rPr>
                <w:rFonts w:ascii="sans-serif" w:eastAsia="sans-serif" w:hAnsi="sans-serif" w:cs="sans-serif"/>
                <w:color w:val="000000"/>
                <w:sz w:val="15"/>
                <w:szCs w:val="15"/>
              </w:rPr>
              <w:t>k units</w:t>
            </w:r>
          </w:p>
        </w:tc>
        <w:tc>
          <w:tcPr>
            <w:tcW w:w="0" w:type="auto"/>
            <w:gridSpan w:val="2"/>
            <w:shd w:val="clear" w:color="auto" w:fill="FFFFFF"/>
            <w:tcMar>
              <w:top w:w="40" w:type="dxa"/>
              <w:left w:w="20" w:type="dxa"/>
              <w:bottom w:w="40" w:type="dxa"/>
              <w:right w:w="0" w:type="dxa"/>
            </w:tcMar>
            <w:vAlign w:val="bottom"/>
          </w:tcPr>
          <w:p w14:paraId="7C207CF4" w14:textId="77777777" w:rsidR="00834A75" w:rsidRDefault="00A6708C">
            <w:pPr>
              <w:jc w:val="right"/>
              <w:textAlignment w:val="bottom"/>
            </w:pPr>
            <w:r>
              <w:rPr>
                <w:rFonts w:ascii="sans-serif" w:eastAsia="sans-serif" w:hAnsi="sans-serif" w:cs="sans-serif"/>
                <w:color w:val="000000"/>
                <w:sz w:val="15"/>
                <w:szCs w:val="15"/>
              </w:rPr>
              <w:t>(3)</w:t>
            </w:r>
          </w:p>
        </w:tc>
        <w:tc>
          <w:tcPr>
            <w:tcW w:w="0" w:type="auto"/>
            <w:shd w:val="clear" w:color="auto" w:fill="FFFFFF"/>
            <w:tcMar>
              <w:top w:w="40" w:type="dxa"/>
              <w:left w:w="0" w:type="dxa"/>
              <w:bottom w:w="40" w:type="dxa"/>
              <w:right w:w="20" w:type="dxa"/>
            </w:tcMar>
            <w:vAlign w:val="bottom"/>
          </w:tcPr>
          <w:p w14:paraId="7C207CF5" w14:textId="77777777" w:rsidR="00834A75" w:rsidRDefault="00834A75">
            <w:pPr>
              <w:jc w:val="right"/>
              <w:rPr>
                <w:rFonts w:ascii="宋体"/>
              </w:rPr>
            </w:pPr>
          </w:p>
        </w:tc>
        <w:tc>
          <w:tcPr>
            <w:tcW w:w="0" w:type="auto"/>
            <w:gridSpan w:val="3"/>
            <w:shd w:val="clear" w:color="auto" w:fill="FFFFFF"/>
            <w:tcMar>
              <w:top w:w="0" w:type="dxa"/>
              <w:left w:w="20" w:type="dxa"/>
              <w:bottom w:w="0" w:type="dxa"/>
              <w:right w:w="20" w:type="dxa"/>
            </w:tcMar>
            <w:vAlign w:val="bottom"/>
          </w:tcPr>
          <w:p w14:paraId="7C207CF6" w14:textId="77777777" w:rsidR="00834A75" w:rsidRDefault="00834A75">
            <w:pPr>
              <w:rPr>
                <w:rFonts w:ascii="宋体"/>
              </w:rPr>
            </w:pPr>
          </w:p>
        </w:tc>
        <w:tc>
          <w:tcPr>
            <w:tcW w:w="0" w:type="auto"/>
            <w:gridSpan w:val="2"/>
            <w:shd w:val="clear" w:color="auto" w:fill="FFFFFF"/>
            <w:tcMar>
              <w:top w:w="40" w:type="dxa"/>
              <w:left w:w="20" w:type="dxa"/>
              <w:bottom w:w="40" w:type="dxa"/>
              <w:right w:w="0" w:type="dxa"/>
            </w:tcMar>
            <w:vAlign w:val="bottom"/>
          </w:tcPr>
          <w:p w14:paraId="7C207CF7" w14:textId="77777777" w:rsidR="00834A75" w:rsidRDefault="00A6708C">
            <w:pPr>
              <w:jc w:val="right"/>
              <w:textAlignment w:val="bottom"/>
            </w:pPr>
            <w:r>
              <w:rPr>
                <w:rFonts w:ascii="sans-serif" w:eastAsia="sans-serif" w:hAnsi="sans-serif" w:cs="sans-serif"/>
                <w:color w:val="000000"/>
                <w:sz w:val="15"/>
                <w:szCs w:val="15"/>
              </w:rPr>
              <w:t>— </w:t>
            </w:r>
          </w:p>
        </w:tc>
        <w:tc>
          <w:tcPr>
            <w:tcW w:w="0" w:type="auto"/>
            <w:shd w:val="clear" w:color="auto" w:fill="FFFFFF"/>
            <w:tcMar>
              <w:top w:w="40" w:type="dxa"/>
              <w:left w:w="0" w:type="dxa"/>
              <w:bottom w:w="40" w:type="dxa"/>
              <w:right w:w="20" w:type="dxa"/>
            </w:tcMar>
            <w:vAlign w:val="bottom"/>
          </w:tcPr>
          <w:p w14:paraId="7C207CF8" w14:textId="77777777" w:rsidR="00834A75" w:rsidRDefault="00834A75">
            <w:pPr>
              <w:jc w:val="right"/>
              <w:rPr>
                <w:rFonts w:ascii="宋体"/>
              </w:rPr>
            </w:pPr>
          </w:p>
        </w:tc>
        <w:tc>
          <w:tcPr>
            <w:tcW w:w="0" w:type="auto"/>
            <w:gridSpan w:val="3"/>
            <w:shd w:val="clear" w:color="auto" w:fill="FFFFFF"/>
            <w:tcMar>
              <w:top w:w="0" w:type="dxa"/>
              <w:left w:w="20" w:type="dxa"/>
              <w:bottom w:w="0" w:type="dxa"/>
              <w:right w:w="20" w:type="dxa"/>
            </w:tcMar>
            <w:vAlign w:val="bottom"/>
          </w:tcPr>
          <w:p w14:paraId="7C207CF9" w14:textId="77777777" w:rsidR="00834A75" w:rsidRDefault="00834A75">
            <w:pPr>
              <w:rPr>
                <w:rFonts w:ascii="宋体"/>
              </w:rPr>
            </w:pPr>
          </w:p>
        </w:tc>
        <w:tc>
          <w:tcPr>
            <w:tcW w:w="0" w:type="auto"/>
            <w:gridSpan w:val="2"/>
            <w:shd w:val="clear" w:color="auto" w:fill="FFFFFF"/>
            <w:tcMar>
              <w:top w:w="40" w:type="dxa"/>
              <w:left w:w="20" w:type="dxa"/>
              <w:bottom w:w="40" w:type="dxa"/>
              <w:right w:w="0" w:type="dxa"/>
            </w:tcMar>
            <w:vAlign w:val="bottom"/>
          </w:tcPr>
          <w:p w14:paraId="7C207CFA" w14:textId="77777777" w:rsidR="00834A75" w:rsidRDefault="00A6708C">
            <w:pPr>
              <w:jc w:val="right"/>
              <w:textAlignment w:val="bottom"/>
            </w:pPr>
            <w:r>
              <w:rPr>
                <w:rFonts w:ascii="sans-serif" w:eastAsia="sans-serif" w:hAnsi="sans-serif" w:cs="sans-serif"/>
                <w:color w:val="000000"/>
                <w:sz w:val="15"/>
                <w:szCs w:val="15"/>
              </w:rPr>
              <w:t>— </w:t>
            </w:r>
          </w:p>
        </w:tc>
        <w:tc>
          <w:tcPr>
            <w:tcW w:w="0" w:type="auto"/>
            <w:shd w:val="clear" w:color="auto" w:fill="FFFFFF"/>
            <w:tcMar>
              <w:top w:w="40" w:type="dxa"/>
              <w:left w:w="0" w:type="dxa"/>
              <w:bottom w:w="40" w:type="dxa"/>
              <w:right w:w="20" w:type="dxa"/>
            </w:tcMar>
            <w:vAlign w:val="bottom"/>
          </w:tcPr>
          <w:p w14:paraId="7C207CFB" w14:textId="77777777" w:rsidR="00834A75" w:rsidRDefault="00834A75">
            <w:pPr>
              <w:jc w:val="right"/>
              <w:rPr>
                <w:rFonts w:ascii="宋体"/>
              </w:rPr>
            </w:pPr>
          </w:p>
        </w:tc>
        <w:tc>
          <w:tcPr>
            <w:tcW w:w="0" w:type="auto"/>
            <w:gridSpan w:val="3"/>
            <w:shd w:val="clear" w:color="auto" w:fill="FFFFFF"/>
            <w:tcMar>
              <w:top w:w="0" w:type="dxa"/>
              <w:left w:w="20" w:type="dxa"/>
              <w:bottom w:w="0" w:type="dxa"/>
              <w:right w:w="20" w:type="dxa"/>
            </w:tcMar>
            <w:vAlign w:val="bottom"/>
          </w:tcPr>
          <w:p w14:paraId="7C207CFC" w14:textId="77777777" w:rsidR="00834A75" w:rsidRDefault="00834A75">
            <w:pPr>
              <w:rPr>
                <w:rFonts w:ascii="宋体"/>
              </w:rPr>
            </w:pPr>
          </w:p>
        </w:tc>
        <w:tc>
          <w:tcPr>
            <w:tcW w:w="0" w:type="auto"/>
            <w:gridSpan w:val="2"/>
            <w:shd w:val="clear" w:color="auto" w:fill="FFFFFF"/>
            <w:tcMar>
              <w:top w:w="40" w:type="dxa"/>
              <w:left w:w="20" w:type="dxa"/>
              <w:bottom w:w="40" w:type="dxa"/>
              <w:right w:w="0" w:type="dxa"/>
            </w:tcMar>
            <w:vAlign w:val="bottom"/>
          </w:tcPr>
          <w:p w14:paraId="7C207CFD" w14:textId="77777777" w:rsidR="00834A75" w:rsidRDefault="00A6708C">
            <w:pPr>
              <w:jc w:val="right"/>
              <w:textAlignment w:val="bottom"/>
            </w:pPr>
            <w:r>
              <w:rPr>
                <w:rFonts w:ascii="sans-serif" w:eastAsia="sans-serif" w:hAnsi="sans-serif" w:cs="sans-serif"/>
                <w:color w:val="000000"/>
                <w:sz w:val="15"/>
                <w:szCs w:val="15"/>
              </w:rPr>
              <w:t>(486)</w:t>
            </w:r>
          </w:p>
        </w:tc>
        <w:tc>
          <w:tcPr>
            <w:tcW w:w="0" w:type="auto"/>
            <w:shd w:val="clear" w:color="auto" w:fill="FFFFFF"/>
            <w:tcMar>
              <w:top w:w="40" w:type="dxa"/>
              <w:left w:w="0" w:type="dxa"/>
              <w:bottom w:w="40" w:type="dxa"/>
              <w:right w:w="20" w:type="dxa"/>
            </w:tcMar>
            <w:vAlign w:val="bottom"/>
          </w:tcPr>
          <w:p w14:paraId="7C207CFE" w14:textId="77777777" w:rsidR="00834A75" w:rsidRDefault="00834A75">
            <w:pPr>
              <w:jc w:val="right"/>
              <w:rPr>
                <w:rFonts w:ascii="宋体"/>
              </w:rPr>
            </w:pPr>
          </w:p>
        </w:tc>
        <w:tc>
          <w:tcPr>
            <w:tcW w:w="0" w:type="auto"/>
            <w:gridSpan w:val="3"/>
            <w:shd w:val="clear" w:color="auto" w:fill="FFFFFF"/>
            <w:tcMar>
              <w:top w:w="0" w:type="dxa"/>
              <w:left w:w="20" w:type="dxa"/>
              <w:bottom w:w="0" w:type="dxa"/>
              <w:right w:w="20" w:type="dxa"/>
            </w:tcMar>
            <w:vAlign w:val="bottom"/>
          </w:tcPr>
          <w:p w14:paraId="7C207CFF" w14:textId="77777777" w:rsidR="00834A75" w:rsidRDefault="00834A75">
            <w:pPr>
              <w:rPr>
                <w:rFonts w:ascii="宋体"/>
              </w:rPr>
            </w:pPr>
          </w:p>
        </w:tc>
        <w:tc>
          <w:tcPr>
            <w:tcW w:w="0" w:type="auto"/>
            <w:gridSpan w:val="2"/>
            <w:shd w:val="clear" w:color="auto" w:fill="FFFFFF"/>
            <w:tcMar>
              <w:top w:w="40" w:type="dxa"/>
              <w:left w:w="20" w:type="dxa"/>
              <w:bottom w:w="40" w:type="dxa"/>
              <w:right w:w="0" w:type="dxa"/>
            </w:tcMar>
            <w:vAlign w:val="bottom"/>
          </w:tcPr>
          <w:p w14:paraId="7C207D00" w14:textId="77777777" w:rsidR="00834A75" w:rsidRDefault="00A6708C">
            <w:pPr>
              <w:jc w:val="right"/>
              <w:textAlignment w:val="bottom"/>
            </w:pPr>
            <w:r>
              <w:rPr>
                <w:rFonts w:ascii="sans-serif" w:eastAsia="sans-serif" w:hAnsi="sans-serif" w:cs="sans-serif"/>
                <w:color w:val="000000"/>
                <w:sz w:val="15"/>
                <w:szCs w:val="15"/>
              </w:rPr>
              <w:t>— </w:t>
            </w:r>
          </w:p>
        </w:tc>
        <w:tc>
          <w:tcPr>
            <w:tcW w:w="0" w:type="auto"/>
            <w:shd w:val="clear" w:color="auto" w:fill="FFFFFF"/>
            <w:tcMar>
              <w:top w:w="40" w:type="dxa"/>
              <w:left w:w="0" w:type="dxa"/>
              <w:bottom w:w="40" w:type="dxa"/>
              <w:right w:w="20" w:type="dxa"/>
            </w:tcMar>
            <w:vAlign w:val="bottom"/>
          </w:tcPr>
          <w:p w14:paraId="7C207D01" w14:textId="77777777" w:rsidR="00834A75" w:rsidRDefault="00834A75">
            <w:pPr>
              <w:jc w:val="right"/>
              <w:rPr>
                <w:rFonts w:ascii="宋体"/>
              </w:rPr>
            </w:pPr>
          </w:p>
        </w:tc>
        <w:tc>
          <w:tcPr>
            <w:tcW w:w="0" w:type="auto"/>
            <w:gridSpan w:val="3"/>
            <w:shd w:val="clear" w:color="auto" w:fill="FFFFFF"/>
            <w:tcMar>
              <w:top w:w="0" w:type="dxa"/>
              <w:left w:w="20" w:type="dxa"/>
              <w:bottom w:w="0" w:type="dxa"/>
              <w:right w:w="20" w:type="dxa"/>
            </w:tcMar>
            <w:vAlign w:val="bottom"/>
          </w:tcPr>
          <w:p w14:paraId="7C207D02" w14:textId="77777777" w:rsidR="00834A75" w:rsidRDefault="00834A75">
            <w:pPr>
              <w:rPr>
                <w:rFonts w:ascii="宋体"/>
              </w:rPr>
            </w:pPr>
          </w:p>
        </w:tc>
        <w:tc>
          <w:tcPr>
            <w:tcW w:w="0" w:type="auto"/>
            <w:gridSpan w:val="2"/>
            <w:shd w:val="clear" w:color="auto" w:fill="FFFFFF"/>
            <w:tcMar>
              <w:top w:w="40" w:type="dxa"/>
              <w:left w:w="20" w:type="dxa"/>
              <w:bottom w:w="40" w:type="dxa"/>
              <w:right w:w="0" w:type="dxa"/>
            </w:tcMar>
            <w:vAlign w:val="bottom"/>
          </w:tcPr>
          <w:p w14:paraId="7C207D03" w14:textId="77777777" w:rsidR="00834A75" w:rsidRDefault="00A6708C">
            <w:pPr>
              <w:jc w:val="right"/>
              <w:textAlignment w:val="bottom"/>
            </w:pPr>
            <w:r>
              <w:rPr>
                <w:rFonts w:ascii="sans-serif" w:eastAsia="sans-serif" w:hAnsi="sans-serif" w:cs="sans-serif"/>
                <w:color w:val="000000"/>
                <w:sz w:val="15"/>
                <w:szCs w:val="15"/>
              </w:rPr>
              <w:t>— </w:t>
            </w:r>
          </w:p>
        </w:tc>
        <w:tc>
          <w:tcPr>
            <w:tcW w:w="0" w:type="auto"/>
            <w:shd w:val="clear" w:color="auto" w:fill="FFFFFF"/>
            <w:tcMar>
              <w:top w:w="40" w:type="dxa"/>
              <w:left w:w="0" w:type="dxa"/>
              <w:bottom w:w="40" w:type="dxa"/>
              <w:right w:w="20" w:type="dxa"/>
            </w:tcMar>
            <w:vAlign w:val="bottom"/>
          </w:tcPr>
          <w:p w14:paraId="7C207D04" w14:textId="77777777" w:rsidR="00834A75" w:rsidRDefault="00834A75">
            <w:pPr>
              <w:jc w:val="right"/>
              <w:rPr>
                <w:rFonts w:ascii="宋体"/>
              </w:rPr>
            </w:pPr>
          </w:p>
        </w:tc>
        <w:tc>
          <w:tcPr>
            <w:tcW w:w="0" w:type="auto"/>
            <w:gridSpan w:val="3"/>
            <w:shd w:val="clear" w:color="auto" w:fill="FFFFFF"/>
            <w:tcMar>
              <w:top w:w="0" w:type="dxa"/>
              <w:left w:w="20" w:type="dxa"/>
              <w:bottom w:w="0" w:type="dxa"/>
              <w:right w:w="20" w:type="dxa"/>
            </w:tcMar>
            <w:vAlign w:val="bottom"/>
          </w:tcPr>
          <w:p w14:paraId="7C207D05" w14:textId="77777777" w:rsidR="00834A75" w:rsidRDefault="00834A75">
            <w:pPr>
              <w:rPr>
                <w:rFonts w:ascii="宋体"/>
              </w:rPr>
            </w:pPr>
          </w:p>
        </w:tc>
        <w:tc>
          <w:tcPr>
            <w:tcW w:w="0" w:type="auto"/>
            <w:gridSpan w:val="2"/>
            <w:shd w:val="clear" w:color="auto" w:fill="FFFFFF"/>
            <w:tcMar>
              <w:top w:w="40" w:type="dxa"/>
              <w:left w:w="20" w:type="dxa"/>
              <w:bottom w:w="40" w:type="dxa"/>
              <w:right w:w="0" w:type="dxa"/>
            </w:tcMar>
            <w:vAlign w:val="bottom"/>
          </w:tcPr>
          <w:p w14:paraId="7C207D06" w14:textId="77777777" w:rsidR="00834A75" w:rsidRDefault="00A6708C">
            <w:pPr>
              <w:jc w:val="right"/>
              <w:textAlignment w:val="bottom"/>
            </w:pPr>
            <w:r>
              <w:rPr>
                <w:rFonts w:ascii="sans-serif" w:eastAsia="sans-serif" w:hAnsi="sans-serif" w:cs="sans-serif"/>
                <w:color w:val="000000"/>
                <w:sz w:val="15"/>
                <w:szCs w:val="15"/>
              </w:rPr>
              <w:t>(486)</w:t>
            </w:r>
          </w:p>
        </w:tc>
        <w:tc>
          <w:tcPr>
            <w:tcW w:w="0" w:type="auto"/>
            <w:shd w:val="clear" w:color="auto" w:fill="FFFFFF"/>
            <w:tcMar>
              <w:top w:w="40" w:type="dxa"/>
              <w:left w:w="0" w:type="dxa"/>
              <w:bottom w:w="40" w:type="dxa"/>
              <w:right w:w="20" w:type="dxa"/>
            </w:tcMar>
            <w:vAlign w:val="bottom"/>
          </w:tcPr>
          <w:p w14:paraId="7C207D07" w14:textId="77777777" w:rsidR="00834A75" w:rsidRDefault="00834A75">
            <w:pPr>
              <w:jc w:val="right"/>
              <w:rPr>
                <w:rFonts w:ascii="宋体"/>
              </w:rPr>
            </w:pPr>
          </w:p>
        </w:tc>
      </w:tr>
      <w:tr w:rsidR="00834A75" w14:paraId="7C207D17" w14:textId="77777777">
        <w:trPr>
          <w:jc w:val="center"/>
          <w:hidden/>
        </w:trPr>
        <w:tc>
          <w:tcPr>
            <w:tcW w:w="0" w:type="auto"/>
            <w:gridSpan w:val="3"/>
            <w:shd w:val="clear" w:color="auto" w:fill="auto"/>
            <w:vAlign w:val="bottom"/>
          </w:tcPr>
          <w:p w14:paraId="7C207D09" w14:textId="77777777" w:rsidR="00834A75" w:rsidRDefault="00834A75">
            <w:pPr>
              <w:rPr>
                <w:rFonts w:ascii="宋体"/>
                <w:vanish/>
              </w:rPr>
            </w:pPr>
          </w:p>
        </w:tc>
        <w:tc>
          <w:tcPr>
            <w:tcW w:w="0" w:type="auto"/>
            <w:gridSpan w:val="3"/>
            <w:shd w:val="clear" w:color="auto" w:fill="auto"/>
            <w:vAlign w:val="bottom"/>
          </w:tcPr>
          <w:p w14:paraId="7C207D0A" w14:textId="77777777" w:rsidR="00834A75" w:rsidRDefault="00834A75">
            <w:pPr>
              <w:rPr>
                <w:rFonts w:ascii="宋体"/>
                <w:vanish/>
              </w:rPr>
            </w:pPr>
          </w:p>
        </w:tc>
        <w:tc>
          <w:tcPr>
            <w:tcW w:w="0" w:type="auto"/>
            <w:gridSpan w:val="3"/>
            <w:shd w:val="clear" w:color="auto" w:fill="auto"/>
            <w:vAlign w:val="bottom"/>
          </w:tcPr>
          <w:p w14:paraId="7C207D0B" w14:textId="77777777" w:rsidR="00834A75" w:rsidRDefault="00834A75">
            <w:pPr>
              <w:rPr>
                <w:rFonts w:ascii="宋体"/>
                <w:vanish/>
              </w:rPr>
            </w:pPr>
          </w:p>
        </w:tc>
        <w:tc>
          <w:tcPr>
            <w:tcW w:w="0" w:type="auto"/>
            <w:gridSpan w:val="3"/>
            <w:shd w:val="clear" w:color="auto" w:fill="auto"/>
            <w:vAlign w:val="bottom"/>
          </w:tcPr>
          <w:p w14:paraId="7C207D0C" w14:textId="77777777" w:rsidR="00834A75" w:rsidRDefault="00834A75">
            <w:pPr>
              <w:rPr>
                <w:rFonts w:ascii="宋体"/>
                <w:vanish/>
              </w:rPr>
            </w:pPr>
          </w:p>
        </w:tc>
        <w:tc>
          <w:tcPr>
            <w:tcW w:w="0" w:type="auto"/>
            <w:gridSpan w:val="3"/>
            <w:shd w:val="clear" w:color="auto" w:fill="auto"/>
            <w:vAlign w:val="bottom"/>
          </w:tcPr>
          <w:p w14:paraId="7C207D0D" w14:textId="77777777" w:rsidR="00834A75" w:rsidRDefault="00834A75">
            <w:pPr>
              <w:rPr>
                <w:rFonts w:ascii="宋体"/>
                <w:vanish/>
              </w:rPr>
            </w:pPr>
          </w:p>
        </w:tc>
        <w:tc>
          <w:tcPr>
            <w:tcW w:w="0" w:type="auto"/>
            <w:gridSpan w:val="3"/>
            <w:shd w:val="clear" w:color="auto" w:fill="auto"/>
            <w:vAlign w:val="bottom"/>
          </w:tcPr>
          <w:p w14:paraId="7C207D0E" w14:textId="77777777" w:rsidR="00834A75" w:rsidRDefault="00834A75">
            <w:pPr>
              <w:rPr>
                <w:rFonts w:ascii="宋体"/>
                <w:vanish/>
              </w:rPr>
            </w:pPr>
          </w:p>
        </w:tc>
        <w:tc>
          <w:tcPr>
            <w:tcW w:w="0" w:type="auto"/>
            <w:gridSpan w:val="3"/>
            <w:shd w:val="clear" w:color="auto" w:fill="auto"/>
            <w:vAlign w:val="bottom"/>
          </w:tcPr>
          <w:p w14:paraId="7C207D0F" w14:textId="77777777" w:rsidR="00834A75" w:rsidRDefault="00834A75">
            <w:pPr>
              <w:rPr>
                <w:rFonts w:ascii="宋体"/>
                <w:vanish/>
              </w:rPr>
            </w:pPr>
          </w:p>
        </w:tc>
        <w:tc>
          <w:tcPr>
            <w:tcW w:w="0" w:type="auto"/>
            <w:gridSpan w:val="3"/>
            <w:shd w:val="clear" w:color="auto" w:fill="auto"/>
            <w:vAlign w:val="bottom"/>
          </w:tcPr>
          <w:p w14:paraId="7C207D10" w14:textId="77777777" w:rsidR="00834A75" w:rsidRDefault="00834A75">
            <w:pPr>
              <w:rPr>
                <w:rFonts w:ascii="宋体"/>
                <w:vanish/>
              </w:rPr>
            </w:pPr>
          </w:p>
        </w:tc>
        <w:tc>
          <w:tcPr>
            <w:tcW w:w="0" w:type="auto"/>
            <w:gridSpan w:val="3"/>
            <w:shd w:val="clear" w:color="auto" w:fill="auto"/>
            <w:vAlign w:val="bottom"/>
          </w:tcPr>
          <w:p w14:paraId="7C207D11" w14:textId="77777777" w:rsidR="00834A75" w:rsidRDefault="00834A75">
            <w:pPr>
              <w:rPr>
                <w:rFonts w:ascii="宋体"/>
                <w:vanish/>
              </w:rPr>
            </w:pPr>
          </w:p>
        </w:tc>
        <w:tc>
          <w:tcPr>
            <w:tcW w:w="0" w:type="auto"/>
            <w:gridSpan w:val="3"/>
            <w:shd w:val="clear" w:color="auto" w:fill="auto"/>
            <w:vAlign w:val="bottom"/>
          </w:tcPr>
          <w:p w14:paraId="7C207D12" w14:textId="77777777" w:rsidR="00834A75" w:rsidRDefault="00834A75">
            <w:pPr>
              <w:rPr>
                <w:rFonts w:ascii="宋体"/>
                <w:vanish/>
              </w:rPr>
            </w:pPr>
          </w:p>
        </w:tc>
        <w:tc>
          <w:tcPr>
            <w:tcW w:w="0" w:type="auto"/>
            <w:gridSpan w:val="3"/>
            <w:shd w:val="clear" w:color="auto" w:fill="auto"/>
            <w:vAlign w:val="bottom"/>
          </w:tcPr>
          <w:p w14:paraId="7C207D13" w14:textId="77777777" w:rsidR="00834A75" w:rsidRDefault="00834A75">
            <w:pPr>
              <w:rPr>
                <w:rFonts w:ascii="宋体"/>
                <w:vanish/>
              </w:rPr>
            </w:pPr>
          </w:p>
        </w:tc>
        <w:tc>
          <w:tcPr>
            <w:tcW w:w="0" w:type="auto"/>
            <w:gridSpan w:val="3"/>
            <w:shd w:val="clear" w:color="auto" w:fill="auto"/>
            <w:vAlign w:val="bottom"/>
          </w:tcPr>
          <w:p w14:paraId="7C207D14" w14:textId="77777777" w:rsidR="00834A75" w:rsidRDefault="00834A75">
            <w:pPr>
              <w:rPr>
                <w:rFonts w:ascii="宋体"/>
                <w:vanish/>
              </w:rPr>
            </w:pPr>
          </w:p>
        </w:tc>
        <w:tc>
          <w:tcPr>
            <w:tcW w:w="0" w:type="auto"/>
            <w:gridSpan w:val="3"/>
            <w:shd w:val="clear" w:color="auto" w:fill="auto"/>
            <w:vAlign w:val="bottom"/>
          </w:tcPr>
          <w:p w14:paraId="7C207D15" w14:textId="77777777" w:rsidR="00834A75" w:rsidRDefault="00834A75">
            <w:pPr>
              <w:rPr>
                <w:rFonts w:ascii="宋体"/>
                <w:vanish/>
              </w:rPr>
            </w:pPr>
          </w:p>
        </w:tc>
        <w:tc>
          <w:tcPr>
            <w:tcW w:w="0" w:type="auto"/>
            <w:gridSpan w:val="3"/>
            <w:shd w:val="clear" w:color="auto" w:fill="auto"/>
            <w:vAlign w:val="bottom"/>
          </w:tcPr>
          <w:p w14:paraId="7C207D16" w14:textId="77777777" w:rsidR="00834A75" w:rsidRDefault="00834A75">
            <w:pPr>
              <w:rPr>
                <w:rFonts w:ascii="宋体"/>
                <w:vanish/>
              </w:rPr>
            </w:pPr>
          </w:p>
        </w:tc>
      </w:tr>
      <w:tr w:rsidR="00834A75" w14:paraId="7C207D2D" w14:textId="77777777">
        <w:trPr>
          <w:jc w:val="center"/>
        </w:trPr>
        <w:tc>
          <w:tcPr>
            <w:tcW w:w="0" w:type="auto"/>
            <w:gridSpan w:val="3"/>
            <w:shd w:val="clear" w:color="auto" w:fill="E2EFD9"/>
            <w:tcMar>
              <w:top w:w="40" w:type="dxa"/>
              <w:left w:w="20" w:type="dxa"/>
              <w:bottom w:w="40" w:type="dxa"/>
              <w:right w:w="20" w:type="dxa"/>
            </w:tcMar>
            <w:vAlign w:val="bottom"/>
          </w:tcPr>
          <w:p w14:paraId="7C207D18" w14:textId="77777777" w:rsidR="00834A75" w:rsidRDefault="00A6708C">
            <w:pPr>
              <w:textAlignment w:val="bottom"/>
            </w:pPr>
            <w:r>
              <w:rPr>
                <w:rFonts w:ascii="sans-serif" w:eastAsia="sans-serif" w:hAnsi="sans-serif" w:cs="sans-serif"/>
                <w:color w:val="000000"/>
                <w:sz w:val="15"/>
                <w:szCs w:val="15"/>
              </w:rPr>
              <w:t xml:space="preserve">Cash dividends declared and paid </w:t>
            </w:r>
            <w:r>
              <w:rPr>
                <w:rFonts w:ascii="sans-serif" w:eastAsia="sans-serif" w:hAnsi="sans-serif" w:cs="sans-serif"/>
                <w:color w:val="000000"/>
                <w:sz w:val="15"/>
                <w:szCs w:val="15"/>
              </w:rPr>
              <w:t>($0.04 per common share)</w:t>
            </w:r>
          </w:p>
        </w:tc>
        <w:tc>
          <w:tcPr>
            <w:tcW w:w="0" w:type="auto"/>
            <w:gridSpan w:val="2"/>
            <w:shd w:val="clear" w:color="auto" w:fill="E2EFD9"/>
            <w:tcMar>
              <w:top w:w="40" w:type="dxa"/>
              <w:left w:w="20" w:type="dxa"/>
              <w:bottom w:w="40" w:type="dxa"/>
              <w:right w:w="0" w:type="dxa"/>
            </w:tcMar>
            <w:vAlign w:val="bottom"/>
          </w:tcPr>
          <w:p w14:paraId="7C207D19" w14:textId="77777777" w:rsidR="00834A75" w:rsidRDefault="00A6708C">
            <w:pPr>
              <w:jc w:val="right"/>
              <w:textAlignment w:val="bottom"/>
            </w:pPr>
            <w:r>
              <w:rPr>
                <w:rFonts w:ascii="sans-serif" w:eastAsia="sans-serif" w:hAnsi="sans-serif" w:cs="sans-serif"/>
                <w:color w:val="000000"/>
                <w:sz w:val="15"/>
                <w:szCs w:val="15"/>
              </w:rPr>
              <w:t>— </w:t>
            </w:r>
          </w:p>
        </w:tc>
        <w:tc>
          <w:tcPr>
            <w:tcW w:w="0" w:type="auto"/>
            <w:shd w:val="clear" w:color="auto" w:fill="E2EFD9"/>
            <w:tcMar>
              <w:top w:w="40" w:type="dxa"/>
              <w:left w:w="0" w:type="dxa"/>
              <w:bottom w:w="40" w:type="dxa"/>
              <w:right w:w="20" w:type="dxa"/>
            </w:tcMar>
            <w:vAlign w:val="bottom"/>
          </w:tcPr>
          <w:p w14:paraId="7C207D1A" w14:textId="77777777" w:rsidR="00834A75" w:rsidRDefault="00834A75">
            <w:pPr>
              <w:jc w:val="right"/>
              <w:rPr>
                <w:rFonts w:ascii="宋体"/>
              </w:rPr>
            </w:pPr>
          </w:p>
        </w:tc>
        <w:tc>
          <w:tcPr>
            <w:tcW w:w="0" w:type="auto"/>
            <w:gridSpan w:val="3"/>
            <w:shd w:val="clear" w:color="auto" w:fill="E2EFD9"/>
            <w:tcMar>
              <w:top w:w="0" w:type="dxa"/>
              <w:left w:w="20" w:type="dxa"/>
              <w:bottom w:w="0" w:type="dxa"/>
              <w:right w:w="20" w:type="dxa"/>
            </w:tcMar>
            <w:vAlign w:val="bottom"/>
          </w:tcPr>
          <w:p w14:paraId="7C207D1B" w14:textId="77777777" w:rsidR="00834A75" w:rsidRDefault="00834A75">
            <w:pPr>
              <w:rPr>
                <w:rFonts w:ascii="宋体"/>
              </w:rPr>
            </w:pPr>
          </w:p>
        </w:tc>
        <w:tc>
          <w:tcPr>
            <w:tcW w:w="0" w:type="auto"/>
            <w:gridSpan w:val="2"/>
            <w:shd w:val="clear" w:color="auto" w:fill="E2EFD9"/>
            <w:tcMar>
              <w:top w:w="40" w:type="dxa"/>
              <w:left w:w="20" w:type="dxa"/>
              <w:bottom w:w="40" w:type="dxa"/>
              <w:right w:w="0" w:type="dxa"/>
            </w:tcMar>
            <w:vAlign w:val="bottom"/>
          </w:tcPr>
          <w:p w14:paraId="7C207D1C" w14:textId="77777777" w:rsidR="00834A75" w:rsidRDefault="00A6708C">
            <w:pPr>
              <w:jc w:val="right"/>
              <w:textAlignment w:val="bottom"/>
            </w:pPr>
            <w:r>
              <w:rPr>
                <w:rFonts w:ascii="sans-serif" w:eastAsia="sans-serif" w:hAnsi="sans-serif" w:cs="sans-serif"/>
                <w:color w:val="000000"/>
                <w:sz w:val="15"/>
                <w:szCs w:val="15"/>
              </w:rPr>
              <w:t>— </w:t>
            </w:r>
          </w:p>
        </w:tc>
        <w:tc>
          <w:tcPr>
            <w:tcW w:w="0" w:type="auto"/>
            <w:shd w:val="clear" w:color="auto" w:fill="E2EFD9"/>
            <w:tcMar>
              <w:top w:w="40" w:type="dxa"/>
              <w:left w:w="0" w:type="dxa"/>
              <w:bottom w:w="40" w:type="dxa"/>
              <w:right w:w="20" w:type="dxa"/>
            </w:tcMar>
            <w:vAlign w:val="bottom"/>
          </w:tcPr>
          <w:p w14:paraId="7C207D1D" w14:textId="77777777" w:rsidR="00834A75" w:rsidRDefault="00834A75">
            <w:pPr>
              <w:jc w:val="right"/>
              <w:rPr>
                <w:rFonts w:ascii="宋体"/>
              </w:rPr>
            </w:pPr>
          </w:p>
        </w:tc>
        <w:tc>
          <w:tcPr>
            <w:tcW w:w="0" w:type="auto"/>
            <w:gridSpan w:val="3"/>
            <w:shd w:val="clear" w:color="auto" w:fill="E2EFD9"/>
            <w:tcMar>
              <w:top w:w="0" w:type="dxa"/>
              <w:left w:w="20" w:type="dxa"/>
              <w:bottom w:w="0" w:type="dxa"/>
              <w:right w:w="20" w:type="dxa"/>
            </w:tcMar>
            <w:vAlign w:val="bottom"/>
          </w:tcPr>
          <w:p w14:paraId="7C207D1E" w14:textId="77777777" w:rsidR="00834A75" w:rsidRDefault="00834A75">
            <w:pPr>
              <w:rPr>
                <w:rFonts w:ascii="宋体"/>
              </w:rPr>
            </w:pPr>
          </w:p>
        </w:tc>
        <w:tc>
          <w:tcPr>
            <w:tcW w:w="0" w:type="auto"/>
            <w:gridSpan w:val="2"/>
            <w:shd w:val="clear" w:color="auto" w:fill="E2EFD9"/>
            <w:tcMar>
              <w:top w:w="40" w:type="dxa"/>
              <w:left w:w="20" w:type="dxa"/>
              <w:bottom w:w="40" w:type="dxa"/>
              <w:right w:w="0" w:type="dxa"/>
            </w:tcMar>
            <w:vAlign w:val="bottom"/>
          </w:tcPr>
          <w:p w14:paraId="7C207D1F" w14:textId="77777777" w:rsidR="00834A75" w:rsidRDefault="00A6708C">
            <w:pPr>
              <w:jc w:val="right"/>
              <w:textAlignment w:val="bottom"/>
            </w:pPr>
            <w:r>
              <w:rPr>
                <w:rFonts w:ascii="sans-serif" w:eastAsia="sans-serif" w:hAnsi="sans-serif" w:cs="sans-serif"/>
                <w:color w:val="000000"/>
                <w:sz w:val="15"/>
                <w:szCs w:val="15"/>
              </w:rPr>
              <w:t>— </w:t>
            </w:r>
          </w:p>
        </w:tc>
        <w:tc>
          <w:tcPr>
            <w:tcW w:w="0" w:type="auto"/>
            <w:shd w:val="clear" w:color="auto" w:fill="E2EFD9"/>
            <w:tcMar>
              <w:top w:w="40" w:type="dxa"/>
              <w:left w:w="0" w:type="dxa"/>
              <w:bottom w:w="40" w:type="dxa"/>
              <w:right w:w="20" w:type="dxa"/>
            </w:tcMar>
            <w:vAlign w:val="bottom"/>
          </w:tcPr>
          <w:p w14:paraId="7C207D20" w14:textId="77777777" w:rsidR="00834A75" w:rsidRDefault="00834A75">
            <w:pPr>
              <w:jc w:val="right"/>
              <w:rPr>
                <w:rFonts w:ascii="宋体"/>
              </w:rPr>
            </w:pPr>
          </w:p>
        </w:tc>
        <w:tc>
          <w:tcPr>
            <w:tcW w:w="0" w:type="auto"/>
            <w:gridSpan w:val="3"/>
            <w:shd w:val="clear" w:color="auto" w:fill="E2EFD9"/>
            <w:tcMar>
              <w:top w:w="0" w:type="dxa"/>
              <w:left w:w="20" w:type="dxa"/>
              <w:bottom w:w="0" w:type="dxa"/>
              <w:right w:w="20" w:type="dxa"/>
            </w:tcMar>
            <w:vAlign w:val="bottom"/>
          </w:tcPr>
          <w:p w14:paraId="7C207D21" w14:textId="77777777" w:rsidR="00834A75" w:rsidRDefault="00834A75">
            <w:pPr>
              <w:rPr>
                <w:rFonts w:ascii="宋体"/>
              </w:rPr>
            </w:pPr>
          </w:p>
        </w:tc>
        <w:tc>
          <w:tcPr>
            <w:tcW w:w="0" w:type="auto"/>
            <w:gridSpan w:val="2"/>
            <w:shd w:val="clear" w:color="auto" w:fill="E2EFD9"/>
            <w:tcMar>
              <w:top w:w="40" w:type="dxa"/>
              <w:left w:w="20" w:type="dxa"/>
              <w:bottom w:w="40" w:type="dxa"/>
              <w:right w:w="0" w:type="dxa"/>
            </w:tcMar>
            <w:vAlign w:val="bottom"/>
          </w:tcPr>
          <w:p w14:paraId="7C207D22" w14:textId="77777777" w:rsidR="00834A75" w:rsidRDefault="00A6708C">
            <w:pPr>
              <w:jc w:val="right"/>
              <w:textAlignment w:val="bottom"/>
            </w:pPr>
            <w:r>
              <w:rPr>
                <w:rFonts w:ascii="sans-serif" w:eastAsia="sans-serif" w:hAnsi="sans-serif" w:cs="sans-serif"/>
                <w:color w:val="000000"/>
                <w:sz w:val="15"/>
                <w:szCs w:val="15"/>
              </w:rPr>
              <w:t>— </w:t>
            </w:r>
          </w:p>
        </w:tc>
        <w:tc>
          <w:tcPr>
            <w:tcW w:w="0" w:type="auto"/>
            <w:shd w:val="clear" w:color="auto" w:fill="E2EFD9"/>
            <w:tcMar>
              <w:top w:w="40" w:type="dxa"/>
              <w:left w:w="0" w:type="dxa"/>
              <w:bottom w:w="40" w:type="dxa"/>
              <w:right w:w="20" w:type="dxa"/>
            </w:tcMar>
            <w:vAlign w:val="bottom"/>
          </w:tcPr>
          <w:p w14:paraId="7C207D23" w14:textId="77777777" w:rsidR="00834A75" w:rsidRDefault="00834A75">
            <w:pPr>
              <w:jc w:val="right"/>
              <w:rPr>
                <w:rFonts w:ascii="宋体"/>
              </w:rPr>
            </w:pPr>
          </w:p>
        </w:tc>
        <w:tc>
          <w:tcPr>
            <w:tcW w:w="0" w:type="auto"/>
            <w:gridSpan w:val="3"/>
            <w:shd w:val="clear" w:color="auto" w:fill="E2EFD9"/>
            <w:tcMar>
              <w:top w:w="0" w:type="dxa"/>
              <w:left w:w="20" w:type="dxa"/>
              <w:bottom w:w="0" w:type="dxa"/>
              <w:right w:w="20" w:type="dxa"/>
            </w:tcMar>
            <w:vAlign w:val="bottom"/>
          </w:tcPr>
          <w:p w14:paraId="7C207D24" w14:textId="77777777" w:rsidR="00834A75" w:rsidRDefault="00834A75">
            <w:pPr>
              <w:rPr>
                <w:rFonts w:ascii="宋体"/>
              </w:rPr>
            </w:pPr>
          </w:p>
        </w:tc>
        <w:tc>
          <w:tcPr>
            <w:tcW w:w="0" w:type="auto"/>
            <w:gridSpan w:val="2"/>
            <w:shd w:val="clear" w:color="auto" w:fill="E2EFD9"/>
            <w:tcMar>
              <w:top w:w="40" w:type="dxa"/>
              <w:left w:w="20" w:type="dxa"/>
              <w:bottom w:w="40" w:type="dxa"/>
              <w:right w:w="0" w:type="dxa"/>
            </w:tcMar>
            <w:vAlign w:val="bottom"/>
          </w:tcPr>
          <w:p w14:paraId="7C207D25" w14:textId="77777777" w:rsidR="00834A75" w:rsidRDefault="00A6708C">
            <w:pPr>
              <w:jc w:val="right"/>
              <w:textAlignment w:val="bottom"/>
            </w:pPr>
            <w:r>
              <w:rPr>
                <w:rFonts w:ascii="sans-serif" w:eastAsia="sans-serif" w:hAnsi="sans-serif" w:cs="sans-serif"/>
                <w:color w:val="000000"/>
                <w:sz w:val="15"/>
                <w:szCs w:val="15"/>
              </w:rPr>
              <w:t>— </w:t>
            </w:r>
          </w:p>
        </w:tc>
        <w:tc>
          <w:tcPr>
            <w:tcW w:w="0" w:type="auto"/>
            <w:shd w:val="clear" w:color="auto" w:fill="E2EFD9"/>
            <w:tcMar>
              <w:top w:w="40" w:type="dxa"/>
              <w:left w:w="0" w:type="dxa"/>
              <w:bottom w:w="40" w:type="dxa"/>
              <w:right w:w="20" w:type="dxa"/>
            </w:tcMar>
            <w:vAlign w:val="bottom"/>
          </w:tcPr>
          <w:p w14:paraId="7C207D26" w14:textId="77777777" w:rsidR="00834A75" w:rsidRDefault="00834A75">
            <w:pPr>
              <w:jc w:val="right"/>
              <w:rPr>
                <w:rFonts w:ascii="宋体"/>
              </w:rPr>
            </w:pPr>
          </w:p>
        </w:tc>
        <w:tc>
          <w:tcPr>
            <w:tcW w:w="0" w:type="auto"/>
            <w:gridSpan w:val="3"/>
            <w:shd w:val="clear" w:color="auto" w:fill="E2EFD9"/>
            <w:tcMar>
              <w:top w:w="0" w:type="dxa"/>
              <w:left w:w="20" w:type="dxa"/>
              <w:bottom w:w="0" w:type="dxa"/>
              <w:right w:w="20" w:type="dxa"/>
            </w:tcMar>
            <w:vAlign w:val="bottom"/>
          </w:tcPr>
          <w:p w14:paraId="7C207D27" w14:textId="77777777" w:rsidR="00834A75" w:rsidRDefault="00834A75">
            <w:pPr>
              <w:rPr>
                <w:rFonts w:ascii="宋体"/>
              </w:rPr>
            </w:pPr>
          </w:p>
        </w:tc>
        <w:tc>
          <w:tcPr>
            <w:tcW w:w="0" w:type="auto"/>
            <w:gridSpan w:val="2"/>
            <w:shd w:val="clear" w:color="auto" w:fill="E2EFD9"/>
            <w:tcMar>
              <w:top w:w="40" w:type="dxa"/>
              <w:left w:w="20" w:type="dxa"/>
              <w:bottom w:w="40" w:type="dxa"/>
              <w:right w:w="0" w:type="dxa"/>
            </w:tcMar>
            <w:vAlign w:val="bottom"/>
          </w:tcPr>
          <w:p w14:paraId="7C207D28" w14:textId="77777777" w:rsidR="00834A75" w:rsidRDefault="00A6708C">
            <w:pPr>
              <w:jc w:val="right"/>
              <w:textAlignment w:val="bottom"/>
            </w:pPr>
            <w:r>
              <w:rPr>
                <w:rFonts w:ascii="sans-serif" w:eastAsia="sans-serif" w:hAnsi="sans-serif" w:cs="sans-serif"/>
                <w:color w:val="000000"/>
                <w:sz w:val="15"/>
                <w:szCs w:val="15"/>
              </w:rPr>
              <w:t>(99)</w:t>
            </w:r>
          </w:p>
        </w:tc>
        <w:tc>
          <w:tcPr>
            <w:tcW w:w="0" w:type="auto"/>
            <w:shd w:val="clear" w:color="auto" w:fill="E2EFD9"/>
            <w:tcMar>
              <w:top w:w="40" w:type="dxa"/>
              <w:left w:w="0" w:type="dxa"/>
              <w:bottom w:w="40" w:type="dxa"/>
              <w:right w:w="20" w:type="dxa"/>
            </w:tcMar>
            <w:vAlign w:val="bottom"/>
          </w:tcPr>
          <w:p w14:paraId="7C207D29" w14:textId="77777777" w:rsidR="00834A75" w:rsidRDefault="00834A75">
            <w:pPr>
              <w:jc w:val="right"/>
              <w:rPr>
                <w:rFonts w:ascii="宋体"/>
              </w:rPr>
            </w:pPr>
          </w:p>
        </w:tc>
        <w:tc>
          <w:tcPr>
            <w:tcW w:w="0" w:type="auto"/>
            <w:gridSpan w:val="3"/>
            <w:shd w:val="clear" w:color="auto" w:fill="E2EFD9"/>
            <w:tcMar>
              <w:top w:w="0" w:type="dxa"/>
              <w:left w:w="20" w:type="dxa"/>
              <w:bottom w:w="0" w:type="dxa"/>
              <w:right w:w="20" w:type="dxa"/>
            </w:tcMar>
            <w:vAlign w:val="bottom"/>
          </w:tcPr>
          <w:p w14:paraId="7C207D2A" w14:textId="77777777" w:rsidR="00834A75" w:rsidRDefault="00834A75">
            <w:pPr>
              <w:rPr>
                <w:rFonts w:ascii="宋体"/>
              </w:rPr>
            </w:pPr>
          </w:p>
        </w:tc>
        <w:tc>
          <w:tcPr>
            <w:tcW w:w="0" w:type="auto"/>
            <w:gridSpan w:val="2"/>
            <w:shd w:val="clear" w:color="auto" w:fill="E2EFD9"/>
            <w:tcMar>
              <w:top w:w="40" w:type="dxa"/>
              <w:left w:w="20" w:type="dxa"/>
              <w:bottom w:w="40" w:type="dxa"/>
              <w:right w:w="0" w:type="dxa"/>
            </w:tcMar>
            <w:vAlign w:val="bottom"/>
          </w:tcPr>
          <w:p w14:paraId="7C207D2B" w14:textId="77777777" w:rsidR="00834A75" w:rsidRDefault="00A6708C">
            <w:pPr>
              <w:jc w:val="right"/>
              <w:textAlignment w:val="bottom"/>
            </w:pPr>
            <w:r>
              <w:rPr>
                <w:rFonts w:ascii="sans-serif" w:eastAsia="sans-serif" w:hAnsi="sans-serif" w:cs="sans-serif"/>
                <w:color w:val="000000"/>
                <w:sz w:val="15"/>
                <w:szCs w:val="15"/>
              </w:rPr>
              <w:t>(99)</w:t>
            </w:r>
          </w:p>
        </w:tc>
        <w:tc>
          <w:tcPr>
            <w:tcW w:w="0" w:type="auto"/>
            <w:shd w:val="clear" w:color="auto" w:fill="E2EFD9"/>
            <w:tcMar>
              <w:top w:w="40" w:type="dxa"/>
              <w:left w:w="0" w:type="dxa"/>
              <w:bottom w:w="40" w:type="dxa"/>
              <w:right w:w="20" w:type="dxa"/>
            </w:tcMar>
            <w:vAlign w:val="bottom"/>
          </w:tcPr>
          <w:p w14:paraId="7C207D2C" w14:textId="77777777" w:rsidR="00834A75" w:rsidRDefault="00834A75">
            <w:pPr>
              <w:jc w:val="right"/>
              <w:rPr>
                <w:rFonts w:ascii="宋体"/>
              </w:rPr>
            </w:pPr>
          </w:p>
        </w:tc>
      </w:tr>
      <w:tr w:rsidR="00834A75" w14:paraId="7C207D3C" w14:textId="77777777">
        <w:trPr>
          <w:jc w:val="center"/>
          <w:hidden/>
        </w:trPr>
        <w:tc>
          <w:tcPr>
            <w:tcW w:w="0" w:type="auto"/>
            <w:gridSpan w:val="3"/>
            <w:shd w:val="clear" w:color="auto" w:fill="auto"/>
            <w:vAlign w:val="bottom"/>
          </w:tcPr>
          <w:p w14:paraId="7C207D2E" w14:textId="77777777" w:rsidR="00834A75" w:rsidRDefault="00834A75">
            <w:pPr>
              <w:rPr>
                <w:rFonts w:ascii="宋体"/>
                <w:vanish/>
              </w:rPr>
            </w:pPr>
          </w:p>
        </w:tc>
        <w:tc>
          <w:tcPr>
            <w:tcW w:w="0" w:type="auto"/>
            <w:gridSpan w:val="3"/>
            <w:shd w:val="clear" w:color="auto" w:fill="auto"/>
            <w:vAlign w:val="bottom"/>
          </w:tcPr>
          <w:p w14:paraId="7C207D2F" w14:textId="77777777" w:rsidR="00834A75" w:rsidRDefault="00834A75">
            <w:pPr>
              <w:rPr>
                <w:rFonts w:ascii="宋体"/>
                <w:vanish/>
              </w:rPr>
            </w:pPr>
          </w:p>
        </w:tc>
        <w:tc>
          <w:tcPr>
            <w:tcW w:w="0" w:type="auto"/>
            <w:gridSpan w:val="3"/>
            <w:shd w:val="clear" w:color="auto" w:fill="auto"/>
            <w:vAlign w:val="bottom"/>
          </w:tcPr>
          <w:p w14:paraId="7C207D30" w14:textId="77777777" w:rsidR="00834A75" w:rsidRDefault="00834A75">
            <w:pPr>
              <w:rPr>
                <w:rFonts w:ascii="宋体"/>
                <w:vanish/>
              </w:rPr>
            </w:pPr>
          </w:p>
        </w:tc>
        <w:tc>
          <w:tcPr>
            <w:tcW w:w="0" w:type="auto"/>
            <w:gridSpan w:val="3"/>
            <w:shd w:val="clear" w:color="auto" w:fill="auto"/>
            <w:vAlign w:val="bottom"/>
          </w:tcPr>
          <w:p w14:paraId="7C207D31" w14:textId="77777777" w:rsidR="00834A75" w:rsidRDefault="00834A75">
            <w:pPr>
              <w:rPr>
                <w:rFonts w:ascii="宋体"/>
                <w:vanish/>
              </w:rPr>
            </w:pPr>
          </w:p>
        </w:tc>
        <w:tc>
          <w:tcPr>
            <w:tcW w:w="0" w:type="auto"/>
            <w:gridSpan w:val="3"/>
            <w:shd w:val="clear" w:color="auto" w:fill="auto"/>
            <w:vAlign w:val="bottom"/>
          </w:tcPr>
          <w:p w14:paraId="7C207D32" w14:textId="77777777" w:rsidR="00834A75" w:rsidRDefault="00834A75">
            <w:pPr>
              <w:rPr>
                <w:rFonts w:ascii="宋体"/>
                <w:vanish/>
              </w:rPr>
            </w:pPr>
          </w:p>
        </w:tc>
        <w:tc>
          <w:tcPr>
            <w:tcW w:w="0" w:type="auto"/>
            <w:gridSpan w:val="3"/>
            <w:shd w:val="clear" w:color="auto" w:fill="auto"/>
            <w:vAlign w:val="bottom"/>
          </w:tcPr>
          <w:p w14:paraId="7C207D33" w14:textId="77777777" w:rsidR="00834A75" w:rsidRDefault="00834A75">
            <w:pPr>
              <w:rPr>
                <w:rFonts w:ascii="宋体"/>
                <w:vanish/>
              </w:rPr>
            </w:pPr>
          </w:p>
        </w:tc>
        <w:tc>
          <w:tcPr>
            <w:tcW w:w="0" w:type="auto"/>
            <w:gridSpan w:val="3"/>
            <w:shd w:val="clear" w:color="auto" w:fill="auto"/>
            <w:vAlign w:val="bottom"/>
          </w:tcPr>
          <w:p w14:paraId="7C207D34" w14:textId="77777777" w:rsidR="00834A75" w:rsidRDefault="00834A75">
            <w:pPr>
              <w:rPr>
                <w:rFonts w:ascii="宋体"/>
                <w:vanish/>
              </w:rPr>
            </w:pPr>
          </w:p>
        </w:tc>
        <w:tc>
          <w:tcPr>
            <w:tcW w:w="0" w:type="auto"/>
            <w:gridSpan w:val="3"/>
            <w:shd w:val="clear" w:color="auto" w:fill="auto"/>
            <w:vAlign w:val="bottom"/>
          </w:tcPr>
          <w:p w14:paraId="7C207D35" w14:textId="77777777" w:rsidR="00834A75" w:rsidRDefault="00834A75">
            <w:pPr>
              <w:rPr>
                <w:rFonts w:ascii="宋体"/>
                <w:vanish/>
              </w:rPr>
            </w:pPr>
          </w:p>
        </w:tc>
        <w:tc>
          <w:tcPr>
            <w:tcW w:w="0" w:type="auto"/>
            <w:gridSpan w:val="3"/>
            <w:shd w:val="clear" w:color="auto" w:fill="auto"/>
            <w:vAlign w:val="bottom"/>
          </w:tcPr>
          <w:p w14:paraId="7C207D36" w14:textId="77777777" w:rsidR="00834A75" w:rsidRDefault="00834A75">
            <w:pPr>
              <w:rPr>
                <w:rFonts w:ascii="宋体"/>
                <w:vanish/>
              </w:rPr>
            </w:pPr>
          </w:p>
        </w:tc>
        <w:tc>
          <w:tcPr>
            <w:tcW w:w="0" w:type="auto"/>
            <w:gridSpan w:val="3"/>
            <w:shd w:val="clear" w:color="auto" w:fill="auto"/>
            <w:vAlign w:val="bottom"/>
          </w:tcPr>
          <w:p w14:paraId="7C207D37" w14:textId="77777777" w:rsidR="00834A75" w:rsidRDefault="00834A75">
            <w:pPr>
              <w:rPr>
                <w:rFonts w:ascii="宋体"/>
                <w:vanish/>
              </w:rPr>
            </w:pPr>
          </w:p>
        </w:tc>
        <w:tc>
          <w:tcPr>
            <w:tcW w:w="0" w:type="auto"/>
            <w:gridSpan w:val="3"/>
            <w:shd w:val="clear" w:color="auto" w:fill="auto"/>
            <w:vAlign w:val="bottom"/>
          </w:tcPr>
          <w:p w14:paraId="7C207D38" w14:textId="77777777" w:rsidR="00834A75" w:rsidRDefault="00834A75">
            <w:pPr>
              <w:rPr>
                <w:rFonts w:ascii="宋体"/>
                <w:vanish/>
              </w:rPr>
            </w:pPr>
          </w:p>
        </w:tc>
        <w:tc>
          <w:tcPr>
            <w:tcW w:w="0" w:type="auto"/>
            <w:gridSpan w:val="3"/>
            <w:shd w:val="clear" w:color="auto" w:fill="auto"/>
            <w:vAlign w:val="bottom"/>
          </w:tcPr>
          <w:p w14:paraId="7C207D39" w14:textId="77777777" w:rsidR="00834A75" w:rsidRDefault="00834A75">
            <w:pPr>
              <w:rPr>
                <w:rFonts w:ascii="宋体"/>
                <w:vanish/>
              </w:rPr>
            </w:pPr>
          </w:p>
        </w:tc>
        <w:tc>
          <w:tcPr>
            <w:tcW w:w="0" w:type="auto"/>
            <w:gridSpan w:val="3"/>
            <w:shd w:val="clear" w:color="auto" w:fill="auto"/>
            <w:vAlign w:val="bottom"/>
          </w:tcPr>
          <w:p w14:paraId="7C207D3A" w14:textId="77777777" w:rsidR="00834A75" w:rsidRDefault="00834A75">
            <w:pPr>
              <w:rPr>
                <w:rFonts w:ascii="宋体"/>
                <w:vanish/>
              </w:rPr>
            </w:pPr>
          </w:p>
        </w:tc>
        <w:tc>
          <w:tcPr>
            <w:tcW w:w="0" w:type="auto"/>
            <w:gridSpan w:val="3"/>
            <w:shd w:val="clear" w:color="auto" w:fill="auto"/>
            <w:vAlign w:val="bottom"/>
          </w:tcPr>
          <w:p w14:paraId="7C207D3B" w14:textId="77777777" w:rsidR="00834A75" w:rsidRDefault="00834A75">
            <w:pPr>
              <w:rPr>
                <w:rFonts w:ascii="宋体"/>
                <w:vanish/>
              </w:rPr>
            </w:pPr>
          </w:p>
        </w:tc>
      </w:tr>
      <w:tr w:rsidR="00834A75" w14:paraId="7C207D52" w14:textId="77777777">
        <w:trPr>
          <w:jc w:val="center"/>
        </w:trPr>
        <w:tc>
          <w:tcPr>
            <w:tcW w:w="0" w:type="auto"/>
            <w:gridSpan w:val="3"/>
            <w:shd w:val="clear" w:color="auto" w:fill="FFFFFF"/>
            <w:tcMar>
              <w:top w:w="40" w:type="dxa"/>
              <w:left w:w="20" w:type="dxa"/>
              <w:bottom w:w="40" w:type="dxa"/>
              <w:right w:w="20" w:type="dxa"/>
            </w:tcMar>
            <w:vAlign w:val="bottom"/>
          </w:tcPr>
          <w:p w14:paraId="7C207D3D" w14:textId="77777777" w:rsidR="00834A75" w:rsidRDefault="00A6708C">
            <w:pPr>
              <w:textAlignment w:val="bottom"/>
            </w:pPr>
            <w:r>
              <w:rPr>
                <w:rFonts w:ascii="sans-serif" w:eastAsia="sans-serif" w:hAnsi="sans-serif" w:cs="sans-serif"/>
                <w:color w:val="000000"/>
                <w:sz w:val="15"/>
                <w:szCs w:val="15"/>
              </w:rPr>
              <w:t>Stock-based compensation</w:t>
            </w:r>
          </w:p>
        </w:tc>
        <w:tc>
          <w:tcPr>
            <w:tcW w:w="0" w:type="auto"/>
            <w:gridSpan w:val="2"/>
            <w:shd w:val="clear" w:color="auto" w:fill="FFFFFF"/>
            <w:tcMar>
              <w:top w:w="40" w:type="dxa"/>
              <w:left w:w="20" w:type="dxa"/>
              <w:bottom w:w="40" w:type="dxa"/>
              <w:right w:w="0" w:type="dxa"/>
            </w:tcMar>
            <w:vAlign w:val="bottom"/>
          </w:tcPr>
          <w:p w14:paraId="7C207D3E" w14:textId="77777777" w:rsidR="00834A75" w:rsidRDefault="00A6708C">
            <w:pPr>
              <w:jc w:val="right"/>
              <w:textAlignment w:val="bottom"/>
            </w:pPr>
            <w:r>
              <w:rPr>
                <w:rFonts w:ascii="sans-serif" w:eastAsia="sans-serif" w:hAnsi="sans-serif" w:cs="sans-serif"/>
                <w:color w:val="000000"/>
                <w:sz w:val="15"/>
                <w:szCs w:val="15"/>
              </w:rPr>
              <w:t>— </w:t>
            </w:r>
          </w:p>
        </w:tc>
        <w:tc>
          <w:tcPr>
            <w:tcW w:w="0" w:type="auto"/>
            <w:shd w:val="clear" w:color="auto" w:fill="FFFFFF"/>
            <w:tcMar>
              <w:top w:w="40" w:type="dxa"/>
              <w:left w:w="0" w:type="dxa"/>
              <w:bottom w:w="40" w:type="dxa"/>
              <w:right w:w="20" w:type="dxa"/>
            </w:tcMar>
            <w:vAlign w:val="bottom"/>
          </w:tcPr>
          <w:p w14:paraId="7C207D3F" w14:textId="77777777" w:rsidR="00834A75" w:rsidRDefault="00834A75">
            <w:pPr>
              <w:jc w:val="right"/>
              <w:rPr>
                <w:rFonts w:ascii="宋体"/>
              </w:rPr>
            </w:pPr>
          </w:p>
        </w:tc>
        <w:tc>
          <w:tcPr>
            <w:tcW w:w="0" w:type="auto"/>
            <w:gridSpan w:val="3"/>
            <w:shd w:val="clear" w:color="auto" w:fill="FFFFFF"/>
            <w:tcMar>
              <w:top w:w="0" w:type="dxa"/>
              <w:left w:w="20" w:type="dxa"/>
              <w:bottom w:w="0" w:type="dxa"/>
              <w:right w:w="20" w:type="dxa"/>
            </w:tcMar>
            <w:vAlign w:val="bottom"/>
          </w:tcPr>
          <w:p w14:paraId="7C207D40" w14:textId="77777777" w:rsidR="00834A75" w:rsidRDefault="00834A75">
            <w:pPr>
              <w:rPr>
                <w:rFonts w:ascii="宋体"/>
              </w:rPr>
            </w:pPr>
          </w:p>
        </w:tc>
        <w:tc>
          <w:tcPr>
            <w:tcW w:w="0" w:type="auto"/>
            <w:gridSpan w:val="2"/>
            <w:shd w:val="clear" w:color="auto" w:fill="FFFFFF"/>
            <w:tcMar>
              <w:top w:w="40" w:type="dxa"/>
              <w:left w:w="20" w:type="dxa"/>
              <w:bottom w:w="40" w:type="dxa"/>
              <w:right w:w="0" w:type="dxa"/>
            </w:tcMar>
            <w:vAlign w:val="bottom"/>
          </w:tcPr>
          <w:p w14:paraId="7C207D41" w14:textId="77777777" w:rsidR="00834A75" w:rsidRDefault="00A6708C">
            <w:pPr>
              <w:jc w:val="right"/>
              <w:textAlignment w:val="bottom"/>
            </w:pPr>
            <w:r>
              <w:rPr>
                <w:rFonts w:ascii="sans-serif" w:eastAsia="sans-serif" w:hAnsi="sans-serif" w:cs="sans-serif"/>
                <w:color w:val="000000"/>
                <w:sz w:val="15"/>
                <w:szCs w:val="15"/>
              </w:rPr>
              <w:t>— </w:t>
            </w:r>
          </w:p>
        </w:tc>
        <w:tc>
          <w:tcPr>
            <w:tcW w:w="0" w:type="auto"/>
            <w:shd w:val="clear" w:color="auto" w:fill="FFFFFF"/>
            <w:tcMar>
              <w:top w:w="40" w:type="dxa"/>
              <w:left w:w="0" w:type="dxa"/>
              <w:bottom w:w="40" w:type="dxa"/>
              <w:right w:w="20" w:type="dxa"/>
            </w:tcMar>
            <w:vAlign w:val="bottom"/>
          </w:tcPr>
          <w:p w14:paraId="7C207D42" w14:textId="77777777" w:rsidR="00834A75" w:rsidRDefault="00834A75">
            <w:pPr>
              <w:jc w:val="right"/>
              <w:rPr>
                <w:rFonts w:ascii="宋体"/>
              </w:rPr>
            </w:pPr>
          </w:p>
        </w:tc>
        <w:tc>
          <w:tcPr>
            <w:tcW w:w="0" w:type="auto"/>
            <w:gridSpan w:val="3"/>
            <w:shd w:val="clear" w:color="auto" w:fill="FFFFFF"/>
            <w:tcMar>
              <w:top w:w="0" w:type="dxa"/>
              <w:left w:w="20" w:type="dxa"/>
              <w:bottom w:w="0" w:type="dxa"/>
              <w:right w:w="20" w:type="dxa"/>
            </w:tcMar>
            <w:vAlign w:val="bottom"/>
          </w:tcPr>
          <w:p w14:paraId="7C207D43" w14:textId="77777777" w:rsidR="00834A75" w:rsidRDefault="00834A75">
            <w:pPr>
              <w:rPr>
                <w:rFonts w:ascii="宋体"/>
              </w:rPr>
            </w:pPr>
          </w:p>
        </w:tc>
        <w:tc>
          <w:tcPr>
            <w:tcW w:w="0" w:type="auto"/>
            <w:gridSpan w:val="2"/>
            <w:shd w:val="clear" w:color="auto" w:fill="FFFFFF"/>
            <w:tcMar>
              <w:top w:w="40" w:type="dxa"/>
              <w:left w:w="20" w:type="dxa"/>
              <w:bottom w:w="40" w:type="dxa"/>
              <w:right w:w="0" w:type="dxa"/>
            </w:tcMar>
            <w:vAlign w:val="bottom"/>
          </w:tcPr>
          <w:p w14:paraId="7C207D44" w14:textId="77777777" w:rsidR="00834A75" w:rsidRDefault="00A6708C">
            <w:pPr>
              <w:jc w:val="right"/>
              <w:textAlignment w:val="bottom"/>
            </w:pPr>
            <w:r>
              <w:rPr>
                <w:rFonts w:ascii="sans-serif" w:eastAsia="sans-serif" w:hAnsi="sans-serif" w:cs="sans-serif"/>
                <w:color w:val="000000"/>
                <w:sz w:val="15"/>
                <w:szCs w:val="15"/>
              </w:rPr>
              <w:t>433 </w:t>
            </w:r>
          </w:p>
        </w:tc>
        <w:tc>
          <w:tcPr>
            <w:tcW w:w="0" w:type="auto"/>
            <w:shd w:val="clear" w:color="auto" w:fill="FFFFFF"/>
            <w:tcMar>
              <w:top w:w="40" w:type="dxa"/>
              <w:left w:w="0" w:type="dxa"/>
              <w:bottom w:w="40" w:type="dxa"/>
              <w:right w:w="20" w:type="dxa"/>
            </w:tcMar>
            <w:vAlign w:val="bottom"/>
          </w:tcPr>
          <w:p w14:paraId="7C207D45" w14:textId="77777777" w:rsidR="00834A75" w:rsidRDefault="00834A75">
            <w:pPr>
              <w:jc w:val="right"/>
              <w:rPr>
                <w:rFonts w:ascii="宋体"/>
              </w:rPr>
            </w:pPr>
          </w:p>
        </w:tc>
        <w:tc>
          <w:tcPr>
            <w:tcW w:w="0" w:type="auto"/>
            <w:gridSpan w:val="3"/>
            <w:shd w:val="clear" w:color="auto" w:fill="FFFFFF"/>
            <w:tcMar>
              <w:top w:w="0" w:type="dxa"/>
              <w:left w:w="20" w:type="dxa"/>
              <w:bottom w:w="0" w:type="dxa"/>
              <w:right w:w="20" w:type="dxa"/>
            </w:tcMar>
            <w:vAlign w:val="bottom"/>
          </w:tcPr>
          <w:p w14:paraId="7C207D46" w14:textId="77777777" w:rsidR="00834A75" w:rsidRDefault="00834A75">
            <w:pPr>
              <w:rPr>
                <w:rFonts w:ascii="宋体"/>
              </w:rPr>
            </w:pPr>
          </w:p>
        </w:tc>
        <w:tc>
          <w:tcPr>
            <w:tcW w:w="0" w:type="auto"/>
            <w:gridSpan w:val="2"/>
            <w:shd w:val="clear" w:color="auto" w:fill="FFFFFF"/>
            <w:tcMar>
              <w:top w:w="40" w:type="dxa"/>
              <w:left w:w="20" w:type="dxa"/>
              <w:bottom w:w="40" w:type="dxa"/>
              <w:right w:w="0" w:type="dxa"/>
            </w:tcMar>
            <w:vAlign w:val="bottom"/>
          </w:tcPr>
          <w:p w14:paraId="7C207D47" w14:textId="77777777" w:rsidR="00834A75" w:rsidRDefault="00A6708C">
            <w:pPr>
              <w:jc w:val="right"/>
              <w:textAlignment w:val="bottom"/>
            </w:pPr>
            <w:r>
              <w:rPr>
                <w:rFonts w:ascii="sans-serif" w:eastAsia="sans-serif" w:hAnsi="sans-serif" w:cs="sans-serif"/>
                <w:color w:val="000000"/>
                <w:sz w:val="15"/>
                <w:szCs w:val="15"/>
              </w:rPr>
              <w:t>— </w:t>
            </w:r>
          </w:p>
        </w:tc>
        <w:tc>
          <w:tcPr>
            <w:tcW w:w="0" w:type="auto"/>
            <w:shd w:val="clear" w:color="auto" w:fill="FFFFFF"/>
            <w:tcMar>
              <w:top w:w="40" w:type="dxa"/>
              <w:left w:w="0" w:type="dxa"/>
              <w:bottom w:w="40" w:type="dxa"/>
              <w:right w:w="20" w:type="dxa"/>
            </w:tcMar>
            <w:vAlign w:val="bottom"/>
          </w:tcPr>
          <w:p w14:paraId="7C207D48" w14:textId="77777777" w:rsidR="00834A75" w:rsidRDefault="00834A75">
            <w:pPr>
              <w:jc w:val="right"/>
              <w:rPr>
                <w:rFonts w:ascii="宋体"/>
              </w:rPr>
            </w:pPr>
          </w:p>
        </w:tc>
        <w:tc>
          <w:tcPr>
            <w:tcW w:w="0" w:type="auto"/>
            <w:gridSpan w:val="3"/>
            <w:shd w:val="clear" w:color="auto" w:fill="FFFFFF"/>
            <w:tcMar>
              <w:top w:w="0" w:type="dxa"/>
              <w:left w:w="20" w:type="dxa"/>
              <w:bottom w:w="0" w:type="dxa"/>
              <w:right w:w="20" w:type="dxa"/>
            </w:tcMar>
            <w:vAlign w:val="bottom"/>
          </w:tcPr>
          <w:p w14:paraId="7C207D49" w14:textId="77777777" w:rsidR="00834A75" w:rsidRDefault="00834A75">
            <w:pPr>
              <w:rPr>
                <w:rFonts w:ascii="宋体"/>
              </w:rPr>
            </w:pPr>
          </w:p>
        </w:tc>
        <w:tc>
          <w:tcPr>
            <w:tcW w:w="0" w:type="auto"/>
            <w:gridSpan w:val="2"/>
            <w:shd w:val="clear" w:color="auto" w:fill="FFFFFF"/>
            <w:tcMar>
              <w:top w:w="40" w:type="dxa"/>
              <w:left w:w="20" w:type="dxa"/>
              <w:bottom w:w="40" w:type="dxa"/>
              <w:right w:w="0" w:type="dxa"/>
            </w:tcMar>
            <w:vAlign w:val="bottom"/>
          </w:tcPr>
          <w:p w14:paraId="7C207D4A" w14:textId="77777777" w:rsidR="00834A75" w:rsidRDefault="00A6708C">
            <w:pPr>
              <w:jc w:val="right"/>
              <w:textAlignment w:val="bottom"/>
            </w:pPr>
            <w:r>
              <w:rPr>
                <w:rFonts w:ascii="sans-serif" w:eastAsia="sans-serif" w:hAnsi="sans-serif" w:cs="sans-serif"/>
                <w:color w:val="000000"/>
                <w:sz w:val="15"/>
                <w:szCs w:val="15"/>
              </w:rPr>
              <w:t>— </w:t>
            </w:r>
          </w:p>
        </w:tc>
        <w:tc>
          <w:tcPr>
            <w:tcW w:w="0" w:type="auto"/>
            <w:shd w:val="clear" w:color="auto" w:fill="FFFFFF"/>
            <w:tcMar>
              <w:top w:w="40" w:type="dxa"/>
              <w:left w:w="0" w:type="dxa"/>
              <w:bottom w:w="40" w:type="dxa"/>
              <w:right w:w="20" w:type="dxa"/>
            </w:tcMar>
            <w:vAlign w:val="bottom"/>
          </w:tcPr>
          <w:p w14:paraId="7C207D4B" w14:textId="77777777" w:rsidR="00834A75" w:rsidRDefault="00834A75">
            <w:pPr>
              <w:jc w:val="right"/>
              <w:rPr>
                <w:rFonts w:ascii="宋体"/>
              </w:rPr>
            </w:pPr>
          </w:p>
        </w:tc>
        <w:tc>
          <w:tcPr>
            <w:tcW w:w="0" w:type="auto"/>
            <w:gridSpan w:val="3"/>
            <w:shd w:val="clear" w:color="auto" w:fill="FFFFFF"/>
            <w:tcMar>
              <w:top w:w="0" w:type="dxa"/>
              <w:left w:w="20" w:type="dxa"/>
              <w:bottom w:w="0" w:type="dxa"/>
              <w:right w:w="20" w:type="dxa"/>
            </w:tcMar>
            <w:vAlign w:val="bottom"/>
          </w:tcPr>
          <w:p w14:paraId="7C207D4C" w14:textId="77777777" w:rsidR="00834A75" w:rsidRDefault="00834A75">
            <w:pPr>
              <w:rPr>
                <w:rFonts w:ascii="宋体"/>
              </w:rPr>
            </w:pPr>
          </w:p>
        </w:tc>
        <w:tc>
          <w:tcPr>
            <w:tcW w:w="0" w:type="auto"/>
            <w:gridSpan w:val="2"/>
            <w:shd w:val="clear" w:color="auto" w:fill="FFFFFF"/>
            <w:tcMar>
              <w:top w:w="40" w:type="dxa"/>
              <w:left w:w="20" w:type="dxa"/>
              <w:bottom w:w="40" w:type="dxa"/>
              <w:right w:w="0" w:type="dxa"/>
            </w:tcMar>
            <w:vAlign w:val="bottom"/>
          </w:tcPr>
          <w:p w14:paraId="7C207D4D" w14:textId="77777777" w:rsidR="00834A75" w:rsidRDefault="00A6708C">
            <w:pPr>
              <w:jc w:val="right"/>
              <w:textAlignment w:val="bottom"/>
            </w:pPr>
            <w:r>
              <w:rPr>
                <w:rFonts w:ascii="sans-serif" w:eastAsia="sans-serif" w:hAnsi="sans-serif" w:cs="sans-serif"/>
                <w:color w:val="000000"/>
                <w:sz w:val="15"/>
                <w:szCs w:val="15"/>
              </w:rPr>
              <w:t>— </w:t>
            </w:r>
          </w:p>
        </w:tc>
        <w:tc>
          <w:tcPr>
            <w:tcW w:w="0" w:type="auto"/>
            <w:shd w:val="clear" w:color="auto" w:fill="FFFFFF"/>
            <w:tcMar>
              <w:top w:w="40" w:type="dxa"/>
              <w:left w:w="0" w:type="dxa"/>
              <w:bottom w:w="40" w:type="dxa"/>
              <w:right w:w="20" w:type="dxa"/>
            </w:tcMar>
            <w:vAlign w:val="bottom"/>
          </w:tcPr>
          <w:p w14:paraId="7C207D4E" w14:textId="77777777" w:rsidR="00834A75" w:rsidRDefault="00834A75">
            <w:pPr>
              <w:jc w:val="right"/>
              <w:rPr>
                <w:rFonts w:ascii="宋体"/>
              </w:rPr>
            </w:pPr>
          </w:p>
        </w:tc>
        <w:tc>
          <w:tcPr>
            <w:tcW w:w="0" w:type="auto"/>
            <w:gridSpan w:val="3"/>
            <w:shd w:val="clear" w:color="auto" w:fill="FFFFFF"/>
            <w:tcMar>
              <w:top w:w="0" w:type="dxa"/>
              <w:left w:w="20" w:type="dxa"/>
              <w:bottom w:w="0" w:type="dxa"/>
              <w:right w:w="20" w:type="dxa"/>
            </w:tcMar>
            <w:vAlign w:val="bottom"/>
          </w:tcPr>
          <w:p w14:paraId="7C207D4F" w14:textId="77777777" w:rsidR="00834A75" w:rsidRDefault="00834A75">
            <w:pPr>
              <w:rPr>
                <w:rFonts w:ascii="宋体"/>
              </w:rPr>
            </w:pPr>
          </w:p>
        </w:tc>
        <w:tc>
          <w:tcPr>
            <w:tcW w:w="0" w:type="auto"/>
            <w:gridSpan w:val="2"/>
            <w:shd w:val="clear" w:color="auto" w:fill="FFFFFF"/>
            <w:tcMar>
              <w:top w:w="40" w:type="dxa"/>
              <w:left w:w="20" w:type="dxa"/>
              <w:bottom w:w="40" w:type="dxa"/>
              <w:right w:w="0" w:type="dxa"/>
            </w:tcMar>
            <w:vAlign w:val="bottom"/>
          </w:tcPr>
          <w:p w14:paraId="7C207D50" w14:textId="77777777" w:rsidR="00834A75" w:rsidRDefault="00A6708C">
            <w:pPr>
              <w:jc w:val="right"/>
              <w:textAlignment w:val="bottom"/>
            </w:pPr>
            <w:r>
              <w:rPr>
                <w:rFonts w:ascii="sans-serif" w:eastAsia="sans-serif" w:hAnsi="sans-serif" w:cs="sans-serif"/>
                <w:color w:val="000000"/>
                <w:sz w:val="15"/>
                <w:szCs w:val="15"/>
              </w:rPr>
              <w:t>433 </w:t>
            </w:r>
          </w:p>
        </w:tc>
        <w:tc>
          <w:tcPr>
            <w:tcW w:w="0" w:type="auto"/>
            <w:shd w:val="clear" w:color="auto" w:fill="FFFFFF"/>
            <w:tcMar>
              <w:top w:w="40" w:type="dxa"/>
              <w:left w:w="0" w:type="dxa"/>
              <w:bottom w:w="40" w:type="dxa"/>
              <w:right w:w="20" w:type="dxa"/>
            </w:tcMar>
            <w:vAlign w:val="bottom"/>
          </w:tcPr>
          <w:p w14:paraId="7C207D51" w14:textId="77777777" w:rsidR="00834A75" w:rsidRDefault="00834A75">
            <w:pPr>
              <w:jc w:val="right"/>
              <w:rPr>
                <w:rFonts w:ascii="宋体"/>
              </w:rPr>
            </w:pPr>
          </w:p>
        </w:tc>
      </w:tr>
      <w:tr w:rsidR="00834A75" w14:paraId="7C207D6E" w14:textId="77777777">
        <w:trPr>
          <w:jc w:val="center"/>
        </w:trPr>
        <w:tc>
          <w:tcPr>
            <w:tcW w:w="0" w:type="auto"/>
            <w:gridSpan w:val="3"/>
            <w:shd w:val="clear" w:color="auto" w:fill="E2EFD9"/>
            <w:tcMar>
              <w:top w:w="40" w:type="dxa"/>
              <w:left w:w="20" w:type="dxa"/>
              <w:bottom w:w="40" w:type="dxa"/>
              <w:right w:w="20" w:type="dxa"/>
            </w:tcMar>
            <w:vAlign w:val="bottom"/>
          </w:tcPr>
          <w:p w14:paraId="7C207D53" w14:textId="77777777" w:rsidR="00834A75" w:rsidRDefault="00A6708C">
            <w:pPr>
              <w:textAlignment w:val="bottom"/>
            </w:pPr>
            <w:r>
              <w:rPr>
                <w:rFonts w:ascii="sans-serif" w:eastAsia="sans-serif" w:hAnsi="sans-serif" w:cs="sans-serif"/>
                <w:color w:val="000000"/>
                <w:sz w:val="15"/>
                <w:szCs w:val="15"/>
              </w:rPr>
              <w:t>Balances, May 2, 2021</w:t>
            </w:r>
          </w:p>
        </w:tc>
        <w:tc>
          <w:tcPr>
            <w:tcW w:w="0" w:type="auto"/>
            <w:gridSpan w:val="2"/>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7C207D54" w14:textId="77777777" w:rsidR="00834A75" w:rsidRDefault="00A6708C">
            <w:pPr>
              <w:jc w:val="right"/>
              <w:textAlignment w:val="bottom"/>
            </w:pPr>
            <w:r>
              <w:rPr>
                <w:rFonts w:ascii="sans-serif" w:eastAsia="sans-serif" w:hAnsi="sans-serif" w:cs="sans-serif"/>
                <w:color w:val="000000"/>
                <w:sz w:val="15"/>
                <w:szCs w:val="15"/>
              </w:rPr>
              <w:t>2,491 </w:t>
            </w:r>
          </w:p>
        </w:tc>
        <w:tc>
          <w:tcPr>
            <w:tcW w:w="0" w:type="auto"/>
            <w:tcBorders>
              <w:top w:val="single" w:sz="8" w:space="0" w:color="000000"/>
              <w:bottom w:val="double" w:sz="6" w:space="0" w:color="000000"/>
            </w:tcBorders>
            <w:shd w:val="clear" w:color="auto" w:fill="E2EFD9"/>
            <w:tcMar>
              <w:top w:w="40" w:type="dxa"/>
              <w:left w:w="0" w:type="dxa"/>
              <w:bottom w:w="40" w:type="dxa"/>
              <w:right w:w="20" w:type="dxa"/>
            </w:tcMar>
            <w:vAlign w:val="bottom"/>
          </w:tcPr>
          <w:p w14:paraId="7C207D55" w14:textId="77777777" w:rsidR="00834A75" w:rsidRDefault="00834A75">
            <w:pPr>
              <w:jc w:val="right"/>
              <w:rPr>
                <w:rFonts w:ascii="宋体"/>
              </w:rPr>
            </w:pPr>
          </w:p>
        </w:tc>
        <w:tc>
          <w:tcPr>
            <w:tcW w:w="0" w:type="auto"/>
            <w:gridSpan w:val="3"/>
            <w:shd w:val="clear" w:color="auto" w:fill="E2EFD9"/>
            <w:tcMar>
              <w:top w:w="0" w:type="dxa"/>
              <w:left w:w="20" w:type="dxa"/>
              <w:bottom w:w="0" w:type="dxa"/>
              <w:right w:w="20" w:type="dxa"/>
            </w:tcMar>
            <w:vAlign w:val="bottom"/>
          </w:tcPr>
          <w:p w14:paraId="7C207D56" w14:textId="77777777" w:rsidR="00834A75" w:rsidRDefault="00834A75">
            <w:pPr>
              <w:rPr>
                <w:rFonts w:ascii="宋体"/>
              </w:rPr>
            </w:pPr>
          </w:p>
        </w:tc>
        <w:tc>
          <w:tcPr>
            <w:tcW w:w="0" w:type="auto"/>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7C207D57" w14:textId="77777777" w:rsidR="00834A75" w:rsidRDefault="00A6708C">
            <w:pPr>
              <w:textAlignment w:val="bottom"/>
            </w:pPr>
            <w:r>
              <w:rPr>
                <w:rFonts w:ascii="sans-serif" w:eastAsia="sans-serif" w:hAnsi="sans-serif" w:cs="sans-serif"/>
                <w:color w:val="000000"/>
                <w:sz w:val="15"/>
                <w:szCs w:val="15"/>
              </w:rPr>
              <w:t>$</w:t>
            </w:r>
          </w:p>
        </w:tc>
        <w:tc>
          <w:tcPr>
            <w:tcW w:w="0" w:type="auto"/>
            <w:tcBorders>
              <w:top w:val="single" w:sz="8" w:space="0" w:color="000000"/>
              <w:bottom w:val="double" w:sz="6" w:space="0" w:color="000000"/>
            </w:tcBorders>
            <w:shd w:val="clear" w:color="auto" w:fill="E2EFD9"/>
            <w:tcMar>
              <w:top w:w="40" w:type="dxa"/>
              <w:left w:w="0" w:type="dxa"/>
              <w:bottom w:w="40" w:type="dxa"/>
              <w:right w:w="0" w:type="dxa"/>
            </w:tcMar>
            <w:vAlign w:val="bottom"/>
          </w:tcPr>
          <w:p w14:paraId="7C207D58" w14:textId="77777777" w:rsidR="00834A75" w:rsidRDefault="00A6708C">
            <w:pPr>
              <w:jc w:val="right"/>
              <w:textAlignment w:val="bottom"/>
            </w:pPr>
            <w:r>
              <w:rPr>
                <w:rFonts w:ascii="sans-serif" w:eastAsia="sans-serif" w:hAnsi="sans-serif" w:cs="sans-serif"/>
                <w:color w:val="000000"/>
                <w:sz w:val="15"/>
                <w:szCs w:val="15"/>
              </w:rPr>
              <w:t>3 </w:t>
            </w:r>
          </w:p>
        </w:tc>
        <w:tc>
          <w:tcPr>
            <w:tcW w:w="0" w:type="auto"/>
            <w:tcBorders>
              <w:top w:val="single" w:sz="8" w:space="0" w:color="000000"/>
              <w:bottom w:val="double" w:sz="6" w:space="0" w:color="000000"/>
            </w:tcBorders>
            <w:shd w:val="clear" w:color="auto" w:fill="E2EFD9"/>
            <w:tcMar>
              <w:top w:w="40" w:type="dxa"/>
              <w:left w:w="0" w:type="dxa"/>
              <w:bottom w:w="40" w:type="dxa"/>
              <w:right w:w="20" w:type="dxa"/>
            </w:tcMar>
            <w:vAlign w:val="bottom"/>
          </w:tcPr>
          <w:p w14:paraId="7C207D59" w14:textId="77777777" w:rsidR="00834A75" w:rsidRDefault="00834A75">
            <w:pPr>
              <w:jc w:val="right"/>
              <w:rPr>
                <w:rFonts w:ascii="宋体"/>
              </w:rPr>
            </w:pPr>
          </w:p>
        </w:tc>
        <w:tc>
          <w:tcPr>
            <w:tcW w:w="0" w:type="auto"/>
            <w:gridSpan w:val="3"/>
            <w:shd w:val="clear" w:color="auto" w:fill="E2EFD9"/>
            <w:tcMar>
              <w:top w:w="0" w:type="dxa"/>
              <w:left w:w="20" w:type="dxa"/>
              <w:bottom w:w="0" w:type="dxa"/>
              <w:right w:w="20" w:type="dxa"/>
            </w:tcMar>
            <w:vAlign w:val="bottom"/>
          </w:tcPr>
          <w:p w14:paraId="7C207D5A" w14:textId="77777777" w:rsidR="00834A75" w:rsidRDefault="00834A75">
            <w:pPr>
              <w:rPr>
                <w:rFonts w:ascii="宋体"/>
              </w:rPr>
            </w:pPr>
          </w:p>
        </w:tc>
        <w:tc>
          <w:tcPr>
            <w:tcW w:w="0" w:type="auto"/>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7C207D5B" w14:textId="77777777" w:rsidR="00834A75" w:rsidRDefault="00A6708C">
            <w:pPr>
              <w:textAlignment w:val="bottom"/>
            </w:pPr>
            <w:r>
              <w:rPr>
                <w:rFonts w:ascii="sans-serif" w:eastAsia="sans-serif" w:hAnsi="sans-serif" w:cs="sans-serif"/>
                <w:color w:val="000000"/>
                <w:sz w:val="15"/>
                <w:szCs w:val="15"/>
              </w:rPr>
              <w:t>$</w:t>
            </w:r>
          </w:p>
        </w:tc>
        <w:tc>
          <w:tcPr>
            <w:tcW w:w="0" w:type="auto"/>
            <w:tcBorders>
              <w:top w:val="single" w:sz="8" w:space="0" w:color="000000"/>
              <w:bottom w:val="double" w:sz="6" w:space="0" w:color="000000"/>
            </w:tcBorders>
            <w:shd w:val="clear" w:color="auto" w:fill="E2EFD9"/>
            <w:tcMar>
              <w:top w:w="40" w:type="dxa"/>
              <w:left w:w="0" w:type="dxa"/>
              <w:bottom w:w="40" w:type="dxa"/>
              <w:right w:w="0" w:type="dxa"/>
            </w:tcMar>
            <w:vAlign w:val="bottom"/>
          </w:tcPr>
          <w:p w14:paraId="7C207D5C" w14:textId="77777777" w:rsidR="00834A75" w:rsidRDefault="00A6708C">
            <w:pPr>
              <w:jc w:val="right"/>
              <w:textAlignment w:val="bottom"/>
            </w:pPr>
            <w:r>
              <w:rPr>
                <w:rFonts w:ascii="sans-serif" w:eastAsia="sans-serif" w:hAnsi="sans-serif" w:cs="sans-serif"/>
                <w:color w:val="000000"/>
                <w:sz w:val="15"/>
                <w:szCs w:val="15"/>
              </w:rPr>
              <w:t>9,278 </w:t>
            </w:r>
          </w:p>
        </w:tc>
        <w:tc>
          <w:tcPr>
            <w:tcW w:w="0" w:type="auto"/>
            <w:tcBorders>
              <w:top w:val="single" w:sz="8" w:space="0" w:color="000000"/>
              <w:bottom w:val="double" w:sz="6" w:space="0" w:color="000000"/>
            </w:tcBorders>
            <w:shd w:val="clear" w:color="auto" w:fill="E2EFD9"/>
            <w:tcMar>
              <w:top w:w="40" w:type="dxa"/>
              <w:left w:w="0" w:type="dxa"/>
              <w:bottom w:w="40" w:type="dxa"/>
              <w:right w:w="20" w:type="dxa"/>
            </w:tcMar>
            <w:vAlign w:val="bottom"/>
          </w:tcPr>
          <w:p w14:paraId="7C207D5D" w14:textId="77777777" w:rsidR="00834A75" w:rsidRDefault="00834A75">
            <w:pPr>
              <w:jc w:val="right"/>
              <w:rPr>
                <w:rFonts w:ascii="宋体"/>
              </w:rPr>
            </w:pPr>
          </w:p>
        </w:tc>
        <w:tc>
          <w:tcPr>
            <w:tcW w:w="0" w:type="auto"/>
            <w:gridSpan w:val="3"/>
            <w:shd w:val="clear" w:color="auto" w:fill="E2EFD9"/>
            <w:tcMar>
              <w:top w:w="0" w:type="dxa"/>
              <w:left w:w="20" w:type="dxa"/>
              <w:bottom w:w="0" w:type="dxa"/>
              <w:right w:w="20" w:type="dxa"/>
            </w:tcMar>
            <w:vAlign w:val="bottom"/>
          </w:tcPr>
          <w:p w14:paraId="7C207D5E" w14:textId="77777777" w:rsidR="00834A75" w:rsidRDefault="00834A75">
            <w:pPr>
              <w:rPr>
                <w:rFonts w:ascii="宋体"/>
              </w:rPr>
            </w:pPr>
          </w:p>
        </w:tc>
        <w:tc>
          <w:tcPr>
            <w:tcW w:w="0" w:type="auto"/>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7C207D5F" w14:textId="77777777" w:rsidR="00834A75" w:rsidRDefault="00A6708C">
            <w:pPr>
              <w:textAlignment w:val="bottom"/>
            </w:pPr>
            <w:r>
              <w:rPr>
                <w:rFonts w:ascii="sans-serif" w:eastAsia="sans-serif" w:hAnsi="sans-serif" w:cs="sans-serif"/>
                <w:color w:val="000000"/>
                <w:sz w:val="15"/>
                <w:szCs w:val="15"/>
              </w:rPr>
              <w:t>$</w:t>
            </w:r>
          </w:p>
        </w:tc>
        <w:tc>
          <w:tcPr>
            <w:tcW w:w="0" w:type="auto"/>
            <w:tcBorders>
              <w:top w:val="single" w:sz="8" w:space="0" w:color="000000"/>
              <w:bottom w:val="double" w:sz="6" w:space="0" w:color="000000"/>
            </w:tcBorders>
            <w:shd w:val="clear" w:color="auto" w:fill="E2EFD9"/>
            <w:tcMar>
              <w:top w:w="40" w:type="dxa"/>
              <w:left w:w="0" w:type="dxa"/>
              <w:bottom w:w="40" w:type="dxa"/>
              <w:right w:w="0" w:type="dxa"/>
            </w:tcMar>
            <w:vAlign w:val="bottom"/>
          </w:tcPr>
          <w:p w14:paraId="7C207D60" w14:textId="77777777" w:rsidR="00834A75" w:rsidRDefault="00A6708C">
            <w:pPr>
              <w:jc w:val="right"/>
              <w:textAlignment w:val="bottom"/>
            </w:pPr>
            <w:r>
              <w:rPr>
                <w:rFonts w:ascii="sans-serif" w:eastAsia="sans-serif" w:hAnsi="sans-serif" w:cs="sans-serif"/>
                <w:color w:val="000000"/>
                <w:sz w:val="15"/>
                <w:szCs w:val="15"/>
              </w:rPr>
              <w:t>(11,242)</w:t>
            </w:r>
          </w:p>
        </w:tc>
        <w:tc>
          <w:tcPr>
            <w:tcW w:w="0" w:type="auto"/>
            <w:tcBorders>
              <w:top w:val="single" w:sz="8" w:space="0" w:color="000000"/>
              <w:bottom w:val="double" w:sz="6" w:space="0" w:color="000000"/>
            </w:tcBorders>
            <w:shd w:val="clear" w:color="auto" w:fill="E2EFD9"/>
            <w:tcMar>
              <w:top w:w="40" w:type="dxa"/>
              <w:left w:w="0" w:type="dxa"/>
              <w:bottom w:w="40" w:type="dxa"/>
              <w:right w:w="20" w:type="dxa"/>
            </w:tcMar>
            <w:vAlign w:val="bottom"/>
          </w:tcPr>
          <w:p w14:paraId="7C207D61" w14:textId="77777777" w:rsidR="00834A75" w:rsidRDefault="00834A75">
            <w:pPr>
              <w:jc w:val="right"/>
              <w:rPr>
                <w:rFonts w:ascii="宋体"/>
              </w:rPr>
            </w:pPr>
          </w:p>
        </w:tc>
        <w:tc>
          <w:tcPr>
            <w:tcW w:w="0" w:type="auto"/>
            <w:gridSpan w:val="3"/>
            <w:shd w:val="clear" w:color="auto" w:fill="E2EFD9"/>
            <w:tcMar>
              <w:top w:w="0" w:type="dxa"/>
              <w:left w:w="20" w:type="dxa"/>
              <w:bottom w:w="0" w:type="dxa"/>
              <w:right w:w="20" w:type="dxa"/>
            </w:tcMar>
            <w:vAlign w:val="bottom"/>
          </w:tcPr>
          <w:p w14:paraId="7C207D62" w14:textId="77777777" w:rsidR="00834A75" w:rsidRDefault="00834A75">
            <w:pPr>
              <w:rPr>
                <w:rFonts w:ascii="宋体"/>
              </w:rPr>
            </w:pPr>
          </w:p>
        </w:tc>
        <w:tc>
          <w:tcPr>
            <w:tcW w:w="0" w:type="auto"/>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7C207D63" w14:textId="77777777" w:rsidR="00834A75" w:rsidRDefault="00A6708C">
            <w:pPr>
              <w:textAlignment w:val="bottom"/>
            </w:pPr>
            <w:r>
              <w:rPr>
                <w:rFonts w:ascii="sans-serif" w:eastAsia="sans-serif" w:hAnsi="sans-serif" w:cs="sans-serif"/>
                <w:color w:val="000000"/>
                <w:sz w:val="15"/>
                <w:szCs w:val="15"/>
              </w:rPr>
              <w:t>$</w:t>
            </w:r>
          </w:p>
        </w:tc>
        <w:tc>
          <w:tcPr>
            <w:tcW w:w="0" w:type="auto"/>
            <w:tcBorders>
              <w:top w:val="single" w:sz="8" w:space="0" w:color="000000"/>
              <w:bottom w:val="double" w:sz="6" w:space="0" w:color="000000"/>
            </w:tcBorders>
            <w:shd w:val="clear" w:color="auto" w:fill="E2EFD9"/>
            <w:tcMar>
              <w:top w:w="40" w:type="dxa"/>
              <w:left w:w="0" w:type="dxa"/>
              <w:bottom w:w="40" w:type="dxa"/>
              <w:right w:w="0" w:type="dxa"/>
            </w:tcMar>
            <w:vAlign w:val="bottom"/>
          </w:tcPr>
          <w:p w14:paraId="7C207D64" w14:textId="77777777" w:rsidR="00834A75" w:rsidRDefault="00A6708C">
            <w:pPr>
              <w:jc w:val="right"/>
              <w:textAlignment w:val="bottom"/>
            </w:pPr>
            <w:r>
              <w:rPr>
                <w:rFonts w:ascii="sans-serif" w:eastAsia="sans-serif" w:hAnsi="sans-serif" w:cs="sans-serif"/>
                <w:color w:val="000000"/>
                <w:sz w:val="15"/>
                <w:szCs w:val="15"/>
              </w:rPr>
              <w:t>14 </w:t>
            </w:r>
          </w:p>
        </w:tc>
        <w:tc>
          <w:tcPr>
            <w:tcW w:w="0" w:type="auto"/>
            <w:tcBorders>
              <w:top w:val="single" w:sz="8" w:space="0" w:color="000000"/>
              <w:bottom w:val="double" w:sz="6" w:space="0" w:color="000000"/>
            </w:tcBorders>
            <w:shd w:val="clear" w:color="auto" w:fill="E2EFD9"/>
            <w:tcMar>
              <w:top w:w="40" w:type="dxa"/>
              <w:left w:w="0" w:type="dxa"/>
              <w:bottom w:w="40" w:type="dxa"/>
              <w:right w:w="20" w:type="dxa"/>
            </w:tcMar>
            <w:vAlign w:val="bottom"/>
          </w:tcPr>
          <w:p w14:paraId="7C207D65" w14:textId="77777777" w:rsidR="00834A75" w:rsidRDefault="00834A75">
            <w:pPr>
              <w:jc w:val="right"/>
              <w:rPr>
                <w:rFonts w:ascii="宋体"/>
              </w:rPr>
            </w:pPr>
          </w:p>
        </w:tc>
        <w:tc>
          <w:tcPr>
            <w:tcW w:w="0" w:type="auto"/>
            <w:gridSpan w:val="3"/>
            <w:shd w:val="clear" w:color="auto" w:fill="E2EFD9"/>
            <w:tcMar>
              <w:top w:w="0" w:type="dxa"/>
              <w:left w:w="20" w:type="dxa"/>
              <w:bottom w:w="0" w:type="dxa"/>
              <w:right w:w="20" w:type="dxa"/>
            </w:tcMar>
            <w:vAlign w:val="bottom"/>
          </w:tcPr>
          <w:p w14:paraId="7C207D66" w14:textId="77777777" w:rsidR="00834A75" w:rsidRDefault="00834A75">
            <w:pPr>
              <w:rPr>
                <w:rFonts w:ascii="宋体"/>
              </w:rPr>
            </w:pPr>
          </w:p>
        </w:tc>
        <w:tc>
          <w:tcPr>
            <w:tcW w:w="0" w:type="auto"/>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7C207D67" w14:textId="77777777" w:rsidR="00834A75" w:rsidRDefault="00A6708C">
            <w:pPr>
              <w:textAlignment w:val="bottom"/>
            </w:pPr>
            <w:r>
              <w:rPr>
                <w:rFonts w:ascii="sans-serif" w:eastAsia="sans-serif" w:hAnsi="sans-serif" w:cs="sans-serif"/>
                <w:color w:val="000000"/>
                <w:sz w:val="15"/>
                <w:szCs w:val="15"/>
              </w:rPr>
              <w:t>$</w:t>
            </w:r>
          </w:p>
        </w:tc>
        <w:tc>
          <w:tcPr>
            <w:tcW w:w="0" w:type="auto"/>
            <w:tcBorders>
              <w:top w:val="single" w:sz="8" w:space="0" w:color="000000"/>
              <w:bottom w:val="double" w:sz="6" w:space="0" w:color="000000"/>
            </w:tcBorders>
            <w:shd w:val="clear" w:color="auto" w:fill="E2EFD9"/>
            <w:tcMar>
              <w:top w:w="40" w:type="dxa"/>
              <w:left w:w="0" w:type="dxa"/>
              <w:bottom w:w="40" w:type="dxa"/>
              <w:right w:w="0" w:type="dxa"/>
            </w:tcMar>
            <w:vAlign w:val="bottom"/>
          </w:tcPr>
          <w:p w14:paraId="7C207D68" w14:textId="77777777" w:rsidR="00834A75" w:rsidRDefault="00A6708C">
            <w:pPr>
              <w:jc w:val="right"/>
              <w:textAlignment w:val="bottom"/>
            </w:pPr>
            <w:r>
              <w:rPr>
                <w:rFonts w:ascii="sans-serif" w:eastAsia="sans-serif" w:hAnsi="sans-serif" w:cs="sans-serif"/>
                <w:color w:val="000000"/>
                <w:sz w:val="15"/>
                <w:szCs w:val="15"/>
              </w:rPr>
              <w:t>20,721 </w:t>
            </w:r>
          </w:p>
        </w:tc>
        <w:tc>
          <w:tcPr>
            <w:tcW w:w="0" w:type="auto"/>
            <w:tcBorders>
              <w:top w:val="single" w:sz="8" w:space="0" w:color="000000"/>
              <w:bottom w:val="double" w:sz="6" w:space="0" w:color="000000"/>
            </w:tcBorders>
            <w:shd w:val="clear" w:color="auto" w:fill="E2EFD9"/>
            <w:tcMar>
              <w:top w:w="40" w:type="dxa"/>
              <w:left w:w="0" w:type="dxa"/>
              <w:bottom w:w="40" w:type="dxa"/>
              <w:right w:w="20" w:type="dxa"/>
            </w:tcMar>
            <w:vAlign w:val="bottom"/>
          </w:tcPr>
          <w:p w14:paraId="7C207D69" w14:textId="77777777" w:rsidR="00834A75" w:rsidRDefault="00834A75">
            <w:pPr>
              <w:jc w:val="right"/>
              <w:rPr>
                <w:rFonts w:ascii="宋体"/>
              </w:rPr>
            </w:pPr>
          </w:p>
        </w:tc>
        <w:tc>
          <w:tcPr>
            <w:tcW w:w="0" w:type="auto"/>
            <w:gridSpan w:val="3"/>
            <w:shd w:val="clear" w:color="auto" w:fill="E2EFD9"/>
            <w:tcMar>
              <w:top w:w="0" w:type="dxa"/>
              <w:left w:w="20" w:type="dxa"/>
              <w:bottom w:w="0" w:type="dxa"/>
              <w:right w:w="20" w:type="dxa"/>
            </w:tcMar>
            <w:vAlign w:val="bottom"/>
          </w:tcPr>
          <w:p w14:paraId="7C207D6A" w14:textId="77777777" w:rsidR="00834A75" w:rsidRDefault="00834A75">
            <w:pPr>
              <w:rPr>
                <w:rFonts w:ascii="宋体"/>
              </w:rPr>
            </w:pPr>
          </w:p>
        </w:tc>
        <w:tc>
          <w:tcPr>
            <w:tcW w:w="0" w:type="auto"/>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7C207D6B" w14:textId="77777777" w:rsidR="00834A75" w:rsidRDefault="00A6708C">
            <w:pPr>
              <w:textAlignment w:val="bottom"/>
            </w:pPr>
            <w:r>
              <w:rPr>
                <w:rFonts w:ascii="sans-serif" w:eastAsia="sans-serif" w:hAnsi="sans-serif" w:cs="sans-serif"/>
                <w:color w:val="000000"/>
                <w:sz w:val="15"/>
                <w:szCs w:val="15"/>
              </w:rPr>
              <w:t>$</w:t>
            </w:r>
          </w:p>
        </w:tc>
        <w:tc>
          <w:tcPr>
            <w:tcW w:w="0" w:type="auto"/>
            <w:tcBorders>
              <w:top w:val="single" w:sz="8" w:space="0" w:color="000000"/>
              <w:bottom w:val="double" w:sz="6" w:space="0" w:color="000000"/>
            </w:tcBorders>
            <w:shd w:val="clear" w:color="auto" w:fill="E2EFD9"/>
            <w:tcMar>
              <w:top w:w="40" w:type="dxa"/>
              <w:left w:w="0" w:type="dxa"/>
              <w:bottom w:w="40" w:type="dxa"/>
              <w:right w:w="0" w:type="dxa"/>
            </w:tcMar>
            <w:vAlign w:val="bottom"/>
          </w:tcPr>
          <w:p w14:paraId="7C207D6C" w14:textId="77777777" w:rsidR="00834A75" w:rsidRDefault="00A6708C">
            <w:pPr>
              <w:jc w:val="right"/>
              <w:textAlignment w:val="bottom"/>
            </w:pPr>
            <w:r>
              <w:rPr>
                <w:rFonts w:ascii="sans-serif" w:eastAsia="sans-serif" w:hAnsi="sans-serif" w:cs="sans-serif"/>
                <w:color w:val="000000"/>
                <w:sz w:val="15"/>
                <w:szCs w:val="15"/>
              </w:rPr>
              <w:t>18,774 </w:t>
            </w:r>
          </w:p>
        </w:tc>
        <w:tc>
          <w:tcPr>
            <w:tcW w:w="0" w:type="auto"/>
            <w:tcBorders>
              <w:top w:val="single" w:sz="8" w:space="0" w:color="000000"/>
              <w:bottom w:val="double" w:sz="6" w:space="0" w:color="000000"/>
            </w:tcBorders>
            <w:shd w:val="clear" w:color="auto" w:fill="E2EFD9"/>
            <w:tcMar>
              <w:top w:w="40" w:type="dxa"/>
              <w:left w:w="0" w:type="dxa"/>
              <w:bottom w:w="40" w:type="dxa"/>
              <w:right w:w="20" w:type="dxa"/>
            </w:tcMar>
            <w:vAlign w:val="bottom"/>
          </w:tcPr>
          <w:p w14:paraId="7C207D6D" w14:textId="77777777" w:rsidR="00834A75" w:rsidRDefault="00834A75">
            <w:pPr>
              <w:jc w:val="right"/>
              <w:rPr>
                <w:rFonts w:ascii="宋体"/>
              </w:rPr>
            </w:pPr>
          </w:p>
        </w:tc>
      </w:tr>
    </w:tbl>
    <w:p w14:paraId="7C207D6F" w14:textId="77777777" w:rsidR="00834A75" w:rsidRDefault="00A6708C">
      <w:pPr>
        <w:spacing w:after="180"/>
        <w:jc w:val="center"/>
      </w:pPr>
      <w:r>
        <w:rPr>
          <w:rFonts w:ascii="sans-serif" w:eastAsia="sans-serif" w:hAnsi="sans-serif" w:cs="sans-serif"/>
          <w:color w:val="000000"/>
          <w:sz w:val="20"/>
          <w:szCs w:val="20"/>
        </w:rPr>
        <w:t>See accompanying Notes to Condensed Consolidated Financial Statements.</w:t>
      </w:r>
    </w:p>
    <w:p w14:paraId="7C207D70" w14:textId="77777777" w:rsidR="00834A75" w:rsidRDefault="00A6708C">
      <w:pPr>
        <w:spacing w:after="180"/>
        <w:jc w:val="center"/>
      </w:pPr>
      <w:r>
        <w:rPr>
          <w:rFonts w:ascii="sans-serif" w:eastAsia="sans-serif" w:hAnsi="sans-serif" w:cs="sans-serif"/>
          <w:color w:val="000000"/>
          <w:sz w:val="20"/>
          <w:szCs w:val="20"/>
        </w:rPr>
        <w:t>6</w:t>
      </w:r>
    </w:p>
    <w:p w14:paraId="7C207D71" w14:textId="77777777" w:rsidR="00834A75" w:rsidRDefault="00A6708C">
      <w:r>
        <w:pict w14:anchorId="7C209355">
          <v:rect id="_x0000_i1030" style="width:415.3pt;height:1.5pt" o:hralign="center" o:hrstd="t" o:hr="t" fillcolor="#a0a0a0" stroked="f"/>
        </w:pict>
      </w:r>
    </w:p>
    <w:p w14:paraId="7C207D72" w14:textId="77777777" w:rsidR="00834A75" w:rsidRDefault="00834A75">
      <w:pPr>
        <w:spacing w:after="180"/>
        <w:jc w:val="both"/>
      </w:pPr>
    </w:p>
    <w:p w14:paraId="7C207D73" w14:textId="77777777" w:rsidR="00834A75" w:rsidRDefault="00A6708C">
      <w:pPr>
        <w:jc w:val="center"/>
      </w:pPr>
      <w:r>
        <w:rPr>
          <w:rFonts w:ascii="sans-serif" w:eastAsia="sans-serif" w:hAnsi="sans-serif" w:cs="sans-serif"/>
          <w:b/>
          <w:bCs/>
          <w:color w:val="000000"/>
          <w:sz w:val="20"/>
          <w:szCs w:val="20"/>
        </w:rPr>
        <w:t>NVIDIA CORPORATION AND SUBSIDIARIE</w:t>
      </w:r>
      <w:r>
        <w:rPr>
          <w:rFonts w:ascii="sans-serif" w:eastAsia="sans-serif" w:hAnsi="sans-serif" w:cs="sans-serif"/>
          <w:b/>
          <w:bCs/>
          <w:color w:val="000000"/>
          <w:sz w:val="20"/>
          <w:szCs w:val="20"/>
        </w:rPr>
        <w:t>S</w:t>
      </w:r>
    </w:p>
    <w:p w14:paraId="7C207D74" w14:textId="77777777" w:rsidR="00834A75" w:rsidRDefault="00A6708C">
      <w:pPr>
        <w:jc w:val="center"/>
      </w:pPr>
      <w:r>
        <w:rPr>
          <w:rFonts w:ascii="sans-serif" w:eastAsia="sans-serif" w:hAnsi="sans-serif" w:cs="sans-serif"/>
          <w:b/>
          <w:bCs/>
          <w:color w:val="000000"/>
          <w:sz w:val="20"/>
          <w:szCs w:val="20"/>
        </w:rPr>
        <w:t>CONDENSED CONSOLIDATED STATEMENTS OF CASH FLOWS</w:t>
      </w:r>
    </w:p>
    <w:p w14:paraId="7C207D75" w14:textId="77777777" w:rsidR="00834A75" w:rsidRDefault="00A6708C">
      <w:pPr>
        <w:jc w:val="center"/>
      </w:pPr>
      <w:r>
        <w:rPr>
          <w:rFonts w:ascii="sans-serif" w:eastAsia="sans-serif" w:hAnsi="sans-serif" w:cs="sans-serif"/>
          <w:b/>
          <w:bCs/>
          <w:color w:val="000000"/>
          <w:sz w:val="20"/>
          <w:szCs w:val="20"/>
        </w:rPr>
        <w:t>(In millions)</w:t>
      </w:r>
    </w:p>
    <w:p w14:paraId="7C207D76" w14:textId="77777777" w:rsidR="00834A75" w:rsidRDefault="00A6708C">
      <w:pPr>
        <w:spacing w:after="180"/>
        <w:jc w:val="center"/>
      </w:pPr>
      <w:r>
        <w:rPr>
          <w:rFonts w:ascii="sans-serif" w:eastAsia="sans-serif" w:hAnsi="sans-serif" w:cs="sans-serif"/>
          <w:b/>
          <w:bCs/>
          <w:color w:val="000000"/>
          <w:sz w:val="20"/>
          <w:szCs w:val="20"/>
        </w:rPr>
        <w:t>(Unaudited)</w:t>
      </w:r>
    </w:p>
    <w:tbl>
      <w:tblPr>
        <w:tblW w:w="5000" w:type="pct"/>
        <w:jc w:val="center"/>
        <w:tblCellMar>
          <w:top w:w="15" w:type="dxa"/>
          <w:left w:w="15" w:type="dxa"/>
          <w:bottom w:w="15" w:type="dxa"/>
          <w:right w:w="15" w:type="dxa"/>
        </w:tblCellMar>
        <w:tblLook w:val="04A0" w:firstRow="1" w:lastRow="0" w:firstColumn="1" w:lastColumn="0" w:noHBand="0" w:noVBand="1"/>
      </w:tblPr>
      <w:tblGrid>
        <w:gridCol w:w="43"/>
        <w:gridCol w:w="5976"/>
        <w:gridCol w:w="38"/>
        <w:gridCol w:w="112"/>
        <w:gridCol w:w="928"/>
        <w:gridCol w:w="36"/>
        <w:gridCol w:w="36"/>
        <w:gridCol w:w="53"/>
        <w:gridCol w:w="36"/>
        <w:gridCol w:w="112"/>
        <w:gridCol w:w="930"/>
        <w:gridCol w:w="36"/>
      </w:tblGrid>
      <w:tr w:rsidR="00834A75" w14:paraId="7C207D83" w14:textId="77777777">
        <w:trPr>
          <w:jc w:val="center"/>
        </w:trPr>
        <w:tc>
          <w:tcPr>
            <w:tcW w:w="50" w:type="pct"/>
            <w:shd w:val="clear" w:color="auto" w:fill="auto"/>
            <w:vAlign w:val="bottom"/>
          </w:tcPr>
          <w:p w14:paraId="7C207D77" w14:textId="77777777" w:rsidR="00834A75" w:rsidRDefault="00834A75">
            <w:pPr>
              <w:rPr>
                <w:rFonts w:ascii="宋体"/>
              </w:rPr>
            </w:pPr>
          </w:p>
        </w:tc>
        <w:tc>
          <w:tcPr>
            <w:tcW w:w="3607" w:type="pct"/>
            <w:shd w:val="clear" w:color="auto" w:fill="auto"/>
            <w:vAlign w:val="bottom"/>
          </w:tcPr>
          <w:p w14:paraId="7C207D78" w14:textId="77777777" w:rsidR="00834A75" w:rsidRDefault="00834A75">
            <w:pPr>
              <w:rPr>
                <w:rFonts w:ascii="宋体"/>
              </w:rPr>
            </w:pPr>
          </w:p>
        </w:tc>
        <w:tc>
          <w:tcPr>
            <w:tcW w:w="5" w:type="pct"/>
            <w:shd w:val="clear" w:color="auto" w:fill="auto"/>
            <w:vAlign w:val="bottom"/>
          </w:tcPr>
          <w:p w14:paraId="7C207D79" w14:textId="77777777" w:rsidR="00834A75" w:rsidRDefault="00834A75">
            <w:pPr>
              <w:rPr>
                <w:rFonts w:ascii="宋体"/>
              </w:rPr>
            </w:pPr>
          </w:p>
        </w:tc>
        <w:tc>
          <w:tcPr>
            <w:tcW w:w="50" w:type="pct"/>
            <w:shd w:val="clear" w:color="auto" w:fill="auto"/>
            <w:vAlign w:val="bottom"/>
          </w:tcPr>
          <w:p w14:paraId="7C207D7A" w14:textId="77777777" w:rsidR="00834A75" w:rsidRDefault="00834A75">
            <w:pPr>
              <w:rPr>
                <w:rFonts w:ascii="宋体"/>
              </w:rPr>
            </w:pPr>
          </w:p>
        </w:tc>
        <w:tc>
          <w:tcPr>
            <w:tcW w:w="580" w:type="pct"/>
            <w:shd w:val="clear" w:color="auto" w:fill="auto"/>
            <w:vAlign w:val="bottom"/>
          </w:tcPr>
          <w:p w14:paraId="7C207D7B" w14:textId="77777777" w:rsidR="00834A75" w:rsidRDefault="00834A75">
            <w:pPr>
              <w:rPr>
                <w:rFonts w:ascii="宋体"/>
              </w:rPr>
            </w:pPr>
          </w:p>
        </w:tc>
        <w:tc>
          <w:tcPr>
            <w:tcW w:w="5" w:type="pct"/>
            <w:shd w:val="clear" w:color="auto" w:fill="auto"/>
            <w:vAlign w:val="bottom"/>
          </w:tcPr>
          <w:p w14:paraId="7C207D7C" w14:textId="77777777" w:rsidR="00834A75" w:rsidRDefault="00834A75">
            <w:pPr>
              <w:rPr>
                <w:rFonts w:ascii="宋体"/>
              </w:rPr>
            </w:pPr>
          </w:p>
        </w:tc>
        <w:tc>
          <w:tcPr>
            <w:tcW w:w="5" w:type="pct"/>
            <w:shd w:val="clear" w:color="auto" w:fill="auto"/>
            <w:vAlign w:val="bottom"/>
          </w:tcPr>
          <w:p w14:paraId="7C207D7D" w14:textId="77777777" w:rsidR="00834A75" w:rsidRDefault="00834A75">
            <w:pPr>
              <w:rPr>
                <w:rFonts w:ascii="宋体"/>
              </w:rPr>
            </w:pPr>
          </w:p>
        </w:tc>
        <w:tc>
          <w:tcPr>
            <w:tcW w:w="55" w:type="pct"/>
            <w:shd w:val="clear" w:color="auto" w:fill="auto"/>
            <w:vAlign w:val="bottom"/>
          </w:tcPr>
          <w:p w14:paraId="7C207D7E" w14:textId="77777777" w:rsidR="00834A75" w:rsidRDefault="00834A75">
            <w:pPr>
              <w:rPr>
                <w:rFonts w:ascii="宋体"/>
              </w:rPr>
            </w:pPr>
          </w:p>
        </w:tc>
        <w:tc>
          <w:tcPr>
            <w:tcW w:w="5" w:type="pct"/>
            <w:shd w:val="clear" w:color="auto" w:fill="auto"/>
            <w:vAlign w:val="bottom"/>
          </w:tcPr>
          <w:p w14:paraId="7C207D7F" w14:textId="77777777" w:rsidR="00834A75" w:rsidRDefault="00834A75">
            <w:pPr>
              <w:rPr>
                <w:rFonts w:ascii="宋体"/>
              </w:rPr>
            </w:pPr>
          </w:p>
        </w:tc>
        <w:tc>
          <w:tcPr>
            <w:tcW w:w="50" w:type="pct"/>
            <w:shd w:val="clear" w:color="auto" w:fill="auto"/>
            <w:vAlign w:val="bottom"/>
          </w:tcPr>
          <w:p w14:paraId="7C207D80" w14:textId="77777777" w:rsidR="00834A75" w:rsidRDefault="00834A75">
            <w:pPr>
              <w:rPr>
                <w:rFonts w:ascii="宋体"/>
              </w:rPr>
            </w:pPr>
          </w:p>
        </w:tc>
        <w:tc>
          <w:tcPr>
            <w:tcW w:w="581" w:type="pct"/>
            <w:shd w:val="clear" w:color="auto" w:fill="auto"/>
            <w:vAlign w:val="bottom"/>
          </w:tcPr>
          <w:p w14:paraId="7C207D81" w14:textId="77777777" w:rsidR="00834A75" w:rsidRDefault="00834A75">
            <w:pPr>
              <w:rPr>
                <w:rFonts w:ascii="宋体"/>
              </w:rPr>
            </w:pPr>
          </w:p>
        </w:tc>
        <w:tc>
          <w:tcPr>
            <w:tcW w:w="5" w:type="pct"/>
            <w:shd w:val="clear" w:color="auto" w:fill="auto"/>
            <w:vAlign w:val="bottom"/>
          </w:tcPr>
          <w:p w14:paraId="7C207D82" w14:textId="77777777" w:rsidR="00834A75" w:rsidRDefault="00834A75">
            <w:pPr>
              <w:rPr>
                <w:rFonts w:ascii="宋体"/>
              </w:rPr>
            </w:pPr>
          </w:p>
        </w:tc>
      </w:tr>
      <w:tr w:rsidR="00834A75" w14:paraId="7C207D86" w14:textId="77777777">
        <w:trPr>
          <w:jc w:val="center"/>
        </w:trPr>
        <w:tc>
          <w:tcPr>
            <w:tcW w:w="0" w:type="auto"/>
            <w:gridSpan w:val="3"/>
            <w:shd w:val="clear" w:color="auto" w:fill="auto"/>
            <w:tcMar>
              <w:top w:w="40" w:type="dxa"/>
              <w:left w:w="20" w:type="dxa"/>
              <w:bottom w:w="40" w:type="dxa"/>
              <w:right w:w="20" w:type="dxa"/>
            </w:tcMar>
            <w:vAlign w:val="bottom"/>
          </w:tcPr>
          <w:p w14:paraId="7C207D84" w14:textId="77777777" w:rsidR="00834A75" w:rsidRDefault="00A6708C">
            <w:pPr>
              <w:textAlignment w:val="bottom"/>
            </w:pPr>
            <w:r>
              <w:rPr>
                <w:rFonts w:ascii="sans-serif" w:eastAsia="sans-serif" w:hAnsi="sans-serif" w:cs="sans-serif"/>
                <w:color w:val="000000"/>
                <w:sz w:val="18"/>
                <w:szCs w:val="18"/>
              </w:rPr>
              <w:t> </w:t>
            </w:r>
          </w:p>
        </w:tc>
        <w:tc>
          <w:tcPr>
            <w:tcW w:w="0" w:type="auto"/>
            <w:gridSpan w:val="9"/>
            <w:shd w:val="clear" w:color="auto" w:fill="auto"/>
            <w:tcMar>
              <w:top w:w="40" w:type="dxa"/>
              <w:left w:w="20" w:type="dxa"/>
              <w:bottom w:w="40" w:type="dxa"/>
              <w:right w:w="20" w:type="dxa"/>
            </w:tcMar>
            <w:vAlign w:val="bottom"/>
          </w:tcPr>
          <w:p w14:paraId="7C207D85" w14:textId="77777777" w:rsidR="00834A75" w:rsidRDefault="00A6708C">
            <w:pPr>
              <w:jc w:val="center"/>
              <w:textAlignment w:val="bottom"/>
            </w:pPr>
            <w:r>
              <w:rPr>
                <w:rFonts w:ascii="sans-serif" w:eastAsia="sans-serif" w:hAnsi="sans-serif" w:cs="sans-serif"/>
                <w:b/>
                <w:bCs/>
                <w:color w:val="000000"/>
                <w:sz w:val="18"/>
                <w:szCs w:val="18"/>
              </w:rPr>
              <w:t>Three Months Ended</w:t>
            </w:r>
          </w:p>
        </w:tc>
      </w:tr>
      <w:tr w:rsidR="00834A75" w14:paraId="7C207D8B" w14:textId="77777777">
        <w:trPr>
          <w:jc w:val="center"/>
        </w:trPr>
        <w:tc>
          <w:tcPr>
            <w:tcW w:w="0" w:type="auto"/>
            <w:gridSpan w:val="3"/>
            <w:shd w:val="clear" w:color="auto" w:fill="auto"/>
            <w:tcMar>
              <w:top w:w="0" w:type="dxa"/>
              <w:left w:w="20" w:type="dxa"/>
              <w:bottom w:w="0" w:type="dxa"/>
              <w:right w:w="20" w:type="dxa"/>
            </w:tcMar>
            <w:vAlign w:val="bottom"/>
          </w:tcPr>
          <w:p w14:paraId="7C207D87" w14:textId="77777777" w:rsidR="00834A75" w:rsidRDefault="00834A75">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C207D88" w14:textId="77777777" w:rsidR="00834A75" w:rsidRDefault="00A6708C">
            <w:pPr>
              <w:jc w:val="center"/>
              <w:textAlignment w:val="bottom"/>
            </w:pPr>
            <w:r>
              <w:rPr>
                <w:rFonts w:ascii="sans-serif" w:eastAsia="sans-serif" w:hAnsi="sans-serif" w:cs="sans-serif"/>
                <w:b/>
                <w:bCs/>
                <w:color w:val="000000"/>
                <w:sz w:val="18"/>
                <w:szCs w:val="18"/>
              </w:rPr>
              <w:t>May 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C207D89" w14:textId="77777777" w:rsidR="00834A75" w:rsidRDefault="00834A75">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C207D8A" w14:textId="77777777" w:rsidR="00834A75" w:rsidRDefault="00A6708C">
            <w:pPr>
              <w:jc w:val="center"/>
              <w:textAlignment w:val="bottom"/>
            </w:pPr>
            <w:r>
              <w:rPr>
                <w:rFonts w:ascii="sans-serif" w:eastAsia="sans-serif" w:hAnsi="sans-serif" w:cs="sans-serif"/>
                <w:b/>
                <w:bCs/>
                <w:color w:val="000000"/>
                <w:sz w:val="18"/>
                <w:szCs w:val="18"/>
              </w:rPr>
              <w:t>May 2,</w:t>
            </w:r>
          </w:p>
        </w:tc>
      </w:tr>
      <w:tr w:rsidR="00834A75" w14:paraId="7C207D90" w14:textId="77777777">
        <w:trPr>
          <w:jc w:val="center"/>
        </w:trPr>
        <w:tc>
          <w:tcPr>
            <w:tcW w:w="0" w:type="auto"/>
            <w:gridSpan w:val="3"/>
            <w:shd w:val="clear" w:color="auto" w:fill="auto"/>
            <w:tcMar>
              <w:top w:w="40" w:type="dxa"/>
              <w:left w:w="20" w:type="dxa"/>
              <w:bottom w:w="40" w:type="dxa"/>
              <w:right w:w="20" w:type="dxa"/>
            </w:tcMar>
            <w:vAlign w:val="bottom"/>
          </w:tcPr>
          <w:p w14:paraId="7C207D8C" w14:textId="77777777" w:rsidR="00834A75" w:rsidRDefault="00A6708C">
            <w:pPr>
              <w:textAlignment w:val="bottom"/>
            </w:pPr>
            <w:r>
              <w:rPr>
                <w:rFonts w:ascii="sans-serif" w:eastAsia="sans-serif" w:hAnsi="sans-serif" w:cs="sans-serif"/>
                <w:color w:val="000000"/>
                <w:sz w:val="18"/>
                <w:szCs w:val="18"/>
              </w:rPr>
              <w:t> </w:t>
            </w:r>
          </w:p>
        </w:tc>
        <w:tc>
          <w:tcPr>
            <w:tcW w:w="0" w:type="auto"/>
            <w:gridSpan w:val="3"/>
            <w:shd w:val="clear" w:color="auto" w:fill="auto"/>
            <w:tcMar>
              <w:top w:w="40" w:type="dxa"/>
              <w:left w:w="20" w:type="dxa"/>
              <w:bottom w:w="40" w:type="dxa"/>
              <w:right w:w="20" w:type="dxa"/>
            </w:tcMar>
            <w:vAlign w:val="bottom"/>
          </w:tcPr>
          <w:p w14:paraId="7C207D8D" w14:textId="77777777" w:rsidR="00834A75" w:rsidRDefault="00A6708C">
            <w:pPr>
              <w:jc w:val="center"/>
              <w:textAlignment w:val="bottom"/>
            </w:pPr>
            <w:r>
              <w:rPr>
                <w:rFonts w:ascii="sans-serif" w:eastAsia="sans-serif" w:hAnsi="sans-serif" w:cs="sans-serif"/>
                <w:b/>
                <w:bCs/>
                <w:color w:val="000000"/>
                <w:sz w:val="18"/>
                <w:szCs w:val="18"/>
              </w:rPr>
              <w:t>2022</w:t>
            </w:r>
          </w:p>
        </w:tc>
        <w:tc>
          <w:tcPr>
            <w:tcW w:w="0" w:type="auto"/>
            <w:gridSpan w:val="3"/>
            <w:shd w:val="clear" w:color="auto" w:fill="auto"/>
            <w:tcMar>
              <w:top w:w="0" w:type="dxa"/>
              <w:left w:w="20" w:type="dxa"/>
              <w:bottom w:w="0" w:type="dxa"/>
              <w:right w:w="20" w:type="dxa"/>
            </w:tcMar>
            <w:vAlign w:val="bottom"/>
          </w:tcPr>
          <w:p w14:paraId="7C207D8E" w14:textId="77777777" w:rsidR="00834A75" w:rsidRDefault="00834A75">
            <w:pPr>
              <w:rPr>
                <w:rFonts w:ascii="宋体"/>
              </w:rPr>
            </w:pPr>
          </w:p>
        </w:tc>
        <w:tc>
          <w:tcPr>
            <w:tcW w:w="0" w:type="auto"/>
            <w:gridSpan w:val="3"/>
            <w:shd w:val="clear" w:color="auto" w:fill="auto"/>
            <w:tcMar>
              <w:top w:w="40" w:type="dxa"/>
              <w:left w:w="20" w:type="dxa"/>
              <w:bottom w:w="40" w:type="dxa"/>
              <w:right w:w="20" w:type="dxa"/>
            </w:tcMar>
            <w:vAlign w:val="bottom"/>
          </w:tcPr>
          <w:p w14:paraId="7C207D8F" w14:textId="77777777" w:rsidR="00834A75" w:rsidRDefault="00A6708C">
            <w:pPr>
              <w:jc w:val="center"/>
              <w:textAlignment w:val="bottom"/>
            </w:pPr>
            <w:r>
              <w:rPr>
                <w:rFonts w:ascii="sans-serif" w:eastAsia="sans-serif" w:hAnsi="sans-serif" w:cs="sans-serif"/>
                <w:b/>
                <w:bCs/>
                <w:color w:val="000000"/>
                <w:sz w:val="18"/>
                <w:szCs w:val="18"/>
              </w:rPr>
              <w:t>2021</w:t>
            </w:r>
          </w:p>
        </w:tc>
      </w:tr>
      <w:tr w:rsidR="00834A75" w14:paraId="7C207D95" w14:textId="77777777">
        <w:trPr>
          <w:jc w:val="center"/>
        </w:trPr>
        <w:tc>
          <w:tcPr>
            <w:tcW w:w="0" w:type="auto"/>
            <w:gridSpan w:val="3"/>
            <w:shd w:val="clear" w:color="auto" w:fill="E2EFD9"/>
            <w:tcMar>
              <w:top w:w="40" w:type="dxa"/>
              <w:left w:w="20" w:type="dxa"/>
              <w:bottom w:w="40" w:type="dxa"/>
              <w:right w:w="20" w:type="dxa"/>
            </w:tcMar>
            <w:vAlign w:val="bottom"/>
          </w:tcPr>
          <w:p w14:paraId="7C207D91" w14:textId="77777777" w:rsidR="00834A75" w:rsidRDefault="00A6708C">
            <w:pPr>
              <w:textAlignment w:val="bottom"/>
            </w:pPr>
            <w:r>
              <w:rPr>
                <w:rFonts w:ascii="sans-serif" w:eastAsia="sans-serif" w:hAnsi="sans-serif" w:cs="sans-serif"/>
                <w:color w:val="000000"/>
                <w:sz w:val="18"/>
                <w:szCs w:val="18"/>
              </w:rPr>
              <w:t>Cash flows from operating activities:</w:t>
            </w:r>
          </w:p>
        </w:tc>
        <w:tc>
          <w:tcPr>
            <w:tcW w:w="0" w:type="auto"/>
            <w:gridSpan w:val="3"/>
            <w:tcBorders>
              <w:top w:val="single" w:sz="8" w:space="0" w:color="000000"/>
            </w:tcBorders>
            <w:shd w:val="clear" w:color="auto" w:fill="E2EFD9"/>
            <w:tcMar>
              <w:top w:w="40" w:type="dxa"/>
              <w:left w:w="20" w:type="dxa"/>
              <w:bottom w:w="40" w:type="dxa"/>
              <w:right w:w="20" w:type="dxa"/>
            </w:tcMar>
            <w:vAlign w:val="bottom"/>
          </w:tcPr>
          <w:p w14:paraId="7C207D92" w14:textId="77777777" w:rsidR="00834A75" w:rsidRDefault="00A6708C">
            <w:pPr>
              <w:textAlignment w:val="bottom"/>
            </w:pPr>
            <w:r>
              <w:rPr>
                <w:rFonts w:ascii="sans-serif" w:eastAsia="sans-serif" w:hAnsi="sans-serif" w:cs="sans-serif"/>
                <w:color w:val="000000"/>
                <w:sz w:val="18"/>
                <w:szCs w:val="18"/>
              </w:rPr>
              <w:t> </w:t>
            </w:r>
          </w:p>
        </w:tc>
        <w:tc>
          <w:tcPr>
            <w:tcW w:w="0" w:type="auto"/>
            <w:gridSpan w:val="3"/>
            <w:shd w:val="clear" w:color="auto" w:fill="E2EFD9"/>
            <w:tcMar>
              <w:top w:w="0" w:type="dxa"/>
              <w:left w:w="20" w:type="dxa"/>
              <w:bottom w:w="0" w:type="dxa"/>
              <w:right w:w="20" w:type="dxa"/>
            </w:tcMar>
            <w:vAlign w:val="bottom"/>
          </w:tcPr>
          <w:p w14:paraId="7C207D93" w14:textId="77777777" w:rsidR="00834A75" w:rsidRDefault="00834A75">
            <w:pPr>
              <w:rPr>
                <w:rFonts w:ascii="宋体"/>
              </w:rPr>
            </w:pPr>
          </w:p>
        </w:tc>
        <w:tc>
          <w:tcPr>
            <w:tcW w:w="0" w:type="auto"/>
            <w:gridSpan w:val="3"/>
            <w:tcBorders>
              <w:top w:val="single" w:sz="8" w:space="0" w:color="000000"/>
            </w:tcBorders>
            <w:shd w:val="clear" w:color="auto" w:fill="E2EFD9"/>
            <w:tcMar>
              <w:top w:w="40" w:type="dxa"/>
              <w:left w:w="20" w:type="dxa"/>
              <w:bottom w:w="40" w:type="dxa"/>
              <w:right w:w="20" w:type="dxa"/>
            </w:tcMar>
            <w:vAlign w:val="bottom"/>
          </w:tcPr>
          <w:p w14:paraId="7C207D94" w14:textId="77777777" w:rsidR="00834A75" w:rsidRDefault="00A6708C">
            <w:pPr>
              <w:textAlignment w:val="bottom"/>
            </w:pPr>
            <w:r>
              <w:rPr>
                <w:rFonts w:ascii="sans-serif" w:eastAsia="sans-serif" w:hAnsi="sans-serif" w:cs="sans-serif"/>
                <w:color w:val="000000"/>
                <w:sz w:val="18"/>
                <w:szCs w:val="18"/>
              </w:rPr>
              <w:t> </w:t>
            </w:r>
          </w:p>
        </w:tc>
      </w:tr>
      <w:tr w:rsidR="00834A75" w14:paraId="7C207D9E" w14:textId="77777777">
        <w:trPr>
          <w:jc w:val="center"/>
        </w:trPr>
        <w:tc>
          <w:tcPr>
            <w:tcW w:w="0" w:type="auto"/>
            <w:gridSpan w:val="3"/>
            <w:shd w:val="clear" w:color="auto" w:fill="FFFFFF"/>
            <w:tcMar>
              <w:top w:w="40" w:type="dxa"/>
              <w:left w:w="20" w:type="dxa"/>
              <w:bottom w:w="40" w:type="dxa"/>
              <w:right w:w="20" w:type="dxa"/>
            </w:tcMar>
            <w:vAlign w:val="bottom"/>
          </w:tcPr>
          <w:p w14:paraId="7C207D96" w14:textId="77777777" w:rsidR="00834A75" w:rsidRDefault="00A6708C">
            <w:pPr>
              <w:textAlignment w:val="bottom"/>
            </w:pPr>
            <w:r>
              <w:rPr>
                <w:rFonts w:ascii="sans-serif" w:eastAsia="sans-serif" w:hAnsi="sans-serif" w:cs="sans-serif"/>
                <w:color w:val="000000"/>
                <w:sz w:val="18"/>
                <w:szCs w:val="18"/>
              </w:rPr>
              <w:t>Net income</w:t>
            </w:r>
          </w:p>
        </w:tc>
        <w:tc>
          <w:tcPr>
            <w:tcW w:w="0" w:type="auto"/>
            <w:shd w:val="clear" w:color="auto" w:fill="FFFFFF"/>
            <w:tcMar>
              <w:top w:w="40" w:type="dxa"/>
              <w:left w:w="20" w:type="dxa"/>
              <w:bottom w:w="40" w:type="dxa"/>
              <w:right w:w="0" w:type="dxa"/>
            </w:tcMar>
            <w:vAlign w:val="bottom"/>
          </w:tcPr>
          <w:p w14:paraId="7C207D97" w14:textId="77777777" w:rsidR="00834A75" w:rsidRDefault="00A6708C">
            <w:pPr>
              <w:textAlignment w:val="bottom"/>
            </w:pPr>
            <w:r>
              <w:rPr>
                <w:rFonts w:ascii="sans-serif" w:eastAsia="sans-serif" w:hAnsi="sans-serif" w:cs="sans-serif"/>
                <w:color w:val="000000"/>
                <w:sz w:val="18"/>
                <w:szCs w:val="18"/>
              </w:rPr>
              <w:t>$</w:t>
            </w:r>
          </w:p>
        </w:tc>
        <w:tc>
          <w:tcPr>
            <w:tcW w:w="0" w:type="auto"/>
            <w:shd w:val="clear" w:color="auto" w:fill="FFFFFF"/>
            <w:tcMar>
              <w:top w:w="40" w:type="dxa"/>
              <w:left w:w="0" w:type="dxa"/>
              <w:bottom w:w="40" w:type="dxa"/>
              <w:right w:w="0" w:type="dxa"/>
            </w:tcMar>
            <w:vAlign w:val="bottom"/>
          </w:tcPr>
          <w:p w14:paraId="7C207D98" w14:textId="77777777" w:rsidR="00834A75" w:rsidRDefault="00A6708C">
            <w:pPr>
              <w:jc w:val="right"/>
              <w:textAlignment w:val="bottom"/>
            </w:pPr>
            <w:r>
              <w:rPr>
                <w:rFonts w:ascii="sans-serif" w:eastAsia="sans-serif" w:hAnsi="sans-serif" w:cs="sans-serif"/>
                <w:color w:val="000000"/>
                <w:sz w:val="18"/>
                <w:szCs w:val="18"/>
              </w:rPr>
              <w:t>1,618 </w:t>
            </w:r>
          </w:p>
        </w:tc>
        <w:tc>
          <w:tcPr>
            <w:tcW w:w="0" w:type="auto"/>
            <w:shd w:val="clear" w:color="auto" w:fill="FFFFFF"/>
            <w:tcMar>
              <w:top w:w="40" w:type="dxa"/>
              <w:left w:w="0" w:type="dxa"/>
              <w:bottom w:w="40" w:type="dxa"/>
              <w:right w:w="20" w:type="dxa"/>
            </w:tcMar>
            <w:vAlign w:val="bottom"/>
          </w:tcPr>
          <w:p w14:paraId="7C207D99" w14:textId="77777777" w:rsidR="00834A75" w:rsidRDefault="00834A75">
            <w:pPr>
              <w:jc w:val="right"/>
              <w:rPr>
                <w:rFonts w:ascii="宋体"/>
              </w:rPr>
            </w:pPr>
          </w:p>
        </w:tc>
        <w:tc>
          <w:tcPr>
            <w:tcW w:w="0" w:type="auto"/>
            <w:gridSpan w:val="3"/>
            <w:shd w:val="clear" w:color="auto" w:fill="FFFFFF"/>
            <w:tcMar>
              <w:top w:w="0" w:type="dxa"/>
              <w:left w:w="20" w:type="dxa"/>
              <w:bottom w:w="0" w:type="dxa"/>
              <w:right w:w="20" w:type="dxa"/>
            </w:tcMar>
            <w:vAlign w:val="bottom"/>
          </w:tcPr>
          <w:p w14:paraId="7C207D9A" w14:textId="77777777" w:rsidR="00834A75" w:rsidRDefault="00834A75">
            <w:pPr>
              <w:rPr>
                <w:rFonts w:ascii="宋体"/>
              </w:rPr>
            </w:pPr>
          </w:p>
        </w:tc>
        <w:tc>
          <w:tcPr>
            <w:tcW w:w="0" w:type="auto"/>
            <w:shd w:val="clear" w:color="auto" w:fill="FFFFFF"/>
            <w:tcMar>
              <w:top w:w="40" w:type="dxa"/>
              <w:left w:w="20" w:type="dxa"/>
              <w:bottom w:w="40" w:type="dxa"/>
              <w:right w:w="0" w:type="dxa"/>
            </w:tcMar>
            <w:vAlign w:val="bottom"/>
          </w:tcPr>
          <w:p w14:paraId="7C207D9B" w14:textId="77777777" w:rsidR="00834A75" w:rsidRDefault="00A6708C">
            <w:pPr>
              <w:textAlignment w:val="bottom"/>
            </w:pPr>
            <w:r>
              <w:rPr>
                <w:rFonts w:ascii="sans-serif" w:eastAsia="sans-serif" w:hAnsi="sans-serif" w:cs="sans-serif"/>
                <w:color w:val="000000"/>
                <w:sz w:val="18"/>
                <w:szCs w:val="18"/>
              </w:rPr>
              <w:t>$</w:t>
            </w:r>
          </w:p>
        </w:tc>
        <w:tc>
          <w:tcPr>
            <w:tcW w:w="0" w:type="auto"/>
            <w:shd w:val="clear" w:color="auto" w:fill="FFFFFF"/>
            <w:tcMar>
              <w:top w:w="40" w:type="dxa"/>
              <w:left w:w="0" w:type="dxa"/>
              <w:bottom w:w="40" w:type="dxa"/>
              <w:right w:w="0" w:type="dxa"/>
            </w:tcMar>
            <w:vAlign w:val="bottom"/>
          </w:tcPr>
          <w:p w14:paraId="7C207D9C" w14:textId="77777777" w:rsidR="00834A75" w:rsidRDefault="00A6708C">
            <w:pPr>
              <w:jc w:val="right"/>
              <w:textAlignment w:val="bottom"/>
            </w:pPr>
            <w:r>
              <w:rPr>
                <w:rFonts w:ascii="sans-serif" w:eastAsia="sans-serif" w:hAnsi="sans-serif" w:cs="sans-serif"/>
                <w:color w:val="000000"/>
                <w:sz w:val="18"/>
                <w:szCs w:val="18"/>
              </w:rPr>
              <w:t>1,912 </w:t>
            </w:r>
          </w:p>
        </w:tc>
        <w:tc>
          <w:tcPr>
            <w:tcW w:w="0" w:type="auto"/>
            <w:shd w:val="clear" w:color="auto" w:fill="FFFFFF"/>
            <w:tcMar>
              <w:top w:w="40" w:type="dxa"/>
              <w:left w:w="0" w:type="dxa"/>
              <w:bottom w:w="40" w:type="dxa"/>
              <w:right w:w="20" w:type="dxa"/>
            </w:tcMar>
            <w:vAlign w:val="bottom"/>
          </w:tcPr>
          <w:p w14:paraId="7C207D9D" w14:textId="77777777" w:rsidR="00834A75" w:rsidRDefault="00834A75">
            <w:pPr>
              <w:jc w:val="right"/>
              <w:rPr>
                <w:rFonts w:ascii="宋体"/>
              </w:rPr>
            </w:pPr>
          </w:p>
        </w:tc>
      </w:tr>
      <w:tr w:rsidR="00834A75" w14:paraId="7C207DA3" w14:textId="77777777">
        <w:trPr>
          <w:jc w:val="center"/>
        </w:trPr>
        <w:tc>
          <w:tcPr>
            <w:tcW w:w="0" w:type="auto"/>
            <w:gridSpan w:val="3"/>
            <w:shd w:val="clear" w:color="auto" w:fill="E2EFD9"/>
            <w:tcMar>
              <w:top w:w="40" w:type="dxa"/>
              <w:left w:w="20" w:type="dxa"/>
              <w:bottom w:w="40" w:type="dxa"/>
              <w:right w:w="20" w:type="dxa"/>
            </w:tcMar>
            <w:vAlign w:val="bottom"/>
          </w:tcPr>
          <w:p w14:paraId="7C207D9F" w14:textId="77777777" w:rsidR="00834A75" w:rsidRDefault="00A6708C">
            <w:pPr>
              <w:textAlignment w:val="bottom"/>
            </w:pPr>
            <w:r>
              <w:rPr>
                <w:rFonts w:ascii="sans-serif" w:eastAsia="sans-serif" w:hAnsi="sans-serif" w:cs="sans-serif"/>
                <w:color w:val="000000"/>
                <w:sz w:val="18"/>
                <w:szCs w:val="18"/>
              </w:rPr>
              <w:t xml:space="preserve">Adjustments to reconcile net </w:t>
            </w:r>
            <w:r>
              <w:rPr>
                <w:rFonts w:ascii="sans-serif" w:eastAsia="sans-serif" w:hAnsi="sans-serif" w:cs="sans-serif"/>
                <w:color w:val="000000"/>
                <w:sz w:val="18"/>
                <w:szCs w:val="18"/>
              </w:rPr>
              <w:t>income to net cash provided by operating activities:</w:t>
            </w:r>
          </w:p>
        </w:tc>
        <w:tc>
          <w:tcPr>
            <w:tcW w:w="0" w:type="auto"/>
            <w:gridSpan w:val="3"/>
            <w:shd w:val="clear" w:color="auto" w:fill="E2EFD9"/>
            <w:tcMar>
              <w:top w:w="0" w:type="dxa"/>
              <w:left w:w="20" w:type="dxa"/>
              <w:bottom w:w="0" w:type="dxa"/>
              <w:right w:w="20" w:type="dxa"/>
            </w:tcMar>
            <w:vAlign w:val="bottom"/>
          </w:tcPr>
          <w:p w14:paraId="7C207DA0" w14:textId="77777777" w:rsidR="00834A75" w:rsidRDefault="00834A75">
            <w:pPr>
              <w:rPr>
                <w:rFonts w:ascii="宋体"/>
              </w:rPr>
            </w:pPr>
          </w:p>
        </w:tc>
        <w:tc>
          <w:tcPr>
            <w:tcW w:w="0" w:type="auto"/>
            <w:gridSpan w:val="3"/>
            <w:shd w:val="clear" w:color="auto" w:fill="E2EFD9"/>
            <w:tcMar>
              <w:top w:w="0" w:type="dxa"/>
              <w:left w:w="20" w:type="dxa"/>
              <w:bottom w:w="0" w:type="dxa"/>
              <w:right w:w="20" w:type="dxa"/>
            </w:tcMar>
            <w:vAlign w:val="bottom"/>
          </w:tcPr>
          <w:p w14:paraId="7C207DA1" w14:textId="77777777" w:rsidR="00834A75" w:rsidRDefault="00834A75">
            <w:pPr>
              <w:rPr>
                <w:rFonts w:ascii="宋体"/>
              </w:rPr>
            </w:pPr>
          </w:p>
        </w:tc>
        <w:tc>
          <w:tcPr>
            <w:tcW w:w="0" w:type="auto"/>
            <w:gridSpan w:val="3"/>
            <w:shd w:val="clear" w:color="auto" w:fill="E2EFD9"/>
            <w:tcMar>
              <w:top w:w="0" w:type="dxa"/>
              <w:left w:w="20" w:type="dxa"/>
              <w:bottom w:w="0" w:type="dxa"/>
              <w:right w:w="20" w:type="dxa"/>
            </w:tcMar>
            <w:vAlign w:val="bottom"/>
          </w:tcPr>
          <w:p w14:paraId="7C207DA2" w14:textId="77777777" w:rsidR="00834A75" w:rsidRDefault="00834A75">
            <w:pPr>
              <w:rPr>
                <w:rFonts w:ascii="宋体"/>
              </w:rPr>
            </w:pPr>
          </w:p>
        </w:tc>
      </w:tr>
      <w:tr w:rsidR="00834A75" w14:paraId="7C207DAA" w14:textId="77777777">
        <w:trPr>
          <w:jc w:val="center"/>
        </w:trPr>
        <w:tc>
          <w:tcPr>
            <w:tcW w:w="0" w:type="auto"/>
            <w:gridSpan w:val="3"/>
            <w:shd w:val="clear" w:color="auto" w:fill="FFFFFF"/>
            <w:tcMar>
              <w:top w:w="40" w:type="dxa"/>
              <w:left w:w="20" w:type="dxa"/>
              <w:bottom w:w="40" w:type="dxa"/>
              <w:right w:w="20" w:type="dxa"/>
            </w:tcMar>
            <w:vAlign w:val="bottom"/>
          </w:tcPr>
          <w:p w14:paraId="7C207DA4" w14:textId="77777777" w:rsidR="00834A75" w:rsidRDefault="00A6708C">
            <w:pPr>
              <w:textAlignment w:val="bottom"/>
            </w:pPr>
            <w:r>
              <w:rPr>
                <w:rFonts w:ascii="sans-serif" w:eastAsia="sans-serif" w:hAnsi="sans-serif" w:cs="sans-serif"/>
                <w:color w:val="000000"/>
                <w:sz w:val="18"/>
                <w:szCs w:val="18"/>
              </w:rPr>
              <w:t>Acquisition termination cost</w:t>
            </w:r>
          </w:p>
        </w:tc>
        <w:tc>
          <w:tcPr>
            <w:tcW w:w="0" w:type="auto"/>
            <w:gridSpan w:val="2"/>
            <w:shd w:val="clear" w:color="auto" w:fill="FFFFFF"/>
            <w:tcMar>
              <w:top w:w="40" w:type="dxa"/>
              <w:left w:w="20" w:type="dxa"/>
              <w:bottom w:w="40" w:type="dxa"/>
              <w:right w:w="0" w:type="dxa"/>
            </w:tcMar>
            <w:vAlign w:val="bottom"/>
          </w:tcPr>
          <w:p w14:paraId="7C207DA5" w14:textId="77777777" w:rsidR="00834A75" w:rsidRDefault="00A6708C">
            <w:pPr>
              <w:jc w:val="right"/>
              <w:textAlignment w:val="bottom"/>
            </w:pPr>
            <w:r>
              <w:rPr>
                <w:rFonts w:ascii="sans-serif" w:eastAsia="sans-serif" w:hAnsi="sans-serif" w:cs="sans-serif"/>
                <w:color w:val="000000"/>
                <w:sz w:val="18"/>
                <w:szCs w:val="18"/>
              </w:rPr>
              <w:t>1,353 </w:t>
            </w:r>
          </w:p>
        </w:tc>
        <w:tc>
          <w:tcPr>
            <w:tcW w:w="0" w:type="auto"/>
            <w:shd w:val="clear" w:color="auto" w:fill="FFFFFF"/>
            <w:tcMar>
              <w:top w:w="40" w:type="dxa"/>
              <w:left w:w="0" w:type="dxa"/>
              <w:bottom w:w="40" w:type="dxa"/>
              <w:right w:w="20" w:type="dxa"/>
            </w:tcMar>
            <w:vAlign w:val="bottom"/>
          </w:tcPr>
          <w:p w14:paraId="7C207DA6" w14:textId="77777777" w:rsidR="00834A75" w:rsidRDefault="00834A75">
            <w:pPr>
              <w:jc w:val="right"/>
              <w:rPr>
                <w:rFonts w:ascii="宋体"/>
              </w:rPr>
            </w:pPr>
          </w:p>
        </w:tc>
        <w:tc>
          <w:tcPr>
            <w:tcW w:w="0" w:type="auto"/>
            <w:gridSpan w:val="3"/>
            <w:shd w:val="clear" w:color="auto" w:fill="FFFFFF"/>
            <w:tcMar>
              <w:top w:w="0" w:type="dxa"/>
              <w:left w:w="20" w:type="dxa"/>
              <w:bottom w:w="0" w:type="dxa"/>
              <w:right w:w="20" w:type="dxa"/>
            </w:tcMar>
            <w:vAlign w:val="bottom"/>
          </w:tcPr>
          <w:p w14:paraId="7C207DA7" w14:textId="77777777" w:rsidR="00834A75" w:rsidRDefault="00834A75">
            <w:pPr>
              <w:rPr>
                <w:rFonts w:ascii="宋体"/>
              </w:rPr>
            </w:pPr>
          </w:p>
        </w:tc>
        <w:tc>
          <w:tcPr>
            <w:tcW w:w="0" w:type="auto"/>
            <w:gridSpan w:val="2"/>
            <w:shd w:val="clear" w:color="auto" w:fill="FFFFFF"/>
            <w:tcMar>
              <w:top w:w="40" w:type="dxa"/>
              <w:left w:w="20" w:type="dxa"/>
              <w:bottom w:w="40" w:type="dxa"/>
              <w:right w:w="0" w:type="dxa"/>
            </w:tcMar>
            <w:vAlign w:val="bottom"/>
          </w:tcPr>
          <w:p w14:paraId="7C207DA8" w14:textId="77777777" w:rsidR="00834A75" w:rsidRDefault="00A6708C">
            <w:pPr>
              <w:jc w:val="right"/>
              <w:textAlignment w:val="bottom"/>
            </w:pPr>
            <w:r>
              <w:rPr>
                <w:rFonts w:ascii="sans-serif" w:eastAsia="sans-serif" w:hAnsi="sans-serif" w:cs="sans-serif"/>
                <w:color w:val="000000"/>
                <w:sz w:val="18"/>
                <w:szCs w:val="18"/>
              </w:rPr>
              <w:t>— </w:t>
            </w:r>
          </w:p>
        </w:tc>
        <w:tc>
          <w:tcPr>
            <w:tcW w:w="0" w:type="auto"/>
            <w:shd w:val="clear" w:color="auto" w:fill="FFFFFF"/>
            <w:tcMar>
              <w:top w:w="40" w:type="dxa"/>
              <w:left w:w="0" w:type="dxa"/>
              <w:bottom w:w="40" w:type="dxa"/>
              <w:right w:w="20" w:type="dxa"/>
            </w:tcMar>
            <w:vAlign w:val="bottom"/>
          </w:tcPr>
          <w:p w14:paraId="7C207DA9" w14:textId="77777777" w:rsidR="00834A75" w:rsidRDefault="00834A75">
            <w:pPr>
              <w:jc w:val="right"/>
              <w:rPr>
                <w:rFonts w:ascii="宋体"/>
              </w:rPr>
            </w:pPr>
          </w:p>
        </w:tc>
      </w:tr>
      <w:tr w:rsidR="00834A75" w14:paraId="7C207DB1" w14:textId="77777777">
        <w:trPr>
          <w:jc w:val="center"/>
        </w:trPr>
        <w:tc>
          <w:tcPr>
            <w:tcW w:w="0" w:type="auto"/>
            <w:gridSpan w:val="3"/>
            <w:shd w:val="clear" w:color="auto" w:fill="E2EFD9"/>
            <w:tcMar>
              <w:top w:w="40" w:type="dxa"/>
              <w:left w:w="155" w:type="dxa"/>
              <w:bottom w:w="40" w:type="dxa"/>
              <w:right w:w="20" w:type="dxa"/>
            </w:tcMar>
            <w:vAlign w:val="bottom"/>
          </w:tcPr>
          <w:p w14:paraId="7C207DAB" w14:textId="77777777" w:rsidR="00834A75" w:rsidRDefault="00A6708C">
            <w:pPr>
              <w:textAlignment w:val="bottom"/>
            </w:pPr>
            <w:r>
              <w:rPr>
                <w:rFonts w:ascii="sans-serif" w:eastAsia="sans-serif" w:hAnsi="sans-serif" w:cs="sans-serif"/>
                <w:color w:val="000000"/>
                <w:sz w:val="18"/>
                <w:szCs w:val="18"/>
              </w:rPr>
              <w:t>Stock-based compensation expense</w:t>
            </w:r>
          </w:p>
        </w:tc>
        <w:tc>
          <w:tcPr>
            <w:tcW w:w="0" w:type="auto"/>
            <w:gridSpan w:val="2"/>
            <w:shd w:val="clear" w:color="auto" w:fill="E2EFD9"/>
            <w:tcMar>
              <w:top w:w="40" w:type="dxa"/>
              <w:left w:w="20" w:type="dxa"/>
              <w:bottom w:w="40" w:type="dxa"/>
              <w:right w:w="0" w:type="dxa"/>
            </w:tcMar>
            <w:vAlign w:val="bottom"/>
          </w:tcPr>
          <w:p w14:paraId="7C207DAC" w14:textId="77777777" w:rsidR="00834A75" w:rsidRDefault="00A6708C">
            <w:pPr>
              <w:jc w:val="right"/>
              <w:textAlignment w:val="bottom"/>
            </w:pPr>
            <w:r>
              <w:rPr>
                <w:rFonts w:ascii="sans-serif" w:eastAsia="sans-serif" w:hAnsi="sans-serif" w:cs="sans-serif"/>
                <w:color w:val="000000"/>
                <w:sz w:val="18"/>
                <w:szCs w:val="18"/>
              </w:rPr>
              <w:t>578 </w:t>
            </w:r>
          </w:p>
        </w:tc>
        <w:tc>
          <w:tcPr>
            <w:tcW w:w="0" w:type="auto"/>
            <w:shd w:val="clear" w:color="auto" w:fill="E2EFD9"/>
            <w:tcMar>
              <w:top w:w="40" w:type="dxa"/>
              <w:left w:w="0" w:type="dxa"/>
              <w:bottom w:w="40" w:type="dxa"/>
              <w:right w:w="20" w:type="dxa"/>
            </w:tcMar>
            <w:vAlign w:val="bottom"/>
          </w:tcPr>
          <w:p w14:paraId="7C207DAD" w14:textId="77777777" w:rsidR="00834A75" w:rsidRDefault="00834A75">
            <w:pPr>
              <w:jc w:val="right"/>
              <w:rPr>
                <w:rFonts w:ascii="宋体"/>
              </w:rPr>
            </w:pPr>
          </w:p>
        </w:tc>
        <w:tc>
          <w:tcPr>
            <w:tcW w:w="0" w:type="auto"/>
            <w:gridSpan w:val="3"/>
            <w:shd w:val="clear" w:color="auto" w:fill="E2EFD9"/>
            <w:tcMar>
              <w:top w:w="0" w:type="dxa"/>
              <w:left w:w="20" w:type="dxa"/>
              <w:bottom w:w="0" w:type="dxa"/>
              <w:right w:w="20" w:type="dxa"/>
            </w:tcMar>
            <w:vAlign w:val="bottom"/>
          </w:tcPr>
          <w:p w14:paraId="7C207DAE" w14:textId="77777777" w:rsidR="00834A75" w:rsidRDefault="00834A75">
            <w:pPr>
              <w:rPr>
                <w:rFonts w:ascii="宋体"/>
              </w:rPr>
            </w:pPr>
          </w:p>
        </w:tc>
        <w:tc>
          <w:tcPr>
            <w:tcW w:w="0" w:type="auto"/>
            <w:gridSpan w:val="2"/>
            <w:shd w:val="clear" w:color="auto" w:fill="E2EFD9"/>
            <w:tcMar>
              <w:top w:w="40" w:type="dxa"/>
              <w:left w:w="20" w:type="dxa"/>
              <w:bottom w:w="40" w:type="dxa"/>
              <w:right w:w="0" w:type="dxa"/>
            </w:tcMar>
            <w:vAlign w:val="bottom"/>
          </w:tcPr>
          <w:p w14:paraId="7C207DAF" w14:textId="77777777" w:rsidR="00834A75" w:rsidRDefault="00A6708C">
            <w:pPr>
              <w:jc w:val="right"/>
              <w:textAlignment w:val="bottom"/>
            </w:pPr>
            <w:r>
              <w:rPr>
                <w:rFonts w:ascii="sans-serif" w:eastAsia="sans-serif" w:hAnsi="sans-serif" w:cs="sans-serif"/>
                <w:color w:val="000000"/>
                <w:sz w:val="18"/>
                <w:szCs w:val="18"/>
              </w:rPr>
              <w:t>429 </w:t>
            </w:r>
          </w:p>
        </w:tc>
        <w:tc>
          <w:tcPr>
            <w:tcW w:w="0" w:type="auto"/>
            <w:shd w:val="clear" w:color="auto" w:fill="E2EFD9"/>
            <w:tcMar>
              <w:top w:w="40" w:type="dxa"/>
              <w:left w:w="0" w:type="dxa"/>
              <w:bottom w:w="40" w:type="dxa"/>
              <w:right w:w="20" w:type="dxa"/>
            </w:tcMar>
            <w:vAlign w:val="bottom"/>
          </w:tcPr>
          <w:p w14:paraId="7C207DB0" w14:textId="77777777" w:rsidR="00834A75" w:rsidRDefault="00834A75">
            <w:pPr>
              <w:jc w:val="right"/>
              <w:rPr>
                <w:rFonts w:ascii="宋体"/>
              </w:rPr>
            </w:pPr>
          </w:p>
        </w:tc>
      </w:tr>
      <w:tr w:rsidR="00834A75" w14:paraId="7C207DB8" w14:textId="77777777">
        <w:trPr>
          <w:jc w:val="center"/>
        </w:trPr>
        <w:tc>
          <w:tcPr>
            <w:tcW w:w="0" w:type="auto"/>
            <w:gridSpan w:val="3"/>
            <w:shd w:val="clear" w:color="auto" w:fill="FFFFFF"/>
            <w:tcMar>
              <w:top w:w="40" w:type="dxa"/>
              <w:left w:w="155" w:type="dxa"/>
              <w:bottom w:w="40" w:type="dxa"/>
              <w:right w:w="20" w:type="dxa"/>
            </w:tcMar>
            <w:vAlign w:val="bottom"/>
          </w:tcPr>
          <w:p w14:paraId="7C207DB2" w14:textId="77777777" w:rsidR="00834A75" w:rsidRDefault="00A6708C">
            <w:pPr>
              <w:textAlignment w:val="bottom"/>
            </w:pPr>
            <w:r>
              <w:rPr>
                <w:rFonts w:ascii="sans-serif" w:eastAsia="sans-serif" w:hAnsi="sans-serif" w:cs="sans-serif"/>
                <w:color w:val="000000"/>
                <w:sz w:val="18"/>
                <w:szCs w:val="18"/>
              </w:rPr>
              <w:t>Depreciation and amortization</w:t>
            </w:r>
          </w:p>
        </w:tc>
        <w:tc>
          <w:tcPr>
            <w:tcW w:w="0" w:type="auto"/>
            <w:gridSpan w:val="2"/>
            <w:shd w:val="clear" w:color="auto" w:fill="FFFFFF"/>
            <w:tcMar>
              <w:top w:w="40" w:type="dxa"/>
              <w:left w:w="20" w:type="dxa"/>
              <w:bottom w:w="40" w:type="dxa"/>
              <w:right w:w="0" w:type="dxa"/>
            </w:tcMar>
            <w:vAlign w:val="bottom"/>
          </w:tcPr>
          <w:p w14:paraId="7C207DB3" w14:textId="77777777" w:rsidR="00834A75" w:rsidRDefault="00A6708C">
            <w:pPr>
              <w:jc w:val="right"/>
              <w:textAlignment w:val="bottom"/>
            </w:pPr>
            <w:r>
              <w:rPr>
                <w:rFonts w:ascii="sans-serif" w:eastAsia="sans-serif" w:hAnsi="sans-serif" w:cs="sans-serif"/>
                <w:color w:val="000000"/>
                <w:sz w:val="18"/>
                <w:szCs w:val="18"/>
              </w:rPr>
              <w:t>334 </w:t>
            </w:r>
          </w:p>
        </w:tc>
        <w:tc>
          <w:tcPr>
            <w:tcW w:w="0" w:type="auto"/>
            <w:shd w:val="clear" w:color="auto" w:fill="FFFFFF"/>
            <w:tcMar>
              <w:top w:w="40" w:type="dxa"/>
              <w:left w:w="0" w:type="dxa"/>
              <w:bottom w:w="40" w:type="dxa"/>
              <w:right w:w="20" w:type="dxa"/>
            </w:tcMar>
            <w:vAlign w:val="bottom"/>
          </w:tcPr>
          <w:p w14:paraId="7C207DB4" w14:textId="77777777" w:rsidR="00834A75" w:rsidRDefault="00834A75">
            <w:pPr>
              <w:jc w:val="right"/>
              <w:rPr>
                <w:rFonts w:ascii="宋体"/>
              </w:rPr>
            </w:pPr>
          </w:p>
        </w:tc>
        <w:tc>
          <w:tcPr>
            <w:tcW w:w="0" w:type="auto"/>
            <w:gridSpan w:val="3"/>
            <w:shd w:val="clear" w:color="auto" w:fill="FFFFFF"/>
            <w:tcMar>
              <w:top w:w="0" w:type="dxa"/>
              <w:left w:w="20" w:type="dxa"/>
              <w:bottom w:w="0" w:type="dxa"/>
              <w:right w:w="20" w:type="dxa"/>
            </w:tcMar>
            <w:vAlign w:val="bottom"/>
          </w:tcPr>
          <w:p w14:paraId="7C207DB5" w14:textId="77777777" w:rsidR="00834A75" w:rsidRDefault="00834A75">
            <w:pPr>
              <w:rPr>
                <w:rFonts w:ascii="宋体"/>
              </w:rPr>
            </w:pPr>
          </w:p>
        </w:tc>
        <w:tc>
          <w:tcPr>
            <w:tcW w:w="0" w:type="auto"/>
            <w:gridSpan w:val="2"/>
            <w:shd w:val="clear" w:color="auto" w:fill="FFFFFF"/>
            <w:tcMar>
              <w:top w:w="40" w:type="dxa"/>
              <w:left w:w="20" w:type="dxa"/>
              <w:bottom w:w="40" w:type="dxa"/>
              <w:right w:w="0" w:type="dxa"/>
            </w:tcMar>
            <w:vAlign w:val="bottom"/>
          </w:tcPr>
          <w:p w14:paraId="7C207DB6" w14:textId="77777777" w:rsidR="00834A75" w:rsidRDefault="00A6708C">
            <w:pPr>
              <w:jc w:val="right"/>
              <w:textAlignment w:val="bottom"/>
            </w:pPr>
            <w:r>
              <w:rPr>
                <w:rFonts w:ascii="sans-serif" w:eastAsia="sans-serif" w:hAnsi="sans-serif" w:cs="sans-serif"/>
                <w:color w:val="000000"/>
                <w:sz w:val="18"/>
                <w:szCs w:val="18"/>
              </w:rPr>
              <w:t>281 </w:t>
            </w:r>
          </w:p>
        </w:tc>
        <w:tc>
          <w:tcPr>
            <w:tcW w:w="0" w:type="auto"/>
            <w:shd w:val="clear" w:color="auto" w:fill="FFFFFF"/>
            <w:tcMar>
              <w:top w:w="40" w:type="dxa"/>
              <w:left w:w="0" w:type="dxa"/>
              <w:bottom w:w="40" w:type="dxa"/>
              <w:right w:w="20" w:type="dxa"/>
            </w:tcMar>
            <w:vAlign w:val="bottom"/>
          </w:tcPr>
          <w:p w14:paraId="7C207DB7" w14:textId="77777777" w:rsidR="00834A75" w:rsidRDefault="00834A75">
            <w:pPr>
              <w:jc w:val="right"/>
              <w:rPr>
                <w:rFonts w:ascii="宋体"/>
              </w:rPr>
            </w:pPr>
          </w:p>
        </w:tc>
      </w:tr>
      <w:tr w:rsidR="00834A75" w14:paraId="7C207DBF" w14:textId="77777777">
        <w:trPr>
          <w:jc w:val="center"/>
        </w:trPr>
        <w:tc>
          <w:tcPr>
            <w:tcW w:w="0" w:type="auto"/>
            <w:gridSpan w:val="3"/>
            <w:shd w:val="clear" w:color="auto" w:fill="E2EFD9"/>
            <w:tcMar>
              <w:top w:w="40" w:type="dxa"/>
              <w:left w:w="155" w:type="dxa"/>
              <w:bottom w:w="40" w:type="dxa"/>
              <w:right w:w="20" w:type="dxa"/>
            </w:tcMar>
            <w:vAlign w:val="bottom"/>
          </w:tcPr>
          <w:p w14:paraId="7C207DB9" w14:textId="77777777" w:rsidR="00834A75" w:rsidRDefault="00A6708C">
            <w:pPr>
              <w:textAlignment w:val="bottom"/>
            </w:pPr>
            <w:r>
              <w:rPr>
                <w:rFonts w:ascii="sans-serif" w:eastAsia="sans-serif" w:hAnsi="sans-serif" w:cs="sans-serif"/>
                <w:color w:val="000000"/>
                <w:sz w:val="18"/>
                <w:szCs w:val="18"/>
              </w:rPr>
              <w:t>Losses (gains) on investments in non-affiliates, net</w:t>
            </w:r>
          </w:p>
        </w:tc>
        <w:tc>
          <w:tcPr>
            <w:tcW w:w="0" w:type="auto"/>
            <w:gridSpan w:val="2"/>
            <w:shd w:val="clear" w:color="auto" w:fill="E2EFD9"/>
            <w:tcMar>
              <w:top w:w="40" w:type="dxa"/>
              <w:left w:w="20" w:type="dxa"/>
              <w:bottom w:w="40" w:type="dxa"/>
              <w:right w:w="0" w:type="dxa"/>
            </w:tcMar>
            <w:vAlign w:val="bottom"/>
          </w:tcPr>
          <w:p w14:paraId="7C207DBA" w14:textId="77777777" w:rsidR="00834A75" w:rsidRDefault="00A6708C">
            <w:pPr>
              <w:jc w:val="right"/>
              <w:textAlignment w:val="bottom"/>
            </w:pPr>
            <w:r>
              <w:rPr>
                <w:rFonts w:ascii="sans-serif" w:eastAsia="sans-serif" w:hAnsi="sans-serif" w:cs="sans-serif"/>
                <w:color w:val="000000"/>
                <w:sz w:val="18"/>
                <w:szCs w:val="18"/>
              </w:rPr>
              <w:t>17 </w:t>
            </w:r>
          </w:p>
        </w:tc>
        <w:tc>
          <w:tcPr>
            <w:tcW w:w="0" w:type="auto"/>
            <w:shd w:val="clear" w:color="auto" w:fill="E2EFD9"/>
            <w:tcMar>
              <w:top w:w="40" w:type="dxa"/>
              <w:left w:w="0" w:type="dxa"/>
              <w:bottom w:w="40" w:type="dxa"/>
              <w:right w:w="20" w:type="dxa"/>
            </w:tcMar>
            <w:vAlign w:val="bottom"/>
          </w:tcPr>
          <w:p w14:paraId="7C207DBB" w14:textId="77777777" w:rsidR="00834A75" w:rsidRDefault="00834A75">
            <w:pPr>
              <w:jc w:val="right"/>
              <w:rPr>
                <w:rFonts w:ascii="宋体"/>
              </w:rPr>
            </w:pPr>
          </w:p>
        </w:tc>
        <w:tc>
          <w:tcPr>
            <w:tcW w:w="0" w:type="auto"/>
            <w:gridSpan w:val="3"/>
            <w:shd w:val="clear" w:color="auto" w:fill="E2EFD9"/>
            <w:tcMar>
              <w:top w:w="0" w:type="dxa"/>
              <w:left w:w="20" w:type="dxa"/>
              <w:bottom w:w="0" w:type="dxa"/>
              <w:right w:w="20" w:type="dxa"/>
            </w:tcMar>
            <w:vAlign w:val="bottom"/>
          </w:tcPr>
          <w:p w14:paraId="7C207DBC" w14:textId="77777777" w:rsidR="00834A75" w:rsidRDefault="00834A75">
            <w:pPr>
              <w:rPr>
                <w:rFonts w:ascii="宋体"/>
              </w:rPr>
            </w:pPr>
          </w:p>
        </w:tc>
        <w:tc>
          <w:tcPr>
            <w:tcW w:w="0" w:type="auto"/>
            <w:gridSpan w:val="2"/>
            <w:shd w:val="clear" w:color="auto" w:fill="E2EFD9"/>
            <w:tcMar>
              <w:top w:w="40" w:type="dxa"/>
              <w:left w:w="20" w:type="dxa"/>
              <w:bottom w:w="40" w:type="dxa"/>
              <w:right w:w="0" w:type="dxa"/>
            </w:tcMar>
            <w:vAlign w:val="bottom"/>
          </w:tcPr>
          <w:p w14:paraId="7C207DBD" w14:textId="77777777" w:rsidR="00834A75" w:rsidRDefault="00A6708C">
            <w:pPr>
              <w:jc w:val="right"/>
              <w:textAlignment w:val="bottom"/>
            </w:pPr>
            <w:r>
              <w:rPr>
                <w:rFonts w:ascii="sans-serif" w:eastAsia="sans-serif" w:hAnsi="sans-serif" w:cs="sans-serif"/>
                <w:color w:val="000000"/>
                <w:sz w:val="18"/>
                <w:szCs w:val="18"/>
              </w:rPr>
              <w:t>(133)</w:t>
            </w:r>
          </w:p>
        </w:tc>
        <w:tc>
          <w:tcPr>
            <w:tcW w:w="0" w:type="auto"/>
            <w:shd w:val="clear" w:color="auto" w:fill="E2EFD9"/>
            <w:tcMar>
              <w:top w:w="40" w:type="dxa"/>
              <w:left w:w="0" w:type="dxa"/>
              <w:bottom w:w="40" w:type="dxa"/>
              <w:right w:w="20" w:type="dxa"/>
            </w:tcMar>
            <w:vAlign w:val="bottom"/>
          </w:tcPr>
          <w:p w14:paraId="7C207DBE" w14:textId="77777777" w:rsidR="00834A75" w:rsidRDefault="00834A75">
            <w:pPr>
              <w:jc w:val="right"/>
              <w:rPr>
                <w:rFonts w:ascii="宋体"/>
              </w:rPr>
            </w:pPr>
          </w:p>
        </w:tc>
      </w:tr>
      <w:tr w:rsidR="00834A75" w14:paraId="7C207DC6" w14:textId="77777777">
        <w:trPr>
          <w:jc w:val="center"/>
        </w:trPr>
        <w:tc>
          <w:tcPr>
            <w:tcW w:w="0" w:type="auto"/>
            <w:gridSpan w:val="3"/>
            <w:shd w:val="clear" w:color="auto" w:fill="FFFFFF"/>
            <w:tcMar>
              <w:top w:w="40" w:type="dxa"/>
              <w:left w:w="155" w:type="dxa"/>
              <w:bottom w:w="40" w:type="dxa"/>
              <w:right w:w="20" w:type="dxa"/>
            </w:tcMar>
            <w:vAlign w:val="bottom"/>
          </w:tcPr>
          <w:p w14:paraId="7C207DC0" w14:textId="77777777" w:rsidR="00834A75" w:rsidRDefault="00A6708C">
            <w:pPr>
              <w:textAlignment w:val="bottom"/>
            </w:pPr>
            <w:r>
              <w:rPr>
                <w:rFonts w:ascii="sans-serif" w:eastAsia="sans-serif" w:hAnsi="sans-serif" w:cs="sans-serif"/>
                <w:color w:val="000000"/>
                <w:sz w:val="18"/>
                <w:szCs w:val="18"/>
              </w:rPr>
              <w:t>Deferred income taxes</w:t>
            </w:r>
          </w:p>
        </w:tc>
        <w:tc>
          <w:tcPr>
            <w:tcW w:w="0" w:type="auto"/>
            <w:gridSpan w:val="2"/>
            <w:shd w:val="clear" w:color="auto" w:fill="FFFFFF"/>
            <w:tcMar>
              <w:top w:w="40" w:type="dxa"/>
              <w:left w:w="20" w:type="dxa"/>
              <w:bottom w:w="40" w:type="dxa"/>
              <w:right w:w="0" w:type="dxa"/>
            </w:tcMar>
            <w:vAlign w:val="bottom"/>
          </w:tcPr>
          <w:p w14:paraId="7C207DC1" w14:textId="77777777" w:rsidR="00834A75" w:rsidRDefault="00A6708C">
            <w:pPr>
              <w:jc w:val="right"/>
              <w:textAlignment w:val="bottom"/>
            </w:pPr>
            <w:r>
              <w:rPr>
                <w:rFonts w:ascii="sans-serif" w:eastAsia="sans-serif" w:hAnsi="sans-serif" w:cs="sans-serif"/>
                <w:color w:val="000000"/>
                <w:sz w:val="18"/>
                <w:szCs w:val="18"/>
              </w:rPr>
              <w:t>(542)</w:t>
            </w:r>
          </w:p>
        </w:tc>
        <w:tc>
          <w:tcPr>
            <w:tcW w:w="0" w:type="auto"/>
            <w:shd w:val="clear" w:color="auto" w:fill="FFFFFF"/>
            <w:tcMar>
              <w:top w:w="40" w:type="dxa"/>
              <w:left w:w="0" w:type="dxa"/>
              <w:bottom w:w="40" w:type="dxa"/>
              <w:right w:w="20" w:type="dxa"/>
            </w:tcMar>
            <w:vAlign w:val="bottom"/>
          </w:tcPr>
          <w:p w14:paraId="7C207DC2" w14:textId="77777777" w:rsidR="00834A75" w:rsidRDefault="00834A75">
            <w:pPr>
              <w:jc w:val="right"/>
              <w:rPr>
                <w:rFonts w:ascii="宋体"/>
              </w:rPr>
            </w:pPr>
          </w:p>
        </w:tc>
        <w:tc>
          <w:tcPr>
            <w:tcW w:w="0" w:type="auto"/>
            <w:gridSpan w:val="3"/>
            <w:shd w:val="clear" w:color="auto" w:fill="FFFFFF"/>
            <w:tcMar>
              <w:top w:w="0" w:type="dxa"/>
              <w:left w:w="20" w:type="dxa"/>
              <w:bottom w:w="0" w:type="dxa"/>
              <w:right w:w="20" w:type="dxa"/>
            </w:tcMar>
            <w:vAlign w:val="bottom"/>
          </w:tcPr>
          <w:p w14:paraId="7C207DC3" w14:textId="77777777" w:rsidR="00834A75" w:rsidRDefault="00834A75">
            <w:pPr>
              <w:rPr>
                <w:rFonts w:ascii="宋体"/>
              </w:rPr>
            </w:pPr>
          </w:p>
        </w:tc>
        <w:tc>
          <w:tcPr>
            <w:tcW w:w="0" w:type="auto"/>
            <w:gridSpan w:val="2"/>
            <w:shd w:val="clear" w:color="auto" w:fill="FFFFFF"/>
            <w:tcMar>
              <w:top w:w="40" w:type="dxa"/>
              <w:left w:w="20" w:type="dxa"/>
              <w:bottom w:w="40" w:type="dxa"/>
              <w:right w:w="0" w:type="dxa"/>
            </w:tcMar>
            <w:vAlign w:val="bottom"/>
          </w:tcPr>
          <w:p w14:paraId="7C207DC4" w14:textId="77777777" w:rsidR="00834A75" w:rsidRDefault="00A6708C">
            <w:pPr>
              <w:jc w:val="right"/>
              <w:textAlignment w:val="bottom"/>
            </w:pPr>
            <w:r>
              <w:rPr>
                <w:rFonts w:ascii="sans-serif" w:eastAsia="sans-serif" w:hAnsi="sans-serif" w:cs="sans-serif"/>
                <w:color w:val="000000"/>
                <w:sz w:val="18"/>
                <w:szCs w:val="18"/>
              </w:rPr>
              <w:t>24 </w:t>
            </w:r>
          </w:p>
        </w:tc>
        <w:tc>
          <w:tcPr>
            <w:tcW w:w="0" w:type="auto"/>
            <w:shd w:val="clear" w:color="auto" w:fill="FFFFFF"/>
            <w:tcMar>
              <w:top w:w="40" w:type="dxa"/>
              <w:left w:w="0" w:type="dxa"/>
              <w:bottom w:w="40" w:type="dxa"/>
              <w:right w:w="20" w:type="dxa"/>
            </w:tcMar>
            <w:vAlign w:val="bottom"/>
          </w:tcPr>
          <w:p w14:paraId="7C207DC5" w14:textId="77777777" w:rsidR="00834A75" w:rsidRDefault="00834A75">
            <w:pPr>
              <w:jc w:val="right"/>
              <w:rPr>
                <w:rFonts w:ascii="宋体"/>
              </w:rPr>
            </w:pPr>
          </w:p>
        </w:tc>
      </w:tr>
      <w:tr w:rsidR="00834A75" w14:paraId="7C207DCB" w14:textId="77777777">
        <w:trPr>
          <w:jc w:val="center"/>
          <w:hidden/>
        </w:trPr>
        <w:tc>
          <w:tcPr>
            <w:tcW w:w="0" w:type="auto"/>
            <w:gridSpan w:val="3"/>
            <w:shd w:val="clear" w:color="auto" w:fill="auto"/>
            <w:vAlign w:val="bottom"/>
          </w:tcPr>
          <w:p w14:paraId="7C207DC7" w14:textId="77777777" w:rsidR="00834A75" w:rsidRDefault="00834A75">
            <w:pPr>
              <w:rPr>
                <w:rFonts w:ascii="宋体"/>
                <w:vanish/>
              </w:rPr>
            </w:pPr>
          </w:p>
        </w:tc>
        <w:tc>
          <w:tcPr>
            <w:tcW w:w="0" w:type="auto"/>
            <w:gridSpan w:val="3"/>
            <w:shd w:val="clear" w:color="auto" w:fill="auto"/>
            <w:vAlign w:val="bottom"/>
          </w:tcPr>
          <w:p w14:paraId="7C207DC8" w14:textId="77777777" w:rsidR="00834A75" w:rsidRDefault="00834A75">
            <w:pPr>
              <w:rPr>
                <w:rFonts w:ascii="宋体"/>
                <w:vanish/>
              </w:rPr>
            </w:pPr>
          </w:p>
        </w:tc>
        <w:tc>
          <w:tcPr>
            <w:tcW w:w="0" w:type="auto"/>
            <w:gridSpan w:val="3"/>
            <w:shd w:val="clear" w:color="auto" w:fill="auto"/>
            <w:vAlign w:val="bottom"/>
          </w:tcPr>
          <w:p w14:paraId="7C207DC9" w14:textId="77777777" w:rsidR="00834A75" w:rsidRDefault="00834A75">
            <w:pPr>
              <w:rPr>
                <w:rFonts w:ascii="宋体"/>
                <w:vanish/>
              </w:rPr>
            </w:pPr>
          </w:p>
        </w:tc>
        <w:tc>
          <w:tcPr>
            <w:tcW w:w="0" w:type="auto"/>
            <w:gridSpan w:val="3"/>
            <w:shd w:val="clear" w:color="auto" w:fill="auto"/>
            <w:vAlign w:val="bottom"/>
          </w:tcPr>
          <w:p w14:paraId="7C207DCA" w14:textId="77777777" w:rsidR="00834A75" w:rsidRDefault="00834A75">
            <w:pPr>
              <w:rPr>
                <w:rFonts w:ascii="宋体"/>
                <w:vanish/>
              </w:rPr>
            </w:pPr>
          </w:p>
        </w:tc>
      </w:tr>
      <w:tr w:rsidR="00834A75" w14:paraId="7C207DD2" w14:textId="77777777">
        <w:trPr>
          <w:jc w:val="center"/>
        </w:trPr>
        <w:tc>
          <w:tcPr>
            <w:tcW w:w="0" w:type="auto"/>
            <w:gridSpan w:val="3"/>
            <w:shd w:val="clear" w:color="auto" w:fill="E2EFD9"/>
            <w:tcMar>
              <w:top w:w="40" w:type="dxa"/>
              <w:left w:w="155" w:type="dxa"/>
              <w:bottom w:w="40" w:type="dxa"/>
              <w:right w:w="20" w:type="dxa"/>
            </w:tcMar>
            <w:vAlign w:val="bottom"/>
          </w:tcPr>
          <w:p w14:paraId="7C207DCC" w14:textId="77777777" w:rsidR="00834A75" w:rsidRDefault="00A6708C">
            <w:pPr>
              <w:textAlignment w:val="bottom"/>
            </w:pPr>
            <w:r>
              <w:rPr>
                <w:rFonts w:ascii="sans-serif" w:eastAsia="sans-serif" w:hAnsi="sans-serif" w:cs="sans-serif"/>
                <w:color w:val="000000"/>
                <w:sz w:val="18"/>
                <w:szCs w:val="18"/>
              </w:rPr>
              <w:t>Other</w:t>
            </w:r>
          </w:p>
        </w:tc>
        <w:tc>
          <w:tcPr>
            <w:tcW w:w="0" w:type="auto"/>
            <w:gridSpan w:val="2"/>
            <w:shd w:val="clear" w:color="auto" w:fill="E2EFD9"/>
            <w:tcMar>
              <w:top w:w="40" w:type="dxa"/>
              <w:left w:w="20" w:type="dxa"/>
              <w:bottom w:w="40" w:type="dxa"/>
              <w:right w:w="0" w:type="dxa"/>
            </w:tcMar>
            <w:vAlign w:val="bottom"/>
          </w:tcPr>
          <w:p w14:paraId="7C207DCD" w14:textId="77777777" w:rsidR="00834A75" w:rsidRDefault="00A6708C">
            <w:pPr>
              <w:jc w:val="right"/>
              <w:textAlignment w:val="bottom"/>
            </w:pPr>
            <w:r>
              <w:rPr>
                <w:rFonts w:ascii="sans-serif" w:eastAsia="sans-serif" w:hAnsi="sans-serif" w:cs="sans-serif"/>
                <w:color w:val="000000"/>
                <w:sz w:val="18"/>
                <w:szCs w:val="18"/>
              </w:rPr>
              <w:t>23 </w:t>
            </w:r>
          </w:p>
        </w:tc>
        <w:tc>
          <w:tcPr>
            <w:tcW w:w="0" w:type="auto"/>
            <w:shd w:val="clear" w:color="auto" w:fill="E2EFD9"/>
            <w:tcMar>
              <w:top w:w="40" w:type="dxa"/>
              <w:left w:w="0" w:type="dxa"/>
              <w:bottom w:w="40" w:type="dxa"/>
              <w:right w:w="20" w:type="dxa"/>
            </w:tcMar>
            <w:vAlign w:val="bottom"/>
          </w:tcPr>
          <w:p w14:paraId="7C207DCE" w14:textId="77777777" w:rsidR="00834A75" w:rsidRDefault="00834A75">
            <w:pPr>
              <w:jc w:val="right"/>
              <w:rPr>
                <w:rFonts w:ascii="宋体"/>
              </w:rPr>
            </w:pPr>
          </w:p>
        </w:tc>
        <w:tc>
          <w:tcPr>
            <w:tcW w:w="0" w:type="auto"/>
            <w:gridSpan w:val="3"/>
            <w:shd w:val="clear" w:color="auto" w:fill="E2EFD9"/>
            <w:tcMar>
              <w:top w:w="0" w:type="dxa"/>
              <w:left w:w="20" w:type="dxa"/>
              <w:bottom w:w="0" w:type="dxa"/>
              <w:right w:w="20" w:type="dxa"/>
            </w:tcMar>
            <w:vAlign w:val="bottom"/>
          </w:tcPr>
          <w:p w14:paraId="7C207DCF" w14:textId="77777777" w:rsidR="00834A75" w:rsidRDefault="00834A75">
            <w:pPr>
              <w:rPr>
                <w:rFonts w:ascii="宋体"/>
              </w:rPr>
            </w:pPr>
          </w:p>
        </w:tc>
        <w:tc>
          <w:tcPr>
            <w:tcW w:w="0" w:type="auto"/>
            <w:gridSpan w:val="2"/>
            <w:shd w:val="clear" w:color="auto" w:fill="E2EFD9"/>
            <w:tcMar>
              <w:top w:w="40" w:type="dxa"/>
              <w:left w:w="20" w:type="dxa"/>
              <w:bottom w:w="40" w:type="dxa"/>
              <w:right w:w="0" w:type="dxa"/>
            </w:tcMar>
            <w:vAlign w:val="bottom"/>
          </w:tcPr>
          <w:p w14:paraId="7C207DD0" w14:textId="77777777" w:rsidR="00834A75" w:rsidRDefault="00A6708C">
            <w:pPr>
              <w:jc w:val="right"/>
              <w:textAlignment w:val="bottom"/>
            </w:pPr>
            <w:r>
              <w:rPr>
                <w:rFonts w:ascii="sans-serif" w:eastAsia="sans-serif" w:hAnsi="sans-serif" w:cs="sans-serif"/>
                <w:color w:val="000000"/>
                <w:sz w:val="18"/>
                <w:szCs w:val="18"/>
              </w:rPr>
              <w:t>(3)</w:t>
            </w:r>
          </w:p>
        </w:tc>
        <w:tc>
          <w:tcPr>
            <w:tcW w:w="0" w:type="auto"/>
            <w:shd w:val="clear" w:color="auto" w:fill="E2EFD9"/>
            <w:tcMar>
              <w:top w:w="40" w:type="dxa"/>
              <w:left w:w="0" w:type="dxa"/>
              <w:bottom w:w="40" w:type="dxa"/>
              <w:right w:w="20" w:type="dxa"/>
            </w:tcMar>
            <w:vAlign w:val="bottom"/>
          </w:tcPr>
          <w:p w14:paraId="7C207DD1" w14:textId="77777777" w:rsidR="00834A75" w:rsidRDefault="00834A75">
            <w:pPr>
              <w:jc w:val="right"/>
              <w:rPr>
                <w:rFonts w:ascii="宋体"/>
              </w:rPr>
            </w:pPr>
          </w:p>
        </w:tc>
      </w:tr>
      <w:tr w:rsidR="00834A75" w14:paraId="7C207DD7" w14:textId="77777777">
        <w:trPr>
          <w:jc w:val="center"/>
        </w:trPr>
        <w:tc>
          <w:tcPr>
            <w:tcW w:w="0" w:type="auto"/>
            <w:gridSpan w:val="3"/>
            <w:shd w:val="clear" w:color="auto" w:fill="FFFFFF"/>
            <w:tcMar>
              <w:top w:w="40" w:type="dxa"/>
              <w:left w:w="20" w:type="dxa"/>
              <w:bottom w:w="40" w:type="dxa"/>
              <w:right w:w="20" w:type="dxa"/>
            </w:tcMar>
            <w:vAlign w:val="bottom"/>
          </w:tcPr>
          <w:p w14:paraId="7C207DD3" w14:textId="77777777" w:rsidR="00834A75" w:rsidRDefault="00A6708C">
            <w:pPr>
              <w:textAlignment w:val="bottom"/>
            </w:pPr>
            <w:r>
              <w:rPr>
                <w:rFonts w:ascii="sans-serif" w:eastAsia="sans-serif" w:hAnsi="sans-serif" w:cs="sans-serif"/>
                <w:color w:val="000000"/>
                <w:sz w:val="18"/>
                <w:szCs w:val="18"/>
              </w:rPr>
              <w:t>Changes in operating assets and liabilities, net of acquisitions:</w:t>
            </w:r>
          </w:p>
        </w:tc>
        <w:tc>
          <w:tcPr>
            <w:tcW w:w="0" w:type="auto"/>
            <w:gridSpan w:val="3"/>
            <w:shd w:val="clear" w:color="auto" w:fill="FFFFFF"/>
            <w:tcMar>
              <w:top w:w="0" w:type="dxa"/>
              <w:left w:w="20" w:type="dxa"/>
              <w:bottom w:w="0" w:type="dxa"/>
              <w:right w:w="20" w:type="dxa"/>
            </w:tcMar>
            <w:vAlign w:val="bottom"/>
          </w:tcPr>
          <w:p w14:paraId="7C207DD4" w14:textId="77777777" w:rsidR="00834A75" w:rsidRDefault="00834A75">
            <w:pPr>
              <w:rPr>
                <w:rFonts w:ascii="宋体"/>
              </w:rPr>
            </w:pPr>
          </w:p>
        </w:tc>
        <w:tc>
          <w:tcPr>
            <w:tcW w:w="0" w:type="auto"/>
            <w:gridSpan w:val="3"/>
            <w:shd w:val="clear" w:color="auto" w:fill="FFFFFF"/>
            <w:tcMar>
              <w:top w:w="0" w:type="dxa"/>
              <w:left w:w="20" w:type="dxa"/>
              <w:bottom w:w="0" w:type="dxa"/>
              <w:right w:w="20" w:type="dxa"/>
            </w:tcMar>
            <w:vAlign w:val="bottom"/>
          </w:tcPr>
          <w:p w14:paraId="7C207DD5" w14:textId="77777777" w:rsidR="00834A75" w:rsidRDefault="00834A75">
            <w:pPr>
              <w:rPr>
                <w:rFonts w:ascii="宋体"/>
              </w:rPr>
            </w:pPr>
          </w:p>
        </w:tc>
        <w:tc>
          <w:tcPr>
            <w:tcW w:w="0" w:type="auto"/>
            <w:gridSpan w:val="3"/>
            <w:shd w:val="clear" w:color="auto" w:fill="FFFFFF"/>
            <w:tcMar>
              <w:top w:w="0" w:type="dxa"/>
              <w:left w:w="20" w:type="dxa"/>
              <w:bottom w:w="0" w:type="dxa"/>
              <w:right w:w="20" w:type="dxa"/>
            </w:tcMar>
            <w:vAlign w:val="bottom"/>
          </w:tcPr>
          <w:p w14:paraId="7C207DD6" w14:textId="77777777" w:rsidR="00834A75" w:rsidRDefault="00834A75">
            <w:pPr>
              <w:rPr>
                <w:rFonts w:ascii="宋体"/>
              </w:rPr>
            </w:pPr>
          </w:p>
        </w:tc>
      </w:tr>
      <w:tr w:rsidR="00834A75" w14:paraId="7C207DDE" w14:textId="77777777">
        <w:trPr>
          <w:jc w:val="center"/>
        </w:trPr>
        <w:tc>
          <w:tcPr>
            <w:tcW w:w="0" w:type="auto"/>
            <w:gridSpan w:val="3"/>
            <w:shd w:val="clear" w:color="auto" w:fill="E2EFD9"/>
            <w:tcMar>
              <w:top w:w="40" w:type="dxa"/>
              <w:left w:w="155" w:type="dxa"/>
              <w:bottom w:w="40" w:type="dxa"/>
              <w:right w:w="20" w:type="dxa"/>
            </w:tcMar>
            <w:vAlign w:val="bottom"/>
          </w:tcPr>
          <w:p w14:paraId="7C207DD8" w14:textId="77777777" w:rsidR="00834A75" w:rsidRDefault="00A6708C">
            <w:pPr>
              <w:textAlignment w:val="bottom"/>
            </w:pPr>
            <w:r>
              <w:rPr>
                <w:rFonts w:ascii="sans-serif" w:eastAsia="sans-serif" w:hAnsi="sans-serif" w:cs="sans-serif"/>
                <w:color w:val="000000"/>
                <w:sz w:val="18"/>
                <w:szCs w:val="18"/>
              </w:rPr>
              <w:t>Accounts receivable</w:t>
            </w:r>
          </w:p>
        </w:tc>
        <w:tc>
          <w:tcPr>
            <w:tcW w:w="0" w:type="auto"/>
            <w:gridSpan w:val="2"/>
            <w:shd w:val="clear" w:color="auto" w:fill="E2EFD9"/>
            <w:tcMar>
              <w:top w:w="40" w:type="dxa"/>
              <w:left w:w="20" w:type="dxa"/>
              <w:bottom w:w="40" w:type="dxa"/>
              <w:right w:w="0" w:type="dxa"/>
            </w:tcMar>
            <w:vAlign w:val="bottom"/>
          </w:tcPr>
          <w:p w14:paraId="7C207DD9" w14:textId="77777777" w:rsidR="00834A75" w:rsidRDefault="00A6708C">
            <w:pPr>
              <w:jc w:val="right"/>
              <w:textAlignment w:val="bottom"/>
            </w:pPr>
            <w:r>
              <w:rPr>
                <w:rFonts w:ascii="sans-serif" w:eastAsia="sans-serif" w:hAnsi="sans-serif" w:cs="sans-serif"/>
                <w:color w:val="000000"/>
                <w:sz w:val="18"/>
                <w:szCs w:val="18"/>
              </w:rPr>
              <w:t>(788)</w:t>
            </w:r>
          </w:p>
        </w:tc>
        <w:tc>
          <w:tcPr>
            <w:tcW w:w="0" w:type="auto"/>
            <w:shd w:val="clear" w:color="auto" w:fill="E2EFD9"/>
            <w:tcMar>
              <w:top w:w="40" w:type="dxa"/>
              <w:left w:w="0" w:type="dxa"/>
              <w:bottom w:w="40" w:type="dxa"/>
              <w:right w:w="20" w:type="dxa"/>
            </w:tcMar>
            <w:vAlign w:val="bottom"/>
          </w:tcPr>
          <w:p w14:paraId="7C207DDA" w14:textId="77777777" w:rsidR="00834A75" w:rsidRDefault="00834A75">
            <w:pPr>
              <w:jc w:val="right"/>
              <w:rPr>
                <w:rFonts w:ascii="宋体"/>
              </w:rPr>
            </w:pPr>
          </w:p>
        </w:tc>
        <w:tc>
          <w:tcPr>
            <w:tcW w:w="0" w:type="auto"/>
            <w:gridSpan w:val="3"/>
            <w:shd w:val="clear" w:color="auto" w:fill="E2EFD9"/>
            <w:tcMar>
              <w:top w:w="0" w:type="dxa"/>
              <w:left w:w="20" w:type="dxa"/>
              <w:bottom w:w="0" w:type="dxa"/>
              <w:right w:w="20" w:type="dxa"/>
            </w:tcMar>
            <w:vAlign w:val="bottom"/>
          </w:tcPr>
          <w:p w14:paraId="7C207DDB" w14:textId="77777777" w:rsidR="00834A75" w:rsidRDefault="00834A75">
            <w:pPr>
              <w:rPr>
                <w:rFonts w:ascii="宋体"/>
              </w:rPr>
            </w:pPr>
          </w:p>
        </w:tc>
        <w:tc>
          <w:tcPr>
            <w:tcW w:w="0" w:type="auto"/>
            <w:gridSpan w:val="2"/>
            <w:shd w:val="clear" w:color="auto" w:fill="E2EFD9"/>
            <w:tcMar>
              <w:top w:w="40" w:type="dxa"/>
              <w:left w:w="20" w:type="dxa"/>
              <w:bottom w:w="40" w:type="dxa"/>
              <w:right w:w="0" w:type="dxa"/>
            </w:tcMar>
            <w:vAlign w:val="bottom"/>
          </w:tcPr>
          <w:p w14:paraId="7C207DDC" w14:textId="77777777" w:rsidR="00834A75" w:rsidRDefault="00A6708C">
            <w:pPr>
              <w:jc w:val="right"/>
              <w:textAlignment w:val="bottom"/>
            </w:pPr>
            <w:r>
              <w:rPr>
                <w:rFonts w:ascii="sans-serif" w:eastAsia="sans-serif" w:hAnsi="sans-serif" w:cs="sans-serif"/>
                <w:color w:val="000000"/>
                <w:sz w:val="18"/>
                <w:szCs w:val="18"/>
              </w:rPr>
              <w:t>(595)</w:t>
            </w:r>
          </w:p>
        </w:tc>
        <w:tc>
          <w:tcPr>
            <w:tcW w:w="0" w:type="auto"/>
            <w:shd w:val="clear" w:color="auto" w:fill="E2EFD9"/>
            <w:tcMar>
              <w:top w:w="40" w:type="dxa"/>
              <w:left w:w="0" w:type="dxa"/>
              <w:bottom w:w="40" w:type="dxa"/>
              <w:right w:w="20" w:type="dxa"/>
            </w:tcMar>
            <w:vAlign w:val="bottom"/>
          </w:tcPr>
          <w:p w14:paraId="7C207DDD" w14:textId="77777777" w:rsidR="00834A75" w:rsidRDefault="00834A75">
            <w:pPr>
              <w:jc w:val="right"/>
              <w:rPr>
                <w:rFonts w:ascii="宋体"/>
              </w:rPr>
            </w:pPr>
          </w:p>
        </w:tc>
      </w:tr>
      <w:tr w:rsidR="00834A75" w14:paraId="7C207DE5" w14:textId="77777777">
        <w:trPr>
          <w:jc w:val="center"/>
        </w:trPr>
        <w:tc>
          <w:tcPr>
            <w:tcW w:w="0" w:type="auto"/>
            <w:gridSpan w:val="3"/>
            <w:shd w:val="clear" w:color="auto" w:fill="FFFFFF"/>
            <w:tcMar>
              <w:top w:w="40" w:type="dxa"/>
              <w:left w:w="155" w:type="dxa"/>
              <w:bottom w:w="40" w:type="dxa"/>
              <w:right w:w="20" w:type="dxa"/>
            </w:tcMar>
            <w:vAlign w:val="bottom"/>
          </w:tcPr>
          <w:p w14:paraId="7C207DDF" w14:textId="77777777" w:rsidR="00834A75" w:rsidRDefault="00A6708C">
            <w:pPr>
              <w:textAlignment w:val="bottom"/>
            </w:pPr>
            <w:r>
              <w:rPr>
                <w:rFonts w:ascii="sans-serif" w:eastAsia="sans-serif" w:hAnsi="sans-serif" w:cs="sans-serif"/>
                <w:color w:val="000000"/>
                <w:sz w:val="18"/>
                <w:szCs w:val="18"/>
              </w:rPr>
              <w:t>Inventories</w:t>
            </w:r>
          </w:p>
        </w:tc>
        <w:tc>
          <w:tcPr>
            <w:tcW w:w="0" w:type="auto"/>
            <w:gridSpan w:val="2"/>
            <w:shd w:val="clear" w:color="auto" w:fill="FFFFFF"/>
            <w:tcMar>
              <w:top w:w="40" w:type="dxa"/>
              <w:left w:w="20" w:type="dxa"/>
              <w:bottom w:w="40" w:type="dxa"/>
              <w:right w:w="0" w:type="dxa"/>
            </w:tcMar>
            <w:vAlign w:val="bottom"/>
          </w:tcPr>
          <w:p w14:paraId="7C207DE0" w14:textId="77777777" w:rsidR="00834A75" w:rsidRDefault="00A6708C">
            <w:pPr>
              <w:jc w:val="right"/>
              <w:textAlignment w:val="bottom"/>
            </w:pPr>
            <w:r>
              <w:rPr>
                <w:rFonts w:ascii="sans-serif" w:eastAsia="sans-serif" w:hAnsi="sans-serif" w:cs="sans-serif"/>
                <w:color w:val="000000"/>
                <w:sz w:val="18"/>
                <w:szCs w:val="18"/>
              </w:rPr>
              <w:t>(560)</w:t>
            </w:r>
          </w:p>
        </w:tc>
        <w:tc>
          <w:tcPr>
            <w:tcW w:w="0" w:type="auto"/>
            <w:shd w:val="clear" w:color="auto" w:fill="FFFFFF"/>
            <w:tcMar>
              <w:top w:w="40" w:type="dxa"/>
              <w:left w:w="0" w:type="dxa"/>
              <w:bottom w:w="40" w:type="dxa"/>
              <w:right w:w="20" w:type="dxa"/>
            </w:tcMar>
            <w:vAlign w:val="bottom"/>
          </w:tcPr>
          <w:p w14:paraId="7C207DE1" w14:textId="77777777" w:rsidR="00834A75" w:rsidRDefault="00834A75">
            <w:pPr>
              <w:jc w:val="right"/>
              <w:rPr>
                <w:rFonts w:ascii="宋体"/>
              </w:rPr>
            </w:pPr>
          </w:p>
        </w:tc>
        <w:tc>
          <w:tcPr>
            <w:tcW w:w="0" w:type="auto"/>
            <w:gridSpan w:val="3"/>
            <w:shd w:val="clear" w:color="auto" w:fill="FFFFFF"/>
            <w:tcMar>
              <w:top w:w="0" w:type="dxa"/>
              <w:left w:w="20" w:type="dxa"/>
              <w:bottom w:w="0" w:type="dxa"/>
              <w:right w:w="20" w:type="dxa"/>
            </w:tcMar>
            <w:vAlign w:val="bottom"/>
          </w:tcPr>
          <w:p w14:paraId="7C207DE2" w14:textId="77777777" w:rsidR="00834A75" w:rsidRDefault="00834A75">
            <w:pPr>
              <w:rPr>
                <w:rFonts w:ascii="宋体"/>
              </w:rPr>
            </w:pPr>
          </w:p>
        </w:tc>
        <w:tc>
          <w:tcPr>
            <w:tcW w:w="0" w:type="auto"/>
            <w:gridSpan w:val="2"/>
            <w:shd w:val="clear" w:color="auto" w:fill="FFFFFF"/>
            <w:tcMar>
              <w:top w:w="40" w:type="dxa"/>
              <w:left w:w="20" w:type="dxa"/>
              <w:bottom w:w="40" w:type="dxa"/>
              <w:right w:w="0" w:type="dxa"/>
            </w:tcMar>
            <w:vAlign w:val="bottom"/>
          </w:tcPr>
          <w:p w14:paraId="7C207DE3" w14:textId="77777777" w:rsidR="00834A75" w:rsidRDefault="00A6708C">
            <w:pPr>
              <w:jc w:val="right"/>
              <w:textAlignment w:val="bottom"/>
            </w:pPr>
            <w:r>
              <w:rPr>
                <w:rFonts w:ascii="sans-serif" w:eastAsia="sans-serif" w:hAnsi="sans-serif" w:cs="sans-serif"/>
                <w:color w:val="000000"/>
                <w:sz w:val="18"/>
                <w:szCs w:val="18"/>
              </w:rPr>
              <w:t>(159)</w:t>
            </w:r>
          </w:p>
        </w:tc>
        <w:tc>
          <w:tcPr>
            <w:tcW w:w="0" w:type="auto"/>
            <w:shd w:val="clear" w:color="auto" w:fill="FFFFFF"/>
            <w:tcMar>
              <w:top w:w="40" w:type="dxa"/>
              <w:left w:w="0" w:type="dxa"/>
              <w:bottom w:w="40" w:type="dxa"/>
              <w:right w:w="20" w:type="dxa"/>
            </w:tcMar>
            <w:vAlign w:val="bottom"/>
          </w:tcPr>
          <w:p w14:paraId="7C207DE4" w14:textId="77777777" w:rsidR="00834A75" w:rsidRDefault="00834A75">
            <w:pPr>
              <w:jc w:val="right"/>
              <w:rPr>
                <w:rFonts w:ascii="宋体"/>
              </w:rPr>
            </w:pPr>
          </w:p>
        </w:tc>
      </w:tr>
      <w:tr w:rsidR="00834A75" w14:paraId="7C207DEC" w14:textId="77777777">
        <w:trPr>
          <w:jc w:val="center"/>
        </w:trPr>
        <w:tc>
          <w:tcPr>
            <w:tcW w:w="0" w:type="auto"/>
            <w:gridSpan w:val="3"/>
            <w:shd w:val="clear" w:color="auto" w:fill="E2EFD9"/>
            <w:tcMar>
              <w:top w:w="40" w:type="dxa"/>
              <w:left w:w="155" w:type="dxa"/>
              <w:bottom w:w="40" w:type="dxa"/>
              <w:right w:w="20" w:type="dxa"/>
            </w:tcMar>
            <w:vAlign w:val="bottom"/>
          </w:tcPr>
          <w:p w14:paraId="7C207DE6" w14:textId="77777777" w:rsidR="00834A75" w:rsidRDefault="00A6708C">
            <w:pPr>
              <w:textAlignment w:val="bottom"/>
            </w:pPr>
            <w:r>
              <w:rPr>
                <w:rFonts w:ascii="sans-serif" w:eastAsia="sans-serif" w:hAnsi="sans-serif" w:cs="sans-serif"/>
                <w:color w:val="000000"/>
                <w:sz w:val="18"/>
                <w:szCs w:val="18"/>
              </w:rPr>
              <w:t>Prepaid expenses and other assets</w:t>
            </w:r>
          </w:p>
        </w:tc>
        <w:tc>
          <w:tcPr>
            <w:tcW w:w="0" w:type="auto"/>
            <w:gridSpan w:val="2"/>
            <w:shd w:val="clear" w:color="auto" w:fill="E2EFD9"/>
            <w:tcMar>
              <w:top w:w="40" w:type="dxa"/>
              <w:left w:w="20" w:type="dxa"/>
              <w:bottom w:w="40" w:type="dxa"/>
              <w:right w:w="0" w:type="dxa"/>
            </w:tcMar>
            <w:vAlign w:val="bottom"/>
          </w:tcPr>
          <w:p w14:paraId="7C207DE7" w14:textId="77777777" w:rsidR="00834A75" w:rsidRDefault="00A6708C">
            <w:pPr>
              <w:jc w:val="right"/>
              <w:textAlignment w:val="bottom"/>
            </w:pPr>
            <w:r>
              <w:rPr>
                <w:rFonts w:ascii="sans-serif" w:eastAsia="sans-serif" w:hAnsi="sans-serif" w:cs="sans-serif"/>
                <w:color w:val="000000"/>
                <w:sz w:val="18"/>
                <w:szCs w:val="18"/>
              </w:rPr>
              <w:t>(1,261)</w:t>
            </w:r>
          </w:p>
        </w:tc>
        <w:tc>
          <w:tcPr>
            <w:tcW w:w="0" w:type="auto"/>
            <w:shd w:val="clear" w:color="auto" w:fill="E2EFD9"/>
            <w:tcMar>
              <w:top w:w="40" w:type="dxa"/>
              <w:left w:w="0" w:type="dxa"/>
              <w:bottom w:w="40" w:type="dxa"/>
              <w:right w:w="20" w:type="dxa"/>
            </w:tcMar>
            <w:vAlign w:val="bottom"/>
          </w:tcPr>
          <w:p w14:paraId="7C207DE8" w14:textId="77777777" w:rsidR="00834A75" w:rsidRDefault="00834A75">
            <w:pPr>
              <w:jc w:val="right"/>
              <w:rPr>
                <w:rFonts w:ascii="宋体"/>
              </w:rPr>
            </w:pPr>
          </w:p>
        </w:tc>
        <w:tc>
          <w:tcPr>
            <w:tcW w:w="0" w:type="auto"/>
            <w:gridSpan w:val="3"/>
            <w:shd w:val="clear" w:color="auto" w:fill="E2EFD9"/>
            <w:tcMar>
              <w:top w:w="0" w:type="dxa"/>
              <w:left w:w="20" w:type="dxa"/>
              <w:bottom w:w="0" w:type="dxa"/>
              <w:right w:w="20" w:type="dxa"/>
            </w:tcMar>
            <w:vAlign w:val="bottom"/>
          </w:tcPr>
          <w:p w14:paraId="7C207DE9" w14:textId="77777777" w:rsidR="00834A75" w:rsidRDefault="00834A75">
            <w:pPr>
              <w:rPr>
                <w:rFonts w:ascii="宋体"/>
              </w:rPr>
            </w:pPr>
          </w:p>
        </w:tc>
        <w:tc>
          <w:tcPr>
            <w:tcW w:w="0" w:type="auto"/>
            <w:gridSpan w:val="2"/>
            <w:shd w:val="clear" w:color="auto" w:fill="E2EFD9"/>
            <w:tcMar>
              <w:top w:w="40" w:type="dxa"/>
              <w:left w:w="20" w:type="dxa"/>
              <w:bottom w:w="40" w:type="dxa"/>
              <w:right w:w="0" w:type="dxa"/>
            </w:tcMar>
            <w:vAlign w:val="bottom"/>
          </w:tcPr>
          <w:p w14:paraId="7C207DEA" w14:textId="77777777" w:rsidR="00834A75" w:rsidRDefault="00A6708C">
            <w:pPr>
              <w:jc w:val="right"/>
              <w:textAlignment w:val="bottom"/>
            </w:pPr>
            <w:r>
              <w:rPr>
                <w:rFonts w:ascii="sans-serif" w:eastAsia="sans-serif" w:hAnsi="sans-serif" w:cs="sans-serif"/>
                <w:color w:val="000000"/>
                <w:sz w:val="18"/>
                <w:szCs w:val="18"/>
              </w:rPr>
              <w:t>2 </w:t>
            </w:r>
          </w:p>
        </w:tc>
        <w:tc>
          <w:tcPr>
            <w:tcW w:w="0" w:type="auto"/>
            <w:shd w:val="clear" w:color="auto" w:fill="E2EFD9"/>
            <w:tcMar>
              <w:top w:w="40" w:type="dxa"/>
              <w:left w:w="0" w:type="dxa"/>
              <w:bottom w:w="40" w:type="dxa"/>
              <w:right w:w="20" w:type="dxa"/>
            </w:tcMar>
            <w:vAlign w:val="bottom"/>
          </w:tcPr>
          <w:p w14:paraId="7C207DEB" w14:textId="77777777" w:rsidR="00834A75" w:rsidRDefault="00834A75">
            <w:pPr>
              <w:jc w:val="right"/>
              <w:rPr>
                <w:rFonts w:ascii="宋体"/>
              </w:rPr>
            </w:pPr>
          </w:p>
        </w:tc>
      </w:tr>
      <w:tr w:rsidR="00834A75" w14:paraId="7C207DF3" w14:textId="77777777">
        <w:trPr>
          <w:jc w:val="center"/>
        </w:trPr>
        <w:tc>
          <w:tcPr>
            <w:tcW w:w="0" w:type="auto"/>
            <w:gridSpan w:val="3"/>
            <w:shd w:val="clear" w:color="auto" w:fill="FFFFFF"/>
            <w:tcMar>
              <w:top w:w="40" w:type="dxa"/>
              <w:left w:w="155" w:type="dxa"/>
              <w:bottom w:w="40" w:type="dxa"/>
              <w:right w:w="20" w:type="dxa"/>
            </w:tcMar>
            <w:vAlign w:val="bottom"/>
          </w:tcPr>
          <w:p w14:paraId="7C207DED" w14:textId="77777777" w:rsidR="00834A75" w:rsidRDefault="00A6708C">
            <w:pPr>
              <w:textAlignment w:val="bottom"/>
            </w:pPr>
            <w:r>
              <w:rPr>
                <w:rFonts w:ascii="sans-serif" w:eastAsia="sans-serif" w:hAnsi="sans-serif" w:cs="sans-serif"/>
                <w:color w:val="000000"/>
                <w:sz w:val="18"/>
                <w:szCs w:val="18"/>
              </w:rPr>
              <w:t>Accounts payable</w:t>
            </w:r>
          </w:p>
        </w:tc>
        <w:tc>
          <w:tcPr>
            <w:tcW w:w="0" w:type="auto"/>
            <w:gridSpan w:val="2"/>
            <w:shd w:val="clear" w:color="auto" w:fill="FFFFFF"/>
            <w:tcMar>
              <w:top w:w="40" w:type="dxa"/>
              <w:left w:w="20" w:type="dxa"/>
              <w:bottom w:w="40" w:type="dxa"/>
              <w:right w:w="0" w:type="dxa"/>
            </w:tcMar>
            <w:vAlign w:val="bottom"/>
          </w:tcPr>
          <w:p w14:paraId="7C207DEE" w14:textId="77777777" w:rsidR="00834A75" w:rsidRDefault="00A6708C">
            <w:pPr>
              <w:jc w:val="right"/>
              <w:textAlignment w:val="bottom"/>
            </w:pPr>
            <w:r>
              <w:rPr>
                <w:rFonts w:ascii="sans-serif" w:eastAsia="sans-serif" w:hAnsi="sans-serif" w:cs="sans-serif"/>
                <w:color w:val="000000"/>
                <w:sz w:val="18"/>
                <w:szCs w:val="18"/>
              </w:rPr>
              <w:t>255 </w:t>
            </w:r>
          </w:p>
        </w:tc>
        <w:tc>
          <w:tcPr>
            <w:tcW w:w="0" w:type="auto"/>
            <w:shd w:val="clear" w:color="auto" w:fill="FFFFFF"/>
            <w:tcMar>
              <w:top w:w="40" w:type="dxa"/>
              <w:left w:w="0" w:type="dxa"/>
              <w:bottom w:w="40" w:type="dxa"/>
              <w:right w:w="20" w:type="dxa"/>
            </w:tcMar>
            <w:vAlign w:val="bottom"/>
          </w:tcPr>
          <w:p w14:paraId="7C207DEF" w14:textId="77777777" w:rsidR="00834A75" w:rsidRDefault="00834A75">
            <w:pPr>
              <w:jc w:val="right"/>
              <w:rPr>
                <w:rFonts w:ascii="宋体"/>
              </w:rPr>
            </w:pPr>
          </w:p>
        </w:tc>
        <w:tc>
          <w:tcPr>
            <w:tcW w:w="0" w:type="auto"/>
            <w:gridSpan w:val="3"/>
            <w:shd w:val="clear" w:color="auto" w:fill="FFFFFF"/>
            <w:tcMar>
              <w:top w:w="0" w:type="dxa"/>
              <w:left w:w="20" w:type="dxa"/>
              <w:bottom w:w="0" w:type="dxa"/>
              <w:right w:w="20" w:type="dxa"/>
            </w:tcMar>
            <w:vAlign w:val="bottom"/>
          </w:tcPr>
          <w:p w14:paraId="7C207DF0" w14:textId="77777777" w:rsidR="00834A75" w:rsidRDefault="00834A75">
            <w:pPr>
              <w:rPr>
                <w:rFonts w:ascii="宋体"/>
              </w:rPr>
            </w:pPr>
          </w:p>
        </w:tc>
        <w:tc>
          <w:tcPr>
            <w:tcW w:w="0" w:type="auto"/>
            <w:gridSpan w:val="2"/>
            <w:shd w:val="clear" w:color="auto" w:fill="FFFFFF"/>
            <w:tcMar>
              <w:top w:w="40" w:type="dxa"/>
              <w:left w:w="20" w:type="dxa"/>
              <w:bottom w:w="40" w:type="dxa"/>
              <w:right w:w="0" w:type="dxa"/>
            </w:tcMar>
            <w:vAlign w:val="bottom"/>
          </w:tcPr>
          <w:p w14:paraId="7C207DF1" w14:textId="77777777" w:rsidR="00834A75" w:rsidRDefault="00A6708C">
            <w:pPr>
              <w:jc w:val="right"/>
              <w:textAlignment w:val="bottom"/>
            </w:pPr>
            <w:r>
              <w:rPr>
                <w:rFonts w:ascii="sans-serif" w:eastAsia="sans-serif" w:hAnsi="sans-serif" w:cs="sans-serif"/>
                <w:color w:val="000000"/>
                <w:sz w:val="18"/>
                <w:szCs w:val="18"/>
              </w:rPr>
              <w:t>36 </w:t>
            </w:r>
          </w:p>
        </w:tc>
        <w:tc>
          <w:tcPr>
            <w:tcW w:w="0" w:type="auto"/>
            <w:shd w:val="clear" w:color="auto" w:fill="FFFFFF"/>
            <w:tcMar>
              <w:top w:w="40" w:type="dxa"/>
              <w:left w:w="0" w:type="dxa"/>
              <w:bottom w:w="40" w:type="dxa"/>
              <w:right w:w="20" w:type="dxa"/>
            </w:tcMar>
            <w:vAlign w:val="bottom"/>
          </w:tcPr>
          <w:p w14:paraId="7C207DF2" w14:textId="77777777" w:rsidR="00834A75" w:rsidRDefault="00834A75">
            <w:pPr>
              <w:jc w:val="right"/>
              <w:rPr>
                <w:rFonts w:ascii="宋体"/>
              </w:rPr>
            </w:pPr>
          </w:p>
        </w:tc>
      </w:tr>
      <w:tr w:rsidR="00834A75" w14:paraId="7C207DFA" w14:textId="77777777">
        <w:trPr>
          <w:jc w:val="center"/>
        </w:trPr>
        <w:tc>
          <w:tcPr>
            <w:tcW w:w="0" w:type="auto"/>
            <w:gridSpan w:val="3"/>
            <w:shd w:val="clear" w:color="auto" w:fill="E2EFD9"/>
            <w:tcMar>
              <w:top w:w="40" w:type="dxa"/>
              <w:left w:w="155" w:type="dxa"/>
              <w:bottom w:w="40" w:type="dxa"/>
              <w:right w:w="20" w:type="dxa"/>
            </w:tcMar>
            <w:vAlign w:val="bottom"/>
          </w:tcPr>
          <w:p w14:paraId="7C207DF4" w14:textId="77777777" w:rsidR="00834A75" w:rsidRDefault="00A6708C">
            <w:pPr>
              <w:textAlignment w:val="bottom"/>
            </w:pPr>
            <w:r>
              <w:rPr>
                <w:rFonts w:ascii="sans-serif" w:eastAsia="sans-serif" w:hAnsi="sans-serif" w:cs="sans-serif"/>
                <w:color w:val="000000"/>
                <w:sz w:val="18"/>
                <w:szCs w:val="18"/>
              </w:rPr>
              <w:t>Accrued and other current liabilities</w:t>
            </w:r>
          </w:p>
        </w:tc>
        <w:tc>
          <w:tcPr>
            <w:tcW w:w="0" w:type="auto"/>
            <w:gridSpan w:val="2"/>
            <w:shd w:val="clear" w:color="auto" w:fill="E2EFD9"/>
            <w:tcMar>
              <w:top w:w="40" w:type="dxa"/>
              <w:left w:w="20" w:type="dxa"/>
              <w:bottom w:w="40" w:type="dxa"/>
              <w:right w:w="0" w:type="dxa"/>
            </w:tcMar>
            <w:vAlign w:val="bottom"/>
          </w:tcPr>
          <w:p w14:paraId="7C207DF5" w14:textId="77777777" w:rsidR="00834A75" w:rsidRDefault="00A6708C">
            <w:pPr>
              <w:jc w:val="right"/>
              <w:textAlignment w:val="bottom"/>
            </w:pPr>
            <w:r>
              <w:rPr>
                <w:rFonts w:ascii="sans-serif" w:eastAsia="sans-serif" w:hAnsi="sans-serif" w:cs="sans-serif"/>
                <w:color w:val="000000"/>
                <w:sz w:val="18"/>
                <w:szCs w:val="18"/>
              </w:rPr>
              <w:t>634 </w:t>
            </w:r>
          </w:p>
        </w:tc>
        <w:tc>
          <w:tcPr>
            <w:tcW w:w="0" w:type="auto"/>
            <w:shd w:val="clear" w:color="auto" w:fill="E2EFD9"/>
            <w:tcMar>
              <w:top w:w="40" w:type="dxa"/>
              <w:left w:w="0" w:type="dxa"/>
              <w:bottom w:w="40" w:type="dxa"/>
              <w:right w:w="20" w:type="dxa"/>
            </w:tcMar>
            <w:vAlign w:val="bottom"/>
          </w:tcPr>
          <w:p w14:paraId="7C207DF6" w14:textId="77777777" w:rsidR="00834A75" w:rsidRDefault="00834A75">
            <w:pPr>
              <w:jc w:val="right"/>
              <w:rPr>
                <w:rFonts w:ascii="宋体"/>
              </w:rPr>
            </w:pPr>
          </w:p>
        </w:tc>
        <w:tc>
          <w:tcPr>
            <w:tcW w:w="0" w:type="auto"/>
            <w:gridSpan w:val="3"/>
            <w:shd w:val="clear" w:color="auto" w:fill="E2EFD9"/>
            <w:tcMar>
              <w:top w:w="0" w:type="dxa"/>
              <w:left w:w="20" w:type="dxa"/>
              <w:bottom w:w="0" w:type="dxa"/>
              <w:right w:w="20" w:type="dxa"/>
            </w:tcMar>
            <w:vAlign w:val="bottom"/>
          </w:tcPr>
          <w:p w14:paraId="7C207DF7" w14:textId="77777777" w:rsidR="00834A75" w:rsidRDefault="00834A75">
            <w:pPr>
              <w:rPr>
                <w:rFonts w:ascii="宋体"/>
              </w:rPr>
            </w:pPr>
          </w:p>
        </w:tc>
        <w:tc>
          <w:tcPr>
            <w:tcW w:w="0" w:type="auto"/>
            <w:gridSpan w:val="2"/>
            <w:shd w:val="clear" w:color="auto" w:fill="E2EFD9"/>
            <w:tcMar>
              <w:top w:w="40" w:type="dxa"/>
              <w:left w:w="20" w:type="dxa"/>
              <w:bottom w:w="40" w:type="dxa"/>
              <w:right w:w="0" w:type="dxa"/>
            </w:tcMar>
            <w:vAlign w:val="bottom"/>
          </w:tcPr>
          <w:p w14:paraId="7C207DF8" w14:textId="77777777" w:rsidR="00834A75" w:rsidRDefault="00A6708C">
            <w:pPr>
              <w:jc w:val="right"/>
              <w:textAlignment w:val="bottom"/>
            </w:pPr>
            <w:r>
              <w:rPr>
                <w:rFonts w:ascii="sans-serif" w:eastAsia="sans-serif" w:hAnsi="sans-serif" w:cs="sans-serif"/>
                <w:color w:val="000000"/>
                <w:sz w:val="18"/>
                <w:szCs w:val="18"/>
              </w:rPr>
              <w:t>33 </w:t>
            </w:r>
          </w:p>
        </w:tc>
        <w:tc>
          <w:tcPr>
            <w:tcW w:w="0" w:type="auto"/>
            <w:shd w:val="clear" w:color="auto" w:fill="E2EFD9"/>
            <w:tcMar>
              <w:top w:w="40" w:type="dxa"/>
              <w:left w:w="0" w:type="dxa"/>
              <w:bottom w:w="40" w:type="dxa"/>
              <w:right w:w="20" w:type="dxa"/>
            </w:tcMar>
            <w:vAlign w:val="bottom"/>
          </w:tcPr>
          <w:p w14:paraId="7C207DF9" w14:textId="77777777" w:rsidR="00834A75" w:rsidRDefault="00834A75">
            <w:pPr>
              <w:jc w:val="right"/>
              <w:rPr>
                <w:rFonts w:ascii="宋体"/>
              </w:rPr>
            </w:pPr>
          </w:p>
        </w:tc>
      </w:tr>
      <w:tr w:rsidR="00834A75" w14:paraId="7C207E01" w14:textId="77777777">
        <w:trPr>
          <w:jc w:val="center"/>
        </w:trPr>
        <w:tc>
          <w:tcPr>
            <w:tcW w:w="0" w:type="auto"/>
            <w:gridSpan w:val="3"/>
            <w:shd w:val="clear" w:color="auto" w:fill="FFFFFF"/>
            <w:tcMar>
              <w:top w:w="40" w:type="dxa"/>
              <w:left w:w="155" w:type="dxa"/>
              <w:bottom w:w="40" w:type="dxa"/>
              <w:right w:w="20" w:type="dxa"/>
            </w:tcMar>
            <w:vAlign w:val="bottom"/>
          </w:tcPr>
          <w:p w14:paraId="7C207DFB" w14:textId="77777777" w:rsidR="00834A75" w:rsidRDefault="00A6708C">
            <w:pPr>
              <w:textAlignment w:val="bottom"/>
            </w:pPr>
            <w:r>
              <w:rPr>
                <w:rFonts w:ascii="sans-serif" w:eastAsia="sans-serif" w:hAnsi="sans-serif" w:cs="sans-serif"/>
                <w:color w:val="000000"/>
                <w:sz w:val="18"/>
                <w:szCs w:val="18"/>
              </w:rPr>
              <w:t>Other long-term liabilities</w:t>
            </w:r>
          </w:p>
        </w:tc>
        <w:tc>
          <w:tcPr>
            <w:tcW w:w="0" w:type="auto"/>
            <w:gridSpan w:val="2"/>
            <w:shd w:val="clear" w:color="auto" w:fill="FFFFFF"/>
            <w:tcMar>
              <w:top w:w="40" w:type="dxa"/>
              <w:left w:w="20" w:type="dxa"/>
              <w:bottom w:w="40" w:type="dxa"/>
              <w:right w:w="0" w:type="dxa"/>
            </w:tcMar>
            <w:vAlign w:val="bottom"/>
          </w:tcPr>
          <w:p w14:paraId="7C207DFC" w14:textId="77777777" w:rsidR="00834A75" w:rsidRDefault="00A6708C">
            <w:pPr>
              <w:jc w:val="right"/>
              <w:textAlignment w:val="bottom"/>
            </w:pPr>
            <w:r>
              <w:rPr>
                <w:rFonts w:ascii="sans-serif" w:eastAsia="sans-serif" w:hAnsi="sans-serif" w:cs="sans-serif"/>
                <w:color w:val="000000"/>
                <w:sz w:val="18"/>
                <w:szCs w:val="18"/>
              </w:rPr>
              <w:t>70 </w:t>
            </w:r>
          </w:p>
        </w:tc>
        <w:tc>
          <w:tcPr>
            <w:tcW w:w="0" w:type="auto"/>
            <w:shd w:val="clear" w:color="auto" w:fill="FFFFFF"/>
            <w:tcMar>
              <w:top w:w="40" w:type="dxa"/>
              <w:left w:w="0" w:type="dxa"/>
              <w:bottom w:w="40" w:type="dxa"/>
              <w:right w:w="20" w:type="dxa"/>
            </w:tcMar>
            <w:vAlign w:val="bottom"/>
          </w:tcPr>
          <w:p w14:paraId="7C207DFD" w14:textId="77777777" w:rsidR="00834A75" w:rsidRDefault="00834A75">
            <w:pPr>
              <w:jc w:val="right"/>
              <w:rPr>
                <w:rFonts w:ascii="宋体"/>
              </w:rPr>
            </w:pPr>
          </w:p>
        </w:tc>
        <w:tc>
          <w:tcPr>
            <w:tcW w:w="0" w:type="auto"/>
            <w:gridSpan w:val="3"/>
            <w:shd w:val="clear" w:color="auto" w:fill="FFFFFF"/>
            <w:tcMar>
              <w:top w:w="0" w:type="dxa"/>
              <w:left w:w="20" w:type="dxa"/>
              <w:bottom w:w="0" w:type="dxa"/>
              <w:right w:w="20" w:type="dxa"/>
            </w:tcMar>
            <w:vAlign w:val="bottom"/>
          </w:tcPr>
          <w:p w14:paraId="7C207DFE" w14:textId="77777777" w:rsidR="00834A75" w:rsidRDefault="00834A75">
            <w:pPr>
              <w:rPr>
                <w:rFonts w:ascii="宋体"/>
              </w:rPr>
            </w:pPr>
          </w:p>
        </w:tc>
        <w:tc>
          <w:tcPr>
            <w:tcW w:w="0" w:type="auto"/>
            <w:gridSpan w:val="2"/>
            <w:shd w:val="clear" w:color="auto" w:fill="FFFFFF"/>
            <w:tcMar>
              <w:top w:w="40" w:type="dxa"/>
              <w:left w:w="20" w:type="dxa"/>
              <w:bottom w:w="40" w:type="dxa"/>
              <w:right w:w="0" w:type="dxa"/>
            </w:tcMar>
            <w:vAlign w:val="bottom"/>
          </w:tcPr>
          <w:p w14:paraId="7C207DFF" w14:textId="77777777" w:rsidR="00834A75" w:rsidRDefault="00A6708C">
            <w:pPr>
              <w:jc w:val="right"/>
              <w:textAlignment w:val="bottom"/>
            </w:pPr>
            <w:r>
              <w:rPr>
                <w:rFonts w:ascii="sans-serif" w:eastAsia="sans-serif" w:hAnsi="sans-serif" w:cs="sans-serif"/>
                <w:color w:val="000000"/>
                <w:sz w:val="18"/>
                <w:szCs w:val="18"/>
              </w:rPr>
              <w:t>47 </w:t>
            </w:r>
          </w:p>
        </w:tc>
        <w:tc>
          <w:tcPr>
            <w:tcW w:w="0" w:type="auto"/>
            <w:shd w:val="clear" w:color="auto" w:fill="FFFFFF"/>
            <w:tcMar>
              <w:top w:w="40" w:type="dxa"/>
              <w:left w:w="0" w:type="dxa"/>
              <w:bottom w:w="40" w:type="dxa"/>
              <w:right w:w="20" w:type="dxa"/>
            </w:tcMar>
            <w:vAlign w:val="bottom"/>
          </w:tcPr>
          <w:p w14:paraId="7C207E00" w14:textId="77777777" w:rsidR="00834A75" w:rsidRDefault="00834A75">
            <w:pPr>
              <w:jc w:val="right"/>
              <w:rPr>
                <w:rFonts w:ascii="宋体"/>
              </w:rPr>
            </w:pPr>
          </w:p>
        </w:tc>
      </w:tr>
      <w:tr w:rsidR="00834A75" w14:paraId="7C207E08" w14:textId="77777777">
        <w:trPr>
          <w:jc w:val="center"/>
        </w:trPr>
        <w:tc>
          <w:tcPr>
            <w:tcW w:w="0" w:type="auto"/>
            <w:gridSpan w:val="3"/>
            <w:shd w:val="clear" w:color="auto" w:fill="E2EFD9"/>
            <w:tcMar>
              <w:top w:w="40" w:type="dxa"/>
              <w:left w:w="20" w:type="dxa"/>
              <w:bottom w:w="40" w:type="dxa"/>
              <w:right w:w="20" w:type="dxa"/>
            </w:tcMar>
            <w:vAlign w:val="bottom"/>
          </w:tcPr>
          <w:p w14:paraId="7C207E02" w14:textId="77777777" w:rsidR="00834A75" w:rsidRDefault="00A6708C">
            <w:pPr>
              <w:textAlignment w:val="bottom"/>
            </w:pPr>
            <w:r>
              <w:rPr>
                <w:rFonts w:ascii="sans-serif" w:eastAsia="sans-serif" w:hAnsi="sans-serif" w:cs="sans-serif"/>
                <w:color w:val="000000"/>
                <w:sz w:val="18"/>
                <w:szCs w:val="18"/>
              </w:rPr>
              <w:t>Net cash provided by operating activities</w:t>
            </w:r>
          </w:p>
        </w:tc>
        <w:tc>
          <w:tcPr>
            <w:tcW w:w="0" w:type="auto"/>
            <w:gridSpan w:val="2"/>
            <w:tcBorders>
              <w:top w:val="single" w:sz="8" w:space="0" w:color="000000"/>
            </w:tcBorders>
            <w:shd w:val="clear" w:color="auto" w:fill="E2EFD9"/>
            <w:tcMar>
              <w:top w:w="40" w:type="dxa"/>
              <w:left w:w="20" w:type="dxa"/>
              <w:bottom w:w="40" w:type="dxa"/>
              <w:right w:w="0" w:type="dxa"/>
            </w:tcMar>
            <w:vAlign w:val="bottom"/>
          </w:tcPr>
          <w:p w14:paraId="7C207E03" w14:textId="77777777" w:rsidR="00834A75" w:rsidRDefault="00A6708C">
            <w:pPr>
              <w:jc w:val="right"/>
              <w:textAlignment w:val="bottom"/>
            </w:pPr>
            <w:r>
              <w:rPr>
                <w:rFonts w:ascii="sans-serif" w:eastAsia="sans-serif" w:hAnsi="sans-serif" w:cs="sans-serif"/>
                <w:color w:val="000000"/>
                <w:sz w:val="18"/>
                <w:szCs w:val="18"/>
              </w:rPr>
              <w:t>1,731 </w:t>
            </w:r>
          </w:p>
        </w:tc>
        <w:tc>
          <w:tcPr>
            <w:tcW w:w="0" w:type="auto"/>
            <w:tcBorders>
              <w:top w:val="single" w:sz="8" w:space="0" w:color="000000"/>
            </w:tcBorders>
            <w:shd w:val="clear" w:color="auto" w:fill="E2EFD9"/>
            <w:tcMar>
              <w:top w:w="40" w:type="dxa"/>
              <w:left w:w="0" w:type="dxa"/>
              <w:bottom w:w="40" w:type="dxa"/>
              <w:right w:w="20" w:type="dxa"/>
            </w:tcMar>
            <w:vAlign w:val="bottom"/>
          </w:tcPr>
          <w:p w14:paraId="7C207E04" w14:textId="77777777" w:rsidR="00834A75" w:rsidRDefault="00834A75">
            <w:pPr>
              <w:jc w:val="right"/>
              <w:rPr>
                <w:rFonts w:ascii="宋体"/>
              </w:rPr>
            </w:pPr>
          </w:p>
        </w:tc>
        <w:tc>
          <w:tcPr>
            <w:tcW w:w="0" w:type="auto"/>
            <w:gridSpan w:val="3"/>
            <w:shd w:val="clear" w:color="auto" w:fill="E2EFD9"/>
            <w:tcMar>
              <w:top w:w="0" w:type="dxa"/>
              <w:left w:w="20" w:type="dxa"/>
              <w:bottom w:w="0" w:type="dxa"/>
              <w:right w:w="20" w:type="dxa"/>
            </w:tcMar>
            <w:vAlign w:val="bottom"/>
          </w:tcPr>
          <w:p w14:paraId="7C207E05" w14:textId="77777777" w:rsidR="00834A75" w:rsidRDefault="00834A75">
            <w:pPr>
              <w:rPr>
                <w:rFonts w:ascii="宋体"/>
              </w:rPr>
            </w:pPr>
          </w:p>
        </w:tc>
        <w:tc>
          <w:tcPr>
            <w:tcW w:w="0" w:type="auto"/>
            <w:gridSpan w:val="2"/>
            <w:tcBorders>
              <w:top w:val="single" w:sz="8" w:space="0" w:color="000000"/>
            </w:tcBorders>
            <w:shd w:val="clear" w:color="auto" w:fill="E2EFD9"/>
            <w:tcMar>
              <w:top w:w="40" w:type="dxa"/>
              <w:left w:w="20" w:type="dxa"/>
              <w:bottom w:w="40" w:type="dxa"/>
              <w:right w:w="0" w:type="dxa"/>
            </w:tcMar>
            <w:vAlign w:val="bottom"/>
          </w:tcPr>
          <w:p w14:paraId="7C207E06" w14:textId="77777777" w:rsidR="00834A75" w:rsidRDefault="00A6708C">
            <w:pPr>
              <w:jc w:val="right"/>
              <w:textAlignment w:val="bottom"/>
            </w:pPr>
            <w:r>
              <w:rPr>
                <w:rFonts w:ascii="sans-serif" w:eastAsia="sans-serif" w:hAnsi="sans-serif" w:cs="sans-serif"/>
                <w:color w:val="000000"/>
                <w:sz w:val="18"/>
                <w:szCs w:val="18"/>
              </w:rPr>
              <w:t>1,874 </w:t>
            </w:r>
          </w:p>
        </w:tc>
        <w:tc>
          <w:tcPr>
            <w:tcW w:w="0" w:type="auto"/>
            <w:tcBorders>
              <w:top w:val="single" w:sz="8" w:space="0" w:color="000000"/>
            </w:tcBorders>
            <w:shd w:val="clear" w:color="auto" w:fill="E2EFD9"/>
            <w:tcMar>
              <w:top w:w="40" w:type="dxa"/>
              <w:left w:w="0" w:type="dxa"/>
              <w:bottom w:w="40" w:type="dxa"/>
              <w:right w:w="20" w:type="dxa"/>
            </w:tcMar>
            <w:vAlign w:val="bottom"/>
          </w:tcPr>
          <w:p w14:paraId="7C207E07" w14:textId="77777777" w:rsidR="00834A75" w:rsidRDefault="00834A75">
            <w:pPr>
              <w:jc w:val="right"/>
              <w:rPr>
                <w:rFonts w:ascii="宋体"/>
              </w:rPr>
            </w:pPr>
          </w:p>
        </w:tc>
      </w:tr>
      <w:tr w:rsidR="00834A75" w14:paraId="7C207E0D" w14:textId="77777777">
        <w:trPr>
          <w:jc w:val="center"/>
        </w:trPr>
        <w:tc>
          <w:tcPr>
            <w:tcW w:w="0" w:type="auto"/>
            <w:gridSpan w:val="3"/>
            <w:shd w:val="clear" w:color="auto" w:fill="FFFFFF"/>
            <w:tcMar>
              <w:top w:w="40" w:type="dxa"/>
              <w:left w:w="20" w:type="dxa"/>
              <w:bottom w:w="40" w:type="dxa"/>
              <w:right w:w="20" w:type="dxa"/>
            </w:tcMar>
            <w:vAlign w:val="bottom"/>
          </w:tcPr>
          <w:p w14:paraId="7C207E09" w14:textId="77777777" w:rsidR="00834A75" w:rsidRDefault="00A6708C">
            <w:pPr>
              <w:textAlignment w:val="bottom"/>
            </w:pPr>
            <w:r>
              <w:rPr>
                <w:rFonts w:ascii="sans-serif" w:eastAsia="sans-serif" w:hAnsi="sans-serif" w:cs="sans-serif"/>
                <w:color w:val="000000"/>
                <w:sz w:val="18"/>
                <w:szCs w:val="18"/>
              </w:rPr>
              <w:t>Cash flows from investing activities:</w:t>
            </w:r>
          </w:p>
        </w:tc>
        <w:tc>
          <w:tcPr>
            <w:tcW w:w="0" w:type="auto"/>
            <w:gridSpan w:val="3"/>
            <w:tcBorders>
              <w:top w:val="single" w:sz="8" w:space="0" w:color="000000"/>
            </w:tcBorders>
            <w:shd w:val="clear" w:color="auto" w:fill="FFFFFF"/>
            <w:tcMar>
              <w:top w:w="40" w:type="dxa"/>
              <w:left w:w="20" w:type="dxa"/>
              <w:bottom w:w="40" w:type="dxa"/>
              <w:right w:w="20" w:type="dxa"/>
            </w:tcMar>
            <w:vAlign w:val="bottom"/>
          </w:tcPr>
          <w:p w14:paraId="7C207E0A" w14:textId="77777777" w:rsidR="00834A75" w:rsidRDefault="00A6708C">
            <w:pPr>
              <w:textAlignment w:val="bottom"/>
            </w:pPr>
            <w:r>
              <w:rPr>
                <w:rFonts w:ascii="sans-serif" w:eastAsia="sans-serif" w:hAnsi="sans-serif" w:cs="sans-serif"/>
                <w:color w:val="000000"/>
                <w:sz w:val="18"/>
                <w:szCs w:val="18"/>
              </w:rPr>
              <w:t> </w:t>
            </w:r>
          </w:p>
        </w:tc>
        <w:tc>
          <w:tcPr>
            <w:tcW w:w="0" w:type="auto"/>
            <w:gridSpan w:val="3"/>
            <w:shd w:val="clear" w:color="auto" w:fill="FFFFFF"/>
            <w:tcMar>
              <w:top w:w="0" w:type="dxa"/>
              <w:left w:w="20" w:type="dxa"/>
              <w:bottom w:w="0" w:type="dxa"/>
              <w:right w:w="20" w:type="dxa"/>
            </w:tcMar>
            <w:vAlign w:val="bottom"/>
          </w:tcPr>
          <w:p w14:paraId="7C207E0B" w14:textId="77777777" w:rsidR="00834A75" w:rsidRDefault="00834A75">
            <w:pPr>
              <w:rPr>
                <w:rFonts w:ascii="宋体"/>
              </w:rPr>
            </w:pPr>
          </w:p>
        </w:tc>
        <w:tc>
          <w:tcPr>
            <w:tcW w:w="0" w:type="auto"/>
            <w:gridSpan w:val="3"/>
            <w:tcBorders>
              <w:top w:val="single" w:sz="8" w:space="0" w:color="000000"/>
            </w:tcBorders>
            <w:shd w:val="clear" w:color="auto" w:fill="FFFFFF"/>
            <w:tcMar>
              <w:top w:w="40" w:type="dxa"/>
              <w:left w:w="20" w:type="dxa"/>
              <w:bottom w:w="40" w:type="dxa"/>
              <w:right w:w="20" w:type="dxa"/>
            </w:tcMar>
            <w:vAlign w:val="bottom"/>
          </w:tcPr>
          <w:p w14:paraId="7C207E0C" w14:textId="77777777" w:rsidR="00834A75" w:rsidRDefault="00A6708C">
            <w:pPr>
              <w:textAlignment w:val="bottom"/>
            </w:pPr>
            <w:r>
              <w:rPr>
                <w:rFonts w:ascii="sans-serif" w:eastAsia="sans-serif" w:hAnsi="sans-serif" w:cs="sans-serif"/>
                <w:color w:val="000000"/>
                <w:sz w:val="18"/>
                <w:szCs w:val="18"/>
              </w:rPr>
              <w:t> </w:t>
            </w:r>
          </w:p>
        </w:tc>
      </w:tr>
      <w:tr w:rsidR="00834A75" w14:paraId="7C207E14" w14:textId="77777777">
        <w:trPr>
          <w:jc w:val="center"/>
        </w:trPr>
        <w:tc>
          <w:tcPr>
            <w:tcW w:w="0" w:type="auto"/>
            <w:gridSpan w:val="3"/>
            <w:shd w:val="clear" w:color="auto" w:fill="E2EFD9"/>
            <w:tcMar>
              <w:top w:w="40" w:type="dxa"/>
              <w:left w:w="155" w:type="dxa"/>
              <w:bottom w:w="40" w:type="dxa"/>
              <w:right w:w="20" w:type="dxa"/>
            </w:tcMar>
            <w:vAlign w:val="bottom"/>
          </w:tcPr>
          <w:p w14:paraId="7C207E0E" w14:textId="77777777" w:rsidR="00834A75" w:rsidRDefault="00A6708C">
            <w:pPr>
              <w:textAlignment w:val="bottom"/>
            </w:pPr>
            <w:r>
              <w:rPr>
                <w:rFonts w:ascii="sans-serif" w:eastAsia="sans-serif" w:hAnsi="sans-serif" w:cs="sans-serif"/>
                <w:color w:val="000000"/>
                <w:sz w:val="18"/>
                <w:szCs w:val="18"/>
              </w:rPr>
              <w:t xml:space="preserve">Proceeds from </w:t>
            </w:r>
            <w:r>
              <w:rPr>
                <w:rFonts w:ascii="sans-serif" w:eastAsia="sans-serif" w:hAnsi="sans-serif" w:cs="sans-serif"/>
                <w:color w:val="000000"/>
                <w:sz w:val="18"/>
                <w:szCs w:val="18"/>
              </w:rPr>
              <w:t>maturities of marketable securities</w:t>
            </w:r>
          </w:p>
        </w:tc>
        <w:tc>
          <w:tcPr>
            <w:tcW w:w="0" w:type="auto"/>
            <w:gridSpan w:val="2"/>
            <w:shd w:val="clear" w:color="auto" w:fill="E2EFD9"/>
            <w:tcMar>
              <w:top w:w="40" w:type="dxa"/>
              <w:left w:w="20" w:type="dxa"/>
              <w:bottom w:w="40" w:type="dxa"/>
              <w:right w:w="0" w:type="dxa"/>
            </w:tcMar>
            <w:vAlign w:val="bottom"/>
          </w:tcPr>
          <w:p w14:paraId="7C207E0F" w14:textId="77777777" w:rsidR="00834A75" w:rsidRDefault="00A6708C">
            <w:pPr>
              <w:jc w:val="right"/>
              <w:textAlignment w:val="bottom"/>
            </w:pPr>
            <w:r>
              <w:rPr>
                <w:rFonts w:ascii="sans-serif" w:eastAsia="sans-serif" w:hAnsi="sans-serif" w:cs="sans-serif"/>
                <w:color w:val="000000"/>
                <w:sz w:val="18"/>
                <w:szCs w:val="18"/>
              </w:rPr>
              <w:t>5,947 </w:t>
            </w:r>
          </w:p>
        </w:tc>
        <w:tc>
          <w:tcPr>
            <w:tcW w:w="0" w:type="auto"/>
            <w:shd w:val="clear" w:color="auto" w:fill="E2EFD9"/>
            <w:tcMar>
              <w:top w:w="40" w:type="dxa"/>
              <w:left w:w="0" w:type="dxa"/>
              <w:bottom w:w="40" w:type="dxa"/>
              <w:right w:w="20" w:type="dxa"/>
            </w:tcMar>
            <w:vAlign w:val="bottom"/>
          </w:tcPr>
          <w:p w14:paraId="7C207E10" w14:textId="77777777" w:rsidR="00834A75" w:rsidRDefault="00834A75">
            <w:pPr>
              <w:jc w:val="right"/>
              <w:rPr>
                <w:rFonts w:ascii="宋体"/>
              </w:rPr>
            </w:pPr>
          </w:p>
        </w:tc>
        <w:tc>
          <w:tcPr>
            <w:tcW w:w="0" w:type="auto"/>
            <w:gridSpan w:val="3"/>
            <w:shd w:val="clear" w:color="auto" w:fill="E2EFD9"/>
            <w:tcMar>
              <w:top w:w="0" w:type="dxa"/>
              <w:left w:w="20" w:type="dxa"/>
              <w:bottom w:w="0" w:type="dxa"/>
              <w:right w:w="20" w:type="dxa"/>
            </w:tcMar>
            <w:vAlign w:val="bottom"/>
          </w:tcPr>
          <w:p w14:paraId="7C207E11" w14:textId="77777777" w:rsidR="00834A75" w:rsidRDefault="00834A75">
            <w:pPr>
              <w:rPr>
                <w:rFonts w:ascii="宋体"/>
              </w:rPr>
            </w:pPr>
          </w:p>
        </w:tc>
        <w:tc>
          <w:tcPr>
            <w:tcW w:w="0" w:type="auto"/>
            <w:gridSpan w:val="2"/>
            <w:shd w:val="clear" w:color="auto" w:fill="E2EFD9"/>
            <w:tcMar>
              <w:top w:w="40" w:type="dxa"/>
              <w:left w:w="20" w:type="dxa"/>
              <w:bottom w:w="40" w:type="dxa"/>
              <w:right w:w="0" w:type="dxa"/>
            </w:tcMar>
            <w:vAlign w:val="bottom"/>
          </w:tcPr>
          <w:p w14:paraId="7C207E12" w14:textId="77777777" w:rsidR="00834A75" w:rsidRDefault="00A6708C">
            <w:pPr>
              <w:jc w:val="right"/>
              <w:textAlignment w:val="bottom"/>
            </w:pPr>
            <w:r>
              <w:rPr>
                <w:rFonts w:ascii="sans-serif" w:eastAsia="sans-serif" w:hAnsi="sans-serif" w:cs="sans-serif"/>
                <w:color w:val="000000"/>
                <w:sz w:val="18"/>
                <w:szCs w:val="18"/>
              </w:rPr>
              <w:t>3,140 </w:t>
            </w:r>
          </w:p>
        </w:tc>
        <w:tc>
          <w:tcPr>
            <w:tcW w:w="0" w:type="auto"/>
            <w:shd w:val="clear" w:color="auto" w:fill="E2EFD9"/>
            <w:tcMar>
              <w:top w:w="40" w:type="dxa"/>
              <w:left w:w="0" w:type="dxa"/>
              <w:bottom w:w="40" w:type="dxa"/>
              <w:right w:w="20" w:type="dxa"/>
            </w:tcMar>
            <w:vAlign w:val="bottom"/>
          </w:tcPr>
          <w:p w14:paraId="7C207E13" w14:textId="77777777" w:rsidR="00834A75" w:rsidRDefault="00834A75">
            <w:pPr>
              <w:jc w:val="right"/>
              <w:rPr>
                <w:rFonts w:ascii="宋体"/>
              </w:rPr>
            </w:pPr>
          </w:p>
        </w:tc>
      </w:tr>
      <w:tr w:rsidR="00834A75" w14:paraId="7C207E1B" w14:textId="77777777">
        <w:trPr>
          <w:jc w:val="center"/>
        </w:trPr>
        <w:tc>
          <w:tcPr>
            <w:tcW w:w="0" w:type="auto"/>
            <w:gridSpan w:val="3"/>
            <w:shd w:val="clear" w:color="auto" w:fill="FFFFFF"/>
            <w:tcMar>
              <w:top w:w="40" w:type="dxa"/>
              <w:left w:w="155" w:type="dxa"/>
              <w:bottom w:w="40" w:type="dxa"/>
              <w:right w:w="20" w:type="dxa"/>
            </w:tcMar>
            <w:vAlign w:val="bottom"/>
          </w:tcPr>
          <w:p w14:paraId="7C207E15" w14:textId="77777777" w:rsidR="00834A75" w:rsidRDefault="00A6708C">
            <w:pPr>
              <w:textAlignment w:val="bottom"/>
            </w:pPr>
            <w:r>
              <w:rPr>
                <w:rFonts w:ascii="sans-serif" w:eastAsia="sans-serif" w:hAnsi="sans-serif" w:cs="sans-serif"/>
                <w:color w:val="000000"/>
                <w:sz w:val="18"/>
                <w:szCs w:val="18"/>
              </w:rPr>
              <w:t>Proceeds from sales of marketable securities</w:t>
            </w:r>
          </w:p>
        </w:tc>
        <w:tc>
          <w:tcPr>
            <w:tcW w:w="0" w:type="auto"/>
            <w:gridSpan w:val="2"/>
            <w:shd w:val="clear" w:color="auto" w:fill="FFFFFF"/>
            <w:tcMar>
              <w:top w:w="40" w:type="dxa"/>
              <w:left w:w="20" w:type="dxa"/>
              <w:bottom w:w="40" w:type="dxa"/>
              <w:right w:w="0" w:type="dxa"/>
            </w:tcMar>
            <w:vAlign w:val="bottom"/>
          </w:tcPr>
          <w:p w14:paraId="7C207E16" w14:textId="77777777" w:rsidR="00834A75" w:rsidRDefault="00A6708C">
            <w:pPr>
              <w:jc w:val="right"/>
              <w:textAlignment w:val="bottom"/>
            </w:pPr>
            <w:r>
              <w:rPr>
                <w:rFonts w:ascii="sans-serif" w:eastAsia="sans-serif" w:hAnsi="sans-serif" w:cs="sans-serif"/>
                <w:color w:val="000000"/>
                <w:sz w:val="18"/>
                <w:szCs w:val="18"/>
              </w:rPr>
              <w:t>1,029 </w:t>
            </w:r>
          </w:p>
        </w:tc>
        <w:tc>
          <w:tcPr>
            <w:tcW w:w="0" w:type="auto"/>
            <w:shd w:val="clear" w:color="auto" w:fill="FFFFFF"/>
            <w:tcMar>
              <w:top w:w="40" w:type="dxa"/>
              <w:left w:w="0" w:type="dxa"/>
              <w:bottom w:w="40" w:type="dxa"/>
              <w:right w:w="20" w:type="dxa"/>
            </w:tcMar>
            <w:vAlign w:val="bottom"/>
          </w:tcPr>
          <w:p w14:paraId="7C207E17" w14:textId="77777777" w:rsidR="00834A75" w:rsidRDefault="00834A75">
            <w:pPr>
              <w:jc w:val="right"/>
              <w:rPr>
                <w:rFonts w:ascii="宋体"/>
              </w:rPr>
            </w:pPr>
          </w:p>
        </w:tc>
        <w:tc>
          <w:tcPr>
            <w:tcW w:w="0" w:type="auto"/>
            <w:gridSpan w:val="3"/>
            <w:shd w:val="clear" w:color="auto" w:fill="FFFFFF"/>
            <w:tcMar>
              <w:top w:w="0" w:type="dxa"/>
              <w:left w:w="20" w:type="dxa"/>
              <w:bottom w:w="0" w:type="dxa"/>
              <w:right w:w="20" w:type="dxa"/>
            </w:tcMar>
            <w:vAlign w:val="bottom"/>
          </w:tcPr>
          <w:p w14:paraId="7C207E18" w14:textId="77777777" w:rsidR="00834A75" w:rsidRDefault="00834A75">
            <w:pPr>
              <w:rPr>
                <w:rFonts w:ascii="宋体"/>
              </w:rPr>
            </w:pPr>
          </w:p>
        </w:tc>
        <w:tc>
          <w:tcPr>
            <w:tcW w:w="0" w:type="auto"/>
            <w:gridSpan w:val="2"/>
            <w:shd w:val="clear" w:color="auto" w:fill="FFFFFF"/>
            <w:tcMar>
              <w:top w:w="40" w:type="dxa"/>
              <w:left w:w="20" w:type="dxa"/>
              <w:bottom w:w="40" w:type="dxa"/>
              <w:right w:w="0" w:type="dxa"/>
            </w:tcMar>
            <w:vAlign w:val="bottom"/>
          </w:tcPr>
          <w:p w14:paraId="7C207E19" w14:textId="77777777" w:rsidR="00834A75" w:rsidRDefault="00A6708C">
            <w:pPr>
              <w:jc w:val="right"/>
              <w:textAlignment w:val="bottom"/>
            </w:pPr>
            <w:r>
              <w:rPr>
                <w:rFonts w:ascii="sans-serif" w:eastAsia="sans-serif" w:hAnsi="sans-serif" w:cs="sans-serif"/>
                <w:color w:val="000000"/>
                <w:sz w:val="18"/>
                <w:szCs w:val="18"/>
              </w:rPr>
              <w:t>358 </w:t>
            </w:r>
          </w:p>
        </w:tc>
        <w:tc>
          <w:tcPr>
            <w:tcW w:w="0" w:type="auto"/>
            <w:shd w:val="clear" w:color="auto" w:fill="FFFFFF"/>
            <w:tcMar>
              <w:top w:w="40" w:type="dxa"/>
              <w:left w:w="0" w:type="dxa"/>
              <w:bottom w:w="40" w:type="dxa"/>
              <w:right w:w="20" w:type="dxa"/>
            </w:tcMar>
            <w:vAlign w:val="bottom"/>
          </w:tcPr>
          <w:p w14:paraId="7C207E1A" w14:textId="77777777" w:rsidR="00834A75" w:rsidRDefault="00834A75">
            <w:pPr>
              <w:jc w:val="right"/>
              <w:rPr>
                <w:rFonts w:ascii="宋体"/>
              </w:rPr>
            </w:pPr>
          </w:p>
        </w:tc>
      </w:tr>
      <w:tr w:rsidR="00834A75" w14:paraId="7C207E20" w14:textId="77777777">
        <w:trPr>
          <w:jc w:val="center"/>
          <w:hidden/>
        </w:trPr>
        <w:tc>
          <w:tcPr>
            <w:tcW w:w="0" w:type="auto"/>
            <w:gridSpan w:val="3"/>
            <w:shd w:val="clear" w:color="auto" w:fill="auto"/>
            <w:vAlign w:val="bottom"/>
          </w:tcPr>
          <w:p w14:paraId="7C207E1C" w14:textId="77777777" w:rsidR="00834A75" w:rsidRDefault="00834A75">
            <w:pPr>
              <w:rPr>
                <w:rFonts w:ascii="宋体"/>
                <w:vanish/>
              </w:rPr>
            </w:pPr>
          </w:p>
        </w:tc>
        <w:tc>
          <w:tcPr>
            <w:tcW w:w="0" w:type="auto"/>
            <w:gridSpan w:val="3"/>
            <w:shd w:val="clear" w:color="auto" w:fill="auto"/>
            <w:vAlign w:val="bottom"/>
          </w:tcPr>
          <w:p w14:paraId="7C207E1D" w14:textId="77777777" w:rsidR="00834A75" w:rsidRDefault="00834A75">
            <w:pPr>
              <w:rPr>
                <w:rFonts w:ascii="宋体"/>
                <w:vanish/>
              </w:rPr>
            </w:pPr>
          </w:p>
        </w:tc>
        <w:tc>
          <w:tcPr>
            <w:tcW w:w="0" w:type="auto"/>
            <w:gridSpan w:val="3"/>
            <w:shd w:val="clear" w:color="auto" w:fill="auto"/>
            <w:vAlign w:val="bottom"/>
          </w:tcPr>
          <w:p w14:paraId="7C207E1E" w14:textId="77777777" w:rsidR="00834A75" w:rsidRDefault="00834A75">
            <w:pPr>
              <w:rPr>
                <w:rFonts w:ascii="宋体"/>
                <w:vanish/>
              </w:rPr>
            </w:pPr>
          </w:p>
        </w:tc>
        <w:tc>
          <w:tcPr>
            <w:tcW w:w="0" w:type="auto"/>
            <w:gridSpan w:val="3"/>
            <w:shd w:val="clear" w:color="auto" w:fill="auto"/>
            <w:vAlign w:val="bottom"/>
          </w:tcPr>
          <w:p w14:paraId="7C207E1F" w14:textId="77777777" w:rsidR="00834A75" w:rsidRDefault="00834A75">
            <w:pPr>
              <w:rPr>
                <w:rFonts w:ascii="宋体"/>
                <w:vanish/>
              </w:rPr>
            </w:pPr>
          </w:p>
        </w:tc>
      </w:tr>
      <w:tr w:rsidR="00834A75" w14:paraId="7C207E27" w14:textId="77777777">
        <w:trPr>
          <w:jc w:val="center"/>
        </w:trPr>
        <w:tc>
          <w:tcPr>
            <w:tcW w:w="0" w:type="auto"/>
            <w:gridSpan w:val="3"/>
            <w:shd w:val="clear" w:color="auto" w:fill="E2EFD9"/>
            <w:tcMar>
              <w:top w:w="40" w:type="dxa"/>
              <w:left w:w="155" w:type="dxa"/>
              <w:bottom w:w="40" w:type="dxa"/>
              <w:right w:w="20" w:type="dxa"/>
            </w:tcMar>
            <w:vAlign w:val="bottom"/>
          </w:tcPr>
          <w:p w14:paraId="7C207E21" w14:textId="77777777" w:rsidR="00834A75" w:rsidRDefault="00A6708C">
            <w:pPr>
              <w:textAlignment w:val="bottom"/>
            </w:pPr>
            <w:r>
              <w:rPr>
                <w:rFonts w:ascii="sans-serif" w:eastAsia="sans-serif" w:hAnsi="sans-serif" w:cs="sans-serif"/>
                <w:color w:val="000000"/>
                <w:sz w:val="18"/>
                <w:szCs w:val="18"/>
              </w:rPr>
              <w:t>Purchases of marketable securities</w:t>
            </w:r>
          </w:p>
        </w:tc>
        <w:tc>
          <w:tcPr>
            <w:tcW w:w="0" w:type="auto"/>
            <w:gridSpan w:val="2"/>
            <w:shd w:val="clear" w:color="auto" w:fill="E2EFD9"/>
            <w:tcMar>
              <w:top w:w="40" w:type="dxa"/>
              <w:left w:w="20" w:type="dxa"/>
              <w:bottom w:w="40" w:type="dxa"/>
              <w:right w:w="0" w:type="dxa"/>
            </w:tcMar>
            <w:vAlign w:val="bottom"/>
          </w:tcPr>
          <w:p w14:paraId="7C207E22" w14:textId="77777777" w:rsidR="00834A75" w:rsidRDefault="00A6708C">
            <w:pPr>
              <w:jc w:val="right"/>
              <w:textAlignment w:val="bottom"/>
            </w:pPr>
            <w:r>
              <w:rPr>
                <w:rFonts w:ascii="sans-serif" w:eastAsia="sans-serif" w:hAnsi="sans-serif" w:cs="sans-serif"/>
                <w:color w:val="000000"/>
                <w:sz w:val="18"/>
                <w:szCs w:val="18"/>
              </w:rPr>
              <w:t>(3,932)</w:t>
            </w:r>
          </w:p>
        </w:tc>
        <w:tc>
          <w:tcPr>
            <w:tcW w:w="0" w:type="auto"/>
            <w:shd w:val="clear" w:color="auto" w:fill="E2EFD9"/>
            <w:tcMar>
              <w:top w:w="40" w:type="dxa"/>
              <w:left w:w="0" w:type="dxa"/>
              <w:bottom w:w="40" w:type="dxa"/>
              <w:right w:w="20" w:type="dxa"/>
            </w:tcMar>
            <w:vAlign w:val="bottom"/>
          </w:tcPr>
          <w:p w14:paraId="7C207E23" w14:textId="77777777" w:rsidR="00834A75" w:rsidRDefault="00834A75">
            <w:pPr>
              <w:jc w:val="right"/>
              <w:rPr>
                <w:rFonts w:ascii="宋体"/>
              </w:rPr>
            </w:pPr>
          </w:p>
        </w:tc>
        <w:tc>
          <w:tcPr>
            <w:tcW w:w="0" w:type="auto"/>
            <w:gridSpan w:val="3"/>
            <w:shd w:val="clear" w:color="auto" w:fill="E2EFD9"/>
            <w:tcMar>
              <w:top w:w="0" w:type="dxa"/>
              <w:left w:w="20" w:type="dxa"/>
              <w:bottom w:w="0" w:type="dxa"/>
              <w:right w:w="20" w:type="dxa"/>
            </w:tcMar>
            <w:vAlign w:val="bottom"/>
          </w:tcPr>
          <w:p w14:paraId="7C207E24" w14:textId="77777777" w:rsidR="00834A75" w:rsidRDefault="00834A75">
            <w:pPr>
              <w:rPr>
                <w:rFonts w:ascii="宋体"/>
              </w:rPr>
            </w:pPr>
          </w:p>
        </w:tc>
        <w:tc>
          <w:tcPr>
            <w:tcW w:w="0" w:type="auto"/>
            <w:gridSpan w:val="2"/>
            <w:shd w:val="clear" w:color="auto" w:fill="E2EFD9"/>
            <w:tcMar>
              <w:top w:w="40" w:type="dxa"/>
              <w:left w:w="20" w:type="dxa"/>
              <w:bottom w:w="40" w:type="dxa"/>
              <w:right w:w="0" w:type="dxa"/>
            </w:tcMar>
            <w:vAlign w:val="bottom"/>
          </w:tcPr>
          <w:p w14:paraId="7C207E25" w14:textId="77777777" w:rsidR="00834A75" w:rsidRDefault="00A6708C">
            <w:pPr>
              <w:jc w:val="right"/>
              <w:textAlignment w:val="bottom"/>
            </w:pPr>
            <w:r>
              <w:rPr>
                <w:rFonts w:ascii="sans-serif" w:eastAsia="sans-serif" w:hAnsi="sans-serif" w:cs="sans-serif"/>
                <w:color w:val="000000"/>
                <w:sz w:val="18"/>
                <w:szCs w:val="18"/>
              </w:rPr>
              <w:t>(4,470)</w:t>
            </w:r>
          </w:p>
        </w:tc>
        <w:tc>
          <w:tcPr>
            <w:tcW w:w="0" w:type="auto"/>
            <w:shd w:val="clear" w:color="auto" w:fill="E2EFD9"/>
            <w:tcMar>
              <w:top w:w="40" w:type="dxa"/>
              <w:left w:w="0" w:type="dxa"/>
              <w:bottom w:w="40" w:type="dxa"/>
              <w:right w:w="20" w:type="dxa"/>
            </w:tcMar>
            <w:vAlign w:val="bottom"/>
          </w:tcPr>
          <w:p w14:paraId="7C207E26" w14:textId="77777777" w:rsidR="00834A75" w:rsidRDefault="00834A75">
            <w:pPr>
              <w:jc w:val="right"/>
              <w:rPr>
                <w:rFonts w:ascii="宋体"/>
              </w:rPr>
            </w:pPr>
          </w:p>
        </w:tc>
      </w:tr>
      <w:tr w:rsidR="00834A75" w14:paraId="7C207E2E" w14:textId="77777777">
        <w:trPr>
          <w:jc w:val="center"/>
        </w:trPr>
        <w:tc>
          <w:tcPr>
            <w:tcW w:w="0" w:type="auto"/>
            <w:gridSpan w:val="3"/>
            <w:shd w:val="clear" w:color="auto" w:fill="FFFFFF"/>
            <w:tcMar>
              <w:top w:w="40" w:type="dxa"/>
              <w:left w:w="155" w:type="dxa"/>
              <w:bottom w:w="40" w:type="dxa"/>
              <w:right w:w="20" w:type="dxa"/>
            </w:tcMar>
            <w:vAlign w:val="bottom"/>
          </w:tcPr>
          <w:p w14:paraId="7C207E28" w14:textId="77777777" w:rsidR="00834A75" w:rsidRDefault="00A6708C">
            <w:pPr>
              <w:textAlignment w:val="bottom"/>
            </w:pPr>
            <w:r>
              <w:rPr>
                <w:rFonts w:ascii="sans-serif" w:eastAsia="sans-serif" w:hAnsi="sans-serif" w:cs="sans-serif"/>
                <w:color w:val="000000"/>
                <w:sz w:val="18"/>
                <w:szCs w:val="18"/>
              </w:rPr>
              <w:t>Purchases related to property and equipment and intangible assets</w:t>
            </w:r>
          </w:p>
        </w:tc>
        <w:tc>
          <w:tcPr>
            <w:tcW w:w="0" w:type="auto"/>
            <w:gridSpan w:val="2"/>
            <w:shd w:val="clear" w:color="auto" w:fill="FFFFFF"/>
            <w:tcMar>
              <w:top w:w="40" w:type="dxa"/>
              <w:left w:w="20" w:type="dxa"/>
              <w:bottom w:w="40" w:type="dxa"/>
              <w:right w:w="0" w:type="dxa"/>
            </w:tcMar>
            <w:vAlign w:val="bottom"/>
          </w:tcPr>
          <w:p w14:paraId="7C207E29" w14:textId="77777777" w:rsidR="00834A75" w:rsidRDefault="00A6708C">
            <w:pPr>
              <w:jc w:val="right"/>
              <w:textAlignment w:val="bottom"/>
            </w:pPr>
            <w:r>
              <w:rPr>
                <w:rFonts w:ascii="sans-serif" w:eastAsia="sans-serif" w:hAnsi="sans-serif" w:cs="sans-serif"/>
                <w:color w:val="000000"/>
                <w:sz w:val="18"/>
                <w:szCs w:val="18"/>
              </w:rPr>
              <w:t>(361)</w:t>
            </w:r>
          </w:p>
        </w:tc>
        <w:tc>
          <w:tcPr>
            <w:tcW w:w="0" w:type="auto"/>
            <w:shd w:val="clear" w:color="auto" w:fill="FFFFFF"/>
            <w:tcMar>
              <w:top w:w="40" w:type="dxa"/>
              <w:left w:w="0" w:type="dxa"/>
              <w:bottom w:w="40" w:type="dxa"/>
              <w:right w:w="20" w:type="dxa"/>
            </w:tcMar>
            <w:vAlign w:val="bottom"/>
          </w:tcPr>
          <w:p w14:paraId="7C207E2A" w14:textId="77777777" w:rsidR="00834A75" w:rsidRDefault="00834A75">
            <w:pPr>
              <w:jc w:val="right"/>
              <w:rPr>
                <w:rFonts w:ascii="宋体"/>
              </w:rPr>
            </w:pPr>
          </w:p>
        </w:tc>
        <w:tc>
          <w:tcPr>
            <w:tcW w:w="0" w:type="auto"/>
            <w:gridSpan w:val="3"/>
            <w:shd w:val="clear" w:color="auto" w:fill="FFFFFF"/>
            <w:tcMar>
              <w:top w:w="0" w:type="dxa"/>
              <w:left w:w="20" w:type="dxa"/>
              <w:bottom w:w="0" w:type="dxa"/>
              <w:right w:w="20" w:type="dxa"/>
            </w:tcMar>
            <w:vAlign w:val="bottom"/>
          </w:tcPr>
          <w:p w14:paraId="7C207E2B" w14:textId="77777777" w:rsidR="00834A75" w:rsidRDefault="00834A75">
            <w:pPr>
              <w:rPr>
                <w:rFonts w:ascii="宋体"/>
              </w:rPr>
            </w:pPr>
          </w:p>
        </w:tc>
        <w:tc>
          <w:tcPr>
            <w:tcW w:w="0" w:type="auto"/>
            <w:gridSpan w:val="2"/>
            <w:shd w:val="clear" w:color="auto" w:fill="FFFFFF"/>
            <w:tcMar>
              <w:top w:w="40" w:type="dxa"/>
              <w:left w:w="20" w:type="dxa"/>
              <w:bottom w:w="40" w:type="dxa"/>
              <w:right w:w="0" w:type="dxa"/>
            </w:tcMar>
            <w:vAlign w:val="bottom"/>
          </w:tcPr>
          <w:p w14:paraId="7C207E2C" w14:textId="77777777" w:rsidR="00834A75" w:rsidRDefault="00A6708C">
            <w:pPr>
              <w:jc w:val="right"/>
              <w:textAlignment w:val="bottom"/>
            </w:pPr>
            <w:r>
              <w:rPr>
                <w:rFonts w:ascii="sans-serif" w:eastAsia="sans-serif" w:hAnsi="sans-serif" w:cs="sans-serif"/>
                <w:color w:val="000000"/>
                <w:sz w:val="18"/>
                <w:szCs w:val="18"/>
              </w:rPr>
              <w:t>(298)</w:t>
            </w:r>
          </w:p>
        </w:tc>
        <w:tc>
          <w:tcPr>
            <w:tcW w:w="0" w:type="auto"/>
            <w:shd w:val="clear" w:color="auto" w:fill="FFFFFF"/>
            <w:tcMar>
              <w:top w:w="40" w:type="dxa"/>
              <w:left w:w="0" w:type="dxa"/>
              <w:bottom w:w="40" w:type="dxa"/>
              <w:right w:w="20" w:type="dxa"/>
            </w:tcMar>
            <w:vAlign w:val="bottom"/>
          </w:tcPr>
          <w:p w14:paraId="7C207E2D" w14:textId="77777777" w:rsidR="00834A75" w:rsidRDefault="00834A75">
            <w:pPr>
              <w:jc w:val="right"/>
              <w:rPr>
                <w:rFonts w:ascii="宋体"/>
              </w:rPr>
            </w:pPr>
          </w:p>
        </w:tc>
      </w:tr>
      <w:tr w:rsidR="00834A75" w14:paraId="7C207E35" w14:textId="77777777">
        <w:trPr>
          <w:jc w:val="center"/>
        </w:trPr>
        <w:tc>
          <w:tcPr>
            <w:tcW w:w="0" w:type="auto"/>
            <w:gridSpan w:val="3"/>
            <w:shd w:val="clear" w:color="auto" w:fill="E2EFD9"/>
            <w:tcMar>
              <w:top w:w="40" w:type="dxa"/>
              <w:left w:w="155" w:type="dxa"/>
              <w:bottom w:w="40" w:type="dxa"/>
              <w:right w:w="20" w:type="dxa"/>
            </w:tcMar>
            <w:vAlign w:val="bottom"/>
          </w:tcPr>
          <w:p w14:paraId="7C207E2F" w14:textId="77777777" w:rsidR="00834A75" w:rsidRDefault="00A6708C">
            <w:pPr>
              <w:textAlignment w:val="bottom"/>
            </w:pPr>
            <w:r>
              <w:rPr>
                <w:rFonts w:ascii="sans-serif" w:eastAsia="sans-serif" w:hAnsi="sans-serif" w:cs="sans-serif"/>
                <w:color w:val="000000"/>
                <w:sz w:val="18"/>
                <w:szCs w:val="18"/>
              </w:rPr>
              <w:t>Acquisitions, net of cash acquired</w:t>
            </w:r>
          </w:p>
        </w:tc>
        <w:tc>
          <w:tcPr>
            <w:tcW w:w="0" w:type="auto"/>
            <w:gridSpan w:val="2"/>
            <w:shd w:val="clear" w:color="auto" w:fill="E2EFD9"/>
            <w:tcMar>
              <w:top w:w="40" w:type="dxa"/>
              <w:left w:w="20" w:type="dxa"/>
              <w:bottom w:w="40" w:type="dxa"/>
              <w:right w:w="0" w:type="dxa"/>
            </w:tcMar>
            <w:vAlign w:val="bottom"/>
          </w:tcPr>
          <w:p w14:paraId="7C207E30" w14:textId="77777777" w:rsidR="00834A75" w:rsidRDefault="00A6708C">
            <w:pPr>
              <w:jc w:val="right"/>
              <w:textAlignment w:val="bottom"/>
            </w:pPr>
            <w:r>
              <w:rPr>
                <w:rFonts w:ascii="sans-serif" w:eastAsia="sans-serif" w:hAnsi="sans-serif" w:cs="sans-serif"/>
                <w:color w:val="000000"/>
                <w:sz w:val="18"/>
                <w:szCs w:val="18"/>
              </w:rPr>
              <w:t>(36)</w:t>
            </w:r>
          </w:p>
        </w:tc>
        <w:tc>
          <w:tcPr>
            <w:tcW w:w="0" w:type="auto"/>
            <w:shd w:val="clear" w:color="auto" w:fill="E2EFD9"/>
            <w:tcMar>
              <w:top w:w="40" w:type="dxa"/>
              <w:left w:w="0" w:type="dxa"/>
              <w:bottom w:w="40" w:type="dxa"/>
              <w:right w:w="20" w:type="dxa"/>
            </w:tcMar>
            <w:vAlign w:val="bottom"/>
          </w:tcPr>
          <w:p w14:paraId="7C207E31" w14:textId="77777777" w:rsidR="00834A75" w:rsidRDefault="00834A75">
            <w:pPr>
              <w:jc w:val="right"/>
              <w:rPr>
                <w:rFonts w:ascii="宋体"/>
              </w:rPr>
            </w:pPr>
          </w:p>
        </w:tc>
        <w:tc>
          <w:tcPr>
            <w:tcW w:w="0" w:type="auto"/>
            <w:gridSpan w:val="3"/>
            <w:shd w:val="clear" w:color="auto" w:fill="E2EFD9"/>
            <w:tcMar>
              <w:top w:w="0" w:type="dxa"/>
              <w:left w:w="20" w:type="dxa"/>
              <w:bottom w:w="0" w:type="dxa"/>
              <w:right w:w="20" w:type="dxa"/>
            </w:tcMar>
            <w:vAlign w:val="bottom"/>
          </w:tcPr>
          <w:p w14:paraId="7C207E32" w14:textId="77777777" w:rsidR="00834A75" w:rsidRDefault="00834A75">
            <w:pPr>
              <w:rPr>
                <w:rFonts w:ascii="宋体"/>
              </w:rPr>
            </w:pPr>
          </w:p>
        </w:tc>
        <w:tc>
          <w:tcPr>
            <w:tcW w:w="0" w:type="auto"/>
            <w:gridSpan w:val="2"/>
            <w:shd w:val="clear" w:color="auto" w:fill="E2EFD9"/>
            <w:tcMar>
              <w:top w:w="40" w:type="dxa"/>
              <w:left w:w="20" w:type="dxa"/>
              <w:bottom w:w="40" w:type="dxa"/>
              <w:right w:w="0" w:type="dxa"/>
            </w:tcMar>
            <w:vAlign w:val="bottom"/>
          </w:tcPr>
          <w:p w14:paraId="7C207E33" w14:textId="77777777" w:rsidR="00834A75" w:rsidRDefault="00A6708C">
            <w:pPr>
              <w:jc w:val="right"/>
              <w:textAlignment w:val="bottom"/>
            </w:pPr>
            <w:r>
              <w:rPr>
                <w:rFonts w:ascii="sans-serif" w:eastAsia="sans-serif" w:hAnsi="sans-serif" w:cs="sans-serif"/>
                <w:color w:val="000000"/>
                <w:sz w:val="18"/>
                <w:szCs w:val="18"/>
              </w:rPr>
              <w:t>— </w:t>
            </w:r>
          </w:p>
        </w:tc>
        <w:tc>
          <w:tcPr>
            <w:tcW w:w="0" w:type="auto"/>
            <w:shd w:val="clear" w:color="auto" w:fill="E2EFD9"/>
            <w:tcMar>
              <w:top w:w="40" w:type="dxa"/>
              <w:left w:w="0" w:type="dxa"/>
              <w:bottom w:w="40" w:type="dxa"/>
              <w:right w:w="20" w:type="dxa"/>
            </w:tcMar>
            <w:vAlign w:val="bottom"/>
          </w:tcPr>
          <w:p w14:paraId="7C207E34" w14:textId="77777777" w:rsidR="00834A75" w:rsidRDefault="00834A75">
            <w:pPr>
              <w:jc w:val="right"/>
              <w:rPr>
                <w:rFonts w:ascii="宋体"/>
              </w:rPr>
            </w:pPr>
          </w:p>
        </w:tc>
      </w:tr>
      <w:tr w:rsidR="00834A75" w14:paraId="7C207E3C" w14:textId="77777777">
        <w:trPr>
          <w:jc w:val="center"/>
        </w:trPr>
        <w:tc>
          <w:tcPr>
            <w:tcW w:w="0" w:type="auto"/>
            <w:gridSpan w:val="3"/>
            <w:shd w:val="clear" w:color="auto" w:fill="FFFFFF"/>
            <w:tcMar>
              <w:top w:w="40" w:type="dxa"/>
              <w:left w:w="155" w:type="dxa"/>
              <w:bottom w:w="40" w:type="dxa"/>
              <w:right w:w="20" w:type="dxa"/>
            </w:tcMar>
            <w:vAlign w:val="bottom"/>
          </w:tcPr>
          <w:p w14:paraId="7C207E36" w14:textId="77777777" w:rsidR="00834A75" w:rsidRDefault="00A6708C">
            <w:pPr>
              <w:textAlignment w:val="bottom"/>
            </w:pPr>
            <w:r>
              <w:rPr>
                <w:rFonts w:ascii="sans-serif" w:eastAsia="sans-serif" w:hAnsi="sans-serif" w:cs="sans-serif"/>
                <w:color w:val="000000"/>
                <w:sz w:val="18"/>
                <w:szCs w:val="18"/>
              </w:rPr>
              <w:t>Investments and other, net</w:t>
            </w:r>
          </w:p>
        </w:tc>
        <w:tc>
          <w:tcPr>
            <w:tcW w:w="0" w:type="auto"/>
            <w:gridSpan w:val="2"/>
            <w:shd w:val="clear" w:color="auto" w:fill="FFFFFF"/>
            <w:tcMar>
              <w:top w:w="40" w:type="dxa"/>
              <w:left w:w="20" w:type="dxa"/>
              <w:bottom w:w="40" w:type="dxa"/>
              <w:right w:w="0" w:type="dxa"/>
            </w:tcMar>
            <w:vAlign w:val="bottom"/>
          </w:tcPr>
          <w:p w14:paraId="7C207E37" w14:textId="77777777" w:rsidR="00834A75" w:rsidRDefault="00A6708C">
            <w:pPr>
              <w:jc w:val="right"/>
              <w:textAlignment w:val="bottom"/>
            </w:pPr>
            <w:r>
              <w:rPr>
                <w:rFonts w:ascii="sans-serif" w:eastAsia="sans-serif" w:hAnsi="sans-serif" w:cs="sans-serif"/>
                <w:color w:val="000000"/>
                <w:sz w:val="18"/>
                <w:szCs w:val="18"/>
              </w:rPr>
              <w:t>(35)</w:t>
            </w:r>
          </w:p>
        </w:tc>
        <w:tc>
          <w:tcPr>
            <w:tcW w:w="0" w:type="auto"/>
            <w:shd w:val="clear" w:color="auto" w:fill="FFFFFF"/>
            <w:tcMar>
              <w:top w:w="40" w:type="dxa"/>
              <w:left w:w="0" w:type="dxa"/>
              <w:bottom w:w="40" w:type="dxa"/>
              <w:right w:w="20" w:type="dxa"/>
            </w:tcMar>
            <w:vAlign w:val="bottom"/>
          </w:tcPr>
          <w:p w14:paraId="7C207E38" w14:textId="77777777" w:rsidR="00834A75" w:rsidRDefault="00834A75">
            <w:pPr>
              <w:jc w:val="right"/>
              <w:rPr>
                <w:rFonts w:ascii="宋体"/>
              </w:rPr>
            </w:pPr>
          </w:p>
        </w:tc>
        <w:tc>
          <w:tcPr>
            <w:tcW w:w="0" w:type="auto"/>
            <w:gridSpan w:val="3"/>
            <w:shd w:val="clear" w:color="auto" w:fill="FFFFFF"/>
            <w:tcMar>
              <w:top w:w="0" w:type="dxa"/>
              <w:left w:w="20" w:type="dxa"/>
              <w:bottom w:w="0" w:type="dxa"/>
              <w:right w:w="20" w:type="dxa"/>
            </w:tcMar>
            <w:vAlign w:val="bottom"/>
          </w:tcPr>
          <w:p w14:paraId="7C207E39" w14:textId="77777777" w:rsidR="00834A75" w:rsidRDefault="00834A75">
            <w:pPr>
              <w:rPr>
                <w:rFonts w:ascii="宋体"/>
              </w:rPr>
            </w:pPr>
          </w:p>
        </w:tc>
        <w:tc>
          <w:tcPr>
            <w:tcW w:w="0" w:type="auto"/>
            <w:gridSpan w:val="2"/>
            <w:shd w:val="clear" w:color="auto" w:fill="FFFFFF"/>
            <w:tcMar>
              <w:top w:w="40" w:type="dxa"/>
              <w:left w:w="20" w:type="dxa"/>
              <w:bottom w:w="40" w:type="dxa"/>
              <w:right w:w="0" w:type="dxa"/>
            </w:tcMar>
            <w:vAlign w:val="bottom"/>
          </w:tcPr>
          <w:p w14:paraId="7C207E3A" w14:textId="77777777" w:rsidR="00834A75" w:rsidRDefault="00A6708C">
            <w:pPr>
              <w:jc w:val="right"/>
              <w:textAlignment w:val="bottom"/>
            </w:pPr>
            <w:r>
              <w:rPr>
                <w:rFonts w:ascii="sans-serif" w:eastAsia="sans-serif" w:hAnsi="sans-serif" w:cs="sans-serif"/>
                <w:color w:val="000000"/>
                <w:sz w:val="18"/>
                <w:szCs w:val="18"/>
              </w:rPr>
              <w:t>(2)</w:t>
            </w:r>
          </w:p>
        </w:tc>
        <w:tc>
          <w:tcPr>
            <w:tcW w:w="0" w:type="auto"/>
            <w:shd w:val="clear" w:color="auto" w:fill="FFFFFF"/>
            <w:tcMar>
              <w:top w:w="40" w:type="dxa"/>
              <w:left w:w="0" w:type="dxa"/>
              <w:bottom w:w="40" w:type="dxa"/>
              <w:right w:w="20" w:type="dxa"/>
            </w:tcMar>
            <w:vAlign w:val="bottom"/>
          </w:tcPr>
          <w:p w14:paraId="7C207E3B" w14:textId="77777777" w:rsidR="00834A75" w:rsidRDefault="00834A75">
            <w:pPr>
              <w:jc w:val="right"/>
              <w:rPr>
                <w:rFonts w:ascii="宋体"/>
              </w:rPr>
            </w:pPr>
          </w:p>
        </w:tc>
      </w:tr>
      <w:tr w:rsidR="00834A75" w14:paraId="7C207E43" w14:textId="77777777">
        <w:trPr>
          <w:jc w:val="center"/>
        </w:trPr>
        <w:tc>
          <w:tcPr>
            <w:tcW w:w="0" w:type="auto"/>
            <w:gridSpan w:val="3"/>
            <w:shd w:val="clear" w:color="auto" w:fill="E2EFD9"/>
            <w:tcMar>
              <w:top w:w="40" w:type="dxa"/>
              <w:left w:w="20" w:type="dxa"/>
              <w:bottom w:w="40" w:type="dxa"/>
              <w:right w:w="20" w:type="dxa"/>
            </w:tcMar>
            <w:vAlign w:val="bottom"/>
          </w:tcPr>
          <w:p w14:paraId="7C207E3D" w14:textId="77777777" w:rsidR="00834A75" w:rsidRDefault="00A6708C">
            <w:pPr>
              <w:textAlignment w:val="bottom"/>
            </w:pPr>
            <w:r>
              <w:rPr>
                <w:rFonts w:ascii="sans-serif" w:eastAsia="sans-serif" w:hAnsi="sans-serif" w:cs="sans-serif"/>
                <w:color w:val="000000"/>
                <w:sz w:val="18"/>
                <w:szCs w:val="18"/>
              </w:rPr>
              <w:t>Net cash provided by (used in) investing activities</w:t>
            </w:r>
          </w:p>
        </w:tc>
        <w:tc>
          <w:tcPr>
            <w:tcW w:w="0" w:type="auto"/>
            <w:gridSpan w:val="2"/>
            <w:tcBorders>
              <w:top w:val="single" w:sz="8" w:space="0" w:color="000000"/>
            </w:tcBorders>
            <w:shd w:val="clear" w:color="auto" w:fill="E2EFD9"/>
            <w:tcMar>
              <w:top w:w="40" w:type="dxa"/>
              <w:left w:w="20" w:type="dxa"/>
              <w:bottom w:w="40" w:type="dxa"/>
              <w:right w:w="0" w:type="dxa"/>
            </w:tcMar>
            <w:vAlign w:val="bottom"/>
          </w:tcPr>
          <w:p w14:paraId="7C207E3E" w14:textId="77777777" w:rsidR="00834A75" w:rsidRDefault="00A6708C">
            <w:pPr>
              <w:jc w:val="right"/>
              <w:textAlignment w:val="bottom"/>
            </w:pPr>
            <w:r>
              <w:rPr>
                <w:rFonts w:ascii="sans-serif" w:eastAsia="sans-serif" w:hAnsi="sans-serif" w:cs="sans-serif"/>
                <w:color w:val="000000"/>
                <w:sz w:val="18"/>
                <w:szCs w:val="18"/>
              </w:rPr>
              <w:t>2,612 </w:t>
            </w:r>
          </w:p>
        </w:tc>
        <w:tc>
          <w:tcPr>
            <w:tcW w:w="0" w:type="auto"/>
            <w:tcBorders>
              <w:top w:val="single" w:sz="8" w:space="0" w:color="000000"/>
            </w:tcBorders>
            <w:shd w:val="clear" w:color="auto" w:fill="E2EFD9"/>
            <w:tcMar>
              <w:top w:w="40" w:type="dxa"/>
              <w:left w:w="0" w:type="dxa"/>
              <w:bottom w:w="40" w:type="dxa"/>
              <w:right w:w="20" w:type="dxa"/>
            </w:tcMar>
            <w:vAlign w:val="bottom"/>
          </w:tcPr>
          <w:p w14:paraId="7C207E3F" w14:textId="77777777" w:rsidR="00834A75" w:rsidRDefault="00834A75">
            <w:pPr>
              <w:jc w:val="right"/>
              <w:rPr>
                <w:rFonts w:ascii="宋体"/>
              </w:rPr>
            </w:pPr>
          </w:p>
        </w:tc>
        <w:tc>
          <w:tcPr>
            <w:tcW w:w="0" w:type="auto"/>
            <w:gridSpan w:val="3"/>
            <w:shd w:val="clear" w:color="auto" w:fill="E2EFD9"/>
            <w:tcMar>
              <w:top w:w="0" w:type="dxa"/>
              <w:left w:w="20" w:type="dxa"/>
              <w:bottom w:w="0" w:type="dxa"/>
              <w:right w:w="20" w:type="dxa"/>
            </w:tcMar>
            <w:vAlign w:val="bottom"/>
          </w:tcPr>
          <w:p w14:paraId="7C207E40" w14:textId="77777777" w:rsidR="00834A75" w:rsidRDefault="00834A75">
            <w:pPr>
              <w:rPr>
                <w:rFonts w:ascii="宋体"/>
              </w:rPr>
            </w:pPr>
          </w:p>
        </w:tc>
        <w:tc>
          <w:tcPr>
            <w:tcW w:w="0" w:type="auto"/>
            <w:gridSpan w:val="2"/>
            <w:tcBorders>
              <w:top w:val="single" w:sz="8" w:space="0" w:color="000000"/>
            </w:tcBorders>
            <w:shd w:val="clear" w:color="auto" w:fill="E2EFD9"/>
            <w:tcMar>
              <w:top w:w="40" w:type="dxa"/>
              <w:left w:w="20" w:type="dxa"/>
              <w:bottom w:w="40" w:type="dxa"/>
              <w:right w:w="0" w:type="dxa"/>
            </w:tcMar>
            <w:vAlign w:val="bottom"/>
          </w:tcPr>
          <w:p w14:paraId="7C207E41" w14:textId="77777777" w:rsidR="00834A75" w:rsidRDefault="00A6708C">
            <w:pPr>
              <w:jc w:val="right"/>
              <w:textAlignment w:val="bottom"/>
            </w:pPr>
            <w:r>
              <w:rPr>
                <w:rFonts w:ascii="sans-serif" w:eastAsia="sans-serif" w:hAnsi="sans-serif" w:cs="sans-serif"/>
                <w:color w:val="000000"/>
                <w:sz w:val="18"/>
                <w:szCs w:val="18"/>
              </w:rPr>
              <w:t>(1,272)</w:t>
            </w:r>
          </w:p>
        </w:tc>
        <w:tc>
          <w:tcPr>
            <w:tcW w:w="0" w:type="auto"/>
            <w:tcBorders>
              <w:top w:val="single" w:sz="8" w:space="0" w:color="000000"/>
            </w:tcBorders>
            <w:shd w:val="clear" w:color="auto" w:fill="E2EFD9"/>
            <w:tcMar>
              <w:top w:w="40" w:type="dxa"/>
              <w:left w:w="0" w:type="dxa"/>
              <w:bottom w:w="40" w:type="dxa"/>
              <w:right w:w="20" w:type="dxa"/>
            </w:tcMar>
            <w:vAlign w:val="bottom"/>
          </w:tcPr>
          <w:p w14:paraId="7C207E42" w14:textId="77777777" w:rsidR="00834A75" w:rsidRDefault="00834A75">
            <w:pPr>
              <w:jc w:val="right"/>
              <w:rPr>
                <w:rFonts w:ascii="宋体"/>
              </w:rPr>
            </w:pPr>
          </w:p>
        </w:tc>
      </w:tr>
      <w:tr w:rsidR="00834A75" w14:paraId="7C207E48" w14:textId="77777777">
        <w:trPr>
          <w:jc w:val="center"/>
        </w:trPr>
        <w:tc>
          <w:tcPr>
            <w:tcW w:w="0" w:type="auto"/>
            <w:gridSpan w:val="3"/>
            <w:shd w:val="clear" w:color="auto" w:fill="FFFFFF"/>
            <w:tcMar>
              <w:top w:w="40" w:type="dxa"/>
              <w:left w:w="20" w:type="dxa"/>
              <w:bottom w:w="40" w:type="dxa"/>
              <w:right w:w="20" w:type="dxa"/>
            </w:tcMar>
            <w:vAlign w:val="bottom"/>
          </w:tcPr>
          <w:p w14:paraId="7C207E44" w14:textId="77777777" w:rsidR="00834A75" w:rsidRDefault="00A6708C">
            <w:pPr>
              <w:textAlignment w:val="bottom"/>
            </w:pPr>
            <w:r>
              <w:rPr>
                <w:rFonts w:ascii="sans-serif" w:eastAsia="sans-serif" w:hAnsi="sans-serif" w:cs="sans-serif"/>
                <w:color w:val="000000"/>
                <w:sz w:val="18"/>
                <w:szCs w:val="18"/>
              </w:rPr>
              <w:t>Cash flows from financing activities:</w:t>
            </w:r>
          </w:p>
        </w:tc>
        <w:tc>
          <w:tcPr>
            <w:tcW w:w="0" w:type="auto"/>
            <w:gridSpan w:val="3"/>
            <w:tcBorders>
              <w:top w:val="single" w:sz="8" w:space="0" w:color="000000"/>
            </w:tcBorders>
            <w:shd w:val="clear" w:color="auto" w:fill="FFFFFF"/>
            <w:tcMar>
              <w:top w:w="40" w:type="dxa"/>
              <w:left w:w="20" w:type="dxa"/>
              <w:bottom w:w="40" w:type="dxa"/>
              <w:right w:w="20" w:type="dxa"/>
            </w:tcMar>
            <w:vAlign w:val="bottom"/>
          </w:tcPr>
          <w:p w14:paraId="7C207E45" w14:textId="77777777" w:rsidR="00834A75" w:rsidRDefault="00A6708C">
            <w:pPr>
              <w:textAlignment w:val="bottom"/>
            </w:pPr>
            <w:r>
              <w:rPr>
                <w:rFonts w:ascii="sans-serif" w:eastAsia="sans-serif" w:hAnsi="sans-serif" w:cs="sans-serif"/>
                <w:color w:val="000000"/>
                <w:sz w:val="18"/>
                <w:szCs w:val="18"/>
              </w:rPr>
              <w:t> </w:t>
            </w:r>
          </w:p>
        </w:tc>
        <w:tc>
          <w:tcPr>
            <w:tcW w:w="0" w:type="auto"/>
            <w:gridSpan w:val="3"/>
            <w:shd w:val="clear" w:color="auto" w:fill="FFFFFF"/>
            <w:tcMar>
              <w:top w:w="0" w:type="dxa"/>
              <w:left w:w="20" w:type="dxa"/>
              <w:bottom w:w="0" w:type="dxa"/>
              <w:right w:w="20" w:type="dxa"/>
            </w:tcMar>
            <w:vAlign w:val="bottom"/>
          </w:tcPr>
          <w:p w14:paraId="7C207E46" w14:textId="77777777" w:rsidR="00834A75" w:rsidRDefault="00834A75">
            <w:pPr>
              <w:rPr>
                <w:rFonts w:ascii="宋体"/>
              </w:rPr>
            </w:pPr>
          </w:p>
        </w:tc>
        <w:tc>
          <w:tcPr>
            <w:tcW w:w="0" w:type="auto"/>
            <w:gridSpan w:val="3"/>
            <w:tcBorders>
              <w:top w:val="single" w:sz="8" w:space="0" w:color="000000"/>
            </w:tcBorders>
            <w:shd w:val="clear" w:color="auto" w:fill="FFFFFF"/>
            <w:tcMar>
              <w:top w:w="40" w:type="dxa"/>
              <w:left w:w="20" w:type="dxa"/>
              <w:bottom w:w="40" w:type="dxa"/>
              <w:right w:w="20" w:type="dxa"/>
            </w:tcMar>
            <w:vAlign w:val="bottom"/>
          </w:tcPr>
          <w:p w14:paraId="7C207E47" w14:textId="77777777" w:rsidR="00834A75" w:rsidRDefault="00A6708C">
            <w:pPr>
              <w:textAlignment w:val="bottom"/>
            </w:pPr>
            <w:r>
              <w:rPr>
                <w:rFonts w:ascii="sans-serif" w:eastAsia="sans-serif" w:hAnsi="sans-serif" w:cs="sans-serif"/>
                <w:color w:val="000000"/>
                <w:sz w:val="18"/>
                <w:szCs w:val="18"/>
              </w:rPr>
              <w:t> </w:t>
            </w:r>
          </w:p>
        </w:tc>
      </w:tr>
      <w:tr w:rsidR="00834A75" w14:paraId="7C207E4D" w14:textId="77777777">
        <w:trPr>
          <w:jc w:val="center"/>
          <w:hidden/>
        </w:trPr>
        <w:tc>
          <w:tcPr>
            <w:tcW w:w="0" w:type="auto"/>
            <w:gridSpan w:val="3"/>
            <w:shd w:val="clear" w:color="auto" w:fill="auto"/>
            <w:vAlign w:val="bottom"/>
          </w:tcPr>
          <w:p w14:paraId="7C207E49" w14:textId="77777777" w:rsidR="00834A75" w:rsidRDefault="00834A75">
            <w:pPr>
              <w:rPr>
                <w:rFonts w:ascii="宋体"/>
                <w:vanish/>
              </w:rPr>
            </w:pPr>
          </w:p>
        </w:tc>
        <w:tc>
          <w:tcPr>
            <w:tcW w:w="0" w:type="auto"/>
            <w:gridSpan w:val="3"/>
            <w:shd w:val="clear" w:color="auto" w:fill="auto"/>
            <w:vAlign w:val="bottom"/>
          </w:tcPr>
          <w:p w14:paraId="7C207E4A" w14:textId="77777777" w:rsidR="00834A75" w:rsidRDefault="00834A75">
            <w:pPr>
              <w:rPr>
                <w:rFonts w:ascii="宋体"/>
                <w:vanish/>
              </w:rPr>
            </w:pPr>
          </w:p>
        </w:tc>
        <w:tc>
          <w:tcPr>
            <w:tcW w:w="0" w:type="auto"/>
            <w:gridSpan w:val="3"/>
            <w:shd w:val="clear" w:color="auto" w:fill="auto"/>
            <w:vAlign w:val="bottom"/>
          </w:tcPr>
          <w:p w14:paraId="7C207E4B" w14:textId="77777777" w:rsidR="00834A75" w:rsidRDefault="00834A75">
            <w:pPr>
              <w:rPr>
                <w:rFonts w:ascii="宋体"/>
                <w:vanish/>
              </w:rPr>
            </w:pPr>
          </w:p>
        </w:tc>
        <w:tc>
          <w:tcPr>
            <w:tcW w:w="0" w:type="auto"/>
            <w:gridSpan w:val="3"/>
            <w:shd w:val="clear" w:color="auto" w:fill="auto"/>
            <w:vAlign w:val="bottom"/>
          </w:tcPr>
          <w:p w14:paraId="7C207E4C" w14:textId="77777777" w:rsidR="00834A75" w:rsidRDefault="00834A75">
            <w:pPr>
              <w:rPr>
                <w:rFonts w:ascii="宋体"/>
                <w:vanish/>
              </w:rPr>
            </w:pPr>
          </w:p>
        </w:tc>
      </w:tr>
      <w:tr w:rsidR="00834A75" w14:paraId="7C207E54" w14:textId="77777777">
        <w:trPr>
          <w:jc w:val="center"/>
        </w:trPr>
        <w:tc>
          <w:tcPr>
            <w:tcW w:w="0" w:type="auto"/>
            <w:gridSpan w:val="3"/>
            <w:shd w:val="clear" w:color="auto" w:fill="E2EFD9"/>
            <w:tcMar>
              <w:top w:w="40" w:type="dxa"/>
              <w:left w:w="155" w:type="dxa"/>
              <w:bottom w:w="40" w:type="dxa"/>
              <w:right w:w="20" w:type="dxa"/>
            </w:tcMar>
            <w:vAlign w:val="bottom"/>
          </w:tcPr>
          <w:p w14:paraId="7C207E4E" w14:textId="77777777" w:rsidR="00834A75" w:rsidRDefault="00A6708C">
            <w:pPr>
              <w:textAlignment w:val="bottom"/>
            </w:pPr>
            <w:r>
              <w:rPr>
                <w:rFonts w:ascii="sans-serif" w:eastAsia="sans-serif" w:hAnsi="sans-serif" w:cs="sans-serif"/>
                <w:color w:val="000000"/>
                <w:sz w:val="18"/>
                <w:szCs w:val="18"/>
              </w:rPr>
              <w:t xml:space="preserve">Proceeds related to employee stock </w:t>
            </w:r>
            <w:r>
              <w:rPr>
                <w:rFonts w:ascii="sans-serif" w:eastAsia="sans-serif" w:hAnsi="sans-serif" w:cs="sans-serif"/>
                <w:color w:val="000000"/>
                <w:sz w:val="18"/>
                <w:szCs w:val="18"/>
              </w:rPr>
              <w:t>plans</w:t>
            </w:r>
          </w:p>
        </w:tc>
        <w:tc>
          <w:tcPr>
            <w:tcW w:w="0" w:type="auto"/>
            <w:gridSpan w:val="2"/>
            <w:shd w:val="clear" w:color="auto" w:fill="E2EFD9"/>
            <w:tcMar>
              <w:top w:w="40" w:type="dxa"/>
              <w:left w:w="20" w:type="dxa"/>
              <w:bottom w:w="40" w:type="dxa"/>
              <w:right w:w="0" w:type="dxa"/>
            </w:tcMar>
            <w:vAlign w:val="bottom"/>
          </w:tcPr>
          <w:p w14:paraId="7C207E4F" w14:textId="77777777" w:rsidR="00834A75" w:rsidRDefault="00A6708C">
            <w:pPr>
              <w:jc w:val="right"/>
              <w:textAlignment w:val="bottom"/>
            </w:pPr>
            <w:r>
              <w:rPr>
                <w:rFonts w:ascii="sans-serif" w:eastAsia="sans-serif" w:hAnsi="sans-serif" w:cs="sans-serif"/>
                <w:color w:val="000000"/>
                <w:sz w:val="18"/>
                <w:szCs w:val="18"/>
              </w:rPr>
              <w:t>204 </w:t>
            </w:r>
          </w:p>
        </w:tc>
        <w:tc>
          <w:tcPr>
            <w:tcW w:w="0" w:type="auto"/>
            <w:shd w:val="clear" w:color="auto" w:fill="E2EFD9"/>
            <w:tcMar>
              <w:top w:w="40" w:type="dxa"/>
              <w:left w:w="0" w:type="dxa"/>
              <w:bottom w:w="40" w:type="dxa"/>
              <w:right w:w="20" w:type="dxa"/>
            </w:tcMar>
            <w:vAlign w:val="bottom"/>
          </w:tcPr>
          <w:p w14:paraId="7C207E50" w14:textId="77777777" w:rsidR="00834A75" w:rsidRDefault="00834A75">
            <w:pPr>
              <w:jc w:val="right"/>
              <w:rPr>
                <w:rFonts w:ascii="宋体"/>
              </w:rPr>
            </w:pPr>
          </w:p>
        </w:tc>
        <w:tc>
          <w:tcPr>
            <w:tcW w:w="0" w:type="auto"/>
            <w:gridSpan w:val="3"/>
            <w:shd w:val="clear" w:color="auto" w:fill="E2EFD9"/>
            <w:tcMar>
              <w:top w:w="0" w:type="dxa"/>
              <w:left w:w="20" w:type="dxa"/>
              <w:bottom w:w="0" w:type="dxa"/>
              <w:right w:w="20" w:type="dxa"/>
            </w:tcMar>
            <w:vAlign w:val="bottom"/>
          </w:tcPr>
          <w:p w14:paraId="7C207E51" w14:textId="77777777" w:rsidR="00834A75" w:rsidRDefault="00834A75">
            <w:pPr>
              <w:rPr>
                <w:rFonts w:ascii="宋体"/>
              </w:rPr>
            </w:pPr>
          </w:p>
        </w:tc>
        <w:tc>
          <w:tcPr>
            <w:tcW w:w="0" w:type="auto"/>
            <w:gridSpan w:val="2"/>
            <w:shd w:val="clear" w:color="auto" w:fill="E2EFD9"/>
            <w:tcMar>
              <w:top w:w="40" w:type="dxa"/>
              <w:left w:w="20" w:type="dxa"/>
              <w:bottom w:w="40" w:type="dxa"/>
              <w:right w:w="0" w:type="dxa"/>
            </w:tcMar>
            <w:vAlign w:val="bottom"/>
          </w:tcPr>
          <w:p w14:paraId="7C207E52" w14:textId="77777777" w:rsidR="00834A75" w:rsidRDefault="00A6708C">
            <w:pPr>
              <w:jc w:val="right"/>
              <w:textAlignment w:val="bottom"/>
            </w:pPr>
            <w:r>
              <w:rPr>
                <w:rFonts w:ascii="sans-serif" w:eastAsia="sans-serif" w:hAnsi="sans-serif" w:cs="sans-serif"/>
                <w:color w:val="000000"/>
                <w:sz w:val="18"/>
                <w:szCs w:val="18"/>
              </w:rPr>
              <w:t>126 </w:t>
            </w:r>
          </w:p>
        </w:tc>
        <w:tc>
          <w:tcPr>
            <w:tcW w:w="0" w:type="auto"/>
            <w:shd w:val="clear" w:color="auto" w:fill="E2EFD9"/>
            <w:tcMar>
              <w:top w:w="40" w:type="dxa"/>
              <w:left w:w="0" w:type="dxa"/>
              <w:bottom w:w="40" w:type="dxa"/>
              <w:right w:w="20" w:type="dxa"/>
            </w:tcMar>
            <w:vAlign w:val="bottom"/>
          </w:tcPr>
          <w:p w14:paraId="7C207E53" w14:textId="77777777" w:rsidR="00834A75" w:rsidRDefault="00834A75">
            <w:pPr>
              <w:jc w:val="right"/>
              <w:rPr>
                <w:rFonts w:ascii="宋体"/>
              </w:rPr>
            </w:pPr>
          </w:p>
        </w:tc>
      </w:tr>
      <w:tr w:rsidR="00834A75" w14:paraId="7C207E5B" w14:textId="77777777">
        <w:trPr>
          <w:jc w:val="center"/>
        </w:trPr>
        <w:tc>
          <w:tcPr>
            <w:tcW w:w="0" w:type="auto"/>
            <w:gridSpan w:val="3"/>
            <w:shd w:val="clear" w:color="auto" w:fill="FFFFFF"/>
            <w:tcMar>
              <w:top w:w="40" w:type="dxa"/>
              <w:left w:w="155" w:type="dxa"/>
              <w:bottom w:w="40" w:type="dxa"/>
              <w:right w:w="20" w:type="dxa"/>
            </w:tcMar>
            <w:vAlign w:val="bottom"/>
          </w:tcPr>
          <w:p w14:paraId="7C207E55" w14:textId="77777777" w:rsidR="00834A75" w:rsidRDefault="00A6708C">
            <w:pPr>
              <w:textAlignment w:val="bottom"/>
            </w:pPr>
            <w:r>
              <w:rPr>
                <w:rFonts w:ascii="sans-serif" w:eastAsia="sans-serif" w:hAnsi="sans-serif" w:cs="sans-serif"/>
                <w:color w:val="000000"/>
                <w:sz w:val="18"/>
                <w:szCs w:val="18"/>
              </w:rPr>
              <w:t xml:space="preserve">Payments related to repurchases of common stock </w:t>
            </w:r>
          </w:p>
        </w:tc>
        <w:tc>
          <w:tcPr>
            <w:tcW w:w="0" w:type="auto"/>
            <w:gridSpan w:val="2"/>
            <w:shd w:val="clear" w:color="auto" w:fill="FFFFFF"/>
            <w:tcMar>
              <w:top w:w="40" w:type="dxa"/>
              <w:left w:w="20" w:type="dxa"/>
              <w:bottom w:w="40" w:type="dxa"/>
              <w:right w:w="0" w:type="dxa"/>
            </w:tcMar>
            <w:vAlign w:val="bottom"/>
          </w:tcPr>
          <w:p w14:paraId="7C207E56" w14:textId="77777777" w:rsidR="00834A75" w:rsidRDefault="00A6708C">
            <w:pPr>
              <w:jc w:val="right"/>
              <w:textAlignment w:val="bottom"/>
            </w:pPr>
            <w:r>
              <w:rPr>
                <w:rFonts w:ascii="sans-serif" w:eastAsia="sans-serif" w:hAnsi="sans-serif" w:cs="sans-serif"/>
                <w:color w:val="000000"/>
                <w:sz w:val="18"/>
                <w:szCs w:val="18"/>
              </w:rPr>
              <w:t>(1,996)</w:t>
            </w:r>
          </w:p>
        </w:tc>
        <w:tc>
          <w:tcPr>
            <w:tcW w:w="0" w:type="auto"/>
            <w:shd w:val="clear" w:color="auto" w:fill="FFFFFF"/>
            <w:tcMar>
              <w:top w:w="40" w:type="dxa"/>
              <w:left w:w="0" w:type="dxa"/>
              <w:bottom w:w="40" w:type="dxa"/>
              <w:right w:w="20" w:type="dxa"/>
            </w:tcMar>
            <w:vAlign w:val="bottom"/>
          </w:tcPr>
          <w:p w14:paraId="7C207E57" w14:textId="77777777" w:rsidR="00834A75" w:rsidRDefault="00834A75">
            <w:pPr>
              <w:jc w:val="right"/>
              <w:rPr>
                <w:rFonts w:ascii="宋体"/>
              </w:rPr>
            </w:pPr>
          </w:p>
        </w:tc>
        <w:tc>
          <w:tcPr>
            <w:tcW w:w="0" w:type="auto"/>
            <w:gridSpan w:val="3"/>
            <w:shd w:val="clear" w:color="auto" w:fill="FFFFFF"/>
            <w:tcMar>
              <w:top w:w="0" w:type="dxa"/>
              <w:left w:w="20" w:type="dxa"/>
              <w:bottom w:w="0" w:type="dxa"/>
              <w:right w:w="20" w:type="dxa"/>
            </w:tcMar>
            <w:vAlign w:val="bottom"/>
          </w:tcPr>
          <w:p w14:paraId="7C207E58" w14:textId="77777777" w:rsidR="00834A75" w:rsidRDefault="00834A75">
            <w:pPr>
              <w:rPr>
                <w:rFonts w:ascii="宋体"/>
              </w:rPr>
            </w:pPr>
          </w:p>
        </w:tc>
        <w:tc>
          <w:tcPr>
            <w:tcW w:w="0" w:type="auto"/>
            <w:gridSpan w:val="2"/>
            <w:shd w:val="clear" w:color="auto" w:fill="FFFFFF"/>
            <w:tcMar>
              <w:top w:w="40" w:type="dxa"/>
              <w:left w:w="20" w:type="dxa"/>
              <w:bottom w:w="40" w:type="dxa"/>
              <w:right w:w="0" w:type="dxa"/>
            </w:tcMar>
            <w:vAlign w:val="bottom"/>
          </w:tcPr>
          <w:p w14:paraId="7C207E59" w14:textId="77777777" w:rsidR="00834A75" w:rsidRDefault="00A6708C">
            <w:pPr>
              <w:jc w:val="right"/>
              <w:textAlignment w:val="bottom"/>
            </w:pPr>
            <w:r>
              <w:rPr>
                <w:rFonts w:ascii="sans-serif" w:eastAsia="sans-serif" w:hAnsi="sans-serif" w:cs="sans-serif"/>
                <w:color w:val="000000"/>
                <w:sz w:val="18"/>
                <w:szCs w:val="18"/>
              </w:rPr>
              <w:t>— </w:t>
            </w:r>
          </w:p>
        </w:tc>
        <w:tc>
          <w:tcPr>
            <w:tcW w:w="0" w:type="auto"/>
            <w:shd w:val="clear" w:color="auto" w:fill="FFFFFF"/>
            <w:tcMar>
              <w:top w:w="40" w:type="dxa"/>
              <w:left w:w="0" w:type="dxa"/>
              <w:bottom w:w="40" w:type="dxa"/>
              <w:right w:w="20" w:type="dxa"/>
            </w:tcMar>
            <w:vAlign w:val="bottom"/>
          </w:tcPr>
          <w:p w14:paraId="7C207E5A" w14:textId="77777777" w:rsidR="00834A75" w:rsidRDefault="00834A75">
            <w:pPr>
              <w:jc w:val="right"/>
              <w:rPr>
                <w:rFonts w:ascii="宋体"/>
              </w:rPr>
            </w:pPr>
          </w:p>
        </w:tc>
      </w:tr>
      <w:tr w:rsidR="00834A75" w14:paraId="7C207E62" w14:textId="77777777">
        <w:trPr>
          <w:jc w:val="center"/>
        </w:trPr>
        <w:tc>
          <w:tcPr>
            <w:tcW w:w="0" w:type="auto"/>
            <w:gridSpan w:val="3"/>
            <w:shd w:val="clear" w:color="auto" w:fill="E2EFD9"/>
            <w:tcMar>
              <w:top w:w="40" w:type="dxa"/>
              <w:left w:w="155" w:type="dxa"/>
              <w:bottom w:w="40" w:type="dxa"/>
              <w:right w:w="20" w:type="dxa"/>
            </w:tcMar>
            <w:vAlign w:val="bottom"/>
          </w:tcPr>
          <w:p w14:paraId="7C207E5C" w14:textId="77777777" w:rsidR="00834A75" w:rsidRDefault="00A6708C">
            <w:pPr>
              <w:textAlignment w:val="bottom"/>
            </w:pPr>
            <w:r>
              <w:rPr>
                <w:rFonts w:ascii="sans-serif" w:eastAsia="sans-serif" w:hAnsi="sans-serif" w:cs="sans-serif"/>
                <w:color w:val="000000"/>
                <w:sz w:val="18"/>
                <w:szCs w:val="18"/>
              </w:rPr>
              <w:t>Payments related to tax on restricted stock units</w:t>
            </w:r>
          </w:p>
        </w:tc>
        <w:tc>
          <w:tcPr>
            <w:tcW w:w="0" w:type="auto"/>
            <w:gridSpan w:val="2"/>
            <w:shd w:val="clear" w:color="auto" w:fill="E2EFD9"/>
            <w:tcMar>
              <w:top w:w="40" w:type="dxa"/>
              <w:left w:w="20" w:type="dxa"/>
              <w:bottom w:w="40" w:type="dxa"/>
              <w:right w:w="0" w:type="dxa"/>
            </w:tcMar>
            <w:vAlign w:val="bottom"/>
          </w:tcPr>
          <w:p w14:paraId="7C207E5D" w14:textId="77777777" w:rsidR="00834A75" w:rsidRDefault="00A6708C">
            <w:pPr>
              <w:jc w:val="right"/>
              <w:textAlignment w:val="bottom"/>
            </w:pPr>
            <w:r>
              <w:rPr>
                <w:rFonts w:ascii="sans-serif" w:eastAsia="sans-serif" w:hAnsi="sans-serif" w:cs="sans-serif"/>
                <w:color w:val="000000"/>
                <w:sz w:val="18"/>
                <w:szCs w:val="18"/>
              </w:rPr>
              <w:t>(532)</w:t>
            </w:r>
          </w:p>
        </w:tc>
        <w:tc>
          <w:tcPr>
            <w:tcW w:w="0" w:type="auto"/>
            <w:shd w:val="clear" w:color="auto" w:fill="E2EFD9"/>
            <w:tcMar>
              <w:top w:w="40" w:type="dxa"/>
              <w:left w:w="0" w:type="dxa"/>
              <w:bottom w:w="40" w:type="dxa"/>
              <w:right w:w="20" w:type="dxa"/>
            </w:tcMar>
            <w:vAlign w:val="bottom"/>
          </w:tcPr>
          <w:p w14:paraId="7C207E5E" w14:textId="77777777" w:rsidR="00834A75" w:rsidRDefault="00834A75">
            <w:pPr>
              <w:jc w:val="right"/>
              <w:rPr>
                <w:rFonts w:ascii="宋体"/>
              </w:rPr>
            </w:pPr>
          </w:p>
        </w:tc>
        <w:tc>
          <w:tcPr>
            <w:tcW w:w="0" w:type="auto"/>
            <w:gridSpan w:val="3"/>
            <w:shd w:val="clear" w:color="auto" w:fill="E2EFD9"/>
            <w:tcMar>
              <w:top w:w="0" w:type="dxa"/>
              <w:left w:w="20" w:type="dxa"/>
              <w:bottom w:w="0" w:type="dxa"/>
              <w:right w:w="20" w:type="dxa"/>
            </w:tcMar>
            <w:vAlign w:val="bottom"/>
          </w:tcPr>
          <w:p w14:paraId="7C207E5F" w14:textId="77777777" w:rsidR="00834A75" w:rsidRDefault="00834A75">
            <w:pPr>
              <w:rPr>
                <w:rFonts w:ascii="宋体"/>
              </w:rPr>
            </w:pPr>
          </w:p>
        </w:tc>
        <w:tc>
          <w:tcPr>
            <w:tcW w:w="0" w:type="auto"/>
            <w:gridSpan w:val="2"/>
            <w:shd w:val="clear" w:color="auto" w:fill="E2EFD9"/>
            <w:tcMar>
              <w:top w:w="40" w:type="dxa"/>
              <w:left w:w="20" w:type="dxa"/>
              <w:bottom w:w="40" w:type="dxa"/>
              <w:right w:w="0" w:type="dxa"/>
            </w:tcMar>
            <w:vAlign w:val="bottom"/>
          </w:tcPr>
          <w:p w14:paraId="7C207E60" w14:textId="77777777" w:rsidR="00834A75" w:rsidRDefault="00A6708C">
            <w:pPr>
              <w:jc w:val="right"/>
              <w:textAlignment w:val="bottom"/>
            </w:pPr>
            <w:r>
              <w:rPr>
                <w:rFonts w:ascii="sans-serif" w:eastAsia="sans-serif" w:hAnsi="sans-serif" w:cs="sans-serif"/>
                <w:color w:val="000000"/>
                <w:sz w:val="18"/>
                <w:szCs w:val="18"/>
              </w:rPr>
              <w:t>(477)</w:t>
            </w:r>
          </w:p>
        </w:tc>
        <w:tc>
          <w:tcPr>
            <w:tcW w:w="0" w:type="auto"/>
            <w:shd w:val="clear" w:color="auto" w:fill="E2EFD9"/>
            <w:tcMar>
              <w:top w:w="40" w:type="dxa"/>
              <w:left w:w="0" w:type="dxa"/>
              <w:bottom w:w="40" w:type="dxa"/>
              <w:right w:w="20" w:type="dxa"/>
            </w:tcMar>
            <w:vAlign w:val="bottom"/>
          </w:tcPr>
          <w:p w14:paraId="7C207E61" w14:textId="77777777" w:rsidR="00834A75" w:rsidRDefault="00834A75">
            <w:pPr>
              <w:jc w:val="right"/>
              <w:rPr>
                <w:rFonts w:ascii="宋体"/>
              </w:rPr>
            </w:pPr>
          </w:p>
        </w:tc>
      </w:tr>
      <w:tr w:rsidR="00834A75" w14:paraId="7C207E67" w14:textId="77777777">
        <w:trPr>
          <w:jc w:val="center"/>
          <w:hidden/>
        </w:trPr>
        <w:tc>
          <w:tcPr>
            <w:tcW w:w="0" w:type="auto"/>
            <w:gridSpan w:val="3"/>
            <w:shd w:val="clear" w:color="auto" w:fill="auto"/>
            <w:vAlign w:val="bottom"/>
          </w:tcPr>
          <w:p w14:paraId="7C207E63" w14:textId="77777777" w:rsidR="00834A75" w:rsidRDefault="00834A75">
            <w:pPr>
              <w:rPr>
                <w:rFonts w:ascii="宋体"/>
                <w:vanish/>
              </w:rPr>
            </w:pPr>
          </w:p>
        </w:tc>
        <w:tc>
          <w:tcPr>
            <w:tcW w:w="0" w:type="auto"/>
            <w:gridSpan w:val="3"/>
            <w:shd w:val="clear" w:color="auto" w:fill="auto"/>
            <w:vAlign w:val="bottom"/>
          </w:tcPr>
          <w:p w14:paraId="7C207E64" w14:textId="77777777" w:rsidR="00834A75" w:rsidRDefault="00834A75">
            <w:pPr>
              <w:rPr>
                <w:rFonts w:ascii="宋体"/>
                <w:vanish/>
              </w:rPr>
            </w:pPr>
          </w:p>
        </w:tc>
        <w:tc>
          <w:tcPr>
            <w:tcW w:w="0" w:type="auto"/>
            <w:gridSpan w:val="3"/>
            <w:shd w:val="clear" w:color="auto" w:fill="auto"/>
            <w:vAlign w:val="bottom"/>
          </w:tcPr>
          <w:p w14:paraId="7C207E65" w14:textId="77777777" w:rsidR="00834A75" w:rsidRDefault="00834A75">
            <w:pPr>
              <w:rPr>
                <w:rFonts w:ascii="宋体"/>
                <w:vanish/>
              </w:rPr>
            </w:pPr>
          </w:p>
        </w:tc>
        <w:tc>
          <w:tcPr>
            <w:tcW w:w="0" w:type="auto"/>
            <w:gridSpan w:val="3"/>
            <w:shd w:val="clear" w:color="auto" w:fill="auto"/>
            <w:vAlign w:val="bottom"/>
          </w:tcPr>
          <w:p w14:paraId="7C207E66" w14:textId="77777777" w:rsidR="00834A75" w:rsidRDefault="00834A75">
            <w:pPr>
              <w:rPr>
                <w:rFonts w:ascii="宋体"/>
                <w:vanish/>
              </w:rPr>
            </w:pPr>
          </w:p>
        </w:tc>
      </w:tr>
      <w:tr w:rsidR="00834A75" w14:paraId="7C207E6E" w14:textId="77777777">
        <w:trPr>
          <w:jc w:val="center"/>
        </w:trPr>
        <w:tc>
          <w:tcPr>
            <w:tcW w:w="0" w:type="auto"/>
            <w:gridSpan w:val="3"/>
            <w:shd w:val="clear" w:color="auto" w:fill="FFFFFF"/>
            <w:tcMar>
              <w:top w:w="40" w:type="dxa"/>
              <w:left w:w="155" w:type="dxa"/>
              <w:bottom w:w="40" w:type="dxa"/>
              <w:right w:w="20" w:type="dxa"/>
            </w:tcMar>
            <w:vAlign w:val="bottom"/>
          </w:tcPr>
          <w:p w14:paraId="7C207E68" w14:textId="77777777" w:rsidR="00834A75" w:rsidRDefault="00A6708C">
            <w:pPr>
              <w:textAlignment w:val="bottom"/>
            </w:pPr>
            <w:r>
              <w:rPr>
                <w:rFonts w:ascii="sans-serif" w:eastAsia="sans-serif" w:hAnsi="sans-serif" w:cs="sans-serif"/>
                <w:color w:val="000000"/>
                <w:sz w:val="18"/>
                <w:szCs w:val="18"/>
              </w:rPr>
              <w:t>Dividends paid</w:t>
            </w:r>
          </w:p>
        </w:tc>
        <w:tc>
          <w:tcPr>
            <w:tcW w:w="0" w:type="auto"/>
            <w:gridSpan w:val="2"/>
            <w:shd w:val="clear" w:color="auto" w:fill="FFFFFF"/>
            <w:tcMar>
              <w:top w:w="40" w:type="dxa"/>
              <w:left w:w="20" w:type="dxa"/>
              <w:bottom w:w="40" w:type="dxa"/>
              <w:right w:w="0" w:type="dxa"/>
            </w:tcMar>
            <w:vAlign w:val="bottom"/>
          </w:tcPr>
          <w:p w14:paraId="7C207E69" w14:textId="77777777" w:rsidR="00834A75" w:rsidRDefault="00A6708C">
            <w:pPr>
              <w:jc w:val="right"/>
              <w:textAlignment w:val="bottom"/>
            </w:pPr>
            <w:r>
              <w:rPr>
                <w:rFonts w:ascii="sans-serif" w:eastAsia="sans-serif" w:hAnsi="sans-serif" w:cs="sans-serif"/>
                <w:color w:val="000000"/>
                <w:sz w:val="18"/>
                <w:szCs w:val="18"/>
              </w:rPr>
              <w:t>(100)</w:t>
            </w:r>
          </w:p>
        </w:tc>
        <w:tc>
          <w:tcPr>
            <w:tcW w:w="0" w:type="auto"/>
            <w:shd w:val="clear" w:color="auto" w:fill="FFFFFF"/>
            <w:tcMar>
              <w:top w:w="40" w:type="dxa"/>
              <w:left w:w="0" w:type="dxa"/>
              <w:bottom w:w="40" w:type="dxa"/>
              <w:right w:w="20" w:type="dxa"/>
            </w:tcMar>
            <w:vAlign w:val="bottom"/>
          </w:tcPr>
          <w:p w14:paraId="7C207E6A" w14:textId="77777777" w:rsidR="00834A75" w:rsidRDefault="00834A75">
            <w:pPr>
              <w:jc w:val="right"/>
              <w:rPr>
                <w:rFonts w:ascii="宋体"/>
              </w:rPr>
            </w:pPr>
          </w:p>
        </w:tc>
        <w:tc>
          <w:tcPr>
            <w:tcW w:w="0" w:type="auto"/>
            <w:gridSpan w:val="3"/>
            <w:shd w:val="clear" w:color="auto" w:fill="FFFFFF"/>
            <w:tcMar>
              <w:top w:w="0" w:type="dxa"/>
              <w:left w:w="20" w:type="dxa"/>
              <w:bottom w:w="0" w:type="dxa"/>
              <w:right w:w="20" w:type="dxa"/>
            </w:tcMar>
            <w:vAlign w:val="bottom"/>
          </w:tcPr>
          <w:p w14:paraId="7C207E6B" w14:textId="77777777" w:rsidR="00834A75" w:rsidRDefault="00834A75">
            <w:pPr>
              <w:rPr>
                <w:rFonts w:ascii="宋体"/>
              </w:rPr>
            </w:pPr>
          </w:p>
        </w:tc>
        <w:tc>
          <w:tcPr>
            <w:tcW w:w="0" w:type="auto"/>
            <w:gridSpan w:val="2"/>
            <w:shd w:val="clear" w:color="auto" w:fill="FFFFFF"/>
            <w:tcMar>
              <w:top w:w="40" w:type="dxa"/>
              <w:left w:w="20" w:type="dxa"/>
              <w:bottom w:w="40" w:type="dxa"/>
              <w:right w:w="0" w:type="dxa"/>
            </w:tcMar>
            <w:vAlign w:val="bottom"/>
          </w:tcPr>
          <w:p w14:paraId="7C207E6C" w14:textId="77777777" w:rsidR="00834A75" w:rsidRDefault="00A6708C">
            <w:pPr>
              <w:jc w:val="right"/>
              <w:textAlignment w:val="bottom"/>
            </w:pPr>
            <w:r>
              <w:rPr>
                <w:rFonts w:ascii="sans-serif" w:eastAsia="sans-serif" w:hAnsi="sans-serif" w:cs="sans-serif"/>
                <w:color w:val="000000"/>
                <w:sz w:val="18"/>
                <w:szCs w:val="18"/>
              </w:rPr>
              <w:t>(99)</w:t>
            </w:r>
          </w:p>
        </w:tc>
        <w:tc>
          <w:tcPr>
            <w:tcW w:w="0" w:type="auto"/>
            <w:shd w:val="clear" w:color="auto" w:fill="FFFFFF"/>
            <w:tcMar>
              <w:top w:w="40" w:type="dxa"/>
              <w:left w:w="0" w:type="dxa"/>
              <w:bottom w:w="40" w:type="dxa"/>
              <w:right w:w="20" w:type="dxa"/>
            </w:tcMar>
            <w:vAlign w:val="bottom"/>
          </w:tcPr>
          <w:p w14:paraId="7C207E6D" w14:textId="77777777" w:rsidR="00834A75" w:rsidRDefault="00834A75">
            <w:pPr>
              <w:jc w:val="right"/>
              <w:rPr>
                <w:rFonts w:ascii="宋体"/>
              </w:rPr>
            </w:pPr>
          </w:p>
        </w:tc>
      </w:tr>
      <w:tr w:rsidR="00834A75" w14:paraId="7C207E75" w14:textId="77777777">
        <w:trPr>
          <w:jc w:val="center"/>
        </w:trPr>
        <w:tc>
          <w:tcPr>
            <w:tcW w:w="0" w:type="auto"/>
            <w:gridSpan w:val="3"/>
            <w:shd w:val="clear" w:color="auto" w:fill="E2EFD9"/>
            <w:tcMar>
              <w:top w:w="40" w:type="dxa"/>
              <w:left w:w="155" w:type="dxa"/>
              <w:bottom w:w="40" w:type="dxa"/>
              <w:right w:w="20" w:type="dxa"/>
            </w:tcMar>
            <w:vAlign w:val="bottom"/>
          </w:tcPr>
          <w:p w14:paraId="7C207E6F" w14:textId="77777777" w:rsidR="00834A75" w:rsidRDefault="00A6708C">
            <w:pPr>
              <w:textAlignment w:val="bottom"/>
            </w:pPr>
            <w:r>
              <w:rPr>
                <w:rFonts w:ascii="sans-serif" w:eastAsia="sans-serif" w:hAnsi="sans-serif" w:cs="sans-serif"/>
                <w:color w:val="000000"/>
                <w:sz w:val="18"/>
                <w:szCs w:val="18"/>
              </w:rPr>
              <w:t>Principal payments on property and equipment and intangible asset</w:t>
            </w:r>
          </w:p>
        </w:tc>
        <w:tc>
          <w:tcPr>
            <w:tcW w:w="0" w:type="auto"/>
            <w:gridSpan w:val="2"/>
            <w:shd w:val="clear" w:color="auto" w:fill="E2EFD9"/>
            <w:tcMar>
              <w:top w:w="40" w:type="dxa"/>
              <w:left w:w="20" w:type="dxa"/>
              <w:bottom w:w="40" w:type="dxa"/>
              <w:right w:w="0" w:type="dxa"/>
            </w:tcMar>
            <w:vAlign w:val="bottom"/>
          </w:tcPr>
          <w:p w14:paraId="7C207E70" w14:textId="77777777" w:rsidR="00834A75" w:rsidRDefault="00A6708C">
            <w:pPr>
              <w:jc w:val="right"/>
              <w:textAlignment w:val="bottom"/>
            </w:pPr>
            <w:r>
              <w:rPr>
                <w:rFonts w:ascii="sans-serif" w:eastAsia="sans-serif" w:hAnsi="sans-serif" w:cs="sans-serif"/>
                <w:color w:val="000000"/>
                <w:sz w:val="18"/>
                <w:szCs w:val="18"/>
              </w:rPr>
              <w:t>(22)</w:t>
            </w:r>
          </w:p>
        </w:tc>
        <w:tc>
          <w:tcPr>
            <w:tcW w:w="0" w:type="auto"/>
            <w:shd w:val="clear" w:color="auto" w:fill="E2EFD9"/>
            <w:tcMar>
              <w:top w:w="40" w:type="dxa"/>
              <w:left w:w="0" w:type="dxa"/>
              <w:bottom w:w="40" w:type="dxa"/>
              <w:right w:w="20" w:type="dxa"/>
            </w:tcMar>
            <w:vAlign w:val="bottom"/>
          </w:tcPr>
          <w:p w14:paraId="7C207E71" w14:textId="77777777" w:rsidR="00834A75" w:rsidRDefault="00834A75">
            <w:pPr>
              <w:jc w:val="right"/>
              <w:rPr>
                <w:rFonts w:ascii="宋体"/>
              </w:rPr>
            </w:pPr>
          </w:p>
        </w:tc>
        <w:tc>
          <w:tcPr>
            <w:tcW w:w="0" w:type="auto"/>
            <w:gridSpan w:val="3"/>
            <w:shd w:val="clear" w:color="auto" w:fill="E2EFD9"/>
            <w:tcMar>
              <w:top w:w="0" w:type="dxa"/>
              <w:left w:w="20" w:type="dxa"/>
              <w:bottom w:w="0" w:type="dxa"/>
              <w:right w:w="20" w:type="dxa"/>
            </w:tcMar>
            <w:vAlign w:val="bottom"/>
          </w:tcPr>
          <w:p w14:paraId="7C207E72" w14:textId="77777777" w:rsidR="00834A75" w:rsidRDefault="00834A75">
            <w:pPr>
              <w:rPr>
                <w:rFonts w:ascii="宋体"/>
              </w:rPr>
            </w:pPr>
          </w:p>
        </w:tc>
        <w:tc>
          <w:tcPr>
            <w:tcW w:w="0" w:type="auto"/>
            <w:gridSpan w:val="2"/>
            <w:shd w:val="clear" w:color="auto" w:fill="E2EFD9"/>
            <w:tcMar>
              <w:top w:w="40" w:type="dxa"/>
              <w:left w:w="20" w:type="dxa"/>
              <w:bottom w:w="40" w:type="dxa"/>
              <w:right w:w="0" w:type="dxa"/>
            </w:tcMar>
            <w:vAlign w:val="bottom"/>
          </w:tcPr>
          <w:p w14:paraId="7C207E73" w14:textId="77777777" w:rsidR="00834A75" w:rsidRDefault="00A6708C">
            <w:pPr>
              <w:jc w:val="right"/>
              <w:textAlignment w:val="bottom"/>
            </w:pPr>
            <w:r>
              <w:rPr>
                <w:rFonts w:ascii="sans-serif" w:eastAsia="sans-serif" w:hAnsi="sans-serif" w:cs="sans-serif"/>
                <w:color w:val="000000"/>
                <w:sz w:val="18"/>
                <w:szCs w:val="18"/>
              </w:rPr>
              <w:t>(19)</w:t>
            </w:r>
          </w:p>
        </w:tc>
        <w:tc>
          <w:tcPr>
            <w:tcW w:w="0" w:type="auto"/>
            <w:shd w:val="clear" w:color="auto" w:fill="E2EFD9"/>
            <w:tcMar>
              <w:top w:w="40" w:type="dxa"/>
              <w:left w:w="0" w:type="dxa"/>
              <w:bottom w:w="40" w:type="dxa"/>
              <w:right w:w="20" w:type="dxa"/>
            </w:tcMar>
            <w:vAlign w:val="bottom"/>
          </w:tcPr>
          <w:p w14:paraId="7C207E74" w14:textId="77777777" w:rsidR="00834A75" w:rsidRDefault="00834A75">
            <w:pPr>
              <w:jc w:val="right"/>
              <w:rPr>
                <w:rFonts w:ascii="宋体"/>
              </w:rPr>
            </w:pPr>
          </w:p>
        </w:tc>
      </w:tr>
      <w:tr w:rsidR="00834A75" w14:paraId="7C207E7A" w14:textId="77777777">
        <w:trPr>
          <w:jc w:val="center"/>
          <w:hidden/>
        </w:trPr>
        <w:tc>
          <w:tcPr>
            <w:tcW w:w="0" w:type="auto"/>
            <w:gridSpan w:val="3"/>
            <w:shd w:val="clear" w:color="auto" w:fill="auto"/>
            <w:vAlign w:val="bottom"/>
          </w:tcPr>
          <w:p w14:paraId="7C207E76" w14:textId="77777777" w:rsidR="00834A75" w:rsidRDefault="00834A75">
            <w:pPr>
              <w:rPr>
                <w:rFonts w:ascii="宋体"/>
                <w:vanish/>
              </w:rPr>
            </w:pPr>
          </w:p>
        </w:tc>
        <w:tc>
          <w:tcPr>
            <w:tcW w:w="0" w:type="auto"/>
            <w:gridSpan w:val="3"/>
            <w:shd w:val="clear" w:color="auto" w:fill="auto"/>
            <w:vAlign w:val="bottom"/>
          </w:tcPr>
          <w:p w14:paraId="7C207E77" w14:textId="77777777" w:rsidR="00834A75" w:rsidRDefault="00834A75">
            <w:pPr>
              <w:rPr>
                <w:rFonts w:ascii="宋体"/>
                <w:vanish/>
              </w:rPr>
            </w:pPr>
          </w:p>
        </w:tc>
        <w:tc>
          <w:tcPr>
            <w:tcW w:w="0" w:type="auto"/>
            <w:gridSpan w:val="3"/>
            <w:shd w:val="clear" w:color="auto" w:fill="auto"/>
            <w:vAlign w:val="bottom"/>
          </w:tcPr>
          <w:p w14:paraId="7C207E78" w14:textId="77777777" w:rsidR="00834A75" w:rsidRDefault="00834A75">
            <w:pPr>
              <w:rPr>
                <w:rFonts w:ascii="宋体"/>
                <w:vanish/>
              </w:rPr>
            </w:pPr>
          </w:p>
        </w:tc>
        <w:tc>
          <w:tcPr>
            <w:tcW w:w="0" w:type="auto"/>
            <w:gridSpan w:val="3"/>
            <w:shd w:val="clear" w:color="auto" w:fill="auto"/>
            <w:vAlign w:val="bottom"/>
          </w:tcPr>
          <w:p w14:paraId="7C207E79" w14:textId="77777777" w:rsidR="00834A75" w:rsidRDefault="00834A75">
            <w:pPr>
              <w:rPr>
                <w:rFonts w:ascii="宋体"/>
                <w:vanish/>
              </w:rPr>
            </w:pPr>
          </w:p>
        </w:tc>
      </w:tr>
      <w:tr w:rsidR="00834A75" w14:paraId="7C207E81" w14:textId="77777777">
        <w:trPr>
          <w:jc w:val="center"/>
        </w:trPr>
        <w:tc>
          <w:tcPr>
            <w:tcW w:w="0" w:type="auto"/>
            <w:gridSpan w:val="3"/>
            <w:shd w:val="clear" w:color="auto" w:fill="FFFFFF"/>
            <w:tcMar>
              <w:top w:w="40" w:type="dxa"/>
              <w:left w:w="155" w:type="dxa"/>
              <w:bottom w:w="40" w:type="dxa"/>
              <w:right w:w="20" w:type="dxa"/>
            </w:tcMar>
            <w:vAlign w:val="bottom"/>
          </w:tcPr>
          <w:p w14:paraId="7C207E7B" w14:textId="77777777" w:rsidR="00834A75" w:rsidRDefault="00A6708C">
            <w:pPr>
              <w:textAlignment w:val="bottom"/>
            </w:pPr>
            <w:r>
              <w:rPr>
                <w:rFonts w:ascii="sans-serif" w:eastAsia="sans-serif" w:hAnsi="sans-serif" w:cs="sans-serif"/>
                <w:color w:val="000000"/>
                <w:sz w:val="18"/>
                <w:szCs w:val="18"/>
              </w:rPr>
              <w:t>Other</w:t>
            </w:r>
          </w:p>
        </w:tc>
        <w:tc>
          <w:tcPr>
            <w:tcW w:w="0" w:type="auto"/>
            <w:gridSpan w:val="2"/>
            <w:shd w:val="clear" w:color="auto" w:fill="FFFFFF"/>
            <w:tcMar>
              <w:top w:w="40" w:type="dxa"/>
              <w:left w:w="20" w:type="dxa"/>
              <w:bottom w:w="40" w:type="dxa"/>
              <w:right w:w="0" w:type="dxa"/>
            </w:tcMar>
            <w:vAlign w:val="bottom"/>
          </w:tcPr>
          <w:p w14:paraId="7C207E7C" w14:textId="77777777" w:rsidR="00834A75" w:rsidRDefault="00A6708C">
            <w:pPr>
              <w:jc w:val="right"/>
              <w:textAlignment w:val="bottom"/>
            </w:pPr>
            <w:r>
              <w:rPr>
                <w:rFonts w:ascii="sans-serif" w:eastAsia="sans-serif" w:hAnsi="sans-serif" w:cs="sans-serif"/>
                <w:color w:val="000000"/>
                <w:sz w:val="18"/>
                <w:szCs w:val="18"/>
              </w:rPr>
              <w:t>— </w:t>
            </w:r>
          </w:p>
        </w:tc>
        <w:tc>
          <w:tcPr>
            <w:tcW w:w="0" w:type="auto"/>
            <w:shd w:val="clear" w:color="auto" w:fill="FFFFFF"/>
            <w:tcMar>
              <w:top w:w="40" w:type="dxa"/>
              <w:left w:w="0" w:type="dxa"/>
              <w:bottom w:w="40" w:type="dxa"/>
              <w:right w:w="20" w:type="dxa"/>
            </w:tcMar>
            <w:vAlign w:val="bottom"/>
          </w:tcPr>
          <w:p w14:paraId="7C207E7D" w14:textId="77777777" w:rsidR="00834A75" w:rsidRDefault="00834A75">
            <w:pPr>
              <w:jc w:val="right"/>
              <w:rPr>
                <w:rFonts w:ascii="宋体"/>
              </w:rPr>
            </w:pPr>
          </w:p>
        </w:tc>
        <w:tc>
          <w:tcPr>
            <w:tcW w:w="0" w:type="auto"/>
            <w:gridSpan w:val="3"/>
            <w:shd w:val="clear" w:color="auto" w:fill="FFFFFF"/>
            <w:tcMar>
              <w:top w:w="0" w:type="dxa"/>
              <w:left w:w="20" w:type="dxa"/>
              <w:bottom w:w="0" w:type="dxa"/>
              <w:right w:w="20" w:type="dxa"/>
            </w:tcMar>
            <w:vAlign w:val="bottom"/>
          </w:tcPr>
          <w:p w14:paraId="7C207E7E" w14:textId="77777777" w:rsidR="00834A75" w:rsidRDefault="00834A75">
            <w:pPr>
              <w:rPr>
                <w:rFonts w:ascii="宋体"/>
              </w:rPr>
            </w:pPr>
          </w:p>
        </w:tc>
        <w:tc>
          <w:tcPr>
            <w:tcW w:w="0" w:type="auto"/>
            <w:gridSpan w:val="2"/>
            <w:shd w:val="clear" w:color="auto" w:fill="FFFFFF"/>
            <w:tcMar>
              <w:top w:w="40" w:type="dxa"/>
              <w:left w:w="20" w:type="dxa"/>
              <w:bottom w:w="40" w:type="dxa"/>
              <w:right w:w="0" w:type="dxa"/>
            </w:tcMar>
            <w:vAlign w:val="bottom"/>
          </w:tcPr>
          <w:p w14:paraId="7C207E7F" w14:textId="77777777" w:rsidR="00834A75" w:rsidRDefault="00A6708C">
            <w:pPr>
              <w:jc w:val="right"/>
              <w:textAlignment w:val="bottom"/>
            </w:pPr>
            <w:r>
              <w:rPr>
                <w:rFonts w:ascii="sans-serif" w:eastAsia="sans-serif" w:hAnsi="sans-serif" w:cs="sans-serif"/>
                <w:color w:val="000000"/>
                <w:sz w:val="18"/>
                <w:szCs w:val="18"/>
              </w:rPr>
              <w:t>(2)</w:t>
            </w:r>
          </w:p>
        </w:tc>
        <w:tc>
          <w:tcPr>
            <w:tcW w:w="0" w:type="auto"/>
            <w:shd w:val="clear" w:color="auto" w:fill="FFFFFF"/>
            <w:tcMar>
              <w:top w:w="40" w:type="dxa"/>
              <w:left w:w="0" w:type="dxa"/>
              <w:bottom w:w="40" w:type="dxa"/>
              <w:right w:w="20" w:type="dxa"/>
            </w:tcMar>
            <w:vAlign w:val="bottom"/>
          </w:tcPr>
          <w:p w14:paraId="7C207E80" w14:textId="77777777" w:rsidR="00834A75" w:rsidRDefault="00834A75">
            <w:pPr>
              <w:jc w:val="right"/>
              <w:rPr>
                <w:rFonts w:ascii="宋体"/>
              </w:rPr>
            </w:pPr>
          </w:p>
        </w:tc>
      </w:tr>
      <w:tr w:rsidR="00834A75" w14:paraId="7C207E88" w14:textId="77777777">
        <w:trPr>
          <w:jc w:val="center"/>
        </w:trPr>
        <w:tc>
          <w:tcPr>
            <w:tcW w:w="0" w:type="auto"/>
            <w:gridSpan w:val="3"/>
            <w:shd w:val="clear" w:color="auto" w:fill="E2EFD9"/>
            <w:tcMar>
              <w:top w:w="40" w:type="dxa"/>
              <w:left w:w="20" w:type="dxa"/>
              <w:bottom w:w="40" w:type="dxa"/>
              <w:right w:w="20" w:type="dxa"/>
            </w:tcMar>
            <w:vAlign w:val="bottom"/>
          </w:tcPr>
          <w:p w14:paraId="7C207E82" w14:textId="77777777" w:rsidR="00834A75" w:rsidRDefault="00A6708C">
            <w:pPr>
              <w:textAlignment w:val="bottom"/>
            </w:pPr>
            <w:r>
              <w:rPr>
                <w:rFonts w:ascii="sans-serif" w:eastAsia="sans-serif" w:hAnsi="sans-serif" w:cs="sans-serif"/>
                <w:color w:val="000000"/>
                <w:sz w:val="18"/>
                <w:szCs w:val="18"/>
              </w:rPr>
              <w:t>Net cash used in financing activities</w:t>
            </w:r>
          </w:p>
        </w:tc>
        <w:tc>
          <w:tcPr>
            <w:tcW w:w="0" w:type="auto"/>
            <w:gridSpan w:val="2"/>
            <w:tcBorders>
              <w:top w:val="single" w:sz="8" w:space="0" w:color="000000"/>
            </w:tcBorders>
            <w:shd w:val="clear" w:color="auto" w:fill="E2EFD9"/>
            <w:tcMar>
              <w:top w:w="40" w:type="dxa"/>
              <w:left w:w="20" w:type="dxa"/>
              <w:bottom w:w="40" w:type="dxa"/>
              <w:right w:w="0" w:type="dxa"/>
            </w:tcMar>
            <w:vAlign w:val="bottom"/>
          </w:tcPr>
          <w:p w14:paraId="7C207E83" w14:textId="77777777" w:rsidR="00834A75" w:rsidRDefault="00A6708C">
            <w:pPr>
              <w:jc w:val="right"/>
              <w:textAlignment w:val="bottom"/>
            </w:pPr>
            <w:r>
              <w:rPr>
                <w:rFonts w:ascii="sans-serif" w:eastAsia="sans-serif" w:hAnsi="sans-serif" w:cs="sans-serif"/>
                <w:color w:val="000000"/>
                <w:sz w:val="18"/>
                <w:szCs w:val="18"/>
              </w:rPr>
              <w:t>(2,446)</w:t>
            </w:r>
          </w:p>
        </w:tc>
        <w:tc>
          <w:tcPr>
            <w:tcW w:w="0" w:type="auto"/>
            <w:tcBorders>
              <w:top w:val="single" w:sz="8" w:space="0" w:color="000000"/>
            </w:tcBorders>
            <w:shd w:val="clear" w:color="auto" w:fill="E2EFD9"/>
            <w:tcMar>
              <w:top w:w="40" w:type="dxa"/>
              <w:left w:w="0" w:type="dxa"/>
              <w:bottom w:w="40" w:type="dxa"/>
              <w:right w:w="20" w:type="dxa"/>
            </w:tcMar>
            <w:vAlign w:val="bottom"/>
          </w:tcPr>
          <w:p w14:paraId="7C207E84" w14:textId="77777777" w:rsidR="00834A75" w:rsidRDefault="00834A75">
            <w:pPr>
              <w:jc w:val="right"/>
              <w:rPr>
                <w:rFonts w:ascii="宋体"/>
              </w:rPr>
            </w:pPr>
          </w:p>
        </w:tc>
        <w:tc>
          <w:tcPr>
            <w:tcW w:w="0" w:type="auto"/>
            <w:gridSpan w:val="3"/>
            <w:shd w:val="clear" w:color="auto" w:fill="E2EFD9"/>
            <w:tcMar>
              <w:top w:w="0" w:type="dxa"/>
              <w:left w:w="20" w:type="dxa"/>
              <w:bottom w:w="0" w:type="dxa"/>
              <w:right w:w="20" w:type="dxa"/>
            </w:tcMar>
            <w:vAlign w:val="bottom"/>
          </w:tcPr>
          <w:p w14:paraId="7C207E85" w14:textId="77777777" w:rsidR="00834A75" w:rsidRDefault="00834A75">
            <w:pPr>
              <w:rPr>
                <w:rFonts w:ascii="宋体"/>
              </w:rPr>
            </w:pPr>
          </w:p>
        </w:tc>
        <w:tc>
          <w:tcPr>
            <w:tcW w:w="0" w:type="auto"/>
            <w:gridSpan w:val="2"/>
            <w:tcBorders>
              <w:top w:val="single" w:sz="8" w:space="0" w:color="000000"/>
            </w:tcBorders>
            <w:shd w:val="clear" w:color="auto" w:fill="E2EFD9"/>
            <w:tcMar>
              <w:top w:w="40" w:type="dxa"/>
              <w:left w:w="20" w:type="dxa"/>
              <w:bottom w:w="40" w:type="dxa"/>
              <w:right w:w="0" w:type="dxa"/>
            </w:tcMar>
            <w:vAlign w:val="bottom"/>
          </w:tcPr>
          <w:p w14:paraId="7C207E86" w14:textId="77777777" w:rsidR="00834A75" w:rsidRDefault="00A6708C">
            <w:pPr>
              <w:jc w:val="right"/>
              <w:textAlignment w:val="bottom"/>
            </w:pPr>
            <w:r>
              <w:rPr>
                <w:rFonts w:ascii="sans-serif" w:eastAsia="sans-serif" w:hAnsi="sans-serif" w:cs="sans-serif"/>
                <w:color w:val="000000"/>
                <w:sz w:val="18"/>
                <w:szCs w:val="18"/>
              </w:rPr>
              <w:t>(471)</w:t>
            </w:r>
          </w:p>
        </w:tc>
        <w:tc>
          <w:tcPr>
            <w:tcW w:w="0" w:type="auto"/>
            <w:tcBorders>
              <w:top w:val="single" w:sz="8" w:space="0" w:color="000000"/>
            </w:tcBorders>
            <w:shd w:val="clear" w:color="auto" w:fill="E2EFD9"/>
            <w:tcMar>
              <w:top w:w="40" w:type="dxa"/>
              <w:left w:w="0" w:type="dxa"/>
              <w:bottom w:w="40" w:type="dxa"/>
              <w:right w:w="20" w:type="dxa"/>
            </w:tcMar>
            <w:vAlign w:val="bottom"/>
          </w:tcPr>
          <w:p w14:paraId="7C207E87" w14:textId="77777777" w:rsidR="00834A75" w:rsidRDefault="00834A75">
            <w:pPr>
              <w:jc w:val="right"/>
              <w:rPr>
                <w:rFonts w:ascii="宋体"/>
              </w:rPr>
            </w:pPr>
          </w:p>
        </w:tc>
      </w:tr>
      <w:tr w:rsidR="00834A75" w14:paraId="7C207E8F" w14:textId="77777777">
        <w:trPr>
          <w:jc w:val="center"/>
        </w:trPr>
        <w:tc>
          <w:tcPr>
            <w:tcW w:w="0" w:type="auto"/>
            <w:gridSpan w:val="3"/>
            <w:shd w:val="clear" w:color="auto" w:fill="FFFFFF"/>
            <w:tcMar>
              <w:top w:w="40" w:type="dxa"/>
              <w:left w:w="20" w:type="dxa"/>
              <w:bottom w:w="40" w:type="dxa"/>
              <w:right w:w="20" w:type="dxa"/>
            </w:tcMar>
            <w:vAlign w:val="bottom"/>
          </w:tcPr>
          <w:p w14:paraId="7C207E89" w14:textId="77777777" w:rsidR="00834A75" w:rsidRDefault="00A6708C">
            <w:pPr>
              <w:textAlignment w:val="bottom"/>
            </w:pPr>
            <w:r>
              <w:rPr>
                <w:rFonts w:ascii="sans-serif" w:eastAsia="sans-serif" w:hAnsi="sans-serif" w:cs="sans-serif"/>
                <w:color w:val="000000"/>
                <w:sz w:val="18"/>
                <w:szCs w:val="18"/>
              </w:rPr>
              <w:t>Change in cash and cash equivalents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C207E8A" w14:textId="77777777" w:rsidR="00834A75" w:rsidRDefault="00A6708C">
            <w:pPr>
              <w:jc w:val="right"/>
              <w:textAlignment w:val="bottom"/>
            </w:pPr>
            <w:r>
              <w:rPr>
                <w:rFonts w:ascii="sans-serif" w:eastAsia="sans-serif" w:hAnsi="sans-serif" w:cs="sans-serif"/>
                <w:color w:val="000000"/>
                <w:sz w:val="18"/>
                <w:szCs w:val="18"/>
              </w:rPr>
              <w:t>1,897 </w:t>
            </w:r>
          </w:p>
        </w:tc>
        <w:tc>
          <w:tcPr>
            <w:tcW w:w="0" w:type="auto"/>
            <w:tcBorders>
              <w:top w:val="single" w:sz="8" w:space="0" w:color="000000"/>
            </w:tcBorders>
            <w:shd w:val="clear" w:color="auto" w:fill="FFFFFF"/>
            <w:tcMar>
              <w:top w:w="40" w:type="dxa"/>
              <w:left w:w="0" w:type="dxa"/>
              <w:bottom w:w="40" w:type="dxa"/>
              <w:right w:w="20" w:type="dxa"/>
            </w:tcMar>
            <w:vAlign w:val="bottom"/>
          </w:tcPr>
          <w:p w14:paraId="7C207E8B" w14:textId="77777777" w:rsidR="00834A75" w:rsidRDefault="00834A75">
            <w:pPr>
              <w:jc w:val="right"/>
              <w:rPr>
                <w:rFonts w:ascii="宋体"/>
              </w:rPr>
            </w:pPr>
          </w:p>
        </w:tc>
        <w:tc>
          <w:tcPr>
            <w:tcW w:w="0" w:type="auto"/>
            <w:gridSpan w:val="3"/>
            <w:shd w:val="clear" w:color="auto" w:fill="FFFFFF"/>
            <w:tcMar>
              <w:top w:w="0" w:type="dxa"/>
              <w:left w:w="20" w:type="dxa"/>
              <w:bottom w:w="0" w:type="dxa"/>
              <w:right w:w="20" w:type="dxa"/>
            </w:tcMar>
            <w:vAlign w:val="bottom"/>
          </w:tcPr>
          <w:p w14:paraId="7C207E8C" w14:textId="77777777" w:rsidR="00834A75" w:rsidRDefault="00834A75">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C207E8D" w14:textId="77777777" w:rsidR="00834A75" w:rsidRDefault="00A6708C">
            <w:pPr>
              <w:jc w:val="right"/>
              <w:textAlignment w:val="bottom"/>
            </w:pPr>
            <w:r>
              <w:rPr>
                <w:rFonts w:ascii="sans-serif" w:eastAsia="sans-serif" w:hAnsi="sans-serif" w:cs="sans-serif"/>
                <w:color w:val="000000"/>
                <w:sz w:val="18"/>
                <w:szCs w:val="18"/>
              </w:rPr>
              <w:t>131 </w:t>
            </w:r>
          </w:p>
        </w:tc>
        <w:tc>
          <w:tcPr>
            <w:tcW w:w="0" w:type="auto"/>
            <w:tcBorders>
              <w:top w:val="single" w:sz="8" w:space="0" w:color="000000"/>
            </w:tcBorders>
            <w:shd w:val="clear" w:color="auto" w:fill="FFFFFF"/>
            <w:tcMar>
              <w:top w:w="40" w:type="dxa"/>
              <w:left w:w="0" w:type="dxa"/>
              <w:bottom w:w="40" w:type="dxa"/>
              <w:right w:w="20" w:type="dxa"/>
            </w:tcMar>
            <w:vAlign w:val="bottom"/>
          </w:tcPr>
          <w:p w14:paraId="7C207E8E" w14:textId="77777777" w:rsidR="00834A75" w:rsidRDefault="00834A75">
            <w:pPr>
              <w:jc w:val="right"/>
              <w:rPr>
                <w:rFonts w:ascii="宋体"/>
              </w:rPr>
            </w:pPr>
          </w:p>
        </w:tc>
      </w:tr>
      <w:tr w:rsidR="00834A75" w14:paraId="7C207E96" w14:textId="77777777">
        <w:trPr>
          <w:jc w:val="center"/>
        </w:trPr>
        <w:tc>
          <w:tcPr>
            <w:tcW w:w="0" w:type="auto"/>
            <w:gridSpan w:val="3"/>
            <w:shd w:val="clear" w:color="auto" w:fill="E2EFD9"/>
            <w:tcMar>
              <w:top w:w="40" w:type="dxa"/>
              <w:left w:w="20" w:type="dxa"/>
              <w:bottom w:w="40" w:type="dxa"/>
              <w:right w:w="20" w:type="dxa"/>
            </w:tcMar>
            <w:vAlign w:val="bottom"/>
          </w:tcPr>
          <w:p w14:paraId="7C207E90" w14:textId="77777777" w:rsidR="00834A75" w:rsidRDefault="00A6708C">
            <w:pPr>
              <w:textAlignment w:val="bottom"/>
            </w:pPr>
            <w:r>
              <w:rPr>
                <w:rFonts w:ascii="sans-serif" w:eastAsia="sans-serif" w:hAnsi="sans-serif" w:cs="sans-serif"/>
                <w:color w:val="000000"/>
                <w:sz w:val="18"/>
                <w:szCs w:val="18"/>
              </w:rPr>
              <w:t>Cash and cash equivalents at beginning of period</w:t>
            </w:r>
          </w:p>
        </w:tc>
        <w:tc>
          <w:tcPr>
            <w:tcW w:w="0" w:type="auto"/>
            <w:gridSpan w:val="2"/>
            <w:shd w:val="clear" w:color="auto" w:fill="E2EFD9"/>
            <w:tcMar>
              <w:top w:w="40" w:type="dxa"/>
              <w:left w:w="20" w:type="dxa"/>
              <w:bottom w:w="40" w:type="dxa"/>
              <w:right w:w="0" w:type="dxa"/>
            </w:tcMar>
            <w:vAlign w:val="bottom"/>
          </w:tcPr>
          <w:p w14:paraId="7C207E91" w14:textId="77777777" w:rsidR="00834A75" w:rsidRDefault="00A6708C">
            <w:pPr>
              <w:jc w:val="right"/>
              <w:textAlignment w:val="bottom"/>
            </w:pPr>
            <w:r>
              <w:rPr>
                <w:rFonts w:ascii="sans-serif" w:eastAsia="sans-serif" w:hAnsi="sans-serif" w:cs="sans-serif"/>
                <w:color w:val="000000"/>
                <w:sz w:val="18"/>
                <w:szCs w:val="18"/>
              </w:rPr>
              <w:t>1,990 </w:t>
            </w:r>
          </w:p>
        </w:tc>
        <w:tc>
          <w:tcPr>
            <w:tcW w:w="0" w:type="auto"/>
            <w:shd w:val="clear" w:color="auto" w:fill="E2EFD9"/>
            <w:tcMar>
              <w:top w:w="40" w:type="dxa"/>
              <w:left w:w="0" w:type="dxa"/>
              <w:bottom w:w="40" w:type="dxa"/>
              <w:right w:w="20" w:type="dxa"/>
            </w:tcMar>
            <w:vAlign w:val="bottom"/>
          </w:tcPr>
          <w:p w14:paraId="7C207E92" w14:textId="77777777" w:rsidR="00834A75" w:rsidRDefault="00834A75">
            <w:pPr>
              <w:jc w:val="right"/>
              <w:rPr>
                <w:rFonts w:ascii="宋体"/>
              </w:rPr>
            </w:pPr>
          </w:p>
        </w:tc>
        <w:tc>
          <w:tcPr>
            <w:tcW w:w="0" w:type="auto"/>
            <w:gridSpan w:val="3"/>
            <w:shd w:val="clear" w:color="auto" w:fill="E2EFD9"/>
            <w:tcMar>
              <w:top w:w="0" w:type="dxa"/>
              <w:left w:w="20" w:type="dxa"/>
              <w:bottom w:w="0" w:type="dxa"/>
              <w:right w:w="20" w:type="dxa"/>
            </w:tcMar>
            <w:vAlign w:val="bottom"/>
          </w:tcPr>
          <w:p w14:paraId="7C207E93" w14:textId="77777777" w:rsidR="00834A75" w:rsidRDefault="00834A75">
            <w:pPr>
              <w:rPr>
                <w:rFonts w:ascii="宋体"/>
              </w:rPr>
            </w:pPr>
          </w:p>
        </w:tc>
        <w:tc>
          <w:tcPr>
            <w:tcW w:w="0" w:type="auto"/>
            <w:gridSpan w:val="2"/>
            <w:shd w:val="clear" w:color="auto" w:fill="E2EFD9"/>
            <w:tcMar>
              <w:top w:w="40" w:type="dxa"/>
              <w:left w:w="20" w:type="dxa"/>
              <w:bottom w:w="40" w:type="dxa"/>
              <w:right w:w="0" w:type="dxa"/>
            </w:tcMar>
            <w:vAlign w:val="bottom"/>
          </w:tcPr>
          <w:p w14:paraId="7C207E94" w14:textId="77777777" w:rsidR="00834A75" w:rsidRDefault="00A6708C">
            <w:pPr>
              <w:jc w:val="right"/>
              <w:textAlignment w:val="bottom"/>
            </w:pPr>
            <w:r>
              <w:rPr>
                <w:rFonts w:ascii="sans-serif" w:eastAsia="sans-serif" w:hAnsi="sans-serif" w:cs="sans-serif"/>
                <w:color w:val="000000"/>
                <w:sz w:val="18"/>
                <w:szCs w:val="18"/>
              </w:rPr>
              <w:t>847 </w:t>
            </w:r>
          </w:p>
        </w:tc>
        <w:tc>
          <w:tcPr>
            <w:tcW w:w="0" w:type="auto"/>
            <w:shd w:val="clear" w:color="auto" w:fill="E2EFD9"/>
            <w:tcMar>
              <w:top w:w="40" w:type="dxa"/>
              <w:left w:w="0" w:type="dxa"/>
              <w:bottom w:w="40" w:type="dxa"/>
              <w:right w:w="20" w:type="dxa"/>
            </w:tcMar>
            <w:vAlign w:val="bottom"/>
          </w:tcPr>
          <w:p w14:paraId="7C207E95" w14:textId="77777777" w:rsidR="00834A75" w:rsidRDefault="00834A75">
            <w:pPr>
              <w:jc w:val="right"/>
              <w:rPr>
                <w:rFonts w:ascii="宋体"/>
              </w:rPr>
            </w:pPr>
          </w:p>
        </w:tc>
      </w:tr>
      <w:tr w:rsidR="00834A75" w14:paraId="7C207E9F" w14:textId="77777777">
        <w:trPr>
          <w:jc w:val="center"/>
        </w:trPr>
        <w:tc>
          <w:tcPr>
            <w:tcW w:w="0" w:type="auto"/>
            <w:gridSpan w:val="3"/>
            <w:shd w:val="clear" w:color="auto" w:fill="FFFFFF"/>
            <w:tcMar>
              <w:top w:w="40" w:type="dxa"/>
              <w:left w:w="20" w:type="dxa"/>
              <w:bottom w:w="40" w:type="dxa"/>
              <w:right w:w="20" w:type="dxa"/>
            </w:tcMar>
            <w:vAlign w:val="bottom"/>
          </w:tcPr>
          <w:p w14:paraId="7C207E97" w14:textId="77777777" w:rsidR="00834A75" w:rsidRDefault="00A6708C">
            <w:pPr>
              <w:textAlignment w:val="bottom"/>
            </w:pPr>
            <w:r>
              <w:rPr>
                <w:rFonts w:ascii="sans-serif" w:eastAsia="sans-serif" w:hAnsi="sans-serif" w:cs="sans-serif"/>
                <w:color w:val="000000"/>
                <w:sz w:val="18"/>
                <w:szCs w:val="18"/>
              </w:rPr>
              <w:t xml:space="preserve">Cash and cash equivalents at end of </w:t>
            </w:r>
            <w:r>
              <w:rPr>
                <w:rFonts w:ascii="sans-serif" w:eastAsia="sans-serif" w:hAnsi="sans-serif" w:cs="sans-serif"/>
                <w:color w:val="000000"/>
                <w:sz w:val="18"/>
                <w:szCs w:val="18"/>
              </w:rPr>
              <w:t>period</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C207E98" w14:textId="77777777" w:rsidR="00834A75" w:rsidRDefault="00A6708C">
            <w:pPr>
              <w:textAlignment w:val="bottom"/>
            </w:pPr>
            <w:r>
              <w:rPr>
                <w:rFonts w:ascii="sans-serif" w:eastAsia="sans-serif" w:hAnsi="sans-serif" w:cs="sans-serif"/>
                <w:color w:val="000000"/>
                <w:sz w:val="18"/>
                <w:szCs w:val="18"/>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C207E99" w14:textId="77777777" w:rsidR="00834A75" w:rsidRDefault="00A6708C">
            <w:pPr>
              <w:jc w:val="right"/>
              <w:textAlignment w:val="bottom"/>
            </w:pPr>
            <w:r>
              <w:rPr>
                <w:rFonts w:ascii="sans-serif" w:eastAsia="sans-serif" w:hAnsi="sans-serif" w:cs="sans-serif"/>
                <w:color w:val="000000"/>
                <w:sz w:val="18"/>
                <w:szCs w:val="18"/>
              </w:rPr>
              <w:t>3,887 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C207E9A" w14:textId="77777777" w:rsidR="00834A75" w:rsidRDefault="00834A75">
            <w:pPr>
              <w:jc w:val="right"/>
              <w:rPr>
                <w:rFonts w:ascii="宋体"/>
              </w:rPr>
            </w:pPr>
          </w:p>
        </w:tc>
        <w:tc>
          <w:tcPr>
            <w:tcW w:w="0" w:type="auto"/>
            <w:gridSpan w:val="3"/>
            <w:shd w:val="clear" w:color="auto" w:fill="FFFFFF"/>
            <w:tcMar>
              <w:top w:w="0" w:type="dxa"/>
              <w:left w:w="20" w:type="dxa"/>
              <w:bottom w:w="0" w:type="dxa"/>
              <w:right w:w="20" w:type="dxa"/>
            </w:tcMar>
            <w:vAlign w:val="bottom"/>
          </w:tcPr>
          <w:p w14:paraId="7C207E9B" w14:textId="77777777" w:rsidR="00834A75" w:rsidRDefault="00834A75">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C207E9C" w14:textId="77777777" w:rsidR="00834A75" w:rsidRDefault="00A6708C">
            <w:pPr>
              <w:textAlignment w:val="bottom"/>
            </w:pPr>
            <w:r>
              <w:rPr>
                <w:rFonts w:ascii="sans-serif" w:eastAsia="sans-serif" w:hAnsi="sans-serif" w:cs="sans-serif"/>
                <w:color w:val="000000"/>
                <w:sz w:val="18"/>
                <w:szCs w:val="18"/>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C207E9D" w14:textId="77777777" w:rsidR="00834A75" w:rsidRDefault="00A6708C">
            <w:pPr>
              <w:jc w:val="right"/>
              <w:textAlignment w:val="bottom"/>
            </w:pPr>
            <w:r>
              <w:rPr>
                <w:rFonts w:ascii="sans-serif" w:eastAsia="sans-serif" w:hAnsi="sans-serif" w:cs="sans-serif"/>
                <w:color w:val="000000"/>
                <w:sz w:val="18"/>
                <w:szCs w:val="18"/>
              </w:rPr>
              <w:t>978 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C207E9E" w14:textId="77777777" w:rsidR="00834A75" w:rsidRDefault="00834A75">
            <w:pPr>
              <w:jc w:val="right"/>
              <w:rPr>
                <w:rFonts w:ascii="宋体"/>
              </w:rPr>
            </w:pPr>
          </w:p>
        </w:tc>
      </w:tr>
      <w:tr w:rsidR="00834A75" w14:paraId="7C207EA4" w14:textId="77777777">
        <w:trPr>
          <w:jc w:val="center"/>
          <w:hidden/>
        </w:trPr>
        <w:tc>
          <w:tcPr>
            <w:tcW w:w="0" w:type="auto"/>
            <w:gridSpan w:val="3"/>
            <w:shd w:val="clear" w:color="auto" w:fill="auto"/>
            <w:vAlign w:val="bottom"/>
          </w:tcPr>
          <w:p w14:paraId="7C207EA0" w14:textId="77777777" w:rsidR="00834A75" w:rsidRDefault="00834A75">
            <w:pPr>
              <w:rPr>
                <w:rFonts w:ascii="宋体"/>
                <w:vanish/>
              </w:rPr>
            </w:pPr>
          </w:p>
        </w:tc>
        <w:tc>
          <w:tcPr>
            <w:tcW w:w="0" w:type="auto"/>
            <w:gridSpan w:val="3"/>
            <w:shd w:val="clear" w:color="auto" w:fill="auto"/>
            <w:vAlign w:val="bottom"/>
          </w:tcPr>
          <w:p w14:paraId="7C207EA1" w14:textId="77777777" w:rsidR="00834A75" w:rsidRDefault="00834A75">
            <w:pPr>
              <w:rPr>
                <w:rFonts w:ascii="宋体"/>
                <w:vanish/>
              </w:rPr>
            </w:pPr>
          </w:p>
        </w:tc>
        <w:tc>
          <w:tcPr>
            <w:tcW w:w="0" w:type="auto"/>
            <w:gridSpan w:val="3"/>
            <w:shd w:val="clear" w:color="auto" w:fill="auto"/>
            <w:vAlign w:val="bottom"/>
          </w:tcPr>
          <w:p w14:paraId="7C207EA2" w14:textId="77777777" w:rsidR="00834A75" w:rsidRDefault="00834A75">
            <w:pPr>
              <w:rPr>
                <w:rFonts w:ascii="宋体"/>
                <w:vanish/>
              </w:rPr>
            </w:pPr>
          </w:p>
        </w:tc>
        <w:tc>
          <w:tcPr>
            <w:tcW w:w="0" w:type="auto"/>
            <w:gridSpan w:val="3"/>
            <w:shd w:val="clear" w:color="auto" w:fill="auto"/>
            <w:vAlign w:val="bottom"/>
          </w:tcPr>
          <w:p w14:paraId="7C207EA3" w14:textId="77777777" w:rsidR="00834A75" w:rsidRDefault="00834A75">
            <w:pPr>
              <w:rPr>
                <w:rFonts w:ascii="宋体"/>
                <w:vanish/>
              </w:rPr>
            </w:pPr>
          </w:p>
        </w:tc>
      </w:tr>
      <w:tr w:rsidR="00834A75" w14:paraId="7C207EA9" w14:textId="77777777">
        <w:trPr>
          <w:jc w:val="center"/>
          <w:hidden/>
        </w:trPr>
        <w:tc>
          <w:tcPr>
            <w:tcW w:w="0" w:type="auto"/>
            <w:gridSpan w:val="3"/>
            <w:shd w:val="clear" w:color="auto" w:fill="auto"/>
            <w:vAlign w:val="bottom"/>
          </w:tcPr>
          <w:p w14:paraId="7C207EA5" w14:textId="77777777" w:rsidR="00834A75" w:rsidRDefault="00834A75">
            <w:pPr>
              <w:rPr>
                <w:rFonts w:ascii="宋体"/>
                <w:vanish/>
              </w:rPr>
            </w:pPr>
          </w:p>
        </w:tc>
        <w:tc>
          <w:tcPr>
            <w:tcW w:w="0" w:type="auto"/>
            <w:gridSpan w:val="3"/>
            <w:shd w:val="clear" w:color="auto" w:fill="auto"/>
            <w:vAlign w:val="bottom"/>
          </w:tcPr>
          <w:p w14:paraId="7C207EA6" w14:textId="77777777" w:rsidR="00834A75" w:rsidRDefault="00834A75">
            <w:pPr>
              <w:rPr>
                <w:rFonts w:ascii="宋体"/>
                <w:vanish/>
              </w:rPr>
            </w:pPr>
          </w:p>
        </w:tc>
        <w:tc>
          <w:tcPr>
            <w:tcW w:w="0" w:type="auto"/>
            <w:gridSpan w:val="3"/>
            <w:shd w:val="clear" w:color="auto" w:fill="auto"/>
            <w:vAlign w:val="bottom"/>
          </w:tcPr>
          <w:p w14:paraId="7C207EA7" w14:textId="77777777" w:rsidR="00834A75" w:rsidRDefault="00834A75">
            <w:pPr>
              <w:rPr>
                <w:rFonts w:ascii="宋体"/>
                <w:vanish/>
              </w:rPr>
            </w:pPr>
          </w:p>
        </w:tc>
        <w:tc>
          <w:tcPr>
            <w:tcW w:w="0" w:type="auto"/>
            <w:gridSpan w:val="3"/>
            <w:shd w:val="clear" w:color="auto" w:fill="auto"/>
            <w:vAlign w:val="bottom"/>
          </w:tcPr>
          <w:p w14:paraId="7C207EA8" w14:textId="77777777" w:rsidR="00834A75" w:rsidRDefault="00834A75">
            <w:pPr>
              <w:rPr>
                <w:rFonts w:ascii="宋体"/>
                <w:vanish/>
              </w:rPr>
            </w:pPr>
          </w:p>
        </w:tc>
      </w:tr>
      <w:tr w:rsidR="00834A75" w14:paraId="7C207EAE" w14:textId="77777777">
        <w:trPr>
          <w:jc w:val="center"/>
          <w:hidden/>
        </w:trPr>
        <w:tc>
          <w:tcPr>
            <w:tcW w:w="0" w:type="auto"/>
            <w:gridSpan w:val="3"/>
            <w:shd w:val="clear" w:color="auto" w:fill="auto"/>
            <w:vAlign w:val="bottom"/>
          </w:tcPr>
          <w:p w14:paraId="7C207EAA" w14:textId="77777777" w:rsidR="00834A75" w:rsidRDefault="00834A75">
            <w:pPr>
              <w:rPr>
                <w:rFonts w:ascii="宋体"/>
                <w:vanish/>
              </w:rPr>
            </w:pPr>
          </w:p>
        </w:tc>
        <w:tc>
          <w:tcPr>
            <w:tcW w:w="0" w:type="auto"/>
            <w:gridSpan w:val="3"/>
            <w:shd w:val="clear" w:color="auto" w:fill="auto"/>
            <w:vAlign w:val="bottom"/>
          </w:tcPr>
          <w:p w14:paraId="7C207EAB" w14:textId="77777777" w:rsidR="00834A75" w:rsidRDefault="00834A75">
            <w:pPr>
              <w:rPr>
                <w:rFonts w:ascii="宋体"/>
                <w:vanish/>
              </w:rPr>
            </w:pPr>
          </w:p>
        </w:tc>
        <w:tc>
          <w:tcPr>
            <w:tcW w:w="0" w:type="auto"/>
            <w:gridSpan w:val="3"/>
            <w:shd w:val="clear" w:color="auto" w:fill="auto"/>
            <w:vAlign w:val="bottom"/>
          </w:tcPr>
          <w:p w14:paraId="7C207EAC" w14:textId="77777777" w:rsidR="00834A75" w:rsidRDefault="00834A75">
            <w:pPr>
              <w:rPr>
                <w:rFonts w:ascii="宋体"/>
                <w:vanish/>
              </w:rPr>
            </w:pPr>
          </w:p>
        </w:tc>
        <w:tc>
          <w:tcPr>
            <w:tcW w:w="0" w:type="auto"/>
            <w:gridSpan w:val="3"/>
            <w:shd w:val="clear" w:color="auto" w:fill="auto"/>
            <w:vAlign w:val="bottom"/>
          </w:tcPr>
          <w:p w14:paraId="7C207EAD" w14:textId="77777777" w:rsidR="00834A75" w:rsidRDefault="00834A75">
            <w:pPr>
              <w:rPr>
                <w:rFonts w:ascii="宋体"/>
                <w:vanish/>
              </w:rPr>
            </w:pPr>
          </w:p>
        </w:tc>
      </w:tr>
      <w:tr w:rsidR="00834A75" w14:paraId="7C207EB3" w14:textId="77777777">
        <w:trPr>
          <w:jc w:val="center"/>
          <w:hidden/>
        </w:trPr>
        <w:tc>
          <w:tcPr>
            <w:tcW w:w="0" w:type="auto"/>
            <w:gridSpan w:val="3"/>
            <w:shd w:val="clear" w:color="auto" w:fill="auto"/>
            <w:vAlign w:val="bottom"/>
          </w:tcPr>
          <w:p w14:paraId="7C207EAF" w14:textId="77777777" w:rsidR="00834A75" w:rsidRDefault="00834A75">
            <w:pPr>
              <w:rPr>
                <w:rFonts w:ascii="宋体"/>
                <w:vanish/>
              </w:rPr>
            </w:pPr>
          </w:p>
        </w:tc>
        <w:tc>
          <w:tcPr>
            <w:tcW w:w="0" w:type="auto"/>
            <w:gridSpan w:val="3"/>
            <w:shd w:val="clear" w:color="auto" w:fill="auto"/>
            <w:vAlign w:val="bottom"/>
          </w:tcPr>
          <w:p w14:paraId="7C207EB0" w14:textId="77777777" w:rsidR="00834A75" w:rsidRDefault="00834A75">
            <w:pPr>
              <w:rPr>
                <w:rFonts w:ascii="宋体"/>
                <w:vanish/>
              </w:rPr>
            </w:pPr>
          </w:p>
        </w:tc>
        <w:tc>
          <w:tcPr>
            <w:tcW w:w="0" w:type="auto"/>
            <w:gridSpan w:val="3"/>
            <w:shd w:val="clear" w:color="auto" w:fill="auto"/>
            <w:vAlign w:val="bottom"/>
          </w:tcPr>
          <w:p w14:paraId="7C207EB1" w14:textId="77777777" w:rsidR="00834A75" w:rsidRDefault="00834A75">
            <w:pPr>
              <w:rPr>
                <w:rFonts w:ascii="宋体"/>
                <w:vanish/>
              </w:rPr>
            </w:pPr>
          </w:p>
        </w:tc>
        <w:tc>
          <w:tcPr>
            <w:tcW w:w="0" w:type="auto"/>
            <w:gridSpan w:val="3"/>
            <w:shd w:val="clear" w:color="auto" w:fill="auto"/>
            <w:vAlign w:val="bottom"/>
          </w:tcPr>
          <w:p w14:paraId="7C207EB2" w14:textId="77777777" w:rsidR="00834A75" w:rsidRDefault="00834A75">
            <w:pPr>
              <w:rPr>
                <w:rFonts w:ascii="宋体"/>
                <w:vanish/>
              </w:rPr>
            </w:pPr>
          </w:p>
        </w:tc>
      </w:tr>
    </w:tbl>
    <w:p w14:paraId="7C207EB4" w14:textId="77777777" w:rsidR="00834A75" w:rsidRDefault="00A6708C">
      <w:pPr>
        <w:spacing w:after="180"/>
        <w:jc w:val="center"/>
      </w:pPr>
      <w:r>
        <w:rPr>
          <w:rFonts w:ascii="sans-serif" w:eastAsia="sans-serif" w:hAnsi="sans-serif" w:cs="sans-serif"/>
          <w:color w:val="000000"/>
          <w:sz w:val="20"/>
          <w:szCs w:val="20"/>
        </w:rPr>
        <w:t>See accompanying Notes to Condensed Consolidated Financial Statements.</w:t>
      </w:r>
    </w:p>
    <w:p w14:paraId="7C207EB5" w14:textId="77777777" w:rsidR="00834A75" w:rsidRDefault="00A6708C">
      <w:pPr>
        <w:spacing w:after="180"/>
        <w:jc w:val="center"/>
      </w:pPr>
      <w:r>
        <w:rPr>
          <w:rFonts w:ascii="sans-serif" w:eastAsia="sans-serif" w:hAnsi="sans-serif" w:cs="sans-serif"/>
          <w:color w:val="000000"/>
          <w:sz w:val="20"/>
          <w:szCs w:val="20"/>
        </w:rPr>
        <w:t>7</w:t>
      </w:r>
    </w:p>
    <w:p w14:paraId="7C207EB6" w14:textId="77777777" w:rsidR="00834A75" w:rsidRDefault="00A6708C">
      <w:r>
        <w:pict w14:anchorId="7C209356">
          <v:rect id="_x0000_i1031" style="width:415.3pt;height:1.5pt" o:hralign="center" o:hrstd="t" o:hr="t" fillcolor="#a0a0a0" stroked="f"/>
        </w:pict>
      </w:r>
    </w:p>
    <w:p w14:paraId="7C207EB7" w14:textId="77777777" w:rsidR="00834A75" w:rsidRDefault="00A6708C">
      <w:pPr>
        <w:jc w:val="center"/>
      </w:pPr>
      <w:r>
        <w:rPr>
          <w:rFonts w:ascii="sans-serif" w:eastAsia="sans-serif" w:hAnsi="sans-serif" w:cs="sans-serif"/>
          <w:b/>
          <w:bCs/>
          <w:color w:val="000000"/>
          <w:sz w:val="20"/>
          <w:szCs w:val="20"/>
        </w:rPr>
        <w:t>NVIDIA CORPORATION AND SUBSIDIARIES</w:t>
      </w:r>
    </w:p>
    <w:p w14:paraId="7C207EB8" w14:textId="77777777" w:rsidR="00834A75" w:rsidRDefault="00A6708C">
      <w:pPr>
        <w:jc w:val="center"/>
      </w:pPr>
      <w:r>
        <w:rPr>
          <w:rFonts w:ascii="sans-serif" w:eastAsia="sans-serif" w:hAnsi="sans-serif" w:cs="sans-serif"/>
          <w:b/>
          <w:bCs/>
          <w:color w:val="000000"/>
          <w:sz w:val="20"/>
          <w:szCs w:val="20"/>
        </w:rPr>
        <w:t>NOTES TO CONDENSED CONSOLIDATED FINANCIAL STATEMENTS</w:t>
      </w:r>
    </w:p>
    <w:p w14:paraId="7C207EB9" w14:textId="77777777" w:rsidR="00834A75" w:rsidRDefault="00A6708C">
      <w:pPr>
        <w:jc w:val="center"/>
      </w:pPr>
      <w:r>
        <w:rPr>
          <w:rFonts w:ascii="sans-serif" w:eastAsia="sans-serif" w:hAnsi="sans-serif" w:cs="sans-serif"/>
          <w:b/>
          <w:bCs/>
          <w:color w:val="000000"/>
          <w:sz w:val="20"/>
          <w:szCs w:val="20"/>
        </w:rPr>
        <w:t>(Unaudited)</w:t>
      </w:r>
    </w:p>
    <w:p w14:paraId="7C207EBA" w14:textId="77777777" w:rsidR="00834A75" w:rsidRDefault="00834A75">
      <w:pPr>
        <w:spacing w:after="180"/>
        <w:jc w:val="both"/>
      </w:pPr>
    </w:p>
    <w:p w14:paraId="7C207EBB" w14:textId="77777777" w:rsidR="00834A75" w:rsidRDefault="00834A75">
      <w:pPr>
        <w:spacing w:after="180"/>
        <w:jc w:val="center"/>
      </w:pPr>
    </w:p>
    <w:p w14:paraId="7C207EBC" w14:textId="77777777" w:rsidR="00834A75" w:rsidRDefault="00A6708C">
      <w:pPr>
        <w:spacing w:before="240" w:after="120"/>
        <w:jc w:val="both"/>
      </w:pPr>
      <w:r>
        <w:rPr>
          <w:rFonts w:ascii="sans-serif" w:eastAsia="sans-serif" w:hAnsi="sans-serif" w:cs="sans-serif"/>
          <w:b/>
          <w:bCs/>
          <w:color w:val="76B900"/>
          <w:sz w:val="22"/>
          <w:szCs w:val="22"/>
        </w:rPr>
        <w:t xml:space="preserve">Note 1 - Summary of </w:t>
      </w:r>
      <w:r>
        <w:rPr>
          <w:rFonts w:ascii="sans-serif" w:eastAsia="sans-serif" w:hAnsi="sans-serif" w:cs="sans-serif"/>
          <w:b/>
          <w:bCs/>
          <w:color w:val="76B900"/>
          <w:sz w:val="22"/>
          <w:szCs w:val="22"/>
        </w:rPr>
        <w:t>Significant Accounting Policies</w:t>
      </w:r>
    </w:p>
    <w:p w14:paraId="7C207EBD" w14:textId="77777777" w:rsidR="00834A75" w:rsidRDefault="00A6708C">
      <w:pPr>
        <w:spacing w:before="240" w:after="60"/>
        <w:jc w:val="both"/>
      </w:pPr>
      <w:r>
        <w:rPr>
          <w:rFonts w:ascii="sans-serif" w:eastAsia="sans-serif" w:hAnsi="sans-serif" w:cs="sans-serif"/>
          <w:b/>
          <w:bCs/>
          <w:color w:val="76B900"/>
          <w:sz w:val="20"/>
          <w:szCs w:val="20"/>
        </w:rPr>
        <w:t>Basis of Presentation</w:t>
      </w:r>
    </w:p>
    <w:p w14:paraId="7C207EBE" w14:textId="77777777" w:rsidR="00834A75" w:rsidRDefault="00A6708C">
      <w:pPr>
        <w:spacing w:after="180"/>
        <w:jc w:val="both"/>
      </w:pPr>
      <w:r>
        <w:rPr>
          <w:rFonts w:ascii="sans-serif" w:eastAsia="sans-serif" w:hAnsi="sans-serif" w:cs="sans-serif"/>
          <w:color w:val="000000"/>
          <w:sz w:val="20"/>
          <w:szCs w:val="20"/>
        </w:rPr>
        <w:t>The accompanying unaudited condensed consolidated financial statements were prepared in accordance with accounting principles generally accepted in the United States of America, or U.S. GAAP, for interi</w:t>
      </w:r>
      <w:r>
        <w:rPr>
          <w:rFonts w:ascii="sans-serif" w:eastAsia="sans-serif" w:hAnsi="sans-serif" w:cs="sans-serif"/>
          <w:color w:val="000000"/>
          <w:sz w:val="20"/>
          <w:szCs w:val="20"/>
        </w:rPr>
        <w:t>m financial information and with the instructions to Form 10-Q and Article 10 of Securities and Exchange Commission, or SEC, Regulation S-X. The January 30, 2022 consolidated balance sheet was derived from our audited consolidated financial statements incl</w:t>
      </w:r>
      <w:r>
        <w:rPr>
          <w:rFonts w:ascii="sans-serif" w:eastAsia="sans-serif" w:hAnsi="sans-serif" w:cs="sans-serif"/>
          <w:color w:val="000000"/>
          <w:sz w:val="20"/>
          <w:szCs w:val="20"/>
        </w:rPr>
        <w:t>uded in our Annual Report on Form 10-K for the fiscal year ended January 30, 2022, as filed with the SEC, but does not include all disclosures required by U.S. GAAP. In the opinion of management, all adjustments, consisting only of normal recurring adjustm</w:t>
      </w:r>
      <w:r>
        <w:rPr>
          <w:rFonts w:ascii="sans-serif" w:eastAsia="sans-serif" w:hAnsi="sans-serif" w:cs="sans-serif"/>
          <w:color w:val="000000"/>
          <w:sz w:val="20"/>
          <w:szCs w:val="20"/>
        </w:rPr>
        <w:t>ents considered necessary for a fair statement of results of operations and financial position, have been included. The results for the interim periods presented are not necessarily indicative of the results expected for any future period. The following in</w:t>
      </w:r>
      <w:r>
        <w:rPr>
          <w:rFonts w:ascii="sans-serif" w:eastAsia="sans-serif" w:hAnsi="sans-serif" w:cs="sans-serif"/>
          <w:color w:val="000000"/>
          <w:sz w:val="20"/>
          <w:szCs w:val="20"/>
        </w:rPr>
        <w:t>formation should be read in conjunction with the audited consolidated financial statements and notes thereto included in our Annual Report on Form 10-K for the fiscal year ended January 30, 2022.</w:t>
      </w:r>
      <w:r>
        <w:rPr>
          <w:rFonts w:ascii="sans-serif" w:eastAsia="sans-serif" w:hAnsi="sans-serif" w:cs="sans-serif"/>
          <w:b/>
          <w:bCs/>
          <w:color w:val="000000"/>
          <w:sz w:val="20"/>
          <w:szCs w:val="20"/>
        </w:rPr>
        <w:t> </w:t>
      </w:r>
    </w:p>
    <w:p w14:paraId="7C207EBF" w14:textId="77777777" w:rsidR="00834A75" w:rsidRDefault="00A6708C">
      <w:pPr>
        <w:spacing w:after="180"/>
        <w:jc w:val="both"/>
      </w:pPr>
      <w:r>
        <w:rPr>
          <w:rFonts w:ascii="sans-serif" w:eastAsia="sans-serif" w:hAnsi="sans-serif" w:cs="sans-serif"/>
          <w:color w:val="000000"/>
          <w:sz w:val="20"/>
          <w:szCs w:val="20"/>
        </w:rPr>
        <w:t>On July 19, 2021, we executed a four-for-one stock split of</w:t>
      </w:r>
      <w:r>
        <w:rPr>
          <w:rFonts w:ascii="sans-serif" w:eastAsia="sans-serif" w:hAnsi="sans-serif" w:cs="sans-serif"/>
          <w:color w:val="000000"/>
          <w:sz w:val="20"/>
          <w:szCs w:val="20"/>
        </w:rPr>
        <w:t xml:space="preserve"> our common stock. All share, equity award, and per share amounts and related shareholders' equity balances presented herein have been retroactively adjusted to reflect the stock split.</w:t>
      </w:r>
    </w:p>
    <w:p w14:paraId="7C207EC0" w14:textId="77777777" w:rsidR="00834A75" w:rsidRDefault="00A6708C">
      <w:pPr>
        <w:spacing w:before="240" w:after="60"/>
        <w:jc w:val="both"/>
      </w:pPr>
      <w:r>
        <w:rPr>
          <w:rFonts w:ascii="sans-serif" w:eastAsia="sans-serif" w:hAnsi="sans-serif" w:cs="sans-serif"/>
          <w:b/>
          <w:bCs/>
          <w:color w:val="76B900"/>
          <w:sz w:val="20"/>
          <w:szCs w:val="20"/>
        </w:rPr>
        <w:t>Significant Accounting Policies</w:t>
      </w:r>
    </w:p>
    <w:p w14:paraId="7C207EC1" w14:textId="77777777" w:rsidR="00834A75" w:rsidRDefault="00A6708C">
      <w:pPr>
        <w:spacing w:after="180"/>
        <w:jc w:val="both"/>
      </w:pPr>
      <w:r>
        <w:rPr>
          <w:rFonts w:ascii="sans-serif" w:eastAsia="sans-serif" w:hAnsi="sans-serif" w:cs="sans-serif"/>
          <w:color w:val="000000"/>
          <w:sz w:val="20"/>
          <w:szCs w:val="20"/>
        </w:rPr>
        <w:t>There have been no material changes to</w:t>
      </w:r>
      <w:r>
        <w:rPr>
          <w:rFonts w:ascii="sans-serif" w:eastAsia="sans-serif" w:hAnsi="sans-serif" w:cs="sans-serif"/>
          <w:color w:val="000000"/>
          <w:sz w:val="20"/>
          <w:szCs w:val="20"/>
        </w:rPr>
        <w:t xml:space="preserve"> our significant accounting policies disclosed in Note 1 - Organization and Summary of Significant Accounting Policies, of the Notes to the Consolidated Financial Statements included in our Annual Report on Form 10-K for the fiscal year ended January 30, 2</w:t>
      </w:r>
      <w:r>
        <w:rPr>
          <w:rFonts w:ascii="sans-serif" w:eastAsia="sans-serif" w:hAnsi="sans-serif" w:cs="sans-serif"/>
          <w:color w:val="000000"/>
          <w:sz w:val="20"/>
          <w:szCs w:val="20"/>
        </w:rPr>
        <w:t>022.</w:t>
      </w:r>
    </w:p>
    <w:p w14:paraId="7C207EC2" w14:textId="77777777" w:rsidR="00834A75" w:rsidRDefault="00A6708C">
      <w:pPr>
        <w:spacing w:before="240" w:after="60"/>
        <w:jc w:val="both"/>
      </w:pPr>
      <w:r>
        <w:rPr>
          <w:rFonts w:ascii="sans-serif" w:eastAsia="sans-serif" w:hAnsi="sans-serif" w:cs="sans-serif"/>
          <w:b/>
          <w:bCs/>
          <w:color w:val="76B900"/>
          <w:sz w:val="20"/>
          <w:szCs w:val="20"/>
        </w:rPr>
        <w:t>Fiscal Year</w:t>
      </w:r>
    </w:p>
    <w:p w14:paraId="7C207EC3" w14:textId="77777777" w:rsidR="00834A75" w:rsidRDefault="00A6708C">
      <w:pPr>
        <w:spacing w:after="180"/>
        <w:jc w:val="both"/>
      </w:pPr>
      <w:r>
        <w:rPr>
          <w:rFonts w:ascii="sans-serif" w:eastAsia="sans-serif" w:hAnsi="sans-serif" w:cs="sans-serif"/>
          <w:color w:val="000000"/>
          <w:sz w:val="20"/>
          <w:szCs w:val="20"/>
        </w:rPr>
        <w:t>We operate on a 52- or 53-week year, ending on the last Sunday in January. Fiscal years 2023 and 2022 are both 52-week years. The first quarters of fiscal years 2023 and 2022 were both 13-week quarters.</w:t>
      </w:r>
    </w:p>
    <w:p w14:paraId="7C207EC4" w14:textId="77777777" w:rsidR="00834A75" w:rsidRDefault="00A6708C">
      <w:pPr>
        <w:spacing w:before="240" w:after="60"/>
        <w:jc w:val="both"/>
      </w:pPr>
      <w:r>
        <w:rPr>
          <w:rFonts w:ascii="sans-serif" w:eastAsia="sans-serif" w:hAnsi="sans-serif" w:cs="sans-serif"/>
          <w:b/>
          <w:bCs/>
          <w:color w:val="76B900"/>
          <w:sz w:val="20"/>
          <w:szCs w:val="20"/>
        </w:rPr>
        <w:t>Reclassifications</w:t>
      </w:r>
    </w:p>
    <w:p w14:paraId="7C207EC5" w14:textId="77777777" w:rsidR="00834A75" w:rsidRDefault="00A6708C">
      <w:pPr>
        <w:spacing w:after="180"/>
        <w:jc w:val="both"/>
      </w:pPr>
      <w:r>
        <w:rPr>
          <w:rFonts w:ascii="sans-serif" w:eastAsia="sans-serif" w:hAnsi="sans-serif" w:cs="sans-serif"/>
          <w:color w:val="000000"/>
          <w:sz w:val="20"/>
          <w:szCs w:val="20"/>
        </w:rPr>
        <w:t>Certain prior fisc</w:t>
      </w:r>
      <w:r>
        <w:rPr>
          <w:rFonts w:ascii="sans-serif" w:eastAsia="sans-serif" w:hAnsi="sans-serif" w:cs="sans-serif"/>
          <w:color w:val="000000"/>
          <w:sz w:val="20"/>
          <w:szCs w:val="20"/>
        </w:rPr>
        <w:t>al year balances have been reclassified to conform to the current fiscal year presentation.</w:t>
      </w:r>
    </w:p>
    <w:p w14:paraId="7C207EC6" w14:textId="77777777" w:rsidR="00834A75" w:rsidRDefault="00A6708C">
      <w:pPr>
        <w:spacing w:before="240" w:after="60"/>
        <w:jc w:val="both"/>
      </w:pPr>
      <w:r>
        <w:rPr>
          <w:rFonts w:ascii="sans-serif" w:eastAsia="sans-serif" w:hAnsi="sans-serif" w:cs="sans-serif"/>
          <w:b/>
          <w:bCs/>
          <w:color w:val="76B900"/>
          <w:sz w:val="20"/>
          <w:szCs w:val="20"/>
        </w:rPr>
        <w:t>Principles of Consolidation</w:t>
      </w:r>
    </w:p>
    <w:p w14:paraId="7C207EC7" w14:textId="77777777" w:rsidR="00834A75" w:rsidRDefault="00A6708C">
      <w:pPr>
        <w:spacing w:after="180"/>
        <w:jc w:val="both"/>
      </w:pPr>
      <w:r>
        <w:rPr>
          <w:rFonts w:ascii="sans-serif" w:eastAsia="sans-serif" w:hAnsi="sans-serif" w:cs="sans-serif"/>
          <w:color w:val="000000"/>
          <w:sz w:val="20"/>
          <w:szCs w:val="20"/>
        </w:rPr>
        <w:t>Our condensed consolidated financial statements include the accounts of NVIDIA Corporation and our wholly-owned subsidiaries. All interc</w:t>
      </w:r>
      <w:r>
        <w:rPr>
          <w:rFonts w:ascii="sans-serif" w:eastAsia="sans-serif" w:hAnsi="sans-serif" w:cs="sans-serif"/>
          <w:color w:val="000000"/>
          <w:sz w:val="20"/>
          <w:szCs w:val="20"/>
        </w:rPr>
        <w:t>ompany balances and transactions have been eliminated in consolidation.</w:t>
      </w:r>
    </w:p>
    <w:p w14:paraId="7C207EC8" w14:textId="77777777" w:rsidR="00834A75" w:rsidRDefault="00834A75">
      <w:pPr>
        <w:spacing w:before="240" w:after="120"/>
        <w:jc w:val="both"/>
      </w:pPr>
    </w:p>
    <w:p w14:paraId="7C207EC9" w14:textId="77777777" w:rsidR="00834A75" w:rsidRDefault="00A6708C">
      <w:pPr>
        <w:spacing w:after="180"/>
        <w:jc w:val="center"/>
      </w:pPr>
      <w:r>
        <w:rPr>
          <w:rFonts w:ascii="sans-serif" w:eastAsia="sans-serif" w:hAnsi="sans-serif" w:cs="sans-serif"/>
          <w:color w:val="000000"/>
          <w:sz w:val="20"/>
          <w:szCs w:val="20"/>
        </w:rPr>
        <w:t>8</w:t>
      </w:r>
    </w:p>
    <w:p w14:paraId="7C207ECA" w14:textId="77777777" w:rsidR="00834A75" w:rsidRDefault="00A6708C">
      <w:r>
        <w:pict w14:anchorId="7C209357">
          <v:rect id="_x0000_i1032" style="width:415.3pt;height:1.5pt" o:hralign="center" o:hrstd="t" o:hr="t" fillcolor="#a0a0a0" stroked="f"/>
        </w:pict>
      </w:r>
    </w:p>
    <w:p w14:paraId="7C207ECB" w14:textId="77777777" w:rsidR="00834A75" w:rsidRDefault="00A6708C">
      <w:pPr>
        <w:jc w:val="center"/>
      </w:pPr>
      <w:r>
        <w:rPr>
          <w:rFonts w:ascii="sans-serif" w:eastAsia="sans-serif" w:hAnsi="sans-serif" w:cs="sans-serif"/>
          <w:b/>
          <w:bCs/>
          <w:color w:val="000000"/>
          <w:sz w:val="20"/>
          <w:szCs w:val="20"/>
        </w:rPr>
        <w:t>NVIDIA CORPORATION AND SUBSIDIARIES</w:t>
      </w:r>
    </w:p>
    <w:p w14:paraId="7C207ECC" w14:textId="77777777" w:rsidR="00834A75" w:rsidRDefault="00A6708C">
      <w:pPr>
        <w:jc w:val="center"/>
      </w:pPr>
      <w:r>
        <w:rPr>
          <w:rFonts w:ascii="sans-serif" w:eastAsia="sans-serif" w:hAnsi="sans-serif" w:cs="sans-serif"/>
          <w:b/>
          <w:bCs/>
          <w:color w:val="000000"/>
          <w:sz w:val="20"/>
          <w:szCs w:val="20"/>
        </w:rPr>
        <w:t>NOTES TO CONDENSED CONSOLIDATED FINANCIAL STATEMENTS (Continued)</w:t>
      </w:r>
    </w:p>
    <w:p w14:paraId="7C207ECD" w14:textId="77777777" w:rsidR="00834A75" w:rsidRDefault="00A6708C">
      <w:pPr>
        <w:jc w:val="center"/>
      </w:pPr>
      <w:r>
        <w:rPr>
          <w:rFonts w:ascii="sans-serif" w:eastAsia="sans-serif" w:hAnsi="sans-serif" w:cs="sans-serif"/>
          <w:b/>
          <w:bCs/>
          <w:color w:val="000000"/>
          <w:sz w:val="20"/>
          <w:szCs w:val="20"/>
        </w:rPr>
        <w:t>(Unaudited)</w:t>
      </w:r>
    </w:p>
    <w:p w14:paraId="7C207ECE" w14:textId="77777777" w:rsidR="00834A75" w:rsidRDefault="00834A75">
      <w:pPr>
        <w:spacing w:after="180"/>
        <w:jc w:val="both"/>
      </w:pPr>
    </w:p>
    <w:p w14:paraId="7C207ECF" w14:textId="77777777" w:rsidR="00834A75" w:rsidRDefault="00834A75">
      <w:pPr>
        <w:spacing w:after="180"/>
        <w:jc w:val="both"/>
      </w:pPr>
    </w:p>
    <w:p w14:paraId="7C207ED0" w14:textId="77777777" w:rsidR="00834A75" w:rsidRDefault="00A6708C">
      <w:pPr>
        <w:spacing w:before="240" w:after="120"/>
        <w:jc w:val="both"/>
      </w:pPr>
      <w:r>
        <w:rPr>
          <w:rFonts w:ascii="sans-serif" w:eastAsia="sans-serif" w:hAnsi="sans-serif" w:cs="sans-serif"/>
          <w:b/>
          <w:bCs/>
          <w:color w:val="76B900"/>
          <w:sz w:val="22"/>
          <w:szCs w:val="22"/>
        </w:rPr>
        <w:t>Note 2 - Business Combination</w:t>
      </w:r>
    </w:p>
    <w:p w14:paraId="7C207ED1" w14:textId="77777777" w:rsidR="00834A75" w:rsidRDefault="00A6708C">
      <w:pPr>
        <w:spacing w:before="240" w:after="60"/>
        <w:jc w:val="both"/>
      </w:pPr>
      <w:r>
        <w:rPr>
          <w:rFonts w:ascii="sans-serif" w:eastAsia="sans-serif" w:hAnsi="sans-serif" w:cs="sans-serif"/>
          <w:b/>
          <w:bCs/>
          <w:color w:val="76B900"/>
          <w:sz w:val="20"/>
          <w:szCs w:val="20"/>
        </w:rPr>
        <w:t xml:space="preserve">Termination of the Arm Share </w:t>
      </w:r>
      <w:r>
        <w:rPr>
          <w:rFonts w:ascii="sans-serif" w:eastAsia="sans-serif" w:hAnsi="sans-serif" w:cs="sans-serif"/>
          <w:b/>
          <w:bCs/>
          <w:color w:val="76B900"/>
          <w:sz w:val="20"/>
          <w:szCs w:val="20"/>
        </w:rPr>
        <w:t>Purchase Agreement</w:t>
      </w:r>
    </w:p>
    <w:p w14:paraId="7C207ED2" w14:textId="77777777" w:rsidR="00834A75" w:rsidRDefault="00A6708C">
      <w:pPr>
        <w:jc w:val="both"/>
      </w:pPr>
      <w:r>
        <w:rPr>
          <w:rFonts w:ascii="sans-serif" w:eastAsia="sans-serif" w:hAnsi="sans-serif" w:cs="sans-serif"/>
          <w:color w:val="000000"/>
          <w:sz w:val="20"/>
          <w:szCs w:val="20"/>
        </w:rPr>
        <w:t>On February 8, 2022, NVIDIA and SoftBank Group Corp, or SoftBank, announced the termination of the Share Purchase Agreement whereby NVIDIA would have acquired Arm Limited from SoftBank. The parties agreed to terminate because of signific</w:t>
      </w:r>
      <w:r>
        <w:rPr>
          <w:rFonts w:ascii="sans-serif" w:eastAsia="sans-serif" w:hAnsi="sans-serif" w:cs="sans-serif"/>
          <w:color w:val="000000"/>
          <w:sz w:val="20"/>
          <w:szCs w:val="20"/>
        </w:rPr>
        <w:t>ant regulatory challenges preventing the completion of the transaction. We recorded an acquisition termination cost of $1.35 billion in the first quarter of fiscal year 2023 reflecting the write-off of the prepayment provided at signing in September 2020.</w:t>
      </w:r>
    </w:p>
    <w:p w14:paraId="7C207ED3" w14:textId="77777777" w:rsidR="00834A75" w:rsidRDefault="00A6708C">
      <w:pPr>
        <w:spacing w:before="240" w:after="120"/>
        <w:jc w:val="both"/>
      </w:pPr>
      <w:r>
        <w:rPr>
          <w:rFonts w:ascii="sans-serif" w:eastAsia="sans-serif" w:hAnsi="sans-serif" w:cs="sans-serif"/>
          <w:b/>
          <w:bCs/>
          <w:color w:val="76B900"/>
          <w:sz w:val="22"/>
          <w:szCs w:val="22"/>
        </w:rPr>
        <w:t>Note 3 - Leases</w:t>
      </w:r>
    </w:p>
    <w:p w14:paraId="7C207ED4" w14:textId="77777777" w:rsidR="00834A75" w:rsidRDefault="00A6708C">
      <w:pPr>
        <w:spacing w:before="240" w:after="60"/>
        <w:jc w:val="both"/>
      </w:pPr>
      <w:r>
        <w:rPr>
          <w:rFonts w:ascii="sans-serif" w:eastAsia="sans-serif" w:hAnsi="sans-serif" w:cs="sans-serif"/>
          <w:color w:val="000000"/>
          <w:sz w:val="20"/>
          <w:szCs w:val="20"/>
        </w:rPr>
        <w:t>Our lease obligations primarily consist of operating leases for our headquarters complex, domestic and international office facilities, and data center space, with lease periods expiring between fiscal years 2023 and 2035.</w:t>
      </w:r>
    </w:p>
    <w:p w14:paraId="7C207ED5" w14:textId="77777777" w:rsidR="00834A75" w:rsidRDefault="00A6708C">
      <w:pPr>
        <w:spacing w:before="180" w:after="180"/>
        <w:jc w:val="both"/>
      </w:pPr>
      <w:r>
        <w:rPr>
          <w:rFonts w:ascii="sans-serif" w:eastAsia="sans-serif" w:hAnsi="sans-serif" w:cs="sans-serif"/>
          <w:color w:val="000000"/>
          <w:sz w:val="20"/>
          <w:szCs w:val="20"/>
        </w:rPr>
        <w:t>Future minimum le</w:t>
      </w:r>
      <w:r>
        <w:rPr>
          <w:rFonts w:ascii="sans-serif" w:eastAsia="sans-serif" w:hAnsi="sans-serif" w:cs="sans-serif"/>
          <w:color w:val="000000"/>
          <w:sz w:val="20"/>
          <w:szCs w:val="20"/>
        </w:rPr>
        <w:t xml:space="preserve">ase payments under our non-cancelable operating leases as of May 1, 2022 are as follows: </w:t>
      </w:r>
    </w:p>
    <w:tbl>
      <w:tblPr>
        <w:tblW w:w="5000" w:type="pct"/>
        <w:tblCellMar>
          <w:top w:w="15" w:type="dxa"/>
          <w:left w:w="15" w:type="dxa"/>
          <w:bottom w:w="15" w:type="dxa"/>
          <w:right w:w="15" w:type="dxa"/>
        </w:tblCellMar>
        <w:tblLook w:val="04A0" w:firstRow="1" w:lastRow="0" w:firstColumn="1" w:lastColumn="0" w:noHBand="0" w:noVBand="1"/>
      </w:tblPr>
      <w:tblGrid>
        <w:gridCol w:w="51"/>
        <w:gridCol w:w="6653"/>
        <w:gridCol w:w="38"/>
        <w:gridCol w:w="123"/>
        <w:gridCol w:w="1435"/>
        <w:gridCol w:w="36"/>
      </w:tblGrid>
      <w:tr w:rsidR="00834A75" w14:paraId="7C207EDC" w14:textId="77777777">
        <w:tc>
          <w:tcPr>
            <w:tcW w:w="50" w:type="pct"/>
            <w:shd w:val="clear" w:color="auto" w:fill="auto"/>
            <w:vAlign w:val="bottom"/>
          </w:tcPr>
          <w:p w14:paraId="7C207ED6" w14:textId="77777777" w:rsidR="00834A75" w:rsidRDefault="00834A75">
            <w:pPr>
              <w:rPr>
                <w:rFonts w:ascii="宋体"/>
              </w:rPr>
            </w:pPr>
          </w:p>
        </w:tc>
        <w:tc>
          <w:tcPr>
            <w:tcW w:w="4009" w:type="pct"/>
            <w:shd w:val="clear" w:color="auto" w:fill="auto"/>
            <w:vAlign w:val="bottom"/>
          </w:tcPr>
          <w:p w14:paraId="7C207ED7" w14:textId="77777777" w:rsidR="00834A75" w:rsidRDefault="00834A75">
            <w:pPr>
              <w:rPr>
                <w:rFonts w:ascii="宋体"/>
              </w:rPr>
            </w:pPr>
          </w:p>
        </w:tc>
        <w:tc>
          <w:tcPr>
            <w:tcW w:w="5" w:type="pct"/>
            <w:shd w:val="clear" w:color="auto" w:fill="auto"/>
            <w:vAlign w:val="bottom"/>
          </w:tcPr>
          <w:p w14:paraId="7C207ED8" w14:textId="77777777" w:rsidR="00834A75" w:rsidRDefault="00834A75">
            <w:pPr>
              <w:rPr>
                <w:rFonts w:ascii="宋体"/>
              </w:rPr>
            </w:pPr>
          </w:p>
        </w:tc>
        <w:tc>
          <w:tcPr>
            <w:tcW w:w="50" w:type="pct"/>
            <w:shd w:val="clear" w:color="auto" w:fill="auto"/>
            <w:vAlign w:val="bottom"/>
          </w:tcPr>
          <w:p w14:paraId="7C207ED9" w14:textId="77777777" w:rsidR="00834A75" w:rsidRDefault="00834A75">
            <w:pPr>
              <w:rPr>
                <w:rFonts w:ascii="宋体"/>
              </w:rPr>
            </w:pPr>
          </w:p>
        </w:tc>
        <w:tc>
          <w:tcPr>
            <w:tcW w:w="880" w:type="pct"/>
            <w:shd w:val="clear" w:color="auto" w:fill="auto"/>
            <w:vAlign w:val="bottom"/>
          </w:tcPr>
          <w:p w14:paraId="7C207EDA" w14:textId="77777777" w:rsidR="00834A75" w:rsidRDefault="00834A75">
            <w:pPr>
              <w:rPr>
                <w:rFonts w:ascii="宋体"/>
              </w:rPr>
            </w:pPr>
          </w:p>
        </w:tc>
        <w:tc>
          <w:tcPr>
            <w:tcW w:w="5" w:type="pct"/>
            <w:shd w:val="clear" w:color="auto" w:fill="auto"/>
            <w:vAlign w:val="bottom"/>
          </w:tcPr>
          <w:p w14:paraId="7C207EDB" w14:textId="77777777" w:rsidR="00834A75" w:rsidRDefault="00834A75">
            <w:pPr>
              <w:rPr>
                <w:rFonts w:ascii="宋体"/>
              </w:rPr>
            </w:pPr>
          </w:p>
        </w:tc>
      </w:tr>
      <w:tr w:rsidR="00834A75" w14:paraId="7C207EDF" w14:textId="77777777">
        <w:tc>
          <w:tcPr>
            <w:tcW w:w="0" w:type="auto"/>
            <w:gridSpan w:val="3"/>
            <w:shd w:val="clear" w:color="auto" w:fill="auto"/>
            <w:tcMar>
              <w:top w:w="0" w:type="dxa"/>
              <w:left w:w="20" w:type="dxa"/>
              <w:bottom w:w="0" w:type="dxa"/>
              <w:right w:w="20" w:type="dxa"/>
            </w:tcMar>
            <w:vAlign w:val="bottom"/>
          </w:tcPr>
          <w:p w14:paraId="7C207EDD" w14:textId="77777777" w:rsidR="00834A75" w:rsidRDefault="00834A75">
            <w:pPr>
              <w:rPr>
                <w:rFonts w:ascii="宋体"/>
              </w:rPr>
            </w:pPr>
          </w:p>
        </w:tc>
        <w:tc>
          <w:tcPr>
            <w:tcW w:w="0" w:type="auto"/>
            <w:gridSpan w:val="3"/>
            <w:shd w:val="clear" w:color="auto" w:fill="FFFFFF"/>
            <w:tcMar>
              <w:top w:w="40" w:type="dxa"/>
              <w:left w:w="20" w:type="dxa"/>
              <w:bottom w:w="40" w:type="dxa"/>
              <w:right w:w="20" w:type="dxa"/>
            </w:tcMar>
            <w:vAlign w:val="bottom"/>
          </w:tcPr>
          <w:p w14:paraId="7C207EDE" w14:textId="77777777" w:rsidR="00834A75" w:rsidRDefault="00A6708C">
            <w:pPr>
              <w:jc w:val="center"/>
              <w:textAlignment w:val="bottom"/>
            </w:pPr>
            <w:r>
              <w:rPr>
                <w:rFonts w:ascii="sans-serif" w:eastAsia="sans-serif" w:hAnsi="sans-serif" w:cs="sans-serif"/>
                <w:b/>
                <w:bCs/>
                <w:color w:val="000000"/>
                <w:sz w:val="20"/>
                <w:szCs w:val="20"/>
              </w:rPr>
              <w:t>Operating Lease Obligations</w:t>
            </w:r>
          </w:p>
        </w:tc>
      </w:tr>
      <w:tr w:rsidR="00834A75" w14:paraId="7C207EE2" w14:textId="77777777">
        <w:tc>
          <w:tcPr>
            <w:tcW w:w="0" w:type="auto"/>
            <w:gridSpan w:val="3"/>
            <w:shd w:val="clear" w:color="auto" w:fill="auto"/>
            <w:tcMar>
              <w:top w:w="40" w:type="dxa"/>
              <w:left w:w="20" w:type="dxa"/>
              <w:bottom w:w="40" w:type="dxa"/>
              <w:right w:w="20" w:type="dxa"/>
            </w:tcMar>
            <w:vAlign w:val="bottom"/>
          </w:tcPr>
          <w:p w14:paraId="7C207EE0" w14:textId="77777777" w:rsidR="00834A75" w:rsidRDefault="00A6708C">
            <w:pPr>
              <w:textAlignment w:val="bottom"/>
            </w:pPr>
            <w:r>
              <w:rPr>
                <w:rFonts w:ascii="sans-serif" w:eastAsia="sans-serif" w:hAnsi="sans-serif" w:cs="sans-serif"/>
                <w:color w:val="000000"/>
                <w:sz w:val="20"/>
                <w:szCs w:val="20"/>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C207EE1" w14:textId="77777777" w:rsidR="00834A75" w:rsidRDefault="00A6708C">
            <w:pPr>
              <w:jc w:val="center"/>
              <w:textAlignment w:val="bottom"/>
            </w:pPr>
            <w:r>
              <w:rPr>
                <w:rFonts w:ascii="sans-serif" w:eastAsia="sans-serif" w:hAnsi="sans-serif" w:cs="sans-serif"/>
                <w:i/>
                <w:iCs/>
                <w:color w:val="000000"/>
                <w:sz w:val="20"/>
                <w:szCs w:val="20"/>
              </w:rPr>
              <w:t>(In millions)</w:t>
            </w:r>
          </w:p>
        </w:tc>
      </w:tr>
      <w:tr w:rsidR="00834A75" w14:paraId="7C207EE5" w14:textId="77777777">
        <w:tc>
          <w:tcPr>
            <w:tcW w:w="0" w:type="auto"/>
            <w:gridSpan w:val="3"/>
            <w:shd w:val="clear" w:color="auto" w:fill="E2EFD9"/>
            <w:tcMar>
              <w:top w:w="40" w:type="dxa"/>
              <w:left w:w="20" w:type="dxa"/>
              <w:bottom w:w="40" w:type="dxa"/>
              <w:right w:w="20" w:type="dxa"/>
            </w:tcMar>
            <w:vAlign w:val="bottom"/>
          </w:tcPr>
          <w:p w14:paraId="7C207EE3" w14:textId="77777777" w:rsidR="00834A75" w:rsidRDefault="00A6708C">
            <w:pPr>
              <w:textAlignment w:val="bottom"/>
            </w:pPr>
            <w:r>
              <w:rPr>
                <w:rFonts w:ascii="sans-serif" w:eastAsia="sans-serif" w:hAnsi="sans-serif" w:cs="sans-serif"/>
                <w:b/>
                <w:bCs/>
                <w:color w:val="000000"/>
                <w:sz w:val="20"/>
                <w:szCs w:val="20"/>
              </w:rPr>
              <w:t>Fiscal Year:</w:t>
            </w:r>
          </w:p>
        </w:tc>
        <w:tc>
          <w:tcPr>
            <w:tcW w:w="0" w:type="auto"/>
            <w:gridSpan w:val="3"/>
            <w:shd w:val="clear" w:color="auto" w:fill="E2EFD9"/>
            <w:tcMar>
              <w:top w:w="40" w:type="dxa"/>
              <w:left w:w="20" w:type="dxa"/>
              <w:bottom w:w="40" w:type="dxa"/>
              <w:right w:w="20" w:type="dxa"/>
            </w:tcMar>
            <w:vAlign w:val="bottom"/>
          </w:tcPr>
          <w:p w14:paraId="7C207EE4" w14:textId="77777777" w:rsidR="00834A75" w:rsidRDefault="00A6708C">
            <w:pPr>
              <w:textAlignment w:val="bottom"/>
            </w:pPr>
            <w:r>
              <w:rPr>
                <w:rFonts w:ascii="sans-serif" w:eastAsia="sans-serif" w:hAnsi="sans-serif" w:cs="sans-serif"/>
                <w:color w:val="000000"/>
                <w:sz w:val="20"/>
                <w:szCs w:val="20"/>
              </w:rPr>
              <w:t> </w:t>
            </w:r>
          </w:p>
        </w:tc>
      </w:tr>
      <w:tr w:rsidR="00834A75" w14:paraId="7C207EEA" w14:textId="77777777">
        <w:tc>
          <w:tcPr>
            <w:tcW w:w="0" w:type="auto"/>
            <w:gridSpan w:val="3"/>
            <w:shd w:val="clear" w:color="auto" w:fill="FFFFFF"/>
            <w:tcMar>
              <w:top w:w="40" w:type="dxa"/>
              <w:left w:w="20" w:type="dxa"/>
              <w:bottom w:w="40" w:type="dxa"/>
              <w:right w:w="20" w:type="dxa"/>
            </w:tcMar>
            <w:vAlign w:val="bottom"/>
          </w:tcPr>
          <w:p w14:paraId="7C207EE6" w14:textId="77777777" w:rsidR="00834A75" w:rsidRDefault="00A6708C">
            <w:pPr>
              <w:textAlignment w:val="bottom"/>
            </w:pPr>
            <w:r>
              <w:rPr>
                <w:rFonts w:ascii="sans-serif" w:eastAsia="sans-serif" w:hAnsi="sans-serif" w:cs="sans-serif"/>
                <w:color w:val="000000"/>
                <w:sz w:val="20"/>
                <w:szCs w:val="20"/>
              </w:rPr>
              <w:t>2023 (excluding first quarter of fiscal year 2023)</w:t>
            </w:r>
          </w:p>
        </w:tc>
        <w:tc>
          <w:tcPr>
            <w:tcW w:w="0" w:type="auto"/>
            <w:shd w:val="clear" w:color="auto" w:fill="FFFFFF"/>
            <w:tcMar>
              <w:top w:w="40" w:type="dxa"/>
              <w:left w:w="20" w:type="dxa"/>
              <w:bottom w:w="40" w:type="dxa"/>
              <w:right w:w="0" w:type="dxa"/>
            </w:tcMar>
            <w:vAlign w:val="bottom"/>
          </w:tcPr>
          <w:p w14:paraId="7C207EE7" w14:textId="77777777" w:rsidR="00834A75" w:rsidRDefault="00A6708C">
            <w:pPr>
              <w:textAlignment w:val="bottom"/>
            </w:pPr>
            <w:r>
              <w:rPr>
                <w:rFonts w:ascii="sans-serif" w:eastAsia="sans-serif" w:hAnsi="sans-serif" w:cs="sans-serif"/>
                <w:color w:val="000000"/>
                <w:sz w:val="20"/>
                <w:szCs w:val="20"/>
              </w:rPr>
              <w:t>$</w:t>
            </w:r>
          </w:p>
        </w:tc>
        <w:tc>
          <w:tcPr>
            <w:tcW w:w="0" w:type="auto"/>
            <w:shd w:val="clear" w:color="auto" w:fill="FFFFFF"/>
            <w:tcMar>
              <w:top w:w="40" w:type="dxa"/>
              <w:left w:w="0" w:type="dxa"/>
              <w:bottom w:w="40" w:type="dxa"/>
              <w:right w:w="0" w:type="dxa"/>
            </w:tcMar>
            <w:vAlign w:val="bottom"/>
          </w:tcPr>
          <w:p w14:paraId="7C207EE8" w14:textId="77777777" w:rsidR="00834A75" w:rsidRDefault="00A6708C">
            <w:pPr>
              <w:jc w:val="right"/>
              <w:textAlignment w:val="bottom"/>
            </w:pPr>
            <w:r>
              <w:rPr>
                <w:rFonts w:ascii="sans-serif" w:eastAsia="sans-serif" w:hAnsi="sans-serif" w:cs="sans-serif"/>
                <w:color w:val="000000"/>
                <w:sz w:val="20"/>
                <w:szCs w:val="20"/>
              </w:rPr>
              <w:t>121 </w:t>
            </w:r>
          </w:p>
        </w:tc>
        <w:tc>
          <w:tcPr>
            <w:tcW w:w="0" w:type="auto"/>
            <w:shd w:val="clear" w:color="auto" w:fill="FFFFFF"/>
            <w:tcMar>
              <w:top w:w="40" w:type="dxa"/>
              <w:left w:w="0" w:type="dxa"/>
              <w:bottom w:w="40" w:type="dxa"/>
              <w:right w:w="20" w:type="dxa"/>
            </w:tcMar>
            <w:vAlign w:val="bottom"/>
          </w:tcPr>
          <w:p w14:paraId="7C207EE9" w14:textId="77777777" w:rsidR="00834A75" w:rsidRDefault="00834A75">
            <w:pPr>
              <w:jc w:val="right"/>
              <w:rPr>
                <w:rFonts w:ascii="宋体"/>
              </w:rPr>
            </w:pPr>
          </w:p>
        </w:tc>
      </w:tr>
      <w:tr w:rsidR="00834A75" w14:paraId="7C207EEE" w14:textId="77777777">
        <w:tc>
          <w:tcPr>
            <w:tcW w:w="0" w:type="auto"/>
            <w:gridSpan w:val="3"/>
            <w:shd w:val="clear" w:color="auto" w:fill="E2EFD9"/>
            <w:tcMar>
              <w:top w:w="40" w:type="dxa"/>
              <w:left w:w="20" w:type="dxa"/>
              <w:bottom w:w="40" w:type="dxa"/>
              <w:right w:w="20" w:type="dxa"/>
            </w:tcMar>
            <w:vAlign w:val="bottom"/>
          </w:tcPr>
          <w:p w14:paraId="7C207EEB" w14:textId="77777777" w:rsidR="00834A75" w:rsidRDefault="00A6708C">
            <w:pPr>
              <w:textAlignment w:val="bottom"/>
            </w:pPr>
            <w:r>
              <w:rPr>
                <w:rFonts w:ascii="sans-serif" w:eastAsia="sans-serif" w:hAnsi="sans-serif" w:cs="sans-serif"/>
                <w:color w:val="000000"/>
                <w:sz w:val="20"/>
                <w:szCs w:val="20"/>
              </w:rPr>
              <w:t>2024</w:t>
            </w:r>
          </w:p>
        </w:tc>
        <w:tc>
          <w:tcPr>
            <w:tcW w:w="0" w:type="auto"/>
            <w:gridSpan w:val="2"/>
            <w:shd w:val="clear" w:color="auto" w:fill="E2EFD9"/>
            <w:tcMar>
              <w:top w:w="40" w:type="dxa"/>
              <w:left w:w="20" w:type="dxa"/>
              <w:bottom w:w="40" w:type="dxa"/>
              <w:right w:w="0" w:type="dxa"/>
            </w:tcMar>
            <w:vAlign w:val="bottom"/>
          </w:tcPr>
          <w:p w14:paraId="7C207EEC" w14:textId="77777777" w:rsidR="00834A75" w:rsidRDefault="00A6708C">
            <w:pPr>
              <w:jc w:val="right"/>
              <w:textAlignment w:val="bottom"/>
            </w:pPr>
            <w:r>
              <w:rPr>
                <w:rFonts w:ascii="sans-serif" w:eastAsia="sans-serif" w:hAnsi="sans-serif" w:cs="sans-serif"/>
                <w:color w:val="000000"/>
                <w:sz w:val="20"/>
                <w:szCs w:val="20"/>
              </w:rPr>
              <w:t>167 </w:t>
            </w:r>
          </w:p>
        </w:tc>
        <w:tc>
          <w:tcPr>
            <w:tcW w:w="0" w:type="auto"/>
            <w:shd w:val="clear" w:color="auto" w:fill="E2EFD9"/>
            <w:tcMar>
              <w:top w:w="40" w:type="dxa"/>
              <w:left w:w="0" w:type="dxa"/>
              <w:bottom w:w="40" w:type="dxa"/>
              <w:right w:w="20" w:type="dxa"/>
            </w:tcMar>
            <w:vAlign w:val="bottom"/>
          </w:tcPr>
          <w:p w14:paraId="7C207EED" w14:textId="77777777" w:rsidR="00834A75" w:rsidRDefault="00834A75">
            <w:pPr>
              <w:jc w:val="right"/>
              <w:rPr>
                <w:rFonts w:ascii="宋体"/>
              </w:rPr>
            </w:pPr>
          </w:p>
        </w:tc>
      </w:tr>
      <w:tr w:rsidR="00834A75" w14:paraId="7C207EF2" w14:textId="77777777">
        <w:tc>
          <w:tcPr>
            <w:tcW w:w="0" w:type="auto"/>
            <w:gridSpan w:val="3"/>
            <w:shd w:val="clear" w:color="auto" w:fill="FFFFFF"/>
            <w:tcMar>
              <w:top w:w="40" w:type="dxa"/>
              <w:left w:w="20" w:type="dxa"/>
              <w:bottom w:w="40" w:type="dxa"/>
              <w:right w:w="20" w:type="dxa"/>
            </w:tcMar>
            <w:vAlign w:val="bottom"/>
          </w:tcPr>
          <w:p w14:paraId="7C207EEF" w14:textId="77777777" w:rsidR="00834A75" w:rsidRDefault="00A6708C">
            <w:pPr>
              <w:textAlignment w:val="bottom"/>
            </w:pPr>
            <w:r>
              <w:rPr>
                <w:rFonts w:ascii="sans-serif" w:eastAsia="sans-serif" w:hAnsi="sans-serif" w:cs="sans-serif"/>
                <w:color w:val="000000"/>
                <w:sz w:val="20"/>
                <w:szCs w:val="20"/>
              </w:rPr>
              <w:t>2025</w:t>
            </w:r>
          </w:p>
        </w:tc>
        <w:tc>
          <w:tcPr>
            <w:tcW w:w="0" w:type="auto"/>
            <w:gridSpan w:val="2"/>
            <w:shd w:val="clear" w:color="auto" w:fill="FFFFFF"/>
            <w:tcMar>
              <w:top w:w="40" w:type="dxa"/>
              <w:left w:w="20" w:type="dxa"/>
              <w:bottom w:w="40" w:type="dxa"/>
              <w:right w:w="0" w:type="dxa"/>
            </w:tcMar>
            <w:vAlign w:val="bottom"/>
          </w:tcPr>
          <w:p w14:paraId="7C207EF0" w14:textId="77777777" w:rsidR="00834A75" w:rsidRDefault="00A6708C">
            <w:pPr>
              <w:jc w:val="right"/>
              <w:textAlignment w:val="bottom"/>
            </w:pPr>
            <w:r>
              <w:rPr>
                <w:rFonts w:ascii="sans-serif" w:eastAsia="sans-serif" w:hAnsi="sans-serif" w:cs="sans-serif"/>
                <w:color w:val="000000"/>
                <w:sz w:val="20"/>
                <w:szCs w:val="20"/>
              </w:rPr>
              <w:t>144 </w:t>
            </w:r>
          </w:p>
        </w:tc>
        <w:tc>
          <w:tcPr>
            <w:tcW w:w="0" w:type="auto"/>
            <w:shd w:val="clear" w:color="auto" w:fill="FFFFFF"/>
            <w:tcMar>
              <w:top w:w="40" w:type="dxa"/>
              <w:left w:w="0" w:type="dxa"/>
              <w:bottom w:w="40" w:type="dxa"/>
              <w:right w:w="20" w:type="dxa"/>
            </w:tcMar>
            <w:vAlign w:val="bottom"/>
          </w:tcPr>
          <w:p w14:paraId="7C207EF1" w14:textId="77777777" w:rsidR="00834A75" w:rsidRDefault="00834A75">
            <w:pPr>
              <w:jc w:val="right"/>
              <w:rPr>
                <w:rFonts w:ascii="宋体"/>
              </w:rPr>
            </w:pPr>
          </w:p>
        </w:tc>
      </w:tr>
      <w:tr w:rsidR="00834A75" w14:paraId="7C207EF6" w14:textId="77777777">
        <w:tc>
          <w:tcPr>
            <w:tcW w:w="0" w:type="auto"/>
            <w:gridSpan w:val="3"/>
            <w:shd w:val="clear" w:color="auto" w:fill="E2EFD9"/>
            <w:tcMar>
              <w:top w:w="40" w:type="dxa"/>
              <w:left w:w="20" w:type="dxa"/>
              <w:bottom w:w="40" w:type="dxa"/>
              <w:right w:w="20" w:type="dxa"/>
            </w:tcMar>
            <w:vAlign w:val="bottom"/>
          </w:tcPr>
          <w:p w14:paraId="7C207EF3" w14:textId="77777777" w:rsidR="00834A75" w:rsidRDefault="00A6708C">
            <w:pPr>
              <w:textAlignment w:val="bottom"/>
            </w:pPr>
            <w:r>
              <w:rPr>
                <w:rFonts w:ascii="sans-serif" w:eastAsia="sans-serif" w:hAnsi="sans-serif" w:cs="sans-serif"/>
                <w:color w:val="000000"/>
                <w:sz w:val="20"/>
                <w:szCs w:val="20"/>
              </w:rPr>
              <w:t>2026</w:t>
            </w:r>
          </w:p>
        </w:tc>
        <w:tc>
          <w:tcPr>
            <w:tcW w:w="0" w:type="auto"/>
            <w:gridSpan w:val="2"/>
            <w:shd w:val="clear" w:color="auto" w:fill="E2EFD9"/>
            <w:tcMar>
              <w:top w:w="40" w:type="dxa"/>
              <w:left w:w="20" w:type="dxa"/>
              <w:bottom w:w="40" w:type="dxa"/>
              <w:right w:w="0" w:type="dxa"/>
            </w:tcMar>
            <w:vAlign w:val="bottom"/>
          </w:tcPr>
          <w:p w14:paraId="7C207EF4" w14:textId="77777777" w:rsidR="00834A75" w:rsidRDefault="00A6708C">
            <w:pPr>
              <w:jc w:val="right"/>
              <w:textAlignment w:val="bottom"/>
            </w:pPr>
            <w:r>
              <w:rPr>
                <w:rFonts w:ascii="sans-serif" w:eastAsia="sans-serif" w:hAnsi="sans-serif" w:cs="sans-serif"/>
                <w:color w:val="000000"/>
                <w:sz w:val="20"/>
                <w:szCs w:val="20"/>
              </w:rPr>
              <w:t>130 </w:t>
            </w:r>
          </w:p>
        </w:tc>
        <w:tc>
          <w:tcPr>
            <w:tcW w:w="0" w:type="auto"/>
            <w:shd w:val="clear" w:color="auto" w:fill="E2EFD9"/>
            <w:tcMar>
              <w:top w:w="40" w:type="dxa"/>
              <w:left w:w="0" w:type="dxa"/>
              <w:bottom w:w="40" w:type="dxa"/>
              <w:right w:w="20" w:type="dxa"/>
            </w:tcMar>
            <w:vAlign w:val="bottom"/>
          </w:tcPr>
          <w:p w14:paraId="7C207EF5" w14:textId="77777777" w:rsidR="00834A75" w:rsidRDefault="00834A75">
            <w:pPr>
              <w:jc w:val="right"/>
              <w:rPr>
                <w:rFonts w:ascii="宋体"/>
              </w:rPr>
            </w:pPr>
          </w:p>
        </w:tc>
      </w:tr>
      <w:tr w:rsidR="00834A75" w14:paraId="7C207EFA" w14:textId="77777777">
        <w:tc>
          <w:tcPr>
            <w:tcW w:w="0" w:type="auto"/>
            <w:gridSpan w:val="3"/>
            <w:shd w:val="clear" w:color="auto" w:fill="FFFFFF"/>
            <w:tcMar>
              <w:top w:w="40" w:type="dxa"/>
              <w:left w:w="20" w:type="dxa"/>
              <w:bottom w:w="40" w:type="dxa"/>
              <w:right w:w="20" w:type="dxa"/>
            </w:tcMar>
            <w:vAlign w:val="bottom"/>
          </w:tcPr>
          <w:p w14:paraId="7C207EF7" w14:textId="77777777" w:rsidR="00834A75" w:rsidRDefault="00A6708C">
            <w:pPr>
              <w:textAlignment w:val="bottom"/>
            </w:pPr>
            <w:r>
              <w:rPr>
                <w:rFonts w:ascii="sans-serif" w:eastAsia="sans-serif" w:hAnsi="sans-serif" w:cs="sans-serif"/>
                <w:color w:val="000000"/>
                <w:sz w:val="20"/>
                <w:szCs w:val="20"/>
              </w:rPr>
              <w:t>2027</w:t>
            </w:r>
          </w:p>
        </w:tc>
        <w:tc>
          <w:tcPr>
            <w:tcW w:w="0" w:type="auto"/>
            <w:gridSpan w:val="2"/>
            <w:shd w:val="clear" w:color="auto" w:fill="FFFFFF"/>
            <w:tcMar>
              <w:top w:w="40" w:type="dxa"/>
              <w:left w:w="20" w:type="dxa"/>
              <w:bottom w:w="40" w:type="dxa"/>
              <w:right w:w="0" w:type="dxa"/>
            </w:tcMar>
            <w:vAlign w:val="bottom"/>
          </w:tcPr>
          <w:p w14:paraId="7C207EF8" w14:textId="77777777" w:rsidR="00834A75" w:rsidRDefault="00A6708C">
            <w:pPr>
              <w:jc w:val="right"/>
              <w:textAlignment w:val="bottom"/>
            </w:pPr>
            <w:r>
              <w:rPr>
                <w:rFonts w:ascii="sans-serif" w:eastAsia="sans-serif" w:hAnsi="sans-serif" w:cs="sans-serif"/>
                <w:color w:val="000000"/>
                <w:sz w:val="20"/>
                <w:szCs w:val="20"/>
              </w:rPr>
              <w:t>119 </w:t>
            </w:r>
          </w:p>
        </w:tc>
        <w:tc>
          <w:tcPr>
            <w:tcW w:w="0" w:type="auto"/>
            <w:shd w:val="clear" w:color="auto" w:fill="FFFFFF"/>
            <w:tcMar>
              <w:top w:w="40" w:type="dxa"/>
              <w:left w:w="0" w:type="dxa"/>
              <w:bottom w:w="40" w:type="dxa"/>
              <w:right w:w="20" w:type="dxa"/>
            </w:tcMar>
            <w:vAlign w:val="bottom"/>
          </w:tcPr>
          <w:p w14:paraId="7C207EF9" w14:textId="77777777" w:rsidR="00834A75" w:rsidRDefault="00834A75">
            <w:pPr>
              <w:jc w:val="right"/>
              <w:rPr>
                <w:rFonts w:ascii="宋体"/>
              </w:rPr>
            </w:pPr>
          </w:p>
        </w:tc>
      </w:tr>
      <w:tr w:rsidR="00834A75" w14:paraId="7C207EFE" w14:textId="77777777">
        <w:tc>
          <w:tcPr>
            <w:tcW w:w="0" w:type="auto"/>
            <w:gridSpan w:val="3"/>
            <w:shd w:val="clear" w:color="auto" w:fill="E2EFD9"/>
            <w:tcMar>
              <w:top w:w="40" w:type="dxa"/>
              <w:left w:w="20" w:type="dxa"/>
              <w:bottom w:w="40" w:type="dxa"/>
              <w:right w:w="20" w:type="dxa"/>
            </w:tcMar>
            <w:vAlign w:val="bottom"/>
          </w:tcPr>
          <w:p w14:paraId="7C207EFB" w14:textId="77777777" w:rsidR="00834A75" w:rsidRDefault="00A6708C">
            <w:pPr>
              <w:textAlignment w:val="bottom"/>
            </w:pPr>
            <w:r>
              <w:rPr>
                <w:rFonts w:ascii="sans-serif" w:eastAsia="sans-serif" w:hAnsi="sans-serif" w:cs="sans-serif"/>
                <w:color w:val="000000"/>
                <w:sz w:val="20"/>
                <w:szCs w:val="20"/>
              </w:rPr>
              <w:t>2028 and thereafter</w:t>
            </w:r>
          </w:p>
        </w:tc>
        <w:tc>
          <w:tcPr>
            <w:tcW w:w="0" w:type="auto"/>
            <w:gridSpan w:val="2"/>
            <w:shd w:val="clear" w:color="auto" w:fill="E2EFD9"/>
            <w:tcMar>
              <w:top w:w="40" w:type="dxa"/>
              <w:left w:w="20" w:type="dxa"/>
              <w:bottom w:w="40" w:type="dxa"/>
              <w:right w:w="0" w:type="dxa"/>
            </w:tcMar>
            <w:vAlign w:val="bottom"/>
          </w:tcPr>
          <w:p w14:paraId="7C207EFC" w14:textId="77777777" w:rsidR="00834A75" w:rsidRDefault="00A6708C">
            <w:pPr>
              <w:jc w:val="right"/>
              <w:textAlignment w:val="bottom"/>
            </w:pPr>
            <w:r>
              <w:rPr>
                <w:rFonts w:ascii="sans-serif" w:eastAsia="sans-serif" w:hAnsi="sans-serif" w:cs="sans-serif"/>
                <w:color w:val="000000"/>
                <w:sz w:val="20"/>
                <w:szCs w:val="20"/>
              </w:rPr>
              <w:t>318 </w:t>
            </w:r>
          </w:p>
        </w:tc>
        <w:tc>
          <w:tcPr>
            <w:tcW w:w="0" w:type="auto"/>
            <w:shd w:val="clear" w:color="auto" w:fill="E2EFD9"/>
            <w:tcMar>
              <w:top w:w="40" w:type="dxa"/>
              <w:left w:w="0" w:type="dxa"/>
              <w:bottom w:w="40" w:type="dxa"/>
              <w:right w:w="20" w:type="dxa"/>
            </w:tcMar>
            <w:vAlign w:val="bottom"/>
          </w:tcPr>
          <w:p w14:paraId="7C207EFD" w14:textId="77777777" w:rsidR="00834A75" w:rsidRDefault="00834A75">
            <w:pPr>
              <w:jc w:val="right"/>
              <w:rPr>
                <w:rFonts w:ascii="宋体"/>
              </w:rPr>
            </w:pPr>
          </w:p>
        </w:tc>
      </w:tr>
      <w:tr w:rsidR="00834A75" w14:paraId="7C207F02" w14:textId="77777777">
        <w:tc>
          <w:tcPr>
            <w:tcW w:w="0" w:type="auto"/>
            <w:gridSpan w:val="3"/>
            <w:shd w:val="clear" w:color="auto" w:fill="FFFFFF"/>
            <w:tcMar>
              <w:top w:w="40" w:type="dxa"/>
              <w:left w:w="245" w:type="dxa"/>
              <w:bottom w:w="40" w:type="dxa"/>
              <w:right w:w="20" w:type="dxa"/>
            </w:tcMar>
            <w:vAlign w:val="bottom"/>
          </w:tcPr>
          <w:p w14:paraId="7C207EFF" w14:textId="77777777" w:rsidR="00834A75" w:rsidRDefault="00A6708C">
            <w:pPr>
              <w:textAlignment w:val="bottom"/>
            </w:pPr>
            <w:r>
              <w:rPr>
                <w:rFonts w:ascii="sans-serif" w:eastAsia="sans-serif" w:hAnsi="sans-serif" w:cs="sans-serif"/>
                <w:color w:val="000000"/>
                <w:sz w:val="20"/>
                <w:szCs w:val="20"/>
              </w:rPr>
              <w:t>Total</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C207F00" w14:textId="77777777" w:rsidR="00834A75" w:rsidRDefault="00A6708C">
            <w:pPr>
              <w:jc w:val="right"/>
              <w:textAlignment w:val="bottom"/>
            </w:pPr>
            <w:r>
              <w:rPr>
                <w:rFonts w:ascii="sans-serif" w:eastAsia="sans-serif" w:hAnsi="sans-serif" w:cs="sans-serif"/>
                <w:color w:val="000000"/>
                <w:sz w:val="20"/>
                <w:szCs w:val="20"/>
              </w:rPr>
              <w:t>999 </w:t>
            </w:r>
          </w:p>
        </w:tc>
        <w:tc>
          <w:tcPr>
            <w:tcW w:w="0" w:type="auto"/>
            <w:tcBorders>
              <w:top w:val="single" w:sz="8" w:space="0" w:color="000000"/>
            </w:tcBorders>
            <w:shd w:val="clear" w:color="auto" w:fill="FFFFFF"/>
            <w:tcMar>
              <w:top w:w="40" w:type="dxa"/>
              <w:left w:w="0" w:type="dxa"/>
              <w:bottom w:w="40" w:type="dxa"/>
              <w:right w:w="20" w:type="dxa"/>
            </w:tcMar>
            <w:vAlign w:val="bottom"/>
          </w:tcPr>
          <w:p w14:paraId="7C207F01" w14:textId="77777777" w:rsidR="00834A75" w:rsidRDefault="00834A75">
            <w:pPr>
              <w:jc w:val="right"/>
              <w:rPr>
                <w:rFonts w:ascii="宋体"/>
              </w:rPr>
            </w:pPr>
          </w:p>
        </w:tc>
      </w:tr>
      <w:tr w:rsidR="00834A75" w14:paraId="7C207F06" w14:textId="77777777">
        <w:tc>
          <w:tcPr>
            <w:tcW w:w="0" w:type="auto"/>
            <w:gridSpan w:val="3"/>
            <w:shd w:val="clear" w:color="auto" w:fill="E2EFD9"/>
            <w:tcMar>
              <w:top w:w="40" w:type="dxa"/>
              <w:left w:w="20" w:type="dxa"/>
              <w:bottom w:w="40" w:type="dxa"/>
              <w:right w:w="20" w:type="dxa"/>
            </w:tcMar>
            <w:vAlign w:val="bottom"/>
          </w:tcPr>
          <w:p w14:paraId="7C207F03" w14:textId="77777777" w:rsidR="00834A75" w:rsidRDefault="00A6708C">
            <w:pPr>
              <w:textAlignment w:val="bottom"/>
            </w:pPr>
            <w:r>
              <w:rPr>
                <w:rFonts w:ascii="sans-serif" w:eastAsia="sans-serif" w:hAnsi="sans-serif" w:cs="sans-serif"/>
                <w:color w:val="000000"/>
                <w:sz w:val="20"/>
                <w:szCs w:val="20"/>
              </w:rPr>
              <w:t>Less imputed interest</w:t>
            </w:r>
          </w:p>
        </w:tc>
        <w:tc>
          <w:tcPr>
            <w:tcW w:w="0" w:type="auto"/>
            <w:gridSpan w:val="2"/>
            <w:shd w:val="clear" w:color="auto" w:fill="E2EFD9"/>
            <w:tcMar>
              <w:top w:w="40" w:type="dxa"/>
              <w:left w:w="20" w:type="dxa"/>
              <w:bottom w:w="40" w:type="dxa"/>
              <w:right w:w="0" w:type="dxa"/>
            </w:tcMar>
            <w:vAlign w:val="bottom"/>
          </w:tcPr>
          <w:p w14:paraId="7C207F04" w14:textId="77777777" w:rsidR="00834A75" w:rsidRDefault="00A6708C">
            <w:pPr>
              <w:jc w:val="right"/>
              <w:textAlignment w:val="bottom"/>
            </w:pPr>
            <w:r>
              <w:rPr>
                <w:rFonts w:ascii="sans-serif" w:eastAsia="sans-serif" w:hAnsi="sans-serif" w:cs="sans-serif"/>
                <w:color w:val="000000"/>
                <w:sz w:val="20"/>
                <w:szCs w:val="20"/>
              </w:rPr>
              <w:t>100 </w:t>
            </w:r>
          </w:p>
        </w:tc>
        <w:tc>
          <w:tcPr>
            <w:tcW w:w="0" w:type="auto"/>
            <w:shd w:val="clear" w:color="auto" w:fill="E2EFD9"/>
            <w:tcMar>
              <w:top w:w="40" w:type="dxa"/>
              <w:left w:w="0" w:type="dxa"/>
              <w:bottom w:w="40" w:type="dxa"/>
              <w:right w:w="20" w:type="dxa"/>
            </w:tcMar>
            <w:vAlign w:val="bottom"/>
          </w:tcPr>
          <w:p w14:paraId="7C207F05" w14:textId="77777777" w:rsidR="00834A75" w:rsidRDefault="00834A75">
            <w:pPr>
              <w:jc w:val="right"/>
              <w:rPr>
                <w:rFonts w:ascii="宋体"/>
              </w:rPr>
            </w:pPr>
          </w:p>
        </w:tc>
      </w:tr>
      <w:tr w:rsidR="00834A75" w14:paraId="7C207F0A" w14:textId="77777777">
        <w:tc>
          <w:tcPr>
            <w:tcW w:w="0" w:type="auto"/>
            <w:gridSpan w:val="3"/>
            <w:shd w:val="clear" w:color="auto" w:fill="FFFFFF"/>
            <w:tcMar>
              <w:top w:w="40" w:type="dxa"/>
              <w:left w:w="20" w:type="dxa"/>
              <w:bottom w:w="40" w:type="dxa"/>
              <w:right w:w="20" w:type="dxa"/>
            </w:tcMar>
            <w:vAlign w:val="bottom"/>
          </w:tcPr>
          <w:p w14:paraId="7C207F07" w14:textId="77777777" w:rsidR="00834A75" w:rsidRDefault="00A6708C">
            <w:pPr>
              <w:textAlignment w:val="bottom"/>
            </w:pPr>
            <w:r>
              <w:rPr>
                <w:rFonts w:ascii="sans-serif" w:eastAsia="sans-serif" w:hAnsi="sans-serif" w:cs="sans-serif"/>
                <w:color w:val="000000"/>
                <w:sz w:val="20"/>
                <w:szCs w:val="20"/>
              </w:rPr>
              <w:t>Present value of net future minimum lease payments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C207F08" w14:textId="77777777" w:rsidR="00834A75" w:rsidRDefault="00A6708C">
            <w:pPr>
              <w:jc w:val="right"/>
              <w:textAlignment w:val="bottom"/>
            </w:pPr>
            <w:r>
              <w:rPr>
                <w:rFonts w:ascii="sans-serif" w:eastAsia="sans-serif" w:hAnsi="sans-serif" w:cs="sans-serif"/>
                <w:color w:val="000000"/>
                <w:sz w:val="20"/>
                <w:szCs w:val="20"/>
              </w:rPr>
              <w:t>899 </w:t>
            </w:r>
          </w:p>
        </w:tc>
        <w:tc>
          <w:tcPr>
            <w:tcW w:w="0" w:type="auto"/>
            <w:tcBorders>
              <w:top w:val="single" w:sz="8" w:space="0" w:color="000000"/>
            </w:tcBorders>
            <w:shd w:val="clear" w:color="auto" w:fill="FFFFFF"/>
            <w:tcMar>
              <w:top w:w="40" w:type="dxa"/>
              <w:left w:w="0" w:type="dxa"/>
              <w:bottom w:w="40" w:type="dxa"/>
              <w:right w:w="20" w:type="dxa"/>
            </w:tcMar>
            <w:vAlign w:val="bottom"/>
          </w:tcPr>
          <w:p w14:paraId="7C207F09" w14:textId="77777777" w:rsidR="00834A75" w:rsidRDefault="00834A75">
            <w:pPr>
              <w:jc w:val="right"/>
              <w:rPr>
                <w:rFonts w:ascii="宋体"/>
              </w:rPr>
            </w:pPr>
          </w:p>
        </w:tc>
      </w:tr>
      <w:tr w:rsidR="00834A75" w14:paraId="7C207F0E" w14:textId="77777777">
        <w:tc>
          <w:tcPr>
            <w:tcW w:w="0" w:type="auto"/>
            <w:gridSpan w:val="3"/>
            <w:shd w:val="clear" w:color="auto" w:fill="E2EFD9"/>
            <w:tcMar>
              <w:top w:w="40" w:type="dxa"/>
              <w:left w:w="20" w:type="dxa"/>
              <w:bottom w:w="40" w:type="dxa"/>
              <w:right w:w="20" w:type="dxa"/>
            </w:tcMar>
            <w:vAlign w:val="bottom"/>
          </w:tcPr>
          <w:p w14:paraId="7C207F0B" w14:textId="77777777" w:rsidR="00834A75" w:rsidRDefault="00A6708C">
            <w:pPr>
              <w:textAlignment w:val="bottom"/>
            </w:pPr>
            <w:r>
              <w:rPr>
                <w:rFonts w:ascii="sans-serif" w:eastAsia="sans-serif" w:hAnsi="sans-serif" w:cs="sans-serif"/>
                <w:color w:val="000000"/>
                <w:sz w:val="20"/>
                <w:szCs w:val="20"/>
              </w:rPr>
              <w:t>Less short-term operating lease liabilities</w:t>
            </w:r>
          </w:p>
        </w:tc>
        <w:tc>
          <w:tcPr>
            <w:tcW w:w="0" w:type="auto"/>
            <w:gridSpan w:val="2"/>
            <w:shd w:val="clear" w:color="auto" w:fill="E2EFD9"/>
            <w:tcMar>
              <w:top w:w="40" w:type="dxa"/>
              <w:left w:w="20" w:type="dxa"/>
              <w:bottom w:w="40" w:type="dxa"/>
              <w:right w:w="0" w:type="dxa"/>
            </w:tcMar>
            <w:vAlign w:val="bottom"/>
          </w:tcPr>
          <w:p w14:paraId="7C207F0C" w14:textId="77777777" w:rsidR="00834A75" w:rsidRDefault="00A6708C">
            <w:pPr>
              <w:jc w:val="right"/>
              <w:textAlignment w:val="bottom"/>
            </w:pPr>
            <w:r>
              <w:rPr>
                <w:rFonts w:ascii="sans-serif" w:eastAsia="sans-serif" w:hAnsi="sans-serif" w:cs="sans-serif"/>
                <w:color w:val="000000"/>
                <w:sz w:val="20"/>
                <w:szCs w:val="20"/>
              </w:rPr>
              <w:t>147 </w:t>
            </w:r>
          </w:p>
        </w:tc>
        <w:tc>
          <w:tcPr>
            <w:tcW w:w="0" w:type="auto"/>
            <w:shd w:val="clear" w:color="auto" w:fill="E2EFD9"/>
            <w:tcMar>
              <w:top w:w="40" w:type="dxa"/>
              <w:left w:w="0" w:type="dxa"/>
              <w:bottom w:w="40" w:type="dxa"/>
              <w:right w:w="20" w:type="dxa"/>
            </w:tcMar>
            <w:vAlign w:val="bottom"/>
          </w:tcPr>
          <w:p w14:paraId="7C207F0D" w14:textId="77777777" w:rsidR="00834A75" w:rsidRDefault="00834A75">
            <w:pPr>
              <w:jc w:val="right"/>
              <w:rPr>
                <w:rFonts w:ascii="宋体"/>
              </w:rPr>
            </w:pPr>
          </w:p>
        </w:tc>
      </w:tr>
      <w:tr w:rsidR="00834A75" w14:paraId="7C207F13" w14:textId="77777777">
        <w:tc>
          <w:tcPr>
            <w:tcW w:w="0" w:type="auto"/>
            <w:gridSpan w:val="3"/>
            <w:shd w:val="clear" w:color="auto" w:fill="FFFFFF"/>
            <w:tcMar>
              <w:top w:w="40" w:type="dxa"/>
              <w:left w:w="245" w:type="dxa"/>
              <w:bottom w:w="40" w:type="dxa"/>
              <w:right w:w="20" w:type="dxa"/>
            </w:tcMar>
            <w:vAlign w:val="bottom"/>
          </w:tcPr>
          <w:p w14:paraId="7C207F0F" w14:textId="77777777" w:rsidR="00834A75" w:rsidRDefault="00A6708C">
            <w:pPr>
              <w:textAlignment w:val="bottom"/>
            </w:pPr>
            <w:r>
              <w:rPr>
                <w:rFonts w:ascii="sans-serif" w:eastAsia="sans-serif" w:hAnsi="sans-serif" w:cs="sans-serif"/>
                <w:color w:val="000000"/>
                <w:sz w:val="20"/>
                <w:szCs w:val="20"/>
              </w:rPr>
              <w:t>Long-term operating lease liabilities</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C207F10" w14:textId="77777777" w:rsidR="00834A75" w:rsidRDefault="00A6708C">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C207F11" w14:textId="77777777" w:rsidR="00834A75" w:rsidRDefault="00A6708C">
            <w:pPr>
              <w:jc w:val="right"/>
              <w:textAlignment w:val="bottom"/>
            </w:pPr>
            <w:r>
              <w:rPr>
                <w:rFonts w:ascii="sans-serif" w:eastAsia="sans-serif" w:hAnsi="sans-serif" w:cs="sans-serif"/>
                <w:color w:val="000000"/>
                <w:sz w:val="20"/>
                <w:szCs w:val="20"/>
              </w:rPr>
              <w:t>752 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C207F12" w14:textId="77777777" w:rsidR="00834A75" w:rsidRDefault="00834A75">
            <w:pPr>
              <w:jc w:val="right"/>
              <w:rPr>
                <w:rFonts w:ascii="宋体"/>
              </w:rPr>
            </w:pPr>
          </w:p>
        </w:tc>
      </w:tr>
    </w:tbl>
    <w:p w14:paraId="7C207F14" w14:textId="77777777" w:rsidR="00834A75" w:rsidRDefault="00A6708C">
      <w:pPr>
        <w:spacing w:after="180"/>
        <w:jc w:val="both"/>
      </w:pPr>
      <w:r>
        <w:rPr>
          <w:rFonts w:ascii="sans-serif" w:eastAsia="sans-serif" w:hAnsi="sans-serif" w:cs="sans-serif"/>
          <w:color w:val="000000"/>
          <w:sz w:val="20"/>
          <w:szCs w:val="20"/>
        </w:rPr>
        <w:t xml:space="preserve">In </w:t>
      </w:r>
      <w:r>
        <w:rPr>
          <w:rFonts w:ascii="sans-serif" w:eastAsia="sans-serif" w:hAnsi="sans-serif" w:cs="sans-serif"/>
          <w:color w:val="000000"/>
          <w:sz w:val="20"/>
          <w:szCs w:val="20"/>
        </w:rPr>
        <w:t>addition to our existing operating lease obligations, we have operating leases that are expected to commence between the second quarter of fiscal year 2023 and fiscal year 2024 with lease terms of 3 to 8 years for $755 million, consisting primarily of data</w:t>
      </w:r>
      <w:r>
        <w:rPr>
          <w:rFonts w:ascii="sans-serif" w:eastAsia="sans-serif" w:hAnsi="sans-serif" w:cs="sans-serif"/>
          <w:color w:val="000000"/>
          <w:sz w:val="20"/>
          <w:szCs w:val="20"/>
        </w:rPr>
        <w:t xml:space="preserve"> center space.</w:t>
      </w:r>
    </w:p>
    <w:p w14:paraId="7C207F15" w14:textId="77777777" w:rsidR="00834A75" w:rsidRDefault="00A6708C">
      <w:pPr>
        <w:spacing w:after="180"/>
        <w:jc w:val="both"/>
      </w:pPr>
      <w:r>
        <w:rPr>
          <w:rFonts w:ascii="sans-serif" w:eastAsia="sans-serif" w:hAnsi="sans-serif" w:cs="sans-serif"/>
          <w:color w:val="000000"/>
          <w:sz w:val="20"/>
          <w:szCs w:val="20"/>
        </w:rPr>
        <w:t xml:space="preserve">Operating lease expenses were $44 million and $39 million for the first quarter of fiscal years 2023 and 2022, respectively. Short-term and variable lease expenses for the first quarter of fiscal years 2023 and 2022 were not significant. </w:t>
      </w:r>
    </w:p>
    <w:p w14:paraId="7C207F16" w14:textId="77777777" w:rsidR="00834A75" w:rsidRDefault="00A6708C">
      <w:pPr>
        <w:spacing w:after="180"/>
        <w:jc w:val="both"/>
      </w:pPr>
      <w:r>
        <w:rPr>
          <w:rFonts w:ascii="sans-serif" w:eastAsia="sans-serif" w:hAnsi="sans-serif" w:cs="sans-serif"/>
          <w:color w:val="000000"/>
          <w:sz w:val="20"/>
          <w:szCs w:val="20"/>
        </w:rPr>
        <w:t>Other information</w:t>
      </w:r>
      <w:r>
        <w:rPr>
          <w:rFonts w:ascii="sans-serif" w:eastAsia="sans-serif" w:hAnsi="sans-serif" w:cs="sans-serif"/>
          <w:color w:val="000000"/>
          <w:sz w:val="20"/>
          <w:szCs w:val="20"/>
        </w:rPr>
        <w:t xml:space="preserve"> related to leases was as follows:</w:t>
      </w:r>
    </w:p>
    <w:tbl>
      <w:tblPr>
        <w:tblW w:w="5000" w:type="pct"/>
        <w:tblCellMar>
          <w:top w:w="15" w:type="dxa"/>
          <w:left w:w="15" w:type="dxa"/>
          <w:bottom w:w="15" w:type="dxa"/>
          <w:right w:w="15" w:type="dxa"/>
        </w:tblCellMar>
        <w:tblLook w:val="04A0" w:firstRow="1" w:lastRow="0" w:firstColumn="1" w:lastColumn="0" w:noHBand="0" w:noVBand="1"/>
      </w:tblPr>
      <w:tblGrid>
        <w:gridCol w:w="39"/>
        <w:gridCol w:w="5448"/>
        <w:gridCol w:w="36"/>
        <w:gridCol w:w="123"/>
        <w:gridCol w:w="1192"/>
        <w:gridCol w:w="37"/>
        <w:gridCol w:w="36"/>
        <w:gridCol w:w="37"/>
        <w:gridCol w:w="36"/>
        <w:gridCol w:w="123"/>
        <w:gridCol w:w="1192"/>
        <w:gridCol w:w="37"/>
      </w:tblGrid>
      <w:tr w:rsidR="00834A75" w14:paraId="7C207F23" w14:textId="77777777">
        <w:tc>
          <w:tcPr>
            <w:tcW w:w="50" w:type="pct"/>
            <w:shd w:val="clear" w:color="auto" w:fill="auto"/>
            <w:vAlign w:val="bottom"/>
          </w:tcPr>
          <w:p w14:paraId="7C207F17" w14:textId="77777777" w:rsidR="00834A75" w:rsidRDefault="00834A75">
            <w:pPr>
              <w:rPr>
                <w:rFonts w:ascii="宋体"/>
              </w:rPr>
            </w:pPr>
          </w:p>
        </w:tc>
        <w:tc>
          <w:tcPr>
            <w:tcW w:w="3292" w:type="pct"/>
            <w:shd w:val="clear" w:color="auto" w:fill="auto"/>
            <w:vAlign w:val="bottom"/>
          </w:tcPr>
          <w:p w14:paraId="7C207F18" w14:textId="77777777" w:rsidR="00834A75" w:rsidRDefault="00834A75">
            <w:pPr>
              <w:rPr>
                <w:rFonts w:ascii="宋体"/>
              </w:rPr>
            </w:pPr>
          </w:p>
        </w:tc>
        <w:tc>
          <w:tcPr>
            <w:tcW w:w="5" w:type="pct"/>
            <w:shd w:val="clear" w:color="auto" w:fill="auto"/>
            <w:vAlign w:val="bottom"/>
          </w:tcPr>
          <w:p w14:paraId="7C207F19" w14:textId="77777777" w:rsidR="00834A75" w:rsidRDefault="00834A75">
            <w:pPr>
              <w:rPr>
                <w:rFonts w:ascii="宋体"/>
              </w:rPr>
            </w:pPr>
          </w:p>
        </w:tc>
        <w:tc>
          <w:tcPr>
            <w:tcW w:w="50" w:type="pct"/>
            <w:shd w:val="clear" w:color="auto" w:fill="auto"/>
            <w:vAlign w:val="bottom"/>
          </w:tcPr>
          <w:p w14:paraId="7C207F1A" w14:textId="77777777" w:rsidR="00834A75" w:rsidRDefault="00834A75">
            <w:pPr>
              <w:rPr>
                <w:rFonts w:ascii="宋体"/>
              </w:rPr>
            </w:pPr>
          </w:p>
        </w:tc>
        <w:tc>
          <w:tcPr>
            <w:tcW w:w="741" w:type="pct"/>
            <w:shd w:val="clear" w:color="auto" w:fill="auto"/>
            <w:vAlign w:val="bottom"/>
          </w:tcPr>
          <w:p w14:paraId="7C207F1B" w14:textId="77777777" w:rsidR="00834A75" w:rsidRDefault="00834A75">
            <w:pPr>
              <w:rPr>
                <w:rFonts w:ascii="宋体"/>
              </w:rPr>
            </w:pPr>
          </w:p>
        </w:tc>
        <w:tc>
          <w:tcPr>
            <w:tcW w:w="5" w:type="pct"/>
            <w:shd w:val="clear" w:color="auto" w:fill="auto"/>
            <w:vAlign w:val="bottom"/>
          </w:tcPr>
          <w:p w14:paraId="7C207F1C" w14:textId="77777777" w:rsidR="00834A75" w:rsidRDefault="00834A75">
            <w:pPr>
              <w:rPr>
                <w:rFonts w:ascii="宋体"/>
              </w:rPr>
            </w:pPr>
          </w:p>
        </w:tc>
        <w:tc>
          <w:tcPr>
            <w:tcW w:w="5" w:type="pct"/>
            <w:shd w:val="clear" w:color="auto" w:fill="auto"/>
            <w:vAlign w:val="bottom"/>
          </w:tcPr>
          <w:p w14:paraId="7C207F1D" w14:textId="77777777" w:rsidR="00834A75" w:rsidRDefault="00834A75">
            <w:pPr>
              <w:rPr>
                <w:rFonts w:ascii="宋体"/>
              </w:rPr>
            </w:pPr>
          </w:p>
        </w:tc>
        <w:tc>
          <w:tcPr>
            <w:tcW w:w="48" w:type="pct"/>
            <w:shd w:val="clear" w:color="auto" w:fill="auto"/>
            <w:vAlign w:val="bottom"/>
          </w:tcPr>
          <w:p w14:paraId="7C207F1E" w14:textId="77777777" w:rsidR="00834A75" w:rsidRDefault="00834A75">
            <w:pPr>
              <w:rPr>
                <w:rFonts w:ascii="宋体"/>
              </w:rPr>
            </w:pPr>
          </w:p>
        </w:tc>
        <w:tc>
          <w:tcPr>
            <w:tcW w:w="5" w:type="pct"/>
            <w:shd w:val="clear" w:color="auto" w:fill="auto"/>
            <w:vAlign w:val="bottom"/>
          </w:tcPr>
          <w:p w14:paraId="7C207F1F" w14:textId="77777777" w:rsidR="00834A75" w:rsidRDefault="00834A75">
            <w:pPr>
              <w:rPr>
                <w:rFonts w:ascii="宋体"/>
              </w:rPr>
            </w:pPr>
          </w:p>
        </w:tc>
        <w:tc>
          <w:tcPr>
            <w:tcW w:w="50" w:type="pct"/>
            <w:shd w:val="clear" w:color="auto" w:fill="auto"/>
            <w:vAlign w:val="bottom"/>
          </w:tcPr>
          <w:p w14:paraId="7C207F20" w14:textId="77777777" w:rsidR="00834A75" w:rsidRDefault="00834A75">
            <w:pPr>
              <w:rPr>
                <w:rFonts w:ascii="宋体"/>
              </w:rPr>
            </w:pPr>
          </w:p>
        </w:tc>
        <w:tc>
          <w:tcPr>
            <w:tcW w:w="741" w:type="pct"/>
            <w:shd w:val="clear" w:color="auto" w:fill="auto"/>
            <w:vAlign w:val="bottom"/>
          </w:tcPr>
          <w:p w14:paraId="7C207F21" w14:textId="77777777" w:rsidR="00834A75" w:rsidRDefault="00834A75">
            <w:pPr>
              <w:rPr>
                <w:rFonts w:ascii="宋体"/>
              </w:rPr>
            </w:pPr>
          </w:p>
        </w:tc>
        <w:tc>
          <w:tcPr>
            <w:tcW w:w="5" w:type="pct"/>
            <w:shd w:val="clear" w:color="auto" w:fill="auto"/>
            <w:vAlign w:val="bottom"/>
          </w:tcPr>
          <w:p w14:paraId="7C207F22" w14:textId="77777777" w:rsidR="00834A75" w:rsidRDefault="00834A75">
            <w:pPr>
              <w:rPr>
                <w:rFonts w:ascii="宋体"/>
              </w:rPr>
            </w:pPr>
          </w:p>
        </w:tc>
      </w:tr>
      <w:tr w:rsidR="00834A75" w14:paraId="7C207F26" w14:textId="77777777">
        <w:tc>
          <w:tcPr>
            <w:tcW w:w="0" w:type="auto"/>
            <w:gridSpan w:val="3"/>
            <w:shd w:val="clear" w:color="auto" w:fill="auto"/>
            <w:tcMar>
              <w:top w:w="0" w:type="dxa"/>
              <w:left w:w="20" w:type="dxa"/>
              <w:bottom w:w="0" w:type="dxa"/>
              <w:right w:w="20" w:type="dxa"/>
            </w:tcMar>
            <w:vAlign w:val="bottom"/>
          </w:tcPr>
          <w:p w14:paraId="7C207F24" w14:textId="77777777" w:rsidR="00834A75" w:rsidRDefault="00834A75">
            <w:pPr>
              <w:rPr>
                <w:rFonts w:ascii="宋体"/>
              </w:rPr>
            </w:pPr>
          </w:p>
        </w:tc>
        <w:tc>
          <w:tcPr>
            <w:tcW w:w="0" w:type="auto"/>
            <w:gridSpan w:val="9"/>
            <w:shd w:val="clear" w:color="auto" w:fill="auto"/>
            <w:tcMar>
              <w:top w:w="40" w:type="dxa"/>
              <w:left w:w="20" w:type="dxa"/>
              <w:bottom w:w="40" w:type="dxa"/>
              <w:right w:w="20" w:type="dxa"/>
            </w:tcMar>
            <w:vAlign w:val="bottom"/>
          </w:tcPr>
          <w:p w14:paraId="7C207F25" w14:textId="77777777" w:rsidR="00834A75" w:rsidRDefault="00A6708C">
            <w:pPr>
              <w:jc w:val="center"/>
              <w:textAlignment w:val="bottom"/>
            </w:pPr>
            <w:r>
              <w:rPr>
                <w:rFonts w:ascii="sans-serif" w:eastAsia="sans-serif" w:hAnsi="sans-serif" w:cs="sans-serif"/>
                <w:b/>
                <w:bCs/>
                <w:color w:val="000000"/>
                <w:sz w:val="20"/>
                <w:szCs w:val="20"/>
              </w:rPr>
              <w:t>Three Months Ended</w:t>
            </w:r>
          </w:p>
        </w:tc>
      </w:tr>
      <w:tr w:rsidR="00834A75" w14:paraId="7C207F2B" w14:textId="77777777">
        <w:tc>
          <w:tcPr>
            <w:tcW w:w="0" w:type="auto"/>
            <w:gridSpan w:val="3"/>
            <w:shd w:val="clear" w:color="auto" w:fill="auto"/>
            <w:tcMar>
              <w:top w:w="0" w:type="dxa"/>
              <w:left w:w="20" w:type="dxa"/>
              <w:bottom w:w="0" w:type="dxa"/>
              <w:right w:w="20" w:type="dxa"/>
            </w:tcMar>
            <w:vAlign w:val="bottom"/>
          </w:tcPr>
          <w:p w14:paraId="7C207F27" w14:textId="77777777" w:rsidR="00834A75" w:rsidRDefault="00834A75">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C207F28" w14:textId="77777777" w:rsidR="00834A75" w:rsidRDefault="00A6708C">
            <w:pPr>
              <w:jc w:val="center"/>
              <w:textAlignment w:val="bottom"/>
            </w:pPr>
            <w:r>
              <w:rPr>
                <w:rFonts w:ascii="sans-serif" w:eastAsia="sans-serif" w:hAnsi="sans-serif" w:cs="sans-serif"/>
                <w:b/>
                <w:bCs/>
                <w:color w:val="000000"/>
                <w:sz w:val="20"/>
                <w:szCs w:val="20"/>
              </w:rPr>
              <w:t>May 1, 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C207F29" w14:textId="77777777" w:rsidR="00834A75" w:rsidRDefault="00834A75">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C207F2A" w14:textId="77777777" w:rsidR="00834A75" w:rsidRDefault="00A6708C">
            <w:pPr>
              <w:jc w:val="center"/>
              <w:textAlignment w:val="bottom"/>
            </w:pPr>
            <w:r>
              <w:rPr>
                <w:rFonts w:ascii="sans-serif" w:eastAsia="sans-serif" w:hAnsi="sans-serif" w:cs="sans-serif"/>
                <w:b/>
                <w:bCs/>
                <w:color w:val="000000"/>
                <w:sz w:val="20"/>
                <w:szCs w:val="20"/>
              </w:rPr>
              <w:t>May 2, 2021</w:t>
            </w:r>
          </w:p>
        </w:tc>
      </w:tr>
      <w:tr w:rsidR="00834A75" w14:paraId="7C207F30" w14:textId="77777777">
        <w:trPr>
          <w:trHeight w:val="60"/>
        </w:trPr>
        <w:tc>
          <w:tcPr>
            <w:tcW w:w="0" w:type="auto"/>
            <w:gridSpan w:val="3"/>
            <w:shd w:val="clear" w:color="auto" w:fill="auto"/>
            <w:tcMar>
              <w:top w:w="0" w:type="dxa"/>
              <w:left w:w="20" w:type="dxa"/>
              <w:bottom w:w="0" w:type="dxa"/>
              <w:right w:w="20" w:type="dxa"/>
            </w:tcMar>
            <w:vAlign w:val="bottom"/>
          </w:tcPr>
          <w:p w14:paraId="7C207F2C" w14:textId="77777777" w:rsidR="00834A75" w:rsidRDefault="00834A75">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C207F2D" w14:textId="77777777" w:rsidR="00834A75" w:rsidRDefault="00834A75">
            <w:pPr>
              <w:rPr>
                <w:rFonts w:ascii="宋体"/>
              </w:rPr>
            </w:pPr>
          </w:p>
        </w:tc>
        <w:tc>
          <w:tcPr>
            <w:tcW w:w="0" w:type="auto"/>
            <w:gridSpan w:val="3"/>
            <w:shd w:val="clear" w:color="auto" w:fill="auto"/>
            <w:tcMar>
              <w:top w:w="0" w:type="dxa"/>
              <w:left w:w="20" w:type="dxa"/>
              <w:bottom w:w="0" w:type="dxa"/>
              <w:right w:w="20" w:type="dxa"/>
            </w:tcMar>
            <w:vAlign w:val="bottom"/>
          </w:tcPr>
          <w:p w14:paraId="7C207F2E" w14:textId="77777777" w:rsidR="00834A75" w:rsidRDefault="00834A75">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C207F2F" w14:textId="77777777" w:rsidR="00834A75" w:rsidRDefault="00834A75">
            <w:pPr>
              <w:rPr>
                <w:rFonts w:ascii="宋体"/>
              </w:rPr>
            </w:pPr>
          </w:p>
        </w:tc>
      </w:tr>
      <w:tr w:rsidR="00834A75" w14:paraId="7C207F33" w14:textId="77777777">
        <w:tc>
          <w:tcPr>
            <w:tcW w:w="0" w:type="auto"/>
            <w:gridSpan w:val="3"/>
            <w:shd w:val="clear" w:color="auto" w:fill="auto"/>
            <w:tcMar>
              <w:top w:w="40" w:type="dxa"/>
              <w:left w:w="20" w:type="dxa"/>
              <w:bottom w:w="40" w:type="dxa"/>
              <w:right w:w="20" w:type="dxa"/>
            </w:tcMar>
            <w:vAlign w:val="bottom"/>
          </w:tcPr>
          <w:p w14:paraId="7C207F31" w14:textId="77777777" w:rsidR="00834A75" w:rsidRDefault="00A6708C">
            <w:pPr>
              <w:textAlignment w:val="bottom"/>
            </w:pPr>
            <w:r>
              <w:rPr>
                <w:rFonts w:ascii="sans-serif" w:eastAsia="sans-serif" w:hAnsi="sans-serif" w:cs="sans-serif"/>
                <w:color w:val="000000"/>
                <w:sz w:val="20"/>
                <w:szCs w:val="20"/>
              </w:rPr>
              <w:t> </w:t>
            </w:r>
          </w:p>
        </w:tc>
        <w:tc>
          <w:tcPr>
            <w:tcW w:w="0" w:type="auto"/>
            <w:gridSpan w:val="9"/>
            <w:shd w:val="clear" w:color="auto" w:fill="auto"/>
            <w:tcMar>
              <w:top w:w="40" w:type="dxa"/>
              <w:left w:w="20" w:type="dxa"/>
              <w:bottom w:w="40" w:type="dxa"/>
              <w:right w:w="20" w:type="dxa"/>
            </w:tcMar>
            <w:vAlign w:val="bottom"/>
          </w:tcPr>
          <w:p w14:paraId="7C207F32" w14:textId="77777777" w:rsidR="00834A75" w:rsidRDefault="00A6708C">
            <w:pPr>
              <w:jc w:val="center"/>
              <w:textAlignment w:val="bottom"/>
            </w:pPr>
            <w:r>
              <w:rPr>
                <w:rFonts w:ascii="sans-serif" w:eastAsia="sans-serif" w:hAnsi="sans-serif" w:cs="sans-serif"/>
                <w:i/>
                <w:iCs/>
                <w:color w:val="000000"/>
                <w:sz w:val="20"/>
                <w:szCs w:val="20"/>
              </w:rPr>
              <w:t>(In millions)</w:t>
            </w:r>
          </w:p>
        </w:tc>
      </w:tr>
      <w:tr w:rsidR="00834A75" w14:paraId="7C207F38" w14:textId="77777777">
        <w:tc>
          <w:tcPr>
            <w:tcW w:w="0" w:type="auto"/>
            <w:gridSpan w:val="3"/>
            <w:shd w:val="clear" w:color="auto" w:fill="E2EFD9"/>
            <w:tcMar>
              <w:top w:w="40" w:type="dxa"/>
              <w:left w:w="20" w:type="dxa"/>
              <w:bottom w:w="40" w:type="dxa"/>
              <w:right w:w="20" w:type="dxa"/>
            </w:tcMar>
            <w:vAlign w:val="bottom"/>
          </w:tcPr>
          <w:p w14:paraId="7C207F34" w14:textId="77777777" w:rsidR="00834A75" w:rsidRDefault="00A6708C">
            <w:pPr>
              <w:textAlignment w:val="bottom"/>
            </w:pPr>
            <w:r>
              <w:rPr>
                <w:rFonts w:ascii="sans-serif" w:eastAsia="sans-serif" w:hAnsi="sans-serif" w:cs="sans-serif"/>
                <w:b/>
                <w:bCs/>
                <w:color w:val="000000"/>
                <w:sz w:val="20"/>
                <w:szCs w:val="20"/>
              </w:rPr>
              <w:t>Supplemental cash flows information</w:t>
            </w:r>
          </w:p>
        </w:tc>
        <w:tc>
          <w:tcPr>
            <w:tcW w:w="0" w:type="auto"/>
            <w:gridSpan w:val="3"/>
            <w:shd w:val="clear" w:color="auto" w:fill="E2EFD9"/>
            <w:tcMar>
              <w:top w:w="0" w:type="dxa"/>
              <w:left w:w="20" w:type="dxa"/>
              <w:bottom w:w="0" w:type="dxa"/>
              <w:right w:w="20" w:type="dxa"/>
            </w:tcMar>
            <w:vAlign w:val="bottom"/>
          </w:tcPr>
          <w:p w14:paraId="7C207F35" w14:textId="77777777" w:rsidR="00834A75" w:rsidRDefault="00834A75">
            <w:pPr>
              <w:rPr>
                <w:rFonts w:ascii="宋体"/>
              </w:rPr>
            </w:pPr>
          </w:p>
        </w:tc>
        <w:tc>
          <w:tcPr>
            <w:tcW w:w="0" w:type="auto"/>
            <w:gridSpan w:val="3"/>
            <w:shd w:val="clear" w:color="auto" w:fill="E2EFD9"/>
            <w:tcMar>
              <w:top w:w="0" w:type="dxa"/>
              <w:left w:w="20" w:type="dxa"/>
              <w:bottom w:w="0" w:type="dxa"/>
              <w:right w:w="20" w:type="dxa"/>
            </w:tcMar>
            <w:vAlign w:val="bottom"/>
          </w:tcPr>
          <w:p w14:paraId="7C207F36" w14:textId="77777777" w:rsidR="00834A75" w:rsidRDefault="00834A75">
            <w:pPr>
              <w:rPr>
                <w:rFonts w:ascii="宋体"/>
              </w:rPr>
            </w:pPr>
          </w:p>
        </w:tc>
        <w:tc>
          <w:tcPr>
            <w:tcW w:w="0" w:type="auto"/>
            <w:gridSpan w:val="3"/>
            <w:shd w:val="clear" w:color="auto" w:fill="E2EFD9"/>
            <w:tcMar>
              <w:top w:w="40" w:type="dxa"/>
              <w:left w:w="20" w:type="dxa"/>
              <w:bottom w:w="40" w:type="dxa"/>
              <w:right w:w="20" w:type="dxa"/>
            </w:tcMar>
            <w:vAlign w:val="bottom"/>
          </w:tcPr>
          <w:p w14:paraId="7C207F37" w14:textId="77777777" w:rsidR="00834A75" w:rsidRDefault="00A6708C">
            <w:pPr>
              <w:textAlignment w:val="bottom"/>
            </w:pPr>
            <w:r>
              <w:rPr>
                <w:rFonts w:ascii="sans-serif" w:eastAsia="sans-serif" w:hAnsi="sans-serif" w:cs="sans-serif"/>
                <w:color w:val="000000"/>
                <w:sz w:val="20"/>
                <w:szCs w:val="20"/>
              </w:rPr>
              <w:t> </w:t>
            </w:r>
          </w:p>
        </w:tc>
      </w:tr>
      <w:tr w:rsidR="00834A75" w14:paraId="7C207F41" w14:textId="77777777">
        <w:tc>
          <w:tcPr>
            <w:tcW w:w="0" w:type="auto"/>
            <w:gridSpan w:val="3"/>
            <w:shd w:val="clear" w:color="auto" w:fill="FFFFFF"/>
            <w:tcMar>
              <w:top w:w="40" w:type="dxa"/>
              <w:left w:w="20" w:type="dxa"/>
              <w:bottom w:w="40" w:type="dxa"/>
              <w:right w:w="20" w:type="dxa"/>
            </w:tcMar>
            <w:vAlign w:val="bottom"/>
          </w:tcPr>
          <w:p w14:paraId="7C207F39" w14:textId="77777777" w:rsidR="00834A75" w:rsidRDefault="00A6708C">
            <w:pPr>
              <w:textAlignment w:val="bottom"/>
            </w:pPr>
            <w:r>
              <w:rPr>
                <w:rFonts w:ascii="sans-serif" w:eastAsia="sans-serif" w:hAnsi="sans-serif" w:cs="sans-serif"/>
                <w:color w:val="000000"/>
                <w:sz w:val="20"/>
                <w:szCs w:val="20"/>
              </w:rPr>
              <w:t>Operating cash flows used for operating leases</w:t>
            </w:r>
          </w:p>
        </w:tc>
        <w:tc>
          <w:tcPr>
            <w:tcW w:w="0" w:type="auto"/>
            <w:shd w:val="clear" w:color="auto" w:fill="FFFFFF"/>
            <w:tcMar>
              <w:top w:w="40" w:type="dxa"/>
              <w:left w:w="20" w:type="dxa"/>
              <w:bottom w:w="40" w:type="dxa"/>
              <w:right w:w="0" w:type="dxa"/>
            </w:tcMar>
            <w:vAlign w:val="bottom"/>
          </w:tcPr>
          <w:p w14:paraId="7C207F3A" w14:textId="77777777" w:rsidR="00834A75" w:rsidRDefault="00A6708C">
            <w:pPr>
              <w:textAlignment w:val="bottom"/>
            </w:pPr>
            <w:r>
              <w:rPr>
                <w:rFonts w:ascii="sans-serif" w:eastAsia="sans-serif" w:hAnsi="sans-serif" w:cs="sans-serif"/>
                <w:color w:val="000000"/>
                <w:sz w:val="20"/>
                <w:szCs w:val="20"/>
              </w:rPr>
              <w:t>$</w:t>
            </w:r>
          </w:p>
        </w:tc>
        <w:tc>
          <w:tcPr>
            <w:tcW w:w="0" w:type="auto"/>
            <w:shd w:val="clear" w:color="auto" w:fill="FFFFFF"/>
            <w:tcMar>
              <w:top w:w="40" w:type="dxa"/>
              <w:left w:w="0" w:type="dxa"/>
              <w:bottom w:w="40" w:type="dxa"/>
              <w:right w:w="0" w:type="dxa"/>
            </w:tcMar>
            <w:vAlign w:val="bottom"/>
          </w:tcPr>
          <w:p w14:paraId="7C207F3B" w14:textId="77777777" w:rsidR="00834A75" w:rsidRDefault="00A6708C">
            <w:pPr>
              <w:jc w:val="right"/>
              <w:textAlignment w:val="bottom"/>
            </w:pPr>
            <w:r>
              <w:rPr>
                <w:rFonts w:ascii="sans-serif" w:eastAsia="sans-serif" w:hAnsi="sans-serif" w:cs="sans-serif"/>
                <w:color w:val="000000"/>
                <w:sz w:val="20"/>
                <w:szCs w:val="20"/>
              </w:rPr>
              <w:t>45 </w:t>
            </w:r>
          </w:p>
        </w:tc>
        <w:tc>
          <w:tcPr>
            <w:tcW w:w="0" w:type="auto"/>
            <w:shd w:val="clear" w:color="auto" w:fill="FFFFFF"/>
            <w:tcMar>
              <w:top w:w="40" w:type="dxa"/>
              <w:left w:w="0" w:type="dxa"/>
              <w:bottom w:w="40" w:type="dxa"/>
              <w:right w:w="20" w:type="dxa"/>
            </w:tcMar>
            <w:vAlign w:val="bottom"/>
          </w:tcPr>
          <w:p w14:paraId="7C207F3C" w14:textId="77777777" w:rsidR="00834A75" w:rsidRDefault="00834A75">
            <w:pPr>
              <w:jc w:val="right"/>
              <w:rPr>
                <w:rFonts w:ascii="宋体"/>
              </w:rPr>
            </w:pPr>
          </w:p>
        </w:tc>
        <w:tc>
          <w:tcPr>
            <w:tcW w:w="0" w:type="auto"/>
            <w:gridSpan w:val="3"/>
            <w:shd w:val="clear" w:color="auto" w:fill="FFFFFF"/>
            <w:tcMar>
              <w:top w:w="0" w:type="dxa"/>
              <w:left w:w="20" w:type="dxa"/>
              <w:bottom w:w="0" w:type="dxa"/>
              <w:right w:w="20" w:type="dxa"/>
            </w:tcMar>
            <w:vAlign w:val="bottom"/>
          </w:tcPr>
          <w:p w14:paraId="7C207F3D" w14:textId="77777777" w:rsidR="00834A75" w:rsidRDefault="00834A75">
            <w:pPr>
              <w:rPr>
                <w:rFonts w:ascii="宋体"/>
              </w:rPr>
            </w:pPr>
          </w:p>
        </w:tc>
        <w:tc>
          <w:tcPr>
            <w:tcW w:w="0" w:type="auto"/>
            <w:shd w:val="clear" w:color="auto" w:fill="FFFFFF"/>
            <w:tcMar>
              <w:top w:w="40" w:type="dxa"/>
              <w:left w:w="20" w:type="dxa"/>
              <w:bottom w:w="40" w:type="dxa"/>
              <w:right w:w="0" w:type="dxa"/>
            </w:tcMar>
            <w:vAlign w:val="bottom"/>
          </w:tcPr>
          <w:p w14:paraId="7C207F3E" w14:textId="77777777" w:rsidR="00834A75" w:rsidRDefault="00A6708C">
            <w:pPr>
              <w:textAlignment w:val="bottom"/>
            </w:pPr>
            <w:r>
              <w:rPr>
                <w:rFonts w:ascii="sans-serif" w:eastAsia="sans-serif" w:hAnsi="sans-serif" w:cs="sans-serif"/>
                <w:color w:val="000000"/>
                <w:sz w:val="20"/>
                <w:szCs w:val="20"/>
              </w:rPr>
              <w:t>$</w:t>
            </w:r>
          </w:p>
        </w:tc>
        <w:tc>
          <w:tcPr>
            <w:tcW w:w="0" w:type="auto"/>
            <w:shd w:val="clear" w:color="auto" w:fill="FFFFFF"/>
            <w:tcMar>
              <w:top w:w="40" w:type="dxa"/>
              <w:left w:w="0" w:type="dxa"/>
              <w:bottom w:w="40" w:type="dxa"/>
              <w:right w:w="0" w:type="dxa"/>
            </w:tcMar>
            <w:vAlign w:val="bottom"/>
          </w:tcPr>
          <w:p w14:paraId="7C207F3F" w14:textId="77777777" w:rsidR="00834A75" w:rsidRDefault="00A6708C">
            <w:pPr>
              <w:jc w:val="right"/>
              <w:textAlignment w:val="bottom"/>
            </w:pPr>
            <w:r>
              <w:rPr>
                <w:rFonts w:ascii="sans-serif" w:eastAsia="sans-serif" w:hAnsi="sans-serif" w:cs="sans-serif"/>
                <w:color w:val="000000"/>
                <w:sz w:val="20"/>
                <w:szCs w:val="20"/>
              </w:rPr>
              <w:t>39 </w:t>
            </w:r>
          </w:p>
        </w:tc>
        <w:tc>
          <w:tcPr>
            <w:tcW w:w="0" w:type="auto"/>
            <w:shd w:val="clear" w:color="auto" w:fill="FFFFFF"/>
            <w:tcMar>
              <w:top w:w="40" w:type="dxa"/>
              <w:left w:w="0" w:type="dxa"/>
              <w:bottom w:w="40" w:type="dxa"/>
              <w:right w:w="20" w:type="dxa"/>
            </w:tcMar>
            <w:vAlign w:val="bottom"/>
          </w:tcPr>
          <w:p w14:paraId="7C207F40" w14:textId="77777777" w:rsidR="00834A75" w:rsidRDefault="00834A75">
            <w:pPr>
              <w:jc w:val="right"/>
              <w:rPr>
                <w:rFonts w:ascii="宋体"/>
              </w:rPr>
            </w:pPr>
          </w:p>
        </w:tc>
      </w:tr>
      <w:tr w:rsidR="00834A75" w14:paraId="7C207F4A" w14:textId="77777777">
        <w:tc>
          <w:tcPr>
            <w:tcW w:w="0" w:type="auto"/>
            <w:gridSpan w:val="3"/>
            <w:shd w:val="clear" w:color="auto" w:fill="E2EFD9"/>
            <w:tcMar>
              <w:top w:w="40" w:type="dxa"/>
              <w:left w:w="20" w:type="dxa"/>
              <w:bottom w:w="40" w:type="dxa"/>
              <w:right w:w="20" w:type="dxa"/>
            </w:tcMar>
            <w:vAlign w:val="bottom"/>
          </w:tcPr>
          <w:p w14:paraId="7C207F42" w14:textId="77777777" w:rsidR="00834A75" w:rsidRDefault="00A6708C">
            <w:pPr>
              <w:textAlignment w:val="bottom"/>
            </w:pPr>
            <w:r>
              <w:rPr>
                <w:rFonts w:ascii="sans-serif" w:eastAsia="sans-serif" w:hAnsi="sans-serif" w:cs="sans-serif"/>
                <w:color w:val="000000"/>
                <w:sz w:val="20"/>
                <w:szCs w:val="20"/>
              </w:rPr>
              <w:t xml:space="preserve">Operating lease assets </w:t>
            </w:r>
            <w:r>
              <w:rPr>
                <w:rFonts w:ascii="sans-serif" w:eastAsia="sans-serif" w:hAnsi="sans-serif" w:cs="sans-serif"/>
                <w:color w:val="000000"/>
                <w:sz w:val="20"/>
                <w:szCs w:val="20"/>
              </w:rPr>
              <w:t>obtained in exchange for lease obligations</w:t>
            </w:r>
          </w:p>
        </w:tc>
        <w:tc>
          <w:tcPr>
            <w:tcW w:w="0" w:type="auto"/>
            <w:shd w:val="clear" w:color="auto" w:fill="E2EFD9"/>
            <w:tcMar>
              <w:top w:w="40" w:type="dxa"/>
              <w:left w:w="20" w:type="dxa"/>
              <w:bottom w:w="40" w:type="dxa"/>
              <w:right w:w="0" w:type="dxa"/>
            </w:tcMar>
            <w:vAlign w:val="bottom"/>
          </w:tcPr>
          <w:p w14:paraId="7C207F43" w14:textId="77777777" w:rsidR="00834A75" w:rsidRDefault="00A6708C">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7C207F44" w14:textId="77777777" w:rsidR="00834A75" w:rsidRDefault="00A6708C">
            <w:pPr>
              <w:jc w:val="right"/>
              <w:textAlignment w:val="bottom"/>
            </w:pPr>
            <w:r>
              <w:rPr>
                <w:rFonts w:ascii="sans-serif" w:eastAsia="sans-serif" w:hAnsi="sans-serif" w:cs="sans-serif"/>
                <w:color w:val="000000"/>
                <w:sz w:val="20"/>
                <w:szCs w:val="20"/>
              </w:rPr>
              <w:t>62 </w:t>
            </w:r>
          </w:p>
        </w:tc>
        <w:tc>
          <w:tcPr>
            <w:tcW w:w="0" w:type="auto"/>
            <w:shd w:val="clear" w:color="auto" w:fill="E2EFD9"/>
            <w:tcMar>
              <w:top w:w="40" w:type="dxa"/>
              <w:left w:w="0" w:type="dxa"/>
              <w:bottom w:w="40" w:type="dxa"/>
              <w:right w:w="20" w:type="dxa"/>
            </w:tcMar>
            <w:vAlign w:val="bottom"/>
          </w:tcPr>
          <w:p w14:paraId="7C207F45" w14:textId="77777777" w:rsidR="00834A75" w:rsidRDefault="00834A75">
            <w:pPr>
              <w:jc w:val="right"/>
              <w:rPr>
                <w:rFonts w:ascii="宋体"/>
              </w:rPr>
            </w:pPr>
          </w:p>
        </w:tc>
        <w:tc>
          <w:tcPr>
            <w:tcW w:w="0" w:type="auto"/>
            <w:gridSpan w:val="3"/>
            <w:shd w:val="clear" w:color="auto" w:fill="E2EFD9"/>
            <w:tcMar>
              <w:top w:w="0" w:type="dxa"/>
              <w:left w:w="20" w:type="dxa"/>
              <w:bottom w:w="0" w:type="dxa"/>
              <w:right w:w="20" w:type="dxa"/>
            </w:tcMar>
            <w:vAlign w:val="bottom"/>
          </w:tcPr>
          <w:p w14:paraId="7C207F46" w14:textId="77777777" w:rsidR="00834A75" w:rsidRDefault="00834A75">
            <w:pPr>
              <w:rPr>
                <w:rFonts w:ascii="宋体"/>
              </w:rPr>
            </w:pPr>
          </w:p>
        </w:tc>
        <w:tc>
          <w:tcPr>
            <w:tcW w:w="0" w:type="auto"/>
            <w:shd w:val="clear" w:color="auto" w:fill="E2EFD9"/>
            <w:tcMar>
              <w:top w:w="40" w:type="dxa"/>
              <w:left w:w="20" w:type="dxa"/>
              <w:bottom w:w="40" w:type="dxa"/>
              <w:right w:w="0" w:type="dxa"/>
            </w:tcMar>
            <w:vAlign w:val="bottom"/>
          </w:tcPr>
          <w:p w14:paraId="7C207F47" w14:textId="77777777" w:rsidR="00834A75" w:rsidRDefault="00A6708C">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7C207F48" w14:textId="77777777" w:rsidR="00834A75" w:rsidRDefault="00A6708C">
            <w:pPr>
              <w:jc w:val="right"/>
              <w:textAlignment w:val="bottom"/>
            </w:pPr>
            <w:r>
              <w:rPr>
                <w:rFonts w:ascii="sans-serif" w:eastAsia="sans-serif" w:hAnsi="sans-serif" w:cs="sans-serif"/>
                <w:color w:val="000000"/>
                <w:sz w:val="20"/>
                <w:szCs w:val="20"/>
              </w:rPr>
              <w:t>54 </w:t>
            </w:r>
          </w:p>
        </w:tc>
        <w:tc>
          <w:tcPr>
            <w:tcW w:w="0" w:type="auto"/>
            <w:shd w:val="clear" w:color="auto" w:fill="E2EFD9"/>
            <w:tcMar>
              <w:top w:w="40" w:type="dxa"/>
              <w:left w:w="0" w:type="dxa"/>
              <w:bottom w:w="40" w:type="dxa"/>
              <w:right w:w="20" w:type="dxa"/>
            </w:tcMar>
            <w:vAlign w:val="bottom"/>
          </w:tcPr>
          <w:p w14:paraId="7C207F49" w14:textId="77777777" w:rsidR="00834A75" w:rsidRDefault="00834A75">
            <w:pPr>
              <w:jc w:val="right"/>
              <w:rPr>
                <w:rFonts w:ascii="宋体"/>
              </w:rPr>
            </w:pPr>
          </w:p>
        </w:tc>
      </w:tr>
    </w:tbl>
    <w:p w14:paraId="7C207F4B" w14:textId="77777777" w:rsidR="00834A75" w:rsidRDefault="00A6708C">
      <w:pPr>
        <w:spacing w:after="180"/>
        <w:jc w:val="center"/>
      </w:pPr>
      <w:r>
        <w:rPr>
          <w:rFonts w:ascii="sans-serif" w:eastAsia="sans-serif" w:hAnsi="sans-serif" w:cs="sans-serif"/>
          <w:color w:val="000000"/>
          <w:sz w:val="20"/>
          <w:szCs w:val="20"/>
        </w:rPr>
        <w:t>9</w:t>
      </w:r>
    </w:p>
    <w:p w14:paraId="7C207F4C" w14:textId="77777777" w:rsidR="00834A75" w:rsidRDefault="00A6708C">
      <w:r>
        <w:pict w14:anchorId="7C209358">
          <v:rect id="_x0000_i1033" style="width:415.3pt;height:1.5pt" o:hralign="center" o:hrstd="t" o:hr="t" fillcolor="#a0a0a0" stroked="f"/>
        </w:pict>
      </w:r>
    </w:p>
    <w:p w14:paraId="7C207F4D" w14:textId="77777777" w:rsidR="00834A75" w:rsidRDefault="00A6708C">
      <w:pPr>
        <w:jc w:val="center"/>
      </w:pPr>
      <w:r>
        <w:rPr>
          <w:rFonts w:ascii="sans-serif" w:eastAsia="sans-serif" w:hAnsi="sans-serif" w:cs="sans-serif"/>
          <w:b/>
          <w:bCs/>
          <w:color w:val="000000"/>
          <w:sz w:val="20"/>
          <w:szCs w:val="20"/>
        </w:rPr>
        <w:t>NVIDIA CORPORATION AND SUBSIDIARIES</w:t>
      </w:r>
    </w:p>
    <w:p w14:paraId="7C207F4E" w14:textId="77777777" w:rsidR="00834A75" w:rsidRDefault="00A6708C">
      <w:pPr>
        <w:jc w:val="center"/>
      </w:pPr>
      <w:r>
        <w:rPr>
          <w:rFonts w:ascii="sans-serif" w:eastAsia="sans-serif" w:hAnsi="sans-serif" w:cs="sans-serif"/>
          <w:b/>
          <w:bCs/>
          <w:color w:val="000000"/>
          <w:sz w:val="20"/>
          <w:szCs w:val="20"/>
        </w:rPr>
        <w:t>NOTES TO CONDENSED CONSOLIDATED FINANCIAL STATEMENTS (Continued)</w:t>
      </w:r>
    </w:p>
    <w:p w14:paraId="7C207F4F" w14:textId="77777777" w:rsidR="00834A75" w:rsidRDefault="00A6708C">
      <w:pPr>
        <w:jc w:val="center"/>
      </w:pPr>
      <w:r>
        <w:rPr>
          <w:rFonts w:ascii="sans-serif" w:eastAsia="sans-serif" w:hAnsi="sans-serif" w:cs="sans-serif"/>
          <w:b/>
          <w:bCs/>
          <w:color w:val="000000"/>
          <w:sz w:val="20"/>
          <w:szCs w:val="20"/>
        </w:rPr>
        <w:t>(Unaudited)</w:t>
      </w:r>
    </w:p>
    <w:p w14:paraId="7C207F50" w14:textId="77777777" w:rsidR="00834A75" w:rsidRDefault="00834A75">
      <w:pPr>
        <w:spacing w:after="180"/>
        <w:jc w:val="both"/>
      </w:pPr>
    </w:p>
    <w:p w14:paraId="7C207F51" w14:textId="77777777" w:rsidR="00834A75" w:rsidRDefault="00834A75">
      <w:pPr>
        <w:spacing w:after="180"/>
        <w:jc w:val="both"/>
      </w:pPr>
    </w:p>
    <w:p w14:paraId="7C207F52" w14:textId="77777777" w:rsidR="00834A75" w:rsidRDefault="00A6708C">
      <w:pPr>
        <w:jc w:val="both"/>
      </w:pPr>
      <w:r>
        <w:rPr>
          <w:rFonts w:ascii="sans-serif" w:eastAsia="sans-serif" w:hAnsi="sans-serif" w:cs="sans-serif"/>
          <w:color w:val="000000"/>
          <w:sz w:val="20"/>
          <w:szCs w:val="20"/>
        </w:rPr>
        <w:t xml:space="preserve">As of May 1, 2022, our operating leases had a weighted average </w:t>
      </w:r>
      <w:r>
        <w:rPr>
          <w:rFonts w:ascii="sans-serif" w:eastAsia="sans-serif" w:hAnsi="sans-serif" w:cs="sans-serif"/>
          <w:color w:val="000000"/>
          <w:sz w:val="20"/>
          <w:szCs w:val="20"/>
        </w:rPr>
        <w:t>remaining lease term of 7.2 years and a weighted average discount rate of 2.51%. As of January 30, 2022, our operating leases had a weighted average remaining lease term of 7.1 years and a weighted average discount rate of 2.51%.</w:t>
      </w:r>
    </w:p>
    <w:p w14:paraId="7C207F53" w14:textId="77777777" w:rsidR="00834A75" w:rsidRDefault="00A6708C">
      <w:pPr>
        <w:spacing w:before="240" w:after="120"/>
        <w:jc w:val="both"/>
      </w:pPr>
      <w:r>
        <w:rPr>
          <w:rFonts w:ascii="sans-serif" w:eastAsia="sans-serif" w:hAnsi="sans-serif" w:cs="sans-serif"/>
          <w:b/>
          <w:bCs/>
          <w:color w:val="76B900"/>
          <w:sz w:val="22"/>
          <w:szCs w:val="22"/>
        </w:rPr>
        <w:t>Note 4 - Stock-Based Compe</w:t>
      </w:r>
      <w:r>
        <w:rPr>
          <w:rFonts w:ascii="sans-serif" w:eastAsia="sans-serif" w:hAnsi="sans-serif" w:cs="sans-serif"/>
          <w:b/>
          <w:bCs/>
          <w:color w:val="76B900"/>
          <w:sz w:val="22"/>
          <w:szCs w:val="22"/>
        </w:rPr>
        <w:t>nsation</w:t>
      </w:r>
    </w:p>
    <w:p w14:paraId="7C207F54" w14:textId="77777777" w:rsidR="00834A75" w:rsidRDefault="00A6708C">
      <w:pPr>
        <w:spacing w:after="180"/>
        <w:jc w:val="both"/>
      </w:pPr>
      <w:r>
        <w:rPr>
          <w:rFonts w:ascii="sans-serif" w:eastAsia="sans-serif" w:hAnsi="sans-serif" w:cs="sans-serif"/>
          <w:color w:val="000000"/>
          <w:sz w:val="20"/>
          <w:szCs w:val="20"/>
        </w:rPr>
        <w:t xml:space="preserve">Our stock-based compensation expense is associated with restricted stock units, or RSUs, performance stock units that are based on our corporate financial performance targets, or PSUs, performance stock units that are based on market </w:t>
      </w:r>
      <w:r>
        <w:rPr>
          <w:rFonts w:ascii="sans-serif" w:eastAsia="sans-serif" w:hAnsi="sans-serif" w:cs="sans-serif"/>
          <w:color w:val="000000"/>
          <w:sz w:val="20"/>
          <w:szCs w:val="20"/>
        </w:rPr>
        <w:t>conditions, or market-based PSUs, and our employee stock purchase plan, or ESPP.</w:t>
      </w:r>
    </w:p>
    <w:p w14:paraId="7C207F55" w14:textId="77777777" w:rsidR="00834A75" w:rsidRDefault="00A6708C">
      <w:pPr>
        <w:spacing w:after="180"/>
        <w:jc w:val="both"/>
      </w:pPr>
      <w:r>
        <w:rPr>
          <w:rFonts w:ascii="sans-serif" w:eastAsia="sans-serif" w:hAnsi="sans-serif" w:cs="sans-serif"/>
          <w:color w:val="000000"/>
          <w:sz w:val="20"/>
          <w:szCs w:val="20"/>
        </w:rPr>
        <w:t>Our Condensed Consolidated Statements of Income include stock-based compensation expense, net of amounts allocated to inventory, as follows:</w:t>
      </w:r>
    </w:p>
    <w:tbl>
      <w:tblPr>
        <w:tblW w:w="5000" w:type="pct"/>
        <w:tblCellMar>
          <w:top w:w="15" w:type="dxa"/>
          <w:left w:w="15" w:type="dxa"/>
          <w:bottom w:w="15" w:type="dxa"/>
          <w:right w:w="15" w:type="dxa"/>
        </w:tblCellMar>
        <w:tblLook w:val="04A0" w:firstRow="1" w:lastRow="0" w:firstColumn="1" w:lastColumn="0" w:noHBand="0" w:noVBand="1"/>
      </w:tblPr>
      <w:tblGrid>
        <w:gridCol w:w="39"/>
        <w:gridCol w:w="5095"/>
        <w:gridCol w:w="38"/>
        <w:gridCol w:w="122"/>
        <w:gridCol w:w="1173"/>
        <w:gridCol w:w="36"/>
        <w:gridCol w:w="36"/>
        <w:gridCol w:w="36"/>
        <w:gridCol w:w="36"/>
        <w:gridCol w:w="122"/>
        <w:gridCol w:w="1135"/>
        <w:gridCol w:w="36"/>
        <w:gridCol w:w="36"/>
        <w:gridCol w:w="36"/>
        <w:gridCol w:w="36"/>
        <w:gridCol w:w="36"/>
        <w:gridCol w:w="36"/>
        <w:gridCol w:w="36"/>
        <w:gridCol w:w="36"/>
        <w:gridCol w:w="36"/>
        <w:gridCol w:w="36"/>
        <w:gridCol w:w="36"/>
        <w:gridCol w:w="36"/>
        <w:gridCol w:w="36"/>
      </w:tblGrid>
      <w:tr w:rsidR="00834A75" w14:paraId="7C207F66" w14:textId="77777777">
        <w:tc>
          <w:tcPr>
            <w:tcW w:w="50" w:type="pct"/>
            <w:shd w:val="clear" w:color="auto" w:fill="auto"/>
            <w:vAlign w:val="bottom"/>
          </w:tcPr>
          <w:p w14:paraId="7C207F56" w14:textId="77777777" w:rsidR="00834A75" w:rsidRDefault="00834A75">
            <w:pPr>
              <w:rPr>
                <w:rFonts w:ascii="宋体"/>
              </w:rPr>
            </w:pPr>
          </w:p>
        </w:tc>
        <w:tc>
          <w:tcPr>
            <w:tcW w:w="3256" w:type="pct"/>
            <w:shd w:val="clear" w:color="auto" w:fill="auto"/>
            <w:vAlign w:val="bottom"/>
          </w:tcPr>
          <w:p w14:paraId="7C207F57" w14:textId="77777777" w:rsidR="00834A75" w:rsidRDefault="00834A75">
            <w:pPr>
              <w:rPr>
                <w:rFonts w:ascii="宋体"/>
              </w:rPr>
            </w:pPr>
          </w:p>
        </w:tc>
        <w:tc>
          <w:tcPr>
            <w:tcW w:w="5" w:type="pct"/>
            <w:shd w:val="clear" w:color="auto" w:fill="auto"/>
            <w:vAlign w:val="bottom"/>
          </w:tcPr>
          <w:p w14:paraId="7C207F58" w14:textId="77777777" w:rsidR="00834A75" w:rsidRDefault="00834A75">
            <w:pPr>
              <w:rPr>
                <w:rFonts w:ascii="宋体"/>
              </w:rPr>
            </w:pPr>
          </w:p>
        </w:tc>
        <w:tc>
          <w:tcPr>
            <w:tcW w:w="50" w:type="pct"/>
            <w:shd w:val="clear" w:color="auto" w:fill="auto"/>
            <w:vAlign w:val="bottom"/>
          </w:tcPr>
          <w:p w14:paraId="7C207F59" w14:textId="77777777" w:rsidR="00834A75" w:rsidRDefault="00834A75">
            <w:pPr>
              <w:rPr>
                <w:rFonts w:ascii="宋体"/>
              </w:rPr>
            </w:pPr>
          </w:p>
        </w:tc>
        <w:tc>
          <w:tcPr>
            <w:tcW w:w="771" w:type="pct"/>
            <w:shd w:val="clear" w:color="auto" w:fill="auto"/>
            <w:vAlign w:val="bottom"/>
          </w:tcPr>
          <w:p w14:paraId="7C207F5A" w14:textId="77777777" w:rsidR="00834A75" w:rsidRDefault="00834A75">
            <w:pPr>
              <w:rPr>
                <w:rFonts w:ascii="宋体"/>
              </w:rPr>
            </w:pPr>
          </w:p>
        </w:tc>
        <w:tc>
          <w:tcPr>
            <w:tcW w:w="5" w:type="pct"/>
            <w:shd w:val="clear" w:color="auto" w:fill="auto"/>
            <w:vAlign w:val="bottom"/>
          </w:tcPr>
          <w:p w14:paraId="7C207F5B" w14:textId="77777777" w:rsidR="00834A75" w:rsidRDefault="00834A75">
            <w:pPr>
              <w:rPr>
                <w:rFonts w:ascii="宋体"/>
              </w:rPr>
            </w:pPr>
          </w:p>
        </w:tc>
        <w:tc>
          <w:tcPr>
            <w:tcW w:w="5" w:type="pct"/>
            <w:shd w:val="clear" w:color="auto" w:fill="auto"/>
            <w:vAlign w:val="bottom"/>
          </w:tcPr>
          <w:p w14:paraId="7C207F5C" w14:textId="77777777" w:rsidR="00834A75" w:rsidRDefault="00834A75">
            <w:pPr>
              <w:rPr>
                <w:rFonts w:ascii="宋体"/>
              </w:rPr>
            </w:pPr>
          </w:p>
        </w:tc>
        <w:tc>
          <w:tcPr>
            <w:tcW w:w="26" w:type="pct"/>
            <w:shd w:val="clear" w:color="auto" w:fill="auto"/>
            <w:vAlign w:val="bottom"/>
          </w:tcPr>
          <w:p w14:paraId="7C207F5D" w14:textId="77777777" w:rsidR="00834A75" w:rsidRDefault="00834A75">
            <w:pPr>
              <w:rPr>
                <w:rFonts w:ascii="宋体"/>
              </w:rPr>
            </w:pPr>
          </w:p>
        </w:tc>
        <w:tc>
          <w:tcPr>
            <w:tcW w:w="5" w:type="pct"/>
            <w:shd w:val="clear" w:color="auto" w:fill="auto"/>
            <w:vAlign w:val="bottom"/>
          </w:tcPr>
          <w:p w14:paraId="7C207F5E" w14:textId="77777777" w:rsidR="00834A75" w:rsidRDefault="00834A75">
            <w:pPr>
              <w:rPr>
                <w:rFonts w:ascii="宋体"/>
              </w:rPr>
            </w:pPr>
          </w:p>
        </w:tc>
        <w:tc>
          <w:tcPr>
            <w:tcW w:w="50" w:type="pct"/>
            <w:shd w:val="clear" w:color="auto" w:fill="auto"/>
            <w:vAlign w:val="bottom"/>
          </w:tcPr>
          <w:p w14:paraId="7C207F5F" w14:textId="77777777" w:rsidR="00834A75" w:rsidRDefault="00834A75">
            <w:pPr>
              <w:rPr>
                <w:rFonts w:ascii="宋体"/>
              </w:rPr>
            </w:pPr>
          </w:p>
        </w:tc>
        <w:tc>
          <w:tcPr>
            <w:tcW w:w="771" w:type="pct"/>
            <w:shd w:val="clear" w:color="auto" w:fill="auto"/>
            <w:vAlign w:val="bottom"/>
          </w:tcPr>
          <w:p w14:paraId="7C207F60" w14:textId="77777777" w:rsidR="00834A75" w:rsidRDefault="00834A75">
            <w:pPr>
              <w:rPr>
                <w:rFonts w:ascii="宋体"/>
              </w:rPr>
            </w:pPr>
          </w:p>
        </w:tc>
        <w:tc>
          <w:tcPr>
            <w:tcW w:w="5" w:type="pct"/>
            <w:shd w:val="clear" w:color="auto" w:fill="auto"/>
            <w:vAlign w:val="bottom"/>
          </w:tcPr>
          <w:p w14:paraId="7C207F61" w14:textId="77777777" w:rsidR="00834A75" w:rsidRDefault="00834A75">
            <w:pPr>
              <w:rPr>
                <w:rFonts w:ascii="宋体"/>
              </w:rPr>
            </w:pPr>
          </w:p>
        </w:tc>
        <w:tc>
          <w:tcPr>
            <w:tcW w:w="0" w:type="auto"/>
            <w:gridSpan w:val="3"/>
            <w:shd w:val="clear" w:color="auto" w:fill="auto"/>
            <w:vAlign w:val="bottom"/>
          </w:tcPr>
          <w:p w14:paraId="7C207F62" w14:textId="77777777" w:rsidR="00834A75" w:rsidRDefault="00834A75">
            <w:pPr>
              <w:rPr>
                <w:rFonts w:ascii="宋体"/>
                <w:vanish/>
              </w:rPr>
            </w:pPr>
          </w:p>
        </w:tc>
        <w:tc>
          <w:tcPr>
            <w:tcW w:w="0" w:type="auto"/>
            <w:gridSpan w:val="3"/>
            <w:shd w:val="clear" w:color="auto" w:fill="auto"/>
            <w:vAlign w:val="bottom"/>
          </w:tcPr>
          <w:p w14:paraId="7C207F63" w14:textId="77777777" w:rsidR="00834A75" w:rsidRDefault="00834A75">
            <w:pPr>
              <w:rPr>
                <w:rFonts w:ascii="宋体"/>
                <w:vanish/>
              </w:rPr>
            </w:pPr>
          </w:p>
        </w:tc>
        <w:tc>
          <w:tcPr>
            <w:tcW w:w="0" w:type="auto"/>
            <w:gridSpan w:val="3"/>
            <w:shd w:val="clear" w:color="auto" w:fill="auto"/>
            <w:vAlign w:val="bottom"/>
          </w:tcPr>
          <w:p w14:paraId="7C207F64" w14:textId="77777777" w:rsidR="00834A75" w:rsidRDefault="00834A75">
            <w:pPr>
              <w:rPr>
                <w:rFonts w:ascii="宋体"/>
                <w:vanish/>
              </w:rPr>
            </w:pPr>
          </w:p>
        </w:tc>
        <w:tc>
          <w:tcPr>
            <w:tcW w:w="0" w:type="auto"/>
            <w:gridSpan w:val="3"/>
            <w:shd w:val="clear" w:color="auto" w:fill="auto"/>
            <w:vAlign w:val="bottom"/>
          </w:tcPr>
          <w:p w14:paraId="7C207F65" w14:textId="77777777" w:rsidR="00834A75" w:rsidRDefault="00834A75">
            <w:pPr>
              <w:rPr>
                <w:rFonts w:ascii="宋体"/>
                <w:vanish/>
              </w:rPr>
            </w:pPr>
          </w:p>
        </w:tc>
      </w:tr>
      <w:tr w:rsidR="00834A75" w14:paraId="7C207F71" w14:textId="77777777">
        <w:tc>
          <w:tcPr>
            <w:tcW w:w="0" w:type="auto"/>
            <w:gridSpan w:val="3"/>
            <w:shd w:val="clear" w:color="auto" w:fill="auto"/>
            <w:tcMar>
              <w:top w:w="40" w:type="dxa"/>
              <w:left w:w="20" w:type="dxa"/>
              <w:bottom w:w="40" w:type="dxa"/>
              <w:right w:w="20" w:type="dxa"/>
            </w:tcMar>
            <w:vAlign w:val="bottom"/>
          </w:tcPr>
          <w:p w14:paraId="7C207F67" w14:textId="77777777" w:rsidR="00834A75" w:rsidRDefault="00A6708C">
            <w:pPr>
              <w:textAlignment w:val="bottom"/>
            </w:pPr>
            <w:r>
              <w:rPr>
                <w:rFonts w:ascii="sans-serif" w:eastAsia="sans-serif" w:hAnsi="sans-serif" w:cs="sans-serif"/>
                <w:color w:val="000000"/>
                <w:sz w:val="20"/>
                <w:szCs w:val="20"/>
              </w:rPr>
              <w:t> </w:t>
            </w:r>
          </w:p>
        </w:tc>
        <w:tc>
          <w:tcPr>
            <w:tcW w:w="0" w:type="auto"/>
            <w:gridSpan w:val="9"/>
            <w:shd w:val="clear" w:color="auto" w:fill="auto"/>
            <w:tcMar>
              <w:top w:w="40" w:type="dxa"/>
              <w:left w:w="20" w:type="dxa"/>
              <w:bottom w:w="40" w:type="dxa"/>
              <w:right w:w="20" w:type="dxa"/>
            </w:tcMar>
            <w:vAlign w:val="bottom"/>
          </w:tcPr>
          <w:p w14:paraId="7C207F68" w14:textId="77777777" w:rsidR="00834A75" w:rsidRDefault="00A6708C">
            <w:pPr>
              <w:jc w:val="center"/>
              <w:textAlignment w:val="bottom"/>
            </w:pPr>
            <w:r>
              <w:rPr>
                <w:rFonts w:ascii="sans-serif" w:eastAsia="sans-serif" w:hAnsi="sans-serif" w:cs="sans-serif"/>
                <w:b/>
                <w:bCs/>
                <w:color w:val="000000"/>
                <w:sz w:val="20"/>
                <w:szCs w:val="20"/>
              </w:rPr>
              <w:t xml:space="preserve">Three </w:t>
            </w:r>
            <w:r>
              <w:rPr>
                <w:rFonts w:ascii="sans-serif" w:eastAsia="sans-serif" w:hAnsi="sans-serif" w:cs="sans-serif"/>
                <w:b/>
                <w:bCs/>
                <w:color w:val="000000"/>
                <w:sz w:val="20"/>
                <w:szCs w:val="20"/>
              </w:rPr>
              <w:t>Months Ended</w:t>
            </w:r>
          </w:p>
        </w:tc>
        <w:tc>
          <w:tcPr>
            <w:tcW w:w="0" w:type="auto"/>
            <w:gridSpan w:val="3"/>
            <w:shd w:val="clear" w:color="auto" w:fill="auto"/>
            <w:vAlign w:val="bottom"/>
          </w:tcPr>
          <w:p w14:paraId="7C207F69" w14:textId="77777777" w:rsidR="00834A75" w:rsidRDefault="00834A75">
            <w:pPr>
              <w:rPr>
                <w:rFonts w:ascii="宋体"/>
                <w:vanish/>
              </w:rPr>
            </w:pPr>
          </w:p>
        </w:tc>
        <w:tc>
          <w:tcPr>
            <w:tcW w:w="0" w:type="auto"/>
            <w:gridSpan w:val="3"/>
            <w:shd w:val="clear" w:color="auto" w:fill="auto"/>
            <w:vAlign w:val="bottom"/>
          </w:tcPr>
          <w:p w14:paraId="7C207F6A" w14:textId="77777777" w:rsidR="00834A75" w:rsidRDefault="00834A75">
            <w:pPr>
              <w:rPr>
                <w:rFonts w:ascii="宋体"/>
                <w:vanish/>
              </w:rPr>
            </w:pPr>
          </w:p>
        </w:tc>
        <w:tc>
          <w:tcPr>
            <w:tcW w:w="0" w:type="auto"/>
            <w:shd w:val="clear" w:color="auto" w:fill="auto"/>
            <w:vAlign w:val="bottom"/>
          </w:tcPr>
          <w:p w14:paraId="7C207F6B" w14:textId="77777777" w:rsidR="00834A75" w:rsidRDefault="00834A75">
            <w:pPr>
              <w:rPr>
                <w:rFonts w:ascii="宋体"/>
              </w:rPr>
            </w:pPr>
          </w:p>
        </w:tc>
        <w:tc>
          <w:tcPr>
            <w:tcW w:w="0" w:type="auto"/>
            <w:shd w:val="clear" w:color="auto" w:fill="auto"/>
            <w:vAlign w:val="bottom"/>
          </w:tcPr>
          <w:p w14:paraId="7C207F6C" w14:textId="77777777" w:rsidR="00834A75" w:rsidRDefault="00834A75">
            <w:pPr>
              <w:rPr>
                <w:rFonts w:ascii="宋体"/>
              </w:rPr>
            </w:pPr>
          </w:p>
        </w:tc>
        <w:tc>
          <w:tcPr>
            <w:tcW w:w="0" w:type="auto"/>
            <w:shd w:val="clear" w:color="auto" w:fill="auto"/>
            <w:vAlign w:val="bottom"/>
          </w:tcPr>
          <w:p w14:paraId="7C207F6D" w14:textId="77777777" w:rsidR="00834A75" w:rsidRDefault="00834A75">
            <w:pPr>
              <w:rPr>
                <w:rFonts w:ascii="宋体"/>
              </w:rPr>
            </w:pPr>
          </w:p>
        </w:tc>
        <w:tc>
          <w:tcPr>
            <w:tcW w:w="0" w:type="auto"/>
            <w:shd w:val="clear" w:color="auto" w:fill="auto"/>
            <w:vAlign w:val="bottom"/>
          </w:tcPr>
          <w:p w14:paraId="7C207F6E" w14:textId="77777777" w:rsidR="00834A75" w:rsidRDefault="00834A75">
            <w:pPr>
              <w:rPr>
                <w:rFonts w:ascii="宋体"/>
              </w:rPr>
            </w:pPr>
          </w:p>
        </w:tc>
        <w:tc>
          <w:tcPr>
            <w:tcW w:w="0" w:type="auto"/>
            <w:shd w:val="clear" w:color="auto" w:fill="auto"/>
            <w:vAlign w:val="bottom"/>
          </w:tcPr>
          <w:p w14:paraId="7C207F6F" w14:textId="77777777" w:rsidR="00834A75" w:rsidRDefault="00834A75">
            <w:pPr>
              <w:rPr>
                <w:rFonts w:ascii="宋体"/>
              </w:rPr>
            </w:pPr>
          </w:p>
        </w:tc>
        <w:tc>
          <w:tcPr>
            <w:tcW w:w="0" w:type="auto"/>
            <w:shd w:val="clear" w:color="auto" w:fill="auto"/>
            <w:vAlign w:val="bottom"/>
          </w:tcPr>
          <w:p w14:paraId="7C207F70" w14:textId="77777777" w:rsidR="00834A75" w:rsidRDefault="00834A75">
            <w:pPr>
              <w:rPr>
                <w:rFonts w:ascii="宋体"/>
              </w:rPr>
            </w:pPr>
          </w:p>
        </w:tc>
      </w:tr>
      <w:tr w:rsidR="00834A75" w14:paraId="7C207F7A" w14:textId="77777777">
        <w:tc>
          <w:tcPr>
            <w:tcW w:w="0" w:type="auto"/>
            <w:gridSpan w:val="3"/>
            <w:shd w:val="clear" w:color="auto" w:fill="auto"/>
            <w:tcMar>
              <w:top w:w="40" w:type="dxa"/>
              <w:left w:w="20" w:type="dxa"/>
              <w:bottom w:w="40" w:type="dxa"/>
              <w:right w:w="20" w:type="dxa"/>
            </w:tcMar>
            <w:vAlign w:val="bottom"/>
          </w:tcPr>
          <w:p w14:paraId="7C207F72" w14:textId="77777777" w:rsidR="00834A75" w:rsidRDefault="00A6708C">
            <w:pPr>
              <w:textAlignment w:val="bottom"/>
            </w:pPr>
            <w:r>
              <w:rPr>
                <w:rFonts w:ascii="sans-serif" w:eastAsia="sans-serif" w:hAnsi="sans-serif" w:cs="sans-serif"/>
                <w:color w:val="000000"/>
                <w:sz w:val="20"/>
                <w:szCs w:val="20"/>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C207F73" w14:textId="77777777" w:rsidR="00834A75" w:rsidRDefault="00A6708C">
            <w:pPr>
              <w:jc w:val="center"/>
              <w:textAlignment w:val="bottom"/>
            </w:pPr>
            <w:r>
              <w:rPr>
                <w:rFonts w:ascii="sans-serif" w:eastAsia="sans-serif" w:hAnsi="sans-serif" w:cs="sans-serif"/>
                <w:b/>
                <w:bCs/>
                <w:color w:val="000000"/>
                <w:sz w:val="20"/>
                <w:szCs w:val="20"/>
              </w:rPr>
              <w:t>May 1,</w:t>
            </w:r>
            <w:r>
              <w:rPr>
                <w:rFonts w:ascii="sans-serif" w:eastAsia="sans-serif" w:hAnsi="sans-serif" w:cs="sans-serif"/>
                <w:b/>
                <w:bCs/>
                <w:color w:val="000000"/>
                <w:sz w:val="20"/>
                <w:szCs w:val="20"/>
              </w:rPr>
              <w:b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C207F74" w14:textId="77777777" w:rsidR="00834A75" w:rsidRDefault="00834A75">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C207F75" w14:textId="77777777" w:rsidR="00834A75" w:rsidRDefault="00A6708C">
            <w:pPr>
              <w:jc w:val="center"/>
              <w:textAlignment w:val="bottom"/>
            </w:pPr>
            <w:r>
              <w:rPr>
                <w:rFonts w:ascii="sans-serif" w:eastAsia="sans-serif" w:hAnsi="sans-serif" w:cs="sans-serif"/>
                <w:b/>
                <w:bCs/>
                <w:color w:val="000000"/>
                <w:sz w:val="20"/>
                <w:szCs w:val="20"/>
              </w:rPr>
              <w:t>May 2,</w:t>
            </w:r>
            <w:r>
              <w:rPr>
                <w:rFonts w:ascii="sans-serif" w:eastAsia="sans-serif" w:hAnsi="sans-serif" w:cs="sans-serif"/>
                <w:b/>
                <w:bCs/>
                <w:color w:val="000000"/>
                <w:sz w:val="20"/>
                <w:szCs w:val="20"/>
              </w:rPr>
              <w:br/>
              <w:t>2021</w:t>
            </w:r>
          </w:p>
        </w:tc>
        <w:tc>
          <w:tcPr>
            <w:tcW w:w="0" w:type="auto"/>
            <w:gridSpan w:val="3"/>
            <w:shd w:val="clear" w:color="auto" w:fill="auto"/>
            <w:vAlign w:val="bottom"/>
          </w:tcPr>
          <w:p w14:paraId="7C207F76" w14:textId="77777777" w:rsidR="00834A75" w:rsidRDefault="00834A75">
            <w:pPr>
              <w:rPr>
                <w:rFonts w:ascii="宋体"/>
                <w:vanish/>
              </w:rPr>
            </w:pPr>
          </w:p>
        </w:tc>
        <w:tc>
          <w:tcPr>
            <w:tcW w:w="0" w:type="auto"/>
            <w:gridSpan w:val="3"/>
            <w:shd w:val="clear" w:color="auto" w:fill="auto"/>
            <w:vAlign w:val="bottom"/>
          </w:tcPr>
          <w:p w14:paraId="7C207F77" w14:textId="77777777" w:rsidR="00834A75" w:rsidRDefault="00834A75">
            <w:pPr>
              <w:rPr>
                <w:rFonts w:ascii="宋体"/>
                <w:vanish/>
              </w:rPr>
            </w:pPr>
          </w:p>
        </w:tc>
        <w:tc>
          <w:tcPr>
            <w:tcW w:w="0" w:type="auto"/>
            <w:gridSpan w:val="3"/>
            <w:shd w:val="clear" w:color="auto" w:fill="auto"/>
            <w:vAlign w:val="bottom"/>
          </w:tcPr>
          <w:p w14:paraId="7C207F78" w14:textId="77777777" w:rsidR="00834A75" w:rsidRDefault="00834A75">
            <w:pPr>
              <w:rPr>
                <w:rFonts w:ascii="宋体"/>
                <w:vanish/>
              </w:rPr>
            </w:pPr>
          </w:p>
        </w:tc>
        <w:tc>
          <w:tcPr>
            <w:tcW w:w="0" w:type="auto"/>
            <w:gridSpan w:val="3"/>
            <w:shd w:val="clear" w:color="auto" w:fill="auto"/>
            <w:vAlign w:val="bottom"/>
          </w:tcPr>
          <w:p w14:paraId="7C207F79" w14:textId="77777777" w:rsidR="00834A75" w:rsidRDefault="00834A75">
            <w:pPr>
              <w:rPr>
                <w:rFonts w:ascii="宋体"/>
                <w:vanish/>
              </w:rPr>
            </w:pPr>
          </w:p>
        </w:tc>
      </w:tr>
      <w:tr w:rsidR="00834A75" w14:paraId="7C207F83" w14:textId="77777777">
        <w:trPr>
          <w:trHeight w:val="60"/>
        </w:trPr>
        <w:tc>
          <w:tcPr>
            <w:tcW w:w="0" w:type="auto"/>
            <w:gridSpan w:val="3"/>
            <w:shd w:val="clear" w:color="auto" w:fill="auto"/>
            <w:tcMar>
              <w:top w:w="0" w:type="dxa"/>
              <w:left w:w="20" w:type="dxa"/>
              <w:bottom w:w="0" w:type="dxa"/>
              <w:right w:w="20" w:type="dxa"/>
            </w:tcMar>
            <w:vAlign w:val="bottom"/>
          </w:tcPr>
          <w:p w14:paraId="7C207F7B" w14:textId="77777777" w:rsidR="00834A75" w:rsidRDefault="00834A75">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C207F7C" w14:textId="77777777" w:rsidR="00834A75" w:rsidRDefault="00834A75">
            <w:pPr>
              <w:rPr>
                <w:rFonts w:ascii="宋体"/>
              </w:rPr>
            </w:pPr>
          </w:p>
        </w:tc>
        <w:tc>
          <w:tcPr>
            <w:tcW w:w="0" w:type="auto"/>
            <w:gridSpan w:val="3"/>
            <w:shd w:val="clear" w:color="auto" w:fill="auto"/>
            <w:tcMar>
              <w:top w:w="0" w:type="dxa"/>
              <w:left w:w="20" w:type="dxa"/>
              <w:bottom w:w="0" w:type="dxa"/>
              <w:right w:w="20" w:type="dxa"/>
            </w:tcMar>
            <w:vAlign w:val="bottom"/>
          </w:tcPr>
          <w:p w14:paraId="7C207F7D" w14:textId="77777777" w:rsidR="00834A75" w:rsidRDefault="00834A75">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C207F7E" w14:textId="77777777" w:rsidR="00834A75" w:rsidRDefault="00834A75">
            <w:pPr>
              <w:rPr>
                <w:rFonts w:ascii="宋体"/>
              </w:rPr>
            </w:pPr>
          </w:p>
        </w:tc>
        <w:tc>
          <w:tcPr>
            <w:tcW w:w="0" w:type="auto"/>
            <w:gridSpan w:val="3"/>
            <w:shd w:val="clear" w:color="auto" w:fill="auto"/>
            <w:vAlign w:val="bottom"/>
          </w:tcPr>
          <w:p w14:paraId="7C207F7F" w14:textId="77777777" w:rsidR="00834A75" w:rsidRDefault="00834A75">
            <w:pPr>
              <w:rPr>
                <w:rFonts w:ascii="宋体"/>
                <w:vanish/>
              </w:rPr>
            </w:pPr>
          </w:p>
        </w:tc>
        <w:tc>
          <w:tcPr>
            <w:tcW w:w="0" w:type="auto"/>
            <w:gridSpan w:val="3"/>
            <w:shd w:val="clear" w:color="auto" w:fill="auto"/>
            <w:vAlign w:val="bottom"/>
          </w:tcPr>
          <w:p w14:paraId="7C207F80" w14:textId="77777777" w:rsidR="00834A75" w:rsidRDefault="00834A75">
            <w:pPr>
              <w:rPr>
                <w:rFonts w:ascii="宋体"/>
                <w:vanish/>
              </w:rPr>
            </w:pPr>
          </w:p>
        </w:tc>
        <w:tc>
          <w:tcPr>
            <w:tcW w:w="0" w:type="auto"/>
            <w:gridSpan w:val="3"/>
            <w:shd w:val="clear" w:color="auto" w:fill="auto"/>
            <w:vAlign w:val="bottom"/>
          </w:tcPr>
          <w:p w14:paraId="7C207F81" w14:textId="77777777" w:rsidR="00834A75" w:rsidRDefault="00834A75">
            <w:pPr>
              <w:rPr>
                <w:rFonts w:ascii="宋体"/>
                <w:vanish/>
              </w:rPr>
            </w:pPr>
          </w:p>
        </w:tc>
        <w:tc>
          <w:tcPr>
            <w:tcW w:w="0" w:type="auto"/>
            <w:gridSpan w:val="3"/>
            <w:shd w:val="clear" w:color="auto" w:fill="auto"/>
            <w:vAlign w:val="bottom"/>
          </w:tcPr>
          <w:p w14:paraId="7C207F82" w14:textId="77777777" w:rsidR="00834A75" w:rsidRDefault="00834A75">
            <w:pPr>
              <w:rPr>
                <w:rFonts w:ascii="宋体"/>
                <w:vanish/>
              </w:rPr>
            </w:pPr>
          </w:p>
        </w:tc>
      </w:tr>
      <w:tr w:rsidR="00834A75" w14:paraId="7C207F92" w14:textId="77777777">
        <w:tc>
          <w:tcPr>
            <w:tcW w:w="0" w:type="auto"/>
            <w:gridSpan w:val="3"/>
            <w:shd w:val="clear" w:color="auto" w:fill="auto"/>
            <w:tcMar>
              <w:top w:w="0" w:type="dxa"/>
              <w:left w:w="20" w:type="dxa"/>
              <w:bottom w:w="0" w:type="dxa"/>
              <w:right w:w="20" w:type="dxa"/>
            </w:tcMar>
            <w:vAlign w:val="bottom"/>
          </w:tcPr>
          <w:p w14:paraId="7C207F84" w14:textId="77777777" w:rsidR="00834A75" w:rsidRDefault="00834A75">
            <w:pPr>
              <w:rPr>
                <w:rFonts w:ascii="宋体"/>
              </w:rPr>
            </w:pPr>
          </w:p>
        </w:tc>
        <w:tc>
          <w:tcPr>
            <w:tcW w:w="0" w:type="auto"/>
            <w:gridSpan w:val="9"/>
            <w:shd w:val="clear" w:color="auto" w:fill="FFFFFF"/>
            <w:tcMar>
              <w:top w:w="40" w:type="dxa"/>
              <w:left w:w="20" w:type="dxa"/>
              <w:bottom w:w="40" w:type="dxa"/>
              <w:right w:w="20" w:type="dxa"/>
            </w:tcMar>
            <w:vAlign w:val="bottom"/>
          </w:tcPr>
          <w:p w14:paraId="7C207F85" w14:textId="77777777" w:rsidR="00834A75" w:rsidRDefault="00A6708C">
            <w:pPr>
              <w:jc w:val="center"/>
              <w:textAlignment w:val="bottom"/>
            </w:pPr>
            <w:r>
              <w:rPr>
                <w:rFonts w:ascii="sans-serif" w:eastAsia="sans-serif" w:hAnsi="sans-serif" w:cs="sans-serif"/>
                <w:i/>
                <w:iCs/>
                <w:color w:val="000000"/>
                <w:sz w:val="20"/>
                <w:szCs w:val="20"/>
              </w:rPr>
              <w:t>(In millions)</w:t>
            </w:r>
          </w:p>
        </w:tc>
        <w:tc>
          <w:tcPr>
            <w:tcW w:w="0" w:type="auto"/>
            <w:shd w:val="clear" w:color="auto" w:fill="auto"/>
            <w:vAlign w:val="bottom"/>
          </w:tcPr>
          <w:p w14:paraId="7C207F86" w14:textId="77777777" w:rsidR="00834A75" w:rsidRDefault="00834A75">
            <w:pPr>
              <w:rPr>
                <w:rFonts w:ascii="宋体"/>
              </w:rPr>
            </w:pPr>
          </w:p>
        </w:tc>
        <w:tc>
          <w:tcPr>
            <w:tcW w:w="0" w:type="auto"/>
            <w:shd w:val="clear" w:color="auto" w:fill="auto"/>
            <w:vAlign w:val="bottom"/>
          </w:tcPr>
          <w:p w14:paraId="7C207F87" w14:textId="77777777" w:rsidR="00834A75" w:rsidRDefault="00834A75">
            <w:pPr>
              <w:rPr>
                <w:rFonts w:ascii="宋体"/>
              </w:rPr>
            </w:pPr>
          </w:p>
        </w:tc>
        <w:tc>
          <w:tcPr>
            <w:tcW w:w="0" w:type="auto"/>
            <w:shd w:val="clear" w:color="auto" w:fill="auto"/>
            <w:vAlign w:val="bottom"/>
          </w:tcPr>
          <w:p w14:paraId="7C207F88" w14:textId="77777777" w:rsidR="00834A75" w:rsidRDefault="00834A75">
            <w:pPr>
              <w:rPr>
                <w:rFonts w:ascii="宋体"/>
              </w:rPr>
            </w:pPr>
          </w:p>
        </w:tc>
        <w:tc>
          <w:tcPr>
            <w:tcW w:w="0" w:type="auto"/>
            <w:shd w:val="clear" w:color="auto" w:fill="auto"/>
            <w:vAlign w:val="bottom"/>
          </w:tcPr>
          <w:p w14:paraId="7C207F89" w14:textId="77777777" w:rsidR="00834A75" w:rsidRDefault="00834A75">
            <w:pPr>
              <w:rPr>
                <w:rFonts w:ascii="宋体"/>
              </w:rPr>
            </w:pPr>
          </w:p>
        </w:tc>
        <w:tc>
          <w:tcPr>
            <w:tcW w:w="0" w:type="auto"/>
            <w:shd w:val="clear" w:color="auto" w:fill="auto"/>
            <w:vAlign w:val="bottom"/>
          </w:tcPr>
          <w:p w14:paraId="7C207F8A" w14:textId="77777777" w:rsidR="00834A75" w:rsidRDefault="00834A75">
            <w:pPr>
              <w:rPr>
                <w:rFonts w:ascii="宋体"/>
              </w:rPr>
            </w:pPr>
          </w:p>
        </w:tc>
        <w:tc>
          <w:tcPr>
            <w:tcW w:w="0" w:type="auto"/>
            <w:shd w:val="clear" w:color="auto" w:fill="auto"/>
            <w:vAlign w:val="bottom"/>
          </w:tcPr>
          <w:p w14:paraId="7C207F8B" w14:textId="77777777" w:rsidR="00834A75" w:rsidRDefault="00834A75">
            <w:pPr>
              <w:rPr>
                <w:rFonts w:ascii="宋体"/>
              </w:rPr>
            </w:pPr>
          </w:p>
        </w:tc>
        <w:tc>
          <w:tcPr>
            <w:tcW w:w="0" w:type="auto"/>
            <w:shd w:val="clear" w:color="auto" w:fill="auto"/>
            <w:vAlign w:val="bottom"/>
          </w:tcPr>
          <w:p w14:paraId="7C207F8C" w14:textId="77777777" w:rsidR="00834A75" w:rsidRDefault="00834A75">
            <w:pPr>
              <w:rPr>
                <w:rFonts w:ascii="宋体"/>
              </w:rPr>
            </w:pPr>
          </w:p>
        </w:tc>
        <w:tc>
          <w:tcPr>
            <w:tcW w:w="0" w:type="auto"/>
            <w:shd w:val="clear" w:color="auto" w:fill="auto"/>
            <w:vAlign w:val="bottom"/>
          </w:tcPr>
          <w:p w14:paraId="7C207F8D" w14:textId="77777777" w:rsidR="00834A75" w:rsidRDefault="00834A75">
            <w:pPr>
              <w:rPr>
                <w:rFonts w:ascii="宋体"/>
              </w:rPr>
            </w:pPr>
          </w:p>
        </w:tc>
        <w:tc>
          <w:tcPr>
            <w:tcW w:w="0" w:type="auto"/>
            <w:shd w:val="clear" w:color="auto" w:fill="auto"/>
            <w:vAlign w:val="bottom"/>
          </w:tcPr>
          <w:p w14:paraId="7C207F8E" w14:textId="77777777" w:rsidR="00834A75" w:rsidRDefault="00834A75">
            <w:pPr>
              <w:rPr>
                <w:rFonts w:ascii="宋体"/>
              </w:rPr>
            </w:pPr>
          </w:p>
        </w:tc>
        <w:tc>
          <w:tcPr>
            <w:tcW w:w="0" w:type="auto"/>
            <w:shd w:val="clear" w:color="auto" w:fill="auto"/>
            <w:vAlign w:val="bottom"/>
          </w:tcPr>
          <w:p w14:paraId="7C207F8F" w14:textId="77777777" w:rsidR="00834A75" w:rsidRDefault="00834A75">
            <w:pPr>
              <w:rPr>
                <w:rFonts w:ascii="宋体"/>
              </w:rPr>
            </w:pPr>
          </w:p>
        </w:tc>
        <w:tc>
          <w:tcPr>
            <w:tcW w:w="0" w:type="auto"/>
            <w:shd w:val="clear" w:color="auto" w:fill="auto"/>
            <w:vAlign w:val="bottom"/>
          </w:tcPr>
          <w:p w14:paraId="7C207F90" w14:textId="77777777" w:rsidR="00834A75" w:rsidRDefault="00834A75">
            <w:pPr>
              <w:rPr>
                <w:rFonts w:ascii="宋体"/>
              </w:rPr>
            </w:pPr>
          </w:p>
        </w:tc>
        <w:tc>
          <w:tcPr>
            <w:tcW w:w="0" w:type="auto"/>
            <w:shd w:val="clear" w:color="auto" w:fill="auto"/>
            <w:vAlign w:val="bottom"/>
          </w:tcPr>
          <w:p w14:paraId="7C207F91" w14:textId="77777777" w:rsidR="00834A75" w:rsidRDefault="00834A75">
            <w:pPr>
              <w:rPr>
                <w:rFonts w:ascii="宋体"/>
              </w:rPr>
            </w:pPr>
          </w:p>
        </w:tc>
      </w:tr>
      <w:tr w:rsidR="00834A75" w14:paraId="7C207F9F" w14:textId="77777777">
        <w:tc>
          <w:tcPr>
            <w:tcW w:w="0" w:type="auto"/>
            <w:gridSpan w:val="3"/>
            <w:shd w:val="clear" w:color="auto" w:fill="E2EFD9"/>
            <w:tcMar>
              <w:top w:w="40" w:type="dxa"/>
              <w:left w:w="20" w:type="dxa"/>
              <w:bottom w:w="40" w:type="dxa"/>
              <w:right w:w="20" w:type="dxa"/>
            </w:tcMar>
            <w:vAlign w:val="bottom"/>
          </w:tcPr>
          <w:p w14:paraId="7C207F93" w14:textId="77777777" w:rsidR="00834A75" w:rsidRDefault="00A6708C">
            <w:pPr>
              <w:textAlignment w:val="bottom"/>
            </w:pPr>
            <w:r>
              <w:rPr>
                <w:rFonts w:ascii="sans-serif" w:eastAsia="sans-serif" w:hAnsi="sans-serif" w:cs="sans-serif"/>
                <w:color w:val="000000"/>
                <w:sz w:val="20"/>
                <w:szCs w:val="20"/>
              </w:rPr>
              <w:t>Cost of revenue</w:t>
            </w:r>
          </w:p>
        </w:tc>
        <w:tc>
          <w:tcPr>
            <w:tcW w:w="0" w:type="auto"/>
            <w:shd w:val="clear" w:color="auto" w:fill="E2EFD9"/>
            <w:tcMar>
              <w:top w:w="40" w:type="dxa"/>
              <w:left w:w="20" w:type="dxa"/>
              <w:bottom w:w="40" w:type="dxa"/>
              <w:right w:w="0" w:type="dxa"/>
            </w:tcMar>
            <w:vAlign w:val="bottom"/>
          </w:tcPr>
          <w:p w14:paraId="7C207F94" w14:textId="77777777" w:rsidR="00834A75" w:rsidRDefault="00A6708C">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7C207F95" w14:textId="77777777" w:rsidR="00834A75" w:rsidRDefault="00A6708C">
            <w:pPr>
              <w:jc w:val="right"/>
              <w:textAlignment w:val="bottom"/>
            </w:pPr>
            <w:r>
              <w:rPr>
                <w:rFonts w:ascii="sans-serif" w:eastAsia="sans-serif" w:hAnsi="sans-serif" w:cs="sans-serif"/>
                <w:color w:val="000000"/>
                <w:sz w:val="20"/>
                <w:szCs w:val="20"/>
              </w:rPr>
              <w:t>38 </w:t>
            </w:r>
          </w:p>
        </w:tc>
        <w:tc>
          <w:tcPr>
            <w:tcW w:w="0" w:type="auto"/>
            <w:shd w:val="clear" w:color="auto" w:fill="E2EFD9"/>
            <w:tcMar>
              <w:top w:w="40" w:type="dxa"/>
              <w:left w:w="0" w:type="dxa"/>
              <w:bottom w:w="40" w:type="dxa"/>
              <w:right w:w="20" w:type="dxa"/>
            </w:tcMar>
            <w:vAlign w:val="bottom"/>
          </w:tcPr>
          <w:p w14:paraId="7C207F96" w14:textId="77777777" w:rsidR="00834A75" w:rsidRDefault="00834A75">
            <w:pPr>
              <w:jc w:val="right"/>
              <w:rPr>
                <w:rFonts w:ascii="宋体"/>
              </w:rPr>
            </w:pPr>
          </w:p>
        </w:tc>
        <w:tc>
          <w:tcPr>
            <w:tcW w:w="0" w:type="auto"/>
            <w:gridSpan w:val="3"/>
            <w:shd w:val="clear" w:color="auto" w:fill="E2EFD9"/>
            <w:tcMar>
              <w:top w:w="0" w:type="dxa"/>
              <w:left w:w="20" w:type="dxa"/>
              <w:bottom w:w="0" w:type="dxa"/>
              <w:right w:w="20" w:type="dxa"/>
            </w:tcMar>
            <w:vAlign w:val="bottom"/>
          </w:tcPr>
          <w:p w14:paraId="7C207F97" w14:textId="77777777" w:rsidR="00834A75" w:rsidRDefault="00834A75">
            <w:pPr>
              <w:rPr>
                <w:rFonts w:ascii="宋体"/>
              </w:rPr>
            </w:pPr>
          </w:p>
        </w:tc>
        <w:tc>
          <w:tcPr>
            <w:tcW w:w="0" w:type="auto"/>
            <w:shd w:val="clear" w:color="auto" w:fill="E2EFD9"/>
            <w:tcMar>
              <w:top w:w="40" w:type="dxa"/>
              <w:left w:w="20" w:type="dxa"/>
              <w:bottom w:w="40" w:type="dxa"/>
              <w:right w:w="0" w:type="dxa"/>
            </w:tcMar>
            <w:vAlign w:val="bottom"/>
          </w:tcPr>
          <w:p w14:paraId="7C207F98" w14:textId="77777777" w:rsidR="00834A75" w:rsidRDefault="00A6708C">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7C207F99" w14:textId="77777777" w:rsidR="00834A75" w:rsidRDefault="00A6708C">
            <w:pPr>
              <w:jc w:val="right"/>
              <w:textAlignment w:val="bottom"/>
            </w:pPr>
            <w:r>
              <w:rPr>
                <w:rFonts w:ascii="sans-serif" w:eastAsia="sans-serif" w:hAnsi="sans-serif" w:cs="sans-serif"/>
                <w:color w:val="000000"/>
                <w:sz w:val="20"/>
                <w:szCs w:val="20"/>
              </w:rPr>
              <w:t>25 </w:t>
            </w:r>
          </w:p>
        </w:tc>
        <w:tc>
          <w:tcPr>
            <w:tcW w:w="0" w:type="auto"/>
            <w:shd w:val="clear" w:color="auto" w:fill="E2EFD9"/>
            <w:tcMar>
              <w:top w:w="40" w:type="dxa"/>
              <w:left w:w="0" w:type="dxa"/>
              <w:bottom w:w="40" w:type="dxa"/>
              <w:right w:w="20" w:type="dxa"/>
            </w:tcMar>
            <w:vAlign w:val="bottom"/>
          </w:tcPr>
          <w:p w14:paraId="7C207F9A" w14:textId="77777777" w:rsidR="00834A75" w:rsidRDefault="00834A75">
            <w:pPr>
              <w:jc w:val="right"/>
              <w:rPr>
                <w:rFonts w:ascii="宋体"/>
              </w:rPr>
            </w:pPr>
          </w:p>
        </w:tc>
        <w:tc>
          <w:tcPr>
            <w:tcW w:w="0" w:type="auto"/>
            <w:gridSpan w:val="3"/>
            <w:shd w:val="clear" w:color="auto" w:fill="auto"/>
            <w:vAlign w:val="bottom"/>
          </w:tcPr>
          <w:p w14:paraId="7C207F9B" w14:textId="77777777" w:rsidR="00834A75" w:rsidRDefault="00834A75">
            <w:pPr>
              <w:rPr>
                <w:rFonts w:ascii="宋体"/>
                <w:vanish/>
              </w:rPr>
            </w:pPr>
          </w:p>
        </w:tc>
        <w:tc>
          <w:tcPr>
            <w:tcW w:w="0" w:type="auto"/>
            <w:gridSpan w:val="3"/>
            <w:shd w:val="clear" w:color="auto" w:fill="auto"/>
            <w:vAlign w:val="bottom"/>
          </w:tcPr>
          <w:p w14:paraId="7C207F9C" w14:textId="77777777" w:rsidR="00834A75" w:rsidRDefault="00834A75">
            <w:pPr>
              <w:rPr>
                <w:rFonts w:ascii="宋体"/>
                <w:vanish/>
              </w:rPr>
            </w:pPr>
          </w:p>
        </w:tc>
        <w:tc>
          <w:tcPr>
            <w:tcW w:w="0" w:type="auto"/>
            <w:gridSpan w:val="3"/>
            <w:shd w:val="clear" w:color="auto" w:fill="auto"/>
            <w:vAlign w:val="bottom"/>
          </w:tcPr>
          <w:p w14:paraId="7C207F9D" w14:textId="77777777" w:rsidR="00834A75" w:rsidRDefault="00834A75">
            <w:pPr>
              <w:rPr>
                <w:rFonts w:ascii="宋体"/>
                <w:vanish/>
              </w:rPr>
            </w:pPr>
          </w:p>
        </w:tc>
        <w:tc>
          <w:tcPr>
            <w:tcW w:w="0" w:type="auto"/>
            <w:gridSpan w:val="3"/>
            <w:shd w:val="clear" w:color="auto" w:fill="auto"/>
            <w:vAlign w:val="bottom"/>
          </w:tcPr>
          <w:p w14:paraId="7C207F9E" w14:textId="77777777" w:rsidR="00834A75" w:rsidRDefault="00834A75">
            <w:pPr>
              <w:rPr>
                <w:rFonts w:ascii="宋体"/>
                <w:vanish/>
              </w:rPr>
            </w:pPr>
          </w:p>
        </w:tc>
      </w:tr>
      <w:tr w:rsidR="00834A75" w14:paraId="7C207FAA" w14:textId="77777777">
        <w:tc>
          <w:tcPr>
            <w:tcW w:w="0" w:type="auto"/>
            <w:gridSpan w:val="3"/>
            <w:shd w:val="clear" w:color="auto" w:fill="FFFFFF"/>
            <w:tcMar>
              <w:top w:w="40" w:type="dxa"/>
              <w:left w:w="20" w:type="dxa"/>
              <w:bottom w:w="40" w:type="dxa"/>
              <w:right w:w="20" w:type="dxa"/>
            </w:tcMar>
            <w:vAlign w:val="bottom"/>
          </w:tcPr>
          <w:p w14:paraId="7C207FA0" w14:textId="77777777" w:rsidR="00834A75" w:rsidRDefault="00A6708C">
            <w:pPr>
              <w:textAlignment w:val="bottom"/>
            </w:pPr>
            <w:r>
              <w:rPr>
                <w:rFonts w:ascii="sans-serif" w:eastAsia="sans-serif" w:hAnsi="sans-serif" w:cs="sans-serif"/>
                <w:color w:val="000000"/>
                <w:sz w:val="20"/>
                <w:szCs w:val="20"/>
              </w:rPr>
              <w:t>Research and development</w:t>
            </w:r>
          </w:p>
        </w:tc>
        <w:tc>
          <w:tcPr>
            <w:tcW w:w="0" w:type="auto"/>
            <w:gridSpan w:val="2"/>
            <w:shd w:val="clear" w:color="auto" w:fill="FFFFFF"/>
            <w:tcMar>
              <w:top w:w="40" w:type="dxa"/>
              <w:left w:w="20" w:type="dxa"/>
              <w:bottom w:w="40" w:type="dxa"/>
              <w:right w:w="0" w:type="dxa"/>
            </w:tcMar>
            <w:vAlign w:val="bottom"/>
          </w:tcPr>
          <w:p w14:paraId="7C207FA1" w14:textId="77777777" w:rsidR="00834A75" w:rsidRDefault="00A6708C">
            <w:pPr>
              <w:jc w:val="right"/>
              <w:textAlignment w:val="bottom"/>
            </w:pPr>
            <w:r>
              <w:rPr>
                <w:rFonts w:ascii="sans-serif" w:eastAsia="sans-serif" w:hAnsi="sans-serif" w:cs="sans-serif"/>
                <w:color w:val="000000"/>
                <w:sz w:val="20"/>
                <w:szCs w:val="20"/>
              </w:rPr>
              <w:t>384 </w:t>
            </w:r>
          </w:p>
        </w:tc>
        <w:tc>
          <w:tcPr>
            <w:tcW w:w="0" w:type="auto"/>
            <w:shd w:val="clear" w:color="auto" w:fill="FFFFFF"/>
            <w:tcMar>
              <w:top w:w="40" w:type="dxa"/>
              <w:left w:w="0" w:type="dxa"/>
              <w:bottom w:w="40" w:type="dxa"/>
              <w:right w:w="20" w:type="dxa"/>
            </w:tcMar>
            <w:vAlign w:val="bottom"/>
          </w:tcPr>
          <w:p w14:paraId="7C207FA2" w14:textId="77777777" w:rsidR="00834A75" w:rsidRDefault="00834A75">
            <w:pPr>
              <w:jc w:val="right"/>
              <w:rPr>
                <w:rFonts w:ascii="宋体"/>
              </w:rPr>
            </w:pPr>
          </w:p>
        </w:tc>
        <w:tc>
          <w:tcPr>
            <w:tcW w:w="0" w:type="auto"/>
            <w:gridSpan w:val="3"/>
            <w:shd w:val="clear" w:color="auto" w:fill="FFFFFF"/>
            <w:tcMar>
              <w:top w:w="0" w:type="dxa"/>
              <w:left w:w="20" w:type="dxa"/>
              <w:bottom w:w="0" w:type="dxa"/>
              <w:right w:w="20" w:type="dxa"/>
            </w:tcMar>
            <w:vAlign w:val="bottom"/>
          </w:tcPr>
          <w:p w14:paraId="7C207FA3" w14:textId="77777777" w:rsidR="00834A75" w:rsidRDefault="00834A75">
            <w:pPr>
              <w:rPr>
                <w:rFonts w:ascii="宋体"/>
              </w:rPr>
            </w:pPr>
          </w:p>
        </w:tc>
        <w:tc>
          <w:tcPr>
            <w:tcW w:w="0" w:type="auto"/>
            <w:gridSpan w:val="2"/>
            <w:shd w:val="clear" w:color="auto" w:fill="FFFFFF"/>
            <w:tcMar>
              <w:top w:w="40" w:type="dxa"/>
              <w:left w:w="20" w:type="dxa"/>
              <w:bottom w:w="40" w:type="dxa"/>
              <w:right w:w="0" w:type="dxa"/>
            </w:tcMar>
            <w:vAlign w:val="bottom"/>
          </w:tcPr>
          <w:p w14:paraId="7C207FA4" w14:textId="77777777" w:rsidR="00834A75" w:rsidRDefault="00A6708C">
            <w:pPr>
              <w:jc w:val="right"/>
              <w:textAlignment w:val="bottom"/>
            </w:pPr>
            <w:r>
              <w:rPr>
                <w:rFonts w:ascii="sans-serif" w:eastAsia="sans-serif" w:hAnsi="sans-serif" w:cs="sans-serif"/>
                <w:color w:val="000000"/>
                <w:sz w:val="20"/>
                <w:szCs w:val="20"/>
              </w:rPr>
              <w:t>276 </w:t>
            </w:r>
          </w:p>
        </w:tc>
        <w:tc>
          <w:tcPr>
            <w:tcW w:w="0" w:type="auto"/>
            <w:shd w:val="clear" w:color="auto" w:fill="FFFFFF"/>
            <w:tcMar>
              <w:top w:w="40" w:type="dxa"/>
              <w:left w:w="0" w:type="dxa"/>
              <w:bottom w:w="40" w:type="dxa"/>
              <w:right w:w="20" w:type="dxa"/>
            </w:tcMar>
            <w:vAlign w:val="bottom"/>
          </w:tcPr>
          <w:p w14:paraId="7C207FA5" w14:textId="77777777" w:rsidR="00834A75" w:rsidRDefault="00834A75">
            <w:pPr>
              <w:jc w:val="right"/>
              <w:rPr>
                <w:rFonts w:ascii="宋体"/>
              </w:rPr>
            </w:pPr>
          </w:p>
        </w:tc>
        <w:tc>
          <w:tcPr>
            <w:tcW w:w="0" w:type="auto"/>
            <w:gridSpan w:val="3"/>
            <w:shd w:val="clear" w:color="auto" w:fill="auto"/>
            <w:vAlign w:val="bottom"/>
          </w:tcPr>
          <w:p w14:paraId="7C207FA6" w14:textId="77777777" w:rsidR="00834A75" w:rsidRDefault="00834A75">
            <w:pPr>
              <w:rPr>
                <w:rFonts w:ascii="宋体"/>
                <w:vanish/>
              </w:rPr>
            </w:pPr>
          </w:p>
        </w:tc>
        <w:tc>
          <w:tcPr>
            <w:tcW w:w="0" w:type="auto"/>
            <w:gridSpan w:val="3"/>
            <w:shd w:val="clear" w:color="auto" w:fill="auto"/>
            <w:vAlign w:val="bottom"/>
          </w:tcPr>
          <w:p w14:paraId="7C207FA7" w14:textId="77777777" w:rsidR="00834A75" w:rsidRDefault="00834A75">
            <w:pPr>
              <w:rPr>
                <w:rFonts w:ascii="宋体"/>
                <w:vanish/>
              </w:rPr>
            </w:pPr>
          </w:p>
        </w:tc>
        <w:tc>
          <w:tcPr>
            <w:tcW w:w="0" w:type="auto"/>
            <w:gridSpan w:val="3"/>
            <w:shd w:val="clear" w:color="auto" w:fill="auto"/>
            <w:vAlign w:val="bottom"/>
          </w:tcPr>
          <w:p w14:paraId="7C207FA8" w14:textId="77777777" w:rsidR="00834A75" w:rsidRDefault="00834A75">
            <w:pPr>
              <w:rPr>
                <w:rFonts w:ascii="宋体"/>
                <w:vanish/>
              </w:rPr>
            </w:pPr>
          </w:p>
        </w:tc>
        <w:tc>
          <w:tcPr>
            <w:tcW w:w="0" w:type="auto"/>
            <w:gridSpan w:val="3"/>
            <w:shd w:val="clear" w:color="auto" w:fill="auto"/>
            <w:vAlign w:val="bottom"/>
          </w:tcPr>
          <w:p w14:paraId="7C207FA9" w14:textId="77777777" w:rsidR="00834A75" w:rsidRDefault="00834A75">
            <w:pPr>
              <w:rPr>
                <w:rFonts w:ascii="宋体"/>
                <w:vanish/>
              </w:rPr>
            </w:pPr>
          </w:p>
        </w:tc>
      </w:tr>
      <w:tr w:rsidR="00834A75" w14:paraId="7C207FB5" w14:textId="77777777">
        <w:tc>
          <w:tcPr>
            <w:tcW w:w="0" w:type="auto"/>
            <w:gridSpan w:val="3"/>
            <w:shd w:val="clear" w:color="auto" w:fill="E2EFD9"/>
            <w:tcMar>
              <w:top w:w="40" w:type="dxa"/>
              <w:left w:w="20" w:type="dxa"/>
              <w:bottom w:w="40" w:type="dxa"/>
              <w:right w:w="20" w:type="dxa"/>
            </w:tcMar>
            <w:vAlign w:val="bottom"/>
          </w:tcPr>
          <w:p w14:paraId="7C207FAB" w14:textId="77777777" w:rsidR="00834A75" w:rsidRDefault="00A6708C">
            <w:pPr>
              <w:textAlignment w:val="bottom"/>
            </w:pPr>
            <w:r>
              <w:rPr>
                <w:rFonts w:ascii="sans-serif" w:eastAsia="sans-serif" w:hAnsi="sans-serif" w:cs="sans-serif"/>
                <w:color w:val="000000"/>
                <w:sz w:val="20"/>
                <w:szCs w:val="20"/>
              </w:rPr>
              <w:t>Sales, general and administrative</w:t>
            </w:r>
          </w:p>
        </w:tc>
        <w:tc>
          <w:tcPr>
            <w:tcW w:w="0" w:type="auto"/>
            <w:gridSpan w:val="2"/>
            <w:shd w:val="clear" w:color="auto" w:fill="E2EFD9"/>
            <w:tcMar>
              <w:top w:w="40" w:type="dxa"/>
              <w:left w:w="20" w:type="dxa"/>
              <w:bottom w:w="40" w:type="dxa"/>
              <w:right w:w="0" w:type="dxa"/>
            </w:tcMar>
            <w:vAlign w:val="bottom"/>
          </w:tcPr>
          <w:p w14:paraId="7C207FAC" w14:textId="77777777" w:rsidR="00834A75" w:rsidRDefault="00A6708C">
            <w:pPr>
              <w:jc w:val="right"/>
              <w:textAlignment w:val="bottom"/>
            </w:pPr>
            <w:r>
              <w:rPr>
                <w:rFonts w:ascii="sans-serif" w:eastAsia="sans-serif" w:hAnsi="sans-serif" w:cs="sans-serif"/>
                <w:color w:val="000000"/>
                <w:sz w:val="20"/>
                <w:szCs w:val="20"/>
              </w:rPr>
              <w:t>156 </w:t>
            </w:r>
          </w:p>
        </w:tc>
        <w:tc>
          <w:tcPr>
            <w:tcW w:w="0" w:type="auto"/>
            <w:shd w:val="clear" w:color="auto" w:fill="E2EFD9"/>
            <w:tcMar>
              <w:top w:w="40" w:type="dxa"/>
              <w:left w:w="0" w:type="dxa"/>
              <w:bottom w:w="40" w:type="dxa"/>
              <w:right w:w="20" w:type="dxa"/>
            </w:tcMar>
            <w:vAlign w:val="bottom"/>
          </w:tcPr>
          <w:p w14:paraId="7C207FAD" w14:textId="77777777" w:rsidR="00834A75" w:rsidRDefault="00834A75">
            <w:pPr>
              <w:jc w:val="right"/>
              <w:rPr>
                <w:rFonts w:ascii="宋体"/>
              </w:rPr>
            </w:pPr>
          </w:p>
        </w:tc>
        <w:tc>
          <w:tcPr>
            <w:tcW w:w="0" w:type="auto"/>
            <w:gridSpan w:val="3"/>
            <w:shd w:val="clear" w:color="auto" w:fill="E2EFD9"/>
            <w:tcMar>
              <w:top w:w="0" w:type="dxa"/>
              <w:left w:w="20" w:type="dxa"/>
              <w:bottom w:w="0" w:type="dxa"/>
              <w:right w:w="20" w:type="dxa"/>
            </w:tcMar>
            <w:vAlign w:val="bottom"/>
          </w:tcPr>
          <w:p w14:paraId="7C207FAE" w14:textId="77777777" w:rsidR="00834A75" w:rsidRDefault="00834A75">
            <w:pPr>
              <w:rPr>
                <w:rFonts w:ascii="宋体"/>
              </w:rPr>
            </w:pPr>
          </w:p>
        </w:tc>
        <w:tc>
          <w:tcPr>
            <w:tcW w:w="0" w:type="auto"/>
            <w:gridSpan w:val="2"/>
            <w:shd w:val="clear" w:color="auto" w:fill="E2EFD9"/>
            <w:tcMar>
              <w:top w:w="40" w:type="dxa"/>
              <w:left w:w="20" w:type="dxa"/>
              <w:bottom w:w="40" w:type="dxa"/>
              <w:right w:w="0" w:type="dxa"/>
            </w:tcMar>
            <w:vAlign w:val="bottom"/>
          </w:tcPr>
          <w:p w14:paraId="7C207FAF" w14:textId="77777777" w:rsidR="00834A75" w:rsidRDefault="00A6708C">
            <w:pPr>
              <w:jc w:val="right"/>
              <w:textAlignment w:val="bottom"/>
            </w:pPr>
            <w:r>
              <w:rPr>
                <w:rFonts w:ascii="sans-serif" w:eastAsia="sans-serif" w:hAnsi="sans-serif" w:cs="sans-serif"/>
                <w:color w:val="000000"/>
                <w:sz w:val="20"/>
                <w:szCs w:val="20"/>
              </w:rPr>
              <w:t>128 </w:t>
            </w:r>
          </w:p>
        </w:tc>
        <w:tc>
          <w:tcPr>
            <w:tcW w:w="0" w:type="auto"/>
            <w:shd w:val="clear" w:color="auto" w:fill="E2EFD9"/>
            <w:tcMar>
              <w:top w:w="40" w:type="dxa"/>
              <w:left w:w="0" w:type="dxa"/>
              <w:bottom w:w="40" w:type="dxa"/>
              <w:right w:w="20" w:type="dxa"/>
            </w:tcMar>
            <w:vAlign w:val="bottom"/>
          </w:tcPr>
          <w:p w14:paraId="7C207FB0" w14:textId="77777777" w:rsidR="00834A75" w:rsidRDefault="00834A75">
            <w:pPr>
              <w:jc w:val="right"/>
              <w:rPr>
                <w:rFonts w:ascii="宋体"/>
              </w:rPr>
            </w:pPr>
          </w:p>
        </w:tc>
        <w:tc>
          <w:tcPr>
            <w:tcW w:w="0" w:type="auto"/>
            <w:gridSpan w:val="3"/>
            <w:shd w:val="clear" w:color="auto" w:fill="auto"/>
            <w:vAlign w:val="bottom"/>
          </w:tcPr>
          <w:p w14:paraId="7C207FB1" w14:textId="77777777" w:rsidR="00834A75" w:rsidRDefault="00834A75">
            <w:pPr>
              <w:rPr>
                <w:rFonts w:ascii="宋体"/>
                <w:vanish/>
              </w:rPr>
            </w:pPr>
          </w:p>
        </w:tc>
        <w:tc>
          <w:tcPr>
            <w:tcW w:w="0" w:type="auto"/>
            <w:gridSpan w:val="3"/>
            <w:shd w:val="clear" w:color="auto" w:fill="auto"/>
            <w:vAlign w:val="bottom"/>
          </w:tcPr>
          <w:p w14:paraId="7C207FB2" w14:textId="77777777" w:rsidR="00834A75" w:rsidRDefault="00834A75">
            <w:pPr>
              <w:rPr>
                <w:rFonts w:ascii="宋体"/>
                <w:vanish/>
              </w:rPr>
            </w:pPr>
          </w:p>
        </w:tc>
        <w:tc>
          <w:tcPr>
            <w:tcW w:w="0" w:type="auto"/>
            <w:gridSpan w:val="3"/>
            <w:shd w:val="clear" w:color="auto" w:fill="auto"/>
            <w:vAlign w:val="bottom"/>
          </w:tcPr>
          <w:p w14:paraId="7C207FB3" w14:textId="77777777" w:rsidR="00834A75" w:rsidRDefault="00834A75">
            <w:pPr>
              <w:rPr>
                <w:rFonts w:ascii="宋体"/>
                <w:vanish/>
              </w:rPr>
            </w:pPr>
          </w:p>
        </w:tc>
        <w:tc>
          <w:tcPr>
            <w:tcW w:w="0" w:type="auto"/>
            <w:gridSpan w:val="3"/>
            <w:shd w:val="clear" w:color="auto" w:fill="auto"/>
            <w:vAlign w:val="bottom"/>
          </w:tcPr>
          <w:p w14:paraId="7C207FB4" w14:textId="77777777" w:rsidR="00834A75" w:rsidRDefault="00834A75">
            <w:pPr>
              <w:rPr>
                <w:rFonts w:ascii="宋体"/>
                <w:vanish/>
              </w:rPr>
            </w:pPr>
          </w:p>
        </w:tc>
      </w:tr>
      <w:tr w:rsidR="00834A75" w14:paraId="7C207FC2" w14:textId="77777777">
        <w:tc>
          <w:tcPr>
            <w:tcW w:w="0" w:type="auto"/>
            <w:gridSpan w:val="3"/>
            <w:shd w:val="clear" w:color="auto" w:fill="FFFFFF"/>
            <w:tcMar>
              <w:top w:w="40" w:type="dxa"/>
              <w:left w:w="20" w:type="dxa"/>
              <w:bottom w:w="40" w:type="dxa"/>
              <w:right w:w="20" w:type="dxa"/>
            </w:tcMar>
            <w:vAlign w:val="bottom"/>
          </w:tcPr>
          <w:p w14:paraId="7C207FB6" w14:textId="77777777" w:rsidR="00834A75" w:rsidRDefault="00A6708C">
            <w:pPr>
              <w:textAlignment w:val="bottom"/>
            </w:pPr>
            <w:r>
              <w:rPr>
                <w:rFonts w:ascii="sans-serif" w:eastAsia="sans-serif" w:hAnsi="sans-serif" w:cs="sans-serif"/>
                <w:color w:val="000000"/>
                <w:sz w:val="20"/>
                <w:szCs w:val="20"/>
              </w:rPr>
              <w:t>Total</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C207FB7" w14:textId="77777777" w:rsidR="00834A75" w:rsidRDefault="00A6708C">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C207FB8" w14:textId="77777777" w:rsidR="00834A75" w:rsidRDefault="00A6708C">
            <w:pPr>
              <w:jc w:val="right"/>
              <w:textAlignment w:val="bottom"/>
            </w:pPr>
            <w:r>
              <w:rPr>
                <w:rFonts w:ascii="sans-serif" w:eastAsia="sans-serif" w:hAnsi="sans-serif" w:cs="sans-serif"/>
                <w:color w:val="000000"/>
                <w:sz w:val="20"/>
                <w:szCs w:val="20"/>
              </w:rPr>
              <w:t>578 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C207FB9" w14:textId="77777777" w:rsidR="00834A75" w:rsidRDefault="00834A75">
            <w:pPr>
              <w:jc w:val="right"/>
              <w:rPr>
                <w:rFonts w:ascii="宋体"/>
              </w:rPr>
            </w:pPr>
          </w:p>
        </w:tc>
        <w:tc>
          <w:tcPr>
            <w:tcW w:w="0" w:type="auto"/>
            <w:gridSpan w:val="3"/>
            <w:shd w:val="clear" w:color="auto" w:fill="FFFFFF"/>
            <w:tcMar>
              <w:top w:w="0" w:type="dxa"/>
              <w:left w:w="20" w:type="dxa"/>
              <w:bottom w:w="0" w:type="dxa"/>
              <w:right w:w="20" w:type="dxa"/>
            </w:tcMar>
            <w:vAlign w:val="bottom"/>
          </w:tcPr>
          <w:p w14:paraId="7C207FBA" w14:textId="77777777" w:rsidR="00834A75" w:rsidRDefault="00834A75">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C207FBB" w14:textId="77777777" w:rsidR="00834A75" w:rsidRDefault="00A6708C">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C207FBC" w14:textId="77777777" w:rsidR="00834A75" w:rsidRDefault="00A6708C">
            <w:pPr>
              <w:jc w:val="right"/>
              <w:textAlignment w:val="bottom"/>
            </w:pPr>
            <w:r>
              <w:rPr>
                <w:rFonts w:ascii="sans-serif" w:eastAsia="sans-serif" w:hAnsi="sans-serif" w:cs="sans-serif"/>
                <w:color w:val="000000"/>
                <w:sz w:val="20"/>
                <w:szCs w:val="20"/>
              </w:rPr>
              <w:t>429 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C207FBD" w14:textId="77777777" w:rsidR="00834A75" w:rsidRDefault="00834A75">
            <w:pPr>
              <w:jc w:val="right"/>
              <w:rPr>
                <w:rFonts w:ascii="宋体"/>
              </w:rPr>
            </w:pPr>
          </w:p>
        </w:tc>
        <w:tc>
          <w:tcPr>
            <w:tcW w:w="0" w:type="auto"/>
            <w:gridSpan w:val="3"/>
            <w:shd w:val="clear" w:color="auto" w:fill="auto"/>
            <w:vAlign w:val="bottom"/>
          </w:tcPr>
          <w:p w14:paraId="7C207FBE" w14:textId="77777777" w:rsidR="00834A75" w:rsidRDefault="00834A75">
            <w:pPr>
              <w:rPr>
                <w:rFonts w:ascii="宋体"/>
                <w:vanish/>
              </w:rPr>
            </w:pPr>
          </w:p>
        </w:tc>
        <w:tc>
          <w:tcPr>
            <w:tcW w:w="0" w:type="auto"/>
            <w:gridSpan w:val="3"/>
            <w:shd w:val="clear" w:color="auto" w:fill="auto"/>
            <w:vAlign w:val="bottom"/>
          </w:tcPr>
          <w:p w14:paraId="7C207FBF" w14:textId="77777777" w:rsidR="00834A75" w:rsidRDefault="00834A75">
            <w:pPr>
              <w:rPr>
                <w:rFonts w:ascii="宋体"/>
                <w:vanish/>
              </w:rPr>
            </w:pPr>
          </w:p>
        </w:tc>
        <w:tc>
          <w:tcPr>
            <w:tcW w:w="0" w:type="auto"/>
            <w:gridSpan w:val="3"/>
            <w:shd w:val="clear" w:color="auto" w:fill="auto"/>
            <w:vAlign w:val="bottom"/>
          </w:tcPr>
          <w:p w14:paraId="7C207FC0" w14:textId="77777777" w:rsidR="00834A75" w:rsidRDefault="00834A75">
            <w:pPr>
              <w:rPr>
                <w:rFonts w:ascii="宋体"/>
                <w:vanish/>
              </w:rPr>
            </w:pPr>
          </w:p>
        </w:tc>
        <w:tc>
          <w:tcPr>
            <w:tcW w:w="0" w:type="auto"/>
            <w:gridSpan w:val="3"/>
            <w:shd w:val="clear" w:color="auto" w:fill="auto"/>
            <w:vAlign w:val="bottom"/>
          </w:tcPr>
          <w:p w14:paraId="7C207FC1" w14:textId="77777777" w:rsidR="00834A75" w:rsidRDefault="00834A75">
            <w:pPr>
              <w:rPr>
                <w:rFonts w:ascii="宋体"/>
                <w:vanish/>
              </w:rPr>
            </w:pPr>
          </w:p>
        </w:tc>
      </w:tr>
    </w:tbl>
    <w:p w14:paraId="7C207FC3" w14:textId="77777777" w:rsidR="00834A75" w:rsidRDefault="00A6708C">
      <w:pPr>
        <w:spacing w:before="240" w:after="60"/>
        <w:jc w:val="both"/>
      </w:pPr>
      <w:r>
        <w:rPr>
          <w:rFonts w:ascii="sans-serif" w:eastAsia="sans-serif" w:hAnsi="sans-serif" w:cs="sans-serif"/>
          <w:b/>
          <w:bCs/>
          <w:color w:val="76B900"/>
          <w:sz w:val="20"/>
          <w:szCs w:val="20"/>
        </w:rPr>
        <w:t>Equity Award Activity</w:t>
      </w:r>
    </w:p>
    <w:p w14:paraId="7C207FC4" w14:textId="77777777" w:rsidR="00834A75" w:rsidRDefault="00A6708C">
      <w:pPr>
        <w:spacing w:after="60"/>
        <w:jc w:val="both"/>
      </w:pPr>
      <w:r>
        <w:rPr>
          <w:rFonts w:ascii="sans-serif" w:eastAsia="sans-serif" w:hAnsi="sans-serif" w:cs="sans-serif"/>
          <w:color w:val="000000"/>
          <w:sz w:val="20"/>
          <w:szCs w:val="20"/>
        </w:rPr>
        <w:t>The following is a summary of our equity award transactions under our equity incentive plans:</w:t>
      </w:r>
    </w:p>
    <w:tbl>
      <w:tblPr>
        <w:tblW w:w="5000" w:type="pct"/>
        <w:tblCellMar>
          <w:top w:w="15" w:type="dxa"/>
          <w:left w:w="15" w:type="dxa"/>
          <w:bottom w:w="15" w:type="dxa"/>
          <w:right w:w="15" w:type="dxa"/>
        </w:tblCellMar>
        <w:tblLook w:val="04A0" w:firstRow="1" w:lastRow="0" w:firstColumn="1" w:lastColumn="0" w:noHBand="0" w:noVBand="1"/>
      </w:tblPr>
      <w:tblGrid>
        <w:gridCol w:w="46"/>
        <w:gridCol w:w="4008"/>
        <w:gridCol w:w="38"/>
        <w:gridCol w:w="46"/>
        <w:gridCol w:w="1730"/>
        <w:gridCol w:w="38"/>
        <w:gridCol w:w="37"/>
        <w:gridCol w:w="36"/>
        <w:gridCol w:w="36"/>
        <w:gridCol w:w="123"/>
        <w:gridCol w:w="1729"/>
        <w:gridCol w:w="37"/>
        <w:gridCol w:w="36"/>
        <w:gridCol w:w="36"/>
        <w:gridCol w:w="36"/>
        <w:gridCol w:w="36"/>
        <w:gridCol w:w="36"/>
        <w:gridCol w:w="36"/>
        <w:gridCol w:w="36"/>
        <w:gridCol w:w="36"/>
        <w:gridCol w:w="36"/>
        <w:gridCol w:w="36"/>
        <w:gridCol w:w="36"/>
        <w:gridCol w:w="36"/>
      </w:tblGrid>
      <w:tr w:rsidR="00834A75" w14:paraId="7C207FD5" w14:textId="77777777">
        <w:tc>
          <w:tcPr>
            <w:tcW w:w="50" w:type="pct"/>
            <w:shd w:val="clear" w:color="auto" w:fill="auto"/>
            <w:vAlign w:val="bottom"/>
          </w:tcPr>
          <w:p w14:paraId="7C207FC5" w14:textId="77777777" w:rsidR="00834A75" w:rsidRDefault="00834A75">
            <w:pPr>
              <w:rPr>
                <w:rFonts w:ascii="宋体"/>
              </w:rPr>
            </w:pPr>
          </w:p>
        </w:tc>
        <w:tc>
          <w:tcPr>
            <w:tcW w:w="2554" w:type="pct"/>
            <w:shd w:val="clear" w:color="auto" w:fill="auto"/>
            <w:vAlign w:val="bottom"/>
          </w:tcPr>
          <w:p w14:paraId="7C207FC6" w14:textId="77777777" w:rsidR="00834A75" w:rsidRDefault="00834A75">
            <w:pPr>
              <w:rPr>
                <w:rFonts w:ascii="宋体"/>
              </w:rPr>
            </w:pPr>
          </w:p>
        </w:tc>
        <w:tc>
          <w:tcPr>
            <w:tcW w:w="5" w:type="pct"/>
            <w:shd w:val="clear" w:color="auto" w:fill="auto"/>
            <w:vAlign w:val="bottom"/>
          </w:tcPr>
          <w:p w14:paraId="7C207FC7" w14:textId="77777777" w:rsidR="00834A75" w:rsidRDefault="00834A75">
            <w:pPr>
              <w:rPr>
                <w:rFonts w:ascii="宋体"/>
              </w:rPr>
            </w:pPr>
          </w:p>
        </w:tc>
        <w:tc>
          <w:tcPr>
            <w:tcW w:w="50" w:type="pct"/>
            <w:shd w:val="clear" w:color="auto" w:fill="auto"/>
            <w:vAlign w:val="bottom"/>
          </w:tcPr>
          <w:p w14:paraId="7C207FC8" w14:textId="77777777" w:rsidR="00834A75" w:rsidRDefault="00834A75">
            <w:pPr>
              <w:rPr>
                <w:rFonts w:ascii="宋体"/>
              </w:rPr>
            </w:pPr>
          </w:p>
        </w:tc>
        <w:tc>
          <w:tcPr>
            <w:tcW w:w="1114" w:type="pct"/>
            <w:shd w:val="clear" w:color="auto" w:fill="auto"/>
            <w:vAlign w:val="bottom"/>
          </w:tcPr>
          <w:p w14:paraId="7C207FC9" w14:textId="77777777" w:rsidR="00834A75" w:rsidRDefault="00834A75">
            <w:pPr>
              <w:rPr>
                <w:rFonts w:ascii="宋体"/>
              </w:rPr>
            </w:pPr>
          </w:p>
        </w:tc>
        <w:tc>
          <w:tcPr>
            <w:tcW w:w="5" w:type="pct"/>
            <w:shd w:val="clear" w:color="auto" w:fill="auto"/>
            <w:vAlign w:val="bottom"/>
          </w:tcPr>
          <w:p w14:paraId="7C207FCA" w14:textId="77777777" w:rsidR="00834A75" w:rsidRDefault="00834A75">
            <w:pPr>
              <w:rPr>
                <w:rFonts w:ascii="宋体"/>
              </w:rPr>
            </w:pPr>
          </w:p>
        </w:tc>
        <w:tc>
          <w:tcPr>
            <w:tcW w:w="5" w:type="pct"/>
            <w:shd w:val="clear" w:color="auto" w:fill="auto"/>
            <w:vAlign w:val="bottom"/>
          </w:tcPr>
          <w:p w14:paraId="7C207FCB" w14:textId="77777777" w:rsidR="00834A75" w:rsidRDefault="00834A75">
            <w:pPr>
              <w:rPr>
                <w:rFonts w:ascii="宋体"/>
              </w:rPr>
            </w:pPr>
          </w:p>
        </w:tc>
        <w:tc>
          <w:tcPr>
            <w:tcW w:w="41" w:type="pct"/>
            <w:shd w:val="clear" w:color="auto" w:fill="auto"/>
            <w:vAlign w:val="bottom"/>
          </w:tcPr>
          <w:p w14:paraId="7C207FCC" w14:textId="77777777" w:rsidR="00834A75" w:rsidRDefault="00834A75">
            <w:pPr>
              <w:rPr>
                <w:rFonts w:ascii="宋体"/>
              </w:rPr>
            </w:pPr>
          </w:p>
        </w:tc>
        <w:tc>
          <w:tcPr>
            <w:tcW w:w="5" w:type="pct"/>
            <w:shd w:val="clear" w:color="auto" w:fill="auto"/>
            <w:vAlign w:val="bottom"/>
          </w:tcPr>
          <w:p w14:paraId="7C207FCD" w14:textId="77777777" w:rsidR="00834A75" w:rsidRDefault="00834A75">
            <w:pPr>
              <w:rPr>
                <w:rFonts w:ascii="宋体"/>
              </w:rPr>
            </w:pPr>
          </w:p>
        </w:tc>
        <w:tc>
          <w:tcPr>
            <w:tcW w:w="50" w:type="pct"/>
            <w:shd w:val="clear" w:color="auto" w:fill="auto"/>
            <w:vAlign w:val="bottom"/>
          </w:tcPr>
          <w:p w14:paraId="7C207FCE" w14:textId="77777777" w:rsidR="00834A75" w:rsidRDefault="00834A75">
            <w:pPr>
              <w:rPr>
                <w:rFonts w:ascii="宋体"/>
              </w:rPr>
            </w:pPr>
          </w:p>
        </w:tc>
        <w:tc>
          <w:tcPr>
            <w:tcW w:w="1114" w:type="pct"/>
            <w:shd w:val="clear" w:color="auto" w:fill="auto"/>
            <w:vAlign w:val="bottom"/>
          </w:tcPr>
          <w:p w14:paraId="7C207FCF" w14:textId="77777777" w:rsidR="00834A75" w:rsidRDefault="00834A75">
            <w:pPr>
              <w:rPr>
                <w:rFonts w:ascii="宋体"/>
              </w:rPr>
            </w:pPr>
          </w:p>
        </w:tc>
        <w:tc>
          <w:tcPr>
            <w:tcW w:w="5" w:type="pct"/>
            <w:shd w:val="clear" w:color="auto" w:fill="auto"/>
            <w:vAlign w:val="bottom"/>
          </w:tcPr>
          <w:p w14:paraId="7C207FD0" w14:textId="77777777" w:rsidR="00834A75" w:rsidRDefault="00834A75">
            <w:pPr>
              <w:rPr>
                <w:rFonts w:ascii="宋体"/>
              </w:rPr>
            </w:pPr>
          </w:p>
        </w:tc>
        <w:tc>
          <w:tcPr>
            <w:tcW w:w="0" w:type="auto"/>
            <w:gridSpan w:val="3"/>
            <w:shd w:val="clear" w:color="auto" w:fill="auto"/>
            <w:vAlign w:val="bottom"/>
          </w:tcPr>
          <w:p w14:paraId="7C207FD1" w14:textId="77777777" w:rsidR="00834A75" w:rsidRDefault="00834A75">
            <w:pPr>
              <w:rPr>
                <w:rFonts w:ascii="宋体"/>
                <w:vanish/>
              </w:rPr>
            </w:pPr>
          </w:p>
        </w:tc>
        <w:tc>
          <w:tcPr>
            <w:tcW w:w="0" w:type="auto"/>
            <w:gridSpan w:val="3"/>
            <w:shd w:val="clear" w:color="auto" w:fill="auto"/>
            <w:vAlign w:val="bottom"/>
          </w:tcPr>
          <w:p w14:paraId="7C207FD2" w14:textId="77777777" w:rsidR="00834A75" w:rsidRDefault="00834A75">
            <w:pPr>
              <w:rPr>
                <w:rFonts w:ascii="宋体"/>
                <w:vanish/>
              </w:rPr>
            </w:pPr>
          </w:p>
        </w:tc>
        <w:tc>
          <w:tcPr>
            <w:tcW w:w="0" w:type="auto"/>
            <w:gridSpan w:val="3"/>
            <w:shd w:val="clear" w:color="auto" w:fill="auto"/>
            <w:vAlign w:val="bottom"/>
          </w:tcPr>
          <w:p w14:paraId="7C207FD3" w14:textId="77777777" w:rsidR="00834A75" w:rsidRDefault="00834A75">
            <w:pPr>
              <w:rPr>
                <w:rFonts w:ascii="宋体"/>
                <w:vanish/>
              </w:rPr>
            </w:pPr>
          </w:p>
        </w:tc>
        <w:tc>
          <w:tcPr>
            <w:tcW w:w="0" w:type="auto"/>
            <w:gridSpan w:val="3"/>
            <w:shd w:val="clear" w:color="auto" w:fill="auto"/>
            <w:vAlign w:val="bottom"/>
          </w:tcPr>
          <w:p w14:paraId="7C207FD4" w14:textId="77777777" w:rsidR="00834A75" w:rsidRDefault="00834A75">
            <w:pPr>
              <w:rPr>
                <w:rFonts w:ascii="宋体"/>
                <w:vanish/>
              </w:rPr>
            </w:pPr>
          </w:p>
        </w:tc>
      </w:tr>
      <w:tr w:rsidR="00834A75" w14:paraId="7C207FE0" w14:textId="77777777">
        <w:tc>
          <w:tcPr>
            <w:tcW w:w="0" w:type="auto"/>
            <w:gridSpan w:val="3"/>
            <w:shd w:val="clear" w:color="auto" w:fill="auto"/>
            <w:tcMar>
              <w:top w:w="0" w:type="dxa"/>
              <w:left w:w="20" w:type="dxa"/>
              <w:bottom w:w="0" w:type="dxa"/>
              <w:right w:w="20" w:type="dxa"/>
            </w:tcMar>
            <w:vAlign w:val="bottom"/>
          </w:tcPr>
          <w:p w14:paraId="7C207FD6" w14:textId="77777777" w:rsidR="00834A75" w:rsidRDefault="00834A75">
            <w:pPr>
              <w:rPr>
                <w:rFonts w:ascii="宋体"/>
              </w:rPr>
            </w:pPr>
          </w:p>
        </w:tc>
        <w:tc>
          <w:tcPr>
            <w:tcW w:w="0" w:type="auto"/>
            <w:gridSpan w:val="9"/>
            <w:shd w:val="clear" w:color="auto" w:fill="auto"/>
            <w:tcMar>
              <w:top w:w="40" w:type="dxa"/>
              <w:left w:w="20" w:type="dxa"/>
              <w:bottom w:w="40" w:type="dxa"/>
              <w:right w:w="20" w:type="dxa"/>
            </w:tcMar>
            <w:vAlign w:val="bottom"/>
          </w:tcPr>
          <w:p w14:paraId="7C207FD7" w14:textId="77777777" w:rsidR="00834A75" w:rsidRDefault="00A6708C">
            <w:pPr>
              <w:jc w:val="center"/>
              <w:textAlignment w:val="bottom"/>
            </w:pPr>
            <w:r>
              <w:rPr>
                <w:rFonts w:ascii="sans-serif" w:eastAsia="sans-serif" w:hAnsi="sans-serif" w:cs="sans-serif"/>
                <w:b/>
                <w:bCs/>
                <w:color w:val="000000"/>
                <w:sz w:val="20"/>
                <w:szCs w:val="20"/>
              </w:rPr>
              <w:t>RSUs, PSUs, and Market-based PSUs Outstanding</w:t>
            </w:r>
          </w:p>
        </w:tc>
        <w:tc>
          <w:tcPr>
            <w:tcW w:w="0" w:type="auto"/>
            <w:gridSpan w:val="3"/>
            <w:shd w:val="clear" w:color="auto" w:fill="auto"/>
            <w:vAlign w:val="bottom"/>
          </w:tcPr>
          <w:p w14:paraId="7C207FD8" w14:textId="77777777" w:rsidR="00834A75" w:rsidRDefault="00834A75">
            <w:pPr>
              <w:rPr>
                <w:rFonts w:ascii="宋体"/>
                <w:vanish/>
              </w:rPr>
            </w:pPr>
          </w:p>
        </w:tc>
        <w:tc>
          <w:tcPr>
            <w:tcW w:w="0" w:type="auto"/>
            <w:gridSpan w:val="3"/>
            <w:shd w:val="clear" w:color="auto" w:fill="auto"/>
            <w:vAlign w:val="bottom"/>
          </w:tcPr>
          <w:p w14:paraId="7C207FD9" w14:textId="77777777" w:rsidR="00834A75" w:rsidRDefault="00834A75">
            <w:pPr>
              <w:rPr>
                <w:rFonts w:ascii="宋体"/>
                <w:vanish/>
              </w:rPr>
            </w:pPr>
          </w:p>
        </w:tc>
        <w:tc>
          <w:tcPr>
            <w:tcW w:w="0" w:type="auto"/>
            <w:shd w:val="clear" w:color="auto" w:fill="auto"/>
            <w:vAlign w:val="bottom"/>
          </w:tcPr>
          <w:p w14:paraId="7C207FDA" w14:textId="77777777" w:rsidR="00834A75" w:rsidRDefault="00834A75">
            <w:pPr>
              <w:rPr>
                <w:rFonts w:ascii="宋体"/>
              </w:rPr>
            </w:pPr>
          </w:p>
        </w:tc>
        <w:tc>
          <w:tcPr>
            <w:tcW w:w="0" w:type="auto"/>
            <w:shd w:val="clear" w:color="auto" w:fill="auto"/>
            <w:vAlign w:val="bottom"/>
          </w:tcPr>
          <w:p w14:paraId="7C207FDB" w14:textId="77777777" w:rsidR="00834A75" w:rsidRDefault="00834A75">
            <w:pPr>
              <w:rPr>
                <w:rFonts w:ascii="宋体"/>
              </w:rPr>
            </w:pPr>
          </w:p>
        </w:tc>
        <w:tc>
          <w:tcPr>
            <w:tcW w:w="0" w:type="auto"/>
            <w:shd w:val="clear" w:color="auto" w:fill="auto"/>
            <w:vAlign w:val="bottom"/>
          </w:tcPr>
          <w:p w14:paraId="7C207FDC" w14:textId="77777777" w:rsidR="00834A75" w:rsidRDefault="00834A75">
            <w:pPr>
              <w:rPr>
                <w:rFonts w:ascii="宋体"/>
              </w:rPr>
            </w:pPr>
          </w:p>
        </w:tc>
        <w:tc>
          <w:tcPr>
            <w:tcW w:w="0" w:type="auto"/>
            <w:shd w:val="clear" w:color="auto" w:fill="auto"/>
            <w:vAlign w:val="bottom"/>
          </w:tcPr>
          <w:p w14:paraId="7C207FDD" w14:textId="77777777" w:rsidR="00834A75" w:rsidRDefault="00834A75">
            <w:pPr>
              <w:rPr>
                <w:rFonts w:ascii="宋体"/>
              </w:rPr>
            </w:pPr>
          </w:p>
        </w:tc>
        <w:tc>
          <w:tcPr>
            <w:tcW w:w="0" w:type="auto"/>
            <w:shd w:val="clear" w:color="auto" w:fill="auto"/>
            <w:vAlign w:val="bottom"/>
          </w:tcPr>
          <w:p w14:paraId="7C207FDE" w14:textId="77777777" w:rsidR="00834A75" w:rsidRDefault="00834A75">
            <w:pPr>
              <w:rPr>
                <w:rFonts w:ascii="宋体"/>
              </w:rPr>
            </w:pPr>
          </w:p>
        </w:tc>
        <w:tc>
          <w:tcPr>
            <w:tcW w:w="0" w:type="auto"/>
            <w:shd w:val="clear" w:color="auto" w:fill="auto"/>
            <w:vAlign w:val="bottom"/>
          </w:tcPr>
          <w:p w14:paraId="7C207FDF" w14:textId="77777777" w:rsidR="00834A75" w:rsidRDefault="00834A75">
            <w:pPr>
              <w:rPr>
                <w:rFonts w:ascii="宋体"/>
              </w:rPr>
            </w:pPr>
          </w:p>
        </w:tc>
      </w:tr>
      <w:tr w:rsidR="00834A75" w14:paraId="7C207FE9" w14:textId="77777777">
        <w:tc>
          <w:tcPr>
            <w:tcW w:w="0" w:type="auto"/>
            <w:gridSpan w:val="3"/>
            <w:shd w:val="clear" w:color="auto" w:fill="auto"/>
            <w:tcMar>
              <w:top w:w="40" w:type="dxa"/>
              <w:left w:w="20" w:type="dxa"/>
              <w:bottom w:w="40" w:type="dxa"/>
              <w:right w:w="20" w:type="dxa"/>
            </w:tcMar>
            <w:vAlign w:val="bottom"/>
          </w:tcPr>
          <w:p w14:paraId="7C207FE1" w14:textId="77777777" w:rsidR="00834A75" w:rsidRDefault="00A6708C">
            <w:pPr>
              <w:textAlignment w:val="bottom"/>
            </w:pPr>
            <w:r>
              <w:rPr>
                <w:rFonts w:ascii="sans-serif" w:eastAsia="sans-serif" w:hAnsi="sans-serif" w:cs="sans-serif"/>
                <w:color w:val="000000"/>
                <w:sz w:val="20"/>
                <w:szCs w:val="20"/>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C207FE2" w14:textId="77777777" w:rsidR="00834A75" w:rsidRDefault="00A6708C">
            <w:pPr>
              <w:jc w:val="center"/>
              <w:textAlignment w:val="bottom"/>
            </w:pPr>
            <w:r>
              <w:rPr>
                <w:rFonts w:ascii="sans-serif" w:eastAsia="sans-serif" w:hAnsi="sans-serif" w:cs="sans-serif"/>
                <w:b/>
                <w:bCs/>
                <w:color w:val="000000"/>
                <w:sz w:val="20"/>
                <w:szCs w:val="20"/>
              </w:rPr>
              <w:t>Number of Shares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C207FE3" w14:textId="77777777" w:rsidR="00834A75" w:rsidRDefault="00834A75">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C207FE4" w14:textId="77777777" w:rsidR="00834A75" w:rsidRDefault="00A6708C">
            <w:pPr>
              <w:jc w:val="center"/>
              <w:textAlignment w:val="bottom"/>
            </w:pPr>
            <w:r>
              <w:rPr>
                <w:rFonts w:ascii="sans-serif" w:eastAsia="sans-serif" w:hAnsi="sans-serif" w:cs="sans-serif"/>
                <w:b/>
                <w:bCs/>
                <w:color w:val="000000"/>
                <w:sz w:val="20"/>
                <w:szCs w:val="20"/>
              </w:rPr>
              <w:t xml:space="preserve">Weighted Average Grant-Date Fair Value Per </w:t>
            </w:r>
            <w:r>
              <w:rPr>
                <w:rFonts w:ascii="sans-serif" w:eastAsia="sans-serif" w:hAnsi="sans-serif" w:cs="sans-serif"/>
                <w:b/>
                <w:bCs/>
                <w:color w:val="000000"/>
                <w:sz w:val="20"/>
                <w:szCs w:val="20"/>
              </w:rPr>
              <w:t>Share</w:t>
            </w:r>
          </w:p>
        </w:tc>
        <w:tc>
          <w:tcPr>
            <w:tcW w:w="0" w:type="auto"/>
            <w:gridSpan w:val="3"/>
            <w:shd w:val="clear" w:color="auto" w:fill="auto"/>
            <w:vAlign w:val="bottom"/>
          </w:tcPr>
          <w:p w14:paraId="7C207FE5" w14:textId="77777777" w:rsidR="00834A75" w:rsidRDefault="00834A75">
            <w:pPr>
              <w:rPr>
                <w:rFonts w:ascii="宋体"/>
                <w:vanish/>
              </w:rPr>
            </w:pPr>
          </w:p>
        </w:tc>
        <w:tc>
          <w:tcPr>
            <w:tcW w:w="0" w:type="auto"/>
            <w:gridSpan w:val="3"/>
            <w:shd w:val="clear" w:color="auto" w:fill="auto"/>
            <w:vAlign w:val="bottom"/>
          </w:tcPr>
          <w:p w14:paraId="7C207FE6" w14:textId="77777777" w:rsidR="00834A75" w:rsidRDefault="00834A75">
            <w:pPr>
              <w:rPr>
                <w:rFonts w:ascii="宋体"/>
                <w:vanish/>
              </w:rPr>
            </w:pPr>
          </w:p>
        </w:tc>
        <w:tc>
          <w:tcPr>
            <w:tcW w:w="0" w:type="auto"/>
            <w:gridSpan w:val="3"/>
            <w:shd w:val="clear" w:color="auto" w:fill="auto"/>
            <w:vAlign w:val="bottom"/>
          </w:tcPr>
          <w:p w14:paraId="7C207FE7" w14:textId="77777777" w:rsidR="00834A75" w:rsidRDefault="00834A75">
            <w:pPr>
              <w:rPr>
                <w:rFonts w:ascii="宋体"/>
                <w:vanish/>
              </w:rPr>
            </w:pPr>
          </w:p>
        </w:tc>
        <w:tc>
          <w:tcPr>
            <w:tcW w:w="0" w:type="auto"/>
            <w:gridSpan w:val="3"/>
            <w:shd w:val="clear" w:color="auto" w:fill="auto"/>
            <w:vAlign w:val="bottom"/>
          </w:tcPr>
          <w:p w14:paraId="7C207FE8" w14:textId="77777777" w:rsidR="00834A75" w:rsidRDefault="00834A75">
            <w:pPr>
              <w:rPr>
                <w:rFonts w:ascii="宋体"/>
                <w:vanish/>
              </w:rPr>
            </w:pPr>
          </w:p>
        </w:tc>
      </w:tr>
      <w:tr w:rsidR="00834A75" w14:paraId="7C207FF2" w14:textId="77777777">
        <w:trPr>
          <w:trHeight w:val="60"/>
        </w:trPr>
        <w:tc>
          <w:tcPr>
            <w:tcW w:w="0" w:type="auto"/>
            <w:gridSpan w:val="3"/>
            <w:shd w:val="clear" w:color="auto" w:fill="auto"/>
            <w:tcMar>
              <w:top w:w="0" w:type="dxa"/>
              <w:left w:w="20" w:type="dxa"/>
              <w:bottom w:w="0" w:type="dxa"/>
              <w:right w:w="20" w:type="dxa"/>
            </w:tcMar>
            <w:vAlign w:val="bottom"/>
          </w:tcPr>
          <w:p w14:paraId="7C207FEA" w14:textId="77777777" w:rsidR="00834A75" w:rsidRDefault="00834A75">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C207FEB" w14:textId="77777777" w:rsidR="00834A75" w:rsidRDefault="00834A75">
            <w:pPr>
              <w:rPr>
                <w:rFonts w:ascii="宋体"/>
              </w:rPr>
            </w:pPr>
          </w:p>
        </w:tc>
        <w:tc>
          <w:tcPr>
            <w:tcW w:w="0" w:type="auto"/>
            <w:gridSpan w:val="3"/>
            <w:shd w:val="clear" w:color="auto" w:fill="auto"/>
            <w:tcMar>
              <w:top w:w="0" w:type="dxa"/>
              <w:left w:w="20" w:type="dxa"/>
              <w:bottom w:w="0" w:type="dxa"/>
              <w:right w:w="20" w:type="dxa"/>
            </w:tcMar>
            <w:vAlign w:val="bottom"/>
          </w:tcPr>
          <w:p w14:paraId="7C207FEC" w14:textId="77777777" w:rsidR="00834A75" w:rsidRDefault="00834A75">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C207FED" w14:textId="77777777" w:rsidR="00834A75" w:rsidRDefault="00834A75">
            <w:pPr>
              <w:rPr>
                <w:rFonts w:ascii="宋体"/>
              </w:rPr>
            </w:pPr>
          </w:p>
        </w:tc>
        <w:tc>
          <w:tcPr>
            <w:tcW w:w="0" w:type="auto"/>
            <w:gridSpan w:val="3"/>
            <w:shd w:val="clear" w:color="auto" w:fill="auto"/>
            <w:vAlign w:val="bottom"/>
          </w:tcPr>
          <w:p w14:paraId="7C207FEE" w14:textId="77777777" w:rsidR="00834A75" w:rsidRDefault="00834A75">
            <w:pPr>
              <w:rPr>
                <w:rFonts w:ascii="宋体"/>
                <w:vanish/>
              </w:rPr>
            </w:pPr>
          </w:p>
        </w:tc>
        <w:tc>
          <w:tcPr>
            <w:tcW w:w="0" w:type="auto"/>
            <w:gridSpan w:val="3"/>
            <w:shd w:val="clear" w:color="auto" w:fill="auto"/>
            <w:vAlign w:val="bottom"/>
          </w:tcPr>
          <w:p w14:paraId="7C207FEF" w14:textId="77777777" w:rsidR="00834A75" w:rsidRDefault="00834A75">
            <w:pPr>
              <w:rPr>
                <w:rFonts w:ascii="宋体"/>
                <w:vanish/>
              </w:rPr>
            </w:pPr>
          </w:p>
        </w:tc>
        <w:tc>
          <w:tcPr>
            <w:tcW w:w="0" w:type="auto"/>
            <w:gridSpan w:val="3"/>
            <w:shd w:val="clear" w:color="auto" w:fill="auto"/>
            <w:vAlign w:val="bottom"/>
          </w:tcPr>
          <w:p w14:paraId="7C207FF0" w14:textId="77777777" w:rsidR="00834A75" w:rsidRDefault="00834A75">
            <w:pPr>
              <w:rPr>
                <w:rFonts w:ascii="宋体"/>
                <w:vanish/>
              </w:rPr>
            </w:pPr>
          </w:p>
        </w:tc>
        <w:tc>
          <w:tcPr>
            <w:tcW w:w="0" w:type="auto"/>
            <w:gridSpan w:val="3"/>
            <w:shd w:val="clear" w:color="auto" w:fill="auto"/>
            <w:vAlign w:val="bottom"/>
          </w:tcPr>
          <w:p w14:paraId="7C207FF1" w14:textId="77777777" w:rsidR="00834A75" w:rsidRDefault="00834A75">
            <w:pPr>
              <w:rPr>
                <w:rFonts w:ascii="宋体"/>
                <w:vanish/>
              </w:rPr>
            </w:pPr>
          </w:p>
        </w:tc>
      </w:tr>
      <w:tr w:rsidR="00834A75" w14:paraId="7C208001" w14:textId="77777777">
        <w:tc>
          <w:tcPr>
            <w:tcW w:w="0" w:type="auto"/>
            <w:gridSpan w:val="3"/>
            <w:shd w:val="clear" w:color="auto" w:fill="auto"/>
            <w:tcMar>
              <w:top w:w="0" w:type="dxa"/>
              <w:left w:w="20" w:type="dxa"/>
              <w:bottom w:w="0" w:type="dxa"/>
              <w:right w:w="20" w:type="dxa"/>
            </w:tcMar>
            <w:vAlign w:val="bottom"/>
          </w:tcPr>
          <w:p w14:paraId="7C207FF3" w14:textId="77777777" w:rsidR="00834A75" w:rsidRDefault="00834A75">
            <w:pPr>
              <w:rPr>
                <w:rFonts w:ascii="宋体"/>
              </w:rPr>
            </w:pPr>
          </w:p>
        </w:tc>
        <w:tc>
          <w:tcPr>
            <w:tcW w:w="0" w:type="auto"/>
            <w:gridSpan w:val="9"/>
            <w:shd w:val="clear" w:color="auto" w:fill="auto"/>
            <w:tcMar>
              <w:top w:w="40" w:type="dxa"/>
              <w:left w:w="20" w:type="dxa"/>
              <w:bottom w:w="40" w:type="dxa"/>
              <w:right w:w="20" w:type="dxa"/>
            </w:tcMar>
            <w:vAlign w:val="bottom"/>
          </w:tcPr>
          <w:p w14:paraId="7C207FF4" w14:textId="77777777" w:rsidR="00834A75" w:rsidRDefault="00A6708C">
            <w:pPr>
              <w:jc w:val="center"/>
              <w:textAlignment w:val="bottom"/>
            </w:pPr>
            <w:r>
              <w:rPr>
                <w:rFonts w:ascii="sans-serif" w:eastAsia="sans-serif" w:hAnsi="sans-serif" w:cs="sans-serif"/>
                <w:i/>
                <w:iCs/>
                <w:color w:val="000000"/>
                <w:sz w:val="20"/>
                <w:szCs w:val="20"/>
              </w:rPr>
              <w:t>(In millions, except per share data)</w:t>
            </w:r>
          </w:p>
        </w:tc>
        <w:tc>
          <w:tcPr>
            <w:tcW w:w="0" w:type="auto"/>
            <w:shd w:val="clear" w:color="auto" w:fill="auto"/>
            <w:vAlign w:val="bottom"/>
          </w:tcPr>
          <w:p w14:paraId="7C207FF5" w14:textId="77777777" w:rsidR="00834A75" w:rsidRDefault="00834A75">
            <w:pPr>
              <w:rPr>
                <w:rFonts w:ascii="宋体"/>
              </w:rPr>
            </w:pPr>
          </w:p>
        </w:tc>
        <w:tc>
          <w:tcPr>
            <w:tcW w:w="0" w:type="auto"/>
            <w:shd w:val="clear" w:color="auto" w:fill="auto"/>
            <w:vAlign w:val="bottom"/>
          </w:tcPr>
          <w:p w14:paraId="7C207FF6" w14:textId="77777777" w:rsidR="00834A75" w:rsidRDefault="00834A75">
            <w:pPr>
              <w:rPr>
                <w:rFonts w:ascii="宋体"/>
              </w:rPr>
            </w:pPr>
          </w:p>
        </w:tc>
        <w:tc>
          <w:tcPr>
            <w:tcW w:w="0" w:type="auto"/>
            <w:shd w:val="clear" w:color="auto" w:fill="auto"/>
            <w:vAlign w:val="bottom"/>
          </w:tcPr>
          <w:p w14:paraId="7C207FF7" w14:textId="77777777" w:rsidR="00834A75" w:rsidRDefault="00834A75">
            <w:pPr>
              <w:rPr>
                <w:rFonts w:ascii="宋体"/>
              </w:rPr>
            </w:pPr>
          </w:p>
        </w:tc>
        <w:tc>
          <w:tcPr>
            <w:tcW w:w="0" w:type="auto"/>
            <w:shd w:val="clear" w:color="auto" w:fill="auto"/>
            <w:vAlign w:val="bottom"/>
          </w:tcPr>
          <w:p w14:paraId="7C207FF8" w14:textId="77777777" w:rsidR="00834A75" w:rsidRDefault="00834A75">
            <w:pPr>
              <w:rPr>
                <w:rFonts w:ascii="宋体"/>
              </w:rPr>
            </w:pPr>
          </w:p>
        </w:tc>
        <w:tc>
          <w:tcPr>
            <w:tcW w:w="0" w:type="auto"/>
            <w:shd w:val="clear" w:color="auto" w:fill="auto"/>
            <w:vAlign w:val="bottom"/>
          </w:tcPr>
          <w:p w14:paraId="7C207FF9" w14:textId="77777777" w:rsidR="00834A75" w:rsidRDefault="00834A75">
            <w:pPr>
              <w:rPr>
                <w:rFonts w:ascii="宋体"/>
              </w:rPr>
            </w:pPr>
          </w:p>
        </w:tc>
        <w:tc>
          <w:tcPr>
            <w:tcW w:w="0" w:type="auto"/>
            <w:shd w:val="clear" w:color="auto" w:fill="auto"/>
            <w:vAlign w:val="bottom"/>
          </w:tcPr>
          <w:p w14:paraId="7C207FFA" w14:textId="77777777" w:rsidR="00834A75" w:rsidRDefault="00834A75">
            <w:pPr>
              <w:rPr>
                <w:rFonts w:ascii="宋体"/>
              </w:rPr>
            </w:pPr>
          </w:p>
        </w:tc>
        <w:tc>
          <w:tcPr>
            <w:tcW w:w="0" w:type="auto"/>
            <w:shd w:val="clear" w:color="auto" w:fill="auto"/>
            <w:vAlign w:val="bottom"/>
          </w:tcPr>
          <w:p w14:paraId="7C207FFB" w14:textId="77777777" w:rsidR="00834A75" w:rsidRDefault="00834A75">
            <w:pPr>
              <w:rPr>
                <w:rFonts w:ascii="宋体"/>
              </w:rPr>
            </w:pPr>
          </w:p>
        </w:tc>
        <w:tc>
          <w:tcPr>
            <w:tcW w:w="0" w:type="auto"/>
            <w:shd w:val="clear" w:color="auto" w:fill="auto"/>
            <w:vAlign w:val="bottom"/>
          </w:tcPr>
          <w:p w14:paraId="7C207FFC" w14:textId="77777777" w:rsidR="00834A75" w:rsidRDefault="00834A75">
            <w:pPr>
              <w:rPr>
                <w:rFonts w:ascii="宋体"/>
              </w:rPr>
            </w:pPr>
          </w:p>
        </w:tc>
        <w:tc>
          <w:tcPr>
            <w:tcW w:w="0" w:type="auto"/>
            <w:shd w:val="clear" w:color="auto" w:fill="auto"/>
            <w:vAlign w:val="bottom"/>
          </w:tcPr>
          <w:p w14:paraId="7C207FFD" w14:textId="77777777" w:rsidR="00834A75" w:rsidRDefault="00834A75">
            <w:pPr>
              <w:rPr>
                <w:rFonts w:ascii="宋体"/>
              </w:rPr>
            </w:pPr>
          </w:p>
        </w:tc>
        <w:tc>
          <w:tcPr>
            <w:tcW w:w="0" w:type="auto"/>
            <w:shd w:val="clear" w:color="auto" w:fill="auto"/>
            <w:vAlign w:val="bottom"/>
          </w:tcPr>
          <w:p w14:paraId="7C207FFE" w14:textId="77777777" w:rsidR="00834A75" w:rsidRDefault="00834A75">
            <w:pPr>
              <w:rPr>
                <w:rFonts w:ascii="宋体"/>
              </w:rPr>
            </w:pPr>
          </w:p>
        </w:tc>
        <w:tc>
          <w:tcPr>
            <w:tcW w:w="0" w:type="auto"/>
            <w:shd w:val="clear" w:color="auto" w:fill="auto"/>
            <w:vAlign w:val="bottom"/>
          </w:tcPr>
          <w:p w14:paraId="7C207FFF" w14:textId="77777777" w:rsidR="00834A75" w:rsidRDefault="00834A75">
            <w:pPr>
              <w:rPr>
                <w:rFonts w:ascii="宋体"/>
              </w:rPr>
            </w:pPr>
          </w:p>
        </w:tc>
        <w:tc>
          <w:tcPr>
            <w:tcW w:w="0" w:type="auto"/>
            <w:shd w:val="clear" w:color="auto" w:fill="auto"/>
            <w:vAlign w:val="bottom"/>
          </w:tcPr>
          <w:p w14:paraId="7C208000" w14:textId="77777777" w:rsidR="00834A75" w:rsidRDefault="00834A75">
            <w:pPr>
              <w:rPr>
                <w:rFonts w:ascii="宋体"/>
              </w:rPr>
            </w:pPr>
          </w:p>
        </w:tc>
      </w:tr>
      <w:tr w:rsidR="00834A75" w14:paraId="7C20800D" w14:textId="77777777">
        <w:tc>
          <w:tcPr>
            <w:tcW w:w="0" w:type="auto"/>
            <w:gridSpan w:val="3"/>
            <w:shd w:val="clear" w:color="auto" w:fill="E2EFD9"/>
            <w:tcMar>
              <w:top w:w="40" w:type="dxa"/>
              <w:left w:w="20" w:type="dxa"/>
              <w:bottom w:w="40" w:type="dxa"/>
              <w:right w:w="20" w:type="dxa"/>
            </w:tcMar>
            <w:vAlign w:val="bottom"/>
          </w:tcPr>
          <w:p w14:paraId="7C208002" w14:textId="77777777" w:rsidR="00834A75" w:rsidRDefault="00A6708C">
            <w:pPr>
              <w:textAlignment w:val="bottom"/>
            </w:pPr>
            <w:r>
              <w:rPr>
                <w:rFonts w:ascii="sans-serif" w:eastAsia="sans-serif" w:hAnsi="sans-serif" w:cs="sans-serif"/>
                <w:color w:val="000000"/>
                <w:sz w:val="20"/>
                <w:szCs w:val="20"/>
              </w:rPr>
              <w:t>Balances, January 30, 2022</w:t>
            </w:r>
          </w:p>
        </w:tc>
        <w:tc>
          <w:tcPr>
            <w:tcW w:w="0" w:type="auto"/>
            <w:gridSpan w:val="2"/>
            <w:shd w:val="clear" w:color="auto" w:fill="E2EFD9"/>
            <w:tcMar>
              <w:top w:w="40" w:type="dxa"/>
              <w:left w:w="20" w:type="dxa"/>
              <w:bottom w:w="40" w:type="dxa"/>
              <w:right w:w="0" w:type="dxa"/>
            </w:tcMar>
            <w:vAlign w:val="bottom"/>
          </w:tcPr>
          <w:p w14:paraId="7C208003" w14:textId="77777777" w:rsidR="00834A75" w:rsidRDefault="00A6708C">
            <w:pPr>
              <w:jc w:val="right"/>
              <w:textAlignment w:val="bottom"/>
            </w:pPr>
            <w:r>
              <w:rPr>
                <w:rFonts w:ascii="sans-serif" w:eastAsia="sans-serif" w:hAnsi="sans-serif" w:cs="sans-serif"/>
                <w:color w:val="000000"/>
                <w:sz w:val="20"/>
                <w:szCs w:val="20"/>
              </w:rPr>
              <w:t>46 </w:t>
            </w:r>
          </w:p>
        </w:tc>
        <w:tc>
          <w:tcPr>
            <w:tcW w:w="0" w:type="auto"/>
            <w:shd w:val="clear" w:color="auto" w:fill="E2EFD9"/>
            <w:tcMar>
              <w:top w:w="40" w:type="dxa"/>
              <w:left w:w="0" w:type="dxa"/>
              <w:bottom w:w="40" w:type="dxa"/>
              <w:right w:w="20" w:type="dxa"/>
            </w:tcMar>
            <w:vAlign w:val="bottom"/>
          </w:tcPr>
          <w:p w14:paraId="7C208004" w14:textId="77777777" w:rsidR="00834A75" w:rsidRDefault="00834A75">
            <w:pPr>
              <w:jc w:val="right"/>
              <w:rPr>
                <w:rFonts w:ascii="宋体"/>
              </w:rPr>
            </w:pPr>
          </w:p>
        </w:tc>
        <w:tc>
          <w:tcPr>
            <w:tcW w:w="0" w:type="auto"/>
            <w:gridSpan w:val="3"/>
            <w:shd w:val="clear" w:color="auto" w:fill="E2EFD9"/>
            <w:tcMar>
              <w:top w:w="0" w:type="dxa"/>
              <w:left w:w="20" w:type="dxa"/>
              <w:bottom w:w="0" w:type="dxa"/>
              <w:right w:w="20" w:type="dxa"/>
            </w:tcMar>
            <w:vAlign w:val="bottom"/>
          </w:tcPr>
          <w:p w14:paraId="7C208005" w14:textId="77777777" w:rsidR="00834A75" w:rsidRDefault="00834A75">
            <w:pPr>
              <w:rPr>
                <w:rFonts w:ascii="宋体"/>
              </w:rPr>
            </w:pPr>
          </w:p>
        </w:tc>
        <w:tc>
          <w:tcPr>
            <w:tcW w:w="0" w:type="auto"/>
            <w:shd w:val="clear" w:color="auto" w:fill="E2EFD9"/>
            <w:tcMar>
              <w:top w:w="40" w:type="dxa"/>
              <w:left w:w="20" w:type="dxa"/>
              <w:bottom w:w="40" w:type="dxa"/>
              <w:right w:w="0" w:type="dxa"/>
            </w:tcMar>
            <w:vAlign w:val="bottom"/>
          </w:tcPr>
          <w:p w14:paraId="7C208006" w14:textId="77777777" w:rsidR="00834A75" w:rsidRDefault="00A6708C">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7C208007" w14:textId="77777777" w:rsidR="00834A75" w:rsidRDefault="00A6708C">
            <w:pPr>
              <w:jc w:val="right"/>
              <w:textAlignment w:val="bottom"/>
            </w:pPr>
            <w:r>
              <w:rPr>
                <w:rFonts w:ascii="sans-serif" w:eastAsia="sans-serif" w:hAnsi="sans-serif" w:cs="sans-serif"/>
                <w:color w:val="000000"/>
                <w:sz w:val="20"/>
                <w:szCs w:val="20"/>
              </w:rPr>
              <w:t>114.19 </w:t>
            </w:r>
          </w:p>
        </w:tc>
        <w:tc>
          <w:tcPr>
            <w:tcW w:w="0" w:type="auto"/>
            <w:shd w:val="clear" w:color="auto" w:fill="E2EFD9"/>
            <w:tcMar>
              <w:top w:w="40" w:type="dxa"/>
              <w:left w:w="0" w:type="dxa"/>
              <w:bottom w:w="40" w:type="dxa"/>
              <w:right w:w="20" w:type="dxa"/>
            </w:tcMar>
            <w:vAlign w:val="bottom"/>
          </w:tcPr>
          <w:p w14:paraId="7C208008" w14:textId="77777777" w:rsidR="00834A75" w:rsidRDefault="00834A75">
            <w:pPr>
              <w:jc w:val="right"/>
              <w:rPr>
                <w:rFonts w:ascii="宋体"/>
              </w:rPr>
            </w:pPr>
          </w:p>
        </w:tc>
        <w:tc>
          <w:tcPr>
            <w:tcW w:w="0" w:type="auto"/>
            <w:gridSpan w:val="3"/>
            <w:shd w:val="clear" w:color="auto" w:fill="auto"/>
            <w:vAlign w:val="bottom"/>
          </w:tcPr>
          <w:p w14:paraId="7C208009" w14:textId="77777777" w:rsidR="00834A75" w:rsidRDefault="00834A75">
            <w:pPr>
              <w:rPr>
                <w:rFonts w:ascii="宋体"/>
                <w:vanish/>
              </w:rPr>
            </w:pPr>
          </w:p>
        </w:tc>
        <w:tc>
          <w:tcPr>
            <w:tcW w:w="0" w:type="auto"/>
            <w:gridSpan w:val="3"/>
            <w:shd w:val="clear" w:color="auto" w:fill="auto"/>
            <w:vAlign w:val="bottom"/>
          </w:tcPr>
          <w:p w14:paraId="7C20800A" w14:textId="77777777" w:rsidR="00834A75" w:rsidRDefault="00834A75">
            <w:pPr>
              <w:rPr>
                <w:rFonts w:ascii="宋体"/>
                <w:vanish/>
              </w:rPr>
            </w:pPr>
          </w:p>
        </w:tc>
        <w:tc>
          <w:tcPr>
            <w:tcW w:w="0" w:type="auto"/>
            <w:gridSpan w:val="3"/>
            <w:shd w:val="clear" w:color="auto" w:fill="auto"/>
            <w:vAlign w:val="bottom"/>
          </w:tcPr>
          <w:p w14:paraId="7C20800B" w14:textId="77777777" w:rsidR="00834A75" w:rsidRDefault="00834A75">
            <w:pPr>
              <w:rPr>
                <w:rFonts w:ascii="宋体"/>
                <w:vanish/>
              </w:rPr>
            </w:pPr>
          </w:p>
        </w:tc>
        <w:tc>
          <w:tcPr>
            <w:tcW w:w="0" w:type="auto"/>
            <w:gridSpan w:val="3"/>
            <w:shd w:val="clear" w:color="auto" w:fill="auto"/>
            <w:vAlign w:val="bottom"/>
          </w:tcPr>
          <w:p w14:paraId="7C20800C" w14:textId="77777777" w:rsidR="00834A75" w:rsidRDefault="00834A75">
            <w:pPr>
              <w:rPr>
                <w:rFonts w:ascii="宋体"/>
                <w:vanish/>
              </w:rPr>
            </w:pPr>
          </w:p>
        </w:tc>
      </w:tr>
      <w:tr w:rsidR="00834A75" w14:paraId="7C208019" w14:textId="77777777">
        <w:tc>
          <w:tcPr>
            <w:tcW w:w="0" w:type="auto"/>
            <w:gridSpan w:val="3"/>
            <w:shd w:val="clear" w:color="auto" w:fill="FFFFFF"/>
            <w:tcMar>
              <w:top w:w="40" w:type="dxa"/>
              <w:left w:w="380" w:type="dxa"/>
              <w:bottom w:w="40" w:type="dxa"/>
              <w:right w:w="20" w:type="dxa"/>
            </w:tcMar>
            <w:vAlign w:val="bottom"/>
          </w:tcPr>
          <w:p w14:paraId="7C20800E" w14:textId="77777777" w:rsidR="00834A75" w:rsidRDefault="00A6708C">
            <w:pPr>
              <w:textAlignment w:val="bottom"/>
            </w:pPr>
            <w:r>
              <w:rPr>
                <w:rFonts w:ascii="sans-serif" w:eastAsia="sans-serif" w:hAnsi="sans-serif" w:cs="sans-serif"/>
                <w:color w:val="000000"/>
                <w:sz w:val="20"/>
                <w:szCs w:val="20"/>
              </w:rPr>
              <w:t>Granted</w:t>
            </w:r>
          </w:p>
        </w:tc>
        <w:tc>
          <w:tcPr>
            <w:tcW w:w="0" w:type="auto"/>
            <w:gridSpan w:val="2"/>
            <w:shd w:val="clear" w:color="auto" w:fill="FFFFFF"/>
            <w:tcMar>
              <w:top w:w="40" w:type="dxa"/>
              <w:left w:w="20" w:type="dxa"/>
              <w:bottom w:w="40" w:type="dxa"/>
              <w:right w:w="0" w:type="dxa"/>
            </w:tcMar>
            <w:vAlign w:val="bottom"/>
          </w:tcPr>
          <w:p w14:paraId="7C20800F" w14:textId="77777777" w:rsidR="00834A75" w:rsidRDefault="00A6708C">
            <w:pPr>
              <w:jc w:val="right"/>
              <w:textAlignment w:val="bottom"/>
            </w:pPr>
            <w:r>
              <w:rPr>
                <w:rFonts w:ascii="sans-serif" w:eastAsia="sans-serif" w:hAnsi="sans-serif" w:cs="sans-serif"/>
                <w:color w:val="000000"/>
                <w:sz w:val="20"/>
                <w:szCs w:val="20"/>
              </w:rPr>
              <w:t>3 </w:t>
            </w:r>
          </w:p>
        </w:tc>
        <w:tc>
          <w:tcPr>
            <w:tcW w:w="0" w:type="auto"/>
            <w:shd w:val="clear" w:color="auto" w:fill="FFFFFF"/>
            <w:tcMar>
              <w:top w:w="40" w:type="dxa"/>
              <w:left w:w="0" w:type="dxa"/>
              <w:bottom w:w="40" w:type="dxa"/>
              <w:right w:w="20" w:type="dxa"/>
            </w:tcMar>
            <w:vAlign w:val="bottom"/>
          </w:tcPr>
          <w:p w14:paraId="7C208010" w14:textId="77777777" w:rsidR="00834A75" w:rsidRDefault="00834A75">
            <w:pPr>
              <w:jc w:val="right"/>
              <w:rPr>
                <w:rFonts w:ascii="宋体"/>
              </w:rPr>
            </w:pPr>
          </w:p>
        </w:tc>
        <w:tc>
          <w:tcPr>
            <w:tcW w:w="0" w:type="auto"/>
            <w:gridSpan w:val="3"/>
            <w:shd w:val="clear" w:color="auto" w:fill="FFFFFF"/>
            <w:tcMar>
              <w:top w:w="0" w:type="dxa"/>
              <w:left w:w="20" w:type="dxa"/>
              <w:bottom w:w="0" w:type="dxa"/>
              <w:right w:w="20" w:type="dxa"/>
            </w:tcMar>
            <w:vAlign w:val="bottom"/>
          </w:tcPr>
          <w:p w14:paraId="7C208011" w14:textId="77777777" w:rsidR="00834A75" w:rsidRDefault="00834A75">
            <w:pPr>
              <w:rPr>
                <w:rFonts w:ascii="宋体"/>
              </w:rPr>
            </w:pPr>
          </w:p>
        </w:tc>
        <w:tc>
          <w:tcPr>
            <w:tcW w:w="0" w:type="auto"/>
            <w:shd w:val="clear" w:color="auto" w:fill="FFFFFF"/>
            <w:tcMar>
              <w:top w:w="40" w:type="dxa"/>
              <w:left w:w="20" w:type="dxa"/>
              <w:bottom w:w="40" w:type="dxa"/>
              <w:right w:w="0" w:type="dxa"/>
            </w:tcMar>
            <w:vAlign w:val="bottom"/>
          </w:tcPr>
          <w:p w14:paraId="7C208012" w14:textId="77777777" w:rsidR="00834A75" w:rsidRDefault="00A6708C">
            <w:pPr>
              <w:textAlignment w:val="bottom"/>
            </w:pPr>
            <w:r>
              <w:rPr>
                <w:rFonts w:ascii="sans-serif" w:eastAsia="sans-serif" w:hAnsi="sans-serif" w:cs="sans-serif"/>
                <w:color w:val="000000"/>
                <w:sz w:val="20"/>
                <w:szCs w:val="20"/>
              </w:rPr>
              <w:t>$</w:t>
            </w:r>
          </w:p>
        </w:tc>
        <w:tc>
          <w:tcPr>
            <w:tcW w:w="0" w:type="auto"/>
            <w:shd w:val="clear" w:color="auto" w:fill="FFFFFF"/>
            <w:tcMar>
              <w:top w:w="40" w:type="dxa"/>
              <w:left w:w="0" w:type="dxa"/>
              <w:bottom w:w="40" w:type="dxa"/>
              <w:right w:w="0" w:type="dxa"/>
            </w:tcMar>
            <w:vAlign w:val="bottom"/>
          </w:tcPr>
          <w:p w14:paraId="7C208013" w14:textId="77777777" w:rsidR="00834A75" w:rsidRDefault="00A6708C">
            <w:pPr>
              <w:jc w:val="right"/>
              <w:textAlignment w:val="bottom"/>
            </w:pPr>
            <w:r>
              <w:rPr>
                <w:rFonts w:ascii="sans-serif" w:eastAsia="sans-serif" w:hAnsi="sans-serif" w:cs="sans-serif"/>
                <w:color w:val="000000"/>
                <w:sz w:val="20"/>
                <w:szCs w:val="20"/>
              </w:rPr>
              <w:t>216.00 </w:t>
            </w:r>
          </w:p>
        </w:tc>
        <w:tc>
          <w:tcPr>
            <w:tcW w:w="0" w:type="auto"/>
            <w:shd w:val="clear" w:color="auto" w:fill="FFFFFF"/>
            <w:tcMar>
              <w:top w:w="40" w:type="dxa"/>
              <w:left w:w="0" w:type="dxa"/>
              <w:bottom w:w="40" w:type="dxa"/>
              <w:right w:w="20" w:type="dxa"/>
            </w:tcMar>
            <w:vAlign w:val="bottom"/>
          </w:tcPr>
          <w:p w14:paraId="7C208014" w14:textId="77777777" w:rsidR="00834A75" w:rsidRDefault="00834A75">
            <w:pPr>
              <w:jc w:val="right"/>
              <w:rPr>
                <w:rFonts w:ascii="宋体"/>
              </w:rPr>
            </w:pPr>
          </w:p>
        </w:tc>
        <w:tc>
          <w:tcPr>
            <w:tcW w:w="0" w:type="auto"/>
            <w:gridSpan w:val="3"/>
            <w:shd w:val="clear" w:color="auto" w:fill="auto"/>
            <w:vAlign w:val="bottom"/>
          </w:tcPr>
          <w:p w14:paraId="7C208015" w14:textId="77777777" w:rsidR="00834A75" w:rsidRDefault="00834A75">
            <w:pPr>
              <w:rPr>
                <w:rFonts w:ascii="宋体"/>
                <w:vanish/>
              </w:rPr>
            </w:pPr>
          </w:p>
        </w:tc>
        <w:tc>
          <w:tcPr>
            <w:tcW w:w="0" w:type="auto"/>
            <w:gridSpan w:val="3"/>
            <w:shd w:val="clear" w:color="auto" w:fill="auto"/>
            <w:vAlign w:val="bottom"/>
          </w:tcPr>
          <w:p w14:paraId="7C208016" w14:textId="77777777" w:rsidR="00834A75" w:rsidRDefault="00834A75">
            <w:pPr>
              <w:rPr>
                <w:rFonts w:ascii="宋体"/>
                <w:vanish/>
              </w:rPr>
            </w:pPr>
          </w:p>
        </w:tc>
        <w:tc>
          <w:tcPr>
            <w:tcW w:w="0" w:type="auto"/>
            <w:gridSpan w:val="3"/>
            <w:shd w:val="clear" w:color="auto" w:fill="auto"/>
            <w:vAlign w:val="bottom"/>
          </w:tcPr>
          <w:p w14:paraId="7C208017" w14:textId="77777777" w:rsidR="00834A75" w:rsidRDefault="00834A75">
            <w:pPr>
              <w:rPr>
                <w:rFonts w:ascii="宋体"/>
                <w:vanish/>
              </w:rPr>
            </w:pPr>
          </w:p>
        </w:tc>
        <w:tc>
          <w:tcPr>
            <w:tcW w:w="0" w:type="auto"/>
            <w:gridSpan w:val="3"/>
            <w:shd w:val="clear" w:color="auto" w:fill="auto"/>
            <w:vAlign w:val="bottom"/>
          </w:tcPr>
          <w:p w14:paraId="7C208018" w14:textId="77777777" w:rsidR="00834A75" w:rsidRDefault="00834A75">
            <w:pPr>
              <w:rPr>
                <w:rFonts w:ascii="宋体"/>
                <w:vanish/>
              </w:rPr>
            </w:pPr>
          </w:p>
        </w:tc>
      </w:tr>
      <w:tr w:rsidR="00834A75" w14:paraId="7C208022" w14:textId="77777777">
        <w:trPr>
          <w:hidden/>
        </w:trPr>
        <w:tc>
          <w:tcPr>
            <w:tcW w:w="0" w:type="auto"/>
            <w:gridSpan w:val="3"/>
            <w:shd w:val="clear" w:color="auto" w:fill="auto"/>
            <w:vAlign w:val="bottom"/>
          </w:tcPr>
          <w:p w14:paraId="7C20801A" w14:textId="77777777" w:rsidR="00834A75" w:rsidRDefault="00834A75">
            <w:pPr>
              <w:rPr>
                <w:rFonts w:ascii="宋体"/>
                <w:vanish/>
              </w:rPr>
            </w:pPr>
          </w:p>
        </w:tc>
        <w:tc>
          <w:tcPr>
            <w:tcW w:w="0" w:type="auto"/>
            <w:gridSpan w:val="3"/>
            <w:shd w:val="clear" w:color="auto" w:fill="auto"/>
            <w:vAlign w:val="bottom"/>
          </w:tcPr>
          <w:p w14:paraId="7C20801B" w14:textId="77777777" w:rsidR="00834A75" w:rsidRDefault="00834A75">
            <w:pPr>
              <w:rPr>
                <w:rFonts w:ascii="宋体"/>
                <w:vanish/>
              </w:rPr>
            </w:pPr>
          </w:p>
        </w:tc>
        <w:tc>
          <w:tcPr>
            <w:tcW w:w="0" w:type="auto"/>
            <w:gridSpan w:val="3"/>
            <w:shd w:val="clear" w:color="auto" w:fill="auto"/>
            <w:vAlign w:val="bottom"/>
          </w:tcPr>
          <w:p w14:paraId="7C20801C" w14:textId="77777777" w:rsidR="00834A75" w:rsidRDefault="00834A75">
            <w:pPr>
              <w:rPr>
                <w:rFonts w:ascii="宋体"/>
                <w:vanish/>
              </w:rPr>
            </w:pPr>
          </w:p>
        </w:tc>
        <w:tc>
          <w:tcPr>
            <w:tcW w:w="0" w:type="auto"/>
            <w:gridSpan w:val="3"/>
            <w:shd w:val="clear" w:color="auto" w:fill="auto"/>
            <w:vAlign w:val="bottom"/>
          </w:tcPr>
          <w:p w14:paraId="7C20801D" w14:textId="77777777" w:rsidR="00834A75" w:rsidRDefault="00834A75">
            <w:pPr>
              <w:rPr>
                <w:rFonts w:ascii="宋体"/>
                <w:vanish/>
              </w:rPr>
            </w:pPr>
          </w:p>
        </w:tc>
        <w:tc>
          <w:tcPr>
            <w:tcW w:w="0" w:type="auto"/>
            <w:gridSpan w:val="3"/>
            <w:shd w:val="clear" w:color="auto" w:fill="auto"/>
            <w:vAlign w:val="bottom"/>
          </w:tcPr>
          <w:p w14:paraId="7C20801E" w14:textId="77777777" w:rsidR="00834A75" w:rsidRDefault="00834A75">
            <w:pPr>
              <w:rPr>
                <w:rFonts w:ascii="宋体"/>
                <w:vanish/>
              </w:rPr>
            </w:pPr>
          </w:p>
        </w:tc>
        <w:tc>
          <w:tcPr>
            <w:tcW w:w="0" w:type="auto"/>
            <w:gridSpan w:val="3"/>
            <w:shd w:val="clear" w:color="auto" w:fill="auto"/>
            <w:vAlign w:val="bottom"/>
          </w:tcPr>
          <w:p w14:paraId="7C20801F" w14:textId="77777777" w:rsidR="00834A75" w:rsidRDefault="00834A75">
            <w:pPr>
              <w:rPr>
                <w:rFonts w:ascii="宋体"/>
                <w:vanish/>
              </w:rPr>
            </w:pPr>
          </w:p>
        </w:tc>
        <w:tc>
          <w:tcPr>
            <w:tcW w:w="0" w:type="auto"/>
            <w:gridSpan w:val="3"/>
            <w:shd w:val="clear" w:color="auto" w:fill="auto"/>
            <w:vAlign w:val="bottom"/>
          </w:tcPr>
          <w:p w14:paraId="7C208020" w14:textId="77777777" w:rsidR="00834A75" w:rsidRDefault="00834A75">
            <w:pPr>
              <w:rPr>
                <w:rFonts w:ascii="宋体"/>
                <w:vanish/>
              </w:rPr>
            </w:pPr>
          </w:p>
        </w:tc>
        <w:tc>
          <w:tcPr>
            <w:tcW w:w="0" w:type="auto"/>
            <w:gridSpan w:val="3"/>
            <w:shd w:val="clear" w:color="auto" w:fill="auto"/>
            <w:vAlign w:val="bottom"/>
          </w:tcPr>
          <w:p w14:paraId="7C208021" w14:textId="77777777" w:rsidR="00834A75" w:rsidRDefault="00834A75">
            <w:pPr>
              <w:rPr>
                <w:rFonts w:ascii="宋体"/>
                <w:vanish/>
              </w:rPr>
            </w:pPr>
          </w:p>
        </w:tc>
      </w:tr>
      <w:tr w:rsidR="00834A75" w14:paraId="7C20802E" w14:textId="77777777">
        <w:tc>
          <w:tcPr>
            <w:tcW w:w="0" w:type="auto"/>
            <w:gridSpan w:val="3"/>
            <w:shd w:val="clear" w:color="auto" w:fill="E2EFD9"/>
            <w:tcMar>
              <w:top w:w="40" w:type="dxa"/>
              <w:left w:w="380" w:type="dxa"/>
              <w:bottom w:w="40" w:type="dxa"/>
              <w:right w:w="20" w:type="dxa"/>
            </w:tcMar>
            <w:vAlign w:val="bottom"/>
          </w:tcPr>
          <w:p w14:paraId="7C208023" w14:textId="77777777" w:rsidR="00834A75" w:rsidRDefault="00A6708C">
            <w:pPr>
              <w:textAlignment w:val="bottom"/>
            </w:pPr>
            <w:r>
              <w:rPr>
                <w:rFonts w:ascii="sans-serif" w:eastAsia="sans-serif" w:hAnsi="sans-serif" w:cs="sans-serif"/>
                <w:color w:val="000000"/>
                <w:sz w:val="20"/>
                <w:szCs w:val="20"/>
              </w:rPr>
              <w:t>Vested restricted stock</w:t>
            </w:r>
          </w:p>
        </w:tc>
        <w:tc>
          <w:tcPr>
            <w:tcW w:w="0" w:type="auto"/>
            <w:gridSpan w:val="2"/>
            <w:shd w:val="clear" w:color="auto" w:fill="E2EFD9"/>
            <w:tcMar>
              <w:top w:w="40" w:type="dxa"/>
              <w:left w:w="20" w:type="dxa"/>
              <w:bottom w:w="40" w:type="dxa"/>
              <w:right w:w="0" w:type="dxa"/>
            </w:tcMar>
            <w:vAlign w:val="bottom"/>
          </w:tcPr>
          <w:p w14:paraId="7C208024" w14:textId="77777777" w:rsidR="00834A75" w:rsidRDefault="00A6708C">
            <w:pPr>
              <w:jc w:val="right"/>
              <w:textAlignment w:val="bottom"/>
            </w:pPr>
            <w:r>
              <w:rPr>
                <w:rFonts w:ascii="sans-serif" w:eastAsia="sans-serif" w:hAnsi="sans-serif" w:cs="sans-serif"/>
                <w:color w:val="000000"/>
                <w:sz w:val="20"/>
                <w:szCs w:val="20"/>
              </w:rPr>
              <w:t>(7)</w:t>
            </w:r>
          </w:p>
        </w:tc>
        <w:tc>
          <w:tcPr>
            <w:tcW w:w="0" w:type="auto"/>
            <w:shd w:val="clear" w:color="auto" w:fill="E2EFD9"/>
            <w:tcMar>
              <w:top w:w="40" w:type="dxa"/>
              <w:left w:w="0" w:type="dxa"/>
              <w:bottom w:w="40" w:type="dxa"/>
              <w:right w:w="20" w:type="dxa"/>
            </w:tcMar>
            <w:vAlign w:val="bottom"/>
          </w:tcPr>
          <w:p w14:paraId="7C208025" w14:textId="77777777" w:rsidR="00834A75" w:rsidRDefault="00834A75">
            <w:pPr>
              <w:jc w:val="right"/>
              <w:rPr>
                <w:rFonts w:ascii="宋体"/>
              </w:rPr>
            </w:pPr>
          </w:p>
        </w:tc>
        <w:tc>
          <w:tcPr>
            <w:tcW w:w="0" w:type="auto"/>
            <w:gridSpan w:val="3"/>
            <w:shd w:val="clear" w:color="auto" w:fill="E2EFD9"/>
            <w:tcMar>
              <w:top w:w="0" w:type="dxa"/>
              <w:left w:w="20" w:type="dxa"/>
              <w:bottom w:w="0" w:type="dxa"/>
              <w:right w:w="20" w:type="dxa"/>
            </w:tcMar>
            <w:vAlign w:val="bottom"/>
          </w:tcPr>
          <w:p w14:paraId="7C208026" w14:textId="77777777" w:rsidR="00834A75" w:rsidRDefault="00834A75">
            <w:pPr>
              <w:rPr>
                <w:rFonts w:ascii="宋体"/>
              </w:rPr>
            </w:pPr>
          </w:p>
        </w:tc>
        <w:tc>
          <w:tcPr>
            <w:tcW w:w="0" w:type="auto"/>
            <w:shd w:val="clear" w:color="auto" w:fill="E2EFD9"/>
            <w:tcMar>
              <w:top w:w="40" w:type="dxa"/>
              <w:left w:w="20" w:type="dxa"/>
              <w:bottom w:w="40" w:type="dxa"/>
              <w:right w:w="0" w:type="dxa"/>
            </w:tcMar>
            <w:vAlign w:val="bottom"/>
          </w:tcPr>
          <w:p w14:paraId="7C208027" w14:textId="77777777" w:rsidR="00834A75" w:rsidRDefault="00A6708C">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7C208028" w14:textId="77777777" w:rsidR="00834A75" w:rsidRDefault="00A6708C">
            <w:pPr>
              <w:jc w:val="right"/>
              <w:textAlignment w:val="bottom"/>
            </w:pPr>
            <w:r>
              <w:rPr>
                <w:rFonts w:ascii="sans-serif" w:eastAsia="sans-serif" w:hAnsi="sans-serif" w:cs="sans-serif"/>
                <w:color w:val="000000"/>
                <w:sz w:val="20"/>
                <w:szCs w:val="20"/>
              </w:rPr>
              <w:t>83.70 </w:t>
            </w:r>
          </w:p>
        </w:tc>
        <w:tc>
          <w:tcPr>
            <w:tcW w:w="0" w:type="auto"/>
            <w:shd w:val="clear" w:color="auto" w:fill="E2EFD9"/>
            <w:tcMar>
              <w:top w:w="40" w:type="dxa"/>
              <w:left w:w="0" w:type="dxa"/>
              <w:bottom w:w="40" w:type="dxa"/>
              <w:right w:w="20" w:type="dxa"/>
            </w:tcMar>
            <w:vAlign w:val="bottom"/>
          </w:tcPr>
          <w:p w14:paraId="7C208029" w14:textId="77777777" w:rsidR="00834A75" w:rsidRDefault="00834A75">
            <w:pPr>
              <w:jc w:val="right"/>
              <w:rPr>
                <w:rFonts w:ascii="宋体"/>
              </w:rPr>
            </w:pPr>
          </w:p>
        </w:tc>
        <w:tc>
          <w:tcPr>
            <w:tcW w:w="0" w:type="auto"/>
            <w:gridSpan w:val="3"/>
            <w:shd w:val="clear" w:color="auto" w:fill="auto"/>
            <w:vAlign w:val="bottom"/>
          </w:tcPr>
          <w:p w14:paraId="7C20802A" w14:textId="77777777" w:rsidR="00834A75" w:rsidRDefault="00834A75">
            <w:pPr>
              <w:rPr>
                <w:rFonts w:ascii="宋体"/>
                <w:vanish/>
              </w:rPr>
            </w:pPr>
          </w:p>
        </w:tc>
        <w:tc>
          <w:tcPr>
            <w:tcW w:w="0" w:type="auto"/>
            <w:gridSpan w:val="3"/>
            <w:shd w:val="clear" w:color="auto" w:fill="auto"/>
            <w:vAlign w:val="bottom"/>
          </w:tcPr>
          <w:p w14:paraId="7C20802B" w14:textId="77777777" w:rsidR="00834A75" w:rsidRDefault="00834A75">
            <w:pPr>
              <w:rPr>
                <w:rFonts w:ascii="宋体"/>
                <w:vanish/>
              </w:rPr>
            </w:pPr>
          </w:p>
        </w:tc>
        <w:tc>
          <w:tcPr>
            <w:tcW w:w="0" w:type="auto"/>
            <w:gridSpan w:val="3"/>
            <w:shd w:val="clear" w:color="auto" w:fill="auto"/>
            <w:vAlign w:val="bottom"/>
          </w:tcPr>
          <w:p w14:paraId="7C20802C" w14:textId="77777777" w:rsidR="00834A75" w:rsidRDefault="00834A75">
            <w:pPr>
              <w:rPr>
                <w:rFonts w:ascii="宋体"/>
                <w:vanish/>
              </w:rPr>
            </w:pPr>
          </w:p>
        </w:tc>
        <w:tc>
          <w:tcPr>
            <w:tcW w:w="0" w:type="auto"/>
            <w:gridSpan w:val="3"/>
            <w:shd w:val="clear" w:color="auto" w:fill="auto"/>
            <w:vAlign w:val="bottom"/>
          </w:tcPr>
          <w:p w14:paraId="7C20802D" w14:textId="77777777" w:rsidR="00834A75" w:rsidRDefault="00834A75">
            <w:pPr>
              <w:rPr>
                <w:rFonts w:ascii="宋体"/>
                <w:vanish/>
              </w:rPr>
            </w:pPr>
          </w:p>
        </w:tc>
      </w:tr>
      <w:tr w:rsidR="00834A75" w14:paraId="7C208037" w14:textId="77777777">
        <w:trPr>
          <w:hidden/>
        </w:trPr>
        <w:tc>
          <w:tcPr>
            <w:tcW w:w="0" w:type="auto"/>
            <w:gridSpan w:val="3"/>
            <w:shd w:val="clear" w:color="auto" w:fill="auto"/>
            <w:vAlign w:val="bottom"/>
          </w:tcPr>
          <w:p w14:paraId="7C20802F" w14:textId="77777777" w:rsidR="00834A75" w:rsidRDefault="00834A75">
            <w:pPr>
              <w:rPr>
                <w:rFonts w:ascii="宋体"/>
                <w:vanish/>
              </w:rPr>
            </w:pPr>
          </w:p>
        </w:tc>
        <w:tc>
          <w:tcPr>
            <w:tcW w:w="0" w:type="auto"/>
            <w:gridSpan w:val="3"/>
            <w:shd w:val="clear" w:color="auto" w:fill="auto"/>
            <w:vAlign w:val="bottom"/>
          </w:tcPr>
          <w:p w14:paraId="7C208030" w14:textId="77777777" w:rsidR="00834A75" w:rsidRDefault="00834A75">
            <w:pPr>
              <w:rPr>
                <w:rFonts w:ascii="宋体"/>
                <w:vanish/>
              </w:rPr>
            </w:pPr>
          </w:p>
        </w:tc>
        <w:tc>
          <w:tcPr>
            <w:tcW w:w="0" w:type="auto"/>
            <w:gridSpan w:val="3"/>
            <w:shd w:val="clear" w:color="auto" w:fill="auto"/>
            <w:vAlign w:val="bottom"/>
          </w:tcPr>
          <w:p w14:paraId="7C208031" w14:textId="77777777" w:rsidR="00834A75" w:rsidRDefault="00834A75">
            <w:pPr>
              <w:rPr>
                <w:rFonts w:ascii="宋体"/>
                <w:vanish/>
              </w:rPr>
            </w:pPr>
          </w:p>
        </w:tc>
        <w:tc>
          <w:tcPr>
            <w:tcW w:w="0" w:type="auto"/>
            <w:gridSpan w:val="3"/>
            <w:shd w:val="clear" w:color="auto" w:fill="auto"/>
            <w:vAlign w:val="bottom"/>
          </w:tcPr>
          <w:p w14:paraId="7C208032" w14:textId="77777777" w:rsidR="00834A75" w:rsidRDefault="00834A75">
            <w:pPr>
              <w:rPr>
                <w:rFonts w:ascii="宋体"/>
                <w:vanish/>
              </w:rPr>
            </w:pPr>
          </w:p>
        </w:tc>
        <w:tc>
          <w:tcPr>
            <w:tcW w:w="0" w:type="auto"/>
            <w:gridSpan w:val="3"/>
            <w:shd w:val="clear" w:color="auto" w:fill="auto"/>
            <w:vAlign w:val="bottom"/>
          </w:tcPr>
          <w:p w14:paraId="7C208033" w14:textId="77777777" w:rsidR="00834A75" w:rsidRDefault="00834A75">
            <w:pPr>
              <w:rPr>
                <w:rFonts w:ascii="宋体"/>
                <w:vanish/>
              </w:rPr>
            </w:pPr>
          </w:p>
        </w:tc>
        <w:tc>
          <w:tcPr>
            <w:tcW w:w="0" w:type="auto"/>
            <w:gridSpan w:val="3"/>
            <w:shd w:val="clear" w:color="auto" w:fill="auto"/>
            <w:vAlign w:val="bottom"/>
          </w:tcPr>
          <w:p w14:paraId="7C208034" w14:textId="77777777" w:rsidR="00834A75" w:rsidRDefault="00834A75">
            <w:pPr>
              <w:rPr>
                <w:rFonts w:ascii="宋体"/>
                <w:vanish/>
              </w:rPr>
            </w:pPr>
          </w:p>
        </w:tc>
        <w:tc>
          <w:tcPr>
            <w:tcW w:w="0" w:type="auto"/>
            <w:gridSpan w:val="3"/>
            <w:shd w:val="clear" w:color="auto" w:fill="auto"/>
            <w:vAlign w:val="bottom"/>
          </w:tcPr>
          <w:p w14:paraId="7C208035" w14:textId="77777777" w:rsidR="00834A75" w:rsidRDefault="00834A75">
            <w:pPr>
              <w:rPr>
                <w:rFonts w:ascii="宋体"/>
                <w:vanish/>
              </w:rPr>
            </w:pPr>
          </w:p>
        </w:tc>
        <w:tc>
          <w:tcPr>
            <w:tcW w:w="0" w:type="auto"/>
            <w:gridSpan w:val="3"/>
            <w:shd w:val="clear" w:color="auto" w:fill="auto"/>
            <w:vAlign w:val="bottom"/>
          </w:tcPr>
          <w:p w14:paraId="7C208036" w14:textId="77777777" w:rsidR="00834A75" w:rsidRDefault="00834A75">
            <w:pPr>
              <w:rPr>
                <w:rFonts w:ascii="宋体"/>
                <w:vanish/>
              </w:rPr>
            </w:pPr>
          </w:p>
        </w:tc>
      </w:tr>
      <w:tr w:rsidR="00834A75" w14:paraId="7C208043" w14:textId="77777777">
        <w:tc>
          <w:tcPr>
            <w:tcW w:w="0" w:type="auto"/>
            <w:gridSpan w:val="3"/>
            <w:shd w:val="clear" w:color="auto" w:fill="FFFFFF"/>
            <w:tcMar>
              <w:top w:w="40" w:type="dxa"/>
              <w:left w:w="20" w:type="dxa"/>
              <w:bottom w:w="40" w:type="dxa"/>
              <w:right w:w="20" w:type="dxa"/>
            </w:tcMar>
            <w:vAlign w:val="bottom"/>
          </w:tcPr>
          <w:p w14:paraId="7C208038" w14:textId="77777777" w:rsidR="00834A75" w:rsidRDefault="00A6708C">
            <w:pPr>
              <w:textAlignment w:val="bottom"/>
            </w:pPr>
            <w:r>
              <w:rPr>
                <w:rFonts w:ascii="sans-serif" w:eastAsia="sans-serif" w:hAnsi="sans-serif" w:cs="sans-serif"/>
                <w:color w:val="000000"/>
                <w:sz w:val="20"/>
                <w:szCs w:val="20"/>
              </w:rPr>
              <w:t>Balances, May 1, 2022</w:t>
            </w:r>
          </w:p>
        </w:tc>
        <w:tc>
          <w:tcPr>
            <w:tcW w:w="0" w:type="auto"/>
            <w:gridSpan w:val="2"/>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C208039" w14:textId="77777777" w:rsidR="00834A75" w:rsidRDefault="00A6708C">
            <w:pPr>
              <w:jc w:val="right"/>
              <w:textAlignment w:val="bottom"/>
            </w:pPr>
            <w:r>
              <w:rPr>
                <w:rFonts w:ascii="sans-serif" w:eastAsia="sans-serif" w:hAnsi="sans-serif" w:cs="sans-serif"/>
                <w:color w:val="000000"/>
                <w:sz w:val="20"/>
                <w:szCs w:val="20"/>
              </w:rPr>
              <w:t>42 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C20803A" w14:textId="77777777" w:rsidR="00834A75" w:rsidRDefault="00834A75">
            <w:pPr>
              <w:jc w:val="right"/>
              <w:rPr>
                <w:rFonts w:ascii="宋体"/>
              </w:rPr>
            </w:pPr>
          </w:p>
        </w:tc>
        <w:tc>
          <w:tcPr>
            <w:tcW w:w="0" w:type="auto"/>
            <w:gridSpan w:val="3"/>
            <w:shd w:val="clear" w:color="auto" w:fill="FFFFFF"/>
            <w:tcMar>
              <w:top w:w="0" w:type="dxa"/>
              <w:left w:w="20" w:type="dxa"/>
              <w:bottom w:w="0" w:type="dxa"/>
              <w:right w:w="20" w:type="dxa"/>
            </w:tcMar>
            <w:vAlign w:val="bottom"/>
          </w:tcPr>
          <w:p w14:paraId="7C20803B" w14:textId="77777777" w:rsidR="00834A75" w:rsidRDefault="00834A75">
            <w:pPr>
              <w:rPr>
                <w:rFonts w:ascii="宋体"/>
              </w:rPr>
            </w:pPr>
          </w:p>
        </w:tc>
        <w:tc>
          <w:tcPr>
            <w:tcW w:w="0" w:type="auto"/>
            <w:shd w:val="clear" w:color="auto" w:fill="FFFFFF"/>
            <w:tcMar>
              <w:top w:w="40" w:type="dxa"/>
              <w:left w:w="20" w:type="dxa"/>
              <w:bottom w:w="40" w:type="dxa"/>
              <w:right w:w="0" w:type="dxa"/>
            </w:tcMar>
            <w:vAlign w:val="bottom"/>
          </w:tcPr>
          <w:p w14:paraId="7C20803C" w14:textId="77777777" w:rsidR="00834A75" w:rsidRDefault="00A6708C">
            <w:pPr>
              <w:textAlignment w:val="bottom"/>
            </w:pPr>
            <w:r>
              <w:rPr>
                <w:rFonts w:ascii="sans-serif" w:eastAsia="sans-serif" w:hAnsi="sans-serif" w:cs="sans-serif"/>
                <w:color w:val="000000"/>
                <w:sz w:val="20"/>
                <w:szCs w:val="20"/>
              </w:rPr>
              <w:t>$</w:t>
            </w:r>
          </w:p>
        </w:tc>
        <w:tc>
          <w:tcPr>
            <w:tcW w:w="0" w:type="auto"/>
            <w:shd w:val="clear" w:color="auto" w:fill="FFFFFF"/>
            <w:tcMar>
              <w:top w:w="40" w:type="dxa"/>
              <w:left w:w="0" w:type="dxa"/>
              <w:bottom w:w="40" w:type="dxa"/>
              <w:right w:w="0" w:type="dxa"/>
            </w:tcMar>
            <w:vAlign w:val="bottom"/>
          </w:tcPr>
          <w:p w14:paraId="7C20803D" w14:textId="77777777" w:rsidR="00834A75" w:rsidRDefault="00A6708C">
            <w:pPr>
              <w:jc w:val="right"/>
              <w:textAlignment w:val="bottom"/>
            </w:pPr>
            <w:r>
              <w:rPr>
                <w:rFonts w:ascii="sans-serif" w:eastAsia="sans-serif" w:hAnsi="sans-serif" w:cs="sans-serif"/>
                <w:color w:val="000000"/>
                <w:sz w:val="20"/>
                <w:szCs w:val="20"/>
              </w:rPr>
              <w:t>125.32 </w:t>
            </w:r>
          </w:p>
        </w:tc>
        <w:tc>
          <w:tcPr>
            <w:tcW w:w="0" w:type="auto"/>
            <w:shd w:val="clear" w:color="auto" w:fill="FFFFFF"/>
            <w:tcMar>
              <w:top w:w="40" w:type="dxa"/>
              <w:left w:w="0" w:type="dxa"/>
              <w:bottom w:w="40" w:type="dxa"/>
              <w:right w:w="20" w:type="dxa"/>
            </w:tcMar>
            <w:vAlign w:val="bottom"/>
          </w:tcPr>
          <w:p w14:paraId="7C20803E" w14:textId="77777777" w:rsidR="00834A75" w:rsidRDefault="00834A75">
            <w:pPr>
              <w:jc w:val="right"/>
              <w:rPr>
                <w:rFonts w:ascii="宋体"/>
              </w:rPr>
            </w:pPr>
          </w:p>
        </w:tc>
        <w:tc>
          <w:tcPr>
            <w:tcW w:w="0" w:type="auto"/>
            <w:gridSpan w:val="3"/>
            <w:shd w:val="clear" w:color="auto" w:fill="auto"/>
            <w:vAlign w:val="bottom"/>
          </w:tcPr>
          <w:p w14:paraId="7C20803F" w14:textId="77777777" w:rsidR="00834A75" w:rsidRDefault="00834A75">
            <w:pPr>
              <w:rPr>
                <w:rFonts w:ascii="宋体"/>
                <w:vanish/>
              </w:rPr>
            </w:pPr>
          </w:p>
        </w:tc>
        <w:tc>
          <w:tcPr>
            <w:tcW w:w="0" w:type="auto"/>
            <w:gridSpan w:val="3"/>
            <w:shd w:val="clear" w:color="auto" w:fill="auto"/>
            <w:vAlign w:val="bottom"/>
          </w:tcPr>
          <w:p w14:paraId="7C208040" w14:textId="77777777" w:rsidR="00834A75" w:rsidRDefault="00834A75">
            <w:pPr>
              <w:rPr>
                <w:rFonts w:ascii="宋体"/>
                <w:vanish/>
              </w:rPr>
            </w:pPr>
          </w:p>
        </w:tc>
        <w:tc>
          <w:tcPr>
            <w:tcW w:w="0" w:type="auto"/>
            <w:gridSpan w:val="3"/>
            <w:shd w:val="clear" w:color="auto" w:fill="auto"/>
            <w:vAlign w:val="bottom"/>
          </w:tcPr>
          <w:p w14:paraId="7C208041" w14:textId="77777777" w:rsidR="00834A75" w:rsidRDefault="00834A75">
            <w:pPr>
              <w:rPr>
                <w:rFonts w:ascii="宋体"/>
                <w:vanish/>
              </w:rPr>
            </w:pPr>
          </w:p>
        </w:tc>
        <w:tc>
          <w:tcPr>
            <w:tcW w:w="0" w:type="auto"/>
            <w:gridSpan w:val="3"/>
            <w:shd w:val="clear" w:color="auto" w:fill="auto"/>
            <w:vAlign w:val="bottom"/>
          </w:tcPr>
          <w:p w14:paraId="7C208042" w14:textId="77777777" w:rsidR="00834A75" w:rsidRDefault="00834A75">
            <w:pPr>
              <w:rPr>
                <w:rFonts w:ascii="宋体"/>
                <w:vanish/>
              </w:rPr>
            </w:pPr>
          </w:p>
        </w:tc>
      </w:tr>
    </w:tbl>
    <w:p w14:paraId="7C208044" w14:textId="77777777" w:rsidR="00834A75" w:rsidRDefault="00A6708C">
      <w:pPr>
        <w:spacing w:after="180"/>
        <w:jc w:val="both"/>
      </w:pPr>
      <w:r>
        <w:rPr>
          <w:rFonts w:ascii="sans-serif" w:eastAsia="sans-serif" w:hAnsi="sans-serif" w:cs="sans-serif"/>
          <w:color w:val="000000"/>
          <w:sz w:val="20"/>
          <w:szCs w:val="20"/>
        </w:rPr>
        <w:t>As of May 1, 2022, there was $4.95 billion of aggregate unearned stock-based compensation expense. This amount is expected to be recognized over a weighted average period of 2.3 years for RSUs, PSUs, and market-based PSUs, and 1.1 years for ESPP.</w:t>
      </w:r>
    </w:p>
    <w:p w14:paraId="7C208045" w14:textId="77777777" w:rsidR="00834A75" w:rsidRDefault="00834A75">
      <w:pPr>
        <w:spacing w:before="240" w:after="120"/>
        <w:jc w:val="both"/>
      </w:pPr>
    </w:p>
    <w:p w14:paraId="7C208046" w14:textId="77777777" w:rsidR="00834A75" w:rsidRDefault="00A6708C">
      <w:pPr>
        <w:spacing w:after="180"/>
        <w:jc w:val="center"/>
      </w:pPr>
      <w:r>
        <w:rPr>
          <w:rFonts w:ascii="sans-serif" w:eastAsia="sans-serif" w:hAnsi="sans-serif" w:cs="sans-serif"/>
          <w:color w:val="000000"/>
          <w:sz w:val="20"/>
          <w:szCs w:val="20"/>
        </w:rPr>
        <w:t>10</w:t>
      </w:r>
    </w:p>
    <w:p w14:paraId="7C208047" w14:textId="77777777" w:rsidR="00834A75" w:rsidRDefault="00A6708C">
      <w:r>
        <w:pict w14:anchorId="7C209359">
          <v:rect id="_x0000_i1034" style="width:415.3pt;height:1.5pt" o:hralign="center" o:hrstd="t" o:hr="t" fillcolor="#a0a0a0" stroked="f"/>
        </w:pict>
      </w:r>
    </w:p>
    <w:p w14:paraId="7C208048" w14:textId="77777777" w:rsidR="00834A75" w:rsidRDefault="00A6708C">
      <w:pPr>
        <w:jc w:val="center"/>
      </w:pPr>
      <w:r>
        <w:rPr>
          <w:rFonts w:ascii="sans-serif" w:eastAsia="sans-serif" w:hAnsi="sans-serif" w:cs="sans-serif"/>
          <w:b/>
          <w:bCs/>
          <w:color w:val="000000"/>
          <w:sz w:val="20"/>
          <w:szCs w:val="20"/>
        </w:rPr>
        <w:t>NVIDIA CORPORATION AND SUBSIDIARIES</w:t>
      </w:r>
    </w:p>
    <w:p w14:paraId="7C208049" w14:textId="77777777" w:rsidR="00834A75" w:rsidRDefault="00A6708C">
      <w:pPr>
        <w:jc w:val="center"/>
      </w:pPr>
      <w:r>
        <w:rPr>
          <w:rFonts w:ascii="sans-serif" w:eastAsia="sans-serif" w:hAnsi="sans-serif" w:cs="sans-serif"/>
          <w:b/>
          <w:bCs/>
          <w:color w:val="000000"/>
          <w:sz w:val="20"/>
          <w:szCs w:val="20"/>
        </w:rPr>
        <w:t>NOTES TO CONDENSED CONSOLIDATED FINANCIAL STATEMENTS (Continued)</w:t>
      </w:r>
    </w:p>
    <w:p w14:paraId="7C20804A" w14:textId="77777777" w:rsidR="00834A75" w:rsidRDefault="00A6708C">
      <w:pPr>
        <w:jc w:val="center"/>
      </w:pPr>
      <w:r>
        <w:rPr>
          <w:rFonts w:ascii="sans-serif" w:eastAsia="sans-serif" w:hAnsi="sans-serif" w:cs="sans-serif"/>
          <w:b/>
          <w:bCs/>
          <w:color w:val="000000"/>
          <w:sz w:val="20"/>
          <w:szCs w:val="20"/>
        </w:rPr>
        <w:t>(Unaudited)</w:t>
      </w:r>
    </w:p>
    <w:p w14:paraId="7C20804B" w14:textId="77777777" w:rsidR="00834A75" w:rsidRDefault="00834A75">
      <w:pPr>
        <w:spacing w:after="180"/>
        <w:jc w:val="both"/>
      </w:pPr>
    </w:p>
    <w:p w14:paraId="7C20804C" w14:textId="77777777" w:rsidR="00834A75" w:rsidRDefault="00834A75">
      <w:pPr>
        <w:spacing w:after="180"/>
        <w:jc w:val="both"/>
      </w:pPr>
    </w:p>
    <w:p w14:paraId="7C20804D" w14:textId="77777777" w:rsidR="00834A75" w:rsidRDefault="00A6708C">
      <w:pPr>
        <w:spacing w:before="240" w:after="120"/>
        <w:jc w:val="both"/>
      </w:pPr>
      <w:r>
        <w:rPr>
          <w:rFonts w:ascii="sans-serif" w:eastAsia="sans-serif" w:hAnsi="sans-serif" w:cs="sans-serif"/>
          <w:b/>
          <w:bCs/>
          <w:color w:val="76B900"/>
          <w:sz w:val="22"/>
          <w:szCs w:val="22"/>
        </w:rPr>
        <w:t>Note 5 – Net Income Per Share</w:t>
      </w:r>
    </w:p>
    <w:p w14:paraId="7C20804E" w14:textId="77777777" w:rsidR="00834A75" w:rsidRDefault="00A6708C">
      <w:pPr>
        <w:spacing w:after="180"/>
        <w:jc w:val="both"/>
      </w:pPr>
      <w:r>
        <w:rPr>
          <w:rFonts w:ascii="sans-serif" w:eastAsia="sans-serif" w:hAnsi="sans-serif" w:cs="sans-serif"/>
          <w:color w:val="000000"/>
          <w:sz w:val="20"/>
          <w:szCs w:val="20"/>
        </w:rPr>
        <w:t>The following is a reconciliation of the denominator of the basic and diluted net income per share computations</w:t>
      </w:r>
      <w:r>
        <w:rPr>
          <w:rFonts w:ascii="sans-serif" w:eastAsia="sans-serif" w:hAnsi="sans-serif" w:cs="sans-serif"/>
          <w:color w:val="000000"/>
          <w:sz w:val="20"/>
          <w:szCs w:val="20"/>
        </w:rPr>
        <w:t xml:space="preserve"> for the periods presented:</w:t>
      </w:r>
    </w:p>
    <w:tbl>
      <w:tblPr>
        <w:tblW w:w="5000" w:type="pct"/>
        <w:tblCellMar>
          <w:top w:w="15" w:type="dxa"/>
          <w:left w:w="15" w:type="dxa"/>
          <w:bottom w:w="15" w:type="dxa"/>
          <w:right w:w="15" w:type="dxa"/>
        </w:tblCellMar>
        <w:tblLook w:val="04A0" w:firstRow="1" w:lastRow="0" w:firstColumn="1" w:lastColumn="0" w:noHBand="0" w:noVBand="1"/>
      </w:tblPr>
      <w:tblGrid>
        <w:gridCol w:w="38"/>
        <w:gridCol w:w="5097"/>
        <w:gridCol w:w="36"/>
        <w:gridCol w:w="122"/>
        <w:gridCol w:w="1174"/>
        <w:gridCol w:w="36"/>
        <w:gridCol w:w="36"/>
        <w:gridCol w:w="36"/>
        <w:gridCol w:w="36"/>
        <w:gridCol w:w="122"/>
        <w:gridCol w:w="1135"/>
        <w:gridCol w:w="36"/>
        <w:gridCol w:w="36"/>
        <w:gridCol w:w="36"/>
        <w:gridCol w:w="36"/>
        <w:gridCol w:w="36"/>
        <w:gridCol w:w="36"/>
        <w:gridCol w:w="36"/>
        <w:gridCol w:w="36"/>
        <w:gridCol w:w="36"/>
        <w:gridCol w:w="36"/>
        <w:gridCol w:w="36"/>
        <w:gridCol w:w="36"/>
        <w:gridCol w:w="36"/>
      </w:tblGrid>
      <w:tr w:rsidR="00834A75" w14:paraId="7C20805F" w14:textId="77777777">
        <w:tc>
          <w:tcPr>
            <w:tcW w:w="50" w:type="pct"/>
            <w:shd w:val="clear" w:color="auto" w:fill="auto"/>
            <w:vAlign w:val="bottom"/>
          </w:tcPr>
          <w:p w14:paraId="7C20804F" w14:textId="77777777" w:rsidR="00834A75" w:rsidRDefault="00834A75">
            <w:pPr>
              <w:rPr>
                <w:rFonts w:ascii="宋体"/>
              </w:rPr>
            </w:pPr>
          </w:p>
        </w:tc>
        <w:tc>
          <w:tcPr>
            <w:tcW w:w="3256" w:type="pct"/>
            <w:shd w:val="clear" w:color="auto" w:fill="auto"/>
            <w:vAlign w:val="bottom"/>
          </w:tcPr>
          <w:p w14:paraId="7C208050" w14:textId="77777777" w:rsidR="00834A75" w:rsidRDefault="00834A75">
            <w:pPr>
              <w:rPr>
                <w:rFonts w:ascii="宋体"/>
              </w:rPr>
            </w:pPr>
          </w:p>
        </w:tc>
        <w:tc>
          <w:tcPr>
            <w:tcW w:w="5" w:type="pct"/>
            <w:shd w:val="clear" w:color="auto" w:fill="auto"/>
            <w:vAlign w:val="bottom"/>
          </w:tcPr>
          <w:p w14:paraId="7C208051" w14:textId="77777777" w:rsidR="00834A75" w:rsidRDefault="00834A75">
            <w:pPr>
              <w:rPr>
                <w:rFonts w:ascii="宋体"/>
              </w:rPr>
            </w:pPr>
          </w:p>
        </w:tc>
        <w:tc>
          <w:tcPr>
            <w:tcW w:w="50" w:type="pct"/>
            <w:shd w:val="clear" w:color="auto" w:fill="auto"/>
            <w:vAlign w:val="bottom"/>
          </w:tcPr>
          <w:p w14:paraId="7C208052" w14:textId="77777777" w:rsidR="00834A75" w:rsidRDefault="00834A75">
            <w:pPr>
              <w:rPr>
                <w:rFonts w:ascii="宋体"/>
              </w:rPr>
            </w:pPr>
          </w:p>
        </w:tc>
        <w:tc>
          <w:tcPr>
            <w:tcW w:w="771" w:type="pct"/>
            <w:shd w:val="clear" w:color="auto" w:fill="auto"/>
            <w:vAlign w:val="bottom"/>
          </w:tcPr>
          <w:p w14:paraId="7C208053" w14:textId="77777777" w:rsidR="00834A75" w:rsidRDefault="00834A75">
            <w:pPr>
              <w:rPr>
                <w:rFonts w:ascii="宋体"/>
              </w:rPr>
            </w:pPr>
          </w:p>
        </w:tc>
        <w:tc>
          <w:tcPr>
            <w:tcW w:w="5" w:type="pct"/>
            <w:shd w:val="clear" w:color="auto" w:fill="auto"/>
            <w:vAlign w:val="bottom"/>
          </w:tcPr>
          <w:p w14:paraId="7C208054" w14:textId="77777777" w:rsidR="00834A75" w:rsidRDefault="00834A75">
            <w:pPr>
              <w:rPr>
                <w:rFonts w:ascii="宋体"/>
              </w:rPr>
            </w:pPr>
          </w:p>
        </w:tc>
        <w:tc>
          <w:tcPr>
            <w:tcW w:w="5" w:type="pct"/>
            <w:shd w:val="clear" w:color="auto" w:fill="auto"/>
            <w:vAlign w:val="bottom"/>
          </w:tcPr>
          <w:p w14:paraId="7C208055" w14:textId="77777777" w:rsidR="00834A75" w:rsidRDefault="00834A75">
            <w:pPr>
              <w:rPr>
                <w:rFonts w:ascii="宋体"/>
              </w:rPr>
            </w:pPr>
          </w:p>
        </w:tc>
        <w:tc>
          <w:tcPr>
            <w:tcW w:w="26" w:type="pct"/>
            <w:shd w:val="clear" w:color="auto" w:fill="auto"/>
            <w:vAlign w:val="bottom"/>
          </w:tcPr>
          <w:p w14:paraId="7C208056" w14:textId="77777777" w:rsidR="00834A75" w:rsidRDefault="00834A75">
            <w:pPr>
              <w:rPr>
                <w:rFonts w:ascii="宋体"/>
              </w:rPr>
            </w:pPr>
          </w:p>
        </w:tc>
        <w:tc>
          <w:tcPr>
            <w:tcW w:w="5" w:type="pct"/>
            <w:shd w:val="clear" w:color="auto" w:fill="auto"/>
            <w:vAlign w:val="bottom"/>
          </w:tcPr>
          <w:p w14:paraId="7C208057" w14:textId="77777777" w:rsidR="00834A75" w:rsidRDefault="00834A75">
            <w:pPr>
              <w:rPr>
                <w:rFonts w:ascii="宋体"/>
              </w:rPr>
            </w:pPr>
          </w:p>
        </w:tc>
        <w:tc>
          <w:tcPr>
            <w:tcW w:w="50" w:type="pct"/>
            <w:shd w:val="clear" w:color="auto" w:fill="auto"/>
            <w:vAlign w:val="bottom"/>
          </w:tcPr>
          <w:p w14:paraId="7C208058" w14:textId="77777777" w:rsidR="00834A75" w:rsidRDefault="00834A75">
            <w:pPr>
              <w:rPr>
                <w:rFonts w:ascii="宋体"/>
              </w:rPr>
            </w:pPr>
          </w:p>
        </w:tc>
        <w:tc>
          <w:tcPr>
            <w:tcW w:w="771" w:type="pct"/>
            <w:shd w:val="clear" w:color="auto" w:fill="auto"/>
            <w:vAlign w:val="bottom"/>
          </w:tcPr>
          <w:p w14:paraId="7C208059" w14:textId="77777777" w:rsidR="00834A75" w:rsidRDefault="00834A75">
            <w:pPr>
              <w:rPr>
                <w:rFonts w:ascii="宋体"/>
              </w:rPr>
            </w:pPr>
          </w:p>
        </w:tc>
        <w:tc>
          <w:tcPr>
            <w:tcW w:w="5" w:type="pct"/>
            <w:shd w:val="clear" w:color="auto" w:fill="auto"/>
            <w:vAlign w:val="bottom"/>
          </w:tcPr>
          <w:p w14:paraId="7C20805A" w14:textId="77777777" w:rsidR="00834A75" w:rsidRDefault="00834A75">
            <w:pPr>
              <w:rPr>
                <w:rFonts w:ascii="宋体"/>
              </w:rPr>
            </w:pPr>
          </w:p>
        </w:tc>
        <w:tc>
          <w:tcPr>
            <w:tcW w:w="0" w:type="auto"/>
            <w:gridSpan w:val="3"/>
            <w:shd w:val="clear" w:color="auto" w:fill="auto"/>
            <w:vAlign w:val="bottom"/>
          </w:tcPr>
          <w:p w14:paraId="7C20805B" w14:textId="77777777" w:rsidR="00834A75" w:rsidRDefault="00834A75">
            <w:pPr>
              <w:rPr>
                <w:rFonts w:ascii="宋体"/>
                <w:vanish/>
              </w:rPr>
            </w:pPr>
          </w:p>
        </w:tc>
        <w:tc>
          <w:tcPr>
            <w:tcW w:w="0" w:type="auto"/>
            <w:gridSpan w:val="3"/>
            <w:shd w:val="clear" w:color="auto" w:fill="auto"/>
            <w:vAlign w:val="bottom"/>
          </w:tcPr>
          <w:p w14:paraId="7C20805C" w14:textId="77777777" w:rsidR="00834A75" w:rsidRDefault="00834A75">
            <w:pPr>
              <w:rPr>
                <w:rFonts w:ascii="宋体"/>
                <w:vanish/>
              </w:rPr>
            </w:pPr>
          </w:p>
        </w:tc>
        <w:tc>
          <w:tcPr>
            <w:tcW w:w="0" w:type="auto"/>
            <w:gridSpan w:val="3"/>
            <w:shd w:val="clear" w:color="auto" w:fill="auto"/>
            <w:vAlign w:val="bottom"/>
          </w:tcPr>
          <w:p w14:paraId="7C20805D" w14:textId="77777777" w:rsidR="00834A75" w:rsidRDefault="00834A75">
            <w:pPr>
              <w:rPr>
                <w:rFonts w:ascii="宋体"/>
                <w:vanish/>
              </w:rPr>
            </w:pPr>
          </w:p>
        </w:tc>
        <w:tc>
          <w:tcPr>
            <w:tcW w:w="0" w:type="auto"/>
            <w:gridSpan w:val="3"/>
            <w:shd w:val="clear" w:color="auto" w:fill="auto"/>
            <w:vAlign w:val="bottom"/>
          </w:tcPr>
          <w:p w14:paraId="7C20805E" w14:textId="77777777" w:rsidR="00834A75" w:rsidRDefault="00834A75">
            <w:pPr>
              <w:rPr>
                <w:rFonts w:ascii="宋体"/>
                <w:vanish/>
              </w:rPr>
            </w:pPr>
          </w:p>
        </w:tc>
      </w:tr>
      <w:tr w:rsidR="00834A75" w14:paraId="7C20806A" w14:textId="77777777">
        <w:tc>
          <w:tcPr>
            <w:tcW w:w="0" w:type="auto"/>
            <w:gridSpan w:val="3"/>
            <w:shd w:val="clear" w:color="auto" w:fill="auto"/>
            <w:tcMar>
              <w:top w:w="40" w:type="dxa"/>
              <w:left w:w="20" w:type="dxa"/>
              <w:bottom w:w="40" w:type="dxa"/>
              <w:right w:w="20" w:type="dxa"/>
            </w:tcMar>
            <w:vAlign w:val="bottom"/>
          </w:tcPr>
          <w:p w14:paraId="7C208060" w14:textId="77777777" w:rsidR="00834A75" w:rsidRDefault="00A6708C">
            <w:pPr>
              <w:textAlignment w:val="bottom"/>
            </w:pPr>
            <w:r>
              <w:rPr>
                <w:rFonts w:ascii="sans-serif" w:eastAsia="sans-serif" w:hAnsi="sans-serif" w:cs="sans-serif"/>
                <w:color w:val="000000"/>
                <w:sz w:val="20"/>
                <w:szCs w:val="20"/>
              </w:rPr>
              <w:t> </w:t>
            </w:r>
          </w:p>
        </w:tc>
        <w:tc>
          <w:tcPr>
            <w:tcW w:w="0" w:type="auto"/>
            <w:gridSpan w:val="9"/>
            <w:shd w:val="clear" w:color="auto" w:fill="auto"/>
            <w:tcMar>
              <w:top w:w="40" w:type="dxa"/>
              <w:left w:w="20" w:type="dxa"/>
              <w:bottom w:w="40" w:type="dxa"/>
              <w:right w:w="20" w:type="dxa"/>
            </w:tcMar>
            <w:vAlign w:val="bottom"/>
          </w:tcPr>
          <w:p w14:paraId="7C208061" w14:textId="77777777" w:rsidR="00834A75" w:rsidRDefault="00A6708C">
            <w:pPr>
              <w:jc w:val="center"/>
              <w:textAlignment w:val="bottom"/>
            </w:pPr>
            <w:r>
              <w:rPr>
                <w:rFonts w:ascii="sans-serif" w:eastAsia="sans-serif" w:hAnsi="sans-serif" w:cs="sans-serif"/>
                <w:b/>
                <w:bCs/>
                <w:color w:val="000000"/>
                <w:sz w:val="20"/>
                <w:szCs w:val="20"/>
              </w:rPr>
              <w:t>Three Months Ended</w:t>
            </w:r>
          </w:p>
        </w:tc>
        <w:tc>
          <w:tcPr>
            <w:tcW w:w="0" w:type="auto"/>
            <w:gridSpan w:val="3"/>
            <w:shd w:val="clear" w:color="auto" w:fill="auto"/>
            <w:vAlign w:val="bottom"/>
          </w:tcPr>
          <w:p w14:paraId="7C208062" w14:textId="77777777" w:rsidR="00834A75" w:rsidRDefault="00834A75">
            <w:pPr>
              <w:rPr>
                <w:rFonts w:ascii="宋体"/>
                <w:vanish/>
              </w:rPr>
            </w:pPr>
          </w:p>
        </w:tc>
        <w:tc>
          <w:tcPr>
            <w:tcW w:w="0" w:type="auto"/>
            <w:gridSpan w:val="3"/>
            <w:shd w:val="clear" w:color="auto" w:fill="auto"/>
            <w:vAlign w:val="bottom"/>
          </w:tcPr>
          <w:p w14:paraId="7C208063" w14:textId="77777777" w:rsidR="00834A75" w:rsidRDefault="00834A75">
            <w:pPr>
              <w:rPr>
                <w:rFonts w:ascii="宋体"/>
                <w:vanish/>
              </w:rPr>
            </w:pPr>
          </w:p>
        </w:tc>
        <w:tc>
          <w:tcPr>
            <w:tcW w:w="0" w:type="auto"/>
            <w:shd w:val="clear" w:color="auto" w:fill="auto"/>
            <w:vAlign w:val="bottom"/>
          </w:tcPr>
          <w:p w14:paraId="7C208064" w14:textId="77777777" w:rsidR="00834A75" w:rsidRDefault="00834A75">
            <w:pPr>
              <w:rPr>
                <w:rFonts w:ascii="宋体"/>
              </w:rPr>
            </w:pPr>
          </w:p>
        </w:tc>
        <w:tc>
          <w:tcPr>
            <w:tcW w:w="0" w:type="auto"/>
            <w:shd w:val="clear" w:color="auto" w:fill="auto"/>
            <w:vAlign w:val="bottom"/>
          </w:tcPr>
          <w:p w14:paraId="7C208065" w14:textId="77777777" w:rsidR="00834A75" w:rsidRDefault="00834A75">
            <w:pPr>
              <w:rPr>
                <w:rFonts w:ascii="宋体"/>
              </w:rPr>
            </w:pPr>
          </w:p>
        </w:tc>
        <w:tc>
          <w:tcPr>
            <w:tcW w:w="0" w:type="auto"/>
            <w:shd w:val="clear" w:color="auto" w:fill="auto"/>
            <w:vAlign w:val="bottom"/>
          </w:tcPr>
          <w:p w14:paraId="7C208066" w14:textId="77777777" w:rsidR="00834A75" w:rsidRDefault="00834A75">
            <w:pPr>
              <w:rPr>
                <w:rFonts w:ascii="宋体"/>
              </w:rPr>
            </w:pPr>
          </w:p>
        </w:tc>
        <w:tc>
          <w:tcPr>
            <w:tcW w:w="0" w:type="auto"/>
            <w:shd w:val="clear" w:color="auto" w:fill="auto"/>
            <w:vAlign w:val="bottom"/>
          </w:tcPr>
          <w:p w14:paraId="7C208067" w14:textId="77777777" w:rsidR="00834A75" w:rsidRDefault="00834A75">
            <w:pPr>
              <w:rPr>
                <w:rFonts w:ascii="宋体"/>
              </w:rPr>
            </w:pPr>
          </w:p>
        </w:tc>
        <w:tc>
          <w:tcPr>
            <w:tcW w:w="0" w:type="auto"/>
            <w:shd w:val="clear" w:color="auto" w:fill="auto"/>
            <w:vAlign w:val="bottom"/>
          </w:tcPr>
          <w:p w14:paraId="7C208068" w14:textId="77777777" w:rsidR="00834A75" w:rsidRDefault="00834A75">
            <w:pPr>
              <w:rPr>
                <w:rFonts w:ascii="宋体"/>
              </w:rPr>
            </w:pPr>
          </w:p>
        </w:tc>
        <w:tc>
          <w:tcPr>
            <w:tcW w:w="0" w:type="auto"/>
            <w:shd w:val="clear" w:color="auto" w:fill="auto"/>
            <w:vAlign w:val="bottom"/>
          </w:tcPr>
          <w:p w14:paraId="7C208069" w14:textId="77777777" w:rsidR="00834A75" w:rsidRDefault="00834A75">
            <w:pPr>
              <w:rPr>
                <w:rFonts w:ascii="宋体"/>
              </w:rPr>
            </w:pPr>
          </w:p>
        </w:tc>
      </w:tr>
      <w:tr w:rsidR="00834A75" w14:paraId="7C208073" w14:textId="77777777">
        <w:tc>
          <w:tcPr>
            <w:tcW w:w="0" w:type="auto"/>
            <w:gridSpan w:val="3"/>
            <w:shd w:val="clear" w:color="auto" w:fill="auto"/>
            <w:tcMar>
              <w:top w:w="0" w:type="dxa"/>
              <w:left w:w="20" w:type="dxa"/>
              <w:bottom w:w="0" w:type="dxa"/>
              <w:right w:w="20" w:type="dxa"/>
            </w:tcMar>
            <w:vAlign w:val="bottom"/>
          </w:tcPr>
          <w:p w14:paraId="7C20806B" w14:textId="77777777" w:rsidR="00834A75" w:rsidRDefault="00834A75">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C20806C" w14:textId="77777777" w:rsidR="00834A75" w:rsidRDefault="00A6708C">
            <w:pPr>
              <w:jc w:val="center"/>
              <w:textAlignment w:val="bottom"/>
            </w:pPr>
            <w:r>
              <w:rPr>
                <w:rFonts w:ascii="sans-serif" w:eastAsia="sans-serif" w:hAnsi="sans-serif" w:cs="sans-serif"/>
                <w:b/>
                <w:bCs/>
                <w:color w:val="000000"/>
                <w:sz w:val="20"/>
                <w:szCs w:val="20"/>
              </w:rPr>
              <w:t>May 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C20806D" w14:textId="77777777" w:rsidR="00834A75" w:rsidRDefault="00834A75">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C20806E" w14:textId="77777777" w:rsidR="00834A75" w:rsidRDefault="00A6708C">
            <w:pPr>
              <w:jc w:val="center"/>
              <w:textAlignment w:val="bottom"/>
            </w:pPr>
            <w:r>
              <w:rPr>
                <w:rFonts w:ascii="sans-serif" w:eastAsia="sans-serif" w:hAnsi="sans-serif" w:cs="sans-serif"/>
                <w:b/>
                <w:bCs/>
                <w:color w:val="000000"/>
                <w:sz w:val="20"/>
                <w:szCs w:val="20"/>
              </w:rPr>
              <w:t>May 2,</w:t>
            </w:r>
          </w:p>
        </w:tc>
        <w:tc>
          <w:tcPr>
            <w:tcW w:w="0" w:type="auto"/>
            <w:gridSpan w:val="3"/>
            <w:shd w:val="clear" w:color="auto" w:fill="auto"/>
            <w:vAlign w:val="bottom"/>
          </w:tcPr>
          <w:p w14:paraId="7C20806F" w14:textId="77777777" w:rsidR="00834A75" w:rsidRDefault="00834A75">
            <w:pPr>
              <w:rPr>
                <w:rFonts w:ascii="宋体"/>
                <w:vanish/>
              </w:rPr>
            </w:pPr>
          </w:p>
        </w:tc>
        <w:tc>
          <w:tcPr>
            <w:tcW w:w="0" w:type="auto"/>
            <w:gridSpan w:val="3"/>
            <w:shd w:val="clear" w:color="auto" w:fill="auto"/>
            <w:vAlign w:val="bottom"/>
          </w:tcPr>
          <w:p w14:paraId="7C208070" w14:textId="77777777" w:rsidR="00834A75" w:rsidRDefault="00834A75">
            <w:pPr>
              <w:rPr>
                <w:rFonts w:ascii="宋体"/>
                <w:vanish/>
              </w:rPr>
            </w:pPr>
          </w:p>
        </w:tc>
        <w:tc>
          <w:tcPr>
            <w:tcW w:w="0" w:type="auto"/>
            <w:gridSpan w:val="3"/>
            <w:shd w:val="clear" w:color="auto" w:fill="auto"/>
            <w:vAlign w:val="bottom"/>
          </w:tcPr>
          <w:p w14:paraId="7C208071" w14:textId="77777777" w:rsidR="00834A75" w:rsidRDefault="00834A75">
            <w:pPr>
              <w:rPr>
                <w:rFonts w:ascii="宋体"/>
                <w:vanish/>
              </w:rPr>
            </w:pPr>
          </w:p>
        </w:tc>
        <w:tc>
          <w:tcPr>
            <w:tcW w:w="0" w:type="auto"/>
            <w:gridSpan w:val="3"/>
            <w:shd w:val="clear" w:color="auto" w:fill="auto"/>
            <w:vAlign w:val="bottom"/>
          </w:tcPr>
          <w:p w14:paraId="7C208072" w14:textId="77777777" w:rsidR="00834A75" w:rsidRDefault="00834A75">
            <w:pPr>
              <w:rPr>
                <w:rFonts w:ascii="宋体"/>
                <w:vanish/>
              </w:rPr>
            </w:pPr>
          </w:p>
        </w:tc>
      </w:tr>
      <w:tr w:rsidR="00834A75" w14:paraId="7C20807C" w14:textId="77777777">
        <w:tc>
          <w:tcPr>
            <w:tcW w:w="0" w:type="auto"/>
            <w:gridSpan w:val="3"/>
            <w:shd w:val="clear" w:color="auto" w:fill="auto"/>
            <w:tcMar>
              <w:top w:w="0" w:type="dxa"/>
              <w:left w:w="20" w:type="dxa"/>
              <w:bottom w:w="0" w:type="dxa"/>
              <w:right w:w="20" w:type="dxa"/>
            </w:tcMar>
            <w:vAlign w:val="bottom"/>
          </w:tcPr>
          <w:p w14:paraId="7C208074" w14:textId="77777777" w:rsidR="00834A75" w:rsidRDefault="00834A75">
            <w:pPr>
              <w:rPr>
                <w:rFonts w:ascii="宋体"/>
              </w:rPr>
            </w:pPr>
          </w:p>
        </w:tc>
        <w:tc>
          <w:tcPr>
            <w:tcW w:w="0" w:type="auto"/>
            <w:gridSpan w:val="3"/>
            <w:shd w:val="clear" w:color="auto" w:fill="auto"/>
            <w:tcMar>
              <w:top w:w="40" w:type="dxa"/>
              <w:left w:w="20" w:type="dxa"/>
              <w:bottom w:w="40" w:type="dxa"/>
              <w:right w:w="20" w:type="dxa"/>
            </w:tcMar>
            <w:vAlign w:val="bottom"/>
          </w:tcPr>
          <w:p w14:paraId="7C208075" w14:textId="77777777" w:rsidR="00834A75" w:rsidRDefault="00A6708C">
            <w:pPr>
              <w:jc w:val="center"/>
              <w:textAlignment w:val="bottom"/>
            </w:pPr>
            <w:r>
              <w:rPr>
                <w:rFonts w:ascii="sans-serif" w:eastAsia="sans-serif" w:hAnsi="sans-serif" w:cs="sans-serif"/>
                <w:b/>
                <w:bCs/>
                <w:color w:val="000000"/>
                <w:sz w:val="20"/>
                <w:szCs w:val="20"/>
              </w:rPr>
              <w:t>2022</w:t>
            </w:r>
          </w:p>
        </w:tc>
        <w:tc>
          <w:tcPr>
            <w:tcW w:w="0" w:type="auto"/>
            <w:gridSpan w:val="3"/>
            <w:shd w:val="clear" w:color="auto" w:fill="auto"/>
            <w:tcMar>
              <w:top w:w="0" w:type="dxa"/>
              <w:left w:w="20" w:type="dxa"/>
              <w:bottom w:w="0" w:type="dxa"/>
              <w:right w:w="20" w:type="dxa"/>
            </w:tcMar>
            <w:vAlign w:val="bottom"/>
          </w:tcPr>
          <w:p w14:paraId="7C208076" w14:textId="77777777" w:rsidR="00834A75" w:rsidRDefault="00834A75">
            <w:pPr>
              <w:rPr>
                <w:rFonts w:ascii="宋体"/>
              </w:rPr>
            </w:pPr>
          </w:p>
        </w:tc>
        <w:tc>
          <w:tcPr>
            <w:tcW w:w="0" w:type="auto"/>
            <w:gridSpan w:val="3"/>
            <w:shd w:val="clear" w:color="auto" w:fill="auto"/>
            <w:tcMar>
              <w:top w:w="40" w:type="dxa"/>
              <w:left w:w="20" w:type="dxa"/>
              <w:bottom w:w="40" w:type="dxa"/>
              <w:right w:w="20" w:type="dxa"/>
            </w:tcMar>
            <w:vAlign w:val="bottom"/>
          </w:tcPr>
          <w:p w14:paraId="7C208077" w14:textId="77777777" w:rsidR="00834A75" w:rsidRDefault="00A6708C">
            <w:pPr>
              <w:jc w:val="center"/>
              <w:textAlignment w:val="bottom"/>
            </w:pPr>
            <w:r>
              <w:rPr>
                <w:rFonts w:ascii="sans-serif" w:eastAsia="sans-serif" w:hAnsi="sans-serif" w:cs="sans-serif"/>
                <w:b/>
                <w:bCs/>
                <w:color w:val="000000"/>
                <w:sz w:val="20"/>
                <w:szCs w:val="20"/>
              </w:rPr>
              <w:t>2021</w:t>
            </w:r>
          </w:p>
        </w:tc>
        <w:tc>
          <w:tcPr>
            <w:tcW w:w="0" w:type="auto"/>
            <w:gridSpan w:val="3"/>
            <w:shd w:val="clear" w:color="auto" w:fill="auto"/>
            <w:vAlign w:val="bottom"/>
          </w:tcPr>
          <w:p w14:paraId="7C208078" w14:textId="77777777" w:rsidR="00834A75" w:rsidRDefault="00834A75">
            <w:pPr>
              <w:rPr>
                <w:rFonts w:ascii="宋体"/>
                <w:vanish/>
              </w:rPr>
            </w:pPr>
          </w:p>
        </w:tc>
        <w:tc>
          <w:tcPr>
            <w:tcW w:w="0" w:type="auto"/>
            <w:gridSpan w:val="3"/>
            <w:shd w:val="clear" w:color="auto" w:fill="auto"/>
            <w:vAlign w:val="bottom"/>
          </w:tcPr>
          <w:p w14:paraId="7C208079" w14:textId="77777777" w:rsidR="00834A75" w:rsidRDefault="00834A75">
            <w:pPr>
              <w:rPr>
                <w:rFonts w:ascii="宋体"/>
                <w:vanish/>
              </w:rPr>
            </w:pPr>
          </w:p>
        </w:tc>
        <w:tc>
          <w:tcPr>
            <w:tcW w:w="0" w:type="auto"/>
            <w:gridSpan w:val="3"/>
            <w:shd w:val="clear" w:color="auto" w:fill="auto"/>
            <w:vAlign w:val="bottom"/>
          </w:tcPr>
          <w:p w14:paraId="7C20807A" w14:textId="77777777" w:rsidR="00834A75" w:rsidRDefault="00834A75">
            <w:pPr>
              <w:rPr>
                <w:rFonts w:ascii="宋体"/>
                <w:vanish/>
              </w:rPr>
            </w:pPr>
          </w:p>
        </w:tc>
        <w:tc>
          <w:tcPr>
            <w:tcW w:w="0" w:type="auto"/>
            <w:gridSpan w:val="3"/>
            <w:shd w:val="clear" w:color="auto" w:fill="auto"/>
            <w:vAlign w:val="bottom"/>
          </w:tcPr>
          <w:p w14:paraId="7C20807B" w14:textId="77777777" w:rsidR="00834A75" w:rsidRDefault="00834A75">
            <w:pPr>
              <w:rPr>
                <w:rFonts w:ascii="宋体"/>
                <w:vanish/>
              </w:rPr>
            </w:pPr>
          </w:p>
        </w:tc>
      </w:tr>
      <w:tr w:rsidR="00834A75" w14:paraId="7C208085" w14:textId="77777777">
        <w:trPr>
          <w:trHeight w:val="60"/>
        </w:trPr>
        <w:tc>
          <w:tcPr>
            <w:tcW w:w="0" w:type="auto"/>
            <w:gridSpan w:val="3"/>
            <w:shd w:val="clear" w:color="auto" w:fill="auto"/>
            <w:tcMar>
              <w:top w:w="0" w:type="dxa"/>
              <w:left w:w="20" w:type="dxa"/>
              <w:bottom w:w="0" w:type="dxa"/>
              <w:right w:w="20" w:type="dxa"/>
            </w:tcMar>
            <w:vAlign w:val="bottom"/>
          </w:tcPr>
          <w:p w14:paraId="7C20807D" w14:textId="77777777" w:rsidR="00834A75" w:rsidRDefault="00834A75">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C20807E" w14:textId="77777777" w:rsidR="00834A75" w:rsidRDefault="00834A75">
            <w:pPr>
              <w:rPr>
                <w:rFonts w:ascii="宋体"/>
              </w:rPr>
            </w:pPr>
          </w:p>
        </w:tc>
        <w:tc>
          <w:tcPr>
            <w:tcW w:w="0" w:type="auto"/>
            <w:gridSpan w:val="3"/>
            <w:shd w:val="clear" w:color="auto" w:fill="auto"/>
            <w:tcMar>
              <w:top w:w="0" w:type="dxa"/>
              <w:left w:w="20" w:type="dxa"/>
              <w:bottom w:w="0" w:type="dxa"/>
              <w:right w:w="20" w:type="dxa"/>
            </w:tcMar>
            <w:vAlign w:val="bottom"/>
          </w:tcPr>
          <w:p w14:paraId="7C20807F" w14:textId="77777777" w:rsidR="00834A75" w:rsidRDefault="00834A75">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C208080" w14:textId="77777777" w:rsidR="00834A75" w:rsidRDefault="00834A75">
            <w:pPr>
              <w:rPr>
                <w:rFonts w:ascii="宋体"/>
              </w:rPr>
            </w:pPr>
          </w:p>
        </w:tc>
        <w:tc>
          <w:tcPr>
            <w:tcW w:w="0" w:type="auto"/>
            <w:gridSpan w:val="3"/>
            <w:shd w:val="clear" w:color="auto" w:fill="auto"/>
            <w:vAlign w:val="bottom"/>
          </w:tcPr>
          <w:p w14:paraId="7C208081" w14:textId="77777777" w:rsidR="00834A75" w:rsidRDefault="00834A75">
            <w:pPr>
              <w:rPr>
                <w:rFonts w:ascii="宋体"/>
                <w:vanish/>
              </w:rPr>
            </w:pPr>
          </w:p>
        </w:tc>
        <w:tc>
          <w:tcPr>
            <w:tcW w:w="0" w:type="auto"/>
            <w:gridSpan w:val="3"/>
            <w:shd w:val="clear" w:color="auto" w:fill="auto"/>
            <w:vAlign w:val="bottom"/>
          </w:tcPr>
          <w:p w14:paraId="7C208082" w14:textId="77777777" w:rsidR="00834A75" w:rsidRDefault="00834A75">
            <w:pPr>
              <w:rPr>
                <w:rFonts w:ascii="宋体"/>
                <w:vanish/>
              </w:rPr>
            </w:pPr>
          </w:p>
        </w:tc>
        <w:tc>
          <w:tcPr>
            <w:tcW w:w="0" w:type="auto"/>
            <w:gridSpan w:val="3"/>
            <w:shd w:val="clear" w:color="auto" w:fill="auto"/>
            <w:vAlign w:val="bottom"/>
          </w:tcPr>
          <w:p w14:paraId="7C208083" w14:textId="77777777" w:rsidR="00834A75" w:rsidRDefault="00834A75">
            <w:pPr>
              <w:rPr>
                <w:rFonts w:ascii="宋体"/>
                <w:vanish/>
              </w:rPr>
            </w:pPr>
          </w:p>
        </w:tc>
        <w:tc>
          <w:tcPr>
            <w:tcW w:w="0" w:type="auto"/>
            <w:gridSpan w:val="3"/>
            <w:shd w:val="clear" w:color="auto" w:fill="auto"/>
            <w:vAlign w:val="bottom"/>
          </w:tcPr>
          <w:p w14:paraId="7C208084" w14:textId="77777777" w:rsidR="00834A75" w:rsidRDefault="00834A75">
            <w:pPr>
              <w:rPr>
                <w:rFonts w:ascii="宋体"/>
                <w:vanish/>
              </w:rPr>
            </w:pPr>
          </w:p>
        </w:tc>
      </w:tr>
      <w:tr w:rsidR="00834A75" w14:paraId="7C208094" w14:textId="77777777">
        <w:tc>
          <w:tcPr>
            <w:tcW w:w="0" w:type="auto"/>
            <w:gridSpan w:val="3"/>
            <w:shd w:val="clear" w:color="auto" w:fill="auto"/>
            <w:tcMar>
              <w:top w:w="40" w:type="dxa"/>
              <w:left w:w="20" w:type="dxa"/>
              <w:bottom w:w="40" w:type="dxa"/>
              <w:right w:w="20" w:type="dxa"/>
            </w:tcMar>
            <w:vAlign w:val="bottom"/>
          </w:tcPr>
          <w:p w14:paraId="7C208086" w14:textId="77777777" w:rsidR="00834A75" w:rsidRDefault="00A6708C">
            <w:pPr>
              <w:textAlignment w:val="bottom"/>
            </w:pPr>
            <w:r>
              <w:rPr>
                <w:rFonts w:ascii="sans-serif" w:eastAsia="sans-serif" w:hAnsi="sans-serif" w:cs="sans-serif"/>
                <w:color w:val="000000"/>
                <w:sz w:val="20"/>
                <w:szCs w:val="20"/>
              </w:rPr>
              <w:t> </w:t>
            </w:r>
          </w:p>
        </w:tc>
        <w:tc>
          <w:tcPr>
            <w:tcW w:w="0" w:type="auto"/>
            <w:gridSpan w:val="9"/>
            <w:shd w:val="clear" w:color="auto" w:fill="auto"/>
            <w:tcMar>
              <w:top w:w="40" w:type="dxa"/>
              <w:left w:w="20" w:type="dxa"/>
              <w:bottom w:w="40" w:type="dxa"/>
              <w:right w:w="20" w:type="dxa"/>
            </w:tcMar>
            <w:vAlign w:val="bottom"/>
          </w:tcPr>
          <w:p w14:paraId="7C208087" w14:textId="77777777" w:rsidR="00834A75" w:rsidRDefault="00A6708C">
            <w:pPr>
              <w:jc w:val="center"/>
              <w:textAlignment w:val="bottom"/>
            </w:pPr>
            <w:r>
              <w:rPr>
                <w:rFonts w:ascii="sans-serif" w:eastAsia="sans-serif" w:hAnsi="sans-serif" w:cs="sans-serif"/>
                <w:i/>
                <w:iCs/>
                <w:color w:val="000000"/>
                <w:sz w:val="20"/>
                <w:szCs w:val="20"/>
              </w:rPr>
              <w:t>(In millions, except per share data)</w:t>
            </w:r>
          </w:p>
        </w:tc>
        <w:tc>
          <w:tcPr>
            <w:tcW w:w="0" w:type="auto"/>
            <w:shd w:val="clear" w:color="auto" w:fill="auto"/>
            <w:vAlign w:val="bottom"/>
          </w:tcPr>
          <w:p w14:paraId="7C208088" w14:textId="77777777" w:rsidR="00834A75" w:rsidRDefault="00834A75">
            <w:pPr>
              <w:rPr>
                <w:rFonts w:ascii="宋体"/>
              </w:rPr>
            </w:pPr>
          </w:p>
        </w:tc>
        <w:tc>
          <w:tcPr>
            <w:tcW w:w="0" w:type="auto"/>
            <w:shd w:val="clear" w:color="auto" w:fill="auto"/>
            <w:vAlign w:val="bottom"/>
          </w:tcPr>
          <w:p w14:paraId="7C208089" w14:textId="77777777" w:rsidR="00834A75" w:rsidRDefault="00834A75">
            <w:pPr>
              <w:rPr>
                <w:rFonts w:ascii="宋体"/>
              </w:rPr>
            </w:pPr>
          </w:p>
        </w:tc>
        <w:tc>
          <w:tcPr>
            <w:tcW w:w="0" w:type="auto"/>
            <w:shd w:val="clear" w:color="auto" w:fill="auto"/>
            <w:vAlign w:val="bottom"/>
          </w:tcPr>
          <w:p w14:paraId="7C20808A" w14:textId="77777777" w:rsidR="00834A75" w:rsidRDefault="00834A75">
            <w:pPr>
              <w:rPr>
                <w:rFonts w:ascii="宋体"/>
              </w:rPr>
            </w:pPr>
          </w:p>
        </w:tc>
        <w:tc>
          <w:tcPr>
            <w:tcW w:w="0" w:type="auto"/>
            <w:shd w:val="clear" w:color="auto" w:fill="auto"/>
            <w:vAlign w:val="bottom"/>
          </w:tcPr>
          <w:p w14:paraId="7C20808B" w14:textId="77777777" w:rsidR="00834A75" w:rsidRDefault="00834A75">
            <w:pPr>
              <w:rPr>
                <w:rFonts w:ascii="宋体"/>
              </w:rPr>
            </w:pPr>
          </w:p>
        </w:tc>
        <w:tc>
          <w:tcPr>
            <w:tcW w:w="0" w:type="auto"/>
            <w:shd w:val="clear" w:color="auto" w:fill="auto"/>
            <w:vAlign w:val="bottom"/>
          </w:tcPr>
          <w:p w14:paraId="7C20808C" w14:textId="77777777" w:rsidR="00834A75" w:rsidRDefault="00834A75">
            <w:pPr>
              <w:rPr>
                <w:rFonts w:ascii="宋体"/>
              </w:rPr>
            </w:pPr>
          </w:p>
        </w:tc>
        <w:tc>
          <w:tcPr>
            <w:tcW w:w="0" w:type="auto"/>
            <w:shd w:val="clear" w:color="auto" w:fill="auto"/>
            <w:vAlign w:val="bottom"/>
          </w:tcPr>
          <w:p w14:paraId="7C20808D" w14:textId="77777777" w:rsidR="00834A75" w:rsidRDefault="00834A75">
            <w:pPr>
              <w:rPr>
                <w:rFonts w:ascii="宋体"/>
              </w:rPr>
            </w:pPr>
          </w:p>
        </w:tc>
        <w:tc>
          <w:tcPr>
            <w:tcW w:w="0" w:type="auto"/>
            <w:shd w:val="clear" w:color="auto" w:fill="auto"/>
            <w:vAlign w:val="bottom"/>
          </w:tcPr>
          <w:p w14:paraId="7C20808E" w14:textId="77777777" w:rsidR="00834A75" w:rsidRDefault="00834A75">
            <w:pPr>
              <w:rPr>
                <w:rFonts w:ascii="宋体"/>
              </w:rPr>
            </w:pPr>
          </w:p>
        </w:tc>
        <w:tc>
          <w:tcPr>
            <w:tcW w:w="0" w:type="auto"/>
            <w:shd w:val="clear" w:color="auto" w:fill="auto"/>
            <w:vAlign w:val="bottom"/>
          </w:tcPr>
          <w:p w14:paraId="7C20808F" w14:textId="77777777" w:rsidR="00834A75" w:rsidRDefault="00834A75">
            <w:pPr>
              <w:rPr>
                <w:rFonts w:ascii="宋体"/>
              </w:rPr>
            </w:pPr>
          </w:p>
        </w:tc>
        <w:tc>
          <w:tcPr>
            <w:tcW w:w="0" w:type="auto"/>
            <w:shd w:val="clear" w:color="auto" w:fill="auto"/>
            <w:vAlign w:val="bottom"/>
          </w:tcPr>
          <w:p w14:paraId="7C208090" w14:textId="77777777" w:rsidR="00834A75" w:rsidRDefault="00834A75">
            <w:pPr>
              <w:rPr>
                <w:rFonts w:ascii="宋体"/>
              </w:rPr>
            </w:pPr>
          </w:p>
        </w:tc>
        <w:tc>
          <w:tcPr>
            <w:tcW w:w="0" w:type="auto"/>
            <w:shd w:val="clear" w:color="auto" w:fill="auto"/>
            <w:vAlign w:val="bottom"/>
          </w:tcPr>
          <w:p w14:paraId="7C208091" w14:textId="77777777" w:rsidR="00834A75" w:rsidRDefault="00834A75">
            <w:pPr>
              <w:rPr>
                <w:rFonts w:ascii="宋体"/>
              </w:rPr>
            </w:pPr>
          </w:p>
        </w:tc>
        <w:tc>
          <w:tcPr>
            <w:tcW w:w="0" w:type="auto"/>
            <w:shd w:val="clear" w:color="auto" w:fill="auto"/>
            <w:vAlign w:val="bottom"/>
          </w:tcPr>
          <w:p w14:paraId="7C208092" w14:textId="77777777" w:rsidR="00834A75" w:rsidRDefault="00834A75">
            <w:pPr>
              <w:rPr>
                <w:rFonts w:ascii="宋体"/>
              </w:rPr>
            </w:pPr>
          </w:p>
        </w:tc>
        <w:tc>
          <w:tcPr>
            <w:tcW w:w="0" w:type="auto"/>
            <w:shd w:val="clear" w:color="auto" w:fill="auto"/>
            <w:vAlign w:val="bottom"/>
          </w:tcPr>
          <w:p w14:paraId="7C208093" w14:textId="77777777" w:rsidR="00834A75" w:rsidRDefault="00834A75">
            <w:pPr>
              <w:rPr>
                <w:rFonts w:ascii="宋体"/>
              </w:rPr>
            </w:pPr>
          </w:p>
        </w:tc>
      </w:tr>
      <w:tr w:rsidR="00834A75" w14:paraId="7C20809D" w14:textId="77777777">
        <w:tc>
          <w:tcPr>
            <w:tcW w:w="0" w:type="auto"/>
            <w:gridSpan w:val="3"/>
            <w:shd w:val="clear" w:color="auto" w:fill="E2EFD9"/>
            <w:tcMar>
              <w:top w:w="40" w:type="dxa"/>
              <w:left w:w="20" w:type="dxa"/>
              <w:bottom w:w="40" w:type="dxa"/>
              <w:right w:w="20" w:type="dxa"/>
            </w:tcMar>
            <w:vAlign w:val="bottom"/>
          </w:tcPr>
          <w:p w14:paraId="7C208095" w14:textId="77777777" w:rsidR="00834A75" w:rsidRDefault="00A6708C">
            <w:pPr>
              <w:textAlignment w:val="bottom"/>
            </w:pPr>
            <w:r>
              <w:rPr>
                <w:rFonts w:ascii="sans-serif" w:eastAsia="sans-serif" w:hAnsi="sans-serif" w:cs="sans-serif"/>
                <w:color w:val="000000"/>
                <w:sz w:val="20"/>
                <w:szCs w:val="20"/>
              </w:rPr>
              <w:t>Numerator:</w:t>
            </w:r>
          </w:p>
        </w:tc>
        <w:tc>
          <w:tcPr>
            <w:tcW w:w="0" w:type="auto"/>
            <w:gridSpan w:val="3"/>
            <w:shd w:val="clear" w:color="auto" w:fill="E2EFD9"/>
            <w:tcMar>
              <w:top w:w="40" w:type="dxa"/>
              <w:left w:w="20" w:type="dxa"/>
              <w:bottom w:w="40" w:type="dxa"/>
              <w:right w:w="20" w:type="dxa"/>
            </w:tcMar>
            <w:vAlign w:val="bottom"/>
          </w:tcPr>
          <w:p w14:paraId="7C208096" w14:textId="77777777" w:rsidR="00834A75" w:rsidRDefault="00A6708C">
            <w:pPr>
              <w:textAlignment w:val="bottom"/>
            </w:pPr>
            <w:r>
              <w:rPr>
                <w:rFonts w:ascii="sans-serif" w:eastAsia="sans-serif" w:hAnsi="sans-serif" w:cs="sans-serif"/>
                <w:color w:val="000000"/>
                <w:sz w:val="20"/>
                <w:szCs w:val="20"/>
              </w:rPr>
              <w:t> </w:t>
            </w:r>
          </w:p>
        </w:tc>
        <w:tc>
          <w:tcPr>
            <w:tcW w:w="0" w:type="auto"/>
            <w:gridSpan w:val="3"/>
            <w:shd w:val="clear" w:color="auto" w:fill="E2EFD9"/>
            <w:tcMar>
              <w:top w:w="0" w:type="dxa"/>
              <w:left w:w="20" w:type="dxa"/>
              <w:bottom w:w="0" w:type="dxa"/>
              <w:right w:w="20" w:type="dxa"/>
            </w:tcMar>
            <w:vAlign w:val="bottom"/>
          </w:tcPr>
          <w:p w14:paraId="7C208097" w14:textId="77777777" w:rsidR="00834A75" w:rsidRDefault="00834A75">
            <w:pPr>
              <w:rPr>
                <w:rFonts w:ascii="宋体"/>
              </w:rPr>
            </w:pPr>
          </w:p>
        </w:tc>
        <w:tc>
          <w:tcPr>
            <w:tcW w:w="0" w:type="auto"/>
            <w:gridSpan w:val="3"/>
            <w:shd w:val="clear" w:color="auto" w:fill="E2EFD9"/>
            <w:tcMar>
              <w:top w:w="40" w:type="dxa"/>
              <w:left w:w="20" w:type="dxa"/>
              <w:bottom w:w="40" w:type="dxa"/>
              <w:right w:w="20" w:type="dxa"/>
            </w:tcMar>
            <w:vAlign w:val="bottom"/>
          </w:tcPr>
          <w:p w14:paraId="7C208098" w14:textId="77777777" w:rsidR="00834A75" w:rsidRDefault="00A6708C">
            <w:pPr>
              <w:textAlignment w:val="bottom"/>
            </w:pPr>
            <w:r>
              <w:rPr>
                <w:rFonts w:ascii="sans-serif" w:eastAsia="sans-serif" w:hAnsi="sans-serif" w:cs="sans-serif"/>
                <w:color w:val="000000"/>
                <w:sz w:val="20"/>
                <w:szCs w:val="20"/>
              </w:rPr>
              <w:t> </w:t>
            </w:r>
          </w:p>
        </w:tc>
        <w:tc>
          <w:tcPr>
            <w:tcW w:w="0" w:type="auto"/>
            <w:gridSpan w:val="3"/>
            <w:shd w:val="clear" w:color="auto" w:fill="auto"/>
            <w:vAlign w:val="bottom"/>
          </w:tcPr>
          <w:p w14:paraId="7C208099" w14:textId="77777777" w:rsidR="00834A75" w:rsidRDefault="00834A75">
            <w:pPr>
              <w:rPr>
                <w:rFonts w:ascii="宋体"/>
                <w:vanish/>
              </w:rPr>
            </w:pPr>
          </w:p>
        </w:tc>
        <w:tc>
          <w:tcPr>
            <w:tcW w:w="0" w:type="auto"/>
            <w:gridSpan w:val="3"/>
            <w:shd w:val="clear" w:color="auto" w:fill="auto"/>
            <w:vAlign w:val="bottom"/>
          </w:tcPr>
          <w:p w14:paraId="7C20809A" w14:textId="77777777" w:rsidR="00834A75" w:rsidRDefault="00834A75">
            <w:pPr>
              <w:rPr>
                <w:rFonts w:ascii="宋体"/>
                <w:vanish/>
              </w:rPr>
            </w:pPr>
          </w:p>
        </w:tc>
        <w:tc>
          <w:tcPr>
            <w:tcW w:w="0" w:type="auto"/>
            <w:gridSpan w:val="3"/>
            <w:shd w:val="clear" w:color="auto" w:fill="auto"/>
            <w:vAlign w:val="bottom"/>
          </w:tcPr>
          <w:p w14:paraId="7C20809B" w14:textId="77777777" w:rsidR="00834A75" w:rsidRDefault="00834A75">
            <w:pPr>
              <w:rPr>
                <w:rFonts w:ascii="宋体"/>
                <w:vanish/>
              </w:rPr>
            </w:pPr>
          </w:p>
        </w:tc>
        <w:tc>
          <w:tcPr>
            <w:tcW w:w="0" w:type="auto"/>
            <w:gridSpan w:val="3"/>
            <w:shd w:val="clear" w:color="auto" w:fill="auto"/>
            <w:vAlign w:val="bottom"/>
          </w:tcPr>
          <w:p w14:paraId="7C20809C" w14:textId="77777777" w:rsidR="00834A75" w:rsidRDefault="00834A75">
            <w:pPr>
              <w:rPr>
                <w:rFonts w:ascii="宋体"/>
                <w:vanish/>
              </w:rPr>
            </w:pPr>
          </w:p>
        </w:tc>
      </w:tr>
      <w:tr w:rsidR="00834A75" w14:paraId="7C2080AA" w14:textId="77777777">
        <w:tc>
          <w:tcPr>
            <w:tcW w:w="0" w:type="auto"/>
            <w:gridSpan w:val="3"/>
            <w:shd w:val="clear" w:color="auto" w:fill="FFFFFF"/>
            <w:tcMar>
              <w:top w:w="40" w:type="dxa"/>
              <w:left w:w="20" w:type="dxa"/>
              <w:bottom w:w="40" w:type="dxa"/>
              <w:right w:w="20" w:type="dxa"/>
            </w:tcMar>
            <w:vAlign w:val="bottom"/>
          </w:tcPr>
          <w:p w14:paraId="7C20809E" w14:textId="77777777" w:rsidR="00834A75" w:rsidRDefault="00A6708C">
            <w:pPr>
              <w:ind w:firstLine="180"/>
              <w:textAlignment w:val="bottom"/>
            </w:pPr>
            <w:r>
              <w:rPr>
                <w:rFonts w:ascii="sans-serif" w:eastAsia="sans-serif" w:hAnsi="sans-serif" w:cs="sans-serif"/>
                <w:color w:val="000000"/>
                <w:sz w:val="20"/>
                <w:szCs w:val="20"/>
              </w:rPr>
              <w:t>Net income</w:t>
            </w:r>
          </w:p>
        </w:tc>
        <w:tc>
          <w:tcPr>
            <w:tcW w:w="0" w:type="auto"/>
            <w:shd w:val="clear" w:color="auto" w:fill="FFFFFF"/>
            <w:tcMar>
              <w:top w:w="40" w:type="dxa"/>
              <w:left w:w="20" w:type="dxa"/>
              <w:bottom w:w="40" w:type="dxa"/>
              <w:right w:w="0" w:type="dxa"/>
            </w:tcMar>
            <w:vAlign w:val="bottom"/>
          </w:tcPr>
          <w:p w14:paraId="7C20809F" w14:textId="77777777" w:rsidR="00834A75" w:rsidRDefault="00A6708C">
            <w:pPr>
              <w:textAlignment w:val="bottom"/>
            </w:pPr>
            <w:r>
              <w:rPr>
                <w:rFonts w:ascii="sans-serif" w:eastAsia="sans-serif" w:hAnsi="sans-serif" w:cs="sans-serif"/>
                <w:color w:val="000000"/>
                <w:sz w:val="20"/>
                <w:szCs w:val="20"/>
              </w:rPr>
              <w:t>$</w:t>
            </w:r>
          </w:p>
        </w:tc>
        <w:tc>
          <w:tcPr>
            <w:tcW w:w="0" w:type="auto"/>
            <w:shd w:val="clear" w:color="auto" w:fill="FFFFFF"/>
            <w:tcMar>
              <w:top w:w="40" w:type="dxa"/>
              <w:left w:w="0" w:type="dxa"/>
              <w:bottom w:w="40" w:type="dxa"/>
              <w:right w:w="0" w:type="dxa"/>
            </w:tcMar>
            <w:vAlign w:val="bottom"/>
          </w:tcPr>
          <w:p w14:paraId="7C2080A0" w14:textId="77777777" w:rsidR="00834A75" w:rsidRDefault="00A6708C">
            <w:pPr>
              <w:jc w:val="right"/>
              <w:textAlignment w:val="bottom"/>
            </w:pPr>
            <w:r>
              <w:rPr>
                <w:rFonts w:ascii="sans-serif" w:eastAsia="sans-serif" w:hAnsi="sans-serif" w:cs="sans-serif"/>
                <w:color w:val="000000"/>
                <w:sz w:val="20"/>
                <w:szCs w:val="20"/>
              </w:rPr>
              <w:t>1,618 </w:t>
            </w:r>
          </w:p>
        </w:tc>
        <w:tc>
          <w:tcPr>
            <w:tcW w:w="0" w:type="auto"/>
            <w:shd w:val="clear" w:color="auto" w:fill="FFFFFF"/>
            <w:tcMar>
              <w:top w:w="40" w:type="dxa"/>
              <w:left w:w="0" w:type="dxa"/>
              <w:bottom w:w="40" w:type="dxa"/>
              <w:right w:w="20" w:type="dxa"/>
            </w:tcMar>
            <w:vAlign w:val="bottom"/>
          </w:tcPr>
          <w:p w14:paraId="7C2080A1" w14:textId="77777777" w:rsidR="00834A75" w:rsidRDefault="00834A75">
            <w:pPr>
              <w:jc w:val="right"/>
              <w:rPr>
                <w:rFonts w:ascii="宋体"/>
              </w:rPr>
            </w:pPr>
          </w:p>
        </w:tc>
        <w:tc>
          <w:tcPr>
            <w:tcW w:w="0" w:type="auto"/>
            <w:gridSpan w:val="3"/>
            <w:shd w:val="clear" w:color="auto" w:fill="FFFFFF"/>
            <w:tcMar>
              <w:top w:w="0" w:type="dxa"/>
              <w:left w:w="20" w:type="dxa"/>
              <w:bottom w:w="0" w:type="dxa"/>
              <w:right w:w="20" w:type="dxa"/>
            </w:tcMar>
            <w:vAlign w:val="bottom"/>
          </w:tcPr>
          <w:p w14:paraId="7C2080A2" w14:textId="77777777" w:rsidR="00834A75" w:rsidRDefault="00834A75">
            <w:pPr>
              <w:rPr>
                <w:rFonts w:ascii="宋体"/>
              </w:rPr>
            </w:pPr>
          </w:p>
        </w:tc>
        <w:tc>
          <w:tcPr>
            <w:tcW w:w="0" w:type="auto"/>
            <w:shd w:val="clear" w:color="auto" w:fill="FFFFFF"/>
            <w:tcMar>
              <w:top w:w="40" w:type="dxa"/>
              <w:left w:w="20" w:type="dxa"/>
              <w:bottom w:w="40" w:type="dxa"/>
              <w:right w:w="0" w:type="dxa"/>
            </w:tcMar>
            <w:vAlign w:val="bottom"/>
          </w:tcPr>
          <w:p w14:paraId="7C2080A3" w14:textId="77777777" w:rsidR="00834A75" w:rsidRDefault="00A6708C">
            <w:pPr>
              <w:textAlignment w:val="bottom"/>
            </w:pPr>
            <w:r>
              <w:rPr>
                <w:rFonts w:ascii="sans-serif" w:eastAsia="sans-serif" w:hAnsi="sans-serif" w:cs="sans-serif"/>
                <w:color w:val="000000"/>
                <w:sz w:val="20"/>
                <w:szCs w:val="20"/>
              </w:rPr>
              <w:t>$</w:t>
            </w:r>
          </w:p>
        </w:tc>
        <w:tc>
          <w:tcPr>
            <w:tcW w:w="0" w:type="auto"/>
            <w:shd w:val="clear" w:color="auto" w:fill="FFFFFF"/>
            <w:tcMar>
              <w:top w:w="40" w:type="dxa"/>
              <w:left w:w="0" w:type="dxa"/>
              <w:bottom w:w="40" w:type="dxa"/>
              <w:right w:w="0" w:type="dxa"/>
            </w:tcMar>
            <w:vAlign w:val="bottom"/>
          </w:tcPr>
          <w:p w14:paraId="7C2080A4" w14:textId="77777777" w:rsidR="00834A75" w:rsidRDefault="00A6708C">
            <w:pPr>
              <w:jc w:val="right"/>
              <w:textAlignment w:val="bottom"/>
            </w:pPr>
            <w:r>
              <w:rPr>
                <w:rFonts w:ascii="sans-serif" w:eastAsia="sans-serif" w:hAnsi="sans-serif" w:cs="sans-serif"/>
                <w:color w:val="000000"/>
                <w:sz w:val="20"/>
                <w:szCs w:val="20"/>
              </w:rPr>
              <w:t>1,912 </w:t>
            </w:r>
          </w:p>
        </w:tc>
        <w:tc>
          <w:tcPr>
            <w:tcW w:w="0" w:type="auto"/>
            <w:shd w:val="clear" w:color="auto" w:fill="FFFFFF"/>
            <w:tcMar>
              <w:top w:w="40" w:type="dxa"/>
              <w:left w:w="0" w:type="dxa"/>
              <w:bottom w:w="40" w:type="dxa"/>
              <w:right w:w="20" w:type="dxa"/>
            </w:tcMar>
            <w:vAlign w:val="bottom"/>
          </w:tcPr>
          <w:p w14:paraId="7C2080A5" w14:textId="77777777" w:rsidR="00834A75" w:rsidRDefault="00834A75">
            <w:pPr>
              <w:jc w:val="right"/>
              <w:rPr>
                <w:rFonts w:ascii="宋体"/>
              </w:rPr>
            </w:pPr>
          </w:p>
        </w:tc>
        <w:tc>
          <w:tcPr>
            <w:tcW w:w="0" w:type="auto"/>
            <w:gridSpan w:val="3"/>
            <w:shd w:val="clear" w:color="auto" w:fill="auto"/>
            <w:vAlign w:val="bottom"/>
          </w:tcPr>
          <w:p w14:paraId="7C2080A6" w14:textId="77777777" w:rsidR="00834A75" w:rsidRDefault="00834A75">
            <w:pPr>
              <w:rPr>
                <w:rFonts w:ascii="宋体"/>
                <w:vanish/>
              </w:rPr>
            </w:pPr>
          </w:p>
        </w:tc>
        <w:tc>
          <w:tcPr>
            <w:tcW w:w="0" w:type="auto"/>
            <w:gridSpan w:val="3"/>
            <w:shd w:val="clear" w:color="auto" w:fill="auto"/>
            <w:vAlign w:val="bottom"/>
          </w:tcPr>
          <w:p w14:paraId="7C2080A7" w14:textId="77777777" w:rsidR="00834A75" w:rsidRDefault="00834A75">
            <w:pPr>
              <w:rPr>
                <w:rFonts w:ascii="宋体"/>
                <w:vanish/>
              </w:rPr>
            </w:pPr>
          </w:p>
        </w:tc>
        <w:tc>
          <w:tcPr>
            <w:tcW w:w="0" w:type="auto"/>
            <w:gridSpan w:val="3"/>
            <w:shd w:val="clear" w:color="auto" w:fill="auto"/>
            <w:vAlign w:val="bottom"/>
          </w:tcPr>
          <w:p w14:paraId="7C2080A8" w14:textId="77777777" w:rsidR="00834A75" w:rsidRDefault="00834A75">
            <w:pPr>
              <w:rPr>
                <w:rFonts w:ascii="宋体"/>
                <w:vanish/>
              </w:rPr>
            </w:pPr>
          </w:p>
        </w:tc>
        <w:tc>
          <w:tcPr>
            <w:tcW w:w="0" w:type="auto"/>
            <w:gridSpan w:val="3"/>
            <w:shd w:val="clear" w:color="auto" w:fill="auto"/>
            <w:vAlign w:val="bottom"/>
          </w:tcPr>
          <w:p w14:paraId="7C2080A9" w14:textId="77777777" w:rsidR="00834A75" w:rsidRDefault="00834A75">
            <w:pPr>
              <w:rPr>
                <w:rFonts w:ascii="宋体"/>
                <w:vanish/>
              </w:rPr>
            </w:pPr>
          </w:p>
        </w:tc>
      </w:tr>
      <w:tr w:rsidR="00834A75" w14:paraId="7C2080B3" w14:textId="77777777">
        <w:tc>
          <w:tcPr>
            <w:tcW w:w="0" w:type="auto"/>
            <w:gridSpan w:val="3"/>
            <w:shd w:val="clear" w:color="auto" w:fill="E2EFD9"/>
            <w:tcMar>
              <w:top w:w="40" w:type="dxa"/>
              <w:left w:w="20" w:type="dxa"/>
              <w:bottom w:w="40" w:type="dxa"/>
              <w:right w:w="20" w:type="dxa"/>
            </w:tcMar>
            <w:vAlign w:val="bottom"/>
          </w:tcPr>
          <w:p w14:paraId="7C2080AB" w14:textId="77777777" w:rsidR="00834A75" w:rsidRDefault="00A6708C">
            <w:pPr>
              <w:textAlignment w:val="bottom"/>
            </w:pPr>
            <w:r>
              <w:rPr>
                <w:rFonts w:ascii="sans-serif" w:eastAsia="sans-serif" w:hAnsi="sans-serif" w:cs="sans-serif"/>
                <w:color w:val="000000"/>
                <w:sz w:val="20"/>
                <w:szCs w:val="20"/>
              </w:rPr>
              <w:t>Denominator:</w:t>
            </w:r>
          </w:p>
        </w:tc>
        <w:tc>
          <w:tcPr>
            <w:tcW w:w="0" w:type="auto"/>
            <w:gridSpan w:val="3"/>
            <w:tcBorders>
              <w:top w:val="double" w:sz="6" w:space="0" w:color="000000"/>
            </w:tcBorders>
            <w:shd w:val="clear" w:color="auto" w:fill="E2EFD9"/>
            <w:tcMar>
              <w:top w:w="0" w:type="dxa"/>
              <w:left w:w="20" w:type="dxa"/>
              <w:bottom w:w="0" w:type="dxa"/>
              <w:right w:w="20" w:type="dxa"/>
            </w:tcMar>
            <w:vAlign w:val="bottom"/>
          </w:tcPr>
          <w:p w14:paraId="7C2080AC" w14:textId="77777777" w:rsidR="00834A75" w:rsidRDefault="00834A75">
            <w:pPr>
              <w:rPr>
                <w:rFonts w:ascii="宋体"/>
              </w:rPr>
            </w:pPr>
          </w:p>
        </w:tc>
        <w:tc>
          <w:tcPr>
            <w:tcW w:w="0" w:type="auto"/>
            <w:gridSpan w:val="3"/>
            <w:shd w:val="clear" w:color="auto" w:fill="E2EFD9"/>
            <w:tcMar>
              <w:top w:w="0" w:type="dxa"/>
              <w:left w:w="20" w:type="dxa"/>
              <w:bottom w:w="0" w:type="dxa"/>
              <w:right w:w="20" w:type="dxa"/>
            </w:tcMar>
            <w:vAlign w:val="bottom"/>
          </w:tcPr>
          <w:p w14:paraId="7C2080AD" w14:textId="77777777" w:rsidR="00834A75" w:rsidRDefault="00834A75">
            <w:pPr>
              <w:rPr>
                <w:rFonts w:ascii="宋体"/>
              </w:rPr>
            </w:pPr>
          </w:p>
        </w:tc>
        <w:tc>
          <w:tcPr>
            <w:tcW w:w="0" w:type="auto"/>
            <w:gridSpan w:val="3"/>
            <w:tcBorders>
              <w:top w:val="double" w:sz="6" w:space="0" w:color="000000"/>
            </w:tcBorders>
            <w:shd w:val="clear" w:color="auto" w:fill="E2EFD9"/>
            <w:tcMar>
              <w:top w:w="0" w:type="dxa"/>
              <w:left w:w="20" w:type="dxa"/>
              <w:bottom w:w="0" w:type="dxa"/>
              <w:right w:w="20" w:type="dxa"/>
            </w:tcMar>
            <w:vAlign w:val="bottom"/>
          </w:tcPr>
          <w:p w14:paraId="7C2080AE" w14:textId="77777777" w:rsidR="00834A75" w:rsidRDefault="00834A75">
            <w:pPr>
              <w:rPr>
                <w:rFonts w:ascii="宋体"/>
              </w:rPr>
            </w:pPr>
          </w:p>
        </w:tc>
        <w:tc>
          <w:tcPr>
            <w:tcW w:w="0" w:type="auto"/>
            <w:gridSpan w:val="3"/>
            <w:shd w:val="clear" w:color="auto" w:fill="auto"/>
            <w:vAlign w:val="bottom"/>
          </w:tcPr>
          <w:p w14:paraId="7C2080AF" w14:textId="77777777" w:rsidR="00834A75" w:rsidRDefault="00834A75">
            <w:pPr>
              <w:rPr>
                <w:rFonts w:ascii="宋体"/>
                <w:vanish/>
              </w:rPr>
            </w:pPr>
          </w:p>
        </w:tc>
        <w:tc>
          <w:tcPr>
            <w:tcW w:w="0" w:type="auto"/>
            <w:gridSpan w:val="3"/>
            <w:shd w:val="clear" w:color="auto" w:fill="auto"/>
            <w:vAlign w:val="bottom"/>
          </w:tcPr>
          <w:p w14:paraId="7C2080B0" w14:textId="77777777" w:rsidR="00834A75" w:rsidRDefault="00834A75">
            <w:pPr>
              <w:rPr>
                <w:rFonts w:ascii="宋体"/>
                <w:vanish/>
              </w:rPr>
            </w:pPr>
          </w:p>
        </w:tc>
        <w:tc>
          <w:tcPr>
            <w:tcW w:w="0" w:type="auto"/>
            <w:gridSpan w:val="3"/>
            <w:shd w:val="clear" w:color="auto" w:fill="auto"/>
            <w:vAlign w:val="bottom"/>
          </w:tcPr>
          <w:p w14:paraId="7C2080B1" w14:textId="77777777" w:rsidR="00834A75" w:rsidRDefault="00834A75">
            <w:pPr>
              <w:rPr>
                <w:rFonts w:ascii="宋体"/>
                <w:vanish/>
              </w:rPr>
            </w:pPr>
          </w:p>
        </w:tc>
        <w:tc>
          <w:tcPr>
            <w:tcW w:w="0" w:type="auto"/>
            <w:gridSpan w:val="3"/>
            <w:shd w:val="clear" w:color="auto" w:fill="auto"/>
            <w:vAlign w:val="bottom"/>
          </w:tcPr>
          <w:p w14:paraId="7C2080B2" w14:textId="77777777" w:rsidR="00834A75" w:rsidRDefault="00834A75">
            <w:pPr>
              <w:rPr>
                <w:rFonts w:ascii="宋体"/>
                <w:vanish/>
              </w:rPr>
            </w:pPr>
          </w:p>
        </w:tc>
      </w:tr>
      <w:tr w:rsidR="00834A75" w14:paraId="7C2080BE" w14:textId="77777777">
        <w:tc>
          <w:tcPr>
            <w:tcW w:w="0" w:type="auto"/>
            <w:gridSpan w:val="3"/>
            <w:shd w:val="clear" w:color="auto" w:fill="FFFFFF"/>
            <w:tcMar>
              <w:top w:w="40" w:type="dxa"/>
              <w:left w:w="20" w:type="dxa"/>
              <w:bottom w:w="40" w:type="dxa"/>
              <w:right w:w="20" w:type="dxa"/>
            </w:tcMar>
            <w:vAlign w:val="bottom"/>
          </w:tcPr>
          <w:p w14:paraId="7C2080B4" w14:textId="77777777" w:rsidR="00834A75" w:rsidRDefault="00A6708C">
            <w:pPr>
              <w:ind w:firstLine="180"/>
              <w:textAlignment w:val="bottom"/>
            </w:pPr>
            <w:r>
              <w:rPr>
                <w:rFonts w:ascii="sans-serif" w:eastAsia="sans-serif" w:hAnsi="sans-serif" w:cs="sans-serif"/>
                <w:color w:val="000000"/>
                <w:sz w:val="20"/>
                <w:szCs w:val="20"/>
              </w:rPr>
              <w:t>Basic weighted average shares</w:t>
            </w:r>
          </w:p>
        </w:tc>
        <w:tc>
          <w:tcPr>
            <w:tcW w:w="0" w:type="auto"/>
            <w:gridSpan w:val="2"/>
            <w:shd w:val="clear" w:color="auto" w:fill="FFFFFF"/>
            <w:tcMar>
              <w:top w:w="40" w:type="dxa"/>
              <w:left w:w="20" w:type="dxa"/>
              <w:bottom w:w="40" w:type="dxa"/>
              <w:right w:w="0" w:type="dxa"/>
            </w:tcMar>
            <w:vAlign w:val="bottom"/>
          </w:tcPr>
          <w:p w14:paraId="7C2080B5" w14:textId="77777777" w:rsidR="00834A75" w:rsidRDefault="00A6708C">
            <w:pPr>
              <w:jc w:val="right"/>
              <w:textAlignment w:val="bottom"/>
            </w:pPr>
            <w:r>
              <w:rPr>
                <w:rFonts w:ascii="sans-serif" w:eastAsia="sans-serif" w:hAnsi="sans-serif" w:cs="sans-serif"/>
                <w:color w:val="000000"/>
                <w:sz w:val="20"/>
                <w:szCs w:val="20"/>
              </w:rPr>
              <w:t>2,506 </w:t>
            </w:r>
          </w:p>
        </w:tc>
        <w:tc>
          <w:tcPr>
            <w:tcW w:w="0" w:type="auto"/>
            <w:shd w:val="clear" w:color="auto" w:fill="FFFFFF"/>
            <w:tcMar>
              <w:top w:w="40" w:type="dxa"/>
              <w:left w:w="0" w:type="dxa"/>
              <w:bottom w:w="40" w:type="dxa"/>
              <w:right w:w="20" w:type="dxa"/>
            </w:tcMar>
            <w:vAlign w:val="bottom"/>
          </w:tcPr>
          <w:p w14:paraId="7C2080B6" w14:textId="77777777" w:rsidR="00834A75" w:rsidRDefault="00834A75">
            <w:pPr>
              <w:jc w:val="right"/>
              <w:rPr>
                <w:rFonts w:ascii="宋体"/>
              </w:rPr>
            </w:pPr>
          </w:p>
        </w:tc>
        <w:tc>
          <w:tcPr>
            <w:tcW w:w="0" w:type="auto"/>
            <w:gridSpan w:val="3"/>
            <w:shd w:val="clear" w:color="auto" w:fill="FFFFFF"/>
            <w:tcMar>
              <w:top w:w="0" w:type="dxa"/>
              <w:left w:w="20" w:type="dxa"/>
              <w:bottom w:w="0" w:type="dxa"/>
              <w:right w:w="20" w:type="dxa"/>
            </w:tcMar>
            <w:vAlign w:val="bottom"/>
          </w:tcPr>
          <w:p w14:paraId="7C2080B7" w14:textId="77777777" w:rsidR="00834A75" w:rsidRDefault="00834A75">
            <w:pPr>
              <w:rPr>
                <w:rFonts w:ascii="宋体"/>
              </w:rPr>
            </w:pPr>
          </w:p>
        </w:tc>
        <w:tc>
          <w:tcPr>
            <w:tcW w:w="0" w:type="auto"/>
            <w:gridSpan w:val="2"/>
            <w:shd w:val="clear" w:color="auto" w:fill="FFFFFF"/>
            <w:tcMar>
              <w:top w:w="40" w:type="dxa"/>
              <w:left w:w="20" w:type="dxa"/>
              <w:bottom w:w="40" w:type="dxa"/>
              <w:right w:w="0" w:type="dxa"/>
            </w:tcMar>
            <w:vAlign w:val="bottom"/>
          </w:tcPr>
          <w:p w14:paraId="7C2080B8" w14:textId="77777777" w:rsidR="00834A75" w:rsidRDefault="00A6708C">
            <w:pPr>
              <w:jc w:val="right"/>
              <w:textAlignment w:val="bottom"/>
            </w:pPr>
            <w:r>
              <w:rPr>
                <w:rFonts w:ascii="sans-serif" w:eastAsia="sans-serif" w:hAnsi="sans-serif" w:cs="sans-serif"/>
                <w:color w:val="000000"/>
                <w:sz w:val="20"/>
                <w:szCs w:val="20"/>
              </w:rPr>
              <w:t>2,484 </w:t>
            </w:r>
          </w:p>
        </w:tc>
        <w:tc>
          <w:tcPr>
            <w:tcW w:w="0" w:type="auto"/>
            <w:shd w:val="clear" w:color="auto" w:fill="FFFFFF"/>
            <w:tcMar>
              <w:top w:w="40" w:type="dxa"/>
              <w:left w:w="0" w:type="dxa"/>
              <w:bottom w:w="40" w:type="dxa"/>
              <w:right w:w="20" w:type="dxa"/>
            </w:tcMar>
            <w:vAlign w:val="bottom"/>
          </w:tcPr>
          <w:p w14:paraId="7C2080B9" w14:textId="77777777" w:rsidR="00834A75" w:rsidRDefault="00834A75">
            <w:pPr>
              <w:jc w:val="right"/>
              <w:rPr>
                <w:rFonts w:ascii="宋体"/>
              </w:rPr>
            </w:pPr>
          </w:p>
        </w:tc>
        <w:tc>
          <w:tcPr>
            <w:tcW w:w="0" w:type="auto"/>
            <w:gridSpan w:val="3"/>
            <w:shd w:val="clear" w:color="auto" w:fill="auto"/>
            <w:vAlign w:val="bottom"/>
          </w:tcPr>
          <w:p w14:paraId="7C2080BA" w14:textId="77777777" w:rsidR="00834A75" w:rsidRDefault="00834A75">
            <w:pPr>
              <w:rPr>
                <w:rFonts w:ascii="宋体"/>
                <w:vanish/>
              </w:rPr>
            </w:pPr>
          </w:p>
        </w:tc>
        <w:tc>
          <w:tcPr>
            <w:tcW w:w="0" w:type="auto"/>
            <w:gridSpan w:val="3"/>
            <w:shd w:val="clear" w:color="auto" w:fill="auto"/>
            <w:vAlign w:val="bottom"/>
          </w:tcPr>
          <w:p w14:paraId="7C2080BB" w14:textId="77777777" w:rsidR="00834A75" w:rsidRDefault="00834A75">
            <w:pPr>
              <w:rPr>
                <w:rFonts w:ascii="宋体"/>
                <w:vanish/>
              </w:rPr>
            </w:pPr>
          </w:p>
        </w:tc>
        <w:tc>
          <w:tcPr>
            <w:tcW w:w="0" w:type="auto"/>
            <w:gridSpan w:val="3"/>
            <w:shd w:val="clear" w:color="auto" w:fill="auto"/>
            <w:vAlign w:val="bottom"/>
          </w:tcPr>
          <w:p w14:paraId="7C2080BC" w14:textId="77777777" w:rsidR="00834A75" w:rsidRDefault="00834A75">
            <w:pPr>
              <w:rPr>
                <w:rFonts w:ascii="宋体"/>
                <w:vanish/>
              </w:rPr>
            </w:pPr>
          </w:p>
        </w:tc>
        <w:tc>
          <w:tcPr>
            <w:tcW w:w="0" w:type="auto"/>
            <w:gridSpan w:val="3"/>
            <w:shd w:val="clear" w:color="auto" w:fill="auto"/>
            <w:vAlign w:val="bottom"/>
          </w:tcPr>
          <w:p w14:paraId="7C2080BD" w14:textId="77777777" w:rsidR="00834A75" w:rsidRDefault="00834A75">
            <w:pPr>
              <w:rPr>
                <w:rFonts w:ascii="宋体"/>
                <w:vanish/>
              </w:rPr>
            </w:pPr>
          </w:p>
        </w:tc>
      </w:tr>
      <w:tr w:rsidR="00834A75" w14:paraId="7C2080C9" w14:textId="77777777">
        <w:tc>
          <w:tcPr>
            <w:tcW w:w="0" w:type="auto"/>
            <w:gridSpan w:val="3"/>
            <w:shd w:val="clear" w:color="auto" w:fill="E2EFD9"/>
            <w:tcMar>
              <w:top w:w="40" w:type="dxa"/>
              <w:left w:w="20" w:type="dxa"/>
              <w:bottom w:w="40" w:type="dxa"/>
              <w:right w:w="20" w:type="dxa"/>
            </w:tcMar>
            <w:vAlign w:val="bottom"/>
          </w:tcPr>
          <w:p w14:paraId="7C2080BF" w14:textId="77777777" w:rsidR="00834A75" w:rsidRDefault="00A6708C">
            <w:pPr>
              <w:ind w:firstLine="180"/>
              <w:textAlignment w:val="bottom"/>
            </w:pPr>
            <w:r>
              <w:rPr>
                <w:rFonts w:ascii="sans-serif" w:eastAsia="sans-serif" w:hAnsi="sans-serif" w:cs="sans-serif"/>
                <w:color w:val="000000"/>
                <w:sz w:val="20"/>
                <w:szCs w:val="20"/>
              </w:rPr>
              <w:t>Dilutive impact of outstanding equity awards</w:t>
            </w:r>
          </w:p>
        </w:tc>
        <w:tc>
          <w:tcPr>
            <w:tcW w:w="0" w:type="auto"/>
            <w:gridSpan w:val="2"/>
            <w:shd w:val="clear" w:color="auto" w:fill="E2EFD9"/>
            <w:tcMar>
              <w:top w:w="40" w:type="dxa"/>
              <w:left w:w="20" w:type="dxa"/>
              <w:bottom w:w="40" w:type="dxa"/>
              <w:right w:w="0" w:type="dxa"/>
            </w:tcMar>
            <w:vAlign w:val="bottom"/>
          </w:tcPr>
          <w:p w14:paraId="7C2080C0" w14:textId="77777777" w:rsidR="00834A75" w:rsidRDefault="00A6708C">
            <w:pPr>
              <w:jc w:val="right"/>
              <w:textAlignment w:val="bottom"/>
            </w:pPr>
            <w:r>
              <w:rPr>
                <w:rFonts w:ascii="sans-serif" w:eastAsia="sans-serif" w:hAnsi="sans-serif" w:cs="sans-serif"/>
                <w:color w:val="000000"/>
                <w:sz w:val="20"/>
                <w:szCs w:val="20"/>
              </w:rPr>
              <w:t>31 </w:t>
            </w:r>
          </w:p>
        </w:tc>
        <w:tc>
          <w:tcPr>
            <w:tcW w:w="0" w:type="auto"/>
            <w:shd w:val="clear" w:color="auto" w:fill="E2EFD9"/>
            <w:tcMar>
              <w:top w:w="40" w:type="dxa"/>
              <w:left w:w="0" w:type="dxa"/>
              <w:bottom w:w="40" w:type="dxa"/>
              <w:right w:w="20" w:type="dxa"/>
            </w:tcMar>
            <w:vAlign w:val="bottom"/>
          </w:tcPr>
          <w:p w14:paraId="7C2080C1" w14:textId="77777777" w:rsidR="00834A75" w:rsidRDefault="00834A75">
            <w:pPr>
              <w:jc w:val="right"/>
              <w:rPr>
                <w:rFonts w:ascii="宋体"/>
              </w:rPr>
            </w:pPr>
          </w:p>
        </w:tc>
        <w:tc>
          <w:tcPr>
            <w:tcW w:w="0" w:type="auto"/>
            <w:gridSpan w:val="3"/>
            <w:shd w:val="clear" w:color="auto" w:fill="E2EFD9"/>
            <w:tcMar>
              <w:top w:w="0" w:type="dxa"/>
              <w:left w:w="20" w:type="dxa"/>
              <w:bottom w:w="0" w:type="dxa"/>
              <w:right w:w="20" w:type="dxa"/>
            </w:tcMar>
            <w:vAlign w:val="bottom"/>
          </w:tcPr>
          <w:p w14:paraId="7C2080C2" w14:textId="77777777" w:rsidR="00834A75" w:rsidRDefault="00834A75">
            <w:pPr>
              <w:rPr>
                <w:rFonts w:ascii="宋体"/>
              </w:rPr>
            </w:pPr>
          </w:p>
        </w:tc>
        <w:tc>
          <w:tcPr>
            <w:tcW w:w="0" w:type="auto"/>
            <w:gridSpan w:val="2"/>
            <w:shd w:val="clear" w:color="auto" w:fill="E2EFD9"/>
            <w:tcMar>
              <w:top w:w="40" w:type="dxa"/>
              <w:left w:w="20" w:type="dxa"/>
              <w:bottom w:w="40" w:type="dxa"/>
              <w:right w:w="0" w:type="dxa"/>
            </w:tcMar>
            <w:vAlign w:val="bottom"/>
          </w:tcPr>
          <w:p w14:paraId="7C2080C3" w14:textId="77777777" w:rsidR="00834A75" w:rsidRDefault="00A6708C">
            <w:pPr>
              <w:jc w:val="right"/>
              <w:textAlignment w:val="bottom"/>
            </w:pPr>
            <w:r>
              <w:rPr>
                <w:rFonts w:ascii="sans-serif" w:eastAsia="sans-serif" w:hAnsi="sans-serif" w:cs="sans-serif"/>
                <w:color w:val="000000"/>
                <w:sz w:val="20"/>
                <w:szCs w:val="20"/>
              </w:rPr>
              <w:t>44 </w:t>
            </w:r>
          </w:p>
        </w:tc>
        <w:tc>
          <w:tcPr>
            <w:tcW w:w="0" w:type="auto"/>
            <w:shd w:val="clear" w:color="auto" w:fill="E2EFD9"/>
            <w:tcMar>
              <w:top w:w="40" w:type="dxa"/>
              <w:left w:w="0" w:type="dxa"/>
              <w:bottom w:w="40" w:type="dxa"/>
              <w:right w:w="20" w:type="dxa"/>
            </w:tcMar>
            <w:vAlign w:val="bottom"/>
          </w:tcPr>
          <w:p w14:paraId="7C2080C4" w14:textId="77777777" w:rsidR="00834A75" w:rsidRDefault="00834A75">
            <w:pPr>
              <w:jc w:val="right"/>
              <w:rPr>
                <w:rFonts w:ascii="宋体"/>
              </w:rPr>
            </w:pPr>
          </w:p>
        </w:tc>
        <w:tc>
          <w:tcPr>
            <w:tcW w:w="0" w:type="auto"/>
            <w:gridSpan w:val="3"/>
            <w:shd w:val="clear" w:color="auto" w:fill="auto"/>
            <w:vAlign w:val="bottom"/>
          </w:tcPr>
          <w:p w14:paraId="7C2080C5" w14:textId="77777777" w:rsidR="00834A75" w:rsidRDefault="00834A75">
            <w:pPr>
              <w:rPr>
                <w:rFonts w:ascii="宋体"/>
                <w:vanish/>
              </w:rPr>
            </w:pPr>
          </w:p>
        </w:tc>
        <w:tc>
          <w:tcPr>
            <w:tcW w:w="0" w:type="auto"/>
            <w:gridSpan w:val="3"/>
            <w:shd w:val="clear" w:color="auto" w:fill="auto"/>
            <w:vAlign w:val="bottom"/>
          </w:tcPr>
          <w:p w14:paraId="7C2080C6" w14:textId="77777777" w:rsidR="00834A75" w:rsidRDefault="00834A75">
            <w:pPr>
              <w:rPr>
                <w:rFonts w:ascii="宋体"/>
                <w:vanish/>
              </w:rPr>
            </w:pPr>
          </w:p>
        </w:tc>
        <w:tc>
          <w:tcPr>
            <w:tcW w:w="0" w:type="auto"/>
            <w:gridSpan w:val="3"/>
            <w:shd w:val="clear" w:color="auto" w:fill="auto"/>
            <w:vAlign w:val="bottom"/>
          </w:tcPr>
          <w:p w14:paraId="7C2080C7" w14:textId="77777777" w:rsidR="00834A75" w:rsidRDefault="00834A75">
            <w:pPr>
              <w:rPr>
                <w:rFonts w:ascii="宋体"/>
                <w:vanish/>
              </w:rPr>
            </w:pPr>
          </w:p>
        </w:tc>
        <w:tc>
          <w:tcPr>
            <w:tcW w:w="0" w:type="auto"/>
            <w:gridSpan w:val="3"/>
            <w:shd w:val="clear" w:color="auto" w:fill="auto"/>
            <w:vAlign w:val="bottom"/>
          </w:tcPr>
          <w:p w14:paraId="7C2080C8" w14:textId="77777777" w:rsidR="00834A75" w:rsidRDefault="00834A75">
            <w:pPr>
              <w:rPr>
                <w:rFonts w:ascii="宋体"/>
                <w:vanish/>
              </w:rPr>
            </w:pPr>
          </w:p>
        </w:tc>
      </w:tr>
      <w:tr w:rsidR="00834A75" w14:paraId="7C2080D2" w14:textId="77777777">
        <w:trPr>
          <w:hidden/>
        </w:trPr>
        <w:tc>
          <w:tcPr>
            <w:tcW w:w="0" w:type="auto"/>
            <w:gridSpan w:val="3"/>
            <w:shd w:val="clear" w:color="auto" w:fill="auto"/>
            <w:vAlign w:val="bottom"/>
          </w:tcPr>
          <w:p w14:paraId="7C2080CA" w14:textId="77777777" w:rsidR="00834A75" w:rsidRDefault="00834A75">
            <w:pPr>
              <w:rPr>
                <w:rFonts w:ascii="宋体"/>
                <w:vanish/>
              </w:rPr>
            </w:pPr>
          </w:p>
        </w:tc>
        <w:tc>
          <w:tcPr>
            <w:tcW w:w="0" w:type="auto"/>
            <w:gridSpan w:val="3"/>
            <w:shd w:val="clear" w:color="auto" w:fill="auto"/>
            <w:vAlign w:val="bottom"/>
          </w:tcPr>
          <w:p w14:paraId="7C2080CB" w14:textId="77777777" w:rsidR="00834A75" w:rsidRDefault="00834A75">
            <w:pPr>
              <w:rPr>
                <w:rFonts w:ascii="宋体"/>
                <w:vanish/>
              </w:rPr>
            </w:pPr>
          </w:p>
        </w:tc>
        <w:tc>
          <w:tcPr>
            <w:tcW w:w="0" w:type="auto"/>
            <w:gridSpan w:val="3"/>
            <w:shd w:val="clear" w:color="auto" w:fill="auto"/>
            <w:vAlign w:val="bottom"/>
          </w:tcPr>
          <w:p w14:paraId="7C2080CC" w14:textId="77777777" w:rsidR="00834A75" w:rsidRDefault="00834A75">
            <w:pPr>
              <w:rPr>
                <w:rFonts w:ascii="宋体"/>
                <w:vanish/>
              </w:rPr>
            </w:pPr>
          </w:p>
        </w:tc>
        <w:tc>
          <w:tcPr>
            <w:tcW w:w="0" w:type="auto"/>
            <w:gridSpan w:val="3"/>
            <w:shd w:val="clear" w:color="auto" w:fill="auto"/>
            <w:vAlign w:val="bottom"/>
          </w:tcPr>
          <w:p w14:paraId="7C2080CD" w14:textId="77777777" w:rsidR="00834A75" w:rsidRDefault="00834A75">
            <w:pPr>
              <w:rPr>
                <w:rFonts w:ascii="宋体"/>
                <w:vanish/>
              </w:rPr>
            </w:pPr>
          </w:p>
        </w:tc>
        <w:tc>
          <w:tcPr>
            <w:tcW w:w="0" w:type="auto"/>
            <w:gridSpan w:val="3"/>
            <w:shd w:val="clear" w:color="auto" w:fill="auto"/>
            <w:vAlign w:val="bottom"/>
          </w:tcPr>
          <w:p w14:paraId="7C2080CE" w14:textId="77777777" w:rsidR="00834A75" w:rsidRDefault="00834A75">
            <w:pPr>
              <w:rPr>
                <w:rFonts w:ascii="宋体"/>
                <w:vanish/>
              </w:rPr>
            </w:pPr>
          </w:p>
        </w:tc>
        <w:tc>
          <w:tcPr>
            <w:tcW w:w="0" w:type="auto"/>
            <w:gridSpan w:val="3"/>
            <w:shd w:val="clear" w:color="auto" w:fill="auto"/>
            <w:vAlign w:val="bottom"/>
          </w:tcPr>
          <w:p w14:paraId="7C2080CF" w14:textId="77777777" w:rsidR="00834A75" w:rsidRDefault="00834A75">
            <w:pPr>
              <w:rPr>
                <w:rFonts w:ascii="宋体"/>
                <w:vanish/>
              </w:rPr>
            </w:pPr>
          </w:p>
        </w:tc>
        <w:tc>
          <w:tcPr>
            <w:tcW w:w="0" w:type="auto"/>
            <w:gridSpan w:val="3"/>
            <w:shd w:val="clear" w:color="auto" w:fill="auto"/>
            <w:vAlign w:val="bottom"/>
          </w:tcPr>
          <w:p w14:paraId="7C2080D0" w14:textId="77777777" w:rsidR="00834A75" w:rsidRDefault="00834A75">
            <w:pPr>
              <w:rPr>
                <w:rFonts w:ascii="宋体"/>
                <w:vanish/>
              </w:rPr>
            </w:pPr>
          </w:p>
        </w:tc>
        <w:tc>
          <w:tcPr>
            <w:tcW w:w="0" w:type="auto"/>
            <w:gridSpan w:val="3"/>
            <w:shd w:val="clear" w:color="auto" w:fill="auto"/>
            <w:vAlign w:val="bottom"/>
          </w:tcPr>
          <w:p w14:paraId="7C2080D1" w14:textId="77777777" w:rsidR="00834A75" w:rsidRDefault="00834A75">
            <w:pPr>
              <w:rPr>
                <w:rFonts w:ascii="宋体"/>
                <w:vanish/>
              </w:rPr>
            </w:pPr>
          </w:p>
        </w:tc>
      </w:tr>
      <w:tr w:rsidR="00834A75" w14:paraId="7C2080DB" w14:textId="77777777">
        <w:trPr>
          <w:hidden/>
        </w:trPr>
        <w:tc>
          <w:tcPr>
            <w:tcW w:w="0" w:type="auto"/>
            <w:gridSpan w:val="3"/>
            <w:shd w:val="clear" w:color="auto" w:fill="auto"/>
            <w:vAlign w:val="bottom"/>
          </w:tcPr>
          <w:p w14:paraId="7C2080D3" w14:textId="77777777" w:rsidR="00834A75" w:rsidRDefault="00834A75">
            <w:pPr>
              <w:rPr>
                <w:rFonts w:ascii="宋体"/>
                <w:vanish/>
              </w:rPr>
            </w:pPr>
          </w:p>
        </w:tc>
        <w:tc>
          <w:tcPr>
            <w:tcW w:w="0" w:type="auto"/>
            <w:gridSpan w:val="3"/>
            <w:shd w:val="clear" w:color="auto" w:fill="auto"/>
            <w:vAlign w:val="bottom"/>
          </w:tcPr>
          <w:p w14:paraId="7C2080D4" w14:textId="77777777" w:rsidR="00834A75" w:rsidRDefault="00834A75">
            <w:pPr>
              <w:rPr>
                <w:rFonts w:ascii="宋体"/>
                <w:vanish/>
              </w:rPr>
            </w:pPr>
          </w:p>
        </w:tc>
        <w:tc>
          <w:tcPr>
            <w:tcW w:w="0" w:type="auto"/>
            <w:gridSpan w:val="3"/>
            <w:shd w:val="clear" w:color="auto" w:fill="auto"/>
            <w:vAlign w:val="bottom"/>
          </w:tcPr>
          <w:p w14:paraId="7C2080D5" w14:textId="77777777" w:rsidR="00834A75" w:rsidRDefault="00834A75">
            <w:pPr>
              <w:rPr>
                <w:rFonts w:ascii="宋体"/>
                <w:vanish/>
              </w:rPr>
            </w:pPr>
          </w:p>
        </w:tc>
        <w:tc>
          <w:tcPr>
            <w:tcW w:w="0" w:type="auto"/>
            <w:gridSpan w:val="3"/>
            <w:shd w:val="clear" w:color="auto" w:fill="auto"/>
            <w:vAlign w:val="bottom"/>
          </w:tcPr>
          <w:p w14:paraId="7C2080D6" w14:textId="77777777" w:rsidR="00834A75" w:rsidRDefault="00834A75">
            <w:pPr>
              <w:rPr>
                <w:rFonts w:ascii="宋体"/>
                <w:vanish/>
              </w:rPr>
            </w:pPr>
          </w:p>
        </w:tc>
        <w:tc>
          <w:tcPr>
            <w:tcW w:w="0" w:type="auto"/>
            <w:gridSpan w:val="3"/>
            <w:shd w:val="clear" w:color="auto" w:fill="auto"/>
            <w:vAlign w:val="bottom"/>
          </w:tcPr>
          <w:p w14:paraId="7C2080D7" w14:textId="77777777" w:rsidR="00834A75" w:rsidRDefault="00834A75">
            <w:pPr>
              <w:rPr>
                <w:rFonts w:ascii="宋体"/>
                <w:vanish/>
              </w:rPr>
            </w:pPr>
          </w:p>
        </w:tc>
        <w:tc>
          <w:tcPr>
            <w:tcW w:w="0" w:type="auto"/>
            <w:gridSpan w:val="3"/>
            <w:shd w:val="clear" w:color="auto" w:fill="auto"/>
            <w:vAlign w:val="bottom"/>
          </w:tcPr>
          <w:p w14:paraId="7C2080D8" w14:textId="77777777" w:rsidR="00834A75" w:rsidRDefault="00834A75">
            <w:pPr>
              <w:rPr>
                <w:rFonts w:ascii="宋体"/>
                <w:vanish/>
              </w:rPr>
            </w:pPr>
          </w:p>
        </w:tc>
        <w:tc>
          <w:tcPr>
            <w:tcW w:w="0" w:type="auto"/>
            <w:gridSpan w:val="3"/>
            <w:shd w:val="clear" w:color="auto" w:fill="auto"/>
            <w:vAlign w:val="bottom"/>
          </w:tcPr>
          <w:p w14:paraId="7C2080D9" w14:textId="77777777" w:rsidR="00834A75" w:rsidRDefault="00834A75">
            <w:pPr>
              <w:rPr>
                <w:rFonts w:ascii="宋体"/>
                <w:vanish/>
              </w:rPr>
            </w:pPr>
          </w:p>
        </w:tc>
        <w:tc>
          <w:tcPr>
            <w:tcW w:w="0" w:type="auto"/>
            <w:gridSpan w:val="3"/>
            <w:shd w:val="clear" w:color="auto" w:fill="auto"/>
            <w:vAlign w:val="bottom"/>
          </w:tcPr>
          <w:p w14:paraId="7C2080DA" w14:textId="77777777" w:rsidR="00834A75" w:rsidRDefault="00834A75">
            <w:pPr>
              <w:rPr>
                <w:rFonts w:ascii="宋体"/>
                <w:vanish/>
              </w:rPr>
            </w:pPr>
          </w:p>
        </w:tc>
      </w:tr>
      <w:tr w:rsidR="00834A75" w14:paraId="7C2080E6" w14:textId="77777777">
        <w:tc>
          <w:tcPr>
            <w:tcW w:w="0" w:type="auto"/>
            <w:gridSpan w:val="3"/>
            <w:shd w:val="clear" w:color="auto" w:fill="FFFFFF"/>
            <w:tcMar>
              <w:top w:w="40" w:type="dxa"/>
              <w:left w:w="20" w:type="dxa"/>
              <w:bottom w:w="40" w:type="dxa"/>
              <w:right w:w="20" w:type="dxa"/>
            </w:tcMar>
            <w:vAlign w:val="bottom"/>
          </w:tcPr>
          <w:p w14:paraId="7C2080DC" w14:textId="77777777" w:rsidR="00834A75" w:rsidRDefault="00A6708C">
            <w:pPr>
              <w:ind w:firstLine="180"/>
              <w:textAlignment w:val="bottom"/>
            </w:pPr>
            <w:r>
              <w:rPr>
                <w:rFonts w:ascii="sans-serif" w:eastAsia="sans-serif" w:hAnsi="sans-serif" w:cs="sans-serif"/>
                <w:color w:val="000000"/>
                <w:sz w:val="20"/>
                <w:szCs w:val="20"/>
              </w:rPr>
              <w:t>Diluted weighted average shares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C2080DD" w14:textId="77777777" w:rsidR="00834A75" w:rsidRDefault="00A6708C">
            <w:pPr>
              <w:jc w:val="right"/>
              <w:textAlignment w:val="bottom"/>
            </w:pPr>
            <w:r>
              <w:rPr>
                <w:rFonts w:ascii="sans-serif" w:eastAsia="sans-serif" w:hAnsi="sans-serif" w:cs="sans-serif"/>
                <w:color w:val="000000"/>
                <w:sz w:val="20"/>
                <w:szCs w:val="20"/>
              </w:rPr>
              <w:t>2,537 </w:t>
            </w:r>
          </w:p>
        </w:tc>
        <w:tc>
          <w:tcPr>
            <w:tcW w:w="0" w:type="auto"/>
            <w:tcBorders>
              <w:top w:val="single" w:sz="8" w:space="0" w:color="000000"/>
            </w:tcBorders>
            <w:shd w:val="clear" w:color="auto" w:fill="FFFFFF"/>
            <w:tcMar>
              <w:top w:w="40" w:type="dxa"/>
              <w:left w:w="0" w:type="dxa"/>
              <w:bottom w:w="40" w:type="dxa"/>
              <w:right w:w="20" w:type="dxa"/>
            </w:tcMar>
            <w:vAlign w:val="bottom"/>
          </w:tcPr>
          <w:p w14:paraId="7C2080DE" w14:textId="77777777" w:rsidR="00834A75" w:rsidRDefault="00834A75">
            <w:pPr>
              <w:jc w:val="right"/>
              <w:rPr>
                <w:rFonts w:ascii="宋体"/>
              </w:rPr>
            </w:pPr>
          </w:p>
        </w:tc>
        <w:tc>
          <w:tcPr>
            <w:tcW w:w="0" w:type="auto"/>
            <w:gridSpan w:val="3"/>
            <w:shd w:val="clear" w:color="auto" w:fill="FFFFFF"/>
            <w:tcMar>
              <w:top w:w="0" w:type="dxa"/>
              <w:left w:w="20" w:type="dxa"/>
              <w:bottom w:w="0" w:type="dxa"/>
              <w:right w:w="20" w:type="dxa"/>
            </w:tcMar>
            <w:vAlign w:val="bottom"/>
          </w:tcPr>
          <w:p w14:paraId="7C2080DF" w14:textId="77777777" w:rsidR="00834A75" w:rsidRDefault="00834A75">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C2080E0" w14:textId="77777777" w:rsidR="00834A75" w:rsidRDefault="00A6708C">
            <w:pPr>
              <w:jc w:val="right"/>
              <w:textAlignment w:val="bottom"/>
            </w:pPr>
            <w:r>
              <w:rPr>
                <w:rFonts w:ascii="sans-serif" w:eastAsia="sans-serif" w:hAnsi="sans-serif" w:cs="sans-serif"/>
                <w:color w:val="000000"/>
                <w:sz w:val="20"/>
                <w:szCs w:val="20"/>
              </w:rPr>
              <w:t>2,528 </w:t>
            </w:r>
          </w:p>
        </w:tc>
        <w:tc>
          <w:tcPr>
            <w:tcW w:w="0" w:type="auto"/>
            <w:tcBorders>
              <w:top w:val="single" w:sz="8" w:space="0" w:color="000000"/>
            </w:tcBorders>
            <w:shd w:val="clear" w:color="auto" w:fill="FFFFFF"/>
            <w:tcMar>
              <w:top w:w="40" w:type="dxa"/>
              <w:left w:w="0" w:type="dxa"/>
              <w:bottom w:w="40" w:type="dxa"/>
              <w:right w:w="20" w:type="dxa"/>
            </w:tcMar>
            <w:vAlign w:val="bottom"/>
          </w:tcPr>
          <w:p w14:paraId="7C2080E1" w14:textId="77777777" w:rsidR="00834A75" w:rsidRDefault="00834A75">
            <w:pPr>
              <w:jc w:val="right"/>
              <w:rPr>
                <w:rFonts w:ascii="宋体"/>
              </w:rPr>
            </w:pPr>
          </w:p>
        </w:tc>
        <w:tc>
          <w:tcPr>
            <w:tcW w:w="0" w:type="auto"/>
            <w:gridSpan w:val="3"/>
            <w:shd w:val="clear" w:color="auto" w:fill="auto"/>
            <w:vAlign w:val="bottom"/>
          </w:tcPr>
          <w:p w14:paraId="7C2080E2" w14:textId="77777777" w:rsidR="00834A75" w:rsidRDefault="00834A75">
            <w:pPr>
              <w:rPr>
                <w:rFonts w:ascii="宋体"/>
                <w:vanish/>
              </w:rPr>
            </w:pPr>
          </w:p>
        </w:tc>
        <w:tc>
          <w:tcPr>
            <w:tcW w:w="0" w:type="auto"/>
            <w:gridSpan w:val="3"/>
            <w:shd w:val="clear" w:color="auto" w:fill="auto"/>
            <w:vAlign w:val="bottom"/>
          </w:tcPr>
          <w:p w14:paraId="7C2080E3" w14:textId="77777777" w:rsidR="00834A75" w:rsidRDefault="00834A75">
            <w:pPr>
              <w:rPr>
                <w:rFonts w:ascii="宋体"/>
                <w:vanish/>
              </w:rPr>
            </w:pPr>
          </w:p>
        </w:tc>
        <w:tc>
          <w:tcPr>
            <w:tcW w:w="0" w:type="auto"/>
            <w:gridSpan w:val="3"/>
            <w:shd w:val="clear" w:color="auto" w:fill="auto"/>
            <w:vAlign w:val="bottom"/>
          </w:tcPr>
          <w:p w14:paraId="7C2080E4" w14:textId="77777777" w:rsidR="00834A75" w:rsidRDefault="00834A75">
            <w:pPr>
              <w:rPr>
                <w:rFonts w:ascii="宋体"/>
                <w:vanish/>
              </w:rPr>
            </w:pPr>
          </w:p>
        </w:tc>
        <w:tc>
          <w:tcPr>
            <w:tcW w:w="0" w:type="auto"/>
            <w:gridSpan w:val="3"/>
            <w:shd w:val="clear" w:color="auto" w:fill="auto"/>
            <w:vAlign w:val="bottom"/>
          </w:tcPr>
          <w:p w14:paraId="7C2080E5" w14:textId="77777777" w:rsidR="00834A75" w:rsidRDefault="00834A75">
            <w:pPr>
              <w:rPr>
                <w:rFonts w:ascii="宋体"/>
                <w:vanish/>
              </w:rPr>
            </w:pPr>
          </w:p>
        </w:tc>
      </w:tr>
      <w:tr w:rsidR="00834A75" w14:paraId="7C2080EF" w14:textId="77777777">
        <w:tc>
          <w:tcPr>
            <w:tcW w:w="0" w:type="auto"/>
            <w:gridSpan w:val="3"/>
            <w:shd w:val="clear" w:color="auto" w:fill="E2EFD9"/>
            <w:tcMar>
              <w:top w:w="40" w:type="dxa"/>
              <w:left w:w="20" w:type="dxa"/>
              <w:bottom w:w="40" w:type="dxa"/>
              <w:right w:w="20" w:type="dxa"/>
            </w:tcMar>
            <w:vAlign w:val="bottom"/>
          </w:tcPr>
          <w:p w14:paraId="7C2080E7" w14:textId="77777777" w:rsidR="00834A75" w:rsidRDefault="00A6708C">
            <w:pPr>
              <w:textAlignment w:val="bottom"/>
            </w:pPr>
            <w:r>
              <w:rPr>
                <w:rFonts w:ascii="sans-serif" w:eastAsia="sans-serif" w:hAnsi="sans-serif" w:cs="sans-serif"/>
                <w:color w:val="000000"/>
                <w:sz w:val="20"/>
                <w:szCs w:val="20"/>
              </w:rPr>
              <w:t>Net income per share:</w:t>
            </w:r>
          </w:p>
        </w:tc>
        <w:tc>
          <w:tcPr>
            <w:tcW w:w="0" w:type="auto"/>
            <w:gridSpan w:val="3"/>
            <w:tcBorders>
              <w:top w:val="double" w:sz="6" w:space="0" w:color="000000"/>
            </w:tcBorders>
            <w:shd w:val="clear" w:color="auto" w:fill="E2EFD9"/>
            <w:tcMar>
              <w:top w:w="0" w:type="dxa"/>
              <w:left w:w="20" w:type="dxa"/>
              <w:bottom w:w="0" w:type="dxa"/>
              <w:right w:w="20" w:type="dxa"/>
            </w:tcMar>
            <w:vAlign w:val="bottom"/>
          </w:tcPr>
          <w:p w14:paraId="7C2080E8" w14:textId="77777777" w:rsidR="00834A75" w:rsidRDefault="00834A75">
            <w:pPr>
              <w:rPr>
                <w:rFonts w:ascii="宋体"/>
              </w:rPr>
            </w:pPr>
          </w:p>
        </w:tc>
        <w:tc>
          <w:tcPr>
            <w:tcW w:w="0" w:type="auto"/>
            <w:gridSpan w:val="3"/>
            <w:shd w:val="clear" w:color="auto" w:fill="E2EFD9"/>
            <w:tcMar>
              <w:top w:w="0" w:type="dxa"/>
              <w:left w:w="20" w:type="dxa"/>
              <w:bottom w:w="0" w:type="dxa"/>
              <w:right w:w="20" w:type="dxa"/>
            </w:tcMar>
            <w:vAlign w:val="bottom"/>
          </w:tcPr>
          <w:p w14:paraId="7C2080E9" w14:textId="77777777" w:rsidR="00834A75" w:rsidRDefault="00834A75">
            <w:pPr>
              <w:rPr>
                <w:rFonts w:ascii="宋体"/>
              </w:rPr>
            </w:pPr>
          </w:p>
        </w:tc>
        <w:tc>
          <w:tcPr>
            <w:tcW w:w="0" w:type="auto"/>
            <w:gridSpan w:val="3"/>
            <w:tcBorders>
              <w:top w:val="double" w:sz="6" w:space="0" w:color="000000"/>
            </w:tcBorders>
            <w:shd w:val="clear" w:color="auto" w:fill="E2EFD9"/>
            <w:tcMar>
              <w:top w:w="0" w:type="dxa"/>
              <w:left w:w="20" w:type="dxa"/>
              <w:bottom w:w="0" w:type="dxa"/>
              <w:right w:w="20" w:type="dxa"/>
            </w:tcMar>
            <w:vAlign w:val="bottom"/>
          </w:tcPr>
          <w:p w14:paraId="7C2080EA" w14:textId="77777777" w:rsidR="00834A75" w:rsidRDefault="00834A75">
            <w:pPr>
              <w:rPr>
                <w:rFonts w:ascii="宋体"/>
              </w:rPr>
            </w:pPr>
          </w:p>
        </w:tc>
        <w:tc>
          <w:tcPr>
            <w:tcW w:w="0" w:type="auto"/>
            <w:gridSpan w:val="3"/>
            <w:shd w:val="clear" w:color="auto" w:fill="auto"/>
            <w:vAlign w:val="bottom"/>
          </w:tcPr>
          <w:p w14:paraId="7C2080EB" w14:textId="77777777" w:rsidR="00834A75" w:rsidRDefault="00834A75">
            <w:pPr>
              <w:rPr>
                <w:rFonts w:ascii="宋体"/>
                <w:vanish/>
              </w:rPr>
            </w:pPr>
          </w:p>
        </w:tc>
        <w:tc>
          <w:tcPr>
            <w:tcW w:w="0" w:type="auto"/>
            <w:gridSpan w:val="3"/>
            <w:shd w:val="clear" w:color="auto" w:fill="auto"/>
            <w:vAlign w:val="bottom"/>
          </w:tcPr>
          <w:p w14:paraId="7C2080EC" w14:textId="77777777" w:rsidR="00834A75" w:rsidRDefault="00834A75">
            <w:pPr>
              <w:rPr>
                <w:rFonts w:ascii="宋体"/>
                <w:vanish/>
              </w:rPr>
            </w:pPr>
          </w:p>
        </w:tc>
        <w:tc>
          <w:tcPr>
            <w:tcW w:w="0" w:type="auto"/>
            <w:gridSpan w:val="3"/>
            <w:shd w:val="clear" w:color="auto" w:fill="auto"/>
            <w:vAlign w:val="bottom"/>
          </w:tcPr>
          <w:p w14:paraId="7C2080ED" w14:textId="77777777" w:rsidR="00834A75" w:rsidRDefault="00834A75">
            <w:pPr>
              <w:rPr>
                <w:rFonts w:ascii="宋体"/>
                <w:vanish/>
              </w:rPr>
            </w:pPr>
          </w:p>
        </w:tc>
        <w:tc>
          <w:tcPr>
            <w:tcW w:w="0" w:type="auto"/>
            <w:gridSpan w:val="3"/>
            <w:shd w:val="clear" w:color="auto" w:fill="auto"/>
            <w:vAlign w:val="bottom"/>
          </w:tcPr>
          <w:p w14:paraId="7C2080EE" w14:textId="77777777" w:rsidR="00834A75" w:rsidRDefault="00834A75">
            <w:pPr>
              <w:rPr>
                <w:rFonts w:ascii="宋体"/>
                <w:vanish/>
              </w:rPr>
            </w:pPr>
          </w:p>
        </w:tc>
      </w:tr>
      <w:tr w:rsidR="00834A75" w14:paraId="7C2080FC" w14:textId="77777777">
        <w:tc>
          <w:tcPr>
            <w:tcW w:w="0" w:type="auto"/>
            <w:gridSpan w:val="3"/>
            <w:shd w:val="clear" w:color="auto" w:fill="FFFFFF"/>
            <w:tcMar>
              <w:top w:w="40" w:type="dxa"/>
              <w:left w:w="20" w:type="dxa"/>
              <w:bottom w:w="40" w:type="dxa"/>
              <w:right w:w="20" w:type="dxa"/>
            </w:tcMar>
            <w:vAlign w:val="bottom"/>
          </w:tcPr>
          <w:p w14:paraId="7C2080F0" w14:textId="77777777" w:rsidR="00834A75" w:rsidRDefault="00A6708C">
            <w:pPr>
              <w:ind w:firstLine="180"/>
              <w:textAlignment w:val="bottom"/>
            </w:pPr>
            <w:r>
              <w:rPr>
                <w:rFonts w:ascii="sans-serif" w:eastAsia="sans-serif" w:hAnsi="sans-serif" w:cs="sans-serif"/>
                <w:color w:val="000000"/>
                <w:sz w:val="20"/>
                <w:szCs w:val="20"/>
              </w:rPr>
              <w:t>Basic (1)</w:t>
            </w:r>
          </w:p>
        </w:tc>
        <w:tc>
          <w:tcPr>
            <w:tcW w:w="0" w:type="auto"/>
            <w:shd w:val="clear" w:color="auto" w:fill="FFFFFF"/>
            <w:tcMar>
              <w:top w:w="40" w:type="dxa"/>
              <w:left w:w="20" w:type="dxa"/>
              <w:bottom w:w="40" w:type="dxa"/>
              <w:right w:w="0" w:type="dxa"/>
            </w:tcMar>
            <w:vAlign w:val="bottom"/>
          </w:tcPr>
          <w:p w14:paraId="7C2080F1" w14:textId="77777777" w:rsidR="00834A75" w:rsidRDefault="00A6708C">
            <w:pPr>
              <w:textAlignment w:val="bottom"/>
            </w:pPr>
            <w:r>
              <w:rPr>
                <w:rFonts w:ascii="sans-serif" w:eastAsia="sans-serif" w:hAnsi="sans-serif" w:cs="sans-serif"/>
                <w:color w:val="000000"/>
                <w:sz w:val="20"/>
                <w:szCs w:val="20"/>
              </w:rPr>
              <w:t>$</w:t>
            </w:r>
          </w:p>
        </w:tc>
        <w:tc>
          <w:tcPr>
            <w:tcW w:w="0" w:type="auto"/>
            <w:shd w:val="clear" w:color="auto" w:fill="FFFFFF"/>
            <w:tcMar>
              <w:top w:w="40" w:type="dxa"/>
              <w:left w:w="0" w:type="dxa"/>
              <w:bottom w:w="40" w:type="dxa"/>
              <w:right w:w="0" w:type="dxa"/>
            </w:tcMar>
            <w:vAlign w:val="bottom"/>
          </w:tcPr>
          <w:p w14:paraId="7C2080F2" w14:textId="77777777" w:rsidR="00834A75" w:rsidRDefault="00A6708C">
            <w:pPr>
              <w:jc w:val="right"/>
              <w:textAlignment w:val="bottom"/>
            </w:pPr>
            <w:r>
              <w:rPr>
                <w:rFonts w:ascii="sans-serif" w:eastAsia="sans-serif" w:hAnsi="sans-serif" w:cs="sans-serif"/>
                <w:color w:val="000000"/>
                <w:sz w:val="20"/>
                <w:szCs w:val="20"/>
              </w:rPr>
              <w:t>0.65 </w:t>
            </w:r>
          </w:p>
        </w:tc>
        <w:tc>
          <w:tcPr>
            <w:tcW w:w="0" w:type="auto"/>
            <w:shd w:val="clear" w:color="auto" w:fill="FFFFFF"/>
            <w:tcMar>
              <w:top w:w="40" w:type="dxa"/>
              <w:left w:w="0" w:type="dxa"/>
              <w:bottom w:w="40" w:type="dxa"/>
              <w:right w:w="20" w:type="dxa"/>
            </w:tcMar>
            <w:vAlign w:val="bottom"/>
          </w:tcPr>
          <w:p w14:paraId="7C2080F3" w14:textId="77777777" w:rsidR="00834A75" w:rsidRDefault="00834A75">
            <w:pPr>
              <w:jc w:val="right"/>
              <w:rPr>
                <w:rFonts w:ascii="宋体"/>
              </w:rPr>
            </w:pPr>
          </w:p>
        </w:tc>
        <w:tc>
          <w:tcPr>
            <w:tcW w:w="0" w:type="auto"/>
            <w:gridSpan w:val="3"/>
            <w:shd w:val="clear" w:color="auto" w:fill="FFFFFF"/>
            <w:tcMar>
              <w:top w:w="0" w:type="dxa"/>
              <w:left w:w="20" w:type="dxa"/>
              <w:bottom w:w="0" w:type="dxa"/>
              <w:right w:w="20" w:type="dxa"/>
            </w:tcMar>
            <w:vAlign w:val="bottom"/>
          </w:tcPr>
          <w:p w14:paraId="7C2080F4" w14:textId="77777777" w:rsidR="00834A75" w:rsidRDefault="00834A75">
            <w:pPr>
              <w:rPr>
                <w:rFonts w:ascii="宋体"/>
              </w:rPr>
            </w:pPr>
          </w:p>
        </w:tc>
        <w:tc>
          <w:tcPr>
            <w:tcW w:w="0" w:type="auto"/>
            <w:shd w:val="clear" w:color="auto" w:fill="FFFFFF"/>
            <w:tcMar>
              <w:top w:w="40" w:type="dxa"/>
              <w:left w:w="20" w:type="dxa"/>
              <w:bottom w:w="40" w:type="dxa"/>
              <w:right w:w="0" w:type="dxa"/>
            </w:tcMar>
            <w:vAlign w:val="bottom"/>
          </w:tcPr>
          <w:p w14:paraId="7C2080F5" w14:textId="77777777" w:rsidR="00834A75" w:rsidRDefault="00A6708C">
            <w:pPr>
              <w:textAlignment w:val="bottom"/>
            </w:pPr>
            <w:r>
              <w:rPr>
                <w:rFonts w:ascii="sans-serif" w:eastAsia="sans-serif" w:hAnsi="sans-serif" w:cs="sans-serif"/>
                <w:color w:val="000000"/>
                <w:sz w:val="20"/>
                <w:szCs w:val="20"/>
              </w:rPr>
              <w:t>$</w:t>
            </w:r>
          </w:p>
        </w:tc>
        <w:tc>
          <w:tcPr>
            <w:tcW w:w="0" w:type="auto"/>
            <w:shd w:val="clear" w:color="auto" w:fill="FFFFFF"/>
            <w:tcMar>
              <w:top w:w="40" w:type="dxa"/>
              <w:left w:w="0" w:type="dxa"/>
              <w:bottom w:w="40" w:type="dxa"/>
              <w:right w:w="0" w:type="dxa"/>
            </w:tcMar>
            <w:vAlign w:val="bottom"/>
          </w:tcPr>
          <w:p w14:paraId="7C2080F6" w14:textId="77777777" w:rsidR="00834A75" w:rsidRDefault="00A6708C">
            <w:pPr>
              <w:jc w:val="right"/>
              <w:textAlignment w:val="bottom"/>
            </w:pPr>
            <w:r>
              <w:rPr>
                <w:rFonts w:ascii="sans-serif" w:eastAsia="sans-serif" w:hAnsi="sans-serif" w:cs="sans-serif"/>
                <w:color w:val="000000"/>
                <w:sz w:val="20"/>
                <w:szCs w:val="20"/>
              </w:rPr>
              <w:t>0.77 </w:t>
            </w:r>
          </w:p>
        </w:tc>
        <w:tc>
          <w:tcPr>
            <w:tcW w:w="0" w:type="auto"/>
            <w:shd w:val="clear" w:color="auto" w:fill="FFFFFF"/>
            <w:tcMar>
              <w:top w:w="40" w:type="dxa"/>
              <w:left w:w="0" w:type="dxa"/>
              <w:bottom w:w="40" w:type="dxa"/>
              <w:right w:w="20" w:type="dxa"/>
            </w:tcMar>
            <w:vAlign w:val="bottom"/>
          </w:tcPr>
          <w:p w14:paraId="7C2080F7" w14:textId="77777777" w:rsidR="00834A75" w:rsidRDefault="00834A75">
            <w:pPr>
              <w:jc w:val="right"/>
              <w:rPr>
                <w:rFonts w:ascii="宋体"/>
              </w:rPr>
            </w:pPr>
          </w:p>
        </w:tc>
        <w:tc>
          <w:tcPr>
            <w:tcW w:w="0" w:type="auto"/>
            <w:gridSpan w:val="3"/>
            <w:shd w:val="clear" w:color="auto" w:fill="auto"/>
            <w:vAlign w:val="bottom"/>
          </w:tcPr>
          <w:p w14:paraId="7C2080F8" w14:textId="77777777" w:rsidR="00834A75" w:rsidRDefault="00834A75">
            <w:pPr>
              <w:rPr>
                <w:rFonts w:ascii="宋体"/>
                <w:vanish/>
              </w:rPr>
            </w:pPr>
          </w:p>
        </w:tc>
        <w:tc>
          <w:tcPr>
            <w:tcW w:w="0" w:type="auto"/>
            <w:gridSpan w:val="3"/>
            <w:shd w:val="clear" w:color="auto" w:fill="auto"/>
            <w:vAlign w:val="bottom"/>
          </w:tcPr>
          <w:p w14:paraId="7C2080F9" w14:textId="77777777" w:rsidR="00834A75" w:rsidRDefault="00834A75">
            <w:pPr>
              <w:rPr>
                <w:rFonts w:ascii="宋体"/>
                <w:vanish/>
              </w:rPr>
            </w:pPr>
          </w:p>
        </w:tc>
        <w:tc>
          <w:tcPr>
            <w:tcW w:w="0" w:type="auto"/>
            <w:gridSpan w:val="3"/>
            <w:shd w:val="clear" w:color="auto" w:fill="auto"/>
            <w:vAlign w:val="bottom"/>
          </w:tcPr>
          <w:p w14:paraId="7C2080FA" w14:textId="77777777" w:rsidR="00834A75" w:rsidRDefault="00834A75">
            <w:pPr>
              <w:rPr>
                <w:rFonts w:ascii="宋体"/>
                <w:vanish/>
              </w:rPr>
            </w:pPr>
          </w:p>
        </w:tc>
        <w:tc>
          <w:tcPr>
            <w:tcW w:w="0" w:type="auto"/>
            <w:gridSpan w:val="3"/>
            <w:shd w:val="clear" w:color="auto" w:fill="auto"/>
            <w:vAlign w:val="bottom"/>
          </w:tcPr>
          <w:p w14:paraId="7C2080FB" w14:textId="77777777" w:rsidR="00834A75" w:rsidRDefault="00834A75">
            <w:pPr>
              <w:rPr>
                <w:rFonts w:ascii="宋体"/>
                <w:vanish/>
              </w:rPr>
            </w:pPr>
          </w:p>
        </w:tc>
      </w:tr>
      <w:tr w:rsidR="00834A75" w14:paraId="7C208109" w14:textId="77777777">
        <w:tc>
          <w:tcPr>
            <w:tcW w:w="0" w:type="auto"/>
            <w:gridSpan w:val="3"/>
            <w:shd w:val="clear" w:color="auto" w:fill="E2EFD9"/>
            <w:tcMar>
              <w:top w:w="40" w:type="dxa"/>
              <w:left w:w="20" w:type="dxa"/>
              <w:bottom w:w="40" w:type="dxa"/>
              <w:right w:w="20" w:type="dxa"/>
            </w:tcMar>
            <w:vAlign w:val="bottom"/>
          </w:tcPr>
          <w:p w14:paraId="7C2080FD" w14:textId="77777777" w:rsidR="00834A75" w:rsidRDefault="00A6708C">
            <w:pPr>
              <w:ind w:firstLine="180"/>
              <w:textAlignment w:val="bottom"/>
            </w:pPr>
            <w:r>
              <w:rPr>
                <w:rFonts w:ascii="sans-serif" w:eastAsia="sans-serif" w:hAnsi="sans-serif" w:cs="sans-serif"/>
                <w:color w:val="000000"/>
                <w:sz w:val="20"/>
                <w:szCs w:val="20"/>
              </w:rPr>
              <w:t>Diluted (2)</w:t>
            </w:r>
          </w:p>
        </w:tc>
        <w:tc>
          <w:tcPr>
            <w:tcW w:w="0" w:type="auto"/>
            <w:tcBorders>
              <w:top w:val="double" w:sz="6" w:space="0" w:color="000000"/>
            </w:tcBorders>
            <w:shd w:val="clear" w:color="auto" w:fill="E2EFD9"/>
            <w:tcMar>
              <w:top w:w="40" w:type="dxa"/>
              <w:left w:w="20" w:type="dxa"/>
              <w:bottom w:w="40" w:type="dxa"/>
              <w:right w:w="0" w:type="dxa"/>
            </w:tcMar>
            <w:vAlign w:val="bottom"/>
          </w:tcPr>
          <w:p w14:paraId="7C2080FE" w14:textId="77777777" w:rsidR="00834A75" w:rsidRDefault="00A6708C">
            <w:pPr>
              <w:textAlignment w:val="bottom"/>
            </w:pPr>
            <w:r>
              <w:rPr>
                <w:rFonts w:ascii="sans-serif" w:eastAsia="sans-serif" w:hAnsi="sans-serif" w:cs="sans-serif"/>
                <w:color w:val="000000"/>
                <w:sz w:val="20"/>
                <w:szCs w:val="20"/>
              </w:rPr>
              <w:t>$</w:t>
            </w:r>
          </w:p>
        </w:tc>
        <w:tc>
          <w:tcPr>
            <w:tcW w:w="0" w:type="auto"/>
            <w:tcBorders>
              <w:top w:val="double" w:sz="6" w:space="0" w:color="000000"/>
            </w:tcBorders>
            <w:shd w:val="clear" w:color="auto" w:fill="E2EFD9"/>
            <w:tcMar>
              <w:top w:w="40" w:type="dxa"/>
              <w:left w:w="0" w:type="dxa"/>
              <w:bottom w:w="40" w:type="dxa"/>
              <w:right w:w="0" w:type="dxa"/>
            </w:tcMar>
            <w:vAlign w:val="bottom"/>
          </w:tcPr>
          <w:p w14:paraId="7C2080FF" w14:textId="77777777" w:rsidR="00834A75" w:rsidRDefault="00A6708C">
            <w:pPr>
              <w:jc w:val="right"/>
              <w:textAlignment w:val="bottom"/>
            </w:pPr>
            <w:r>
              <w:rPr>
                <w:rFonts w:ascii="sans-serif" w:eastAsia="sans-serif" w:hAnsi="sans-serif" w:cs="sans-serif"/>
                <w:color w:val="000000"/>
                <w:sz w:val="20"/>
                <w:szCs w:val="20"/>
              </w:rPr>
              <w:t>0.64 </w:t>
            </w:r>
          </w:p>
        </w:tc>
        <w:tc>
          <w:tcPr>
            <w:tcW w:w="0" w:type="auto"/>
            <w:tcBorders>
              <w:top w:val="double" w:sz="6" w:space="0" w:color="000000"/>
            </w:tcBorders>
            <w:shd w:val="clear" w:color="auto" w:fill="E2EFD9"/>
            <w:tcMar>
              <w:top w:w="40" w:type="dxa"/>
              <w:left w:w="0" w:type="dxa"/>
              <w:bottom w:w="40" w:type="dxa"/>
              <w:right w:w="20" w:type="dxa"/>
            </w:tcMar>
            <w:vAlign w:val="bottom"/>
          </w:tcPr>
          <w:p w14:paraId="7C208100" w14:textId="77777777" w:rsidR="00834A75" w:rsidRDefault="00834A75">
            <w:pPr>
              <w:jc w:val="right"/>
              <w:rPr>
                <w:rFonts w:ascii="宋体"/>
              </w:rPr>
            </w:pPr>
          </w:p>
        </w:tc>
        <w:tc>
          <w:tcPr>
            <w:tcW w:w="0" w:type="auto"/>
            <w:gridSpan w:val="3"/>
            <w:shd w:val="clear" w:color="auto" w:fill="E2EFD9"/>
            <w:tcMar>
              <w:top w:w="0" w:type="dxa"/>
              <w:left w:w="20" w:type="dxa"/>
              <w:bottom w:w="0" w:type="dxa"/>
              <w:right w:w="20" w:type="dxa"/>
            </w:tcMar>
            <w:vAlign w:val="bottom"/>
          </w:tcPr>
          <w:p w14:paraId="7C208101" w14:textId="77777777" w:rsidR="00834A75" w:rsidRDefault="00834A75">
            <w:pPr>
              <w:rPr>
                <w:rFonts w:ascii="宋体"/>
              </w:rPr>
            </w:pPr>
          </w:p>
        </w:tc>
        <w:tc>
          <w:tcPr>
            <w:tcW w:w="0" w:type="auto"/>
            <w:tcBorders>
              <w:top w:val="double" w:sz="6" w:space="0" w:color="000000"/>
            </w:tcBorders>
            <w:shd w:val="clear" w:color="auto" w:fill="E2EFD9"/>
            <w:tcMar>
              <w:top w:w="40" w:type="dxa"/>
              <w:left w:w="20" w:type="dxa"/>
              <w:bottom w:w="40" w:type="dxa"/>
              <w:right w:w="0" w:type="dxa"/>
            </w:tcMar>
            <w:vAlign w:val="bottom"/>
          </w:tcPr>
          <w:p w14:paraId="7C208102" w14:textId="77777777" w:rsidR="00834A75" w:rsidRDefault="00A6708C">
            <w:pPr>
              <w:textAlignment w:val="bottom"/>
            </w:pPr>
            <w:r>
              <w:rPr>
                <w:rFonts w:ascii="sans-serif" w:eastAsia="sans-serif" w:hAnsi="sans-serif" w:cs="sans-serif"/>
                <w:color w:val="000000"/>
                <w:sz w:val="20"/>
                <w:szCs w:val="20"/>
              </w:rPr>
              <w:t>$</w:t>
            </w:r>
          </w:p>
        </w:tc>
        <w:tc>
          <w:tcPr>
            <w:tcW w:w="0" w:type="auto"/>
            <w:tcBorders>
              <w:top w:val="double" w:sz="6" w:space="0" w:color="000000"/>
            </w:tcBorders>
            <w:shd w:val="clear" w:color="auto" w:fill="E2EFD9"/>
            <w:tcMar>
              <w:top w:w="40" w:type="dxa"/>
              <w:left w:w="0" w:type="dxa"/>
              <w:bottom w:w="40" w:type="dxa"/>
              <w:right w:w="0" w:type="dxa"/>
            </w:tcMar>
            <w:vAlign w:val="bottom"/>
          </w:tcPr>
          <w:p w14:paraId="7C208103" w14:textId="77777777" w:rsidR="00834A75" w:rsidRDefault="00A6708C">
            <w:pPr>
              <w:jc w:val="right"/>
              <w:textAlignment w:val="bottom"/>
            </w:pPr>
            <w:r>
              <w:rPr>
                <w:rFonts w:ascii="sans-serif" w:eastAsia="sans-serif" w:hAnsi="sans-serif" w:cs="sans-serif"/>
                <w:color w:val="000000"/>
                <w:sz w:val="20"/>
                <w:szCs w:val="20"/>
              </w:rPr>
              <w:t>0.76 </w:t>
            </w:r>
          </w:p>
        </w:tc>
        <w:tc>
          <w:tcPr>
            <w:tcW w:w="0" w:type="auto"/>
            <w:tcBorders>
              <w:top w:val="double" w:sz="6" w:space="0" w:color="000000"/>
            </w:tcBorders>
            <w:shd w:val="clear" w:color="auto" w:fill="E2EFD9"/>
            <w:tcMar>
              <w:top w:w="40" w:type="dxa"/>
              <w:left w:w="0" w:type="dxa"/>
              <w:bottom w:w="40" w:type="dxa"/>
              <w:right w:w="20" w:type="dxa"/>
            </w:tcMar>
            <w:vAlign w:val="bottom"/>
          </w:tcPr>
          <w:p w14:paraId="7C208104" w14:textId="77777777" w:rsidR="00834A75" w:rsidRDefault="00834A75">
            <w:pPr>
              <w:jc w:val="right"/>
              <w:rPr>
                <w:rFonts w:ascii="宋体"/>
              </w:rPr>
            </w:pPr>
          </w:p>
        </w:tc>
        <w:tc>
          <w:tcPr>
            <w:tcW w:w="0" w:type="auto"/>
            <w:gridSpan w:val="3"/>
            <w:shd w:val="clear" w:color="auto" w:fill="auto"/>
            <w:vAlign w:val="bottom"/>
          </w:tcPr>
          <w:p w14:paraId="7C208105" w14:textId="77777777" w:rsidR="00834A75" w:rsidRDefault="00834A75">
            <w:pPr>
              <w:rPr>
                <w:rFonts w:ascii="宋体"/>
                <w:vanish/>
              </w:rPr>
            </w:pPr>
          </w:p>
        </w:tc>
        <w:tc>
          <w:tcPr>
            <w:tcW w:w="0" w:type="auto"/>
            <w:gridSpan w:val="3"/>
            <w:shd w:val="clear" w:color="auto" w:fill="auto"/>
            <w:vAlign w:val="bottom"/>
          </w:tcPr>
          <w:p w14:paraId="7C208106" w14:textId="77777777" w:rsidR="00834A75" w:rsidRDefault="00834A75">
            <w:pPr>
              <w:rPr>
                <w:rFonts w:ascii="宋体"/>
                <w:vanish/>
              </w:rPr>
            </w:pPr>
          </w:p>
        </w:tc>
        <w:tc>
          <w:tcPr>
            <w:tcW w:w="0" w:type="auto"/>
            <w:gridSpan w:val="3"/>
            <w:shd w:val="clear" w:color="auto" w:fill="auto"/>
            <w:vAlign w:val="bottom"/>
          </w:tcPr>
          <w:p w14:paraId="7C208107" w14:textId="77777777" w:rsidR="00834A75" w:rsidRDefault="00834A75">
            <w:pPr>
              <w:rPr>
                <w:rFonts w:ascii="宋体"/>
                <w:vanish/>
              </w:rPr>
            </w:pPr>
          </w:p>
        </w:tc>
        <w:tc>
          <w:tcPr>
            <w:tcW w:w="0" w:type="auto"/>
            <w:gridSpan w:val="3"/>
            <w:shd w:val="clear" w:color="auto" w:fill="auto"/>
            <w:vAlign w:val="bottom"/>
          </w:tcPr>
          <w:p w14:paraId="7C208108" w14:textId="77777777" w:rsidR="00834A75" w:rsidRDefault="00834A75">
            <w:pPr>
              <w:rPr>
                <w:rFonts w:ascii="宋体"/>
                <w:vanish/>
              </w:rPr>
            </w:pPr>
          </w:p>
        </w:tc>
      </w:tr>
      <w:tr w:rsidR="00834A75" w14:paraId="7C208114" w14:textId="77777777">
        <w:tc>
          <w:tcPr>
            <w:tcW w:w="0" w:type="auto"/>
            <w:gridSpan w:val="3"/>
            <w:shd w:val="clear" w:color="auto" w:fill="FFFFFF"/>
            <w:tcMar>
              <w:top w:w="40" w:type="dxa"/>
              <w:left w:w="20" w:type="dxa"/>
              <w:bottom w:w="40" w:type="dxa"/>
              <w:right w:w="20" w:type="dxa"/>
            </w:tcMar>
            <w:vAlign w:val="bottom"/>
          </w:tcPr>
          <w:p w14:paraId="7C20810A" w14:textId="77777777" w:rsidR="00834A75" w:rsidRDefault="00A6708C">
            <w:pPr>
              <w:textAlignment w:val="bottom"/>
            </w:pPr>
            <w:r>
              <w:rPr>
                <w:rFonts w:ascii="sans-serif" w:eastAsia="sans-serif" w:hAnsi="sans-serif" w:cs="sans-serif"/>
                <w:color w:val="000000"/>
                <w:sz w:val="20"/>
                <w:szCs w:val="20"/>
              </w:rPr>
              <w:t>Equity awards excluded from diluted net income per share because their effect would have been anti-dilutive</w:t>
            </w:r>
          </w:p>
        </w:tc>
        <w:tc>
          <w:tcPr>
            <w:tcW w:w="0" w:type="auto"/>
            <w:gridSpan w:val="2"/>
            <w:tcBorders>
              <w:top w:val="double" w:sz="6" w:space="0" w:color="000000"/>
            </w:tcBorders>
            <w:shd w:val="clear" w:color="auto" w:fill="FFFFFF"/>
            <w:tcMar>
              <w:top w:w="40" w:type="dxa"/>
              <w:left w:w="20" w:type="dxa"/>
              <w:bottom w:w="40" w:type="dxa"/>
              <w:right w:w="0" w:type="dxa"/>
            </w:tcMar>
            <w:vAlign w:val="bottom"/>
          </w:tcPr>
          <w:p w14:paraId="7C20810B" w14:textId="77777777" w:rsidR="00834A75" w:rsidRDefault="00A6708C">
            <w:pPr>
              <w:jc w:val="right"/>
              <w:textAlignment w:val="bottom"/>
            </w:pPr>
            <w:r>
              <w:rPr>
                <w:rFonts w:ascii="sans-serif" w:eastAsia="sans-serif" w:hAnsi="sans-serif" w:cs="sans-serif"/>
                <w:color w:val="000000"/>
                <w:sz w:val="20"/>
                <w:szCs w:val="20"/>
              </w:rPr>
              <w:t>3 </w:t>
            </w:r>
          </w:p>
        </w:tc>
        <w:tc>
          <w:tcPr>
            <w:tcW w:w="0" w:type="auto"/>
            <w:tcBorders>
              <w:top w:val="double" w:sz="6" w:space="0" w:color="000000"/>
            </w:tcBorders>
            <w:shd w:val="clear" w:color="auto" w:fill="FFFFFF"/>
            <w:tcMar>
              <w:top w:w="40" w:type="dxa"/>
              <w:left w:w="0" w:type="dxa"/>
              <w:bottom w:w="40" w:type="dxa"/>
              <w:right w:w="20" w:type="dxa"/>
            </w:tcMar>
            <w:vAlign w:val="bottom"/>
          </w:tcPr>
          <w:p w14:paraId="7C20810C" w14:textId="77777777" w:rsidR="00834A75" w:rsidRDefault="00834A75">
            <w:pPr>
              <w:jc w:val="right"/>
              <w:rPr>
                <w:rFonts w:ascii="宋体"/>
              </w:rPr>
            </w:pPr>
          </w:p>
        </w:tc>
        <w:tc>
          <w:tcPr>
            <w:tcW w:w="0" w:type="auto"/>
            <w:gridSpan w:val="3"/>
            <w:shd w:val="clear" w:color="auto" w:fill="FFFFFF"/>
            <w:tcMar>
              <w:top w:w="0" w:type="dxa"/>
              <w:left w:w="20" w:type="dxa"/>
              <w:bottom w:w="0" w:type="dxa"/>
              <w:right w:w="20" w:type="dxa"/>
            </w:tcMar>
            <w:vAlign w:val="bottom"/>
          </w:tcPr>
          <w:p w14:paraId="7C20810D" w14:textId="77777777" w:rsidR="00834A75" w:rsidRDefault="00834A75">
            <w:pPr>
              <w:rPr>
                <w:rFonts w:ascii="宋体"/>
              </w:rPr>
            </w:pPr>
          </w:p>
        </w:tc>
        <w:tc>
          <w:tcPr>
            <w:tcW w:w="0" w:type="auto"/>
            <w:gridSpan w:val="2"/>
            <w:tcBorders>
              <w:top w:val="double" w:sz="6" w:space="0" w:color="000000"/>
            </w:tcBorders>
            <w:shd w:val="clear" w:color="auto" w:fill="FFFFFF"/>
            <w:tcMar>
              <w:top w:w="40" w:type="dxa"/>
              <w:left w:w="20" w:type="dxa"/>
              <w:bottom w:w="40" w:type="dxa"/>
              <w:right w:w="0" w:type="dxa"/>
            </w:tcMar>
            <w:vAlign w:val="bottom"/>
          </w:tcPr>
          <w:p w14:paraId="7C20810E" w14:textId="77777777" w:rsidR="00834A75" w:rsidRDefault="00A6708C">
            <w:pPr>
              <w:jc w:val="right"/>
              <w:textAlignment w:val="bottom"/>
            </w:pPr>
            <w:r>
              <w:rPr>
                <w:rFonts w:ascii="sans-serif" w:eastAsia="sans-serif" w:hAnsi="sans-serif" w:cs="sans-serif"/>
                <w:color w:val="000000"/>
                <w:sz w:val="20"/>
                <w:szCs w:val="20"/>
              </w:rPr>
              <w:t>4 </w:t>
            </w:r>
          </w:p>
        </w:tc>
        <w:tc>
          <w:tcPr>
            <w:tcW w:w="0" w:type="auto"/>
            <w:tcBorders>
              <w:top w:val="double" w:sz="6" w:space="0" w:color="000000"/>
            </w:tcBorders>
            <w:shd w:val="clear" w:color="auto" w:fill="FFFFFF"/>
            <w:tcMar>
              <w:top w:w="40" w:type="dxa"/>
              <w:left w:w="0" w:type="dxa"/>
              <w:bottom w:w="40" w:type="dxa"/>
              <w:right w:w="20" w:type="dxa"/>
            </w:tcMar>
            <w:vAlign w:val="bottom"/>
          </w:tcPr>
          <w:p w14:paraId="7C20810F" w14:textId="77777777" w:rsidR="00834A75" w:rsidRDefault="00834A75">
            <w:pPr>
              <w:jc w:val="right"/>
              <w:rPr>
                <w:rFonts w:ascii="宋体"/>
              </w:rPr>
            </w:pPr>
          </w:p>
        </w:tc>
        <w:tc>
          <w:tcPr>
            <w:tcW w:w="0" w:type="auto"/>
            <w:gridSpan w:val="3"/>
            <w:shd w:val="clear" w:color="auto" w:fill="auto"/>
            <w:vAlign w:val="bottom"/>
          </w:tcPr>
          <w:p w14:paraId="7C208110" w14:textId="77777777" w:rsidR="00834A75" w:rsidRDefault="00834A75">
            <w:pPr>
              <w:rPr>
                <w:rFonts w:ascii="宋体"/>
                <w:vanish/>
              </w:rPr>
            </w:pPr>
          </w:p>
        </w:tc>
        <w:tc>
          <w:tcPr>
            <w:tcW w:w="0" w:type="auto"/>
            <w:gridSpan w:val="3"/>
            <w:shd w:val="clear" w:color="auto" w:fill="auto"/>
            <w:vAlign w:val="bottom"/>
          </w:tcPr>
          <w:p w14:paraId="7C208111" w14:textId="77777777" w:rsidR="00834A75" w:rsidRDefault="00834A75">
            <w:pPr>
              <w:rPr>
                <w:rFonts w:ascii="宋体"/>
                <w:vanish/>
              </w:rPr>
            </w:pPr>
          </w:p>
        </w:tc>
        <w:tc>
          <w:tcPr>
            <w:tcW w:w="0" w:type="auto"/>
            <w:gridSpan w:val="3"/>
            <w:shd w:val="clear" w:color="auto" w:fill="auto"/>
            <w:vAlign w:val="bottom"/>
          </w:tcPr>
          <w:p w14:paraId="7C208112" w14:textId="77777777" w:rsidR="00834A75" w:rsidRDefault="00834A75">
            <w:pPr>
              <w:rPr>
                <w:rFonts w:ascii="宋体"/>
                <w:vanish/>
              </w:rPr>
            </w:pPr>
          </w:p>
        </w:tc>
        <w:tc>
          <w:tcPr>
            <w:tcW w:w="0" w:type="auto"/>
            <w:gridSpan w:val="3"/>
            <w:shd w:val="clear" w:color="auto" w:fill="auto"/>
            <w:vAlign w:val="bottom"/>
          </w:tcPr>
          <w:p w14:paraId="7C208113" w14:textId="77777777" w:rsidR="00834A75" w:rsidRDefault="00834A75">
            <w:pPr>
              <w:rPr>
                <w:rFonts w:ascii="宋体"/>
                <w:vanish/>
              </w:rPr>
            </w:pPr>
          </w:p>
        </w:tc>
      </w:tr>
    </w:tbl>
    <w:p w14:paraId="7C208115" w14:textId="77777777" w:rsidR="00834A75" w:rsidRDefault="00A6708C">
      <w:pPr>
        <w:spacing w:after="60"/>
        <w:ind w:hanging="360"/>
        <w:jc w:val="both"/>
      </w:pPr>
      <w:r>
        <w:rPr>
          <w:rFonts w:ascii="sans-serif" w:eastAsia="sans-serif" w:hAnsi="sans-serif" w:cs="sans-serif"/>
          <w:color w:val="000000"/>
          <w:sz w:val="16"/>
          <w:szCs w:val="16"/>
        </w:rPr>
        <w:t>(1)    Calculated as net income divided by basic weighted average shares.</w:t>
      </w:r>
    </w:p>
    <w:p w14:paraId="7C208116" w14:textId="77777777" w:rsidR="00834A75" w:rsidRDefault="00A6708C">
      <w:pPr>
        <w:spacing w:after="180"/>
        <w:ind w:hanging="360"/>
        <w:jc w:val="both"/>
      </w:pPr>
      <w:r>
        <w:rPr>
          <w:rFonts w:ascii="sans-serif" w:eastAsia="sans-serif" w:hAnsi="sans-serif" w:cs="sans-serif"/>
          <w:color w:val="000000"/>
          <w:sz w:val="16"/>
          <w:szCs w:val="16"/>
        </w:rPr>
        <w:t>(2)    Calculated as net income divided by diluted weighted average shares.</w:t>
      </w:r>
    </w:p>
    <w:p w14:paraId="7C208117" w14:textId="77777777" w:rsidR="00834A75" w:rsidRDefault="00A6708C">
      <w:pPr>
        <w:spacing w:before="240" w:after="120"/>
        <w:jc w:val="both"/>
      </w:pPr>
      <w:r>
        <w:rPr>
          <w:rFonts w:ascii="sans-serif" w:eastAsia="sans-serif" w:hAnsi="sans-serif" w:cs="sans-serif"/>
          <w:b/>
          <w:bCs/>
          <w:color w:val="76B900"/>
          <w:sz w:val="22"/>
          <w:szCs w:val="22"/>
        </w:rPr>
        <w:t>Note 6 – Income Taxes</w:t>
      </w:r>
    </w:p>
    <w:p w14:paraId="7C208118" w14:textId="77777777" w:rsidR="00834A75" w:rsidRDefault="00A6708C">
      <w:pPr>
        <w:spacing w:after="180"/>
        <w:jc w:val="both"/>
      </w:pPr>
      <w:r>
        <w:rPr>
          <w:rFonts w:ascii="sans-serif" w:eastAsia="sans-serif" w:hAnsi="sans-serif" w:cs="sans-serif"/>
          <w:color w:val="000000"/>
          <w:sz w:val="20"/>
          <w:szCs w:val="20"/>
        </w:rPr>
        <w:t xml:space="preserve">We recognized an income tax expense of $187 million and $132 million for the first quarter of fiscal years 2023 and 2022, respectively. The income tax </w:t>
      </w:r>
      <w:r>
        <w:rPr>
          <w:rFonts w:ascii="sans-serif" w:eastAsia="sans-serif" w:hAnsi="sans-serif" w:cs="sans-serif"/>
          <w:color w:val="000000"/>
          <w:sz w:val="20"/>
          <w:szCs w:val="20"/>
        </w:rPr>
        <w:t>expense as a percentage of income before income tax was 10.3% and 6.5% for the first quarter of fiscal years 2023 and 2022, respectively.</w:t>
      </w:r>
    </w:p>
    <w:p w14:paraId="7C208119" w14:textId="77777777" w:rsidR="00834A75" w:rsidRDefault="00A6708C">
      <w:pPr>
        <w:spacing w:before="120" w:after="120"/>
        <w:jc w:val="both"/>
      </w:pPr>
      <w:r>
        <w:rPr>
          <w:rFonts w:ascii="sans-serif" w:eastAsia="sans-serif" w:hAnsi="sans-serif" w:cs="sans-serif"/>
          <w:color w:val="000000"/>
          <w:sz w:val="20"/>
          <w:szCs w:val="20"/>
        </w:rPr>
        <w:t>The increase in our effective tax rate was primarily due to an increase in the amount of earnings subject to U.S. tax,</w:t>
      </w:r>
      <w:r>
        <w:rPr>
          <w:rFonts w:ascii="sans-serif" w:eastAsia="sans-serif" w:hAnsi="sans-serif" w:cs="sans-serif"/>
          <w:color w:val="000000"/>
          <w:sz w:val="20"/>
          <w:szCs w:val="20"/>
        </w:rPr>
        <w:t xml:space="preserve"> the Arm acquisition termination cost recorded in the first quarter of fiscal year 2023 which did not result in any material tax benefit, and a decreased impact of tax benefit from the U.S. federal research tax credit, partially offset by the increased ben</w:t>
      </w:r>
      <w:r>
        <w:rPr>
          <w:rFonts w:ascii="sans-serif" w:eastAsia="sans-serif" w:hAnsi="sans-serif" w:cs="sans-serif"/>
          <w:color w:val="000000"/>
          <w:sz w:val="20"/>
          <w:szCs w:val="20"/>
        </w:rPr>
        <w:t xml:space="preserve">efits from the foreign-derived intangible income deduction and stock-based compensation. </w:t>
      </w:r>
    </w:p>
    <w:p w14:paraId="7C20811A" w14:textId="77777777" w:rsidR="00834A75" w:rsidRDefault="00A6708C">
      <w:pPr>
        <w:spacing w:after="180"/>
        <w:jc w:val="both"/>
      </w:pPr>
      <w:r>
        <w:rPr>
          <w:rFonts w:ascii="sans-serif" w:eastAsia="sans-serif" w:hAnsi="sans-serif" w:cs="sans-serif"/>
          <w:color w:val="000000"/>
          <w:sz w:val="20"/>
          <w:szCs w:val="20"/>
        </w:rPr>
        <w:t>Our effective tax rate for the first quarter of fiscal year 2023 was lower than the U.S. federal statutory rate of 21% due to tax benefits from the foreign-derived in</w:t>
      </w:r>
      <w:r>
        <w:rPr>
          <w:rFonts w:ascii="sans-serif" w:eastAsia="sans-serif" w:hAnsi="sans-serif" w:cs="sans-serif"/>
          <w:color w:val="000000"/>
          <w:sz w:val="20"/>
          <w:szCs w:val="20"/>
        </w:rPr>
        <w:t>tangible income deduction, stock-based compensation and the U.S. federal research tax credit.</w:t>
      </w:r>
    </w:p>
    <w:p w14:paraId="7C20811B" w14:textId="77777777" w:rsidR="00834A75" w:rsidRDefault="00A6708C">
      <w:pPr>
        <w:spacing w:after="180"/>
        <w:jc w:val="both"/>
      </w:pPr>
      <w:r>
        <w:rPr>
          <w:rFonts w:ascii="sans-serif" w:eastAsia="sans-serif" w:hAnsi="sans-serif" w:cs="sans-serif"/>
          <w:color w:val="000000"/>
          <w:sz w:val="20"/>
          <w:szCs w:val="20"/>
        </w:rPr>
        <w:t xml:space="preserve">Our effective tax rate for the first quarter of fiscal year 2022 was lower than the U.S. federal statutory rate of 21% due to income earned in jurisdictions that </w:t>
      </w:r>
      <w:r>
        <w:rPr>
          <w:rFonts w:ascii="sans-serif" w:eastAsia="sans-serif" w:hAnsi="sans-serif" w:cs="sans-serif"/>
          <w:color w:val="000000"/>
          <w:sz w:val="20"/>
          <w:szCs w:val="20"/>
        </w:rPr>
        <w:t>are subject to taxes lower than the U.S. federal statutory tax rate and tax benefits related to stock-based compensation and the U.S. federal research tax credit.</w:t>
      </w:r>
    </w:p>
    <w:p w14:paraId="7C20811C" w14:textId="77777777" w:rsidR="00834A75" w:rsidRDefault="00A6708C">
      <w:pPr>
        <w:spacing w:after="180"/>
        <w:jc w:val="both"/>
      </w:pPr>
      <w:r>
        <w:rPr>
          <w:rFonts w:ascii="sans-serif" w:eastAsia="sans-serif" w:hAnsi="sans-serif" w:cs="sans-serif"/>
          <w:color w:val="000000"/>
          <w:sz w:val="20"/>
          <w:szCs w:val="20"/>
        </w:rPr>
        <w:t>For the first quarter of fiscal year 2023, there have been no material changes to our tax yea</w:t>
      </w:r>
      <w:r>
        <w:rPr>
          <w:rFonts w:ascii="sans-serif" w:eastAsia="sans-serif" w:hAnsi="sans-serif" w:cs="sans-serif"/>
          <w:color w:val="000000"/>
          <w:sz w:val="20"/>
          <w:szCs w:val="20"/>
        </w:rPr>
        <w:t xml:space="preserve">rs that remain subject to examination by major tax jurisdictions. We are currently under examination by the Internal Revenue Service for our fiscal years 2018 and 2019. Additionally, there have been no material changes to our unrecognized tax benefits and </w:t>
      </w:r>
      <w:r>
        <w:rPr>
          <w:rFonts w:ascii="sans-serif" w:eastAsia="sans-serif" w:hAnsi="sans-serif" w:cs="sans-serif"/>
          <w:color w:val="000000"/>
          <w:sz w:val="20"/>
          <w:szCs w:val="20"/>
        </w:rPr>
        <w:t>any related interest or penalties since the fiscal year ended January 30, 2022.</w:t>
      </w:r>
    </w:p>
    <w:p w14:paraId="7C20811D" w14:textId="77777777" w:rsidR="00834A75" w:rsidRDefault="00A6708C">
      <w:pPr>
        <w:spacing w:after="180"/>
        <w:jc w:val="both"/>
      </w:pPr>
      <w:r>
        <w:rPr>
          <w:rFonts w:ascii="sans-serif" w:eastAsia="sans-serif" w:hAnsi="sans-serif" w:cs="sans-serif"/>
          <w:color w:val="000000"/>
          <w:sz w:val="20"/>
          <w:szCs w:val="20"/>
        </w:rPr>
        <w:t>While we believe that we have adequately provided for all uncertain tax positions, or tax positions where we believe it is not more-likely-than-not that the position will be su</w:t>
      </w:r>
      <w:r>
        <w:rPr>
          <w:rFonts w:ascii="sans-serif" w:eastAsia="sans-serif" w:hAnsi="sans-serif" w:cs="sans-serif"/>
          <w:color w:val="000000"/>
          <w:sz w:val="20"/>
          <w:szCs w:val="20"/>
        </w:rPr>
        <w:t>stained upon review, amounts asserted by tax authorities could be greater or less than our accrued position. Accordingly, our provisions on federal, state and foreign tax related matters to be recorded in the future may change as revised estimates are made</w:t>
      </w:r>
      <w:r>
        <w:rPr>
          <w:rFonts w:ascii="sans-serif" w:eastAsia="sans-serif" w:hAnsi="sans-serif" w:cs="sans-serif"/>
          <w:color w:val="000000"/>
          <w:sz w:val="20"/>
          <w:szCs w:val="20"/>
        </w:rPr>
        <w:t xml:space="preserve"> or the underlying matters are settled or otherwise resolved with the respective tax authorities. As of May 1, 2022, we do not believe that our estimates, as otherwise provided for, on such tax positions will significantly increase or decrease within the n</w:t>
      </w:r>
      <w:r>
        <w:rPr>
          <w:rFonts w:ascii="sans-serif" w:eastAsia="sans-serif" w:hAnsi="sans-serif" w:cs="sans-serif"/>
          <w:color w:val="000000"/>
          <w:sz w:val="20"/>
          <w:szCs w:val="20"/>
        </w:rPr>
        <w:t xml:space="preserve">ext 12 months. </w:t>
      </w:r>
    </w:p>
    <w:p w14:paraId="7C20811E" w14:textId="77777777" w:rsidR="00834A75" w:rsidRDefault="00A6708C">
      <w:pPr>
        <w:spacing w:after="180"/>
        <w:jc w:val="center"/>
      </w:pPr>
      <w:r>
        <w:rPr>
          <w:rFonts w:ascii="sans-serif" w:eastAsia="sans-serif" w:hAnsi="sans-serif" w:cs="sans-serif"/>
          <w:color w:val="000000"/>
          <w:sz w:val="20"/>
          <w:szCs w:val="20"/>
        </w:rPr>
        <w:t>11</w:t>
      </w:r>
    </w:p>
    <w:p w14:paraId="7C20811F" w14:textId="77777777" w:rsidR="00834A75" w:rsidRDefault="00A6708C">
      <w:r>
        <w:pict w14:anchorId="7C20935A">
          <v:rect id="_x0000_i1035" style="width:415.3pt;height:1.5pt" o:hralign="center" o:hrstd="t" o:hr="t" fillcolor="#a0a0a0" stroked="f"/>
        </w:pict>
      </w:r>
    </w:p>
    <w:p w14:paraId="7C208120" w14:textId="77777777" w:rsidR="00834A75" w:rsidRDefault="00A6708C">
      <w:pPr>
        <w:jc w:val="center"/>
      </w:pPr>
      <w:r>
        <w:rPr>
          <w:rFonts w:ascii="sans-serif" w:eastAsia="sans-serif" w:hAnsi="sans-serif" w:cs="sans-serif"/>
          <w:b/>
          <w:bCs/>
          <w:color w:val="000000"/>
          <w:sz w:val="20"/>
          <w:szCs w:val="20"/>
        </w:rPr>
        <w:t>NVIDIA CORPORATION AND SUBSIDIARIES</w:t>
      </w:r>
    </w:p>
    <w:p w14:paraId="7C208121" w14:textId="77777777" w:rsidR="00834A75" w:rsidRDefault="00A6708C">
      <w:pPr>
        <w:jc w:val="center"/>
      </w:pPr>
      <w:r>
        <w:rPr>
          <w:rFonts w:ascii="sans-serif" w:eastAsia="sans-serif" w:hAnsi="sans-serif" w:cs="sans-serif"/>
          <w:b/>
          <w:bCs/>
          <w:color w:val="000000"/>
          <w:sz w:val="20"/>
          <w:szCs w:val="20"/>
        </w:rPr>
        <w:t>NOTES TO CONDENSED CONSOLIDATED FINANCIAL STATEMENTS (Continued)</w:t>
      </w:r>
    </w:p>
    <w:p w14:paraId="7C208122" w14:textId="77777777" w:rsidR="00834A75" w:rsidRDefault="00A6708C">
      <w:pPr>
        <w:jc w:val="center"/>
      </w:pPr>
      <w:r>
        <w:rPr>
          <w:rFonts w:ascii="sans-serif" w:eastAsia="sans-serif" w:hAnsi="sans-serif" w:cs="sans-serif"/>
          <w:b/>
          <w:bCs/>
          <w:color w:val="000000"/>
          <w:sz w:val="20"/>
          <w:szCs w:val="20"/>
        </w:rPr>
        <w:t>(Unaudited)</w:t>
      </w:r>
    </w:p>
    <w:p w14:paraId="7C208123" w14:textId="77777777" w:rsidR="00834A75" w:rsidRDefault="00834A75">
      <w:pPr>
        <w:spacing w:after="180"/>
        <w:jc w:val="both"/>
      </w:pPr>
    </w:p>
    <w:p w14:paraId="7C208124" w14:textId="77777777" w:rsidR="00834A75" w:rsidRDefault="00834A75">
      <w:pPr>
        <w:spacing w:after="180"/>
        <w:jc w:val="both"/>
      </w:pPr>
    </w:p>
    <w:p w14:paraId="7C208125" w14:textId="77777777" w:rsidR="00834A75" w:rsidRDefault="00A6708C">
      <w:pPr>
        <w:spacing w:before="240" w:after="120"/>
        <w:jc w:val="both"/>
      </w:pPr>
      <w:r>
        <w:rPr>
          <w:rFonts w:ascii="sans-serif" w:eastAsia="sans-serif" w:hAnsi="sans-serif" w:cs="sans-serif"/>
          <w:b/>
          <w:bCs/>
          <w:color w:val="76B900"/>
          <w:sz w:val="22"/>
          <w:szCs w:val="22"/>
        </w:rPr>
        <w:t>Note 7 - Cash Equivalents and Marketable Securities</w:t>
      </w:r>
      <w:r>
        <w:rPr>
          <w:rFonts w:ascii="sans-serif" w:eastAsia="sans-serif" w:hAnsi="sans-serif" w:cs="sans-serif"/>
          <w:color w:val="000000"/>
          <w:sz w:val="20"/>
          <w:szCs w:val="20"/>
        </w:rPr>
        <w:t> </w:t>
      </w:r>
    </w:p>
    <w:p w14:paraId="7C208126" w14:textId="77777777" w:rsidR="00834A75" w:rsidRDefault="00A6708C">
      <w:pPr>
        <w:spacing w:after="180"/>
        <w:jc w:val="both"/>
      </w:pPr>
      <w:r>
        <w:rPr>
          <w:rFonts w:ascii="sans-serif" w:eastAsia="sans-serif" w:hAnsi="sans-serif" w:cs="sans-serif"/>
          <w:color w:val="000000"/>
          <w:sz w:val="20"/>
          <w:szCs w:val="20"/>
        </w:rPr>
        <w:t xml:space="preserve">Our cash equivalents and marketable securities related to debt </w:t>
      </w:r>
      <w:r>
        <w:rPr>
          <w:rFonts w:ascii="sans-serif" w:eastAsia="sans-serif" w:hAnsi="sans-serif" w:cs="sans-serif"/>
          <w:color w:val="000000"/>
          <w:sz w:val="20"/>
          <w:szCs w:val="20"/>
        </w:rPr>
        <w:t>securities are classified as “available-for-sale” debt securities.</w:t>
      </w:r>
    </w:p>
    <w:p w14:paraId="7C208127" w14:textId="77777777" w:rsidR="00834A75" w:rsidRDefault="00A6708C">
      <w:pPr>
        <w:spacing w:after="180"/>
        <w:jc w:val="both"/>
      </w:pPr>
      <w:r>
        <w:rPr>
          <w:rFonts w:ascii="sans-serif" w:eastAsia="sans-serif" w:hAnsi="sans-serif" w:cs="sans-serif"/>
          <w:color w:val="000000"/>
          <w:sz w:val="20"/>
          <w:szCs w:val="20"/>
        </w:rPr>
        <w:t>The following is a summary of cash equivalents and marketable securities as of May 1, 2022 and January 30, 2022:</w:t>
      </w:r>
    </w:p>
    <w:tbl>
      <w:tblPr>
        <w:tblW w:w="4971" w:type="pct"/>
        <w:tblCellMar>
          <w:top w:w="15" w:type="dxa"/>
          <w:left w:w="15" w:type="dxa"/>
          <w:bottom w:w="15" w:type="dxa"/>
          <w:right w:w="15" w:type="dxa"/>
        </w:tblCellMar>
        <w:tblLook w:val="04A0" w:firstRow="1" w:lastRow="0" w:firstColumn="1" w:lastColumn="0" w:noHBand="0" w:noVBand="1"/>
      </w:tblPr>
      <w:tblGrid>
        <w:gridCol w:w="38"/>
        <w:gridCol w:w="1627"/>
        <w:gridCol w:w="37"/>
        <w:gridCol w:w="123"/>
        <w:gridCol w:w="816"/>
        <w:gridCol w:w="36"/>
        <w:gridCol w:w="36"/>
        <w:gridCol w:w="36"/>
        <w:gridCol w:w="36"/>
        <w:gridCol w:w="123"/>
        <w:gridCol w:w="842"/>
        <w:gridCol w:w="36"/>
        <w:gridCol w:w="36"/>
        <w:gridCol w:w="36"/>
        <w:gridCol w:w="36"/>
        <w:gridCol w:w="123"/>
        <w:gridCol w:w="839"/>
        <w:gridCol w:w="36"/>
        <w:gridCol w:w="36"/>
        <w:gridCol w:w="36"/>
        <w:gridCol w:w="36"/>
        <w:gridCol w:w="123"/>
        <w:gridCol w:w="785"/>
        <w:gridCol w:w="36"/>
        <w:gridCol w:w="36"/>
        <w:gridCol w:w="36"/>
        <w:gridCol w:w="36"/>
        <w:gridCol w:w="123"/>
        <w:gridCol w:w="904"/>
        <w:gridCol w:w="36"/>
        <w:gridCol w:w="36"/>
        <w:gridCol w:w="36"/>
        <w:gridCol w:w="36"/>
        <w:gridCol w:w="123"/>
        <w:gridCol w:w="906"/>
        <w:gridCol w:w="36"/>
      </w:tblGrid>
      <w:tr w:rsidR="00834A75" w14:paraId="7C20814C" w14:textId="77777777">
        <w:tc>
          <w:tcPr>
            <w:tcW w:w="50" w:type="pct"/>
            <w:shd w:val="clear" w:color="auto" w:fill="auto"/>
            <w:vAlign w:val="bottom"/>
          </w:tcPr>
          <w:p w14:paraId="7C208128" w14:textId="77777777" w:rsidR="00834A75" w:rsidRDefault="00834A75">
            <w:pPr>
              <w:rPr>
                <w:rFonts w:ascii="宋体"/>
              </w:rPr>
            </w:pPr>
          </w:p>
        </w:tc>
        <w:tc>
          <w:tcPr>
            <w:tcW w:w="1481" w:type="pct"/>
            <w:shd w:val="clear" w:color="auto" w:fill="auto"/>
            <w:vAlign w:val="bottom"/>
          </w:tcPr>
          <w:p w14:paraId="7C208129" w14:textId="77777777" w:rsidR="00834A75" w:rsidRDefault="00834A75">
            <w:pPr>
              <w:rPr>
                <w:rFonts w:ascii="宋体"/>
              </w:rPr>
            </w:pPr>
          </w:p>
        </w:tc>
        <w:tc>
          <w:tcPr>
            <w:tcW w:w="5" w:type="pct"/>
            <w:shd w:val="clear" w:color="auto" w:fill="auto"/>
            <w:vAlign w:val="bottom"/>
          </w:tcPr>
          <w:p w14:paraId="7C20812A" w14:textId="77777777" w:rsidR="00834A75" w:rsidRDefault="00834A75">
            <w:pPr>
              <w:rPr>
                <w:rFonts w:ascii="宋体"/>
              </w:rPr>
            </w:pPr>
          </w:p>
        </w:tc>
        <w:tc>
          <w:tcPr>
            <w:tcW w:w="50" w:type="pct"/>
            <w:shd w:val="clear" w:color="auto" w:fill="auto"/>
            <w:vAlign w:val="bottom"/>
          </w:tcPr>
          <w:p w14:paraId="7C20812B" w14:textId="77777777" w:rsidR="00834A75" w:rsidRDefault="00834A75">
            <w:pPr>
              <w:rPr>
                <w:rFonts w:ascii="宋体"/>
              </w:rPr>
            </w:pPr>
          </w:p>
        </w:tc>
        <w:tc>
          <w:tcPr>
            <w:tcW w:w="481" w:type="pct"/>
            <w:shd w:val="clear" w:color="auto" w:fill="auto"/>
            <w:vAlign w:val="bottom"/>
          </w:tcPr>
          <w:p w14:paraId="7C20812C" w14:textId="77777777" w:rsidR="00834A75" w:rsidRDefault="00834A75">
            <w:pPr>
              <w:rPr>
                <w:rFonts w:ascii="宋体"/>
              </w:rPr>
            </w:pPr>
          </w:p>
        </w:tc>
        <w:tc>
          <w:tcPr>
            <w:tcW w:w="5" w:type="pct"/>
            <w:shd w:val="clear" w:color="auto" w:fill="auto"/>
            <w:vAlign w:val="bottom"/>
          </w:tcPr>
          <w:p w14:paraId="7C20812D" w14:textId="77777777" w:rsidR="00834A75" w:rsidRDefault="00834A75">
            <w:pPr>
              <w:rPr>
                <w:rFonts w:ascii="宋体"/>
              </w:rPr>
            </w:pPr>
          </w:p>
        </w:tc>
        <w:tc>
          <w:tcPr>
            <w:tcW w:w="5" w:type="pct"/>
            <w:shd w:val="clear" w:color="auto" w:fill="auto"/>
            <w:vAlign w:val="bottom"/>
          </w:tcPr>
          <w:p w14:paraId="7C20812E" w14:textId="77777777" w:rsidR="00834A75" w:rsidRDefault="00834A75">
            <w:pPr>
              <w:rPr>
                <w:rFonts w:ascii="宋体"/>
              </w:rPr>
            </w:pPr>
          </w:p>
        </w:tc>
        <w:tc>
          <w:tcPr>
            <w:tcW w:w="26" w:type="pct"/>
            <w:shd w:val="clear" w:color="auto" w:fill="auto"/>
            <w:vAlign w:val="bottom"/>
          </w:tcPr>
          <w:p w14:paraId="7C20812F" w14:textId="77777777" w:rsidR="00834A75" w:rsidRDefault="00834A75">
            <w:pPr>
              <w:rPr>
                <w:rFonts w:ascii="宋体"/>
              </w:rPr>
            </w:pPr>
          </w:p>
        </w:tc>
        <w:tc>
          <w:tcPr>
            <w:tcW w:w="5" w:type="pct"/>
            <w:shd w:val="clear" w:color="auto" w:fill="auto"/>
            <w:vAlign w:val="bottom"/>
          </w:tcPr>
          <w:p w14:paraId="7C208130" w14:textId="77777777" w:rsidR="00834A75" w:rsidRDefault="00834A75">
            <w:pPr>
              <w:rPr>
                <w:rFonts w:ascii="宋体"/>
              </w:rPr>
            </w:pPr>
          </w:p>
        </w:tc>
        <w:tc>
          <w:tcPr>
            <w:tcW w:w="50" w:type="pct"/>
            <w:shd w:val="clear" w:color="auto" w:fill="auto"/>
            <w:vAlign w:val="bottom"/>
          </w:tcPr>
          <w:p w14:paraId="7C208131" w14:textId="77777777" w:rsidR="00834A75" w:rsidRDefault="00834A75">
            <w:pPr>
              <w:rPr>
                <w:rFonts w:ascii="宋体"/>
              </w:rPr>
            </w:pPr>
          </w:p>
        </w:tc>
        <w:tc>
          <w:tcPr>
            <w:tcW w:w="496" w:type="pct"/>
            <w:shd w:val="clear" w:color="auto" w:fill="auto"/>
            <w:vAlign w:val="bottom"/>
          </w:tcPr>
          <w:p w14:paraId="7C208132" w14:textId="77777777" w:rsidR="00834A75" w:rsidRDefault="00834A75">
            <w:pPr>
              <w:rPr>
                <w:rFonts w:ascii="宋体"/>
              </w:rPr>
            </w:pPr>
          </w:p>
        </w:tc>
        <w:tc>
          <w:tcPr>
            <w:tcW w:w="5" w:type="pct"/>
            <w:shd w:val="clear" w:color="auto" w:fill="auto"/>
            <w:vAlign w:val="bottom"/>
          </w:tcPr>
          <w:p w14:paraId="7C208133" w14:textId="77777777" w:rsidR="00834A75" w:rsidRDefault="00834A75">
            <w:pPr>
              <w:rPr>
                <w:rFonts w:ascii="宋体"/>
              </w:rPr>
            </w:pPr>
          </w:p>
        </w:tc>
        <w:tc>
          <w:tcPr>
            <w:tcW w:w="5" w:type="pct"/>
            <w:shd w:val="clear" w:color="auto" w:fill="auto"/>
            <w:vAlign w:val="bottom"/>
          </w:tcPr>
          <w:p w14:paraId="7C208134" w14:textId="77777777" w:rsidR="00834A75" w:rsidRDefault="00834A75">
            <w:pPr>
              <w:rPr>
                <w:rFonts w:ascii="宋体"/>
              </w:rPr>
            </w:pPr>
          </w:p>
        </w:tc>
        <w:tc>
          <w:tcPr>
            <w:tcW w:w="26" w:type="pct"/>
            <w:shd w:val="clear" w:color="auto" w:fill="auto"/>
            <w:vAlign w:val="bottom"/>
          </w:tcPr>
          <w:p w14:paraId="7C208135" w14:textId="77777777" w:rsidR="00834A75" w:rsidRDefault="00834A75">
            <w:pPr>
              <w:rPr>
                <w:rFonts w:ascii="宋体"/>
              </w:rPr>
            </w:pPr>
          </w:p>
        </w:tc>
        <w:tc>
          <w:tcPr>
            <w:tcW w:w="5" w:type="pct"/>
            <w:shd w:val="clear" w:color="auto" w:fill="auto"/>
            <w:vAlign w:val="bottom"/>
          </w:tcPr>
          <w:p w14:paraId="7C208136" w14:textId="77777777" w:rsidR="00834A75" w:rsidRDefault="00834A75">
            <w:pPr>
              <w:rPr>
                <w:rFonts w:ascii="宋体"/>
              </w:rPr>
            </w:pPr>
          </w:p>
        </w:tc>
        <w:tc>
          <w:tcPr>
            <w:tcW w:w="50" w:type="pct"/>
            <w:shd w:val="clear" w:color="auto" w:fill="auto"/>
            <w:vAlign w:val="bottom"/>
          </w:tcPr>
          <w:p w14:paraId="7C208137" w14:textId="77777777" w:rsidR="00834A75" w:rsidRDefault="00834A75">
            <w:pPr>
              <w:rPr>
                <w:rFonts w:ascii="宋体"/>
              </w:rPr>
            </w:pPr>
          </w:p>
        </w:tc>
        <w:tc>
          <w:tcPr>
            <w:tcW w:w="481" w:type="pct"/>
            <w:shd w:val="clear" w:color="auto" w:fill="auto"/>
            <w:vAlign w:val="bottom"/>
          </w:tcPr>
          <w:p w14:paraId="7C208138" w14:textId="77777777" w:rsidR="00834A75" w:rsidRDefault="00834A75">
            <w:pPr>
              <w:rPr>
                <w:rFonts w:ascii="宋体"/>
              </w:rPr>
            </w:pPr>
          </w:p>
        </w:tc>
        <w:tc>
          <w:tcPr>
            <w:tcW w:w="5" w:type="pct"/>
            <w:shd w:val="clear" w:color="auto" w:fill="auto"/>
            <w:vAlign w:val="bottom"/>
          </w:tcPr>
          <w:p w14:paraId="7C208139" w14:textId="77777777" w:rsidR="00834A75" w:rsidRDefault="00834A75">
            <w:pPr>
              <w:rPr>
                <w:rFonts w:ascii="宋体"/>
              </w:rPr>
            </w:pPr>
          </w:p>
        </w:tc>
        <w:tc>
          <w:tcPr>
            <w:tcW w:w="5" w:type="pct"/>
            <w:shd w:val="clear" w:color="auto" w:fill="auto"/>
            <w:vAlign w:val="bottom"/>
          </w:tcPr>
          <w:p w14:paraId="7C20813A" w14:textId="77777777" w:rsidR="00834A75" w:rsidRDefault="00834A75">
            <w:pPr>
              <w:rPr>
                <w:rFonts w:ascii="宋体"/>
              </w:rPr>
            </w:pPr>
          </w:p>
        </w:tc>
        <w:tc>
          <w:tcPr>
            <w:tcW w:w="26" w:type="pct"/>
            <w:shd w:val="clear" w:color="auto" w:fill="auto"/>
            <w:vAlign w:val="bottom"/>
          </w:tcPr>
          <w:p w14:paraId="7C20813B" w14:textId="77777777" w:rsidR="00834A75" w:rsidRDefault="00834A75">
            <w:pPr>
              <w:rPr>
                <w:rFonts w:ascii="宋体"/>
              </w:rPr>
            </w:pPr>
          </w:p>
        </w:tc>
        <w:tc>
          <w:tcPr>
            <w:tcW w:w="5" w:type="pct"/>
            <w:shd w:val="clear" w:color="auto" w:fill="auto"/>
            <w:vAlign w:val="bottom"/>
          </w:tcPr>
          <w:p w14:paraId="7C20813C" w14:textId="77777777" w:rsidR="00834A75" w:rsidRDefault="00834A75">
            <w:pPr>
              <w:rPr>
                <w:rFonts w:ascii="宋体"/>
              </w:rPr>
            </w:pPr>
          </w:p>
        </w:tc>
        <w:tc>
          <w:tcPr>
            <w:tcW w:w="50" w:type="pct"/>
            <w:shd w:val="clear" w:color="auto" w:fill="auto"/>
            <w:vAlign w:val="bottom"/>
          </w:tcPr>
          <w:p w14:paraId="7C20813D" w14:textId="77777777" w:rsidR="00834A75" w:rsidRDefault="00834A75">
            <w:pPr>
              <w:rPr>
                <w:rFonts w:ascii="宋体"/>
              </w:rPr>
            </w:pPr>
          </w:p>
        </w:tc>
        <w:tc>
          <w:tcPr>
            <w:tcW w:w="481" w:type="pct"/>
            <w:shd w:val="clear" w:color="auto" w:fill="auto"/>
            <w:vAlign w:val="bottom"/>
          </w:tcPr>
          <w:p w14:paraId="7C20813E" w14:textId="77777777" w:rsidR="00834A75" w:rsidRDefault="00834A75">
            <w:pPr>
              <w:rPr>
                <w:rFonts w:ascii="宋体"/>
              </w:rPr>
            </w:pPr>
          </w:p>
        </w:tc>
        <w:tc>
          <w:tcPr>
            <w:tcW w:w="5" w:type="pct"/>
            <w:shd w:val="clear" w:color="auto" w:fill="auto"/>
            <w:vAlign w:val="bottom"/>
          </w:tcPr>
          <w:p w14:paraId="7C20813F" w14:textId="77777777" w:rsidR="00834A75" w:rsidRDefault="00834A75">
            <w:pPr>
              <w:rPr>
                <w:rFonts w:ascii="宋体"/>
              </w:rPr>
            </w:pPr>
          </w:p>
        </w:tc>
        <w:tc>
          <w:tcPr>
            <w:tcW w:w="5" w:type="pct"/>
            <w:shd w:val="clear" w:color="auto" w:fill="auto"/>
            <w:vAlign w:val="bottom"/>
          </w:tcPr>
          <w:p w14:paraId="7C208140" w14:textId="77777777" w:rsidR="00834A75" w:rsidRDefault="00834A75">
            <w:pPr>
              <w:rPr>
                <w:rFonts w:ascii="宋体"/>
              </w:rPr>
            </w:pPr>
          </w:p>
        </w:tc>
        <w:tc>
          <w:tcPr>
            <w:tcW w:w="26" w:type="pct"/>
            <w:shd w:val="clear" w:color="auto" w:fill="auto"/>
            <w:vAlign w:val="bottom"/>
          </w:tcPr>
          <w:p w14:paraId="7C208141" w14:textId="77777777" w:rsidR="00834A75" w:rsidRDefault="00834A75">
            <w:pPr>
              <w:rPr>
                <w:rFonts w:ascii="宋体"/>
              </w:rPr>
            </w:pPr>
          </w:p>
        </w:tc>
        <w:tc>
          <w:tcPr>
            <w:tcW w:w="5" w:type="pct"/>
            <w:shd w:val="clear" w:color="auto" w:fill="auto"/>
            <w:vAlign w:val="bottom"/>
          </w:tcPr>
          <w:p w14:paraId="7C208142" w14:textId="77777777" w:rsidR="00834A75" w:rsidRDefault="00834A75">
            <w:pPr>
              <w:rPr>
                <w:rFonts w:ascii="宋体"/>
              </w:rPr>
            </w:pPr>
          </w:p>
        </w:tc>
        <w:tc>
          <w:tcPr>
            <w:tcW w:w="50" w:type="pct"/>
            <w:shd w:val="clear" w:color="auto" w:fill="auto"/>
            <w:vAlign w:val="bottom"/>
          </w:tcPr>
          <w:p w14:paraId="7C208143" w14:textId="77777777" w:rsidR="00834A75" w:rsidRDefault="00834A75">
            <w:pPr>
              <w:rPr>
                <w:rFonts w:ascii="宋体"/>
              </w:rPr>
            </w:pPr>
          </w:p>
        </w:tc>
        <w:tc>
          <w:tcPr>
            <w:tcW w:w="511" w:type="pct"/>
            <w:shd w:val="clear" w:color="auto" w:fill="auto"/>
            <w:vAlign w:val="bottom"/>
          </w:tcPr>
          <w:p w14:paraId="7C208144" w14:textId="77777777" w:rsidR="00834A75" w:rsidRDefault="00834A75">
            <w:pPr>
              <w:rPr>
                <w:rFonts w:ascii="宋体"/>
              </w:rPr>
            </w:pPr>
          </w:p>
        </w:tc>
        <w:tc>
          <w:tcPr>
            <w:tcW w:w="5" w:type="pct"/>
            <w:shd w:val="clear" w:color="auto" w:fill="auto"/>
            <w:vAlign w:val="bottom"/>
          </w:tcPr>
          <w:p w14:paraId="7C208145" w14:textId="77777777" w:rsidR="00834A75" w:rsidRDefault="00834A75">
            <w:pPr>
              <w:rPr>
                <w:rFonts w:ascii="宋体"/>
              </w:rPr>
            </w:pPr>
          </w:p>
        </w:tc>
        <w:tc>
          <w:tcPr>
            <w:tcW w:w="5" w:type="pct"/>
            <w:shd w:val="clear" w:color="auto" w:fill="auto"/>
            <w:vAlign w:val="bottom"/>
          </w:tcPr>
          <w:p w14:paraId="7C208146" w14:textId="77777777" w:rsidR="00834A75" w:rsidRDefault="00834A75">
            <w:pPr>
              <w:rPr>
                <w:rFonts w:ascii="宋体"/>
              </w:rPr>
            </w:pPr>
          </w:p>
        </w:tc>
        <w:tc>
          <w:tcPr>
            <w:tcW w:w="26" w:type="pct"/>
            <w:shd w:val="clear" w:color="auto" w:fill="auto"/>
            <w:vAlign w:val="bottom"/>
          </w:tcPr>
          <w:p w14:paraId="7C208147" w14:textId="77777777" w:rsidR="00834A75" w:rsidRDefault="00834A75">
            <w:pPr>
              <w:rPr>
                <w:rFonts w:ascii="宋体"/>
              </w:rPr>
            </w:pPr>
          </w:p>
        </w:tc>
        <w:tc>
          <w:tcPr>
            <w:tcW w:w="5" w:type="pct"/>
            <w:shd w:val="clear" w:color="auto" w:fill="auto"/>
            <w:vAlign w:val="bottom"/>
          </w:tcPr>
          <w:p w14:paraId="7C208148" w14:textId="77777777" w:rsidR="00834A75" w:rsidRDefault="00834A75">
            <w:pPr>
              <w:rPr>
                <w:rFonts w:ascii="宋体"/>
              </w:rPr>
            </w:pPr>
          </w:p>
        </w:tc>
        <w:tc>
          <w:tcPr>
            <w:tcW w:w="50" w:type="pct"/>
            <w:shd w:val="clear" w:color="auto" w:fill="auto"/>
            <w:vAlign w:val="bottom"/>
          </w:tcPr>
          <w:p w14:paraId="7C208149" w14:textId="77777777" w:rsidR="00834A75" w:rsidRDefault="00834A75">
            <w:pPr>
              <w:rPr>
                <w:rFonts w:ascii="宋体"/>
              </w:rPr>
            </w:pPr>
          </w:p>
        </w:tc>
        <w:tc>
          <w:tcPr>
            <w:tcW w:w="496" w:type="pct"/>
            <w:shd w:val="clear" w:color="auto" w:fill="auto"/>
            <w:vAlign w:val="bottom"/>
          </w:tcPr>
          <w:p w14:paraId="7C20814A" w14:textId="77777777" w:rsidR="00834A75" w:rsidRDefault="00834A75">
            <w:pPr>
              <w:rPr>
                <w:rFonts w:ascii="宋体"/>
              </w:rPr>
            </w:pPr>
          </w:p>
        </w:tc>
        <w:tc>
          <w:tcPr>
            <w:tcW w:w="5" w:type="pct"/>
            <w:shd w:val="clear" w:color="auto" w:fill="auto"/>
            <w:vAlign w:val="bottom"/>
          </w:tcPr>
          <w:p w14:paraId="7C20814B" w14:textId="77777777" w:rsidR="00834A75" w:rsidRDefault="00834A75">
            <w:pPr>
              <w:rPr>
                <w:rFonts w:ascii="宋体"/>
              </w:rPr>
            </w:pPr>
          </w:p>
        </w:tc>
      </w:tr>
      <w:tr w:rsidR="00834A75" w14:paraId="7C20814F" w14:textId="77777777">
        <w:tc>
          <w:tcPr>
            <w:tcW w:w="0" w:type="auto"/>
            <w:gridSpan w:val="3"/>
            <w:shd w:val="clear" w:color="auto" w:fill="auto"/>
            <w:tcMar>
              <w:top w:w="40" w:type="dxa"/>
              <w:left w:w="20" w:type="dxa"/>
              <w:bottom w:w="40" w:type="dxa"/>
              <w:right w:w="20" w:type="dxa"/>
            </w:tcMar>
            <w:vAlign w:val="bottom"/>
          </w:tcPr>
          <w:p w14:paraId="7C20814D" w14:textId="77777777" w:rsidR="00834A75" w:rsidRDefault="00A6708C">
            <w:pPr>
              <w:textAlignment w:val="bottom"/>
            </w:pPr>
            <w:r>
              <w:rPr>
                <w:rFonts w:ascii="sans-serif" w:eastAsia="sans-serif" w:hAnsi="sans-serif" w:cs="sans-serif"/>
                <w:color w:val="000000"/>
                <w:sz w:val="20"/>
                <w:szCs w:val="20"/>
              </w:rPr>
              <w:t> </w:t>
            </w:r>
          </w:p>
        </w:tc>
        <w:tc>
          <w:tcPr>
            <w:tcW w:w="0" w:type="auto"/>
            <w:gridSpan w:val="33"/>
            <w:tcBorders>
              <w:bottom w:val="single" w:sz="8" w:space="0" w:color="000000"/>
            </w:tcBorders>
            <w:shd w:val="clear" w:color="auto" w:fill="auto"/>
            <w:tcMar>
              <w:top w:w="40" w:type="dxa"/>
              <w:left w:w="20" w:type="dxa"/>
              <w:bottom w:w="40" w:type="dxa"/>
              <w:right w:w="20" w:type="dxa"/>
            </w:tcMar>
            <w:vAlign w:val="bottom"/>
          </w:tcPr>
          <w:p w14:paraId="7C20814E" w14:textId="77777777" w:rsidR="00834A75" w:rsidRDefault="00A6708C">
            <w:pPr>
              <w:jc w:val="center"/>
              <w:textAlignment w:val="bottom"/>
            </w:pPr>
            <w:r>
              <w:rPr>
                <w:rFonts w:ascii="sans-serif" w:eastAsia="sans-serif" w:hAnsi="sans-serif" w:cs="sans-serif"/>
                <w:b/>
                <w:bCs/>
                <w:color w:val="000000"/>
                <w:sz w:val="20"/>
                <w:szCs w:val="20"/>
              </w:rPr>
              <w:t>May 1, 2022</w:t>
            </w:r>
          </w:p>
        </w:tc>
      </w:tr>
      <w:tr w:rsidR="00834A75" w14:paraId="7C20815A" w14:textId="77777777">
        <w:trPr>
          <w:trHeight w:val="300"/>
        </w:trPr>
        <w:tc>
          <w:tcPr>
            <w:tcW w:w="0" w:type="auto"/>
            <w:gridSpan w:val="3"/>
            <w:shd w:val="clear" w:color="auto" w:fill="auto"/>
            <w:tcMar>
              <w:top w:w="0" w:type="dxa"/>
              <w:left w:w="20" w:type="dxa"/>
              <w:bottom w:w="0" w:type="dxa"/>
              <w:right w:w="20" w:type="dxa"/>
            </w:tcMar>
            <w:vAlign w:val="bottom"/>
          </w:tcPr>
          <w:p w14:paraId="7C208150" w14:textId="77777777" w:rsidR="00834A75" w:rsidRDefault="00834A75">
            <w:pPr>
              <w:rPr>
                <w:rFonts w:ascii="宋体"/>
              </w:rPr>
            </w:pPr>
          </w:p>
        </w:tc>
        <w:tc>
          <w:tcPr>
            <w:tcW w:w="0" w:type="auto"/>
            <w:gridSpan w:val="3"/>
            <w:vMerge w:val="restart"/>
            <w:tcBorders>
              <w:top w:val="single" w:sz="8" w:space="0" w:color="000000"/>
            </w:tcBorders>
            <w:shd w:val="clear" w:color="auto" w:fill="auto"/>
            <w:tcMar>
              <w:top w:w="40" w:type="dxa"/>
              <w:left w:w="20" w:type="dxa"/>
              <w:bottom w:w="40" w:type="dxa"/>
              <w:right w:w="20" w:type="dxa"/>
            </w:tcMar>
            <w:vAlign w:val="bottom"/>
          </w:tcPr>
          <w:p w14:paraId="7C208151" w14:textId="77777777" w:rsidR="00834A75" w:rsidRDefault="00A6708C">
            <w:pPr>
              <w:jc w:val="center"/>
              <w:textAlignment w:val="bottom"/>
            </w:pPr>
            <w:r>
              <w:rPr>
                <w:rFonts w:ascii="sans-serif" w:eastAsia="sans-serif" w:hAnsi="sans-serif" w:cs="sans-serif"/>
                <w:b/>
                <w:bCs/>
                <w:color w:val="000000"/>
                <w:sz w:val="20"/>
                <w:szCs w:val="20"/>
              </w:rPr>
              <w:t>Amortized</w:t>
            </w:r>
            <w:r>
              <w:rPr>
                <w:rFonts w:ascii="sans-serif" w:eastAsia="sans-serif" w:hAnsi="sans-serif" w:cs="sans-serif"/>
                <w:b/>
                <w:bCs/>
                <w:color w:val="000000"/>
                <w:sz w:val="20"/>
                <w:szCs w:val="20"/>
              </w:rPr>
              <w:br/>
              <w:t>Cost</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C208152" w14:textId="77777777" w:rsidR="00834A75" w:rsidRDefault="00834A75">
            <w:pPr>
              <w:rPr>
                <w:rFonts w:ascii="宋体"/>
              </w:rPr>
            </w:pPr>
          </w:p>
        </w:tc>
        <w:tc>
          <w:tcPr>
            <w:tcW w:w="0" w:type="auto"/>
            <w:gridSpan w:val="3"/>
            <w:vMerge w:val="restart"/>
            <w:tcBorders>
              <w:top w:val="single" w:sz="8" w:space="0" w:color="000000"/>
            </w:tcBorders>
            <w:shd w:val="clear" w:color="auto" w:fill="auto"/>
            <w:tcMar>
              <w:top w:w="40" w:type="dxa"/>
              <w:left w:w="20" w:type="dxa"/>
              <w:bottom w:w="40" w:type="dxa"/>
              <w:right w:w="20" w:type="dxa"/>
            </w:tcMar>
            <w:vAlign w:val="bottom"/>
          </w:tcPr>
          <w:p w14:paraId="7C208153" w14:textId="77777777" w:rsidR="00834A75" w:rsidRDefault="00A6708C">
            <w:pPr>
              <w:jc w:val="center"/>
              <w:textAlignment w:val="bottom"/>
            </w:pPr>
            <w:r>
              <w:rPr>
                <w:rFonts w:ascii="sans-serif" w:eastAsia="sans-serif" w:hAnsi="sans-serif" w:cs="sans-serif"/>
                <w:b/>
                <w:bCs/>
                <w:color w:val="000000"/>
                <w:sz w:val="20"/>
                <w:szCs w:val="20"/>
              </w:rPr>
              <w:t>Unrealized</w:t>
            </w:r>
            <w:r>
              <w:rPr>
                <w:rFonts w:ascii="sans-serif" w:eastAsia="sans-serif" w:hAnsi="sans-serif" w:cs="sans-serif"/>
                <w:b/>
                <w:bCs/>
                <w:color w:val="000000"/>
                <w:sz w:val="20"/>
                <w:szCs w:val="20"/>
              </w:rPr>
              <w:br/>
              <w:t>Gain</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C208154" w14:textId="77777777" w:rsidR="00834A75" w:rsidRDefault="00834A75">
            <w:pPr>
              <w:rPr>
                <w:rFonts w:ascii="宋体"/>
              </w:rPr>
            </w:pPr>
          </w:p>
        </w:tc>
        <w:tc>
          <w:tcPr>
            <w:tcW w:w="0" w:type="auto"/>
            <w:gridSpan w:val="3"/>
            <w:vMerge w:val="restart"/>
            <w:tcBorders>
              <w:top w:val="single" w:sz="8" w:space="0" w:color="000000"/>
            </w:tcBorders>
            <w:shd w:val="clear" w:color="auto" w:fill="auto"/>
            <w:tcMar>
              <w:top w:w="40" w:type="dxa"/>
              <w:left w:w="20" w:type="dxa"/>
              <w:bottom w:w="40" w:type="dxa"/>
              <w:right w:w="20" w:type="dxa"/>
            </w:tcMar>
            <w:vAlign w:val="bottom"/>
          </w:tcPr>
          <w:p w14:paraId="7C208155" w14:textId="77777777" w:rsidR="00834A75" w:rsidRDefault="00A6708C">
            <w:pPr>
              <w:jc w:val="center"/>
              <w:textAlignment w:val="bottom"/>
            </w:pPr>
            <w:r>
              <w:rPr>
                <w:rFonts w:ascii="sans-serif" w:eastAsia="sans-serif" w:hAnsi="sans-serif" w:cs="sans-serif"/>
                <w:b/>
                <w:bCs/>
                <w:color w:val="000000"/>
                <w:sz w:val="20"/>
                <w:szCs w:val="20"/>
              </w:rPr>
              <w:t>Unrealized</w:t>
            </w:r>
            <w:r>
              <w:rPr>
                <w:rFonts w:ascii="sans-serif" w:eastAsia="sans-serif" w:hAnsi="sans-serif" w:cs="sans-serif"/>
                <w:b/>
                <w:bCs/>
                <w:color w:val="000000"/>
                <w:sz w:val="20"/>
                <w:szCs w:val="20"/>
              </w:rPr>
              <w:br/>
              <w:t>Loss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C208156" w14:textId="77777777" w:rsidR="00834A75" w:rsidRDefault="00834A75">
            <w:pPr>
              <w:rPr>
                <w:rFonts w:ascii="宋体"/>
              </w:rPr>
            </w:pPr>
          </w:p>
        </w:tc>
        <w:tc>
          <w:tcPr>
            <w:tcW w:w="0" w:type="auto"/>
            <w:gridSpan w:val="3"/>
            <w:vMerge w:val="restart"/>
            <w:tcBorders>
              <w:top w:val="single" w:sz="8" w:space="0" w:color="000000"/>
            </w:tcBorders>
            <w:shd w:val="clear" w:color="auto" w:fill="auto"/>
            <w:tcMar>
              <w:top w:w="40" w:type="dxa"/>
              <w:left w:w="20" w:type="dxa"/>
              <w:bottom w:w="40" w:type="dxa"/>
              <w:right w:w="20" w:type="dxa"/>
            </w:tcMar>
            <w:vAlign w:val="bottom"/>
          </w:tcPr>
          <w:p w14:paraId="7C208157" w14:textId="77777777" w:rsidR="00834A75" w:rsidRDefault="00A6708C">
            <w:pPr>
              <w:jc w:val="center"/>
              <w:textAlignment w:val="bottom"/>
            </w:pPr>
            <w:r>
              <w:rPr>
                <w:rFonts w:ascii="sans-serif" w:eastAsia="sans-serif" w:hAnsi="sans-serif" w:cs="sans-serif"/>
                <w:b/>
                <w:bCs/>
                <w:color w:val="000000"/>
                <w:sz w:val="20"/>
                <w:szCs w:val="20"/>
              </w:rPr>
              <w:t>Estimated</w:t>
            </w:r>
            <w:r>
              <w:rPr>
                <w:rFonts w:ascii="sans-serif" w:eastAsia="sans-serif" w:hAnsi="sans-serif" w:cs="sans-serif"/>
                <w:b/>
                <w:bCs/>
                <w:color w:val="000000"/>
                <w:sz w:val="20"/>
                <w:szCs w:val="20"/>
              </w:rPr>
              <w:br/>
              <w:t>Fair Value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C208158" w14:textId="77777777" w:rsidR="00834A75" w:rsidRDefault="00834A75">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7C208159" w14:textId="77777777" w:rsidR="00834A75" w:rsidRDefault="00A6708C">
            <w:pPr>
              <w:jc w:val="center"/>
              <w:textAlignment w:val="bottom"/>
            </w:pPr>
            <w:r>
              <w:rPr>
                <w:rFonts w:ascii="sans-serif" w:eastAsia="sans-serif" w:hAnsi="sans-serif" w:cs="sans-serif"/>
                <w:b/>
                <w:bCs/>
                <w:color w:val="000000"/>
                <w:sz w:val="20"/>
                <w:szCs w:val="20"/>
              </w:rPr>
              <w:t>Reported as</w:t>
            </w:r>
          </w:p>
        </w:tc>
      </w:tr>
      <w:tr w:rsidR="00834A75" w14:paraId="7C208167" w14:textId="77777777">
        <w:trPr>
          <w:trHeight w:val="520"/>
        </w:trPr>
        <w:tc>
          <w:tcPr>
            <w:tcW w:w="0" w:type="auto"/>
            <w:gridSpan w:val="3"/>
            <w:shd w:val="clear" w:color="auto" w:fill="auto"/>
            <w:tcMar>
              <w:top w:w="40" w:type="dxa"/>
              <w:left w:w="20" w:type="dxa"/>
              <w:bottom w:w="40" w:type="dxa"/>
              <w:right w:w="20" w:type="dxa"/>
            </w:tcMar>
            <w:vAlign w:val="bottom"/>
          </w:tcPr>
          <w:p w14:paraId="7C20815B" w14:textId="77777777" w:rsidR="00834A75" w:rsidRDefault="00A6708C">
            <w:pPr>
              <w:textAlignment w:val="bottom"/>
            </w:pPr>
            <w:r>
              <w:rPr>
                <w:rFonts w:ascii="sans-serif" w:eastAsia="sans-serif" w:hAnsi="sans-serif" w:cs="sans-serif"/>
                <w:color w:val="000000"/>
                <w:sz w:val="20"/>
                <w:szCs w:val="20"/>
              </w:rPr>
              <w:t> </w:t>
            </w:r>
          </w:p>
        </w:tc>
        <w:tc>
          <w:tcPr>
            <w:tcW w:w="0" w:type="auto"/>
            <w:gridSpan w:val="3"/>
            <w:vMerge/>
            <w:tcBorders>
              <w:top w:val="single" w:sz="8" w:space="0" w:color="000000"/>
            </w:tcBorders>
            <w:shd w:val="clear" w:color="auto" w:fill="auto"/>
            <w:tcMar>
              <w:top w:w="40" w:type="dxa"/>
              <w:left w:w="20" w:type="dxa"/>
              <w:bottom w:w="40" w:type="dxa"/>
              <w:right w:w="20" w:type="dxa"/>
            </w:tcMar>
            <w:vAlign w:val="bottom"/>
          </w:tcPr>
          <w:p w14:paraId="7C20815C" w14:textId="77777777" w:rsidR="00834A75" w:rsidRDefault="00834A75">
            <w:pPr>
              <w:jc w:val="center"/>
              <w:rPr>
                <w:rFonts w:ascii="宋体"/>
              </w:rPr>
            </w:pPr>
          </w:p>
        </w:tc>
        <w:tc>
          <w:tcPr>
            <w:tcW w:w="0" w:type="auto"/>
            <w:gridSpan w:val="3"/>
            <w:shd w:val="clear" w:color="auto" w:fill="auto"/>
            <w:tcMar>
              <w:top w:w="0" w:type="dxa"/>
              <w:left w:w="20" w:type="dxa"/>
              <w:bottom w:w="0" w:type="dxa"/>
              <w:right w:w="20" w:type="dxa"/>
            </w:tcMar>
            <w:vAlign w:val="bottom"/>
          </w:tcPr>
          <w:p w14:paraId="7C20815D" w14:textId="77777777" w:rsidR="00834A75" w:rsidRDefault="00834A75">
            <w:pPr>
              <w:rPr>
                <w:rFonts w:ascii="宋体"/>
              </w:rPr>
            </w:pPr>
          </w:p>
        </w:tc>
        <w:tc>
          <w:tcPr>
            <w:tcW w:w="0" w:type="auto"/>
            <w:gridSpan w:val="3"/>
            <w:vMerge/>
            <w:tcBorders>
              <w:top w:val="single" w:sz="8" w:space="0" w:color="000000"/>
            </w:tcBorders>
            <w:shd w:val="clear" w:color="auto" w:fill="auto"/>
            <w:tcMar>
              <w:top w:w="40" w:type="dxa"/>
              <w:left w:w="20" w:type="dxa"/>
              <w:bottom w:w="40" w:type="dxa"/>
              <w:right w:w="20" w:type="dxa"/>
            </w:tcMar>
            <w:vAlign w:val="bottom"/>
          </w:tcPr>
          <w:p w14:paraId="7C20815E" w14:textId="77777777" w:rsidR="00834A75" w:rsidRDefault="00834A75">
            <w:pPr>
              <w:jc w:val="center"/>
              <w:rPr>
                <w:rFonts w:ascii="宋体"/>
              </w:rPr>
            </w:pPr>
          </w:p>
        </w:tc>
        <w:tc>
          <w:tcPr>
            <w:tcW w:w="0" w:type="auto"/>
            <w:gridSpan w:val="3"/>
            <w:shd w:val="clear" w:color="auto" w:fill="auto"/>
            <w:tcMar>
              <w:top w:w="0" w:type="dxa"/>
              <w:left w:w="20" w:type="dxa"/>
              <w:bottom w:w="0" w:type="dxa"/>
              <w:right w:w="20" w:type="dxa"/>
            </w:tcMar>
            <w:vAlign w:val="bottom"/>
          </w:tcPr>
          <w:p w14:paraId="7C20815F" w14:textId="77777777" w:rsidR="00834A75" w:rsidRDefault="00834A75">
            <w:pPr>
              <w:rPr>
                <w:rFonts w:ascii="宋体"/>
              </w:rPr>
            </w:pPr>
          </w:p>
        </w:tc>
        <w:tc>
          <w:tcPr>
            <w:tcW w:w="0" w:type="auto"/>
            <w:gridSpan w:val="3"/>
            <w:vMerge/>
            <w:tcBorders>
              <w:top w:val="single" w:sz="8" w:space="0" w:color="000000"/>
            </w:tcBorders>
            <w:shd w:val="clear" w:color="auto" w:fill="auto"/>
            <w:tcMar>
              <w:top w:w="40" w:type="dxa"/>
              <w:left w:w="20" w:type="dxa"/>
              <w:bottom w:w="40" w:type="dxa"/>
              <w:right w:w="20" w:type="dxa"/>
            </w:tcMar>
            <w:vAlign w:val="bottom"/>
          </w:tcPr>
          <w:p w14:paraId="7C208160" w14:textId="77777777" w:rsidR="00834A75" w:rsidRDefault="00834A75">
            <w:pPr>
              <w:jc w:val="center"/>
              <w:rPr>
                <w:rFonts w:ascii="宋体"/>
              </w:rPr>
            </w:pPr>
          </w:p>
        </w:tc>
        <w:tc>
          <w:tcPr>
            <w:tcW w:w="0" w:type="auto"/>
            <w:gridSpan w:val="3"/>
            <w:shd w:val="clear" w:color="auto" w:fill="auto"/>
            <w:tcMar>
              <w:top w:w="0" w:type="dxa"/>
              <w:left w:w="20" w:type="dxa"/>
              <w:bottom w:w="0" w:type="dxa"/>
              <w:right w:w="20" w:type="dxa"/>
            </w:tcMar>
            <w:vAlign w:val="bottom"/>
          </w:tcPr>
          <w:p w14:paraId="7C208161" w14:textId="77777777" w:rsidR="00834A75" w:rsidRDefault="00834A75">
            <w:pPr>
              <w:rPr>
                <w:rFonts w:ascii="宋体"/>
              </w:rPr>
            </w:pPr>
          </w:p>
        </w:tc>
        <w:tc>
          <w:tcPr>
            <w:tcW w:w="0" w:type="auto"/>
            <w:gridSpan w:val="3"/>
            <w:vMerge/>
            <w:tcBorders>
              <w:top w:val="single" w:sz="8" w:space="0" w:color="000000"/>
            </w:tcBorders>
            <w:shd w:val="clear" w:color="auto" w:fill="auto"/>
            <w:tcMar>
              <w:top w:w="40" w:type="dxa"/>
              <w:left w:w="20" w:type="dxa"/>
              <w:bottom w:w="40" w:type="dxa"/>
              <w:right w:w="20" w:type="dxa"/>
            </w:tcMar>
            <w:vAlign w:val="bottom"/>
          </w:tcPr>
          <w:p w14:paraId="7C208162" w14:textId="77777777" w:rsidR="00834A75" w:rsidRDefault="00834A75">
            <w:pPr>
              <w:jc w:val="center"/>
              <w:rPr>
                <w:rFonts w:ascii="宋体"/>
              </w:rPr>
            </w:pPr>
          </w:p>
        </w:tc>
        <w:tc>
          <w:tcPr>
            <w:tcW w:w="0" w:type="auto"/>
            <w:gridSpan w:val="3"/>
            <w:shd w:val="clear" w:color="auto" w:fill="auto"/>
            <w:tcMar>
              <w:top w:w="0" w:type="dxa"/>
              <w:left w:w="20" w:type="dxa"/>
              <w:bottom w:w="0" w:type="dxa"/>
              <w:right w:w="20" w:type="dxa"/>
            </w:tcMar>
            <w:vAlign w:val="bottom"/>
          </w:tcPr>
          <w:p w14:paraId="7C208163" w14:textId="77777777" w:rsidR="00834A75" w:rsidRDefault="00834A75">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C208164" w14:textId="77777777" w:rsidR="00834A75" w:rsidRDefault="00A6708C">
            <w:pPr>
              <w:jc w:val="center"/>
              <w:textAlignment w:val="bottom"/>
            </w:pPr>
            <w:r>
              <w:rPr>
                <w:rFonts w:ascii="sans-serif" w:eastAsia="sans-serif" w:hAnsi="sans-serif" w:cs="sans-serif"/>
                <w:b/>
                <w:bCs/>
                <w:color w:val="000000"/>
                <w:sz w:val="20"/>
                <w:szCs w:val="20"/>
              </w:rPr>
              <w:t>Cash Equivalents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C208165" w14:textId="77777777" w:rsidR="00834A75" w:rsidRDefault="00834A75">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C208166" w14:textId="77777777" w:rsidR="00834A75" w:rsidRDefault="00A6708C">
            <w:pPr>
              <w:jc w:val="center"/>
              <w:textAlignment w:val="bottom"/>
            </w:pPr>
            <w:r>
              <w:rPr>
                <w:rFonts w:ascii="sans-serif" w:eastAsia="sans-serif" w:hAnsi="sans-serif" w:cs="sans-serif"/>
                <w:b/>
                <w:bCs/>
                <w:color w:val="000000"/>
                <w:sz w:val="20"/>
                <w:szCs w:val="20"/>
              </w:rPr>
              <w:t>Marketable Securities</w:t>
            </w:r>
          </w:p>
        </w:tc>
      </w:tr>
      <w:tr w:rsidR="00834A75" w14:paraId="7C208174" w14:textId="77777777">
        <w:trPr>
          <w:trHeight w:val="60"/>
        </w:trPr>
        <w:tc>
          <w:tcPr>
            <w:tcW w:w="0" w:type="auto"/>
            <w:gridSpan w:val="3"/>
            <w:shd w:val="clear" w:color="auto" w:fill="auto"/>
            <w:tcMar>
              <w:top w:w="0" w:type="dxa"/>
              <w:left w:w="20" w:type="dxa"/>
              <w:bottom w:w="0" w:type="dxa"/>
              <w:right w:w="20" w:type="dxa"/>
            </w:tcMar>
            <w:vAlign w:val="bottom"/>
          </w:tcPr>
          <w:p w14:paraId="7C208168" w14:textId="77777777" w:rsidR="00834A75" w:rsidRDefault="00834A75">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C208169" w14:textId="77777777" w:rsidR="00834A75" w:rsidRDefault="00834A75">
            <w:pPr>
              <w:rPr>
                <w:rFonts w:ascii="宋体"/>
              </w:rPr>
            </w:pPr>
          </w:p>
        </w:tc>
        <w:tc>
          <w:tcPr>
            <w:tcW w:w="0" w:type="auto"/>
            <w:gridSpan w:val="3"/>
            <w:shd w:val="clear" w:color="auto" w:fill="auto"/>
            <w:tcMar>
              <w:top w:w="0" w:type="dxa"/>
              <w:left w:w="20" w:type="dxa"/>
              <w:bottom w:w="0" w:type="dxa"/>
              <w:right w:w="20" w:type="dxa"/>
            </w:tcMar>
            <w:vAlign w:val="bottom"/>
          </w:tcPr>
          <w:p w14:paraId="7C20816A" w14:textId="77777777" w:rsidR="00834A75" w:rsidRDefault="00834A75">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C20816B" w14:textId="77777777" w:rsidR="00834A75" w:rsidRDefault="00834A75">
            <w:pPr>
              <w:rPr>
                <w:rFonts w:ascii="宋体"/>
              </w:rPr>
            </w:pPr>
          </w:p>
        </w:tc>
        <w:tc>
          <w:tcPr>
            <w:tcW w:w="0" w:type="auto"/>
            <w:gridSpan w:val="3"/>
            <w:shd w:val="clear" w:color="auto" w:fill="auto"/>
            <w:tcMar>
              <w:top w:w="0" w:type="dxa"/>
              <w:left w:w="20" w:type="dxa"/>
              <w:bottom w:w="0" w:type="dxa"/>
              <w:right w:w="20" w:type="dxa"/>
            </w:tcMar>
            <w:vAlign w:val="bottom"/>
          </w:tcPr>
          <w:p w14:paraId="7C20816C" w14:textId="77777777" w:rsidR="00834A75" w:rsidRDefault="00834A75">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C20816D" w14:textId="77777777" w:rsidR="00834A75" w:rsidRDefault="00834A75">
            <w:pPr>
              <w:rPr>
                <w:rFonts w:ascii="宋体"/>
              </w:rPr>
            </w:pPr>
          </w:p>
        </w:tc>
        <w:tc>
          <w:tcPr>
            <w:tcW w:w="0" w:type="auto"/>
            <w:gridSpan w:val="3"/>
            <w:shd w:val="clear" w:color="auto" w:fill="auto"/>
            <w:tcMar>
              <w:top w:w="0" w:type="dxa"/>
              <w:left w:w="20" w:type="dxa"/>
              <w:bottom w:w="0" w:type="dxa"/>
              <w:right w:w="20" w:type="dxa"/>
            </w:tcMar>
            <w:vAlign w:val="bottom"/>
          </w:tcPr>
          <w:p w14:paraId="7C20816E" w14:textId="77777777" w:rsidR="00834A75" w:rsidRDefault="00834A75">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C20816F" w14:textId="77777777" w:rsidR="00834A75" w:rsidRDefault="00834A75">
            <w:pPr>
              <w:rPr>
                <w:rFonts w:ascii="宋体"/>
              </w:rPr>
            </w:pPr>
          </w:p>
        </w:tc>
        <w:tc>
          <w:tcPr>
            <w:tcW w:w="0" w:type="auto"/>
            <w:gridSpan w:val="3"/>
            <w:shd w:val="clear" w:color="auto" w:fill="auto"/>
            <w:tcMar>
              <w:top w:w="0" w:type="dxa"/>
              <w:left w:w="20" w:type="dxa"/>
              <w:bottom w:w="0" w:type="dxa"/>
              <w:right w:w="20" w:type="dxa"/>
            </w:tcMar>
            <w:vAlign w:val="bottom"/>
          </w:tcPr>
          <w:p w14:paraId="7C208170" w14:textId="77777777" w:rsidR="00834A75" w:rsidRDefault="00834A75">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C208171" w14:textId="77777777" w:rsidR="00834A75" w:rsidRDefault="00834A75">
            <w:pPr>
              <w:rPr>
                <w:rFonts w:ascii="宋体"/>
              </w:rPr>
            </w:pPr>
          </w:p>
        </w:tc>
        <w:tc>
          <w:tcPr>
            <w:tcW w:w="0" w:type="auto"/>
            <w:gridSpan w:val="3"/>
            <w:shd w:val="clear" w:color="auto" w:fill="auto"/>
            <w:tcMar>
              <w:top w:w="0" w:type="dxa"/>
              <w:left w:w="20" w:type="dxa"/>
              <w:bottom w:w="0" w:type="dxa"/>
              <w:right w:w="20" w:type="dxa"/>
            </w:tcMar>
            <w:vAlign w:val="bottom"/>
          </w:tcPr>
          <w:p w14:paraId="7C208172" w14:textId="77777777" w:rsidR="00834A75" w:rsidRDefault="00834A75">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C208173" w14:textId="77777777" w:rsidR="00834A75" w:rsidRDefault="00834A75">
            <w:pPr>
              <w:rPr>
                <w:rFonts w:ascii="宋体"/>
              </w:rPr>
            </w:pPr>
          </w:p>
        </w:tc>
      </w:tr>
      <w:tr w:rsidR="00834A75" w14:paraId="7C208177" w14:textId="77777777">
        <w:tc>
          <w:tcPr>
            <w:tcW w:w="0" w:type="auto"/>
            <w:gridSpan w:val="3"/>
            <w:shd w:val="clear" w:color="auto" w:fill="auto"/>
            <w:tcMar>
              <w:top w:w="40" w:type="dxa"/>
              <w:left w:w="20" w:type="dxa"/>
              <w:bottom w:w="40" w:type="dxa"/>
              <w:right w:w="20" w:type="dxa"/>
            </w:tcMar>
            <w:vAlign w:val="bottom"/>
          </w:tcPr>
          <w:p w14:paraId="7C208175" w14:textId="77777777" w:rsidR="00834A75" w:rsidRDefault="00A6708C">
            <w:pPr>
              <w:textAlignment w:val="bottom"/>
            </w:pPr>
            <w:r>
              <w:rPr>
                <w:rFonts w:ascii="sans-serif" w:eastAsia="sans-serif" w:hAnsi="sans-serif" w:cs="sans-serif"/>
                <w:color w:val="000000"/>
                <w:sz w:val="20"/>
                <w:szCs w:val="20"/>
              </w:rPr>
              <w:t> </w:t>
            </w:r>
          </w:p>
        </w:tc>
        <w:tc>
          <w:tcPr>
            <w:tcW w:w="0" w:type="auto"/>
            <w:gridSpan w:val="33"/>
            <w:shd w:val="clear" w:color="auto" w:fill="auto"/>
            <w:tcMar>
              <w:top w:w="40" w:type="dxa"/>
              <w:left w:w="20" w:type="dxa"/>
              <w:bottom w:w="40" w:type="dxa"/>
              <w:right w:w="20" w:type="dxa"/>
            </w:tcMar>
            <w:vAlign w:val="bottom"/>
          </w:tcPr>
          <w:p w14:paraId="7C208176" w14:textId="77777777" w:rsidR="00834A75" w:rsidRDefault="00A6708C">
            <w:pPr>
              <w:jc w:val="center"/>
              <w:textAlignment w:val="bottom"/>
            </w:pPr>
            <w:r>
              <w:rPr>
                <w:rFonts w:ascii="sans-serif" w:eastAsia="sans-serif" w:hAnsi="sans-serif" w:cs="sans-serif"/>
                <w:i/>
                <w:iCs/>
                <w:color w:val="000000"/>
                <w:sz w:val="20"/>
                <w:szCs w:val="20"/>
              </w:rPr>
              <w:t>(In millions)</w:t>
            </w:r>
          </w:p>
        </w:tc>
      </w:tr>
      <w:tr w:rsidR="00834A75" w14:paraId="7C208190" w14:textId="77777777">
        <w:tc>
          <w:tcPr>
            <w:tcW w:w="0" w:type="auto"/>
            <w:gridSpan w:val="3"/>
            <w:shd w:val="clear" w:color="auto" w:fill="E2EFD9"/>
            <w:tcMar>
              <w:top w:w="40" w:type="dxa"/>
              <w:left w:w="20" w:type="dxa"/>
              <w:bottom w:w="40" w:type="dxa"/>
              <w:right w:w="20" w:type="dxa"/>
            </w:tcMar>
            <w:vAlign w:val="bottom"/>
          </w:tcPr>
          <w:p w14:paraId="7C208178" w14:textId="77777777" w:rsidR="00834A75" w:rsidRDefault="00A6708C">
            <w:pPr>
              <w:textAlignment w:val="bottom"/>
            </w:pPr>
            <w:r>
              <w:rPr>
                <w:rFonts w:ascii="sans-serif" w:eastAsia="sans-serif" w:hAnsi="sans-serif" w:cs="sans-serif"/>
                <w:color w:val="000000"/>
                <w:sz w:val="20"/>
                <w:szCs w:val="20"/>
              </w:rPr>
              <w:t>Corporate debt securities</w:t>
            </w:r>
          </w:p>
        </w:tc>
        <w:tc>
          <w:tcPr>
            <w:tcW w:w="0" w:type="auto"/>
            <w:shd w:val="clear" w:color="auto" w:fill="E2EFD9"/>
            <w:tcMar>
              <w:top w:w="40" w:type="dxa"/>
              <w:left w:w="20" w:type="dxa"/>
              <w:bottom w:w="40" w:type="dxa"/>
              <w:right w:w="0" w:type="dxa"/>
            </w:tcMar>
            <w:vAlign w:val="bottom"/>
          </w:tcPr>
          <w:p w14:paraId="7C208179" w14:textId="77777777" w:rsidR="00834A75" w:rsidRDefault="00A6708C">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7C20817A" w14:textId="77777777" w:rsidR="00834A75" w:rsidRDefault="00A6708C">
            <w:pPr>
              <w:jc w:val="right"/>
              <w:textAlignment w:val="bottom"/>
            </w:pPr>
            <w:r>
              <w:rPr>
                <w:rFonts w:ascii="sans-serif" w:eastAsia="sans-serif" w:hAnsi="sans-serif" w:cs="sans-serif"/>
                <w:color w:val="000000"/>
                <w:sz w:val="20"/>
                <w:szCs w:val="20"/>
              </w:rPr>
              <w:t>9,827 </w:t>
            </w:r>
          </w:p>
        </w:tc>
        <w:tc>
          <w:tcPr>
            <w:tcW w:w="0" w:type="auto"/>
            <w:shd w:val="clear" w:color="auto" w:fill="E2EFD9"/>
            <w:tcMar>
              <w:top w:w="40" w:type="dxa"/>
              <w:left w:w="0" w:type="dxa"/>
              <w:bottom w:w="40" w:type="dxa"/>
              <w:right w:w="20" w:type="dxa"/>
            </w:tcMar>
            <w:vAlign w:val="bottom"/>
          </w:tcPr>
          <w:p w14:paraId="7C20817B" w14:textId="77777777" w:rsidR="00834A75" w:rsidRDefault="00834A75">
            <w:pPr>
              <w:jc w:val="right"/>
              <w:rPr>
                <w:rFonts w:ascii="宋体"/>
              </w:rPr>
            </w:pPr>
          </w:p>
        </w:tc>
        <w:tc>
          <w:tcPr>
            <w:tcW w:w="0" w:type="auto"/>
            <w:gridSpan w:val="3"/>
            <w:shd w:val="clear" w:color="auto" w:fill="E2EFD9"/>
            <w:tcMar>
              <w:top w:w="0" w:type="dxa"/>
              <w:left w:w="20" w:type="dxa"/>
              <w:bottom w:w="0" w:type="dxa"/>
              <w:right w:w="20" w:type="dxa"/>
            </w:tcMar>
            <w:vAlign w:val="bottom"/>
          </w:tcPr>
          <w:p w14:paraId="7C20817C" w14:textId="77777777" w:rsidR="00834A75" w:rsidRDefault="00834A75">
            <w:pPr>
              <w:rPr>
                <w:rFonts w:ascii="宋体"/>
              </w:rPr>
            </w:pPr>
          </w:p>
        </w:tc>
        <w:tc>
          <w:tcPr>
            <w:tcW w:w="0" w:type="auto"/>
            <w:shd w:val="clear" w:color="auto" w:fill="E2EFD9"/>
            <w:tcMar>
              <w:top w:w="40" w:type="dxa"/>
              <w:left w:w="20" w:type="dxa"/>
              <w:bottom w:w="40" w:type="dxa"/>
              <w:right w:w="0" w:type="dxa"/>
            </w:tcMar>
            <w:vAlign w:val="bottom"/>
          </w:tcPr>
          <w:p w14:paraId="7C20817D" w14:textId="77777777" w:rsidR="00834A75" w:rsidRDefault="00A6708C">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7C20817E" w14:textId="77777777" w:rsidR="00834A75" w:rsidRDefault="00A6708C">
            <w:pPr>
              <w:jc w:val="right"/>
              <w:textAlignment w:val="bottom"/>
            </w:pPr>
            <w:r>
              <w:rPr>
                <w:rFonts w:ascii="sans-serif" w:eastAsia="sans-serif" w:hAnsi="sans-serif" w:cs="sans-serif"/>
                <w:color w:val="000000"/>
                <w:sz w:val="20"/>
                <w:szCs w:val="20"/>
              </w:rPr>
              <w:t>— </w:t>
            </w:r>
          </w:p>
        </w:tc>
        <w:tc>
          <w:tcPr>
            <w:tcW w:w="0" w:type="auto"/>
            <w:shd w:val="clear" w:color="auto" w:fill="E2EFD9"/>
            <w:tcMar>
              <w:top w:w="40" w:type="dxa"/>
              <w:left w:w="0" w:type="dxa"/>
              <w:bottom w:w="40" w:type="dxa"/>
              <w:right w:w="20" w:type="dxa"/>
            </w:tcMar>
            <w:vAlign w:val="bottom"/>
          </w:tcPr>
          <w:p w14:paraId="7C20817F" w14:textId="77777777" w:rsidR="00834A75" w:rsidRDefault="00834A75">
            <w:pPr>
              <w:jc w:val="right"/>
              <w:rPr>
                <w:rFonts w:ascii="宋体"/>
              </w:rPr>
            </w:pPr>
          </w:p>
        </w:tc>
        <w:tc>
          <w:tcPr>
            <w:tcW w:w="0" w:type="auto"/>
            <w:gridSpan w:val="3"/>
            <w:shd w:val="clear" w:color="auto" w:fill="E2EFD9"/>
            <w:tcMar>
              <w:top w:w="0" w:type="dxa"/>
              <w:left w:w="20" w:type="dxa"/>
              <w:bottom w:w="0" w:type="dxa"/>
              <w:right w:w="20" w:type="dxa"/>
            </w:tcMar>
            <w:vAlign w:val="bottom"/>
          </w:tcPr>
          <w:p w14:paraId="7C208180" w14:textId="77777777" w:rsidR="00834A75" w:rsidRDefault="00834A75">
            <w:pPr>
              <w:rPr>
                <w:rFonts w:ascii="宋体"/>
              </w:rPr>
            </w:pPr>
          </w:p>
        </w:tc>
        <w:tc>
          <w:tcPr>
            <w:tcW w:w="0" w:type="auto"/>
            <w:shd w:val="clear" w:color="auto" w:fill="E2EFD9"/>
            <w:tcMar>
              <w:top w:w="40" w:type="dxa"/>
              <w:left w:w="20" w:type="dxa"/>
              <w:bottom w:w="40" w:type="dxa"/>
              <w:right w:w="0" w:type="dxa"/>
            </w:tcMar>
            <w:vAlign w:val="bottom"/>
          </w:tcPr>
          <w:p w14:paraId="7C208181" w14:textId="77777777" w:rsidR="00834A75" w:rsidRDefault="00A6708C">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7C208182" w14:textId="77777777" w:rsidR="00834A75" w:rsidRDefault="00A6708C">
            <w:pPr>
              <w:jc w:val="right"/>
              <w:textAlignment w:val="bottom"/>
            </w:pPr>
            <w:r>
              <w:rPr>
                <w:rFonts w:ascii="sans-serif" w:eastAsia="sans-serif" w:hAnsi="sans-serif" w:cs="sans-serif"/>
                <w:color w:val="000000"/>
                <w:sz w:val="20"/>
                <w:szCs w:val="20"/>
              </w:rPr>
              <w:t>(9)</w:t>
            </w:r>
          </w:p>
        </w:tc>
        <w:tc>
          <w:tcPr>
            <w:tcW w:w="0" w:type="auto"/>
            <w:shd w:val="clear" w:color="auto" w:fill="E2EFD9"/>
            <w:tcMar>
              <w:top w:w="40" w:type="dxa"/>
              <w:left w:w="0" w:type="dxa"/>
              <w:bottom w:w="40" w:type="dxa"/>
              <w:right w:w="20" w:type="dxa"/>
            </w:tcMar>
            <w:vAlign w:val="bottom"/>
          </w:tcPr>
          <w:p w14:paraId="7C208183" w14:textId="77777777" w:rsidR="00834A75" w:rsidRDefault="00834A75">
            <w:pPr>
              <w:jc w:val="right"/>
              <w:rPr>
                <w:rFonts w:ascii="宋体"/>
              </w:rPr>
            </w:pPr>
          </w:p>
        </w:tc>
        <w:tc>
          <w:tcPr>
            <w:tcW w:w="0" w:type="auto"/>
            <w:gridSpan w:val="3"/>
            <w:shd w:val="clear" w:color="auto" w:fill="E2EFD9"/>
            <w:tcMar>
              <w:top w:w="0" w:type="dxa"/>
              <w:left w:w="20" w:type="dxa"/>
              <w:bottom w:w="0" w:type="dxa"/>
              <w:right w:w="20" w:type="dxa"/>
            </w:tcMar>
            <w:vAlign w:val="bottom"/>
          </w:tcPr>
          <w:p w14:paraId="7C208184" w14:textId="77777777" w:rsidR="00834A75" w:rsidRDefault="00834A75">
            <w:pPr>
              <w:rPr>
                <w:rFonts w:ascii="宋体"/>
              </w:rPr>
            </w:pPr>
          </w:p>
        </w:tc>
        <w:tc>
          <w:tcPr>
            <w:tcW w:w="0" w:type="auto"/>
            <w:shd w:val="clear" w:color="auto" w:fill="E2EFD9"/>
            <w:tcMar>
              <w:top w:w="40" w:type="dxa"/>
              <w:left w:w="20" w:type="dxa"/>
              <w:bottom w:w="40" w:type="dxa"/>
              <w:right w:w="0" w:type="dxa"/>
            </w:tcMar>
            <w:vAlign w:val="bottom"/>
          </w:tcPr>
          <w:p w14:paraId="7C208185" w14:textId="77777777" w:rsidR="00834A75" w:rsidRDefault="00A6708C">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7C208186" w14:textId="77777777" w:rsidR="00834A75" w:rsidRDefault="00A6708C">
            <w:pPr>
              <w:jc w:val="right"/>
              <w:textAlignment w:val="bottom"/>
            </w:pPr>
            <w:r>
              <w:rPr>
                <w:rFonts w:ascii="sans-serif" w:eastAsia="sans-serif" w:hAnsi="sans-serif" w:cs="sans-serif"/>
                <w:color w:val="000000"/>
                <w:sz w:val="20"/>
                <w:szCs w:val="20"/>
              </w:rPr>
              <w:t>9,818 </w:t>
            </w:r>
          </w:p>
        </w:tc>
        <w:tc>
          <w:tcPr>
            <w:tcW w:w="0" w:type="auto"/>
            <w:shd w:val="clear" w:color="auto" w:fill="E2EFD9"/>
            <w:tcMar>
              <w:top w:w="40" w:type="dxa"/>
              <w:left w:w="0" w:type="dxa"/>
              <w:bottom w:w="40" w:type="dxa"/>
              <w:right w:w="20" w:type="dxa"/>
            </w:tcMar>
            <w:vAlign w:val="bottom"/>
          </w:tcPr>
          <w:p w14:paraId="7C208187" w14:textId="77777777" w:rsidR="00834A75" w:rsidRDefault="00834A75">
            <w:pPr>
              <w:jc w:val="right"/>
              <w:rPr>
                <w:rFonts w:ascii="宋体"/>
              </w:rPr>
            </w:pPr>
          </w:p>
        </w:tc>
        <w:tc>
          <w:tcPr>
            <w:tcW w:w="0" w:type="auto"/>
            <w:gridSpan w:val="3"/>
            <w:shd w:val="clear" w:color="auto" w:fill="E2EFD9"/>
            <w:tcMar>
              <w:top w:w="0" w:type="dxa"/>
              <w:left w:w="20" w:type="dxa"/>
              <w:bottom w:w="0" w:type="dxa"/>
              <w:right w:w="20" w:type="dxa"/>
            </w:tcMar>
            <w:vAlign w:val="bottom"/>
          </w:tcPr>
          <w:p w14:paraId="7C208188" w14:textId="77777777" w:rsidR="00834A75" w:rsidRDefault="00834A75">
            <w:pPr>
              <w:rPr>
                <w:rFonts w:ascii="宋体"/>
              </w:rPr>
            </w:pPr>
          </w:p>
        </w:tc>
        <w:tc>
          <w:tcPr>
            <w:tcW w:w="0" w:type="auto"/>
            <w:shd w:val="clear" w:color="auto" w:fill="E2EFD9"/>
            <w:tcMar>
              <w:top w:w="40" w:type="dxa"/>
              <w:left w:w="20" w:type="dxa"/>
              <w:bottom w:w="40" w:type="dxa"/>
              <w:right w:w="0" w:type="dxa"/>
            </w:tcMar>
            <w:vAlign w:val="bottom"/>
          </w:tcPr>
          <w:p w14:paraId="7C208189" w14:textId="77777777" w:rsidR="00834A75" w:rsidRDefault="00A6708C">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7C20818A" w14:textId="77777777" w:rsidR="00834A75" w:rsidRDefault="00A6708C">
            <w:pPr>
              <w:jc w:val="right"/>
              <w:textAlignment w:val="bottom"/>
            </w:pPr>
            <w:r>
              <w:rPr>
                <w:rFonts w:ascii="sans-serif" w:eastAsia="sans-serif" w:hAnsi="sans-serif" w:cs="sans-serif"/>
                <w:color w:val="000000"/>
                <w:sz w:val="20"/>
                <w:szCs w:val="20"/>
              </w:rPr>
              <w:t>1,232 </w:t>
            </w:r>
          </w:p>
        </w:tc>
        <w:tc>
          <w:tcPr>
            <w:tcW w:w="0" w:type="auto"/>
            <w:shd w:val="clear" w:color="auto" w:fill="E2EFD9"/>
            <w:tcMar>
              <w:top w:w="40" w:type="dxa"/>
              <w:left w:w="0" w:type="dxa"/>
              <w:bottom w:w="40" w:type="dxa"/>
              <w:right w:w="20" w:type="dxa"/>
            </w:tcMar>
            <w:vAlign w:val="bottom"/>
          </w:tcPr>
          <w:p w14:paraId="7C20818B" w14:textId="77777777" w:rsidR="00834A75" w:rsidRDefault="00834A75">
            <w:pPr>
              <w:jc w:val="right"/>
              <w:rPr>
                <w:rFonts w:ascii="宋体"/>
              </w:rPr>
            </w:pPr>
          </w:p>
        </w:tc>
        <w:tc>
          <w:tcPr>
            <w:tcW w:w="0" w:type="auto"/>
            <w:gridSpan w:val="3"/>
            <w:shd w:val="clear" w:color="auto" w:fill="E2EFD9"/>
            <w:tcMar>
              <w:top w:w="0" w:type="dxa"/>
              <w:left w:w="20" w:type="dxa"/>
              <w:bottom w:w="0" w:type="dxa"/>
              <w:right w:w="20" w:type="dxa"/>
            </w:tcMar>
            <w:vAlign w:val="bottom"/>
          </w:tcPr>
          <w:p w14:paraId="7C20818C" w14:textId="77777777" w:rsidR="00834A75" w:rsidRDefault="00834A75">
            <w:pPr>
              <w:rPr>
                <w:rFonts w:ascii="宋体"/>
              </w:rPr>
            </w:pPr>
          </w:p>
        </w:tc>
        <w:tc>
          <w:tcPr>
            <w:tcW w:w="0" w:type="auto"/>
            <w:shd w:val="clear" w:color="auto" w:fill="E2EFD9"/>
            <w:tcMar>
              <w:top w:w="40" w:type="dxa"/>
              <w:left w:w="20" w:type="dxa"/>
              <w:bottom w:w="40" w:type="dxa"/>
              <w:right w:w="0" w:type="dxa"/>
            </w:tcMar>
            <w:vAlign w:val="bottom"/>
          </w:tcPr>
          <w:p w14:paraId="7C20818D" w14:textId="77777777" w:rsidR="00834A75" w:rsidRDefault="00A6708C">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7C20818E" w14:textId="77777777" w:rsidR="00834A75" w:rsidRDefault="00A6708C">
            <w:pPr>
              <w:jc w:val="right"/>
              <w:textAlignment w:val="bottom"/>
            </w:pPr>
            <w:r>
              <w:rPr>
                <w:rFonts w:ascii="sans-serif" w:eastAsia="sans-serif" w:hAnsi="sans-serif" w:cs="sans-serif"/>
                <w:color w:val="000000"/>
                <w:sz w:val="20"/>
                <w:szCs w:val="20"/>
              </w:rPr>
              <w:t>8,586 </w:t>
            </w:r>
          </w:p>
        </w:tc>
        <w:tc>
          <w:tcPr>
            <w:tcW w:w="0" w:type="auto"/>
            <w:shd w:val="clear" w:color="auto" w:fill="E2EFD9"/>
            <w:tcMar>
              <w:top w:w="40" w:type="dxa"/>
              <w:left w:w="0" w:type="dxa"/>
              <w:bottom w:w="40" w:type="dxa"/>
              <w:right w:w="20" w:type="dxa"/>
            </w:tcMar>
            <w:vAlign w:val="bottom"/>
          </w:tcPr>
          <w:p w14:paraId="7C20818F" w14:textId="77777777" w:rsidR="00834A75" w:rsidRDefault="00834A75">
            <w:pPr>
              <w:jc w:val="right"/>
              <w:rPr>
                <w:rFonts w:ascii="宋体"/>
              </w:rPr>
            </w:pPr>
          </w:p>
        </w:tc>
      </w:tr>
      <w:tr w:rsidR="00834A75" w14:paraId="7C2081A3" w14:textId="77777777">
        <w:tc>
          <w:tcPr>
            <w:tcW w:w="0" w:type="auto"/>
            <w:gridSpan w:val="3"/>
            <w:shd w:val="clear" w:color="auto" w:fill="FFFFFF"/>
            <w:tcMar>
              <w:top w:w="40" w:type="dxa"/>
              <w:left w:w="20" w:type="dxa"/>
              <w:bottom w:w="40" w:type="dxa"/>
              <w:right w:w="20" w:type="dxa"/>
            </w:tcMar>
            <w:vAlign w:val="bottom"/>
          </w:tcPr>
          <w:p w14:paraId="7C208191" w14:textId="77777777" w:rsidR="00834A75" w:rsidRDefault="00A6708C">
            <w:pPr>
              <w:textAlignment w:val="bottom"/>
            </w:pPr>
            <w:r>
              <w:rPr>
                <w:rFonts w:ascii="sans-serif" w:eastAsia="sans-serif" w:hAnsi="sans-serif" w:cs="sans-serif"/>
                <w:color w:val="000000"/>
                <w:sz w:val="20"/>
                <w:szCs w:val="20"/>
              </w:rPr>
              <w:t>Debt securi</w:t>
            </w:r>
            <w:r>
              <w:rPr>
                <w:rFonts w:ascii="sans-serif" w:eastAsia="sans-serif" w:hAnsi="sans-serif" w:cs="sans-serif"/>
                <w:color w:val="000000"/>
                <w:sz w:val="20"/>
                <w:szCs w:val="20"/>
              </w:rPr>
              <w:t>ties issued by the United States Treasury</w:t>
            </w:r>
          </w:p>
        </w:tc>
        <w:tc>
          <w:tcPr>
            <w:tcW w:w="0" w:type="auto"/>
            <w:gridSpan w:val="2"/>
            <w:shd w:val="clear" w:color="auto" w:fill="FFFFFF"/>
            <w:tcMar>
              <w:top w:w="40" w:type="dxa"/>
              <w:left w:w="20" w:type="dxa"/>
              <w:bottom w:w="40" w:type="dxa"/>
              <w:right w:w="0" w:type="dxa"/>
            </w:tcMar>
            <w:vAlign w:val="bottom"/>
          </w:tcPr>
          <w:p w14:paraId="7C208192" w14:textId="77777777" w:rsidR="00834A75" w:rsidRDefault="00A6708C">
            <w:pPr>
              <w:jc w:val="right"/>
              <w:textAlignment w:val="bottom"/>
            </w:pPr>
            <w:r>
              <w:rPr>
                <w:rFonts w:ascii="sans-serif" w:eastAsia="sans-serif" w:hAnsi="sans-serif" w:cs="sans-serif"/>
                <w:color w:val="000000"/>
                <w:sz w:val="20"/>
                <w:szCs w:val="20"/>
              </w:rPr>
              <w:t>6,157 </w:t>
            </w:r>
          </w:p>
        </w:tc>
        <w:tc>
          <w:tcPr>
            <w:tcW w:w="0" w:type="auto"/>
            <w:shd w:val="clear" w:color="auto" w:fill="FFFFFF"/>
            <w:tcMar>
              <w:top w:w="40" w:type="dxa"/>
              <w:left w:w="0" w:type="dxa"/>
              <w:bottom w:w="40" w:type="dxa"/>
              <w:right w:w="20" w:type="dxa"/>
            </w:tcMar>
            <w:vAlign w:val="bottom"/>
          </w:tcPr>
          <w:p w14:paraId="7C208193" w14:textId="77777777" w:rsidR="00834A75" w:rsidRDefault="00834A75">
            <w:pPr>
              <w:jc w:val="right"/>
              <w:rPr>
                <w:rFonts w:ascii="宋体"/>
              </w:rPr>
            </w:pPr>
          </w:p>
        </w:tc>
        <w:tc>
          <w:tcPr>
            <w:tcW w:w="0" w:type="auto"/>
            <w:gridSpan w:val="3"/>
            <w:shd w:val="clear" w:color="auto" w:fill="FFFFFF"/>
            <w:tcMar>
              <w:top w:w="0" w:type="dxa"/>
              <w:left w:w="20" w:type="dxa"/>
              <w:bottom w:w="0" w:type="dxa"/>
              <w:right w:w="20" w:type="dxa"/>
            </w:tcMar>
            <w:vAlign w:val="bottom"/>
          </w:tcPr>
          <w:p w14:paraId="7C208194" w14:textId="77777777" w:rsidR="00834A75" w:rsidRDefault="00834A75">
            <w:pPr>
              <w:rPr>
                <w:rFonts w:ascii="宋体"/>
              </w:rPr>
            </w:pPr>
          </w:p>
        </w:tc>
        <w:tc>
          <w:tcPr>
            <w:tcW w:w="0" w:type="auto"/>
            <w:gridSpan w:val="2"/>
            <w:shd w:val="clear" w:color="auto" w:fill="FFFFFF"/>
            <w:tcMar>
              <w:top w:w="40" w:type="dxa"/>
              <w:left w:w="20" w:type="dxa"/>
              <w:bottom w:w="40" w:type="dxa"/>
              <w:right w:w="0" w:type="dxa"/>
            </w:tcMar>
            <w:vAlign w:val="bottom"/>
          </w:tcPr>
          <w:p w14:paraId="7C208195" w14:textId="77777777" w:rsidR="00834A75" w:rsidRDefault="00A6708C">
            <w:pPr>
              <w:jc w:val="right"/>
              <w:textAlignment w:val="bottom"/>
            </w:pPr>
            <w:r>
              <w:rPr>
                <w:rFonts w:ascii="sans-serif" w:eastAsia="sans-serif" w:hAnsi="sans-serif" w:cs="sans-serif"/>
                <w:color w:val="000000"/>
                <w:sz w:val="20"/>
                <w:szCs w:val="20"/>
              </w:rPr>
              <w:t>3 </w:t>
            </w:r>
          </w:p>
        </w:tc>
        <w:tc>
          <w:tcPr>
            <w:tcW w:w="0" w:type="auto"/>
            <w:shd w:val="clear" w:color="auto" w:fill="FFFFFF"/>
            <w:tcMar>
              <w:top w:w="40" w:type="dxa"/>
              <w:left w:w="0" w:type="dxa"/>
              <w:bottom w:w="40" w:type="dxa"/>
              <w:right w:w="20" w:type="dxa"/>
            </w:tcMar>
            <w:vAlign w:val="bottom"/>
          </w:tcPr>
          <w:p w14:paraId="7C208196" w14:textId="77777777" w:rsidR="00834A75" w:rsidRDefault="00834A75">
            <w:pPr>
              <w:jc w:val="right"/>
              <w:rPr>
                <w:rFonts w:ascii="宋体"/>
              </w:rPr>
            </w:pPr>
          </w:p>
        </w:tc>
        <w:tc>
          <w:tcPr>
            <w:tcW w:w="0" w:type="auto"/>
            <w:gridSpan w:val="3"/>
            <w:shd w:val="clear" w:color="auto" w:fill="FFFFFF"/>
            <w:tcMar>
              <w:top w:w="0" w:type="dxa"/>
              <w:left w:w="20" w:type="dxa"/>
              <w:bottom w:w="0" w:type="dxa"/>
              <w:right w:w="20" w:type="dxa"/>
            </w:tcMar>
            <w:vAlign w:val="bottom"/>
          </w:tcPr>
          <w:p w14:paraId="7C208197" w14:textId="77777777" w:rsidR="00834A75" w:rsidRDefault="00834A75">
            <w:pPr>
              <w:rPr>
                <w:rFonts w:ascii="宋体"/>
              </w:rPr>
            </w:pPr>
          </w:p>
        </w:tc>
        <w:tc>
          <w:tcPr>
            <w:tcW w:w="0" w:type="auto"/>
            <w:gridSpan w:val="2"/>
            <w:shd w:val="clear" w:color="auto" w:fill="FFFFFF"/>
            <w:tcMar>
              <w:top w:w="40" w:type="dxa"/>
              <w:left w:w="20" w:type="dxa"/>
              <w:bottom w:w="40" w:type="dxa"/>
              <w:right w:w="0" w:type="dxa"/>
            </w:tcMar>
            <w:vAlign w:val="bottom"/>
          </w:tcPr>
          <w:p w14:paraId="7C208198" w14:textId="77777777" w:rsidR="00834A75" w:rsidRDefault="00A6708C">
            <w:pPr>
              <w:jc w:val="right"/>
              <w:textAlignment w:val="bottom"/>
            </w:pPr>
            <w:r>
              <w:rPr>
                <w:rFonts w:ascii="sans-serif" w:eastAsia="sans-serif" w:hAnsi="sans-serif" w:cs="sans-serif"/>
                <w:color w:val="000000"/>
                <w:sz w:val="20"/>
                <w:szCs w:val="20"/>
              </w:rPr>
              <w:t>(38)</w:t>
            </w:r>
          </w:p>
        </w:tc>
        <w:tc>
          <w:tcPr>
            <w:tcW w:w="0" w:type="auto"/>
            <w:shd w:val="clear" w:color="auto" w:fill="FFFFFF"/>
            <w:tcMar>
              <w:top w:w="40" w:type="dxa"/>
              <w:left w:w="0" w:type="dxa"/>
              <w:bottom w:w="40" w:type="dxa"/>
              <w:right w:w="20" w:type="dxa"/>
            </w:tcMar>
            <w:vAlign w:val="bottom"/>
          </w:tcPr>
          <w:p w14:paraId="7C208199" w14:textId="77777777" w:rsidR="00834A75" w:rsidRDefault="00834A75">
            <w:pPr>
              <w:jc w:val="right"/>
              <w:rPr>
                <w:rFonts w:ascii="宋体"/>
              </w:rPr>
            </w:pPr>
          </w:p>
        </w:tc>
        <w:tc>
          <w:tcPr>
            <w:tcW w:w="0" w:type="auto"/>
            <w:gridSpan w:val="3"/>
            <w:shd w:val="clear" w:color="auto" w:fill="FFFFFF"/>
            <w:tcMar>
              <w:top w:w="0" w:type="dxa"/>
              <w:left w:w="20" w:type="dxa"/>
              <w:bottom w:w="0" w:type="dxa"/>
              <w:right w:w="20" w:type="dxa"/>
            </w:tcMar>
            <w:vAlign w:val="bottom"/>
          </w:tcPr>
          <w:p w14:paraId="7C20819A" w14:textId="77777777" w:rsidR="00834A75" w:rsidRDefault="00834A75">
            <w:pPr>
              <w:rPr>
                <w:rFonts w:ascii="宋体"/>
              </w:rPr>
            </w:pPr>
          </w:p>
        </w:tc>
        <w:tc>
          <w:tcPr>
            <w:tcW w:w="0" w:type="auto"/>
            <w:gridSpan w:val="2"/>
            <w:shd w:val="clear" w:color="auto" w:fill="FFFFFF"/>
            <w:tcMar>
              <w:top w:w="40" w:type="dxa"/>
              <w:left w:w="20" w:type="dxa"/>
              <w:bottom w:w="40" w:type="dxa"/>
              <w:right w:w="0" w:type="dxa"/>
            </w:tcMar>
            <w:vAlign w:val="bottom"/>
          </w:tcPr>
          <w:p w14:paraId="7C20819B" w14:textId="77777777" w:rsidR="00834A75" w:rsidRDefault="00A6708C">
            <w:pPr>
              <w:jc w:val="right"/>
              <w:textAlignment w:val="bottom"/>
            </w:pPr>
            <w:r>
              <w:rPr>
                <w:rFonts w:ascii="sans-serif" w:eastAsia="sans-serif" w:hAnsi="sans-serif" w:cs="sans-serif"/>
                <w:color w:val="000000"/>
                <w:sz w:val="20"/>
                <w:szCs w:val="20"/>
              </w:rPr>
              <w:t>6,122 </w:t>
            </w:r>
          </w:p>
        </w:tc>
        <w:tc>
          <w:tcPr>
            <w:tcW w:w="0" w:type="auto"/>
            <w:shd w:val="clear" w:color="auto" w:fill="FFFFFF"/>
            <w:tcMar>
              <w:top w:w="40" w:type="dxa"/>
              <w:left w:w="0" w:type="dxa"/>
              <w:bottom w:w="40" w:type="dxa"/>
              <w:right w:w="20" w:type="dxa"/>
            </w:tcMar>
            <w:vAlign w:val="bottom"/>
          </w:tcPr>
          <w:p w14:paraId="7C20819C" w14:textId="77777777" w:rsidR="00834A75" w:rsidRDefault="00834A75">
            <w:pPr>
              <w:jc w:val="right"/>
              <w:rPr>
                <w:rFonts w:ascii="宋体"/>
              </w:rPr>
            </w:pPr>
          </w:p>
        </w:tc>
        <w:tc>
          <w:tcPr>
            <w:tcW w:w="0" w:type="auto"/>
            <w:gridSpan w:val="3"/>
            <w:shd w:val="clear" w:color="auto" w:fill="FFFFFF"/>
            <w:tcMar>
              <w:top w:w="0" w:type="dxa"/>
              <w:left w:w="20" w:type="dxa"/>
              <w:bottom w:w="0" w:type="dxa"/>
              <w:right w:w="20" w:type="dxa"/>
            </w:tcMar>
            <w:vAlign w:val="bottom"/>
          </w:tcPr>
          <w:p w14:paraId="7C20819D" w14:textId="77777777" w:rsidR="00834A75" w:rsidRDefault="00834A75">
            <w:pPr>
              <w:rPr>
                <w:rFonts w:ascii="宋体"/>
              </w:rPr>
            </w:pPr>
          </w:p>
        </w:tc>
        <w:tc>
          <w:tcPr>
            <w:tcW w:w="0" w:type="auto"/>
            <w:gridSpan w:val="2"/>
            <w:shd w:val="clear" w:color="auto" w:fill="FFFFFF"/>
            <w:tcMar>
              <w:top w:w="40" w:type="dxa"/>
              <w:left w:w="20" w:type="dxa"/>
              <w:bottom w:w="40" w:type="dxa"/>
              <w:right w:w="0" w:type="dxa"/>
            </w:tcMar>
            <w:vAlign w:val="bottom"/>
          </w:tcPr>
          <w:p w14:paraId="7C20819E" w14:textId="77777777" w:rsidR="00834A75" w:rsidRDefault="00A6708C">
            <w:pPr>
              <w:jc w:val="right"/>
              <w:textAlignment w:val="bottom"/>
            </w:pPr>
            <w:r>
              <w:rPr>
                <w:rFonts w:ascii="sans-serif" w:eastAsia="sans-serif" w:hAnsi="sans-serif" w:cs="sans-serif"/>
                <w:color w:val="000000"/>
                <w:sz w:val="20"/>
                <w:szCs w:val="20"/>
              </w:rPr>
              <w:t>1,324 </w:t>
            </w:r>
          </w:p>
        </w:tc>
        <w:tc>
          <w:tcPr>
            <w:tcW w:w="0" w:type="auto"/>
            <w:shd w:val="clear" w:color="auto" w:fill="FFFFFF"/>
            <w:tcMar>
              <w:top w:w="40" w:type="dxa"/>
              <w:left w:w="0" w:type="dxa"/>
              <w:bottom w:w="40" w:type="dxa"/>
              <w:right w:w="20" w:type="dxa"/>
            </w:tcMar>
            <w:vAlign w:val="bottom"/>
          </w:tcPr>
          <w:p w14:paraId="7C20819F" w14:textId="77777777" w:rsidR="00834A75" w:rsidRDefault="00834A75">
            <w:pPr>
              <w:jc w:val="right"/>
              <w:rPr>
                <w:rFonts w:ascii="宋体"/>
              </w:rPr>
            </w:pPr>
          </w:p>
        </w:tc>
        <w:tc>
          <w:tcPr>
            <w:tcW w:w="0" w:type="auto"/>
            <w:gridSpan w:val="3"/>
            <w:shd w:val="clear" w:color="auto" w:fill="FFFFFF"/>
            <w:tcMar>
              <w:top w:w="0" w:type="dxa"/>
              <w:left w:w="20" w:type="dxa"/>
              <w:bottom w:w="0" w:type="dxa"/>
              <w:right w:w="20" w:type="dxa"/>
            </w:tcMar>
            <w:vAlign w:val="bottom"/>
          </w:tcPr>
          <w:p w14:paraId="7C2081A0" w14:textId="77777777" w:rsidR="00834A75" w:rsidRDefault="00834A75">
            <w:pPr>
              <w:rPr>
                <w:rFonts w:ascii="宋体"/>
              </w:rPr>
            </w:pPr>
          </w:p>
        </w:tc>
        <w:tc>
          <w:tcPr>
            <w:tcW w:w="0" w:type="auto"/>
            <w:gridSpan w:val="2"/>
            <w:shd w:val="clear" w:color="auto" w:fill="FFFFFF"/>
            <w:tcMar>
              <w:top w:w="40" w:type="dxa"/>
              <w:left w:w="20" w:type="dxa"/>
              <w:bottom w:w="40" w:type="dxa"/>
              <w:right w:w="0" w:type="dxa"/>
            </w:tcMar>
            <w:vAlign w:val="bottom"/>
          </w:tcPr>
          <w:p w14:paraId="7C2081A1" w14:textId="77777777" w:rsidR="00834A75" w:rsidRDefault="00A6708C">
            <w:pPr>
              <w:jc w:val="right"/>
              <w:textAlignment w:val="bottom"/>
            </w:pPr>
            <w:r>
              <w:rPr>
                <w:rFonts w:ascii="sans-serif" w:eastAsia="sans-serif" w:hAnsi="sans-serif" w:cs="sans-serif"/>
                <w:color w:val="000000"/>
                <w:sz w:val="20"/>
                <w:szCs w:val="20"/>
              </w:rPr>
              <w:t>4,798 </w:t>
            </w:r>
          </w:p>
        </w:tc>
        <w:tc>
          <w:tcPr>
            <w:tcW w:w="0" w:type="auto"/>
            <w:shd w:val="clear" w:color="auto" w:fill="FFFFFF"/>
            <w:tcMar>
              <w:top w:w="40" w:type="dxa"/>
              <w:left w:w="0" w:type="dxa"/>
              <w:bottom w:w="40" w:type="dxa"/>
              <w:right w:w="20" w:type="dxa"/>
            </w:tcMar>
            <w:vAlign w:val="bottom"/>
          </w:tcPr>
          <w:p w14:paraId="7C2081A2" w14:textId="77777777" w:rsidR="00834A75" w:rsidRDefault="00834A75">
            <w:pPr>
              <w:jc w:val="right"/>
              <w:rPr>
                <w:rFonts w:ascii="宋体"/>
              </w:rPr>
            </w:pPr>
          </w:p>
        </w:tc>
      </w:tr>
      <w:tr w:rsidR="00834A75" w14:paraId="7C2081B6" w14:textId="77777777">
        <w:tc>
          <w:tcPr>
            <w:tcW w:w="0" w:type="auto"/>
            <w:gridSpan w:val="3"/>
            <w:shd w:val="clear" w:color="auto" w:fill="E2EFD9"/>
            <w:tcMar>
              <w:top w:w="40" w:type="dxa"/>
              <w:left w:w="20" w:type="dxa"/>
              <w:bottom w:w="40" w:type="dxa"/>
              <w:right w:w="20" w:type="dxa"/>
            </w:tcMar>
            <w:vAlign w:val="bottom"/>
          </w:tcPr>
          <w:p w14:paraId="7C2081A4" w14:textId="77777777" w:rsidR="00834A75" w:rsidRDefault="00A6708C">
            <w:pPr>
              <w:textAlignment w:val="bottom"/>
            </w:pPr>
            <w:r>
              <w:rPr>
                <w:rFonts w:ascii="sans-serif" w:eastAsia="sans-serif" w:hAnsi="sans-serif" w:cs="sans-serif"/>
                <w:color w:val="000000"/>
                <w:sz w:val="20"/>
                <w:szCs w:val="20"/>
              </w:rPr>
              <w:t>Debt securities issued by United States government agencies</w:t>
            </w:r>
          </w:p>
        </w:tc>
        <w:tc>
          <w:tcPr>
            <w:tcW w:w="0" w:type="auto"/>
            <w:gridSpan w:val="2"/>
            <w:shd w:val="clear" w:color="auto" w:fill="E2EFD9"/>
            <w:tcMar>
              <w:top w:w="40" w:type="dxa"/>
              <w:left w:w="20" w:type="dxa"/>
              <w:bottom w:w="40" w:type="dxa"/>
              <w:right w:w="0" w:type="dxa"/>
            </w:tcMar>
            <w:vAlign w:val="bottom"/>
          </w:tcPr>
          <w:p w14:paraId="7C2081A5" w14:textId="77777777" w:rsidR="00834A75" w:rsidRDefault="00A6708C">
            <w:pPr>
              <w:jc w:val="right"/>
              <w:textAlignment w:val="bottom"/>
            </w:pPr>
            <w:r>
              <w:rPr>
                <w:rFonts w:ascii="sans-serif" w:eastAsia="sans-serif" w:hAnsi="sans-serif" w:cs="sans-serif"/>
                <w:color w:val="000000"/>
                <w:sz w:val="20"/>
                <w:szCs w:val="20"/>
              </w:rPr>
              <w:t>2,116 </w:t>
            </w:r>
          </w:p>
        </w:tc>
        <w:tc>
          <w:tcPr>
            <w:tcW w:w="0" w:type="auto"/>
            <w:shd w:val="clear" w:color="auto" w:fill="E2EFD9"/>
            <w:tcMar>
              <w:top w:w="40" w:type="dxa"/>
              <w:left w:w="0" w:type="dxa"/>
              <w:bottom w:w="40" w:type="dxa"/>
              <w:right w:w="20" w:type="dxa"/>
            </w:tcMar>
            <w:vAlign w:val="bottom"/>
          </w:tcPr>
          <w:p w14:paraId="7C2081A6" w14:textId="77777777" w:rsidR="00834A75" w:rsidRDefault="00834A75">
            <w:pPr>
              <w:jc w:val="right"/>
              <w:rPr>
                <w:rFonts w:ascii="宋体"/>
              </w:rPr>
            </w:pPr>
          </w:p>
        </w:tc>
        <w:tc>
          <w:tcPr>
            <w:tcW w:w="0" w:type="auto"/>
            <w:gridSpan w:val="3"/>
            <w:shd w:val="clear" w:color="auto" w:fill="E2EFD9"/>
            <w:tcMar>
              <w:top w:w="0" w:type="dxa"/>
              <w:left w:w="20" w:type="dxa"/>
              <w:bottom w:w="0" w:type="dxa"/>
              <w:right w:w="20" w:type="dxa"/>
            </w:tcMar>
            <w:vAlign w:val="bottom"/>
          </w:tcPr>
          <w:p w14:paraId="7C2081A7" w14:textId="77777777" w:rsidR="00834A75" w:rsidRDefault="00834A75">
            <w:pPr>
              <w:rPr>
                <w:rFonts w:ascii="宋体"/>
              </w:rPr>
            </w:pPr>
          </w:p>
        </w:tc>
        <w:tc>
          <w:tcPr>
            <w:tcW w:w="0" w:type="auto"/>
            <w:gridSpan w:val="2"/>
            <w:shd w:val="clear" w:color="auto" w:fill="E2EFD9"/>
            <w:tcMar>
              <w:top w:w="40" w:type="dxa"/>
              <w:left w:w="20" w:type="dxa"/>
              <w:bottom w:w="40" w:type="dxa"/>
              <w:right w:w="0" w:type="dxa"/>
            </w:tcMar>
            <w:vAlign w:val="bottom"/>
          </w:tcPr>
          <w:p w14:paraId="7C2081A8" w14:textId="77777777" w:rsidR="00834A75" w:rsidRDefault="00A6708C">
            <w:pPr>
              <w:jc w:val="right"/>
              <w:textAlignment w:val="bottom"/>
            </w:pPr>
            <w:r>
              <w:rPr>
                <w:rFonts w:ascii="sans-serif" w:eastAsia="sans-serif" w:hAnsi="sans-serif" w:cs="sans-serif"/>
                <w:color w:val="000000"/>
                <w:sz w:val="20"/>
                <w:szCs w:val="20"/>
              </w:rPr>
              <w:t>— </w:t>
            </w:r>
          </w:p>
        </w:tc>
        <w:tc>
          <w:tcPr>
            <w:tcW w:w="0" w:type="auto"/>
            <w:shd w:val="clear" w:color="auto" w:fill="E2EFD9"/>
            <w:tcMar>
              <w:top w:w="40" w:type="dxa"/>
              <w:left w:w="0" w:type="dxa"/>
              <w:bottom w:w="40" w:type="dxa"/>
              <w:right w:w="20" w:type="dxa"/>
            </w:tcMar>
            <w:vAlign w:val="bottom"/>
          </w:tcPr>
          <w:p w14:paraId="7C2081A9" w14:textId="77777777" w:rsidR="00834A75" w:rsidRDefault="00834A75">
            <w:pPr>
              <w:jc w:val="right"/>
              <w:rPr>
                <w:rFonts w:ascii="宋体"/>
              </w:rPr>
            </w:pPr>
          </w:p>
        </w:tc>
        <w:tc>
          <w:tcPr>
            <w:tcW w:w="0" w:type="auto"/>
            <w:gridSpan w:val="3"/>
            <w:shd w:val="clear" w:color="auto" w:fill="E2EFD9"/>
            <w:tcMar>
              <w:top w:w="0" w:type="dxa"/>
              <w:left w:w="20" w:type="dxa"/>
              <w:bottom w:w="0" w:type="dxa"/>
              <w:right w:w="20" w:type="dxa"/>
            </w:tcMar>
            <w:vAlign w:val="bottom"/>
          </w:tcPr>
          <w:p w14:paraId="7C2081AA" w14:textId="77777777" w:rsidR="00834A75" w:rsidRDefault="00834A75">
            <w:pPr>
              <w:rPr>
                <w:rFonts w:ascii="宋体"/>
              </w:rPr>
            </w:pPr>
          </w:p>
        </w:tc>
        <w:tc>
          <w:tcPr>
            <w:tcW w:w="0" w:type="auto"/>
            <w:gridSpan w:val="2"/>
            <w:shd w:val="clear" w:color="auto" w:fill="E2EFD9"/>
            <w:tcMar>
              <w:top w:w="40" w:type="dxa"/>
              <w:left w:w="20" w:type="dxa"/>
              <w:bottom w:w="40" w:type="dxa"/>
              <w:right w:w="0" w:type="dxa"/>
            </w:tcMar>
            <w:vAlign w:val="bottom"/>
          </w:tcPr>
          <w:p w14:paraId="7C2081AB" w14:textId="77777777" w:rsidR="00834A75" w:rsidRDefault="00A6708C">
            <w:pPr>
              <w:jc w:val="right"/>
              <w:textAlignment w:val="bottom"/>
            </w:pPr>
            <w:r>
              <w:rPr>
                <w:rFonts w:ascii="sans-serif" w:eastAsia="sans-serif" w:hAnsi="sans-serif" w:cs="sans-serif"/>
                <w:color w:val="000000"/>
                <w:sz w:val="20"/>
                <w:szCs w:val="20"/>
              </w:rPr>
              <w:t>— </w:t>
            </w:r>
          </w:p>
        </w:tc>
        <w:tc>
          <w:tcPr>
            <w:tcW w:w="0" w:type="auto"/>
            <w:shd w:val="clear" w:color="auto" w:fill="E2EFD9"/>
            <w:tcMar>
              <w:top w:w="40" w:type="dxa"/>
              <w:left w:w="0" w:type="dxa"/>
              <w:bottom w:w="40" w:type="dxa"/>
              <w:right w:w="20" w:type="dxa"/>
            </w:tcMar>
            <w:vAlign w:val="bottom"/>
          </w:tcPr>
          <w:p w14:paraId="7C2081AC" w14:textId="77777777" w:rsidR="00834A75" w:rsidRDefault="00834A75">
            <w:pPr>
              <w:jc w:val="right"/>
              <w:rPr>
                <w:rFonts w:ascii="宋体"/>
              </w:rPr>
            </w:pPr>
          </w:p>
        </w:tc>
        <w:tc>
          <w:tcPr>
            <w:tcW w:w="0" w:type="auto"/>
            <w:gridSpan w:val="3"/>
            <w:shd w:val="clear" w:color="auto" w:fill="E2EFD9"/>
            <w:tcMar>
              <w:top w:w="0" w:type="dxa"/>
              <w:left w:w="20" w:type="dxa"/>
              <w:bottom w:w="0" w:type="dxa"/>
              <w:right w:w="20" w:type="dxa"/>
            </w:tcMar>
            <w:vAlign w:val="bottom"/>
          </w:tcPr>
          <w:p w14:paraId="7C2081AD" w14:textId="77777777" w:rsidR="00834A75" w:rsidRDefault="00834A75">
            <w:pPr>
              <w:rPr>
                <w:rFonts w:ascii="宋体"/>
              </w:rPr>
            </w:pPr>
          </w:p>
        </w:tc>
        <w:tc>
          <w:tcPr>
            <w:tcW w:w="0" w:type="auto"/>
            <w:gridSpan w:val="2"/>
            <w:shd w:val="clear" w:color="auto" w:fill="E2EFD9"/>
            <w:tcMar>
              <w:top w:w="40" w:type="dxa"/>
              <w:left w:w="20" w:type="dxa"/>
              <w:bottom w:w="40" w:type="dxa"/>
              <w:right w:w="0" w:type="dxa"/>
            </w:tcMar>
            <w:vAlign w:val="bottom"/>
          </w:tcPr>
          <w:p w14:paraId="7C2081AE" w14:textId="77777777" w:rsidR="00834A75" w:rsidRDefault="00A6708C">
            <w:pPr>
              <w:jc w:val="right"/>
              <w:textAlignment w:val="bottom"/>
            </w:pPr>
            <w:r>
              <w:rPr>
                <w:rFonts w:ascii="sans-serif" w:eastAsia="sans-serif" w:hAnsi="sans-serif" w:cs="sans-serif"/>
                <w:color w:val="000000"/>
                <w:sz w:val="20"/>
                <w:szCs w:val="20"/>
              </w:rPr>
              <w:t>2,116 </w:t>
            </w:r>
          </w:p>
        </w:tc>
        <w:tc>
          <w:tcPr>
            <w:tcW w:w="0" w:type="auto"/>
            <w:shd w:val="clear" w:color="auto" w:fill="E2EFD9"/>
            <w:tcMar>
              <w:top w:w="40" w:type="dxa"/>
              <w:left w:w="0" w:type="dxa"/>
              <w:bottom w:w="40" w:type="dxa"/>
              <w:right w:w="20" w:type="dxa"/>
            </w:tcMar>
            <w:vAlign w:val="bottom"/>
          </w:tcPr>
          <w:p w14:paraId="7C2081AF" w14:textId="77777777" w:rsidR="00834A75" w:rsidRDefault="00834A75">
            <w:pPr>
              <w:jc w:val="right"/>
              <w:rPr>
                <w:rFonts w:ascii="宋体"/>
              </w:rPr>
            </w:pPr>
          </w:p>
        </w:tc>
        <w:tc>
          <w:tcPr>
            <w:tcW w:w="0" w:type="auto"/>
            <w:gridSpan w:val="3"/>
            <w:shd w:val="clear" w:color="auto" w:fill="E2EFD9"/>
            <w:tcMar>
              <w:top w:w="0" w:type="dxa"/>
              <w:left w:w="20" w:type="dxa"/>
              <w:bottom w:w="0" w:type="dxa"/>
              <w:right w:w="20" w:type="dxa"/>
            </w:tcMar>
            <w:vAlign w:val="bottom"/>
          </w:tcPr>
          <w:p w14:paraId="7C2081B0" w14:textId="77777777" w:rsidR="00834A75" w:rsidRDefault="00834A75">
            <w:pPr>
              <w:rPr>
                <w:rFonts w:ascii="宋体"/>
              </w:rPr>
            </w:pPr>
          </w:p>
        </w:tc>
        <w:tc>
          <w:tcPr>
            <w:tcW w:w="0" w:type="auto"/>
            <w:gridSpan w:val="2"/>
            <w:shd w:val="clear" w:color="auto" w:fill="E2EFD9"/>
            <w:tcMar>
              <w:top w:w="40" w:type="dxa"/>
              <w:left w:w="20" w:type="dxa"/>
              <w:bottom w:w="40" w:type="dxa"/>
              <w:right w:w="0" w:type="dxa"/>
            </w:tcMar>
            <w:vAlign w:val="bottom"/>
          </w:tcPr>
          <w:p w14:paraId="7C2081B1" w14:textId="77777777" w:rsidR="00834A75" w:rsidRDefault="00A6708C">
            <w:pPr>
              <w:jc w:val="right"/>
              <w:textAlignment w:val="bottom"/>
            </w:pPr>
            <w:r>
              <w:rPr>
                <w:rFonts w:ascii="sans-serif" w:eastAsia="sans-serif" w:hAnsi="sans-serif" w:cs="sans-serif"/>
                <w:color w:val="000000"/>
                <w:sz w:val="20"/>
                <w:szCs w:val="20"/>
              </w:rPr>
              <w:t>460 </w:t>
            </w:r>
          </w:p>
        </w:tc>
        <w:tc>
          <w:tcPr>
            <w:tcW w:w="0" w:type="auto"/>
            <w:shd w:val="clear" w:color="auto" w:fill="E2EFD9"/>
            <w:tcMar>
              <w:top w:w="40" w:type="dxa"/>
              <w:left w:w="0" w:type="dxa"/>
              <w:bottom w:w="40" w:type="dxa"/>
              <w:right w:w="20" w:type="dxa"/>
            </w:tcMar>
            <w:vAlign w:val="bottom"/>
          </w:tcPr>
          <w:p w14:paraId="7C2081B2" w14:textId="77777777" w:rsidR="00834A75" w:rsidRDefault="00834A75">
            <w:pPr>
              <w:jc w:val="right"/>
              <w:rPr>
                <w:rFonts w:ascii="宋体"/>
              </w:rPr>
            </w:pPr>
          </w:p>
        </w:tc>
        <w:tc>
          <w:tcPr>
            <w:tcW w:w="0" w:type="auto"/>
            <w:gridSpan w:val="3"/>
            <w:shd w:val="clear" w:color="auto" w:fill="E2EFD9"/>
            <w:tcMar>
              <w:top w:w="0" w:type="dxa"/>
              <w:left w:w="20" w:type="dxa"/>
              <w:bottom w:w="0" w:type="dxa"/>
              <w:right w:w="20" w:type="dxa"/>
            </w:tcMar>
            <w:vAlign w:val="bottom"/>
          </w:tcPr>
          <w:p w14:paraId="7C2081B3" w14:textId="77777777" w:rsidR="00834A75" w:rsidRDefault="00834A75">
            <w:pPr>
              <w:rPr>
                <w:rFonts w:ascii="宋体"/>
              </w:rPr>
            </w:pPr>
          </w:p>
        </w:tc>
        <w:tc>
          <w:tcPr>
            <w:tcW w:w="0" w:type="auto"/>
            <w:gridSpan w:val="2"/>
            <w:shd w:val="clear" w:color="auto" w:fill="E2EFD9"/>
            <w:tcMar>
              <w:top w:w="40" w:type="dxa"/>
              <w:left w:w="20" w:type="dxa"/>
              <w:bottom w:w="40" w:type="dxa"/>
              <w:right w:w="0" w:type="dxa"/>
            </w:tcMar>
            <w:vAlign w:val="bottom"/>
          </w:tcPr>
          <w:p w14:paraId="7C2081B4" w14:textId="77777777" w:rsidR="00834A75" w:rsidRDefault="00A6708C">
            <w:pPr>
              <w:jc w:val="right"/>
              <w:textAlignment w:val="bottom"/>
            </w:pPr>
            <w:r>
              <w:rPr>
                <w:rFonts w:ascii="sans-serif" w:eastAsia="sans-serif" w:hAnsi="sans-serif" w:cs="sans-serif"/>
                <w:color w:val="000000"/>
                <w:sz w:val="20"/>
                <w:szCs w:val="20"/>
              </w:rPr>
              <w:t>1,656 </w:t>
            </w:r>
          </w:p>
        </w:tc>
        <w:tc>
          <w:tcPr>
            <w:tcW w:w="0" w:type="auto"/>
            <w:shd w:val="clear" w:color="auto" w:fill="E2EFD9"/>
            <w:tcMar>
              <w:top w:w="40" w:type="dxa"/>
              <w:left w:w="0" w:type="dxa"/>
              <w:bottom w:w="40" w:type="dxa"/>
              <w:right w:w="20" w:type="dxa"/>
            </w:tcMar>
            <w:vAlign w:val="bottom"/>
          </w:tcPr>
          <w:p w14:paraId="7C2081B5" w14:textId="77777777" w:rsidR="00834A75" w:rsidRDefault="00834A75">
            <w:pPr>
              <w:jc w:val="right"/>
              <w:rPr>
                <w:rFonts w:ascii="宋体"/>
              </w:rPr>
            </w:pPr>
          </w:p>
        </w:tc>
      </w:tr>
      <w:tr w:rsidR="00834A75" w14:paraId="7C2081C9" w14:textId="77777777">
        <w:tc>
          <w:tcPr>
            <w:tcW w:w="0" w:type="auto"/>
            <w:gridSpan w:val="3"/>
            <w:shd w:val="clear" w:color="auto" w:fill="FFFFFF"/>
            <w:tcMar>
              <w:top w:w="40" w:type="dxa"/>
              <w:left w:w="20" w:type="dxa"/>
              <w:bottom w:w="40" w:type="dxa"/>
              <w:right w:w="20" w:type="dxa"/>
            </w:tcMar>
            <w:vAlign w:val="bottom"/>
          </w:tcPr>
          <w:p w14:paraId="7C2081B7" w14:textId="77777777" w:rsidR="00834A75" w:rsidRDefault="00A6708C">
            <w:pPr>
              <w:textAlignment w:val="bottom"/>
            </w:pPr>
            <w:r>
              <w:rPr>
                <w:rFonts w:ascii="sans-serif" w:eastAsia="sans-serif" w:hAnsi="sans-serif" w:cs="sans-serif"/>
                <w:color w:val="000000"/>
                <w:sz w:val="20"/>
                <w:szCs w:val="20"/>
              </w:rPr>
              <w:t>Certificates of deposit</w:t>
            </w:r>
          </w:p>
        </w:tc>
        <w:tc>
          <w:tcPr>
            <w:tcW w:w="0" w:type="auto"/>
            <w:gridSpan w:val="2"/>
            <w:shd w:val="clear" w:color="auto" w:fill="FFFFFF"/>
            <w:tcMar>
              <w:top w:w="40" w:type="dxa"/>
              <w:left w:w="20" w:type="dxa"/>
              <w:bottom w:w="40" w:type="dxa"/>
              <w:right w:w="0" w:type="dxa"/>
            </w:tcMar>
            <w:vAlign w:val="bottom"/>
          </w:tcPr>
          <w:p w14:paraId="7C2081B8" w14:textId="77777777" w:rsidR="00834A75" w:rsidRDefault="00A6708C">
            <w:pPr>
              <w:jc w:val="right"/>
              <w:textAlignment w:val="bottom"/>
            </w:pPr>
            <w:r>
              <w:rPr>
                <w:rFonts w:ascii="sans-serif" w:eastAsia="sans-serif" w:hAnsi="sans-serif" w:cs="sans-serif"/>
                <w:color w:val="000000"/>
                <w:sz w:val="20"/>
                <w:szCs w:val="20"/>
              </w:rPr>
              <w:t>1,302 </w:t>
            </w:r>
          </w:p>
        </w:tc>
        <w:tc>
          <w:tcPr>
            <w:tcW w:w="0" w:type="auto"/>
            <w:shd w:val="clear" w:color="auto" w:fill="FFFFFF"/>
            <w:tcMar>
              <w:top w:w="40" w:type="dxa"/>
              <w:left w:w="0" w:type="dxa"/>
              <w:bottom w:w="40" w:type="dxa"/>
              <w:right w:w="20" w:type="dxa"/>
            </w:tcMar>
            <w:vAlign w:val="bottom"/>
          </w:tcPr>
          <w:p w14:paraId="7C2081B9" w14:textId="77777777" w:rsidR="00834A75" w:rsidRDefault="00834A75">
            <w:pPr>
              <w:jc w:val="right"/>
              <w:rPr>
                <w:rFonts w:ascii="宋体"/>
              </w:rPr>
            </w:pPr>
          </w:p>
        </w:tc>
        <w:tc>
          <w:tcPr>
            <w:tcW w:w="0" w:type="auto"/>
            <w:gridSpan w:val="3"/>
            <w:shd w:val="clear" w:color="auto" w:fill="FFFFFF"/>
            <w:tcMar>
              <w:top w:w="0" w:type="dxa"/>
              <w:left w:w="20" w:type="dxa"/>
              <w:bottom w:w="0" w:type="dxa"/>
              <w:right w:w="20" w:type="dxa"/>
            </w:tcMar>
            <w:vAlign w:val="bottom"/>
          </w:tcPr>
          <w:p w14:paraId="7C2081BA" w14:textId="77777777" w:rsidR="00834A75" w:rsidRDefault="00834A75">
            <w:pPr>
              <w:rPr>
                <w:rFonts w:ascii="宋体"/>
              </w:rPr>
            </w:pPr>
          </w:p>
        </w:tc>
        <w:tc>
          <w:tcPr>
            <w:tcW w:w="0" w:type="auto"/>
            <w:gridSpan w:val="2"/>
            <w:shd w:val="clear" w:color="auto" w:fill="FFFFFF"/>
            <w:tcMar>
              <w:top w:w="40" w:type="dxa"/>
              <w:left w:w="20" w:type="dxa"/>
              <w:bottom w:w="40" w:type="dxa"/>
              <w:right w:w="0" w:type="dxa"/>
            </w:tcMar>
            <w:vAlign w:val="bottom"/>
          </w:tcPr>
          <w:p w14:paraId="7C2081BB" w14:textId="77777777" w:rsidR="00834A75" w:rsidRDefault="00A6708C">
            <w:pPr>
              <w:jc w:val="right"/>
              <w:textAlignment w:val="bottom"/>
            </w:pPr>
            <w:r>
              <w:rPr>
                <w:rFonts w:ascii="sans-serif" w:eastAsia="sans-serif" w:hAnsi="sans-serif" w:cs="sans-serif"/>
                <w:color w:val="000000"/>
                <w:sz w:val="20"/>
                <w:szCs w:val="20"/>
              </w:rPr>
              <w:t>— </w:t>
            </w:r>
          </w:p>
        </w:tc>
        <w:tc>
          <w:tcPr>
            <w:tcW w:w="0" w:type="auto"/>
            <w:shd w:val="clear" w:color="auto" w:fill="FFFFFF"/>
            <w:tcMar>
              <w:top w:w="40" w:type="dxa"/>
              <w:left w:w="0" w:type="dxa"/>
              <w:bottom w:w="40" w:type="dxa"/>
              <w:right w:w="20" w:type="dxa"/>
            </w:tcMar>
            <w:vAlign w:val="bottom"/>
          </w:tcPr>
          <w:p w14:paraId="7C2081BC" w14:textId="77777777" w:rsidR="00834A75" w:rsidRDefault="00834A75">
            <w:pPr>
              <w:jc w:val="right"/>
              <w:rPr>
                <w:rFonts w:ascii="宋体"/>
              </w:rPr>
            </w:pPr>
          </w:p>
        </w:tc>
        <w:tc>
          <w:tcPr>
            <w:tcW w:w="0" w:type="auto"/>
            <w:gridSpan w:val="3"/>
            <w:shd w:val="clear" w:color="auto" w:fill="FFFFFF"/>
            <w:tcMar>
              <w:top w:w="0" w:type="dxa"/>
              <w:left w:w="20" w:type="dxa"/>
              <w:bottom w:w="0" w:type="dxa"/>
              <w:right w:w="20" w:type="dxa"/>
            </w:tcMar>
            <w:vAlign w:val="bottom"/>
          </w:tcPr>
          <w:p w14:paraId="7C2081BD" w14:textId="77777777" w:rsidR="00834A75" w:rsidRDefault="00834A75">
            <w:pPr>
              <w:rPr>
                <w:rFonts w:ascii="宋体"/>
              </w:rPr>
            </w:pPr>
          </w:p>
        </w:tc>
        <w:tc>
          <w:tcPr>
            <w:tcW w:w="0" w:type="auto"/>
            <w:gridSpan w:val="2"/>
            <w:shd w:val="clear" w:color="auto" w:fill="FFFFFF"/>
            <w:tcMar>
              <w:top w:w="40" w:type="dxa"/>
              <w:left w:w="20" w:type="dxa"/>
              <w:bottom w:w="40" w:type="dxa"/>
              <w:right w:w="0" w:type="dxa"/>
            </w:tcMar>
            <w:vAlign w:val="bottom"/>
          </w:tcPr>
          <w:p w14:paraId="7C2081BE" w14:textId="77777777" w:rsidR="00834A75" w:rsidRDefault="00A6708C">
            <w:pPr>
              <w:jc w:val="right"/>
              <w:textAlignment w:val="bottom"/>
            </w:pPr>
            <w:r>
              <w:rPr>
                <w:rFonts w:ascii="sans-serif" w:eastAsia="sans-serif" w:hAnsi="sans-serif" w:cs="sans-serif"/>
                <w:color w:val="000000"/>
                <w:sz w:val="20"/>
                <w:szCs w:val="20"/>
              </w:rPr>
              <w:t>— </w:t>
            </w:r>
          </w:p>
        </w:tc>
        <w:tc>
          <w:tcPr>
            <w:tcW w:w="0" w:type="auto"/>
            <w:shd w:val="clear" w:color="auto" w:fill="FFFFFF"/>
            <w:tcMar>
              <w:top w:w="40" w:type="dxa"/>
              <w:left w:w="0" w:type="dxa"/>
              <w:bottom w:w="40" w:type="dxa"/>
              <w:right w:w="20" w:type="dxa"/>
            </w:tcMar>
            <w:vAlign w:val="bottom"/>
          </w:tcPr>
          <w:p w14:paraId="7C2081BF" w14:textId="77777777" w:rsidR="00834A75" w:rsidRDefault="00834A75">
            <w:pPr>
              <w:jc w:val="right"/>
              <w:rPr>
                <w:rFonts w:ascii="宋体"/>
              </w:rPr>
            </w:pPr>
          </w:p>
        </w:tc>
        <w:tc>
          <w:tcPr>
            <w:tcW w:w="0" w:type="auto"/>
            <w:gridSpan w:val="3"/>
            <w:shd w:val="clear" w:color="auto" w:fill="FFFFFF"/>
            <w:tcMar>
              <w:top w:w="0" w:type="dxa"/>
              <w:left w:w="20" w:type="dxa"/>
              <w:bottom w:w="0" w:type="dxa"/>
              <w:right w:w="20" w:type="dxa"/>
            </w:tcMar>
            <w:vAlign w:val="bottom"/>
          </w:tcPr>
          <w:p w14:paraId="7C2081C0" w14:textId="77777777" w:rsidR="00834A75" w:rsidRDefault="00834A75">
            <w:pPr>
              <w:rPr>
                <w:rFonts w:ascii="宋体"/>
              </w:rPr>
            </w:pPr>
          </w:p>
        </w:tc>
        <w:tc>
          <w:tcPr>
            <w:tcW w:w="0" w:type="auto"/>
            <w:gridSpan w:val="2"/>
            <w:shd w:val="clear" w:color="auto" w:fill="FFFFFF"/>
            <w:tcMar>
              <w:top w:w="40" w:type="dxa"/>
              <w:left w:w="20" w:type="dxa"/>
              <w:bottom w:w="40" w:type="dxa"/>
              <w:right w:w="0" w:type="dxa"/>
            </w:tcMar>
            <w:vAlign w:val="bottom"/>
          </w:tcPr>
          <w:p w14:paraId="7C2081C1" w14:textId="77777777" w:rsidR="00834A75" w:rsidRDefault="00A6708C">
            <w:pPr>
              <w:jc w:val="right"/>
              <w:textAlignment w:val="bottom"/>
            </w:pPr>
            <w:r>
              <w:rPr>
                <w:rFonts w:ascii="sans-serif" w:eastAsia="sans-serif" w:hAnsi="sans-serif" w:cs="sans-serif"/>
                <w:color w:val="000000"/>
                <w:sz w:val="20"/>
                <w:szCs w:val="20"/>
              </w:rPr>
              <w:t>1,302 </w:t>
            </w:r>
          </w:p>
        </w:tc>
        <w:tc>
          <w:tcPr>
            <w:tcW w:w="0" w:type="auto"/>
            <w:shd w:val="clear" w:color="auto" w:fill="FFFFFF"/>
            <w:tcMar>
              <w:top w:w="40" w:type="dxa"/>
              <w:left w:w="0" w:type="dxa"/>
              <w:bottom w:w="40" w:type="dxa"/>
              <w:right w:w="20" w:type="dxa"/>
            </w:tcMar>
            <w:vAlign w:val="bottom"/>
          </w:tcPr>
          <w:p w14:paraId="7C2081C2" w14:textId="77777777" w:rsidR="00834A75" w:rsidRDefault="00834A75">
            <w:pPr>
              <w:jc w:val="right"/>
              <w:rPr>
                <w:rFonts w:ascii="宋体"/>
              </w:rPr>
            </w:pPr>
          </w:p>
        </w:tc>
        <w:tc>
          <w:tcPr>
            <w:tcW w:w="0" w:type="auto"/>
            <w:gridSpan w:val="3"/>
            <w:shd w:val="clear" w:color="auto" w:fill="FFFFFF"/>
            <w:tcMar>
              <w:top w:w="0" w:type="dxa"/>
              <w:left w:w="20" w:type="dxa"/>
              <w:bottom w:w="0" w:type="dxa"/>
              <w:right w:w="20" w:type="dxa"/>
            </w:tcMar>
            <w:vAlign w:val="bottom"/>
          </w:tcPr>
          <w:p w14:paraId="7C2081C3" w14:textId="77777777" w:rsidR="00834A75" w:rsidRDefault="00834A75">
            <w:pPr>
              <w:rPr>
                <w:rFonts w:ascii="宋体"/>
              </w:rPr>
            </w:pPr>
          </w:p>
        </w:tc>
        <w:tc>
          <w:tcPr>
            <w:tcW w:w="0" w:type="auto"/>
            <w:gridSpan w:val="2"/>
            <w:shd w:val="clear" w:color="auto" w:fill="FFFFFF"/>
            <w:tcMar>
              <w:top w:w="40" w:type="dxa"/>
              <w:left w:w="20" w:type="dxa"/>
              <w:bottom w:w="40" w:type="dxa"/>
              <w:right w:w="0" w:type="dxa"/>
            </w:tcMar>
            <w:vAlign w:val="bottom"/>
          </w:tcPr>
          <w:p w14:paraId="7C2081C4" w14:textId="77777777" w:rsidR="00834A75" w:rsidRDefault="00A6708C">
            <w:pPr>
              <w:jc w:val="right"/>
              <w:textAlignment w:val="bottom"/>
            </w:pPr>
            <w:r>
              <w:rPr>
                <w:rFonts w:ascii="sans-serif" w:eastAsia="sans-serif" w:hAnsi="sans-serif" w:cs="sans-serif"/>
                <w:color w:val="000000"/>
                <w:sz w:val="20"/>
                <w:szCs w:val="20"/>
              </w:rPr>
              <w:t>41 </w:t>
            </w:r>
          </w:p>
        </w:tc>
        <w:tc>
          <w:tcPr>
            <w:tcW w:w="0" w:type="auto"/>
            <w:shd w:val="clear" w:color="auto" w:fill="FFFFFF"/>
            <w:tcMar>
              <w:top w:w="40" w:type="dxa"/>
              <w:left w:w="0" w:type="dxa"/>
              <w:bottom w:w="40" w:type="dxa"/>
              <w:right w:w="20" w:type="dxa"/>
            </w:tcMar>
            <w:vAlign w:val="bottom"/>
          </w:tcPr>
          <w:p w14:paraId="7C2081C5" w14:textId="77777777" w:rsidR="00834A75" w:rsidRDefault="00834A75">
            <w:pPr>
              <w:jc w:val="right"/>
              <w:rPr>
                <w:rFonts w:ascii="宋体"/>
              </w:rPr>
            </w:pPr>
          </w:p>
        </w:tc>
        <w:tc>
          <w:tcPr>
            <w:tcW w:w="0" w:type="auto"/>
            <w:gridSpan w:val="3"/>
            <w:shd w:val="clear" w:color="auto" w:fill="FFFFFF"/>
            <w:tcMar>
              <w:top w:w="0" w:type="dxa"/>
              <w:left w:w="20" w:type="dxa"/>
              <w:bottom w:w="0" w:type="dxa"/>
              <w:right w:w="20" w:type="dxa"/>
            </w:tcMar>
            <w:vAlign w:val="bottom"/>
          </w:tcPr>
          <w:p w14:paraId="7C2081C6" w14:textId="77777777" w:rsidR="00834A75" w:rsidRDefault="00834A75">
            <w:pPr>
              <w:rPr>
                <w:rFonts w:ascii="宋体"/>
              </w:rPr>
            </w:pPr>
          </w:p>
        </w:tc>
        <w:tc>
          <w:tcPr>
            <w:tcW w:w="0" w:type="auto"/>
            <w:gridSpan w:val="2"/>
            <w:shd w:val="clear" w:color="auto" w:fill="FFFFFF"/>
            <w:tcMar>
              <w:top w:w="40" w:type="dxa"/>
              <w:left w:w="20" w:type="dxa"/>
              <w:bottom w:w="40" w:type="dxa"/>
              <w:right w:w="0" w:type="dxa"/>
            </w:tcMar>
            <w:vAlign w:val="bottom"/>
          </w:tcPr>
          <w:p w14:paraId="7C2081C7" w14:textId="77777777" w:rsidR="00834A75" w:rsidRDefault="00A6708C">
            <w:pPr>
              <w:jc w:val="right"/>
              <w:textAlignment w:val="bottom"/>
            </w:pPr>
            <w:r>
              <w:rPr>
                <w:rFonts w:ascii="sans-serif" w:eastAsia="sans-serif" w:hAnsi="sans-serif" w:cs="sans-serif"/>
                <w:color w:val="000000"/>
                <w:sz w:val="20"/>
                <w:szCs w:val="20"/>
              </w:rPr>
              <w:t>1,261 </w:t>
            </w:r>
          </w:p>
        </w:tc>
        <w:tc>
          <w:tcPr>
            <w:tcW w:w="0" w:type="auto"/>
            <w:shd w:val="clear" w:color="auto" w:fill="FFFFFF"/>
            <w:tcMar>
              <w:top w:w="40" w:type="dxa"/>
              <w:left w:w="0" w:type="dxa"/>
              <w:bottom w:w="40" w:type="dxa"/>
              <w:right w:w="20" w:type="dxa"/>
            </w:tcMar>
            <w:vAlign w:val="bottom"/>
          </w:tcPr>
          <w:p w14:paraId="7C2081C8" w14:textId="77777777" w:rsidR="00834A75" w:rsidRDefault="00834A75">
            <w:pPr>
              <w:jc w:val="right"/>
              <w:rPr>
                <w:rFonts w:ascii="宋体"/>
              </w:rPr>
            </w:pPr>
          </w:p>
        </w:tc>
      </w:tr>
      <w:tr w:rsidR="00834A75" w14:paraId="7C2081DC" w14:textId="77777777">
        <w:tc>
          <w:tcPr>
            <w:tcW w:w="0" w:type="auto"/>
            <w:gridSpan w:val="3"/>
            <w:shd w:val="clear" w:color="auto" w:fill="E2EFD9"/>
            <w:tcMar>
              <w:top w:w="40" w:type="dxa"/>
              <w:left w:w="20" w:type="dxa"/>
              <w:bottom w:w="40" w:type="dxa"/>
              <w:right w:w="20" w:type="dxa"/>
            </w:tcMar>
            <w:vAlign w:val="bottom"/>
          </w:tcPr>
          <w:p w14:paraId="7C2081CA" w14:textId="77777777" w:rsidR="00834A75" w:rsidRDefault="00A6708C">
            <w:pPr>
              <w:textAlignment w:val="bottom"/>
            </w:pPr>
            <w:r>
              <w:rPr>
                <w:rFonts w:ascii="sans-serif" w:eastAsia="sans-serif" w:hAnsi="sans-serif" w:cs="sans-serif"/>
                <w:color w:val="000000"/>
                <w:sz w:val="20"/>
                <w:szCs w:val="20"/>
              </w:rPr>
              <w:t>Money market funds</w:t>
            </w:r>
          </w:p>
        </w:tc>
        <w:tc>
          <w:tcPr>
            <w:tcW w:w="0" w:type="auto"/>
            <w:gridSpan w:val="2"/>
            <w:shd w:val="clear" w:color="auto" w:fill="E2EFD9"/>
            <w:tcMar>
              <w:top w:w="40" w:type="dxa"/>
              <w:left w:w="20" w:type="dxa"/>
              <w:bottom w:w="40" w:type="dxa"/>
              <w:right w:w="0" w:type="dxa"/>
            </w:tcMar>
            <w:vAlign w:val="bottom"/>
          </w:tcPr>
          <w:p w14:paraId="7C2081CB" w14:textId="77777777" w:rsidR="00834A75" w:rsidRDefault="00A6708C">
            <w:pPr>
              <w:jc w:val="right"/>
              <w:textAlignment w:val="bottom"/>
            </w:pPr>
            <w:r>
              <w:rPr>
                <w:rFonts w:ascii="sans-serif" w:eastAsia="sans-serif" w:hAnsi="sans-serif" w:cs="sans-serif"/>
                <w:color w:val="000000"/>
                <w:sz w:val="20"/>
                <w:szCs w:val="20"/>
              </w:rPr>
              <w:t>419 </w:t>
            </w:r>
          </w:p>
        </w:tc>
        <w:tc>
          <w:tcPr>
            <w:tcW w:w="0" w:type="auto"/>
            <w:shd w:val="clear" w:color="auto" w:fill="E2EFD9"/>
            <w:tcMar>
              <w:top w:w="40" w:type="dxa"/>
              <w:left w:w="0" w:type="dxa"/>
              <w:bottom w:w="40" w:type="dxa"/>
              <w:right w:w="20" w:type="dxa"/>
            </w:tcMar>
            <w:vAlign w:val="bottom"/>
          </w:tcPr>
          <w:p w14:paraId="7C2081CC" w14:textId="77777777" w:rsidR="00834A75" w:rsidRDefault="00834A75">
            <w:pPr>
              <w:jc w:val="right"/>
              <w:rPr>
                <w:rFonts w:ascii="宋体"/>
              </w:rPr>
            </w:pPr>
          </w:p>
        </w:tc>
        <w:tc>
          <w:tcPr>
            <w:tcW w:w="0" w:type="auto"/>
            <w:gridSpan w:val="3"/>
            <w:shd w:val="clear" w:color="auto" w:fill="E2EFD9"/>
            <w:tcMar>
              <w:top w:w="0" w:type="dxa"/>
              <w:left w:w="20" w:type="dxa"/>
              <w:bottom w:w="0" w:type="dxa"/>
              <w:right w:w="20" w:type="dxa"/>
            </w:tcMar>
            <w:vAlign w:val="bottom"/>
          </w:tcPr>
          <w:p w14:paraId="7C2081CD" w14:textId="77777777" w:rsidR="00834A75" w:rsidRDefault="00834A75">
            <w:pPr>
              <w:rPr>
                <w:rFonts w:ascii="宋体"/>
              </w:rPr>
            </w:pPr>
          </w:p>
        </w:tc>
        <w:tc>
          <w:tcPr>
            <w:tcW w:w="0" w:type="auto"/>
            <w:gridSpan w:val="2"/>
            <w:shd w:val="clear" w:color="auto" w:fill="E2EFD9"/>
            <w:tcMar>
              <w:top w:w="40" w:type="dxa"/>
              <w:left w:w="20" w:type="dxa"/>
              <w:bottom w:w="40" w:type="dxa"/>
              <w:right w:w="0" w:type="dxa"/>
            </w:tcMar>
            <w:vAlign w:val="bottom"/>
          </w:tcPr>
          <w:p w14:paraId="7C2081CE" w14:textId="77777777" w:rsidR="00834A75" w:rsidRDefault="00A6708C">
            <w:pPr>
              <w:jc w:val="right"/>
              <w:textAlignment w:val="bottom"/>
            </w:pPr>
            <w:r>
              <w:rPr>
                <w:rFonts w:ascii="sans-serif" w:eastAsia="sans-serif" w:hAnsi="sans-serif" w:cs="sans-serif"/>
                <w:color w:val="000000"/>
                <w:sz w:val="20"/>
                <w:szCs w:val="20"/>
              </w:rPr>
              <w:t>— </w:t>
            </w:r>
          </w:p>
        </w:tc>
        <w:tc>
          <w:tcPr>
            <w:tcW w:w="0" w:type="auto"/>
            <w:shd w:val="clear" w:color="auto" w:fill="E2EFD9"/>
            <w:tcMar>
              <w:top w:w="40" w:type="dxa"/>
              <w:left w:w="0" w:type="dxa"/>
              <w:bottom w:w="40" w:type="dxa"/>
              <w:right w:w="20" w:type="dxa"/>
            </w:tcMar>
            <w:vAlign w:val="bottom"/>
          </w:tcPr>
          <w:p w14:paraId="7C2081CF" w14:textId="77777777" w:rsidR="00834A75" w:rsidRDefault="00834A75">
            <w:pPr>
              <w:jc w:val="right"/>
              <w:rPr>
                <w:rFonts w:ascii="宋体"/>
              </w:rPr>
            </w:pPr>
          </w:p>
        </w:tc>
        <w:tc>
          <w:tcPr>
            <w:tcW w:w="0" w:type="auto"/>
            <w:gridSpan w:val="3"/>
            <w:shd w:val="clear" w:color="auto" w:fill="E2EFD9"/>
            <w:tcMar>
              <w:top w:w="0" w:type="dxa"/>
              <w:left w:w="20" w:type="dxa"/>
              <w:bottom w:w="0" w:type="dxa"/>
              <w:right w:w="20" w:type="dxa"/>
            </w:tcMar>
            <w:vAlign w:val="bottom"/>
          </w:tcPr>
          <w:p w14:paraId="7C2081D0" w14:textId="77777777" w:rsidR="00834A75" w:rsidRDefault="00834A75">
            <w:pPr>
              <w:rPr>
                <w:rFonts w:ascii="宋体"/>
              </w:rPr>
            </w:pPr>
          </w:p>
        </w:tc>
        <w:tc>
          <w:tcPr>
            <w:tcW w:w="0" w:type="auto"/>
            <w:gridSpan w:val="2"/>
            <w:shd w:val="clear" w:color="auto" w:fill="E2EFD9"/>
            <w:tcMar>
              <w:top w:w="40" w:type="dxa"/>
              <w:left w:w="20" w:type="dxa"/>
              <w:bottom w:w="40" w:type="dxa"/>
              <w:right w:w="0" w:type="dxa"/>
            </w:tcMar>
            <w:vAlign w:val="bottom"/>
          </w:tcPr>
          <w:p w14:paraId="7C2081D1" w14:textId="77777777" w:rsidR="00834A75" w:rsidRDefault="00A6708C">
            <w:pPr>
              <w:jc w:val="right"/>
              <w:textAlignment w:val="bottom"/>
            </w:pPr>
            <w:r>
              <w:rPr>
                <w:rFonts w:ascii="sans-serif" w:eastAsia="sans-serif" w:hAnsi="sans-serif" w:cs="sans-serif"/>
                <w:color w:val="000000"/>
                <w:sz w:val="20"/>
                <w:szCs w:val="20"/>
              </w:rPr>
              <w:t>— </w:t>
            </w:r>
          </w:p>
        </w:tc>
        <w:tc>
          <w:tcPr>
            <w:tcW w:w="0" w:type="auto"/>
            <w:shd w:val="clear" w:color="auto" w:fill="E2EFD9"/>
            <w:tcMar>
              <w:top w:w="40" w:type="dxa"/>
              <w:left w:w="0" w:type="dxa"/>
              <w:bottom w:w="40" w:type="dxa"/>
              <w:right w:w="20" w:type="dxa"/>
            </w:tcMar>
            <w:vAlign w:val="bottom"/>
          </w:tcPr>
          <w:p w14:paraId="7C2081D2" w14:textId="77777777" w:rsidR="00834A75" w:rsidRDefault="00834A75">
            <w:pPr>
              <w:jc w:val="right"/>
              <w:rPr>
                <w:rFonts w:ascii="宋体"/>
              </w:rPr>
            </w:pPr>
          </w:p>
        </w:tc>
        <w:tc>
          <w:tcPr>
            <w:tcW w:w="0" w:type="auto"/>
            <w:gridSpan w:val="3"/>
            <w:shd w:val="clear" w:color="auto" w:fill="E2EFD9"/>
            <w:tcMar>
              <w:top w:w="0" w:type="dxa"/>
              <w:left w:w="20" w:type="dxa"/>
              <w:bottom w:w="0" w:type="dxa"/>
              <w:right w:w="20" w:type="dxa"/>
            </w:tcMar>
            <w:vAlign w:val="bottom"/>
          </w:tcPr>
          <w:p w14:paraId="7C2081D3" w14:textId="77777777" w:rsidR="00834A75" w:rsidRDefault="00834A75">
            <w:pPr>
              <w:rPr>
                <w:rFonts w:ascii="宋体"/>
              </w:rPr>
            </w:pPr>
          </w:p>
        </w:tc>
        <w:tc>
          <w:tcPr>
            <w:tcW w:w="0" w:type="auto"/>
            <w:gridSpan w:val="2"/>
            <w:shd w:val="clear" w:color="auto" w:fill="E2EFD9"/>
            <w:tcMar>
              <w:top w:w="40" w:type="dxa"/>
              <w:left w:w="20" w:type="dxa"/>
              <w:bottom w:w="40" w:type="dxa"/>
              <w:right w:w="0" w:type="dxa"/>
            </w:tcMar>
            <w:vAlign w:val="bottom"/>
          </w:tcPr>
          <w:p w14:paraId="7C2081D4" w14:textId="77777777" w:rsidR="00834A75" w:rsidRDefault="00A6708C">
            <w:pPr>
              <w:jc w:val="right"/>
              <w:textAlignment w:val="bottom"/>
            </w:pPr>
            <w:r>
              <w:rPr>
                <w:rFonts w:ascii="sans-serif" w:eastAsia="sans-serif" w:hAnsi="sans-serif" w:cs="sans-serif"/>
                <w:color w:val="000000"/>
                <w:sz w:val="20"/>
                <w:szCs w:val="20"/>
              </w:rPr>
              <w:t>419 </w:t>
            </w:r>
          </w:p>
        </w:tc>
        <w:tc>
          <w:tcPr>
            <w:tcW w:w="0" w:type="auto"/>
            <w:shd w:val="clear" w:color="auto" w:fill="E2EFD9"/>
            <w:tcMar>
              <w:top w:w="40" w:type="dxa"/>
              <w:left w:w="0" w:type="dxa"/>
              <w:bottom w:w="40" w:type="dxa"/>
              <w:right w:w="20" w:type="dxa"/>
            </w:tcMar>
            <w:vAlign w:val="bottom"/>
          </w:tcPr>
          <w:p w14:paraId="7C2081D5" w14:textId="77777777" w:rsidR="00834A75" w:rsidRDefault="00834A75">
            <w:pPr>
              <w:jc w:val="right"/>
              <w:rPr>
                <w:rFonts w:ascii="宋体"/>
              </w:rPr>
            </w:pPr>
          </w:p>
        </w:tc>
        <w:tc>
          <w:tcPr>
            <w:tcW w:w="0" w:type="auto"/>
            <w:gridSpan w:val="3"/>
            <w:shd w:val="clear" w:color="auto" w:fill="E2EFD9"/>
            <w:tcMar>
              <w:top w:w="0" w:type="dxa"/>
              <w:left w:w="20" w:type="dxa"/>
              <w:bottom w:w="0" w:type="dxa"/>
              <w:right w:w="20" w:type="dxa"/>
            </w:tcMar>
            <w:vAlign w:val="bottom"/>
          </w:tcPr>
          <w:p w14:paraId="7C2081D6" w14:textId="77777777" w:rsidR="00834A75" w:rsidRDefault="00834A75">
            <w:pPr>
              <w:rPr>
                <w:rFonts w:ascii="宋体"/>
              </w:rPr>
            </w:pPr>
          </w:p>
        </w:tc>
        <w:tc>
          <w:tcPr>
            <w:tcW w:w="0" w:type="auto"/>
            <w:gridSpan w:val="2"/>
            <w:shd w:val="clear" w:color="auto" w:fill="E2EFD9"/>
            <w:tcMar>
              <w:top w:w="40" w:type="dxa"/>
              <w:left w:w="20" w:type="dxa"/>
              <w:bottom w:w="40" w:type="dxa"/>
              <w:right w:w="0" w:type="dxa"/>
            </w:tcMar>
            <w:vAlign w:val="bottom"/>
          </w:tcPr>
          <w:p w14:paraId="7C2081D7" w14:textId="77777777" w:rsidR="00834A75" w:rsidRDefault="00A6708C">
            <w:pPr>
              <w:jc w:val="right"/>
              <w:textAlignment w:val="bottom"/>
            </w:pPr>
            <w:r>
              <w:rPr>
                <w:rFonts w:ascii="sans-serif" w:eastAsia="sans-serif" w:hAnsi="sans-serif" w:cs="sans-serif"/>
                <w:color w:val="000000"/>
                <w:sz w:val="20"/>
                <w:szCs w:val="20"/>
              </w:rPr>
              <w:t>419 </w:t>
            </w:r>
          </w:p>
        </w:tc>
        <w:tc>
          <w:tcPr>
            <w:tcW w:w="0" w:type="auto"/>
            <w:shd w:val="clear" w:color="auto" w:fill="E2EFD9"/>
            <w:tcMar>
              <w:top w:w="40" w:type="dxa"/>
              <w:left w:w="0" w:type="dxa"/>
              <w:bottom w:w="40" w:type="dxa"/>
              <w:right w:w="20" w:type="dxa"/>
            </w:tcMar>
            <w:vAlign w:val="bottom"/>
          </w:tcPr>
          <w:p w14:paraId="7C2081D8" w14:textId="77777777" w:rsidR="00834A75" w:rsidRDefault="00834A75">
            <w:pPr>
              <w:jc w:val="right"/>
              <w:rPr>
                <w:rFonts w:ascii="宋体"/>
              </w:rPr>
            </w:pPr>
          </w:p>
        </w:tc>
        <w:tc>
          <w:tcPr>
            <w:tcW w:w="0" w:type="auto"/>
            <w:gridSpan w:val="3"/>
            <w:shd w:val="clear" w:color="auto" w:fill="E2EFD9"/>
            <w:tcMar>
              <w:top w:w="0" w:type="dxa"/>
              <w:left w:w="20" w:type="dxa"/>
              <w:bottom w:w="0" w:type="dxa"/>
              <w:right w:w="20" w:type="dxa"/>
            </w:tcMar>
            <w:vAlign w:val="bottom"/>
          </w:tcPr>
          <w:p w14:paraId="7C2081D9" w14:textId="77777777" w:rsidR="00834A75" w:rsidRDefault="00834A75">
            <w:pPr>
              <w:rPr>
                <w:rFonts w:ascii="宋体"/>
              </w:rPr>
            </w:pPr>
          </w:p>
        </w:tc>
        <w:tc>
          <w:tcPr>
            <w:tcW w:w="0" w:type="auto"/>
            <w:gridSpan w:val="2"/>
            <w:shd w:val="clear" w:color="auto" w:fill="E2EFD9"/>
            <w:tcMar>
              <w:top w:w="40" w:type="dxa"/>
              <w:left w:w="20" w:type="dxa"/>
              <w:bottom w:w="40" w:type="dxa"/>
              <w:right w:w="0" w:type="dxa"/>
            </w:tcMar>
            <w:vAlign w:val="bottom"/>
          </w:tcPr>
          <w:p w14:paraId="7C2081DA" w14:textId="77777777" w:rsidR="00834A75" w:rsidRDefault="00A6708C">
            <w:pPr>
              <w:jc w:val="right"/>
              <w:textAlignment w:val="bottom"/>
            </w:pPr>
            <w:r>
              <w:rPr>
                <w:rFonts w:ascii="sans-serif" w:eastAsia="sans-serif" w:hAnsi="sans-serif" w:cs="sans-serif"/>
                <w:color w:val="000000"/>
                <w:sz w:val="20"/>
                <w:szCs w:val="20"/>
              </w:rPr>
              <w:t>— </w:t>
            </w:r>
          </w:p>
        </w:tc>
        <w:tc>
          <w:tcPr>
            <w:tcW w:w="0" w:type="auto"/>
            <w:shd w:val="clear" w:color="auto" w:fill="E2EFD9"/>
            <w:tcMar>
              <w:top w:w="40" w:type="dxa"/>
              <w:left w:w="0" w:type="dxa"/>
              <w:bottom w:w="40" w:type="dxa"/>
              <w:right w:w="20" w:type="dxa"/>
            </w:tcMar>
            <w:vAlign w:val="bottom"/>
          </w:tcPr>
          <w:p w14:paraId="7C2081DB" w14:textId="77777777" w:rsidR="00834A75" w:rsidRDefault="00834A75">
            <w:pPr>
              <w:jc w:val="right"/>
              <w:rPr>
                <w:rFonts w:ascii="宋体"/>
              </w:rPr>
            </w:pPr>
          </w:p>
        </w:tc>
      </w:tr>
      <w:tr w:rsidR="00834A75" w14:paraId="7C2081EF" w14:textId="77777777">
        <w:tc>
          <w:tcPr>
            <w:tcW w:w="0" w:type="auto"/>
            <w:gridSpan w:val="3"/>
            <w:shd w:val="clear" w:color="auto" w:fill="FFFFFF"/>
            <w:tcMar>
              <w:top w:w="40" w:type="dxa"/>
              <w:left w:w="20" w:type="dxa"/>
              <w:bottom w:w="40" w:type="dxa"/>
              <w:right w:w="20" w:type="dxa"/>
            </w:tcMar>
            <w:vAlign w:val="bottom"/>
          </w:tcPr>
          <w:p w14:paraId="7C2081DD" w14:textId="77777777" w:rsidR="00834A75" w:rsidRDefault="00A6708C">
            <w:pPr>
              <w:textAlignment w:val="bottom"/>
            </w:pPr>
            <w:r>
              <w:rPr>
                <w:rFonts w:ascii="sans-serif" w:eastAsia="sans-serif" w:hAnsi="sans-serif" w:cs="sans-serif"/>
                <w:color w:val="000000"/>
                <w:sz w:val="20"/>
                <w:szCs w:val="20"/>
              </w:rPr>
              <w:t>Foreign government bonds</w:t>
            </w:r>
          </w:p>
        </w:tc>
        <w:tc>
          <w:tcPr>
            <w:tcW w:w="0" w:type="auto"/>
            <w:gridSpan w:val="2"/>
            <w:shd w:val="clear" w:color="auto" w:fill="FFFFFF"/>
            <w:tcMar>
              <w:top w:w="40" w:type="dxa"/>
              <w:left w:w="20" w:type="dxa"/>
              <w:bottom w:w="40" w:type="dxa"/>
              <w:right w:w="0" w:type="dxa"/>
            </w:tcMar>
            <w:vAlign w:val="bottom"/>
          </w:tcPr>
          <w:p w14:paraId="7C2081DE" w14:textId="77777777" w:rsidR="00834A75" w:rsidRDefault="00A6708C">
            <w:pPr>
              <w:jc w:val="right"/>
              <w:textAlignment w:val="bottom"/>
            </w:pPr>
            <w:r>
              <w:rPr>
                <w:rFonts w:ascii="sans-serif" w:eastAsia="sans-serif" w:hAnsi="sans-serif" w:cs="sans-serif"/>
                <w:color w:val="000000"/>
                <w:sz w:val="20"/>
                <w:szCs w:val="20"/>
              </w:rPr>
              <w:t>185 </w:t>
            </w:r>
          </w:p>
        </w:tc>
        <w:tc>
          <w:tcPr>
            <w:tcW w:w="0" w:type="auto"/>
            <w:shd w:val="clear" w:color="auto" w:fill="FFFFFF"/>
            <w:tcMar>
              <w:top w:w="40" w:type="dxa"/>
              <w:left w:w="0" w:type="dxa"/>
              <w:bottom w:w="40" w:type="dxa"/>
              <w:right w:w="20" w:type="dxa"/>
            </w:tcMar>
            <w:vAlign w:val="bottom"/>
          </w:tcPr>
          <w:p w14:paraId="7C2081DF" w14:textId="77777777" w:rsidR="00834A75" w:rsidRDefault="00834A75">
            <w:pPr>
              <w:jc w:val="right"/>
              <w:rPr>
                <w:rFonts w:ascii="宋体"/>
              </w:rPr>
            </w:pPr>
          </w:p>
        </w:tc>
        <w:tc>
          <w:tcPr>
            <w:tcW w:w="0" w:type="auto"/>
            <w:gridSpan w:val="3"/>
            <w:shd w:val="clear" w:color="auto" w:fill="FFFFFF"/>
            <w:tcMar>
              <w:top w:w="0" w:type="dxa"/>
              <w:left w:w="20" w:type="dxa"/>
              <w:bottom w:w="0" w:type="dxa"/>
              <w:right w:w="20" w:type="dxa"/>
            </w:tcMar>
            <w:vAlign w:val="bottom"/>
          </w:tcPr>
          <w:p w14:paraId="7C2081E0" w14:textId="77777777" w:rsidR="00834A75" w:rsidRDefault="00834A75">
            <w:pPr>
              <w:rPr>
                <w:rFonts w:ascii="宋体"/>
              </w:rPr>
            </w:pPr>
          </w:p>
        </w:tc>
        <w:tc>
          <w:tcPr>
            <w:tcW w:w="0" w:type="auto"/>
            <w:gridSpan w:val="2"/>
            <w:shd w:val="clear" w:color="auto" w:fill="FFFFFF"/>
            <w:tcMar>
              <w:top w:w="40" w:type="dxa"/>
              <w:left w:w="20" w:type="dxa"/>
              <w:bottom w:w="40" w:type="dxa"/>
              <w:right w:w="0" w:type="dxa"/>
            </w:tcMar>
            <w:vAlign w:val="bottom"/>
          </w:tcPr>
          <w:p w14:paraId="7C2081E1" w14:textId="77777777" w:rsidR="00834A75" w:rsidRDefault="00A6708C">
            <w:pPr>
              <w:jc w:val="right"/>
              <w:textAlignment w:val="bottom"/>
            </w:pPr>
            <w:r>
              <w:rPr>
                <w:rFonts w:ascii="sans-serif" w:eastAsia="sans-serif" w:hAnsi="sans-serif" w:cs="sans-serif"/>
                <w:color w:val="000000"/>
                <w:sz w:val="20"/>
                <w:szCs w:val="20"/>
              </w:rPr>
              <w:t>— </w:t>
            </w:r>
          </w:p>
        </w:tc>
        <w:tc>
          <w:tcPr>
            <w:tcW w:w="0" w:type="auto"/>
            <w:shd w:val="clear" w:color="auto" w:fill="FFFFFF"/>
            <w:tcMar>
              <w:top w:w="40" w:type="dxa"/>
              <w:left w:w="0" w:type="dxa"/>
              <w:bottom w:w="40" w:type="dxa"/>
              <w:right w:w="20" w:type="dxa"/>
            </w:tcMar>
            <w:vAlign w:val="bottom"/>
          </w:tcPr>
          <w:p w14:paraId="7C2081E2" w14:textId="77777777" w:rsidR="00834A75" w:rsidRDefault="00834A75">
            <w:pPr>
              <w:jc w:val="right"/>
              <w:rPr>
                <w:rFonts w:ascii="宋体"/>
              </w:rPr>
            </w:pPr>
          </w:p>
        </w:tc>
        <w:tc>
          <w:tcPr>
            <w:tcW w:w="0" w:type="auto"/>
            <w:gridSpan w:val="3"/>
            <w:shd w:val="clear" w:color="auto" w:fill="FFFFFF"/>
            <w:tcMar>
              <w:top w:w="0" w:type="dxa"/>
              <w:left w:w="20" w:type="dxa"/>
              <w:bottom w:w="0" w:type="dxa"/>
              <w:right w:w="20" w:type="dxa"/>
            </w:tcMar>
            <w:vAlign w:val="bottom"/>
          </w:tcPr>
          <w:p w14:paraId="7C2081E3" w14:textId="77777777" w:rsidR="00834A75" w:rsidRDefault="00834A75">
            <w:pPr>
              <w:rPr>
                <w:rFonts w:ascii="宋体"/>
              </w:rPr>
            </w:pPr>
          </w:p>
        </w:tc>
        <w:tc>
          <w:tcPr>
            <w:tcW w:w="0" w:type="auto"/>
            <w:gridSpan w:val="2"/>
            <w:shd w:val="clear" w:color="auto" w:fill="FFFFFF"/>
            <w:tcMar>
              <w:top w:w="40" w:type="dxa"/>
              <w:left w:w="20" w:type="dxa"/>
              <w:bottom w:w="40" w:type="dxa"/>
              <w:right w:w="0" w:type="dxa"/>
            </w:tcMar>
            <w:vAlign w:val="bottom"/>
          </w:tcPr>
          <w:p w14:paraId="7C2081E4" w14:textId="77777777" w:rsidR="00834A75" w:rsidRDefault="00A6708C">
            <w:pPr>
              <w:jc w:val="right"/>
              <w:textAlignment w:val="bottom"/>
            </w:pPr>
            <w:r>
              <w:rPr>
                <w:rFonts w:ascii="sans-serif" w:eastAsia="sans-serif" w:hAnsi="sans-serif" w:cs="sans-serif"/>
                <w:color w:val="000000"/>
                <w:sz w:val="20"/>
                <w:szCs w:val="20"/>
              </w:rPr>
              <w:t>— </w:t>
            </w:r>
          </w:p>
        </w:tc>
        <w:tc>
          <w:tcPr>
            <w:tcW w:w="0" w:type="auto"/>
            <w:shd w:val="clear" w:color="auto" w:fill="FFFFFF"/>
            <w:tcMar>
              <w:top w:w="40" w:type="dxa"/>
              <w:left w:w="0" w:type="dxa"/>
              <w:bottom w:w="40" w:type="dxa"/>
              <w:right w:w="20" w:type="dxa"/>
            </w:tcMar>
            <w:vAlign w:val="bottom"/>
          </w:tcPr>
          <w:p w14:paraId="7C2081E5" w14:textId="77777777" w:rsidR="00834A75" w:rsidRDefault="00834A75">
            <w:pPr>
              <w:jc w:val="right"/>
              <w:rPr>
                <w:rFonts w:ascii="宋体"/>
              </w:rPr>
            </w:pPr>
          </w:p>
        </w:tc>
        <w:tc>
          <w:tcPr>
            <w:tcW w:w="0" w:type="auto"/>
            <w:gridSpan w:val="3"/>
            <w:shd w:val="clear" w:color="auto" w:fill="FFFFFF"/>
            <w:tcMar>
              <w:top w:w="0" w:type="dxa"/>
              <w:left w:w="20" w:type="dxa"/>
              <w:bottom w:w="0" w:type="dxa"/>
              <w:right w:w="20" w:type="dxa"/>
            </w:tcMar>
            <w:vAlign w:val="bottom"/>
          </w:tcPr>
          <w:p w14:paraId="7C2081E6" w14:textId="77777777" w:rsidR="00834A75" w:rsidRDefault="00834A75">
            <w:pPr>
              <w:rPr>
                <w:rFonts w:ascii="宋体"/>
              </w:rPr>
            </w:pPr>
          </w:p>
        </w:tc>
        <w:tc>
          <w:tcPr>
            <w:tcW w:w="0" w:type="auto"/>
            <w:gridSpan w:val="2"/>
            <w:shd w:val="clear" w:color="auto" w:fill="FFFFFF"/>
            <w:tcMar>
              <w:top w:w="40" w:type="dxa"/>
              <w:left w:w="20" w:type="dxa"/>
              <w:bottom w:w="40" w:type="dxa"/>
              <w:right w:w="0" w:type="dxa"/>
            </w:tcMar>
            <w:vAlign w:val="bottom"/>
          </w:tcPr>
          <w:p w14:paraId="7C2081E7" w14:textId="77777777" w:rsidR="00834A75" w:rsidRDefault="00A6708C">
            <w:pPr>
              <w:jc w:val="right"/>
              <w:textAlignment w:val="bottom"/>
            </w:pPr>
            <w:r>
              <w:rPr>
                <w:rFonts w:ascii="sans-serif" w:eastAsia="sans-serif" w:hAnsi="sans-serif" w:cs="sans-serif"/>
                <w:color w:val="000000"/>
                <w:sz w:val="20"/>
                <w:szCs w:val="20"/>
              </w:rPr>
              <w:t>185 </w:t>
            </w:r>
          </w:p>
        </w:tc>
        <w:tc>
          <w:tcPr>
            <w:tcW w:w="0" w:type="auto"/>
            <w:shd w:val="clear" w:color="auto" w:fill="FFFFFF"/>
            <w:tcMar>
              <w:top w:w="40" w:type="dxa"/>
              <w:left w:w="0" w:type="dxa"/>
              <w:bottom w:w="40" w:type="dxa"/>
              <w:right w:w="20" w:type="dxa"/>
            </w:tcMar>
            <w:vAlign w:val="bottom"/>
          </w:tcPr>
          <w:p w14:paraId="7C2081E8" w14:textId="77777777" w:rsidR="00834A75" w:rsidRDefault="00834A75">
            <w:pPr>
              <w:jc w:val="right"/>
              <w:rPr>
                <w:rFonts w:ascii="宋体"/>
              </w:rPr>
            </w:pPr>
          </w:p>
        </w:tc>
        <w:tc>
          <w:tcPr>
            <w:tcW w:w="0" w:type="auto"/>
            <w:gridSpan w:val="3"/>
            <w:shd w:val="clear" w:color="auto" w:fill="FFFFFF"/>
            <w:tcMar>
              <w:top w:w="0" w:type="dxa"/>
              <w:left w:w="20" w:type="dxa"/>
              <w:bottom w:w="0" w:type="dxa"/>
              <w:right w:w="20" w:type="dxa"/>
            </w:tcMar>
            <w:vAlign w:val="bottom"/>
          </w:tcPr>
          <w:p w14:paraId="7C2081E9" w14:textId="77777777" w:rsidR="00834A75" w:rsidRDefault="00834A75">
            <w:pPr>
              <w:rPr>
                <w:rFonts w:ascii="宋体"/>
              </w:rPr>
            </w:pPr>
          </w:p>
        </w:tc>
        <w:tc>
          <w:tcPr>
            <w:tcW w:w="0" w:type="auto"/>
            <w:gridSpan w:val="2"/>
            <w:shd w:val="clear" w:color="auto" w:fill="FFFFFF"/>
            <w:tcMar>
              <w:top w:w="40" w:type="dxa"/>
              <w:left w:w="20" w:type="dxa"/>
              <w:bottom w:w="40" w:type="dxa"/>
              <w:right w:w="0" w:type="dxa"/>
            </w:tcMar>
            <w:vAlign w:val="bottom"/>
          </w:tcPr>
          <w:p w14:paraId="7C2081EA" w14:textId="77777777" w:rsidR="00834A75" w:rsidRDefault="00A6708C">
            <w:pPr>
              <w:jc w:val="right"/>
              <w:textAlignment w:val="bottom"/>
            </w:pPr>
            <w:r>
              <w:rPr>
                <w:rFonts w:ascii="sans-serif" w:eastAsia="sans-serif" w:hAnsi="sans-serif" w:cs="sans-serif"/>
                <w:color w:val="000000"/>
                <w:sz w:val="20"/>
                <w:szCs w:val="20"/>
              </w:rPr>
              <w:t>35 </w:t>
            </w:r>
          </w:p>
        </w:tc>
        <w:tc>
          <w:tcPr>
            <w:tcW w:w="0" w:type="auto"/>
            <w:shd w:val="clear" w:color="auto" w:fill="FFFFFF"/>
            <w:tcMar>
              <w:top w:w="40" w:type="dxa"/>
              <w:left w:w="0" w:type="dxa"/>
              <w:bottom w:w="40" w:type="dxa"/>
              <w:right w:w="20" w:type="dxa"/>
            </w:tcMar>
            <w:vAlign w:val="bottom"/>
          </w:tcPr>
          <w:p w14:paraId="7C2081EB" w14:textId="77777777" w:rsidR="00834A75" w:rsidRDefault="00834A75">
            <w:pPr>
              <w:jc w:val="right"/>
              <w:rPr>
                <w:rFonts w:ascii="宋体"/>
              </w:rPr>
            </w:pPr>
          </w:p>
        </w:tc>
        <w:tc>
          <w:tcPr>
            <w:tcW w:w="0" w:type="auto"/>
            <w:gridSpan w:val="3"/>
            <w:shd w:val="clear" w:color="auto" w:fill="FFFFFF"/>
            <w:tcMar>
              <w:top w:w="0" w:type="dxa"/>
              <w:left w:w="20" w:type="dxa"/>
              <w:bottom w:w="0" w:type="dxa"/>
              <w:right w:w="20" w:type="dxa"/>
            </w:tcMar>
            <w:vAlign w:val="bottom"/>
          </w:tcPr>
          <w:p w14:paraId="7C2081EC" w14:textId="77777777" w:rsidR="00834A75" w:rsidRDefault="00834A75">
            <w:pPr>
              <w:rPr>
                <w:rFonts w:ascii="宋体"/>
              </w:rPr>
            </w:pPr>
          </w:p>
        </w:tc>
        <w:tc>
          <w:tcPr>
            <w:tcW w:w="0" w:type="auto"/>
            <w:gridSpan w:val="2"/>
            <w:shd w:val="clear" w:color="auto" w:fill="FFFFFF"/>
            <w:tcMar>
              <w:top w:w="40" w:type="dxa"/>
              <w:left w:w="20" w:type="dxa"/>
              <w:bottom w:w="40" w:type="dxa"/>
              <w:right w:w="0" w:type="dxa"/>
            </w:tcMar>
            <w:vAlign w:val="bottom"/>
          </w:tcPr>
          <w:p w14:paraId="7C2081ED" w14:textId="77777777" w:rsidR="00834A75" w:rsidRDefault="00A6708C">
            <w:pPr>
              <w:jc w:val="right"/>
              <w:textAlignment w:val="bottom"/>
            </w:pPr>
            <w:r>
              <w:rPr>
                <w:rFonts w:ascii="sans-serif" w:eastAsia="sans-serif" w:hAnsi="sans-serif" w:cs="sans-serif"/>
                <w:color w:val="000000"/>
                <w:sz w:val="20"/>
                <w:szCs w:val="20"/>
              </w:rPr>
              <w:t>150 </w:t>
            </w:r>
          </w:p>
        </w:tc>
        <w:tc>
          <w:tcPr>
            <w:tcW w:w="0" w:type="auto"/>
            <w:shd w:val="clear" w:color="auto" w:fill="FFFFFF"/>
            <w:tcMar>
              <w:top w:w="40" w:type="dxa"/>
              <w:left w:w="0" w:type="dxa"/>
              <w:bottom w:w="40" w:type="dxa"/>
              <w:right w:w="20" w:type="dxa"/>
            </w:tcMar>
            <w:vAlign w:val="bottom"/>
          </w:tcPr>
          <w:p w14:paraId="7C2081EE" w14:textId="77777777" w:rsidR="00834A75" w:rsidRDefault="00834A75">
            <w:pPr>
              <w:jc w:val="right"/>
              <w:rPr>
                <w:rFonts w:ascii="宋体"/>
              </w:rPr>
            </w:pPr>
          </w:p>
        </w:tc>
      </w:tr>
      <w:tr w:rsidR="00834A75" w14:paraId="7C2081FC" w14:textId="77777777">
        <w:trPr>
          <w:hidden/>
        </w:trPr>
        <w:tc>
          <w:tcPr>
            <w:tcW w:w="0" w:type="auto"/>
            <w:gridSpan w:val="3"/>
            <w:shd w:val="clear" w:color="auto" w:fill="auto"/>
            <w:vAlign w:val="bottom"/>
          </w:tcPr>
          <w:p w14:paraId="7C2081F0" w14:textId="77777777" w:rsidR="00834A75" w:rsidRDefault="00834A75">
            <w:pPr>
              <w:rPr>
                <w:rFonts w:ascii="宋体"/>
                <w:vanish/>
              </w:rPr>
            </w:pPr>
          </w:p>
        </w:tc>
        <w:tc>
          <w:tcPr>
            <w:tcW w:w="0" w:type="auto"/>
            <w:gridSpan w:val="3"/>
            <w:shd w:val="clear" w:color="auto" w:fill="auto"/>
            <w:vAlign w:val="bottom"/>
          </w:tcPr>
          <w:p w14:paraId="7C2081F1" w14:textId="77777777" w:rsidR="00834A75" w:rsidRDefault="00834A75">
            <w:pPr>
              <w:rPr>
                <w:rFonts w:ascii="宋体"/>
                <w:vanish/>
              </w:rPr>
            </w:pPr>
          </w:p>
        </w:tc>
        <w:tc>
          <w:tcPr>
            <w:tcW w:w="0" w:type="auto"/>
            <w:gridSpan w:val="3"/>
            <w:shd w:val="clear" w:color="auto" w:fill="auto"/>
            <w:vAlign w:val="bottom"/>
          </w:tcPr>
          <w:p w14:paraId="7C2081F2" w14:textId="77777777" w:rsidR="00834A75" w:rsidRDefault="00834A75">
            <w:pPr>
              <w:rPr>
                <w:rFonts w:ascii="宋体"/>
                <w:vanish/>
              </w:rPr>
            </w:pPr>
          </w:p>
        </w:tc>
        <w:tc>
          <w:tcPr>
            <w:tcW w:w="0" w:type="auto"/>
            <w:gridSpan w:val="3"/>
            <w:shd w:val="clear" w:color="auto" w:fill="auto"/>
            <w:vAlign w:val="bottom"/>
          </w:tcPr>
          <w:p w14:paraId="7C2081F3" w14:textId="77777777" w:rsidR="00834A75" w:rsidRDefault="00834A75">
            <w:pPr>
              <w:rPr>
                <w:rFonts w:ascii="宋体"/>
                <w:vanish/>
              </w:rPr>
            </w:pPr>
          </w:p>
        </w:tc>
        <w:tc>
          <w:tcPr>
            <w:tcW w:w="0" w:type="auto"/>
            <w:gridSpan w:val="3"/>
            <w:shd w:val="clear" w:color="auto" w:fill="auto"/>
            <w:vAlign w:val="bottom"/>
          </w:tcPr>
          <w:p w14:paraId="7C2081F4" w14:textId="77777777" w:rsidR="00834A75" w:rsidRDefault="00834A75">
            <w:pPr>
              <w:rPr>
                <w:rFonts w:ascii="宋体"/>
                <w:vanish/>
              </w:rPr>
            </w:pPr>
          </w:p>
        </w:tc>
        <w:tc>
          <w:tcPr>
            <w:tcW w:w="0" w:type="auto"/>
            <w:gridSpan w:val="3"/>
            <w:shd w:val="clear" w:color="auto" w:fill="auto"/>
            <w:vAlign w:val="bottom"/>
          </w:tcPr>
          <w:p w14:paraId="7C2081F5" w14:textId="77777777" w:rsidR="00834A75" w:rsidRDefault="00834A75">
            <w:pPr>
              <w:rPr>
                <w:rFonts w:ascii="宋体"/>
                <w:vanish/>
              </w:rPr>
            </w:pPr>
          </w:p>
        </w:tc>
        <w:tc>
          <w:tcPr>
            <w:tcW w:w="0" w:type="auto"/>
            <w:gridSpan w:val="3"/>
            <w:shd w:val="clear" w:color="auto" w:fill="auto"/>
            <w:vAlign w:val="bottom"/>
          </w:tcPr>
          <w:p w14:paraId="7C2081F6" w14:textId="77777777" w:rsidR="00834A75" w:rsidRDefault="00834A75">
            <w:pPr>
              <w:rPr>
                <w:rFonts w:ascii="宋体"/>
                <w:vanish/>
              </w:rPr>
            </w:pPr>
          </w:p>
        </w:tc>
        <w:tc>
          <w:tcPr>
            <w:tcW w:w="0" w:type="auto"/>
            <w:gridSpan w:val="3"/>
            <w:shd w:val="clear" w:color="auto" w:fill="auto"/>
            <w:vAlign w:val="bottom"/>
          </w:tcPr>
          <w:p w14:paraId="7C2081F7" w14:textId="77777777" w:rsidR="00834A75" w:rsidRDefault="00834A75">
            <w:pPr>
              <w:rPr>
                <w:rFonts w:ascii="宋体"/>
                <w:vanish/>
              </w:rPr>
            </w:pPr>
          </w:p>
        </w:tc>
        <w:tc>
          <w:tcPr>
            <w:tcW w:w="0" w:type="auto"/>
            <w:gridSpan w:val="3"/>
            <w:shd w:val="clear" w:color="auto" w:fill="auto"/>
            <w:vAlign w:val="bottom"/>
          </w:tcPr>
          <w:p w14:paraId="7C2081F8" w14:textId="77777777" w:rsidR="00834A75" w:rsidRDefault="00834A75">
            <w:pPr>
              <w:rPr>
                <w:rFonts w:ascii="宋体"/>
                <w:vanish/>
              </w:rPr>
            </w:pPr>
          </w:p>
        </w:tc>
        <w:tc>
          <w:tcPr>
            <w:tcW w:w="0" w:type="auto"/>
            <w:gridSpan w:val="3"/>
            <w:shd w:val="clear" w:color="auto" w:fill="auto"/>
            <w:vAlign w:val="bottom"/>
          </w:tcPr>
          <w:p w14:paraId="7C2081F9" w14:textId="77777777" w:rsidR="00834A75" w:rsidRDefault="00834A75">
            <w:pPr>
              <w:rPr>
                <w:rFonts w:ascii="宋体"/>
                <w:vanish/>
              </w:rPr>
            </w:pPr>
          </w:p>
        </w:tc>
        <w:tc>
          <w:tcPr>
            <w:tcW w:w="0" w:type="auto"/>
            <w:gridSpan w:val="3"/>
            <w:shd w:val="clear" w:color="auto" w:fill="auto"/>
            <w:vAlign w:val="bottom"/>
          </w:tcPr>
          <w:p w14:paraId="7C2081FA" w14:textId="77777777" w:rsidR="00834A75" w:rsidRDefault="00834A75">
            <w:pPr>
              <w:rPr>
                <w:rFonts w:ascii="宋体"/>
                <w:vanish/>
              </w:rPr>
            </w:pPr>
          </w:p>
        </w:tc>
        <w:tc>
          <w:tcPr>
            <w:tcW w:w="0" w:type="auto"/>
            <w:gridSpan w:val="3"/>
            <w:shd w:val="clear" w:color="auto" w:fill="auto"/>
            <w:vAlign w:val="bottom"/>
          </w:tcPr>
          <w:p w14:paraId="7C2081FB" w14:textId="77777777" w:rsidR="00834A75" w:rsidRDefault="00834A75">
            <w:pPr>
              <w:rPr>
                <w:rFonts w:ascii="宋体"/>
                <w:vanish/>
              </w:rPr>
            </w:pPr>
          </w:p>
        </w:tc>
      </w:tr>
      <w:tr w:rsidR="00834A75" w14:paraId="7C208209" w14:textId="77777777">
        <w:trPr>
          <w:hidden/>
        </w:trPr>
        <w:tc>
          <w:tcPr>
            <w:tcW w:w="0" w:type="auto"/>
            <w:gridSpan w:val="3"/>
            <w:shd w:val="clear" w:color="auto" w:fill="auto"/>
            <w:vAlign w:val="bottom"/>
          </w:tcPr>
          <w:p w14:paraId="7C2081FD" w14:textId="77777777" w:rsidR="00834A75" w:rsidRDefault="00834A75">
            <w:pPr>
              <w:rPr>
                <w:rFonts w:ascii="宋体"/>
                <w:vanish/>
              </w:rPr>
            </w:pPr>
          </w:p>
        </w:tc>
        <w:tc>
          <w:tcPr>
            <w:tcW w:w="0" w:type="auto"/>
            <w:gridSpan w:val="3"/>
            <w:shd w:val="clear" w:color="auto" w:fill="auto"/>
            <w:vAlign w:val="bottom"/>
          </w:tcPr>
          <w:p w14:paraId="7C2081FE" w14:textId="77777777" w:rsidR="00834A75" w:rsidRDefault="00834A75">
            <w:pPr>
              <w:rPr>
                <w:rFonts w:ascii="宋体"/>
                <w:vanish/>
              </w:rPr>
            </w:pPr>
          </w:p>
        </w:tc>
        <w:tc>
          <w:tcPr>
            <w:tcW w:w="0" w:type="auto"/>
            <w:gridSpan w:val="3"/>
            <w:shd w:val="clear" w:color="auto" w:fill="auto"/>
            <w:vAlign w:val="bottom"/>
          </w:tcPr>
          <w:p w14:paraId="7C2081FF" w14:textId="77777777" w:rsidR="00834A75" w:rsidRDefault="00834A75">
            <w:pPr>
              <w:rPr>
                <w:rFonts w:ascii="宋体"/>
                <w:vanish/>
              </w:rPr>
            </w:pPr>
          </w:p>
        </w:tc>
        <w:tc>
          <w:tcPr>
            <w:tcW w:w="0" w:type="auto"/>
            <w:gridSpan w:val="3"/>
            <w:shd w:val="clear" w:color="auto" w:fill="auto"/>
            <w:vAlign w:val="bottom"/>
          </w:tcPr>
          <w:p w14:paraId="7C208200" w14:textId="77777777" w:rsidR="00834A75" w:rsidRDefault="00834A75">
            <w:pPr>
              <w:rPr>
                <w:rFonts w:ascii="宋体"/>
                <w:vanish/>
              </w:rPr>
            </w:pPr>
          </w:p>
        </w:tc>
        <w:tc>
          <w:tcPr>
            <w:tcW w:w="0" w:type="auto"/>
            <w:gridSpan w:val="3"/>
            <w:shd w:val="clear" w:color="auto" w:fill="auto"/>
            <w:vAlign w:val="bottom"/>
          </w:tcPr>
          <w:p w14:paraId="7C208201" w14:textId="77777777" w:rsidR="00834A75" w:rsidRDefault="00834A75">
            <w:pPr>
              <w:rPr>
                <w:rFonts w:ascii="宋体"/>
                <w:vanish/>
              </w:rPr>
            </w:pPr>
          </w:p>
        </w:tc>
        <w:tc>
          <w:tcPr>
            <w:tcW w:w="0" w:type="auto"/>
            <w:gridSpan w:val="3"/>
            <w:shd w:val="clear" w:color="auto" w:fill="auto"/>
            <w:vAlign w:val="bottom"/>
          </w:tcPr>
          <w:p w14:paraId="7C208202" w14:textId="77777777" w:rsidR="00834A75" w:rsidRDefault="00834A75">
            <w:pPr>
              <w:rPr>
                <w:rFonts w:ascii="宋体"/>
                <w:vanish/>
              </w:rPr>
            </w:pPr>
          </w:p>
        </w:tc>
        <w:tc>
          <w:tcPr>
            <w:tcW w:w="0" w:type="auto"/>
            <w:gridSpan w:val="3"/>
            <w:shd w:val="clear" w:color="auto" w:fill="auto"/>
            <w:vAlign w:val="bottom"/>
          </w:tcPr>
          <w:p w14:paraId="7C208203" w14:textId="77777777" w:rsidR="00834A75" w:rsidRDefault="00834A75">
            <w:pPr>
              <w:rPr>
                <w:rFonts w:ascii="宋体"/>
                <w:vanish/>
              </w:rPr>
            </w:pPr>
          </w:p>
        </w:tc>
        <w:tc>
          <w:tcPr>
            <w:tcW w:w="0" w:type="auto"/>
            <w:gridSpan w:val="3"/>
            <w:shd w:val="clear" w:color="auto" w:fill="auto"/>
            <w:vAlign w:val="bottom"/>
          </w:tcPr>
          <w:p w14:paraId="7C208204" w14:textId="77777777" w:rsidR="00834A75" w:rsidRDefault="00834A75">
            <w:pPr>
              <w:rPr>
                <w:rFonts w:ascii="宋体"/>
                <w:vanish/>
              </w:rPr>
            </w:pPr>
          </w:p>
        </w:tc>
        <w:tc>
          <w:tcPr>
            <w:tcW w:w="0" w:type="auto"/>
            <w:gridSpan w:val="3"/>
            <w:shd w:val="clear" w:color="auto" w:fill="auto"/>
            <w:vAlign w:val="bottom"/>
          </w:tcPr>
          <w:p w14:paraId="7C208205" w14:textId="77777777" w:rsidR="00834A75" w:rsidRDefault="00834A75">
            <w:pPr>
              <w:rPr>
                <w:rFonts w:ascii="宋体"/>
                <w:vanish/>
              </w:rPr>
            </w:pPr>
          </w:p>
        </w:tc>
        <w:tc>
          <w:tcPr>
            <w:tcW w:w="0" w:type="auto"/>
            <w:gridSpan w:val="3"/>
            <w:shd w:val="clear" w:color="auto" w:fill="auto"/>
            <w:vAlign w:val="bottom"/>
          </w:tcPr>
          <w:p w14:paraId="7C208206" w14:textId="77777777" w:rsidR="00834A75" w:rsidRDefault="00834A75">
            <w:pPr>
              <w:rPr>
                <w:rFonts w:ascii="宋体"/>
                <w:vanish/>
              </w:rPr>
            </w:pPr>
          </w:p>
        </w:tc>
        <w:tc>
          <w:tcPr>
            <w:tcW w:w="0" w:type="auto"/>
            <w:gridSpan w:val="3"/>
            <w:shd w:val="clear" w:color="auto" w:fill="auto"/>
            <w:vAlign w:val="bottom"/>
          </w:tcPr>
          <w:p w14:paraId="7C208207" w14:textId="77777777" w:rsidR="00834A75" w:rsidRDefault="00834A75">
            <w:pPr>
              <w:rPr>
                <w:rFonts w:ascii="宋体"/>
                <w:vanish/>
              </w:rPr>
            </w:pPr>
          </w:p>
        </w:tc>
        <w:tc>
          <w:tcPr>
            <w:tcW w:w="0" w:type="auto"/>
            <w:gridSpan w:val="3"/>
            <w:shd w:val="clear" w:color="auto" w:fill="auto"/>
            <w:vAlign w:val="bottom"/>
          </w:tcPr>
          <w:p w14:paraId="7C208208" w14:textId="77777777" w:rsidR="00834A75" w:rsidRDefault="00834A75">
            <w:pPr>
              <w:rPr>
                <w:rFonts w:ascii="宋体"/>
                <w:vanish/>
              </w:rPr>
            </w:pPr>
          </w:p>
        </w:tc>
      </w:tr>
      <w:tr w:rsidR="00834A75" w14:paraId="7C208222" w14:textId="77777777">
        <w:tc>
          <w:tcPr>
            <w:tcW w:w="0" w:type="auto"/>
            <w:gridSpan w:val="3"/>
            <w:shd w:val="clear" w:color="auto" w:fill="E2EFD9"/>
            <w:tcMar>
              <w:top w:w="40" w:type="dxa"/>
              <w:left w:w="20" w:type="dxa"/>
              <w:bottom w:w="40" w:type="dxa"/>
              <w:right w:w="20" w:type="dxa"/>
            </w:tcMar>
            <w:vAlign w:val="bottom"/>
          </w:tcPr>
          <w:p w14:paraId="7C20820A" w14:textId="77777777" w:rsidR="00834A75" w:rsidRDefault="00A6708C">
            <w:pPr>
              <w:textAlignment w:val="bottom"/>
            </w:pPr>
            <w:r>
              <w:rPr>
                <w:rFonts w:ascii="sans-serif" w:eastAsia="sans-serif" w:hAnsi="sans-serif" w:cs="sans-serif"/>
                <w:color w:val="000000"/>
                <w:sz w:val="20"/>
                <w:szCs w:val="20"/>
              </w:rPr>
              <w:t>Total</w:t>
            </w:r>
          </w:p>
        </w:tc>
        <w:tc>
          <w:tcPr>
            <w:tcW w:w="0" w:type="auto"/>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7C20820B" w14:textId="77777777" w:rsidR="00834A75" w:rsidRDefault="00A6708C">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E2EFD9"/>
            <w:tcMar>
              <w:top w:w="40" w:type="dxa"/>
              <w:left w:w="0" w:type="dxa"/>
              <w:bottom w:w="40" w:type="dxa"/>
              <w:right w:w="0" w:type="dxa"/>
            </w:tcMar>
            <w:vAlign w:val="bottom"/>
          </w:tcPr>
          <w:p w14:paraId="7C20820C" w14:textId="77777777" w:rsidR="00834A75" w:rsidRDefault="00A6708C">
            <w:pPr>
              <w:jc w:val="right"/>
              <w:textAlignment w:val="bottom"/>
            </w:pPr>
            <w:r>
              <w:rPr>
                <w:rFonts w:ascii="sans-serif" w:eastAsia="sans-serif" w:hAnsi="sans-serif" w:cs="sans-serif"/>
                <w:color w:val="000000"/>
                <w:sz w:val="20"/>
                <w:szCs w:val="20"/>
              </w:rPr>
              <w:t>20,006 </w:t>
            </w:r>
          </w:p>
        </w:tc>
        <w:tc>
          <w:tcPr>
            <w:tcW w:w="0" w:type="auto"/>
            <w:tcBorders>
              <w:top w:val="single" w:sz="8" w:space="0" w:color="000000"/>
              <w:bottom w:val="double" w:sz="6" w:space="0" w:color="000000"/>
            </w:tcBorders>
            <w:shd w:val="clear" w:color="auto" w:fill="E2EFD9"/>
            <w:tcMar>
              <w:top w:w="40" w:type="dxa"/>
              <w:left w:w="0" w:type="dxa"/>
              <w:bottom w:w="40" w:type="dxa"/>
              <w:right w:w="20" w:type="dxa"/>
            </w:tcMar>
            <w:vAlign w:val="bottom"/>
          </w:tcPr>
          <w:p w14:paraId="7C20820D" w14:textId="77777777" w:rsidR="00834A75" w:rsidRDefault="00834A75">
            <w:pPr>
              <w:jc w:val="right"/>
              <w:rPr>
                <w:rFonts w:ascii="宋体"/>
              </w:rPr>
            </w:pPr>
          </w:p>
        </w:tc>
        <w:tc>
          <w:tcPr>
            <w:tcW w:w="0" w:type="auto"/>
            <w:gridSpan w:val="3"/>
            <w:shd w:val="clear" w:color="auto" w:fill="E2EFD9"/>
            <w:tcMar>
              <w:top w:w="0" w:type="dxa"/>
              <w:left w:w="20" w:type="dxa"/>
              <w:bottom w:w="0" w:type="dxa"/>
              <w:right w:w="20" w:type="dxa"/>
            </w:tcMar>
            <w:vAlign w:val="bottom"/>
          </w:tcPr>
          <w:p w14:paraId="7C20820E" w14:textId="77777777" w:rsidR="00834A75" w:rsidRDefault="00834A75">
            <w:pPr>
              <w:rPr>
                <w:rFonts w:ascii="宋体"/>
              </w:rPr>
            </w:pPr>
          </w:p>
        </w:tc>
        <w:tc>
          <w:tcPr>
            <w:tcW w:w="0" w:type="auto"/>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7C20820F" w14:textId="77777777" w:rsidR="00834A75" w:rsidRDefault="00A6708C">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E2EFD9"/>
            <w:tcMar>
              <w:top w:w="40" w:type="dxa"/>
              <w:left w:w="0" w:type="dxa"/>
              <w:bottom w:w="40" w:type="dxa"/>
              <w:right w:w="0" w:type="dxa"/>
            </w:tcMar>
            <w:vAlign w:val="bottom"/>
          </w:tcPr>
          <w:p w14:paraId="7C208210" w14:textId="77777777" w:rsidR="00834A75" w:rsidRDefault="00A6708C">
            <w:pPr>
              <w:jc w:val="right"/>
              <w:textAlignment w:val="bottom"/>
            </w:pPr>
            <w:r>
              <w:rPr>
                <w:rFonts w:ascii="sans-serif" w:eastAsia="sans-serif" w:hAnsi="sans-serif" w:cs="sans-serif"/>
                <w:color w:val="000000"/>
                <w:sz w:val="20"/>
                <w:szCs w:val="20"/>
              </w:rPr>
              <w:t>3 </w:t>
            </w:r>
          </w:p>
        </w:tc>
        <w:tc>
          <w:tcPr>
            <w:tcW w:w="0" w:type="auto"/>
            <w:tcBorders>
              <w:top w:val="single" w:sz="8" w:space="0" w:color="000000"/>
              <w:bottom w:val="double" w:sz="6" w:space="0" w:color="000000"/>
            </w:tcBorders>
            <w:shd w:val="clear" w:color="auto" w:fill="E2EFD9"/>
            <w:tcMar>
              <w:top w:w="40" w:type="dxa"/>
              <w:left w:w="0" w:type="dxa"/>
              <w:bottom w:w="40" w:type="dxa"/>
              <w:right w:w="20" w:type="dxa"/>
            </w:tcMar>
            <w:vAlign w:val="bottom"/>
          </w:tcPr>
          <w:p w14:paraId="7C208211" w14:textId="77777777" w:rsidR="00834A75" w:rsidRDefault="00834A75">
            <w:pPr>
              <w:jc w:val="right"/>
              <w:rPr>
                <w:rFonts w:ascii="宋体"/>
              </w:rPr>
            </w:pPr>
          </w:p>
        </w:tc>
        <w:tc>
          <w:tcPr>
            <w:tcW w:w="0" w:type="auto"/>
            <w:gridSpan w:val="3"/>
            <w:shd w:val="clear" w:color="auto" w:fill="E2EFD9"/>
            <w:tcMar>
              <w:top w:w="0" w:type="dxa"/>
              <w:left w:w="20" w:type="dxa"/>
              <w:bottom w:w="0" w:type="dxa"/>
              <w:right w:w="20" w:type="dxa"/>
            </w:tcMar>
            <w:vAlign w:val="bottom"/>
          </w:tcPr>
          <w:p w14:paraId="7C208212" w14:textId="77777777" w:rsidR="00834A75" w:rsidRDefault="00834A75">
            <w:pPr>
              <w:rPr>
                <w:rFonts w:ascii="宋体"/>
              </w:rPr>
            </w:pPr>
          </w:p>
        </w:tc>
        <w:tc>
          <w:tcPr>
            <w:tcW w:w="0" w:type="auto"/>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7C208213" w14:textId="77777777" w:rsidR="00834A75" w:rsidRDefault="00A6708C">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E2EFD9"/>
            <w:tcMar>
              <w:top w:w="40" w:type="dxa"/>
              <w:left w:w="0" w:type="dxa"/>
              <w:bottom w:w="40" w:type="dxa"/>
              <w:right w:w="0" w:type="dxa"/>
            </w:tcMar>
            <w:vAlign w:val="bottom"/>
          </w:tcPr>
          <w:p w14:paraId="7C208214" w14:textId="77777777" w:rsidR="00834A75" w:rsidRDefault="00A6708C">
            <w:pPr>
              <w:jc w:val="right"/>
              <w:textAlignment w:val="bottom"/>
            </w:pPr>
            <w:r>
              <w:rPr>
                <w:rFonts w:ascii="sans-serif" w:eastAsia="sans-serif" w:hAnsi="sans-serif" w:cs="sans-serif"/>
                <w:color w:val="000000"/>
                <w:sz w:val="20"/>
                <w:szCs w:val="20"/>
              </w:rPr>
              <w:t>(47)</w:t>
            </w:r>
          </w:p>
        </w:tc>
        <w:tc>
          <w:tcPr>
            <w:tcW w:w="0" w:type="auto"/>
            <w:tcBorders>
              <w:top w:val="single" w:sz="8" w:space="0" w:color="000000"/>
              <w:bottom w:val="double" w:sz="6" w:space="0" w:color="000000"/>
            </w:tcBorders>
            <w:shd w:val="clear" w:color="auto" w:fill="E2EFD9"/>
            <w:tcMar>
              <w:top w:w="40" w:type="dxa"/>
              <w:left w:w="0" w:type="dxa"/>
              <w:bottom w:w="40" w:type="dxa"/>
              <w:right w:w="20" w:type="dxa"/>
            </w:tcMar>
            <w:vAlign w:val="bottom"/>
          </w:tcPr>
          <w:p w14:paraId="7C208215" w14:textId="77777777" w:rsidR="00834A75" w:rsidRDefault="00834A75">
            <w:pPr>
              <w:jc w:val="right"/>
              <w:rPr>
                <w:rFonts w:ascii="宋体"/>
              </w:rPr>
            </w:pPr>
          </w:p>
        </w:tc>
        <w:tc>
          <w:tcPr>
            <w:tcW w:w="0" w:type="auto"/>
            <w:gridSpan w:val="3"/>
            <w:shd w:val="clear" w:color="auto" w:fill="E2EFD9"/>
            <w:tcMar>
              <w:top w:w="0" w:type="dxa"/>
              <w:left w:w="20" w:type="dxa"/>
              <w:bottom w:w="0" w:type="dxa"/>
              <w:right w:w="20" w:type="dxa"/>
            </w:tcMar>
            <w:vAlign w:val="bottom"/>
          </w:tcPr>
          <w:p w14:paraId="7C208216" w14:textId="77777777" w:rsidR="00834A75" w:rsidRDefault="00834A75">
            <w:pPr>
              <w:rPr>
                <w:rFonts w:ascii="宋体"/>
              </w:rPr>
            </w:pPr>
          </w:p>
        </w:tc>
        <w:tc>
          <w:tcPr>
            <w:tcW w:w="0" w:type="auto"/>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7C208217" w14:textId="77777777" w:rsidR="00834A75" w:rsidRDefault="00A6708C">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E2EFD9"/>
            <w:tcMar>
              <w:top w:w="40" w:type="dxa"/>
              <w:left w:w="0" w:type="dxa"/>
              <w:bottom w:w="40" w:type="dxa"/>
              <w:right w:w="0" w:type="dxa"/>
            </w:tcMar>
            <w:vAlign w:val="bottom"/>
          </w:tcPr>
          <w:p w14:paraId="7C208218" w14:textId="77777777" w:rsidR="00834A75" w:rsidRDefault="00A6708C">
            <w:pPr>
              <w:jc w:val="right"/>
              <w:textAlignment w:val="bottom"/>
            </w:pPr>
            <w:r>
              <w:rPr>
                <w:rFonts w:ascii="sans-serif" w:eastAsia="sans-serif" w:hAnsi="sans-serif" w:cs="sans-serif"/>
                <w:color w:val="000000"/>
                <w:sz w:val="20"/>
                <w:szCs w:val="20"/>
              </w:rPr>
              <w:t>19,962 </w:t>
            </w:r>
          </w:p>
        </w:tc>
        <w:tc>
          <w:tcPr>
            <w:tcW w:w="0" w:type="auto"/>
            <w:tcBorders>
              <w:top w:val="single" w:sz="8" w:space="0" w:color="000000"/>
              <w:bottom w:val="double" w:sz="6" w:space="0" w:color="000000"/>
            </w:tcBorders>
            <w:shd w:val="clear" w:color="auto" w:fill="E2EFD9"/>
            <w:tcMar>
              <w:top w:w="40" w:type="dxa"/>
              <w:left w:w="0" w:type="dxa"/>
              <w:bottom w:w="40" w:type="dxa"/>
              <w:right w:w="20" w:type="dxa"/>
            </w:tcMar>
            <w:vAlign w:val="bottom"/>
          </w:tcPr>
          <w:p w14:paraId="7C208219" w14:textId="77777777" w:rsidR="00834A75" w:rsidRDefault="00834A75">
            <w:pPr>
              <w:jc w:val="right"/>
              <w:rPr>
                <w:rFonts w:ascii="宋体"/>
              </w:rPr>
            </w:pPr>
          </w:p>
        </w:tc>
        <w:tc>
          <w:tcPr>
            <w:tcW w:w="0" w:type="auto"/>
            <w:gridSpan w:val="3"/>
            <w:shd w:val="clear" w:color="auto" w:fill="E2EFD9"/>
            <w:tcMar>
              <w:top w:w="0" w:type="dxa"/>
              <w:left w:w="20" w:type="dxa"/>
              <w:bottom w:w="0" w:type="dxa"/>
              <w:right w:w="20" w:type="dxa"/>
            </w:tcMar>
            <w:vAlign w:val="bottom"/>
          </w:tcPr>
          <w:p w14:paraId="7C20821A" w14:textId="77777777" w:rsidR="00834A75" w:rsidRDefault="00834A75">
            <w:pPr>
              <w:rPr>
                <w:rFonts w:ascii="宋体"/>
              </w:rPr>
            </w:pPr>
          </w:p>
        </w:tc>
        <w:tc>
          <w:tcPr>
            <w:tcW w:w="0" w:type="auto"/>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7C20821B" w14:textId="77777777" w:rsidR="00834A75" w:rsidRDefault="00A6708C">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E2EFD9"/>
            <w:tcMar>
              <w:top w:w="40" w:type="dxa"/>
              <w:left w:w="0" w:type="dxa"/>
              <w:bottom w:w="40" w:type="dxa"/>
              <w:right w:w="0" w:type="dxa"/>
            </w:tcMar>
            <w:vAlign w:val="bottom"/>
          </w:tcPr>
          <w:p w14:paraId="7C20821C" w14:textId="77777777" w:rsidR="00834A75" w:rsidRDefault="00A6708C">
            <w:pPr>
              <w:jc w:val="right"/>
              <w:textAlignment w:val="bottom"/>
            </w:pPr>
            <w:r>
              <w:rPr>
                <w:rFonts w:ascii="sans-serif" w:eastAsia="sans-serif" w:hAnsi="sans-serif" w:cs="sans-serif"/>
                <w:color w:val="000000"/>
                <w:sz w:val="20"/>
                <w:szCs w:val="20"/>
              </w:rPr>
              <w:t>3,511 </w:t>
            </w:r>
          </w:p>
        </w:tc>
        <w:tc>
          <w:tcPr>
            <w:tcW w:w="0" w:type="auto"/>
            <w:tcBorders>
              <w:top w:val="single" w:sz="8" w:space="0" w:color="000000"/>
              <w:bottom w:val="double" w:sz="6" w:space="0" w:color="000000"/>
            </w:tcBorders>
            <w:shd w:val="clear" w:color="auto" w:fill="E2EFD9"/>
            <w:tcMar>
              <w:top w:w="40" w:type="dxa"/>
              <w:left w:w="0" w:type="dxa"/>
              <w:bottom w:w="40" w:type="dxa"/>
              <w:right w:w="20" w:type="dxa"/>
            </w:tcMar>
            <w:vAlign w:val="bottom"/>
          </w:tcPr>
          <w:p w14:paraId="7C20821D" w14:textId="77777777" w:rsidR="00834A75" w:rsidRDefault="00834A75">
            <w:pPr>
              <w:jc w:val="right"/>
              <w:rPr>
                <w:rFonts w:ascii="宋体"/>
              </w:rPr>
            </w:pPr>
          </w:p>
        </w:tc>
        <w:tc>
          <w:tcPr>
            <w:tcW w:w="0" w:type="auto"/>
            <w:gridSpan w:val="3"/>
            <w:shd w:val="clear" w:color="auto" w:fill="E2EFD9"/>
            <w:tcMar>
              <w:top w:w="0" w:type="dxa"/>
              <w:left w:w="20" w:type="dxa"/>
              <w:bottom w:w="0" w:type="dxa"/>
              <w:right w:w="20" w:type="dxa"/>
            </w:tcMar>
            <w:vAlign w:val="bottom"/>
          </w:tcPr>
          <w:p w14:paraId="7C20821E" w14:textId="77777777" w:rsidR="00834A75" w:rsidRDefault="00834A75">
            <w:pPr>
              <w:rPr>
                <w:rFonts w:ascii="宋体"/>
              </w:rPr>
            </w:pPr>
          </w:p>
        </w:tc>
        <w:tc>
          <w:tcPr>
            <w:tcW w:w="0" w:type="auto"/>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7C20821F" w14:textId="77777777" w:rsidR="00834A75" w:rsidRDefault="00A6708C">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E2EFD9"/>
            <w:tcMar>
              <w:top w:w="40" w:type="dxa"/>
              <w:left w:w="0" w:type="dxa"/>
              <w:bottom w:w="40" w:type="dxa"/>
              <w:right w:w="0" w:type="dxa"/>
            </w:tcMar>
            <w:vAlign w:val="bottom"/>
          </w:tcPr>
          <w:p w14:paraId="7C208220" w14:textId="77777777" w:rsidR="00834A75" w:rsidRDefault="00A6708C">
            <w:pPr>
              <w:jc w:val="right"/>
              <w:textAlignment w:val="bottom"/>
            </w:pPr>
            <w:r>
              <w:rPr>
                <w:rFonts w:ascii="sans-serif" w:eastAsia="sans-serif" w:hAnsi="sans-serif" w:cs="sans-serif"/>
                <w:color w:val="000000"/>
                <w:sz w:val="20"/>
                <w:szCs w:val="20"/>
              </w:rPr>
              <w:t>16,451 </w:t>
            </w:r>
          </w:p>
        </w:tc>
        <w:tc>
          <w:tcPr>
            <w:tcW w:w="0" w:type="auto"/>
            <w:tcBorders>
              <w:top w:val="single" w:sz="8" w:space="0" w:color="000000"/>
              <w:bottom w:val="double" w:sz="6" w:space="0" w:color="000000"/>
            </w:tcBorders>
            <w:shd w:val="clear" w:color="auto" w:fill="E2EFD9"/>
            <w:tcMar>
              <w:top w:w="40" w:type="dxa"/>
              <w:left w:w="0" w:type="dxa"/>
              <w:bottom w:w="40" w:type="dxa"/>
              <w:right w:w="20" w:type="dxa"/>
            </w:tcMar>
            <w:vAlign w:val="bottom"/>
          </w:tcPr>
          <w:p w14:paraId="7C208221" w14:textId="77777777" w:rsidR="00834A75" w:rsidRDefault="00834A75">
            <w:pPr>
              <w:jc w:val="right"/>
              <w:rPr>
                <w:rFonts w:ascii="宋体"/>
              </w:rPr>
            </w:pPr>
          </w:p>
        </w:tc>
      </w:tr>
    </w:tbl>
    <w:p w14:paraId="7C208223" w14:textId="77777777" w:rsidR="00834A75" w:rsidRDefault="00834A75">
      <w:pPr>
        <w:rPr>
          <w:vanish/>
        </w:rPr>
      </w:pPr>
    </w:p>
    <w:tbl>
      <w:tblPr>
        <w:tblW w:w="4971" w:type="pct"/>
        <w:tblCellMar>
          <w:top w:w="15" w:type="dxa"/>
          <w:left w:w="15" w:type="dxa"/>
          <w:bottom w:w="15" w:type="dxa"/>
          <w:right w:w="15" w:type="dxa"/>
        </w:tblCellMar>
        <w:tblLook w:val="04A0" w:firstRow="1" w:lastRow="0" w:firstColumn="1" w:lastColumn="0" w:noHBand="0" w:noVBand="1"/>
      </w:tblPr>
      <w:tblGrid>
        <w:gridCol w:w="38"/>
        <w:gridCol w:w="1627"/>
        <w:gridCol w:w="37"/>
        <w:gridCol w:w="123"/>
        <w:gridCol w:w="816"/>
        <w:gridCol w:w="36"/>
        <w:gridCol w:w="36"/>
        <w:gridCol w:w="36"/>
        <w:gridCol w:w="36"/>
        <w:gridCol w:w="123"/>
        <w:gridCol w:w="842"/>
        <w:gridCol w:w="36"/>
        <w:gridCol w:w="36"/>
        <w:gridCol w:w="36"/>
        <w:gridCol w:w="36"/>
        <w:gridCol w:w="123"/>
        <w:gridCol w:w="839"/>
        <w:gridCol w:w="36"/>
        <w:gridCol w:w="36"/>
        <w:gridCol w:w="36"/>
        <w:gridCol w:w="36"/>
        <w:gridCol w:w="123"/>
        <w:gridCol w:w="785"/>
        <w:gridCol w:w="36"/>
        <w:gridCol w:w="36"/>
        <w:gridCol w:w="36"/>
        <w:gridCol w:w="36"/>
        <w:gridCol w:w="123"/>
        <w:gridCol w:w="904"/>
        <w:gridCol w:w="36"/>
        <w:gridCol w:w="36"/>
        <w:gridCol w:w="36"/>
        <w:gridCol w:w="36"/>
        <w:gridCol w:w="123"/>
        <w:gridCol w:w="906"/>
        <w:gridCol w:w="36"/>
      </w:tblGrid>
      <w:tr w:rsidR="00834A75" w14:paraId="7C208248" w14:textId="77777777">
        <w:tc>
          <w:tcPr>
            <w:tcW w:w="50" w:type="pct"/>
            <w:shd w:val="clear" w:color="auto" w:fill="auto"/>
            <w:vAlign w:val="bottom"/>
          </w:tcPr>
          <w:p w14:paraId="7C208224" w14:textId="77777777" w:rsidR="00834A75" w:rsidRDefault="00834A75">
            <w:pPr>
              <w:rPr>
                <w:rFonts w:ascii="宋体"/>
              </w:rPr>
            </w:pPr>
          </w:p>
        </w:tc>
        <w:tc>
          <w:tcPr>
            <w:tcW w:w="1481" w:type="pct"/>
            <w:shd w:val="clear" w:color="auto" w:fill="auto"/>
            <w:vAlign w:val="bottom"/>
          </w:tcPr>
          <w:p w14:paraId="7C208225" w14:textId="77777777" w:rsidR="00834A75" w:rsidRDefault="00834A75">
            <w:pPr>
              <w:rPr>
                <w:rFonts w:ascii="宋体"/>
              </w:rPr>
            </w:pPr>
          </w:p>
        </w:tc>
        <w:tc>
          <w:tcPr>
            <w:tcW w:w="5" w:type="pct"/>
            <w:shd w:val="clear" w:color="auto" w:fill="auto"/>
            <w:vAlign w:val="bottom"/>
          </w:tcPr>
          <w:p w14:paraId="7C208226" w14:textId="77777777" w:rsidR="00834A75" w:rsidRDefault="00834A75">
            <w:pPr>
              <w:rPr>
                <w:rFonts w:ascii="宋体"/>
              </w:rPr>
            </w:pPr>
          </w:p>
        </w:tc>
        <w:tc>
          <w:tcPr>
            <w:tcW w:w="50" w:type="pct"/>
            <w:shd w:val="clear" w:color="auto" w:fill="auto"/>
            <w:vAlign w:val="bottom"/>
          </w:tcPr>
          <w:p w14:paraId="7C208227" w14:textId="77777777" w:rsidR="00834A75" w:rsidRDefault="00834A75">
            <w:pPr>
              <w:rPr>
                <w:rFonts w:ascii="宋体"/>
              </w:rPr>
            </w:pPr>
          </w:p>
        </w:tc>
        <w:tc>
          <w:tcPr>
            <w:tcW w:w="481" w:type="pct"/>
            <w:shd w:val="clear" w:color="auto" w:fill="auto"/>
            <w:vAlign w:val="bottom"/>
          </w:tcPr>
          <w:p w14:paraId="7C208228" w14:textId="77777777" w:rsidR="00834A75" w:rsidRDefault="00834A75">
            <w:pPr>
              <w:rPr>
                <w:rFonts w:ascii="宋体"/>
              </w:rPr>
            </w:pPr>
          </w:p>
        </w:tc>
        <w:tc>
          <w:tcPr>
            <w:tcW w:w="5" w:type="pct"/>
            <w:shd w:val="clear" w:color="auto" w:fill="auto"/>
            <w:vAlign w:val="bottom"/>
          </w:tcPr>
          <w:p w14:paraId="7C208229" w14:textId="77777777" w:rsidR="00834A75" w:rsidRDefault="00834A75">
            <w:pPr>
              <w:rPr>
                <w:rFonts w:ascii="宋体"/>
              </w:rPr>
            </w:pPr>
          </w:p>
        </w:tc>
        <w:tc>
          <w:tcPr>
            <w:tcW w:w="5" w:type="pct"/>
            <w:shd w:val="clear" w:color="auto" w:fill="auto"/>
            <w:vAlign w:val="bottom"/>
          </w:tcPr>
          <w:p w14:paraId="7C20822A" w14:textId="77777777" w:rsidR="00834A75" w:rsidRDefault="00834A75">
            <w:pPr>
              <w:rPr>
                <w:rFonts w:ascii="宋体"/>
              </w:rPr>
            </w:pPr>
          </w:p>
        </w:tc>
        <w:tc>
          <w:tcPr>
            <w:tcW w:w="26" w:type="pct"/>
            <w:shd w:val="clear" w:color="auto" w:fill="auto"/>
            <w:vAlign w:val="bottom"/>
          </w:tcPr>
          <w:p w14:paraId="7C20822B" w14:textId="77777777" w:rsidR="00834A75" w:rsidRDefault="00834A75">
            <w:pPr>
              <w:rPr>
                <w:rFonts w:ascii="宋体"/>
              </w:rPr>
            </w:pPr>
          </w:p>
        </w:tc>
        <w:tc>
          <w:tcPr>
            <w:tcW w:w="5" w:type="pct"/>
            <w:shd w:val="clear" w:color="auto" w:fill="auto"/>
            <w:vAlign w:val="bottom"/>
          </w:tcPr>
          <w:p w14:paraId="7C20822C" w14:textId="77777777" w:rsidR="00834A75" w:rsidRDefault="00834A75">
            <w:pPr>
              <w:rPr>
                <w:rFonts w:ascii="宋体"/>
              </w:rPr>
            </w:pPr>
          </w:p>
        </w:tc>
        <w:tc>
          <w:tcPr>
            <w:tcW w:w="50" w:type="pct"/>
            <w:shd w:val="clear" w:color="auto" w:fill="auto"/>
            <w:vAlign w:val="bottom"/>
          </w:tcPr>
          <w:p w14:paraId="7C20822D" w14:textId="77777777" w:rsidR="00834A75" w:rsidRDefault="00834A75">
            <w:pPr>
              <w:rPr>
                <w:rFonts w:ascii="宋体"/>
              </w:rPr>
            </w:pPr>
          </w:p>
        </w:tc>
        <w:tc>
          <w:tcPr>
            <w:tcW w:w="496" w:type="pct"/>
            <w:shd w:val="clear" w:color="auto" w:fill="auto"/>
            <w:vAlign w:val="bottom"/>
          </w:tcPr>
          <w:p w14:paraId="7C20822E" w14:textId="77777777" w:rsidR="00834A75" w:rsidRDefault="00834A75">
            <w:pPr>
              <w:rPr>
                <w:rFonts w:ascii="宋体"/>
              </w:rPr>
            </w:pPr>
          </w:p>
        </w:tc>
        <w:tc>
          <w:tcPr>
            <w:tcW w:w="5" w:type="pct"/>
            <w:shd w:val="clear" w:color="auto" w:fill="auto"/>
            <w:vAlign w:val="bottom"/>
          </w:tcPr>
          <w:p w14:paraId="7C20822F" w14:textId="77777777" w:rsidR="00834A75" w:rsidRDefault="00834A75">
            <w:pPr>
              <w:rPr>
                <w:rFonts w:ascii="宋体"/>
              </w:rPr>
            </w:pPr>
          </w:p>
        </w:tc>
        <w:tc>
          <w:tcPr>
            <w:tcW w:w="5" w:type="pct"/>
            <w:shd w:val="clear" w:color="auto" w:fill="auto"/>
            <w:vAlign w:val="bottom"/>
          </w:tcPr>
          <w:p w14:paraId="7C208230" w14:textId="77777777" w:rsidR="00834A75" w:rsidRDefault="00834A75">
            <w:pPr>
              <w:rPr>
                <w:rFonts w:ascii="宋体"/>
              </w:rPr>
            </w:pPr>
          </w:p>
        </w:tc>
        <w:tc>
          <w:tcPr>
            <w:tcW w:w="26" w:type="pct"/>
            <w:shd w:val="clear" w:color="auto" w:fill="auto"/>
            <w:vAlign w:val="bottom"/>
          </w:tcPr>
          <w:p w14:paraId="7C208231" w14:textId="77777777" w:rsidR="00834A75" w:rsidRDefault="00834A75">
            <w:pPr>
              <w:rPr>
                <w:rFonts w:ascii="宋体"/>
              </w:rPr>
            </w:pPr>
          </w:p>
        </w:tc>
        <w:tc>
          <w:tcPr>
            <w:tcW w:w="5" w:type="pct"/>
            <w:shd w:val="clear" w:color="auto" w:fill="auto"/>
            <w:vAlign w:val="bottom"/>
          </w:tcPr>
          <w:p w14:paraId="7C208232" w14:textId="77777777" w:rsidR="00834A75" w:rsidRDefault="00834A75">
            <w:pPr>
              <w:rPr>
                <w:rFonts w:ascii="宋体"/>
              </w:rPr>
            </w:pPr>
          </w:p>
        </w:tc>
        <w:tc>
          <w:tcPr>
            <w:tcW w:w="50" w:type="pct"/>
            <w:shd w:val="clear" w:color="auto" w:fill="auto"/>
            <w:vAlign w:val="bottom"/>
          </w:tcPr>
          <w:p w14:paraId="7C208233" w14:textId="77777777" w:rsidR="00834A75" w:rsidRDefault="00834A75">
            <w:pPr>
              <w:rPr>
                <w:rFonts w:ascii="宋体"/>
              </w:rPr>
            </w:pPr>
          </w:p>
        </w:tc>
        <w:tc>
          <w:tcPr>
            <w:tcW w:w="481" w:type="pct"/>
            <w:shd w:val="clear" w:color="auto" w:fill="auto"/>
            <w:vAlign w:val="bottom"/>
          </w:tcPr>
          <w:p w14:paraId="7C208234" w14:textId="77777777" w:rsidR="00834A75" w:rsidRDefault="00834A75">
            <w:pPr>
              <w:rPr>
                <w:rFonts w:ascii="宋体"/>
              </w:rPr>
            </w:pPr>
          </w:p>
        </w:tc>
        <w:tc>
          <w:tcPr>
            <w:tcW w:w="5" w:type="pct"/>
            <w:shd w:val="clear" w:color="auto" w:fill="auto"/>
            <w:vAlign w:val="bottom"/>
          </w:tcPr>
          <w:p w14:paraId="7C208235" w14:textId="77777777" w:rsidR="00834A75" w:rsidRDefault="00834A75">
            <w:pPr>
              <w:rPr>
                <w:rFonts w:ascii="宋体"/>
              </w:rPr>
            </w:pPr>
          </w:p>
        </w:tc>
        <w:tc>
          <w:tcPr>
            <w:tcW w:w="5" w:type="pct"/>
            <w:shd w:val="clear" w:color="auto" w:fill="auto"/>
            <w:vAlign w:val="bottom"/>
          </w:tcPr>
          <w:p w14:paraId="7C208236" w14:textId="77777777" w:rsidR="00834A75" w:rsidRDefault="00834A75">
            <w:pPr>
              <w:rPr>
                <w:rFonts w:ascii="宋体"/>
              </w:rPr>
            </w:pPr>
          </w:p>
        </w:tc>
        <w:tc>
          <w:tcPr>
            <w:tcW w:w="26" w:type="pct"/>
            <w:shd w:val="clear" w:color="auto" w:fill="auto"/>
            <w:vAlign w:val="bottom"/>
          </w:tcPr>
          <w:p w14:paraId="7C208237" w14:textId="77777777" w:rsidR="00834A75" w:rsidRDefault="00834A75">
            <w:pPr>
              <w:rPr>
                <w:rFonts w:ascii="宋体"/>
              </w:rPr>
            </w:pPr>
          </w:p>
        </w:tc>
        <w:tc>
          <w:tcPr>
            <w:tcW w:w="5" w:type="pct"/>
            <w:shd w:val="clear" w:color="auto" w:fill="auto"/>
            <w:vAlign w:val="bottom"/>
          </w:tcPr>
          <w:p w14:paraId="7C208238" w14:textId="77777777" w:rsidR="00834A75" w:rsidRDefault="00834A75">
            <w:pPr>
              <w:rPr>
                <w:rFonts w:ascii="宋体"/>
              </w:rPr>
            </w:pPr>
          </w:p>
        </w:tc>
        <w:tc>
          <w:tcPr>
            <w:tcW w:w="50" w:type="pct"/>
            <w:shd w:val="clear" w:color="auto" w:fill="auto"/>
            <w:vAlign w:val="bottom"/>
          </w:tcPr>
          <w:p w14:paraId="7C208239" w14:textId="77777777" w:rsidR="00834A75" w:rsidRDefault="00834A75">
            <w:pPr>
              <w:rPr>
                <w:rFonts w:ascii="宋体"/>
              </w:rPr>
            </w:pPr>
          </w:p>
        </w:tc>
        <w:tc>
          <w:tcPr>
            <w:tcW w:w="481" w:type="pct"/>
            <w:shd w:val="clear" w:color="auto" w:fill="auto"/>
            <w:vAlign w:val="bottom"/>
          </w:tcPr>
          <w:p w14:paraId="7C20823A" w14:textId="77777777" w:rsidR="00834A75" w:rsidRDefault="00834A75">
            <w:pPr>
              <w:rPr>
                <w:rFonts w:ascii="宋体"/>
              </w:rPr>
            </w:pPr>
          </w:p>
        </w:tc>
        <w:tc>
          <w:tcPr>
            <w:tcW w:w="5" w:type="pct"/>
            <w:shd w:val="clear" w:color="auto" w:fill="auto"/>
            <w:vAlign w:val="bottom"/>
          </w:tcPr>
          <w:p w14:paraId="7C20823B" w14:textId="77777777" w:rsidR="00834A75" w:rsidRDefault="00834A75">
            <w:pPr>
              <w:rPr>
                <w:rFonts w:ascii="宋体"/>
              </w:rPr>
            </w:pPr>
          </w:p>
        </w:tc>
        <w:tc>
          <w:tcPr>
            <w:tcW w:w="5" w:type="pct"/>
            <w:shd w:val="clear" w:color="auto" w:fill="auto"/>
            <w:vAlign w:val="bottom"/>
          </w:tcPr>
          <w:p w14:paraId="7C20823C" w14:textId="77777777" w:rsidR="00834A75" w:rsidRDefault="00834A75">
            <w:pPr>
              <w:rPr>
                <w:rFonts w:ascii="宋体"/>
              </w:rPr>
            </w:pPr>
          </w:p>
        </w:tc>
        <w:tc>
          <w:tcPr>
            <w:tcW w:w="26" w:type="pct"/>
            <w:shd w:val="clear" w:color="auto" w:fill="auto"/>
            <w:vAlign w:val="bottom"/>
          </w:tcPr>
          <w:p w14:paraId="7C20823D" w14:textId="77777777" w:rsidR="00834A75" w:rsidRDefault="00834A75">
            <w:pPr>
              <w:rPr>
                <w:rFonts w:ascii="宋体"/>
              </w:rPr>
            </w:pPr>
          </w:p>
        </w:tc>
        <w:tc>
          <w:tcPr>
            <w:tcW w:w="5" w:type="pct"/>
            <w:shd w:val="clear" w:color="auto" w:fill="auto"/>
            <w:vAlign w:val="bottom"/>
          </w:tcPr>
          <w:p w14:paraId="7C20823E" w14:textId="77777777" w:rsidR="00834A75" w:rsidRDefault="00834A75">
            <w:pPr>
              <w:rPr>
                <w:rFonts w:ascii="宋体"/>
              </w:rPr>
            </w:pPr>
          </w:p>
        </w:tc>
        <w:tc>
          <w:tcPr>
            <w:tcW w:w="50" w:type="pct"/>
            <w:shd w:val="clear" w:color="auto" w:fill="auto"/>
            <w:vAlign w:val="bottom"/>
          </w:tcPr>
          <w:p w14:paraId="7C20823F" w14:textId="77777777" w:rsidR="00834A75" w:rsidRDefault="00834A75">
            <w:pPr>
              <w:rPr>
                <w:rFonts w:ascii="宋体"/>
              </w:rPr>
            </w:pPr>
          </w:p>
        </w:tc>
        <w:tc>
          <w:tcPr>
            <w:tcW w:w="511" w:type="pct"/>
            <w:shd w:val="clear" w:color="auto" w:fill="auto"/>
            <w:vAlign w:val="bottom"/>
          </w:tcPr>
          <w:p w14:paraId="7C208240" w14:textId="77777777" w:rsidR="00834A75" w:rsidRDefault="00834A75">
            <w:pPr>
              <w:rPr>
                <w:rFonts w:ascii="宋体"/>
              </w:rPr>
            </w:pPr>
          </w:p>
        </w:tc>
        <w:tc>
          <w:tcPr>
            <w:tcW w:w="5" w:type="pct"/>
            <w:shd w:val="clear" w:color="auto" w:fill="auto"/>
            <w:vAlign w:val="bottom"/>
          </w:tcPr>
          <w:p w14:paraId="7C208241" w14:textId="77777777" w:rsidR="00834A75" w:rsidRDefault="00834A75">
            <w:pPr>
              <w:rPr>
                <w:rFonts w:ascii="宋体"/>
              </w:rPr>
            </w:pPr>
          </w:p>
        </w:tc>
        <w:tc>
          <w:tcPr>
            <w:tcW w:w="5" w:type="pct"/>
            <w:shd w:val="clear" w:color="auto" w:fill="auto"/>
            <w:vAlign w:val="bottom"/>
          </w:tcPr>
          <w:p w14:paraId="7C208242" w14:textId="77777777" w:rsidR="00834A75" w:rsidRDefault="00834A75">
            <w:pPr>
              <w:rPr>
                <w:rFonts w:ascii="宋体"/>
              </w:rPr>
            </w:pPr>
          </w:p>
        </w:tc>
        <w:tc>
          <w:tcPr>
            <w:tcW w:w="26" w:type="pct"/>
            <w:shd w:val="clear" w:color="auto" w:fill="auto"/>
            <w:vAlign w:val="bottom"/>
          </w:tcPr>
          <w:p w14:paraId="7C208243" w14:textId="77777777" w:rsidR="00834A75" w:rsidRDefault="00834A75">
            <w:pPr>
              <w:rPr>
                <w:rFonts w:ascii="宋体"/>
              </w:rPr>
            </w:pPr>
          </w:p>
        </w:tc>
        <w:tc>
          <w:tcPr>
            <w:tcW w:w="5" w:type="pct"/>
            <w:shd w:val="clear" w:color="auto" w:fill="auto"/>
            <w:vAlign w:val="bottom"/>
          </w:tcPr>
          <w:p w14:paraId="7C208244" w14:textId="77777777" w:rsidR="00834A75" w:rsidRDefault="00834A75">
            <w:pPr>
              <w:rPr>
                <w:rFonts w:ascii="宋体"/>
              </w:rPr>
            </w:pPr>
          </w:p>
        </w:tc>
        <w:tc>
          <w:tcPr>
            <w:tcW w:w="50" w:type="pct"/>
            <w:shd w:val="clear" w:color="auto" w:fill="auto"/>
            <w:vAlign w:val="bottom"/>
          </w:tcPr>
          <w:p w14:paraId="7C208245" w14:textId="77777777" w:rsidR="00834A75" w:rsidRDefault="00834A75">
            <w:pPr>
              <w:rPr>
                <w:rFonts w:ascii="宋体"/>
              </w:rPr>
            </w:pPr>
          </w:p>
        </w:tc>
        <w:tc>
          <w:tcPr>
            <w:tcW w:w="496" w:type="pct"/>
            <w:shd w:val="clear" w:color="auto" w:fill="auto"/>
            <w:vAlign w:val="bottom"/>
          </w:tcPr>
          <w:p w14:paraId="7C208246" w14:textId="77777777" w:rsidR="00834A75" w:rsidRDefault="00834A75">
            <w:pPr>
              <w:rPr>
                <w:rFonts w:ascii="宋体"/>
              </w:rPr>
            </w:pPr>
          </w:p>
        </w:tc>
        <w:tc>
          <w:tcPr>
            <w:tcW w:w="5" w:type="pct"/>
            <w:shd w:val="clear" w:color="auto" w:fill="auto"/>
            <w:vAlign w:val="bottom"/>
          </w:tcPr>
          <w:p w14:paraId="7C208247" w14:textId="77777777" w:rsidR="00834A75" w:rsidRDefault="00834A75">
            <w:pPr>
              <w:rPr>
                <w:rFonts w:ascii="宋体"/>
              </w:rPr>
            </w:pPr>
          </w:p>
        </w:tc>
      </w:tr>
      <w:tr w:rsidR="00834A75" w14:paraId="7C20824B" w14:textId="77777777">
        <w:tc>
          <w:tcPr>
            <w:tcW w:w="0" w:type="auto"/>
            <w:gridSpan w:val="3"/>
            <w:shd w:val="clear" w:color="auto" w:fill="auto"/>
            <w:tcMar>
              <w:top w:w="40" w:type="dxa"/>
              <w:left w:w="20" w:type="dxa"/>
              <w:bottom w:w="40" w:type="dxa"/>
              <w:right w:w="20" w:type="dxa"/>
            </w:tcMar>
            <w:vAlign w:val="bottom"/>
          </w:tcPr>
          <w:p w14:paraId="7C208249" w14:textId="77777777" w:rsidR="00834A75" w:rsidRDefault="00A6708C">
            <w:pPr>
              <w:textAlignment w:val="bottom"/>
            </w:pPr>
            <w:r>
              <w:rPr>
                <w:rFonts w:ascii="sans-serif" w:eastAsia="sans-serif" w:hAnsi="sans-serif" w:cs="sans-serif"/>
                <w:color w:val="000000"/>
                <w:sz w:val="20"/>
                <w:szCs w:val="20"/>
              </w:rPr>
              <w:t> </w:t>
            </w:r>
          </w:p>
        </w:tc>
        <w:tc>
          <w:tcPr>
            <w:tcW w:w="0" w:type="auto"/>
            <w:gridSpan w:val="33"/>
            <w:tcBorders>
              <w:bottom w:val="single" w:sz="8" w:space="0" w:color="000000"/>
            </w:tcBorders>
            <w:shd w:val="clear" w:color="auto" w:fill="auto"/>
            <w:tcMar>
              <w:top w:w="40" w:type="dxa"/>
              <w:left w:w="20" w:type="dxa"/>
              <w:bottom w:w="40" w:type="dxa"/>
              <w:right w:w="20" w:type="dxa"/>
            </w:tcMar>
            <w:vAlign w:val="bottom"/>
          </w:tcPr>
          <w:p w14:paraId="7C20824A" w14:textId="77777777" w:rsidR="00834A75" w:rsidRDefault="00A6708C">
            <w:pPr>
              <w:jc w:val="center"/>
              <w:textAlignment w:val="bottom"/>
            </w:pPr>
            <w:r>
              <w:rPr>
                <w:rFonts w:ascii="sans-serif" w:eastAsia="sans-serif" w:hAnsi="sans-serif" w:cs="sans-serif"/>
                <w:b/>
                <w:bCs/>
                <w:color w:val="000000"/>
                <w:sz w:val="20"/>
                <w:szCs w:val="20"/>
              </w:rPr>
              <w:t>January 30, 2022</w:t>
            </w:r>
          </w:p>
        </w:tc>
      </w:tr>
      <w:tr w:rsidR="00834A75" w14:paraId="7C208256" w14:textId="77777777">
        <w:trPr>
          <w:trHeight w:val="300"/>
        </w:trPr>
        <w:tc>
          <w:tcPr>
            <w:tcW w:w="0" w:type="auto"/>
            <w:gridSpan w:val="3"/>
            <w:shd w:val="clear" w:color="auto" w:fill="auto"/>
            <w:tcMar>
              <w:top w:w="0" w:type="dxa"/>
              <w:left w:w="20" w:type="dxa"/>
              <w:bottom w:w="0" w:type="dxa"/>
              <w:right w:w="20" w:type="dxa"/>
            </w:tcMar>
            <w:vAlign w:val="bottom"/>
          </w:tcPr>
          <w:p w14:paraId="7C20824C" w14:textId="77777777" w:rsidR="00834A75" w:rsidRDefault="00834A75">
            <w:pPr>
              <w:rPr>
                <w:rFonts w:ascii="宋体"/>
              </w:rPr>
            </w:pPr>
          </w:p>
        </w:tc>
        <w:tc>
          <w:tcPr>
            <w:tcW w:w="0" w:type="auto"/>
            <w:gridSpan w:val="3"/>
            <w:vMerge w:val="restart"/>
            <w:tcBorders>
              <w:top w:val="single" w:sz="8" w:space="0" w:color="000000"/>
            </w:tcBorders>
            <w:shd w:val="clear" w:color="auto" w:fill="auto"/>
            <w:tcMar>
              <w:top w:w="40" w:type="dxa"/>
              <w:left w:w="20" w:type="dxa"/>
              <w:bottom w:w="40" w:type="dxa"/>
              <w:right w:w="20" w:type="dxa"/>
            </w:tcMar>
            <w:vAlign w:val="bottom"/>
          </w:tcPr>
          <w:p w14:paraId="7C20824D" w14:textId="77777777" w:rsidR="00834A75" w:rsidRDefault="00A6708C">
            <w:pPr>
              <w:jc w:val="center"/>
              <w:textAlignment w:val="bottom"/>
            </w:pPr>
            <w:r>
              <w:rPr>
                <w:rFonts w:ascii="sans-serif" w:eastAsia="sans-serif" w:hAnsi="sans-serif" w:cs="sans-serif"/>
                <w:b/>
                <w:bCs/>
                <w:color w:val="000000"/>
                <w:sz w:val="20"/>
                <w:szCs w:val="20"/>
              </w:rPr>
              <w:t>Amortized</w:t>
            </w:r>
            <w:r>
              <w:rPr>
                <w:rFonts w:ascii="sans-serif" w:eastAsia="sans-serif" w:hAnsi="sans-serif" w:cs="sans-serif"/>
                <w:b/>
                <w:bCs/>
                <w:color w:val="000000"/>
                <w:sz w:val="20"/>
                <w:szCs w:val="20"/>
              </w:rPr>
              <w:br/>
              <w:t>Cost</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C20824E" w14:textId="77777777" w:rsidR="00834A75" w:rsidRDefault="00834A75">
            <w:pPr>
              <w:rPr>
                <w:rFonts w:ascii="宋体"/>
              </w:rPr>
            </w:pPr>
          </w:p>
        </w:tc>
        <w:tc>
          <w:tcPr>
            <w:tcW w:w="0" w:type="auto"/>
            <w:gridSpan w:val="3"/>
            <w:vMerge w:val="restart"/>
            <w:tcBorders>
              <w:top w:val="single" w:sz="8" w:space="0" w:color="000000"/>
            </w:tcBorders>
            <w:shd w:val="clear" w:color="auto" w:fill="auto"/>
            <w:tcMar>
              <w:top w:w="40" w:type="dxa"/>
              <w:left w:w="20" w:type="dxa"/>
              <w:bottom w:w="40" w:type="dxa"/>
              <w:right w:w="20" w:type="dxa"/>
            </w:tcMar>
            <w:vAlign w:val="bottom"/>
          </w:tcPr>
          <w:p w14:paraId="7C20824F" w14:textId="77777777" w:rsidR="00834A75" w:rsidRDefault="00A6708C">
            <w:pPr>
              <w:jc w:val="center"/>
              <w:textAlignment w:val="bottom"/>
            </w:pPr>
            <w:r>
              <w:rPr>
                <w:rFonts w:ascii="sans-serif" w:eastAsia="sans-serif" w:hAnsi="sans-serif" w:cs="sans-serif"/>
                <w:b/>
                <w:bCs/>
                <w:color w:val="000000"/>
                <w:sz w:val="20"/>
                <w:szCs w:val="20"/>
              </w:rPr>
              <w:t>Unrealized</w:t>
            </w:r>
            <w:r>
              <w:rPr>
                <w:rFonts w:ascii="sans-serif" w:eastAsia="sans-serif" w:hAnsi="sans-serif" w:cs="sans-serif"/>
                <w:b/>
                <w:bCs/>
                <w:color w:val="000000"/>
                <w:sz w:val="20"/>
                <w:szCs w:val="20"/>
              </w:rPr>
              <w:br/>
              <w:t>Gain</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C208250" w14:textId="77777777" w:rsidR="00834A75" w:rsidRDefault="00834A75">
            <w:pPr>
              <w:rPr>
                <w:rFonts w:ascii="宋体"/>
              </w:rPr>
            </w:pPr>
          </w:p>
        </w:tc>
        <w:tc>
          <w:tcPr>
            <w:tcW w:w="0" w:type="auto"/>
            <w:gridSpan w:val="3"/>
            <w:vMerge w:val="restart"/>
            <w:tcBorders>
              <w:top w:val="single" w:sz="8" w:space="0" w:color="000000"/>
            </w:tcBorders>
            <w:shd w:val="clear" w:color="auto" w:fill="auto"/>
            <w:tcMar>
              <w:top w:w="40" w:type="dxa"/>
              <w:left w:w="20" w:type="dxa"/>
              <w:bottom w:w="40" w:type="dxa"/>
              <w:right w:w="20" w:type="dxa"/>
            </w:tcMar>
            <w:vAlign w:val="bottom"/>
          </w:tcPr>
          <w:p w14:paraId="7C208251" w14:textId="77777777" w:rsidR="00834A75" w:rsidRDefault="00A6708C">
            <w:pPr>
              <w:jc w:val="center"/>
              <w:textAlignment w:val="bottom"/>
            </w:pPr>
            <w:r>
              <w:rPr>
                <w:rFonts w:ascii="sans-serif" w:eastAsia="sans-serif" w:hAnsi="sans-serif" w:cs="sans-serif"/>
                <w:b/>
                <w:bCs/>
                <w:color w:val="000000"/>
                <w:sz w:val="20"/>
                <w:szCs w:val="20"/>
              </w:rPr>
              <w:t>Unrealized</w:t>
            </w:r>
            <w:r>
              <w:rPr>
                <w:rFonts w:ascii="sans-serif" w:eastAsia="sans-serif" w:hAnsi="sans-serif" w:cs="sans-serif"/>
                <w:b/>
                <w:bCs/>
                <w:color w:val="000000"/>
                <w:sz w:val="20"/>
                <w:szCs w:val="20"/>
              </w:rPr>
              <w:br/>
              <w:t>Loss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C208252" w14:textId="77777777" w:rsidR="00834A75" w:rsidRDefault="00834A75">
            <w:pPr>
              <w:rPr>
                <w:rFonts w:ascii="宋体"/>
              </w:rPr>
            </w:pPr>
          </w:p>
        </w:tc>
        <w:tc>
          <w:tcPr>
            <w:tcW w:w="0" w:type="auto"/>
            <w:gridSpan w:val="3"/>
            <w:vMerge w:val="restart"/>
            <w:tcBorders>
              <w:top w:val="single" w:sz="8" w:space="0" w:color="000000"/>
            </w:tcBorders>
            <w:shd w:val="clear" w:color="auto" w:fill="auto"/>
            <w:tcMar>
              <w:top w:w="40" w:type="dxa"/>
              <w:left w:w="20" w:type="dxa"/>
              <w:bottom w:w="40" w:type="dxa"/>
              <w:right w:w="20" w:type="dxa"/>
            </w:tcMar>
            <w:vAlign w:val="bottom"/>
          </w:tcPr>
          <w:p w14:paraId="7C208253" w14:textId="77777777" w:rsidR="00834A75" w:rsidRDefault="00A6708C">
            <w:pPr>
              <w:jc w:val="center"/>
              <w:textAlignment w:val="bottom"/>
            </w:pPr>
            <w:r>
              <w:rPr>
                <w:rFonts w:ascii="sans-serif" w:eastAsia="sans-serif" w:hAnsi="sans-serif" w:cs="sans-serif"/>
                <w:b/>
                <w:bCs/>
                <w:color w:val="000000"/>
                <w:sz w:val="20"/>
                <w:szCs w:val="20"/>
              </w:rPr>
              <w:t>Estimated</w:t>
            </w:r>
            <w:r>
              <w:rPr>
                <w:rFonts w:ascii="sans-serif" w:eastAsia="sans-serif" w:hAnsi="sans-serif" w:cs="sans-serif"/>
                <w:b/>
                <w:bCs/>
                <w:color w:val="000000"/>
                <w:sz w:val="20"/>
                <w:szCs w:val="20"/>
              </w:rPr>
              <w:br/>
              <w:t>Fair Value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C208254" w14:textId="77777777" w:rsidR="00834A75" w:rsidRDefault="00834A75">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7C208255" w14:textId="77777777" w:rsidR="00834A75" w:rsidRDefault="00A6708C">
            <w:pPr>
              <w:jc w:val="center"/>
              <w:textAlignment w:val="bottom"/>
            </w:pPr>
            <w:r>
              <w:rPr>
                <w:rFonts w:ascii="sans-serif" w:eastAsia="sans-serif" w:hAnsi="sans-serif" w:cs="sans-serif"/>
                <w:b/>
                <w:bCs/>
                <w:color w:val="000000"/>
                <w:sz w:val="20"/>
                <w:szCs w:val="20"/>
              </w:rPr>
              <w:t>Reported as</w:t>
            </w:r>
          </w:p>
        </w:tc>
      </w:tr>
      <w:tr w:rsidR="00834A75" w14:paraId="7C208263" w14:textId="77777777">
        <w:trPr>
          <w:trHeight w:val="520"/>
        </w:trPr>
        <w:tc>
          <w:tcPr>
            <w:tcW w:w="0" w:type="auto"/>
            <w:gridSpan w:val="3"/>
            <w:shd w:val="clear" w:color="auto" w:fill="auto"/>
            <w:tcMar>
              <w:top w:w="40" w:type="dxa"/>
              <w:left w:w="20" w:type="dxa"/>
              <w:bottom w:w="40" w:type="dxa"/>
              <w:right w:w="20" w:type="dxa"/>
            </w:tcMar>
            <w:vAlign w:val="bottom"/>
          </w:tcPr>
          <w:p w14:paraId="7C208257" w14:textId="77777777" w:rsidR="00834A75" w:rsidRDefault="00A6708C">
            <w:pPr>
              <w:textAlignment w:val="bottom"/>
            </w:pPr>
            <w:r>
              <w:rPr>
                <w:rFonts w:ascii="sans-serif" w:eastAsia="sans-serif" w:hAnsi="sans-serif" w:cs="sans-serif"/>
                <w:color w:val="000000"/>
                <w:sz w:val="20"/>
                <w:szCs w:val="20"/>
              </w:rPr>
              <w:t> </w:t>
            </w:r>
          </w:p>
        </w:tc>
        <w:tc>
          <w:tcPr>
            <w:tcW w:w="0" w:type="auto"/>
            <w:gridSpan w:val="3"/>
            <w:vMerge/>
            <w:tcBorders>
              <w:top w:val="single" w:sz="8" w:space="0" w:color="000000"/>
            </w:tcBorders>
            <w:shd w:val="clear" w:color="auto" w:fill="auto"/>
            <w:tcMar>
              <w:top w:w="40" w:type="dxa"/>
              <w:left w:w="20" w:type="dxa"/>
              <w:bottom w:w="40" w:type="dxa"/>
              <w:right w:w="20" w:type="dxa"/>
            </w:tcMar>
            <w:vAlign w:val="bottom"/>
          </w:tcPr>
          <w:p w14:paraId="7C208258" w14:textId="77777777" w:rsidR="00834A75" w:rsidRDefault="00834A75">
            <w:pPr>
              <w:jc w:val="center"/>
              <w:rPr>
                <w:rFonts w:ascii="宋体"/>
              </w:rPr>
            </w:pPr>
          </w:p>
        </w:tc>
        <w:tc>
          <w:tcPr>
            <w:tcW w:w="0" w:type="auto"/>
            <w:gridSpan w:val="3"/>
            <w:shd w:val="clear" w:color="auto" w:fill="auto"/>
            <w:tcMar>
              <w:top w:w="0" w:type="dxa"/>
              <w:left w:w="20" w:type="dxa"/>
              <w:bottom w:w="0" w:type="dxa"/>
              <w:right w:w="20" w:type="dxa"/>
            </w:tcMar>
            <w:vAlign w:val="bottom"/>
          </w:tcPr>
          <w:p w14:paraId="7C208259" w14:textId="77777777" w:rsidR="00834A75" w:rsidRDefault="00834A75">
            <w:pPr>
              <w:rPr>
                <w:rFonts w:ascii="宋体"/>
              </w:rPr>
            </w:pPr>
          </w:p>
        </w:tc>
        <w:tc>
          <w:tcPr>
            <w:tcW w:w="0" w:type="auto"/>
            <w:gridSpan w:val="3"/>
            <w:vMerge/>
            <w:tcBorders>
              <w:top w:val="single" w:sz="8" w:space="0" w:color="000000"/>
            </w:tcBorders>
            <w:shd w:val="clear" w:color="auto" w:fill="auto"/>
            <w:tcMar>
              <w:top w:w="40" w:type="dxa"/>
              <w:left w:w="20" w:type="dxa"/>
              <w:bottom w:w="40" w:type="dxa"/>
              <w:right w:w="20" w:type="dxa"/>
            </w:tcMar>
            <w:vAlign w:val="bottom"/>
          </w:tcPr>
          <w:p w14:paraId="7C20825A" w14:textId="77777777" w:rsidR="00834A75" w:rsidRDefault="00834A75">
            <w:pPr>
              <w:jc w:val="center"/>
              <w:rPr>
                <w:rFonts w:ascii="宋体"/>
              </w:rPr>
            </w:pPr>
          </w:p>
        </w:tc>
        <w:tc>
          <w:tcPr>
            <w:tcW w:w="0" w:type="auto"/>
            <w:gridSpan w:val="3"/>
            <w:shd w:val="clear" w:color="auto" w:fill="auto"/>
            <w:tcMar>
              <w:top w:w="0" w:type="dxa"/>
              <w:left w:w="20" w:type="dxa"/>
              <w:bottom w:w="0" w:type="dxa"/>
              <w:right w:w="20" w:type="dxa"/>
            </w:tcMar>
            <w:vAlign w:val="bottom"/>
          </w:tcPr>
          <w:p w14:paraId="7C20825B" w14:textId="77777777" w:rsidR="00834A75" w:rsidRDefault="00834A75">
            <w:pPr>
              <w:rPr>
                <w:rFonts w:ascii="宋体"/>
              </w:rPr>
            </w:pPr>
          </w:p>
        </w:tc>
        <w:tc>
          <w:tcPr>
            <w:tcW w:w="0" w:type="auto"/>
            <w:gridSpan w:val="3"/>
            <w:vMerge/>
            <w:tcBorders>
              <w:top w:val="single" w:sz="8" w:space="0" w:color="000000"/>
            </w:tcBorders>
            <w:shd w:val="clear" w:color="auto" w:fill="auto"/>
            <w:tcMar>
              <w:top w:w="40" w:type="dxa"/>
              <w:left w:w="20" w:type="dxa"/>
              <w:bottom w:w="40" w:type="dxa"/>
              <w:right w:w="20" w:type="dxa"/>
            </w:tcMar>
            <w:vAlign w:val="bottom"/>
          </w:tcPr>
          <w:p w14:paraId="7C20825C" w14:textId="77777777" w:rsidR="00834A75" w:rsidRDefault="00834A75">
            <w:pPr>
              <w:jc w:val="center"/>
              <w:rPr>
                <w:rFonts w:ascii="宋体"/>
              </w:rPr>
            </w:pPr>
          </w:p>
        </w:tc>
        <w:tc>
          <w:tcPr>
            <w:tcW w:w="0" w:type="auto"/>
            <w:gridSpan w:val="3"/>
            <w:shd w:val="clear" w:color="auto" w:fill="auto"/>
            <w:tcMar>
              <w:top w:w="0" w:type="dxa"/>
              <w:left w:w="20" w:type="dxa"/>
              <w:bottom w:w="0" w:type="dxa"/>
              <w:right w:w="20" w:type="dxa"/>
            </w:tcMar>
            <w:vAlign w:val="bottom"/>
          </w:tcPr>
          <w:p w14:paraId="7C20825D" w14:textId="77777777" w:rsidR="00834A75" w:rsidRDefault="00834A75">
            <w:pPr>
              <w:rPr>
                <w:rFonts w:ascii="宋体"/>
              </w:rPr>
            </w:pPr>
          </w:p>
        </w:tc>
        <w:tc>
          <w:tcPr>
            <w:tcW w:w="0" w:type="auto"/>
            <w:gridSpan w:val="3"/>
            <w:vMerge/>
            <w:tcBorders>
              <w:top w:val="single" w:sz="8" w:space="0" w:color="000000"/>
            </w:tcBorders>
            <w:shd w:val="clear" w:color="auto" w:fill="auto"/>
            <w:tcMar>
              <w:top w:w="40" w:type="dxa"/>
              <w:left w:w="20" w:type="dxa"/>
              <w:bottom w:w="40" w:type="dxa"/>
              <w:right w:w="20" w:type="dxa"/>
            </w:tcMar>
            <w:vAlign w:val="bottom"/>
          </w:tcPr>
          <w:p w14:paraId="7C20825E" w14:textId="77777777" w:rsidR="00834A75" w:rsidRDefault="00834A75">
            <w:pPr>
              <w:jc w:val="center"/>
              <w:rPr>
                <w:rFonts w:ascii="宋体"/>
              </w:rPr>
            </w:pPr>
          </w:p>
        </w:tc>
        <w:tc>
          <w:tcPr>
            <w:tcW w:w="0" w:type="auto"/>
            <w:gridSpan w:val="3"/>
            <w:shd w:val="clear" w:color="auto" w:fill="auto"/>
            <w:tcMar>
              <w:top w:w="0" w:type="dxa"/>
              <w:left w:w="20" w:type="dxa"/>
              <w:bottom w:w="0" w:type="dxa"/>
              <w:right w:w="20" w:type="dxa"/>
            </w:tcMar>
            <w:vAlign w:val="bottom"/>
          </w:tcPr>
          <w:p w14:paraId="7C20825F" w14:textId="77777777" w:rsidR="00834A75" w:rsidRDefault="00834A75">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C208260" w14:textId="77777777" w:rsidR="00834A75" w:rsidRDefault="00A6708C">
            <w:pPr>
              <w:jc w:val="center"/>
              <w:textAlignment w:val="bottom"/>
            </w:pPr>
            <w:r>
              <w:rPr>
                <w:rFonts w:ascii="sans-serif" w:eastAsia="sans-serif" w:hAnsi="sans-serif" w:cs="sans-serif"/>
                <w:b/>
                <w:bCs/>
                <w:color w:val="000000"/>
                <w:sz w:val="20"/>
                <w:szCs w:val="20"/>
              </w:rPr>
              <w:t>Cash Equivalents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C208261" w14:textId="77777777" w:rsidR="00834A75" w:rsidRDefault="00834A75">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C208262" w14:textId="77777777" w:rsidR="00834A75" w:rsidRDefault="00A6708C">
            <w:pPr>
              <w:jc w:val="center"/>
              <w:textAlignment w:val="bottom"/>
            </w:pPr>
            <w:r>
              <w:rPr>
                <w:rFonts w:ascii="sans-serif" w:eastAsia="sans-serif" w:hAnsi="sans-serif" w:cs="sans-serif"/>
                <w:b/>
                <w:bCs/>
                <w:color w:val="000000"/>
                <w:sz w:val="20"/>
                <w:szCs w:val="20"/>
              </w:rPr>
              <w:t>Marketable Securities</w:t>
            </w:r>
          </w:p>
        </w:tc>
      </w:tr>
      <w:tr w:rsidR="00834A75" w14:paraId="7C208270" w14:textId="77777777">
        <w:trPr>
          <w:trHeight w:val="60"/>
        </w:trPr>
        <w:tc>
          <w:tcPr>
            <w:tcW w:w="0" w:type="auto"/>
            <w:gridSpan w:val="3"/>
            <w:shd w:val="clear" w:color="auto" w:fill="auto"/>
            <w:tcMar>
              <w:top w:w="0" w:type="dxa"/>
              <w:left w:w="20" w:type="dxa"/>
              <w:bottom w:w="0" w:type="dxa"/>
              <w:right w:w="20" w:type="dxa"/>
            </w:tcMar>
            <w:vAlign w:val="bottom"/>
          </w:tcPr>
          <w:p w14:paraId="7C208264" w14:textId="77777777" w:rsidR="00834A75" w:rsidRDefault="00834A75">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C208265" w14:textId="77777777" w:rsidR="00834A75" w:rsidRDefault="00834A75">
            <w:pPr>
              <w:rPr>
                <w:rFonts w:ascii="宋体"/>
              </w:rPr>
            </w:pPr>
          </w:p>
        </w:tc>
        <w:tc>
          <w:tcPr>
            <w:tcW w:w="0" w:type="auto"/>
            <w:gridSpan w:val="3"/>
            <w:shd w:val="clear" w:color="auto" w:fill="auto"/>
            <w:tcMar>
              <w:top w:w="0" w:type="dxa"/>
              <w:left w:w="20" w:type="dxa"/>
              <w:bottom w:w="0" w:type="dxa"/>
              <w:right w:w="20" w:type="dxa"/>
            </w:tcMar>
            <w:vAlign w:val="bottom"/>
          </w:tcPr>
          <w:p w14:paraId="7C208266" w14:textId="77777777" w:rsidR="00834A75" w:rsidRDefault="00834A75">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C208267" w14:textId="77777777" w:rsidR="00834A75" w:rsidRDefault="00834A75">
            <w:pPr>
              <w:rPr>
                <w:rFonts w:ascii="宋体"/>
              </w:rPr>
            </w:pPr>
          </w:p>
        </w:tc>
        <w:tc>
          <w:tcPr>
            <w:tcW w:w="0" w:type="auto"/>
            <w:gridSpan w:val="3"/>
            <w:shd w:val="clear" w:color="auto" w:fill="auto"/>
            <w:tcMar>
              <w:top w:w="0" w:type="dxa"/>
              <w:left w:w="20" w:type="dxa"/>
              <w:bottom w:w="0" w:type="dxa"/>
              <w:right w:w="20" w:type="dxa"/>
            </w:tcMar>
            <w:vAlign w:val="bottom"/>
          </w:tcPr>
          <w:p w14:paraId="7C208268" w14:textId="77777777" w:rsidR="00834A75" w:rsidRDefault="00834A75">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C208269" w14:textId="77777777" w:rsidR="00834A75" w:rsidRDefault="00834A75">
            <w:pPr>
              <w:rPr>
                <w:rFonts w:ascii="宋体"/>
              </w:rPr>
            </w:pPr>
          </w:p>
        </w:tc>
        <w:tc>
          <w:tcPr>
            <w:tcW w:w="0" w:type="auto"/>
            <w:gridSpan w:val="3"/>
            <w:shd w:val="clear" w:color="auto" w:fill="auto"/>
            <w:tcMar>
              <w:top w:w="0" w:type="dxa"/>
              <w:left w:w="20" w:type="dxa"/>
              <w:bottom w:w="0" w:type="dxa"/>
              <w:right w:w="20" w:type="dxa"/>
            </w:tcMar>
            <w:vAlign w:val="bottom"/>
          </w:tcPr>
          <w:p w14:paraId="7C20826A" w14:textId="77777777" w:rsidR="00834A75" w:rsidRDefault="00834A75">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C20826B" w14:textId="77777777" w:rsidR="00834A75" w:rsidRDefault="00834A75">
            <w:pPr>
              <w:rPr>
                <w:rFonts w:ascii="宋体"/>
              </w:rPr>
            </w:pPr>
          </w:p>
        </w:tc>
        <w:tc>
          <w:tcPr>
            <w:tcW w:w="0" w:type="auto"/>
            <w:gridSpan w:val="3"/>
            <w:shd w:val="clear" w:color="auto" w:fill="auto"/>
            <w:tcMar>
              <w:top w:w="0" w:type="dxa"/>
              <w:left w:w="20" w:type="dxa"/>
              <w:bottom w:w="0" w:type="dxa"/>
              <w:right w:w="20" w:type="dxa"/>
            </w:tcMar>
            <w:vAlign w:val="bottom"/>
          </w:tcPr>
          <w:p w14:paraId="7C20826C" w14:textId="77777777" w:rsidR="00834A75" w:rsidRDefault="00834A75">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C20826D" w14:textId="77777777" w:rsidR="00834A75" w:rsidRDefault="00834A75">
            <w:pPr>
              <w:rPr>
                <w:rFonts w:ascii="宋体"/>
              </w:rPr>
            </w:pPr>
          </w:p>
        </w:tc>
        <w:tc>
          <w:tcPr>
            <w:tcW w:w="0" w:type="auto"/>
            <w:gridSpan w:val="3"/>
            <w:shd w:val="clear" w:color="auto" w:fill="auto"/>
            <w:tcMar>
              <w:top w:w="0" w:type="dxa"/>
              <w:left w:w="20" w:type="dxa"/>
              <w:bottom w:w="0" w:type="dxa"/>
              <w:right w:w="20" w:type="dxa"/>
            </w:tcMar>
            <w:vAlign w:val="bottom"/>
          </w:tcPr>
          <w:p w14:paraId="7C20826E" w14:textId="77777777" w:rsidR="00834A75" w:rsidRDefault="00834A75">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C20826F" w14:textId="77777777" w:rsidR="00834A75" w:rsidRDefault="00834A75">
            <w:pPr>
              <w:rPr>
                <w:rFonts w:ascii="宋体"/>
              </w:rPr>
            </w:pPr>
          </w:p>
        </w:tc>
      </w:tr>
      <w:tr w:rsidR="00834A75" w14:paraId="7C208273" w14:textId="77777777">
        <w:tc>
          <w:tcPr>
            <w:tcW w:w="0" w:type="auto"/>
            <w:gridSpan w:val="3"/>
            <w:shd w:val="clear" w:color="auto" w:fill="auto"/>
            <w:tcMar>
              <w:top w:w="40" w:type="dxa"/>
              <w:left w:w="20" w:type="dxa"/>
              <w:bottom w:w="40" w:type="dxa"/>
              <w:right w:w="20" w:type="dxa"/>
            </w:tcMar>
            <w:vAlign w:val="bottom"/>
          </w:tcPr>
          <w:p w14:paraId="7C208271" w14:textId="77777777" w:rsidR="00834A75" w:rsidRDefault="00A6708C">
            <w:pPr>
              <w:textAlignment w:val="bottom"/>
            </w:pPr>
            <w:r>
              <w:rPr>
                <w:rFonts w:ascii="sans-serif" w:eastAsia="sans-serif" w:hAnsi="sans-serif" w:cs="sans-serif"/>
                <w:color w:val="000000"/>
                <w:sz w:val="20"/>
                <w:szCs w:val="20"/>
              </w:rPr>
              <w:t> </w:t>
            </w:r>
          </w:p>
        </w:tc>
        <w:tc>
          <w:tcPr>
            <w:tcW w:w="0" w:type="auto"/>
            <w:gridSpan w:val="33"/>
            <w:shd w:val="clear" w:color="auto" w:fill="auto"/>
            <w:tcMar>
              <w:top w:w="40" w:type="dxa"/>
              <w:left w:w="20" w:type="dxa"/>
              <w:bottom w:w="40" w:type="dxa"/>
              <w:right w:w="20" w:type="dxa"/>
            </w:tcMar>
            <w:vAlign w:val="bottom"/>
          </w:tcPr>
          <w:p w14:paraId="7C208272" w14:textId="77777777" w:rsidR="00834A75" w:rsidRDefault="00A6708C">
            <w:pPr>
              <w:jc w:val="center"/>
              <w:textAlignment w:val="bottom"/>
            </w:pPr>
            <w:r>
              <w:rPr>
                <w:rFonts w:ascii="sans-serif" w:eastAsia="sans-serif" w:hAnsi="sans-serif" w:cs="sans-serif"/>
                <w:i/>
                <w:iCs/>
                <w:color w:val="000000"/>
                <w:sz w:val="20"/>
                <w:szCs w:val="20"/>
              </w:rPr>
              <w:t>(In millions)</w:t>
            </w:r>
          </w:p>
        </w:tc>
      </w:tr>
      <w:tr w:rsidR="00834A75" w14:paraId="7C20828C" w14:textId="77777777">
        <w:tc>
          <w:tcPr>
            <w:tcW w:w="0" w:type="auto"/>
            <w:gridSpan w:val="3"/>
            <w:shd w:val="clear" w:color="auto" w:fill="E2EFD9"/>
            <w:tcMar>
              <w:top w:w="40" w:type="dxa"/>
              <w:left w:w="20" w:type="dxa"/>
              <w:bottom w:w="40" w:type="dxa"/>
              <w:right w:w="20" w:type="dxa"/>
            </w:tcMar>
            <w:vAlign w:val="bottom"/>
          </w:tcPr>
          <w:p w14:paraId="7C208274" w14:textId="77777777" w:rsidR="00834A75" w:rsidRDefault="00A6708C">
            <w:pPr>
              <w:textAlignment w:val="bottom"/>
            </w:pPr>
            <w:r>
              <w:rPr>
                <w:rFonts w:ascii="sans-serif" w:eastAsia="sans-serif" w:hAnsi="sans-serif" w:cs="sans-serif"/>
                <w:color w:val="000000"/>
                <w:sz w:val="20"/>
                <w:szCs w:val="20"/>
              </w:rPr>
              <w:t>Corporate debt securities</w:t>
            </w:r>
          </w:p>
        </w:tc>
        <w:tc>
          <w:tcPr>
            <w:tcW w:w="0" w:type="auto"/>
            <w:shd w:val="clear" w:color="auto" w:fill="E2EFD9"/>
            <w:tcMar>
              <w:top w:w="40" w:type="dxa"/>
              <w:left w:w="20" w:type="dxa"/>
              <w:bottom w:w="40" w:type="dxa"/>
              <w:right w:w="0" w:type="dxa"/>
            </w:tcMar>
            <w:vAlign w:val="bottom"/>
          </w:tcPr>
          <w:p w14:paraId="7C208275" w14:textId="77777777" w:rsidR="00834A75" w:rsidRDefault="00A6708C">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7C208276" w14:textId="77777777" w:rsidR="00834A75" w:rsidRDefault="00A6708C">
            <w:pPr>
              <w:jc w:val="right"/>
              <w:textAlignment w:val="bottom"/>
            </w:pPr>
            <w:r>
              <w:rPr>
                <w:rFonts w:ascii="sans-serif" w:eastAsia="sans-serif" w:hAnsi="sans-serif" w:cs="sans-serif"/>
                <w:color w:val="000000"/>
                <w:sz w:val="20"/>
                <w:szCs w:val="20"/>
              </w:rPr>
              <w:t>9,977 </w:t>
            </w:r>
          </w:p>
        </w:tc>
        <w:tc>
          <w:tcPr>
            <w:tcW w:w="0" w:type="auto"/>
            <w:shd w:val="clear" w:color="auto" w:fill="E2EFD9"/>
            <w:tcMar>
              <w:top w:w="40" w:type="dxa"/>
              <w:left w:w="0" w:type="dxa"/>
              <w:bottom w:w="40" w:type="dxa"/>
              <w:right w:w="20" w:type="dxa"/>
            </w:tcMar>
            <w:vAlign w:val="bottom"/>
          </w:tcPr>
          <w:p w14:paraId="7C208277" w14:textId="77777777" w:rsidR="00834A75" w:rsidRDefault="00834A75">
            <w:pPr>
              <w:jc w:val="right"/>
              <w:rPr>
                <w:rFonts w:ascii="宋体"/>
              </w:rPr>
            </w:pPr>
          </w:p>
        </w:tc>
        <w:tc>
          <w:tcPr>
            <w:tcW w:w="0" w:type="auto"/>
            <w:gridSpan w:val="3"/>
            <w:shd w:val="clear" w:color="auto" w:fill="E2EFD9"/>
            <w:tcMar>
              <w:top w:w="0" w:type="dxa"/>
              <w:left w:w="20" w:type="dxa"/>
              <w:bottom w:w="0" w:type="dxa"/>
              <w:right w:w="20" w:type="dxa"/>
            </w:tcMar>
            <w:vAlign w:val="bottom"/>
          </w:tcPr>
          <w:p w14:paraId="7C208278" w14:textId="77777777" w:rsidR="00834A75" w:rsidRDefault="00834A75">
            <w:pPr>
              <w:rPr>
                <w:rFonts w:ascii="宋体"/>
              </w:rPr>
            </w:pPr>
          </w:p>
        </w:tc>
        <w:tc>
          <w:tcPr>
            <w:tcW w:w="0" w:type="auto"/>
            <w:shd w:val="clear" w:color="auto" w:fill="E2EFD9"/>
            <w:tcMar>
              <w:top w:w="40" w:type="dxa"/>
              <w:left w:w="20" w:type="dxa"/>
              <w:bottom w:w="40" w:type="dxa"/>
              <w:right w:w="0" w:type="dxa"/>
            </w:tcMar>
            <w:vAlign w:val="bottom"/>
          </w:tcPr>
          <w:p w14:paraId="7C208279" w14:textId="77777777" w:rsidR="00834A75" w:rsidRDefault="00A6708C">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7C20827A" w14:textId="77777777" w:rsidR="00834A75" w:rsidRDefault="00A6708C">
            <w:pPr>
              <w:jc w:val="right"/>
              <w:textAlignment w:val="bottom"/>
            </w:pPr>
            <w:r>
              <w:rPr>
                <w:rFonts w:ascii="sans-serif" w:eastAsia="sans-serif" w:hAnsi="sans-serif" w:cs="sans-serif"/>
                <w:color w:val="000000"/>
                <w:sz w:val="20"/>
                <w:szCs w:val="20"/>
              </w:rPr>
              <w:t>— </w:t>
            </w:r>
          </w:p>
        </w:tc>
        <w:tc>
          <w:tcPr>
            <w:tcW w:w="0" w:type="auto"/>
            <w:shd w:val="clear" w:color="auto" w:fill="E2EFD9"/>
            <w:tcMar>
              <w:top w:w="40" w:type="dxa"/>
              <w:left w:w="0" w:type="dxa"/>
              <w:bottom w:w="40" w:type="dxa"/>
              <w:right w:w="20" w:type="dxa"/>
            </w:tcMar>
            <w:vAlign w:val="bottom"/>
          </w:tcPr>
          <w:p w14:paraId="7C20827B" w14:textId="77777777" w:rsidR="00834A75" w:rsidRDefault="00834A75">
            <w:pPr>
              <w:jc w:val="right"/>
              <w:rPr>
                <w:rFonts w:ascii="宋体"/>
              </w:rPr>
            </w:pPr>
          </w:p>
        </w:tc>
        <w:tc>
          <w:tcPr>
            <w:tcW w:w="0" w:type="auto"/>
            <w:gridSpan w:val="3"/>
            <w:shd w:val="clear" w:color="auto" w:fill="E2EFD9"/>
            <w:tcMar>
              <w:top w:w="0" w:type="dxa"/>
              <w:left w:w="20" w:type="dxa"/>
              <w:bottom w:w="0" w:type="dxa"/>
              <w:right w:w="20" w:type="dxa"/>
            </w:tcMar>
            <w:vAlign w:val="bottom"/>
          </w:tcPr>
          <w:p w14:paraId="7C20827C" w14:textId="77777777" w:rsidR="00834A75" w:rsidRDefault="00834A75">
            <w:pPr>
              <w:rPr>
                <w:rFonts w:ascii="宋体"/>
              </w:rPr>
            </w:pPr>
          </w:p>
        </w:tc>
        <w:tc>
          <w:tcPr>
            <w:tcW w:w="0" w:type="auto"/>
            <w:shd w:val="clear" w:color="auto" w:fill="E2EFD9"/>
            <w:tcMar>
              <w:top w:w="40" w:type="dxa"/>
              <w:left w:w="20" w:type="dxa"/>
              <w:bottom w:w="40" w:type="dxa"/>
              <w:right w:w="0" w:type="dxa"/>
            </w:tcMar>
            <w:vAlign w:val="bottom"/>
          </w:tcPr>
          <w:p w14:paraId="7C20827D" w14:textId="77777777" w:rsidR="00834A75" w:rsidRDefault="00A6708C">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7C20827E" w14:textId="77777777" w:rsidR="00834A75" w:rsidRDefault="00A6708C">
            <w:pPr>
              <w:jc w:val="right"/>
              <w:textAlignment w:val="bottom"/>
            </w:pPr>
            <w:r>
              <w:rPr>
                <w:rFonts w:ascii="sans-serif" w:eastAsia="sans-serif" w:hAnsi="sans-serif" w:cs="sans-serif"/>
                <w:color w:val="000000"/>
                <w:sz w:val="20"/>
                <w:szCs w:val="20"/>
              </w:rPr>
              <w:t>(3)</w:t>
            </w:r>
          </w:p>
        </w:tc>
        <w:tc>
          <w:tcPr>
            <w:tcW w:w="0" w:type="auto"/>
            <w:shd w:val="clear" w:color="auto" w:fill="E2EFD9"/>
            <w:tcMar>
              <w:top w:w="40" w:type="dxa"/>
              <w:left w:w="0" w:type="dxa"/>
              <w:bottom w:w="40" w:type="dxa"/>
              <w:right w:w="20" w:type="dxa"/>
            </w:tcMar>
            <w:vAlign w:val="bottom"/>
          </w:tcPr>
          <w:p w14:paraId="7C20827F" w14:textId="77777777" w:rsidR="00834A75" w:rsidRDefault="00834A75">
            <w:pPr>
              <w:jc w:val="right"/>
              <w:rPr>
                <w:rFonts w:ascii="宋体"/>
              </w:rPr>
            </w:pPr>
          </w:p>
        </w:tc>
        <w:tc>
          <w:tcPr>
            <w:tcW w:w="0" w:type="auto"/>
            <w:gridSpan w:val="3"/>
            <w:shd w:val="clear" w:color="auto" w:fill="E2EFD9"/>
            <w:tcMar>
              <w:top w:w="0" w:type="dxa"/>
              <w:left w:w="20" w:type="dxa"/>
              <w:bottom w:w="0" w:type="dxa"/>
              <w:right w:w="20" w:type="dxa"/>
            </w:tcMar>
            <w:vAlign w:val="bottom"/>
          </w:tcPr>
          <w:p w14:paraId="7C208280" w14:textId="77777777" w:rsidR="00834A75" w:rsidRDefault="00834A75">
            <w:pPr>
              <w:rPr>
                <w:rFonts w:ascii="宋体"/>
              </w:rPr>
            </w:pPr>
          </w:p>
        </w:tc>
        <w:tc>
          <w:tcPr>
            <w:tcW w:w="0" w:type="auto"/>
            <w:shd w:val="clear" w:color="auto" w:fill="E2EFD9"/>
            <w:tcMar>
              <w:top w:w="40" w:type="dxa"/>
              <w:left w:w="20" w:type="dxa"/>
              <w:bottom w:w="40" w:type="dxa"/>
              <w:right w:w="0" w:type="dxa"/>
            </w:tcMar>
            <w:vAlign w:val="bottom"/>
          </w:tcPr>
          <w:p w14:paraId="7C208281" w14:textId="77777777" w:rsidR="00834A75" w:rsidRDefault="00A6708C">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7C208282" w14:textId="77777777" w:rsidR="00834A75" w:rsidRDefault="00A6708C">
            <w:pPr>
              <w:jc w:val="right"/>
              <w:textAlignment w:val="bottom"/>
            </w:pPr>
            <w:r>
              <w:rPr>
                <w:rFonts w:ascii="sans-serif" w:eastAsia="sans-serif" w:hAnsi="sans-serif" w:cs="sans-serif"/>
                <w:color w:val="000000"/>
                <w:sz w:val="20"/>
                <w:szCs w:val="20"/>
              </w:rPr>
              <w:t>9,974 </w:t>
            </w:r>
          </w:p>
        </w:tc>
        <w:tc>
          <w:tcPr>
            <w:tcW w:w="0" w:type="auto"/>
            <w:shd w:val="clear" w:color="auto" w:fill="E2EFD9"/>
            <w:tcMar>
              <w:top w:w="40" w:type="dxa"/>
              <w:left w:w="0" w:type="dxa"/>
              <w:bottom w:w="40" w:type="dxa"/>
              <w:right w:w="20" w:type="dxa"/>
            </w:tcMar>
            <w:vAlign w:val="bottom"/>
          </w:tcPr>
          <w:p w14:paraId="7C208283" w14:textId="77777777" w:rsidR="00834A75" w:rsidRDefault="00834A75">
            <w:pPr>
              <w:jc w:val="right"/>
              <w:rPr>
                <w:rFonts w:ascii="宋体"/>
              </w:rPr>
            </w:pPr>
          </w:p>
        </w:tc>
        <w:tc>
          <w:tcPr>
            <w:tcW w:w="0" w:type="auto"/>
            <w:gridSpan w:val="3"/>
            <w:shd w:val="clear" w:color="auto" w:fill="E2EFD9"/>
            <w:tcMar>
              <w:top w:w="0" w:type="dxa"/>
              <w:left w:w="20" w:type="dxa"/>
              <w:bottom w:w="0" w:type="dxa"/>
              <w:right w:w="20" w:type="dxa"/>
            </w:tcMar>
            <w:vAlign w:val="bottom"/>
          </w:tcPr>
          <w:p w14:paraId="7C208284" w14:textId="77777777" w:rsidR="00834A75" w:rsidRDefault="00834A75">
            <w:pPr>
              <w:rPr>
                <w:rFonts w:ascii="宋体"/>
              </w:rPr>
            </w:pPr>
          </w:p>
        </w:tc>
        <w:tc>
          <w:tcPr>
            <w:tcW w:w="0" w:type="auto"/>
            <w:shd w:val="clear" w:color="auto" w:fill="E2EFD9"/>
            <w:tcMar>
              <w:top w:w="40" w:type="dxa"/>
              <w:left w:w="20" w:type="dxa"/>
              <w:bottom w:w="40" w:type="dxa"/>
              <w:right w:w="0" w:type="dxa"/>
            </w:tcMar>
            <w:vAlign w:val="bottom"/>
          </w:tcPr>
          <w:p w14:paraId="7C208285" w14:textId="77777777" w:rsidR="00834A75" w:rsidRDefault="00A6708C">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7C208286" w14:textId="77777777" w:rsidR="00834A75" w:rsidRDefault="00A6708C">
            <w:pPr>
              <w:jc w:val="right"/>
              <w:textAlignment w:val="bottom"/>
            </w:pPr>
            <w:r>
              <w:rPr>
                <w:rFonts w:ascii="sans-serif" w:eastAsia="sans-serif" w:hAnsi="sans-serif" w:cs="sans-serif"/>
                <w:color w:val="000000"/>
                <w:sz w:val="20"/>
                <w:szCs w:val="20"/>
              </w:rPr>
              <w:t>1,102 </w:t>
            </w:r>
          </w:p>
        </w:tc>
        <w:tc>
          <w:tcPr>
            <w:tcW w:w="0" w:type="auto"/>
            <w:shd w:val="clear" w:color="auto" w:fill="E2EFD9"/>
            <w:tcMar>
              <w:top w:w="40" w:type="dxa"/>
              <w:left w:w="0" w:type="dxa"/>
              <w:bottom w:w="40" w:type="dxa"/>
              <w:right w:w="20" w:type="dxa"/>
            </w:tcMar>
            <w:vAlign w:val="bottom"/>
          </w:tcPr>
          <w:p w14:paraId="7C208287" w14:textId="77777777" w:rsidR="00834A75" w:rsidRDefault="00834A75">
            <w:pPr>
              <w:jc w:val="right"/>
              <w:rPr>
                <w:rFonts w:ascii="宋体"/>
              </w:rPr>
            </w:pPr>
          </w:p>
        </w:tc>
        <w:tc>
          <w:tcPr>
            <w:tcW w:w="0" w:type="auto"/>
            <w:gridSpan w:val="3"/>
            <w:shd w:val="clear" w:color="auto" w:fill="E2EFD9"/>
            <w:tcMar>
              <w:top w:w="0" w:type="dxa"/>
              <w:left w:w="20" w:type="dxa"/>
              <w:bottom w:w="0" w:type="dxa"/>
              <w:right w:w="20" w:type="dxa"/>
            </w:tcMar>
            <w:vAlign w:val="bottom"/>
          </w:tcPr>
          <w:p w14:paraId="7C208288" w14:textId="77777777" w:rsidR="00834A75" w:rsidRDefault="00834A75">
            <w:pPr>
              <w:rPr>
                <w:rFonts w:ascii="宋体"/>
              </w:rPr>
            </w:pPr>
          </w:p>
        </w:tc>
        <w:tc>
          <w:tcPr>
            <w:tcW w:w="0" w:type="auto"/>
            <w:shd w:val="clear" w:color="auto" w:fill="E2EFD9"/>
            <w:tcMar>
              <w:top w:w="40" w:type="dxa"/>
              <w:left w:w="20" w:type="dxa"/>
              <w:bottom w:w="40" w:type="dxa"/>
              <w:right w:w="0" w:type="dxa"/>
            </w:tcMar>
            <w:vAlign w:val="bottom"/>
          </w:tcPr>
          <w:p w14:paraId="7C208289" w14:textId="77777777" w:rsidR="00834A75" w:rsidRDefault="00A6708C">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7C20828A" w14:textId="77777777" w:rsidR="00834A75" w:rsidRDefault="00A6708C">
            <w:pPr>
              <w:jc w:val="right"/>
              <w:textAlignment w:val="bottom"/>
            </w:pPr>
            <w:r>
              <w:rPr>
                <w:rFonts w:ascii="sans-serif" w:eastAsia="sans-serif" w:hAnsi="sans-serif" w:cs="sans-serif"/>
                <w:color w:val="000000"/>
                <w:sz w:val="20"/>
                <w:szCs w:val="20"/>
              </w:rPr>
              <w:t>8,872 </w:t>
            </w:r>
          </w:p>
        </w:tc>
        <w:tc>
          <w:tcPr>
            <w:tcW w:w="0" w:type="auto"/>
            <w:shd w:val="clear" w:color="auto" w:fill="E2EFD9"/>
            <w:tcMar>
              <w:top w:w="40" w:type="dxa"/>
              <w:left w:w="0" w:type="dxa"/>
              <w:bottom w:w="40" w:type="dxa"/>
              <w:right w:w="20" w:type="dxa"/>
            </w:tcMar>
            <w:vAlign w:val="bottom"/>
          </w:tcPr>
          <w:p w14:paraId="7C20828B" w14:textId="77777777" w:rsidR="00834A75" w:rsidRDefault="00834A75">
            <w:pPr>
              <w:jc w:val="right"/>
              <w:rPr>
                <w:rFonts w:ascii="宋体"/>
              </w:rPr>
            </w:pPr>
          </w:p>
        </w:tc>
      </w:tr>
      <w:tr w:rsidR="00834A75" w14:paraId="7C20829F" w14:textId="77777777">
        <w:tc>
          <w:tcPr>
            <w:tcW w:w="0" w:type="auto"/>
            <w:gridSpan w:val="3"/>
            <w:shd w:val="clear" w:color="auto" w:fill="FFFFFF"/>
            <w:tcMar>
              <w:top w:w="40" w:type="dxa"/>
              <w:left w:w="20" w:type="dxa"/>
              <w:bottom w:w="40" w:type="dxa"/>
              <w:right w:w="20" w:type="dxa"/>
            </w:tcMar>
            <w:vAlign w:val="bottom"/>
          </w:tcPr>
          <w:p w14:paraId="7C20828D" w14:textId="77777777" w:rsidR="00834A75" w:rsidRDefault="00A6708C">
            <w:pPr>
              <w:textAlignment w:val="bottom"/>
            </w:pPr>
            <w:r>
              <w:rPr>
                <w:rFonts w:ascii="sans-serif" w:eastAsia="sans-serif" w:hAnsi="sans-serif" w:cs="sans-serif"/>
                <w:color w:val="000000"/>
                <w:sz w:val="20"/>
                <w:szCs w:val="20"/>
              </w:rPr>
              <w:t>Debt securi</w:t>
            </w:r>
            <w:r>
              <w:rPr>
                <w:rFonts w:ascii="sans-serif" w:eastAsia="sans-serif" w:hAnsi="sans-serif" w:cs="sans-serif"/>
                <w:color w:val="000000"/>
                <w:sz w:val="20"/>
                <w:szCs w:val="20"/>
              </w:rPr>
              <w:t>ties issued by the United States Treasury</w:t>
            </w:r>
          </w:p>
        </w:tc>
        <w:tc>
          <w:tcPr>
            <w:tcW w:w="0" w:type="auto"/>
            <w:gridSpan w:val="2"/>
            <w:shd w:val="clear" w:color="auto" w:fill="FFFFFF"/>
            <w:tcMar>
              <w:top w:w="40" w:type="dxa"/>
              <w:left w:w="20" w:type="dxa"/>
              <w:bottom w:w="40" w:type="dxa"/>
              <w:right w:w="0" w:type="dxa"/>
            </w:tcMar>
            <w:vAlign w:val="bottom"/>
          </w:tcPr>
          <w:p w14:paraId="7C20828E" w14:textId="77777777" w:rsidR="00834A75" w:rsidRDefault="00A6708C">
            <w:pPr>
              <w:jc w:val="right"/>
              <w:textAlignment w:val="bottom"/>
            </w:pPr>
            <w:r>
              <w:rPr>
                <w:rFonts w:ascii="sans-serif" w:eastAsia="sans-serif" w:hAnsi="sans-serif" w:cs="sans-serif"/>
                <w:color w:val="000000"/>
                <w:sz w:val="20"/>
                <w:szCs w:val="20"/>
              </w:rPr>
              <w:t>7,314 </w:t>
            </w:r>
          </w:p>
        </w:tc>
        <w:tc>
          <w:tcPr>
            <w:tcW w:w="0" w:type="auto"/>
            <w:shd w:val="clear" w:color="auto" w:fill="FFFFFF"/>
            <w:tcMar>
              <w:top w:w="40" w:type="dxa"/>
              <w:left w:w="0" w:type="dxa"/>
              <w:bottom w:w="40" w:type="dxa"/>
              <w:right w:w="20" w:type="dxa"/>
            </w:tcMar>
            <w:vAlign w:val="bottom"/>
          </w:tcPr>
          <w:p w14:paraId="7C20828F" w14:textId="77777777" w:rsidR="00834A75" w:rsidRDefault="00834A75">
            <w:pPr>
              <w:jc w:val="right"/>
              <w:rPr>
                <w:rFonts w:ascii="宋体"/>
              </w:rPr>
            </w:pPr>
          </w:p>
        </w:tc>
        <w:tc>
          <w:tcPr>
            <w:tcW w:w="0" w:type="auto"/>
            <w:gridSpan w:val="3"/>
            <w:shd w:val="clear" w:color="auto" w:fill="FFFFFF"/>
            <w:tcMar>
              <w:top w:w="0" w:type="dxa"/>
              <w:left w:w="20" w:type="dxa"/>
              <w:bottom w:w="0" w:type="dxa"/>
              <w:right w:w="20" w:type="dxa"/>
            </w:tcMar>
            <w:vAlign w:val="bottom"/>
          </w:tcPr>
          <w:p w14:paraId="7C208290" w14:textId="77777777" w:rsidR="00834A75" w:rsidRDefault="00834A75">
            <w:pPr>
              <w:rPr>
                <w:rFonts w:ascii="宋体"/>
              </w:rPr>
            </w:pPr>
          </w:p>
        </w:tc>
        <w:tc>
          <w:tcPr>
            <w:tcW w:w="0" w:type="auto"/>
            <w:gridSpan w:val="2"/>
            <w:shd w:val="clear" w:color="auto" w:fill="FFFFFF"/>
            <w:tcMar>
              <w:top w:w="40" w:type="dxa"/>
              <w:left w:w="20" w:type="dxa"/>
              <w:bottom w:w="40" w:type="dxa"/>
              <w:right w:w="0" w:type="dxa"/>
            </w:tcMar>
            <w:vAlign w:val="bottom"/>
          </w:tcPr>
          <w:p w14:paraId="7C208291" w14:textId="77777777" w:rsidR="00834A75" w:rsidRDefault="00A6708C">
            <w:pPr>
              <w:jc w:val="right"/>
              <w:textAlignment w:val="bottom"/>
            </w:pPr>
            <w:r>
              <w:rPr>
                <w:rFonts w:ascii="sans-serif" w:eastAsia="sans-serif" w:hAnsi="sans-serif" w:cs="sans-serif"/>
                <w:color w:val="000000"/>
                <w:sz w:val="20"/>
                <w:szCs w:val="20"/>
              </w:rPr>
              <w:t>— </w:t>
            </w:r>
          </w:p>
        </w:tc>
        <w:tc>
          <w:tcPr>
            <w:tcW w:w="0" w:type="auto"/>
            <w:shd w:val="clear" w:color="auto" w:fill="FFFFFF"/>
            <w:tcMar>
              <w:top w:w="40" w:type="dxa"/>
              <w:left w:w="0" w:type="dxa"/>
              <w:bottom w:w="40" w:type="dxa"/>
              <w:right w:w="20" w:type="dxa"/>
            </w:tcMar>
            <w:vAlign w:val="bottom"/>
          </w:tcPr>
          <w:p w14:paraId="7C208292" w14:textId="77777777" w:rsidR="00834A75" w:rsidRDefault="00834A75">
            <w:pPr>
              <w:jc w:val="right"/>
              <w:rPr>
                <w:rFonts w:ascii="宋体"/>
              </w:rPr>
            </w:pPr>
          </w:p>
        </w:tc>
        <w:tc>
          <w:tcPr>
            <w:tcW w:w="0" w:type="auto"/>
            <w:gridSpan w:val="3"/>
            <w:shd w:val="clear" w:color="auto" w:fill="FFFFFF"/>
            <w:tcMar>
              <w:top w:w="0" w:type="dxa"/>
              <w:left w:w="20" w:type="dxa"/>
              <w:bottom w:w="0" w:type="dxa"/>
              <w:right w:w="20" w:type="dxa"/>
            </w:tcMar>
            <w:vAlign w:val="bottom"/>
          </w:tcPr>
          <w:p w14:paraId="7C208293" w14:textId="77777777" w:rsidR="00834A75" w:rsidRDefault="00834A75">
            <w:pPr>
              <w:rPr>
                <w:rFonts w:ascii="宋体"/>
              </w:rPr>
            </w:pPr>
          </w:p>
        </w:tc>
        <w:tc>
          <w:tcPr>
            <w:tcW w:w="0" w:type="auto"/>
            <w:gridSpan w:val="2"/>
            <w:shd w:val="clear" w:color="auto" w:fill="FFFFFF"/>
            <w:tcMar>
              <w:top w:w="40" w:type="dxa"/>
              <w:left w:w="20" w:type="dxa"/>
              <w:bottom w:w="40" w:type="dxa"/>
              <w:right w:w="0" w:type="dxa"/>
            </w:tcMar>
            <w:vAlign w:val="bottom"/>
          </w:tcPr>
          <w:p w14:paraId="7C208294" w14:textId="77777777" w:rsidR="00834A75" w:rsidRDefault="00A6708C">
            <w:pPr>
              <w:jc w:val="right"/>
              <w:textAlignment w:val="bottom"/>
            </w:pPr>
            <w:r>
              <w:rPr>
                <w:rFonts w:ascii="sans-serif" w:eastAsia="sans-serif" w:hAnsi="sans-serif" w:cs="sans-serif"/>
                <w:color w:val="000000"/>
                <w:sz w:val="20"/>
                <w:szCs w:val="20"/>
              </w:rPr>
              <w:t>(14)</w:t>
            </w:r>
          </w:p>
        </w:tc>
        <w:tc>
          <w:tcPr>
            <w:tcW w:w="0" w:type="auto"/>
            <w:shd w:val="clear" w:color="auto" w:fill="FFFFFF"/>
            <w:tcMar>
              <w:top w:w="40" w:type="dxa"/>
              <w:left w:w="0" w:type="dxa"/>
              <w:bottom w:w="40" w:type="dxa"/>
              <w:right w:w="20" w:type="dxa"/>
            </w:tcMar>
            <w:vAlign w:val="bottom"/>
          </w:tcPr>
          <w:p w14:paraId="7C208295" w14:textId="77777777" w:rsidR="00834A75" w:rsidRDefault="00834A75">
            <w:pPr>
              <w:jc w:val="right"/>
              <w:rPr>
                <w:rFonts w:ascii="宋体"/>
              </w:rPr>
            </w:pPr>
          </w:p>
        </w:tc>
        <w:tc>
          <w:tcPr>
            <w:tcW w:w="0" w:type="auto"/>
            <w:gridSpan w:val="3"/>
            <w:shd w:val="clear" w:color="auto" w:fill="FFFFFF"/>
            <w:tcMar>
              <w:top w:w="0" w:type="dxa"/>
              <w:left w:w="20" w:type="dxa"/>
              <w:bottom w:w="0" w:type="dxa"/>
              <w:right w:w="20" w:type="dxa"/>
            </w:tcMar>
            <w:vAlign w:val="bottom"/>
          </w:tcPr>
          <w:p w14:paraId="7C208296" w14:textId="77777777" w:rsidR="00834A75" w:rsidRDefault="00834A75">
            <w:pPr>
              <w:rPr>
                <w:rFonts w:ascii="宋体"/>
              </w:rPr>
            </w:pPr>
          </w:p>
        </w:tc>
        <w:tc>
          <w:tcPr>
            <w:tcW w:w="0" w:type="auto"/>
            <w:gridSpan w:val="2"/>
            <w:shd w:val="clear" w:color="auto" w:fill="FFFFFF"/>
            <w:tcMar>
              <w:top w:w="40" w:type="dxa"/>
              <w:left w:w="20" w:type="dxa"/>
              <w:bottom w:w="40" w:type="dxa"/>
              <w:right w:w="0" w:type="dxa"/>
            </w:tcMar>
            <w:vAlign w:val="bottom"/>
          </w:tcPr>
          <w:p w14:paraId="7C208297" w14:textId="77777777" w:rsidR="00834A75" w:rsidRDefault="00A6708C">
            <w:pPr>
              <w:jc w:val="right"/>
              <w:textAlignment w:val="bottom"/>
            </w:pPr>
            <w:r>
              <w:rPr>
                <w:rFonts w:ascii="sans-serif" w:eastAsia="sans-serif" w:hAnsi="sans-serif" w:cs="sans-serif"/>
                <w:color w:val="000000"/>
                <w:sz w:val="20"/>
                <w:szCs w:val="20"/>
              </w:rPr>
              <w:t>7,300 </w:t>
            </w:r>
          </w:p>
        </w:tc>
        <w:tc>
          <w:tcPr>
            <w:tcW w:w="0" w:type="auto"/>
            <w:shd w:val="clear" w:color="auto" w:fill="FFFFFF"/>
            <w:tcMar>
              <w:top w:w="40" w:type="dxa"/>
              <w:left w:w="0" w:type="dxa"/>
              <w:bottom w:w="40" w:type="dxa"/>
              <w:right w:w="20" w:type="dxa"/>
            </w:tcMar>
            <w:vAlign w:val="bottom"/>
          </w:tcPr>
          <w:p w14:paraId="7C208298" w14:textId="77777777" w:rsidR="00834A75" w:rsidRDefault="00834A75">
            <w:pPr>
              <w:jc w:val="right"/>
              <w:rPr>
                <w:rFonts w:ascii="宋体"/>
              </w:rPr>
            </w:pPr>
          </w:p>
        </w:tc>
        <w:tc>
          <w:tcPr>
            <w:tcW w:w="0" w:type="auto"/>
            <w:gridSpan w:val="3"/>
            <w:shd w:val="clear" w:color="auto" w:fill="FFFFFF"/>
            <w:tcMar>
              <w:top w:w="0" w:type="dxa"/>
              <w:left w:w="20" w:type="dxa"/>
              <w:bottom w:w="0" w:type="dxa"/>
              <w:right w:w="20" w:type="dxa"/>
            </w:tcMar>
            <w:vAlign w:val="bottom"/>
          </w:tcPr>
          <w:p w14:paraId="7C208299" w14:textId="77777777" w:rsidR="00834A75" w:rsidRDefault="00834A75">
            <w:pPr>
              <w:rPr>
                <w:rFonts w:ascii="宋体"/>
              </w:rPr>
            </w:pPr>
          </w:p>
        </w:tc>
        <w:tc>
          <w:tcPr>
            <w:tcW w:w="0" w:type="auto"/>
            <w:gridSpan w:val="2"/>
            <w:shd w:val="clear" w:color="auto" w:fill="FFFFFF"/>
            <w:tcMar>
              <w:top w:w="40" w:type="dxa"/>
              <w:left w:w="20" w:type="dxa"/>
              <w:bottom w:w="40" w:type="dxa"/>
              <w:right w:w="0" w:type="dxa"/>
            </w:tcMar>
            <w:vAlign w:val="bottom"/>
          </w:tcPr>
          <w:p w14:paraId="7C20829A" w14:textId="77777777" w:rsidR="00834A75" w:rsidRDefault="00A6708C">
            <w:pPr>
              <w:jc w:val="right"/>
              <w:textAlignment w:val="bottom"/>
            </w:pPr>
            <w:r>
              <w:rPr>
                <w:rFonts w:ascii="sans-serif" w:eastAsia="sans-serif" w:hAnsi="sans-serif" w:cs="sans-serif"/>
                <w:color w:val="000000"/>
                <w:sz w:val="20"/>
                <w:szCs w:val="20"/>
              </w:rPr>
              <w:t>— </w:t>
            </w:r>
          </w:p>
        </w:tc>
        <w:tc>
          <w:tcPr>
            <w:tcW w:w="0" w:type="auto"/>
            <w:shd w:val="clear" w:color="auto" w:fill="FFFFFF"/>
            <w:tcMar>
              <w:top w:w="40" w:type="dxa"/>
              <w:left w:w="0" w:type="dxa"/>
              <w:bottom w:w="40" w:type="dxa"/>
              <w:right w:w="20" w:type="dxa"/>
            </w:tcMar>
            <w:vAlign w:val="bottom"/>
          </w:tcPr>
          <w:p w14:paraId="7C20829B" w14:textId="77777777" w:rsidR="00834A75" w:rsidRDefault="00834A75">
            <w:pPr>
              <w:jc w:val="right"/>
              <w:rPr>
                <w:rFonts w:ascii="宋体"/>
              </w:rPr>
            </w:pPr>
          </w:p>
        </w:tc>
        <w:tc>
          <w:tcPr>
            <w:tcW w:w="0" w:type="auto"/>
            <w:gridSpan w:val="3"/>
            <w:shd w:val="clear" w:color="auto" w:fill="FFFFFF"/>
            <w:tcMar>
              <w:top w:w="0" w:type="dxa"/>
              <w:left w:w="20" w:type="dxa"/>
              <w:bottom w:w="0" w:type="dxa"/>
              <w:right w:w="20" w:type="dxa"/>
            </w:tcMar>
            <w:vAlign w:val="bottom"/>
          </w:tcPr>
          <w:p w14:paraId="7C20829C" w14:textId="77777777" w:rsidR="00834A75" w:rsidRDefault="00834A75">
            <w:pPr>
              <w:rPr>
                <w:rFonts w:ascii="宋体"/>
              </w:rPr>
            </w:pPr>
          </w:p>
        </w:tc>
        <w:tc>
          <w:tcPr>
            <w:tcW w:w="0" w:type="auto"/>
            <w:gridSpan w:val="2"/>
            <w:shd w:val="clear" w:color="auto" w:fill="FFFFFF"/>
            <w:tcMar>
              <w:top w:w="40" w:type="dxa"/>
              <w:left w:w="20" w:type="dxa"/>
              <w:bottom w:w="40" w:type="dxa"/>
              <w:right w:w="0" w:type="dxa"/>
            </w:tcMar>
            <w:vAlign w:val="bottom"/>
          </w:tcPr>
          <w:p w14:paraId="7C20829D" w14:textId="77777777" w:rsidR="00834A75" w:rsidRDefault="00A6708C">
            <w:pPr>
              <w:jc w:val="right"/>
              <w:textAlignment w:val="bottom"/>
            </w:pPr>
            <w:r>
              <w:rPr>
                <w:rFonts w:ascii="sans-serif" w:eastAsia="sans-serif" w:hAnsi="sans-serif" w:cs="sans-serif"/>
                <w:color w:val="000000"/>
                <w:sz w:val="20"/>
                <w:szCs w:val="20"/>
              </w:rPr>
              <w:t>7,300 </w:t>
            </w:r>
          </w:p>
        </w:tc>
        <w:tc>
          <w:tcPr>
            <w:tcW w:w="0" w:type="auto"/>
            <w:shd w:val="clear" w:color="auto" w:fill="FFFFFF"/>
            <w:tcMar>
              <w:top w:w="40" w:type="dxa"/>
              <w:left w:w="0" w:type="dxa"/>
              <w:bottom w:w="40" w:type="dxa"/>
              <w:right w:w="20" w:type="dxa"/>
            </w:tcMar>
            <w:vAlign w:val="bottom"/>
          </w:tcPr>
          <w:p w14:paraId="7C20829E" w14:textId="77777777" w:rsidR="00834A75" w:rsidRDefault="00834A75">
            <w:pPr>
              <w:jc w:val="right"/>
              <w:rPr>
                <w:rFonts w:ascii="宋体"/>
              </w:rPr>
            </w:pPr>
          </w:p>
        </w:tc>
      </w:tr>
      <w:tr w:rsidR="00834A75" w14:paraId="7C2082B2" w14:textId="77777777">
        <w:tc>
          <w:tcPr>
            <w:tcW w:w="0" w:type="auto"/>
            <w:gridSpan w:val="3"/>
            <w:shd w:val="clear" w:color="auto" w:fill="E2EFD9"/>
            <w:tcMar>
              <w:top w:w="40" w:type="dxa"/>
              <w:left w:w="20" w:type="dxa"/>
              <w:bottom w:w="40" w:type="dxa"/>
              <w:right w:w="20" w:type="dxa"/>
            </w:tcMar>
            <w:vAlign w:val="bottom"/>
          </w:tcPr>
          <w:p w14:paraId="7C2082A0" w14:textId="77777777" w:rsidR="00834A75" w:rsidRDefault="00A6708C">
            <w:pPr>
              <w:textAlignment w:val="bottom"/>
            </w:pPr>
            <w:r>
              <w:rPr>
                <w:rFonts w:ascii="sans-serif" w:eastAsia="sans-serif" w:hAnsi="sans-serif" w:cs="sans-serif"/>
                <w:color w:val="000000"/>
                <w:sz w:val="20"/>
                <w:szCs w:val="20"/>
              </w:rPr>
              <w:t>Debt securities issued by United States government agencies</w:t>
            </w:r>
          </w:p>
        </w:tc>
        <w:tc>
          <w:tcPr>
            <w:tcW w:w="0" w:type="auto"/>
            <w:gridSpan w:val="2"/>
            <w:shd w:val="clear" w:color="auto" w:fill="E2EFD9"/>
            <w:tcMar>
              <w:top w:w="40" w:type="dxa"/>
              <w:left w:w="20" w:type="dxa"/>
              <w:bottom w:w="40" w:type="dxa"/>
              <w:right w:w="0" w:type="dxa"/>
            </w:tcMar>
            <w:vAlign w:val="bottom"/>
          </w:tcPr>
          <w:p w14:paraId="7C2082A1" w14:textId="77777777" w:rsidR="00834A75" w:rsidRDefault="00A6708C">
            <w:pPr>
              <w:jc w:val="right"/>
              <w:textAlignment w:val="bottom"/>
            </w:pPr>
            <w:r>
              <w:rPr>
                <w:rFonts w:ascii="sans-serif" w:eastAsia="sans-serif" w:hAnsi="sans-serif" w:cs="sans-serif"/>
                <w:color w:val="000000"/>
                <w:sz w:val="20"/>
                <w:szCs w:val="20"/>
              </w:rPr>
              <w:t>1,612 </w:t>
            </w:r>
          </w:p>
        </w:tc>
        <w:tc>
          <w:tcPr>
            <w:tcW w:w="0" w:type="auto"/>
            <w:shd w:val="clear" w:color="auto" w:fill="E2EFD9"/>
            <w:tcMar>
              <w:top w:w="40" w:type="dxa"/>
              <w:left w:w="0" w:type="dxa"/>
              <w:bottom w:w="40" w:type="dxa"/>
              <w:right w:w="20" w:type="dxa"/>
            </w:tcMar>
            <w:vAlign w:val="bottom"/>
          </w:tcPr>
          <w:p w14:paraId="7C2082A2" w14:textId="77777777" w:rsidR="00834A75" w:rsidRDefault="00834A75">
            <w:pPr>
              <w:jc w:val="right"/>
              <w:rPr>
                <w:rFonts w:ascii="宋体"/>
              </w:rPr>
            </w:pPr>
          </w:p>
        </w:tc>
        <w:tc>
          <w:tcPr>
            <w:tcW w:w="0" w:type="auto"/>
            <w:gridSpan w:val="3"/>
            <w:shd w:val="clear" w:color="auto" w:fill="E2EFD9"/>
            <w:tcMar>
              <w:top w:w="0" w:type="dxa"/>
              <w:left w:w="20" w:type="dxa"/>
              <w:bottom w:w="0" w:type="dxa"/>
              <w:right w:w="20" w:type="dxa"/>
            </w:tcMar>
            <w:vAlign w:val="bottom"/>
          </w:tcPr>
          <w:p w14:paraId="7C2082A3" w14:textId="77777777" w:rsidR="00834A75" w:rsidRDefault="00834A75">
            <w:pPr>
              <w:rPr>
                <w:rFonts w:ascii="宋体"/>
              </w:rPr>
            </w:pPr>
          </w:p>
        </w:tc>
        <w:tc>
          <w:tcPr>
            <w:tcW w:w="0" w:type="auto"/>
            <w:gridSpan w:val="2"/>
            <w:shd w:val="clear" w:color="auto" w:fill="E2EFD9"/>
            <w:tcMar>
              <w:top w:w="40" w:type="dxa"/>
              <w:left w:w="20" w:type="dxa"/>
              <w:bottom w:w="40" w:type="dxa"/>
              <w:right w:w="0" w:type="dxa"/>
            </w:tcMar>
            <w:vAlign w:val="bottom"/>
          </w:tcPr>
          <w:p w14:paraId="7C2082A4" w14:textId="77777777" w:rsidR="00834A75" w:rsidRDefault="00A6708C">
            <w:pPr>
              <w:jc w:val="right"/>
              <w:textAlignment w:val="bottom"/>
            </w:pPr>
            <w:r>
              <w:rPr>
                <w:rFonts w:ascii="sans-serif" w:eastAsia="sans-serif" w:hAnsi="sans-serif" w:cs="sans-serif"/>
                <w:color w:val="000000"/>
                <w:sz w:val="20"/>
                <w:szCs w:val="20"/>
              </w:rPr>
              <w:t>— </w:t>
            </w:r>
          </w:p>
        </w:tc>
        <w:tc>
          <w:tcPr>
            <w:tcW w:w="0" w:type="auto"/>
            <w:shd w:val="clear" w:color="auto" w:fill="E2EFD9"/>
            <w:tcMar>
              <w:top w:w="40" w:type="dxa"/>
              <w:left w:w="0" w:type="dxa"/>
              <w:bottom w:w="40" w:type="dxa"/>
              <w:right w:w="20" w:type="dxa"/>
            </w:tcMar>
            <w:vAlign w:val="bottom"/>
          </w:tcPr>
          <w:p w14:paraId="7C2082A5" w14:textId="77777777" w:rsidR="00834A75" w:rsidRDefault="00834A75">
            <w:pPr>
              <w:jc w:val="right"/>
              <w:rPr>
                <w:rFonts w:ascii="宋体"/>
              </w:rPr>
            </w:pPr>
          </w:p>
        </w:tc>
        <w:tc>
          <w:tcPr>
            <w:tcW w:w="0" w:type="auto"/>
            <w:gridSpan w:val="3"/>
            <w:shd w:val="clear" w:color="auto" w:fill="E2EFD9"/>
            <w:tcMar>
              <w:top w:w="0" w:type="dxa"/>
              <w:left w:w="20" w:type="dxa"/>
              <w:bottom w:w="0" w:type="dxa"/>
              <w:right w:w="20" w:type="dxa"/>
            </w:tcMar>
            <w:vAlign w:val="bottom"/>
          </w:tcPr>
          <w:p w14:paraId="7C2082A6" w14:textId="77777777" w:rsidR="00834A75" w:rsidRDefault="00834A75">
            <w:pPr>
              <w:rPr>
                <w:rFonts w:ascii="宋体"/>
              </w:rPr>
            </w:pPr>
          </w:p>
        </w:tc>
        <w:tc>
          <w:tcPr>
            <w:tcW w:w="0" w:type="auto"/>
            <w:gridSpan w:val="2"/>
            <w:shd w:val="clear" w:color="auto" w:fill="E2EFD9"/>
            <w:tcMar>
              <w:top w:w="40" w:type="dxa"/>
              <w:left w:w="20" w:type="dxa"/>
              <w:bottom w:w="40" w:type="dxa"/>
              <w:right w:w="0" w:type="dxa"/>
            </w:tcMar>
            <w:vAlign w:val="bottom"/>
          </w:tcPr>
          <w:p w14:paraId="7C2082A7" w14:textId="77777777" w:rsidR="00834A75" w:rsidRDefault="00A6708C">
            <w:pPr>
              <w:jc w:val="right"/>
              <w:textAlignment w:val="bottom"/>
            </w:pPr>
            <w:r>
              <w:rPr>
                <w:rFonts w:ascii="sans-serif" w:eastAsia="sans-serif" w:hAnsi="sans-serif" w:cs="sans-serif"/>
                <w:color w:val="000000"/>
                <w:sz w:val="20"/>
                <w:szCs w:val="20"/>
              </w:rPr>
              <w:t>— </w:t>
            </w:r>
          </w:p>
        </w:tc>
        <w:tc>
          <w:tcPr>
            <w:tcW w:w="0" w:type="auto"/>
            <w:shd w:val="clear" w:color="auto" w:fill="E2EFD9"/>
            <w:tcMar>
              <w:top w:w="40" w:type="dxa"/>
              <w:left w:w="0" w:type="dxa"/>
              <w:bottom w:w="40" w:type="dxa"/>
              <w:right w:w="20" w:type="dxa"/>
            </w:tcMar>
            <w:vAlign w:val="bottom"/>
          </w:tcPr>
          <w:p w14:paraId="7C2082A8" w14:textId="77777777" w:rsidR="00834A75" w:rsidRDefault="00834A75">
            <w:pPr>
              <w:jc w:val="right"/>
              <w:rPr>
                <w:rFonts w:ascii="宋体"/>
              </w:rPr>
            </w:pPr>
          </w:p>
        </w:tc>
        <w:tc>
          <w:tcPr>
            <w:tcW w:w="0" w:type="auto"/>
            <w:gridSpan w:val="3"/>
            <w:shd w:val="clear" w:color="auto" w:fill="E2EFD9"/>
            <w:tcMar>
              <w:top w:w="0" w:type="dxa"/>
              <w:left w:w="20" w:type="dxa"/>
              <w:bottom w:w="0" w:type="dxa"/>
              <w:right w:w="20" w:type="dxa"/>
            </w:tcMar>
            <w:vAlign w:val="bottom"/>
          </w:tcPr>
          <w:p w14:paraId="7C2082A9" w14:textId="77777777" w:rsidR="00834A75" w:rsidRDefault="00834A75">
            <w:pPr>
              <w:rPr>
                <w:rFonts w:ascii="宋体"/>
              </w:rPr>
            </w:pPr>
          </w:p>
        </w:tc>
        <w:tc>
          <w:tcPr>
            <w:tcW w:w="0" w:type="auto"/>
            <w:gridSpan w:val="2"/>
            <w:shd w:val="clear" w:color="auto" w:fill="E2EFD9"/>
            <w:tcMar>
              <w:top w:w="40" w:type="dxa"/>
              <w:left w:w="20" w:type="dxa"/>
              <w:bottom w:w="40" w:type="dxa"/>
              <w:right w:w="0" w:type="dxa"/>
            </w:tcMar>
            <w:vAlign w:val="bottom"/>
          </w:tcPr>
          <w:p w14:paraId="7C2082AA" w14:textId="77777777" w:rsidR="00834A75" w:rsidRDefault="00A6708C">
            <w:pPr>
              <w:jc w:val="right"/>
              <w:textAlignment w:val="bottom"/>
            </w:pPr>
            <w:r>
              <w:rPr>
                <w:rFonts w:ascii="sans-serif" w:eastAsia="sans-serif" w:hAnsi="sans-serif" w:cs="sans-serif"/>
                <w:color w:val="000000"/>
                <w:sz w:val="20"/>
                <w:szCs w:val="20"/>
              </w:rPr>
              <w:t>1,612 </w:t>
            </w:r>
          </w:p>
        </w:tc>
        <w:tc>
          <w:tcPr>
            <w:tcW w:w="0" w:type="auto"/>
            <w:shd w:val="clear" w:color="auto" w:fill="E2EFD9"/>
            <w:tcMar>
              <w:top w:w="40" w:type="dxa"/>
              <w:left w:w="0" w:type="dxa"/>
              <w:bottom w:w="40" w:type="dxa"/>
              <w:right w:w="20" w:type="dxa"/>
            </w:tcMar>
            <w:vAlign w:val="bottom"/>
          </w:tcPr>
          <w:p w14:paraId="7C2082AB" w14:textId="77777777" w:rsidR="00834A75" w:rsidRDefault="00834A75">
            <w:pPr>
              <w:jc w:val="right"/>
              <w:rPr>
                <w:rFonts w:ascii="宋体"/>
              </w:rPr>
            </w:pPr>
          </w:p>
        </w:tc>
        <w:tc>
          <w:tcPr>
            <w:tcW w:w="0" w:type="auto"/>
            <w:gridSpan w:val="3"/>
            <w:shd w:val="clear" w:color="auto" w:fill="E2EFD9"/>
            <w:tcMar>
              <w:top w:w="0" w:type="dxa"/>
              <w:left w:w="20" w:type="dxa"/>
              <w:bottom w:w="0" w:type="dxa"/>
              <w:right w:w="20" w:type="dxa"/>
            </w:tcMar>
            <w:vAlign w:val="bottom"/>
          </w:tcPr>
          <w:p w14:paraId="7C2082AC" w14:textId="77777777" w:rsidR="00834A75" w:rsidRDefault="00834A75">
            <w:pPr>
              <w:rPr>
                <w:rFonts w:ascii="宋体"/>
              </w:rPr>
            </w:pPr>
          </w:p>
        </w:tc>
        <w:tc>
          <w:tcPr>
            <w:tcW w:w="0" w:type="auto"/>
            <w:gridSpan w:val="2"/>
            <w:shd w:val="clear" w:color="auto" w:fill="E2EFD9"/>
            <w:tcMar>
              <w:top w:w="40" w:type="dxa"/>
              <w:left w:w="20" w:type="dxa"/>
              <w:bottom w:w="40" w:type="dxa"/>
              <w:right w:w="0" w:type="dxa"/>
            </w:tcMar>
            <w:vAlign w:val="bottom"/>
          </w:tcPr>
          <w:p w14:paraId="7C2082AD" w14:textId="77777777" w:rsidR="00834A75" w:rsidRDefault="00A6708C">
            <w:pPr>
              <w:jc w:val="right"/>
              <w:textAlignment w:val="bottom"/>
            </w:pPr>
            <w:r>
              <w:rPr>
                <w:rFonts w:ascii="sans-serif" w:eastAsia="sans-serif" w:hAnsi="sans-serif" w:cs="sans-serif"/>
                <w:color w:val="000000"/>
                <w:sz w:val="20"/>
                <w:szCs w:val="20"/>
              </w:rPr>
              <w:t>256 </w:t>
            </w:r>
          </w:p>
        </w:tc>
        <w:tc>
          <w:tcPr>
            <w:tcW w:w="0" w:type="auto"/>
            <w:shd w:val="clear" w:color="auto" w:fill="E2EFD9"/>
            <w:tcMar>
              <w:top w:w="40" w:type="dxa"/>
              <w:left w:w="0" w:type="dxa"/>
              <w:bottom w:w="40" w:type="dxa"/>
              <w:right w:w="20" w:type="dxa"/>
            </w:tcMar>
            <w:vAlign w:val="bottom"/>
          </w:tcPr>
          <w:p w14:paraId="7C2082AE" w14:textId="77777777" w:rsidR="00834A75" w:rsidRDefault="00834A75">
            <w:pPr>
              <w:jc w:val="right"/>
              <w:rPr>
                <w:rFonts w:ascii="宋体"/>
              </w:rPr>
            </w:pPr>
          </w:p>
        </w:tc>
        <w:tc>
          <w:tcPr>
            <w:tcW w:w="0" w:type="auto"/>
            <w:gridSpan w:val="3"/>
            <w:shd w:val="clear" w:color="auto" w:fill="E2EFD9"/>
            <w:tcMar>
              <w:top w:w="0" w:type="dxa"/>
              <w:left w:w="20" w:type="dxa"/>
              <w:bottom w:w="0" w:type="dxa"/>
              <w:right w:w="20" w:type="dxa"/>
            </w:tcMar>
            <w:vAlign w:val="bottom"/>
          </w:tcPr>
          <w:p w14:paraId="7C2082AF" w14:textId="77777777" w:rsidR="00834A75" w:rsidRDefault="00834A75">
            <w:pPr>
              <w:rPr>
                <w:rFonts w:ascii="宋体"/>
              </w:rPr>
            </w:pPr>
          </w:p>
        </w:tc>
        <w:tc>
          <w:tcPr>
            <w:tcW w:w="0" w:type="auto"/>
            <w:gridSpan w:val="2"/>
            <w:shd w:val="clear" w:color="auto" w:fill="E2EFD9"/>
            <w:tcMar>
              <w:top w:w="40" w:type="dxa"/>
              <w:left w:w="20" w:type="dxa"/>
              <w:bottom w:w="40" w:type="dxa"/>
              <w:right w:w="0" w:type="dxa"/>
            </w:tcMar>
            <w:vAlign w:val="bottom"/>
          </w:tcPr>
          <w:p w14:paraId="7C2082B0" w14:textId="77777777" w:rsidR="00834A75" w:rsidRDefault="00A6708C">
            <w:pPr>
              <w:jc w:val="right"/>
              <w:textAlignment w:val="bottom"/>
            </w:pPr>
            <w:r>
              <w:rPr>
                <w:rFonts w:ascii="sans-serif" w:eastAsia="sans-serif" w:hAnsi="sans-serif" w:cs="sans-serif"/>
                <w:color w:val="000000"/>
                <w:sz w:val="20"/>
                <w:szCs w:val="20"/>
              </w:rPr>
              <w:t>1,356 </w:t>
            </w:r>
          </w:p>
        </w:tc>
        <w:tc>
          <w:tcPr>
            <w:tcW w:w="0" w:type="auto"/>
            <w:shd w:val="clear" w:color="auto" w:fill="E2EFD9"/>
            <w:tcMar>
              <w:top w:w="40" w:type="dxa"/>
              <w:left w:w="0" w:type="dxa"/>
              <w:bottom w:w="40" w:type="dxa"/>
              <w:right w:w="20" w:type="dxa"/>
            </w:tcMar>
            <w:vAlign w:val="bottom"/>
          </w:tcPr>
          <w:p w14:paraId="7C2082B1" w14:textId="77777777" w:rsidR="00834A75" w:rsidRDefault="00834A75">
            <w:pPr>
              <w:jc w:val="right"/>
              <w:rPr>
                <w:rFonts w:ascii="宋体"/>
              </w:rPr>
            </w:pPr>
          </w:p>
        </w:tc>
      </w:tr>
      <w:tr w:rsidR="00834A75" w14:paraId="7C2082C5" w14:textId="77777777">
        <w:tc>
          <w:tcPr>
            <w:tcW w:w="0" w:type="auto"/>
            <w:gridSpan w:val="3"/>
            <w:shd w:val="clear" w:color="auto" w:fill="FFFFFF"/>
            <w:tcMar>
              <w:top w:w="40" w:type="dxa"/>
              <w:left w:w="20" w:type="dxa"/>
              <w:bottom w:w="40" w:type="dxa"/>
              <w:right w:w="20" w:type="dxa"/>
            </w:tcMar>
            <w:vAlign w:val="bottom"/>
          </w:tcPr>
          <w:p w14:paraId="7C2082B3" w14:textId="77777777" w:rsidR="00834A75" w:rsidRDefault="00A6708C">
            <w:pPr>
              <w:textAlignment w:val="bottom"/>
            </w:pPr>
            <w:r>
              <w:rPr>
                <w:rFonts w:ascii="sans-serif" w:eastAsia="sans-serif" w:hAnsi="sans-serif" w:cs="sans-serif"/>
                <w:color w:val="000000"/>
                <w:sz w:val="20"/>
                <w:szCs w:val="20"/>
              </w:rPr>
              <w:t>Certificates of deposit</w:t>
            </w:r>
          </w:p>
        </w:tc>
        <w:tc>
          <w:tcPr>
            <w:tcW w:w="0" w:type="auto"/>
            <w:gridSpan w:val="2"/>
            <w:shd w:val="clear" w:color="auto" w:fill="FFFFFF"/>
            <w:tcMar>
              <w:top w:w="40" w:type="dxa"/>
              <w:left w:w="20" w:type="dxa"/>
              <w:bottom w:w="40" w:type="dxa"/>
              <w:right w:w="0" w:type="dxa"/>
            </w:tcMar>
            <w:vAlign w:val="bottom"/>
          </w:tcPr>
          <w:p w14:paraId="7C2082B4" w14:textId="77777777" w:rsidR="00834A75" w:rsidRDefault="00A6708C">
            <w:pPr>
              <w:jc w:val="right"/>
              <w:textAlignment w:val="bottom"/>
            </w:pPr>
            <w:r>
              <w:rPr>
                <w:rFonts w:ascii="sans-serif" w:eastAsia="sans-serif" w:hAnsi="sans-serif" w:cs="sans-serif"/>
                <w:color w:val="000000"/>
                <w:sz w:val="20"/>
                <w:szCs w:val="20"/>
              </w:rPr>
              <w:t>1,561 </w:t>
            </w:r>
          </w:p>
        </w:tc>
        <w:tc>
          <w:tcPr>
            <w:tcW w:w="0" w:type="auto"/>
            <w:shd w:val="clear" w:color="auto" w:fill="FFFFFF"/>
            <w:tcMar>
              <w:top w:w="40" w:type="dxa"/>
              <w:left w:w="0" w:type="dxa"/>
              <w:bottom w:w="40" w:type="dxa"/>
              <w:right w:w="20" w:type="dxa"/>
            </w:tcMar>
            <w:vAlign w:val="bottom"/>
          </w:tcPr>
          <w:p w14:paraId="7C2082B5" w14:textId="77777777" w:rsidR="00834A75" w:rsidRDefault="00834A75">
            <w:pPr>
              <w:jc w:val="right"/>
              <w:rPr>
                <w:rFonts w:ascii="宋体"/>
              </w:rPr>
            </w:pPr>
          </w:p>
        </w:tc>
        <w:tc>
          <w:tcPr>
            <w:tcW w:w="0" w:type="auto"/>
            <w:gridSpan w:val="3"/>
            <w:shd w:val="clear" w:color="auto" w:fill="FFFFFF"/>
            <w:tcMar>
              <w:top w:w="0" w:type="dxa"/>
              <w:left w:w="20" w:type="dxa"/>
              <w:bottom w:w="0" w:type="dxa"/>
              <w:right w:w="20" w:type="dxa"/>
            </w:tcMar>
            <w:vAlign w:val="bottom"/>
          </w:tcPr>
          <w:p w14:paraId="7C2082B6" w14:textId="77777777" w:rsidR="00834A75" w:rsidRDefault="00834A75">
            <w:pPr>
              <w:rPr>
                <w:rFonts w:ascii="宋体"/>
              </w:rPr>
            </w:pPr>
          </w:p>
        </w:tc>
        <w:tc>
          <w:tcPr>
            <w:tcW w:w="0" w:type="auto"/>
            <w:gridSpan w:val="2"/>
            <w:shd w:val="clear" w:color="auto" w:fill="FFFFFF"/>
            <w:tcMar>
              <w:top w:w="40" w:type="dxa"/>
              <w:left w:w="20" w:type="dxa"/>
              <w:bottom w:w="40" w:type="dxa"/>
              <w:right w:w="0" w:type="dxa"/>
            </w:tcMar>
            <w:vAlign w:val="bottom"/>
          </w:tcPr>
          <w:p w14:paraId="7C2082B7" w14:textId="77777777" w:rsidR="00834A75" w:rsidRDefault="00A6708C">
            <w:pPr>
              <w:jc w:val="right"/>
              <w:textAlignment w:val="bottom"/>
            </w:pPr>
            <w:r>
              <w:rPr>
                <w:rFonts w:ascii="sans-serif" w:eastAsia="sans-serif" w:hAnsi="sans-serif" w:cs="sans-serif"/>
                <w:color w:val="000000"/>
                <w:sz w:val="20"/>
                <w:szCs w:val="20"/>
              </w:rPr>
              <w:t>— </w:t>
            </w:r>
          </w:p>
        </w:tc>
        <w:tc>
          <w:tcPr>
            <w:tcW w:w="0" w:type="auto"/>
            <w:shd w:val="clear" w:color="auto" w:fill="FFFFFF"/>
            <w:tcMar>
              <w:top w:w="40" w:type="dxa"/>
              <w:left w:w="0" w:type="dxa"/>
              <w:bottom w:w="40" w:type="dxa"/>
              <w:right w:w="20" w:type="dxa"/>
            </w:tcMar>
            <w:vAlign w:val="bottom"/>
          </w:tcPr>
          <w:p w14:paraId="7C2082B8" w14:textId="77777777" w:rsidR="00834A75" w:rsidRDefault="00834A75">
            <w:pPr>
              <w:jc w:val="right"/>
              <w:rPr>
                <w:rFonts w:ascii="宋体"/>
              </w:rPr>
            </w:pPr>
          </w:p>
        </w:tc>
        <w:tc>
          <w:tcPr>
            <w:tcW w:w="0" w:type="auto"/>
            <w:gridSpan w:val="3"/>
            <w:shd w:val="clear" w:color="auto" w:fill="FFFFFF"/>
            <w:tcMar>
              <w:top w:w="0" w:type="dxa"/>
              <w:left w:w="20" w:type="dxa"/>
              <w:bottom w:w="0" w:type="dxa"/>
              <w:right w:w="20" w:type="dxa"/>
            </w:tcMar>
            <w:vAlign w:val="bottom"/>
          </w:tcPr>
          <w:p w14:paraId="7C2082B9" w14:textId="77777777" w:rsidR="00834A75" w:rsidRDefault="00834A75">
            <w:pPr>
              <w:rPr>
                <w:rFonts w:ascii="宋体"/>
              </w:rPr>
            </w:pPr>
          </w:p>
        </w:tc>
        <w:tc>
          <w:tcPr>
            <w:tcW w:w="0" w:type="auto"/>
            <w:gridSpan w:val="2"/>
            <w:shd w:val="clear" w:color="auto" w:fill="FFFFFF"/>
            <w:tcMar>
              <w:top w:w="40" w:type="dxa"/>
              <w:left w:w="20" w:type="dxa"/>
              <w:bottom w:w="40" w:type="dxa"/>
              <w:right w:w="0" w:type="dxa"/>
            </w:tcMar>
            <w:vAlign w:val="bottom"/>
          </w:tcPr>
          <w:p w14:paraId="7C2082BA" w14:textId="77777777" w:rsidR="00834A75" w:rsidRDefault="00A6708C">
            <w:pPr>
              <w:jc w:val="right"/>
              <w:textAlignment w:val="bottom"/>
            </w:pPr>
            <w:r>
              <w:rPr>
                <w:rFonts w:ascii="sans-serif" w:eastAsia="sans-serif" w:hAnsi="sans-serif" w:cs="sans-serif"/>
                <w:color w:val="000000"/>
                <w:sz w:val="20"/>
                <w:szCs w:val="20"/>
              </w:rPr>
              <w:t>— </w:t>
            </w:r>
          </w:p>
        </w:tc>
        <w:tc>
          <w:tcPr>
            <w:tcW w:w="0" w:type="auto"/>
            <w:shd w:val="clear" w:color="auto" w:fill="FFFFFF"/>
            <w:tcMar>
              <w:top w:w="40" w:type="dxa"/>
              <w:left w:w="0" w:type="dxa"/>
              <w:bottom w:w="40" w:type="dxa"/>
              <w:right w:w="20" w:type="dxa"/>
            </w:tcMar>
            <w:vAlign w:val="bottom"/>
          </w:tcPr>
          <w:p w14:paraId="7C2082BB" w14:textId="77777777" w:rsidR="00834A75" w:rsidRDefault="00834A75">
            <w:pPr>
              <w:jc w:val="right"/>
              <w:rPr>
                <w:rFonts w:ascii="宋体"/>
              </w:rPr>
            </w:pPr>
          </w:p>
        </w:tc>
        <w:tc>
          <w:tcPr>
            <w:tcW w:w="0" w:type="auto"/>
            <w:gridSpan w:val="3"/>
            <w:shd w:val="clear" w:color="auto" w:fill="FFFFFF"/>
            <w:tcMar>
              <w:top w:w="0" w:type="dxa"/>
              <w:left w:w="20" w:type="dxa"/>
              <w:bottom w:w="0" w:type="dxa"/>
              <w:right w:w="20" w:type="dxa"/>
            </w:tcMar>
            <w:vAlign w:val="bottom"/>
          </w:tcPr>
          <w:p w14:paraId="7C2082BC" w14:textId="77777777" w:rsidR="00834A75" w:rsidRDefault="00834A75">
            <w:pPr>
              <w:rPr>
                <w:rFonts w:ascii="宋体"/>
              </w:rPr>
            </w:pPr>
          </w:p>
        </w:tc>
        <w:tc>
          <w:tcPr>
            <w:tcW w:w="0" w:type="auto"/>
            <w:gridSpan w:val="2"/>
            <w:shd w:val="clear" w:color="auto" w:fill="FFFFFF"/>
            <w:tcMar>
              <w:top w:w="40" w:type="dxa"/>
              <w:left w:w="20" w:type="dxa"/>
              <w:bottom w:w="40" w:type="dxa"/>
              <w:right w:w="0" w:type="dxa"/>
            </w:tcMar>
            <w:vAlign w:val="bottom"/>
          </w:tcPr>
          <w:p w14:paraId="7C2082BD" w14:textId="77777777" w:rsidR="00834A75" w:rsidRDefault="00A6708C">
            <w:pPr>
              <w:jc w:val="right"/>
              <w:textAlignment w:val="bottom"/>
            </w:pPr>
            <w:r>
              <w:rPr>
                <w:rFonts w:ascii="sans-serif" w:eastAsia="sans-serif" w:hAnsi="sans-serif" w:cs="sans-serif"/>
                <w:color w:val="000000"/>
                <w:sz w:val="20"/>
                <w:szCs w:val="20"/>
              </w:rPr>
              <w:t>1,561 </w:t>
            </w:r>
          </w:p>
        </w:tc>
        <w:tc>
          <w:tcPr>
            <w:tcW w:w="0" w:type="auto"/>
            <w:shd w:val="clear" w:color="auto" w:fill="FFFFFF"/>
            <w:tcMar>
              <w:top w:w="40" w:type="dxa"/>
              <w:left w:w="0" w:type="dxa"/>
              <w:bottom w:w="40" w:type="dxa"/>
              <w:right w:w="20" w:type="dxa"/>
            </w:tcMar>
            <w:vAlign w:val="bottom"/>
          </w:tcPr>
          <w:p w14:paraId="7C2082BE" w14:textId="77777777" w:rsidR="00834A75" w:rsidRDefault="00834A75">
            <w:pPr>
              <w:jc w:val="right"/>
              <w:rPr>
                <w:rFonts w:ascii="宋体"/>
              </w:rPr>
            </w:pPr>
          </w:p>
        </w:tc>
        <w:tc>
          <w:tcPr>
            <w:tcW w:w="0" w:type="auto"/>
            <w:gridSpan w:val="3"/>
            <w:shd w:val="clear" w:color="auto" w:fill="FFFFFF"/>
            <w:tcMar>
              <w:top w:w="0" w:type="dxa"/>
              <w:left w:w="20" w:type="dxa"/>
              <w:bottom w:w="0" w:type="dxa"/>
              <w:right w:w="20" w:type="dxa"/>
            </w:tcMar>
            <w:vAlign w:val="bottom"/>
          </w:tcPr>
          <w:p w14:paraId="7C2082BF" w14:textId="77777777" w:rsidR="00834A75" w:rsidRDefault="00834A75">
            <w:pPr>
              <w:rPr>
                <w:rFonts w:ascii="宋体"/>
              </w:rPr>
            </w:pPr>
          </w:p>
        </w:tc>
        <w:tc>
          <w:tcPr>
            <w:tcW w:w="0" w:type="auto"/>
            <w:gridSpan w:val="2"/>
            <w:shd w:val="clear" w:color="auto" w:fill="FFFFFF"/>
            <w:tcMar>
              <w:top w:w="40" w:type="dxa"/>
              <w:left w:w="20" w:type="dxa"/>
              <w:bottom w:w="40" w:type="dxa"/>
              <w:right w:w="0" w:type="dxa"/>
            </w:tcMar>
            <w:vAlign w:val="bottom"/>
          </w:tcPr>
          <w:p w14:paraId="7C2082C0" w14:textId="77777777" w:rsidR="00834A75" w:rsidRDefault="00A6708C">
            <w:pPr>
              <w:jc w:val="right"/>
              <w:textAlignment w:val="bottom"/>
            </w:pPr>
            <w:r>
              <w:rPr>
                <w:rFonts w:ascii="sans-serif" w:eastAsia="sans-serif" w:hAnsi="sans-serif" w:cs="sans-serif"/>
                <w:color w:val="000000"/>
                <w:sz w:val="20"/>
                <w:szCs w:val="20"/>
              </w:rPr>
              <w:t>21 </w:t>
            </w:r>
          </w:p>
        </w:tc>
        <w:tc>
          <w:tcPr>
            <w:tcW w:w="0" w:type="auto"/>
            <w:shd w:val="clear" w:color="auto" w:fill="FFFFFF"/>
            <w:tcMar>
              <w:top w:w="40" w:type="dxa"/>
              <w:left w:w="0" w:type="dxa"/>
              <w:bottom w:w="40" w:type="dxa"/>
              <w:right w:w="20" w:type="dxa"/>
            </w:tcMar>
            <w:vAlign w:val="bottom"/>
          </w:tcPr>
          <w:p w14:paraId="7C2082C1" w14:textId="77777777" w:rsidR="00834A75" w:rsidRDefault="00834A75">
            <w:pPr>
              <w:jc w:val="right"/>
              <w:rPr>
                <w:rFonts w:ascii="宋体"/>
              </w:rPr>
            </w:pPr>
          </w:p>
        </w:tc>
        <w:tc>
          <w:tcPr>
            <w:tcW w:w="0" w:type="auto"/>
            <w:gridSpan w:val="3"/>
            <w:shd w:val="clear" w:color="auto" w:fill="FFFFFF"/>
            <w:tcMar>
              <w:top w:w="0" w:type="dxa"/>
              <w:left w:w="20" w:type="dxa"/>
              <w:bottom w:w="0" w:type="dxa"/>
              <w:right w:w="20" w:type="dxa"/>
            </w:tcMar>
            <w:vAlign w:val="bottom"/>
          </w:tcPr>
          <w:p w14:paraId="7C2082C2" w14:textId="77777777" w:rsidR="00834A75" w:rsidRDefault="00834A75">
            <w:pPr>
              <w:rPr>
                <w:rFonts w:ascii="宋体"/>
              </w:rPr>
            </w:pPr>
          </w:p>
        </w:tc>
        <w:tc>
          <w:tcPr>
            <w:tcW w:w="0" w:type="auto"/>
            <w:gridSpan w:val="2"/>
            <w:shd w:val="clear" w:color="auto" w:fill="FFFFFF"/>
            <w:tcMar>
              <w:top w:w="40" w:type="dxa"/>
              <w:left w:w="20" w:type="dxa"/>
              <w:bottom w:w="40" w:type="dxa"/>
              <w:right w:w="0" w:type="dxa"/>
            </w:tcMar>
            <w:vAlign w:val="bottom"/>
          </w:tcPr>
          <w:p w14:paraId="7C2082C3" w14:textId="77777777" w:rsidR="00834A75" w:rsidRDefault="00A6708C">
            <w:pPr>
              <w:jc w:val="right"/>
              <w:textAlignment w:val="bottom"/>
            </w:pPr>
            <w:r>
              <w:rPr>
                <w:rFonts w:ascii="sans-serif" w:eastAsia="sans-serif" w:hAnsi="sans-serif" w:cs="sans-serif"/>
                <w:color w:val="000000"/>
                <w:sz w:val="20"/>
                <w:szCs w:val="20"/>
              </w:rPr>
              <w:t>1,540 </w:t>
            </w:r>
          </w:p>
        </w:tc>
        <w:tc>
          <w:tcPr>
            <w:tcW w:w="0" w:type="auto"/>
            <w:shd w:val="clear" w:color="auto" w:fill="FFFFFF"/>
            <w:tcMar>
              <w:top w:w="40" w:type="dxa"/>
              <w:left w:w="0" w:type="dxa"/>
              <w:bottom w:w="40" w:type="dxa"/>
              <w:right w:w="20" w:type="dxa"/>
            </w:tcMar>
            <w:vAlign w:val="bottom"/>
          </w:tcPr>
          <w:p w14:paraId="7C2082C4" w14:textId="77777777" w:rsidR="00834A75" w:rsidRDefault="00834A75">
            <w:pPr>
              <w:jc w:val="right"/>
              <w:rPr>
                <w:rFonts w:ascii="宋体"/>
              </w:rPr>
            </w:pPr>
          </w:p>
        </w:tc>
      </w:tr>
      <w:tr w:rsidR="00834A75" w14:paraId="7C2082D8" w14:textId="77777777">
        <w:tc>
          <w:tcPr>
            <w:tcW w:w="0" w:type="auto"/>
            <w:gridSpan w:val="3"/>
            <w:shd w:val="clear" w:color="auto" w:fill="E2EFD9"/>
            <w:tcMar>
              <w:top w:w="40" w:type="dxa"/>
              <w:left w:w="20" w:type="dxa"/>
              <w:bottom w:w="40" w:type="dxa"/>
              <w:right w:w="20" w:type="dxa"/>
            </w:tcMar>
            <w:vAlign w:val="bottom"/>
          </w:tcPr>
          <w:p w14:paraId="7C2082C6" w14:textId="77777777" w:rsidR="00834A75" w:rsidRDefault="00A6708C">
            <w:pPr>
              <w:textAlignment w:val="bottom"/>
            </w:pPr>
            <w:r>
              <w:rPr>
                <w:rFonts w:ascii="sans-serif" w:eastAsia="sans-serif" w:hAnsi="sans-serif" w:cs="sans-serif"/>
                <w:color w:val="000000"/>
                <w:sz w:val="20"/>
                <w:szCs w:val="20"/>
              </w:rPr>
              <w:t>Money market funds</w:t>
            </w:r>
          </w:p>
        </w:tc>
        <w:tc>
          <w:tcPr>
            <w:tcW w:w="0" w:type="auto"/>
            <w:gridSpan w:val="2"/>
            <w:shd w:val="clear" w:color="auto" w:fill="E2EFD9"/>
            <w:tcMar>
              <w:top w:w="40" w:type="dxa"/>
              <w:left w:w="20" w:type="dxa"/>
              <w:bottom w:w="40" w:type="dxa"/>
              <w:right w:w="0" w:type="dxa"/>
            </w:tcMar>
            <w:vAlign w:val="bottom"/>
          </w:tcPr>
          <w:p w14:paraId="7C2082C7" w14:textId="77777777" w:rsidR="00834A75" w:rsidRDefault="00A6708C">
            <w:pPr>
              <w:jc w:val="right"/>
              <w:textAlignment w:val="bottom"/>
            </w:pPr>
            <w:r>
              <w:rPr>
                <w:rFonts w:ascii="sans-serif" w:eastAsia="sans-serif" w:hAnsi="sans-serif" w:cs="sans-serif"/>
                <w:color w:val="000000"/>
                <w:sz w:val="20"/>
                <w:szCs w:val="20"/>
              </w:rPr>
              <w:t>316 </w:t>
            </w:r>
          </w:p>
        </w:tc>
        <w:tc>
          <w:tcPr>
            <w:tcW w:w="0" w:type="auto"/>
            <w:shd w:val="clear" w:color="auto" w:fill="E2EFD9"/>
            <w:tcMar>
              <w:top w:w="40" w:type="dxa"/>
              <w:left w:w="0" w:type="dxa"/>
              <w:bottom w:w="40" w:type="dxa"/>
              <w:right w:w="20" w:type="dxa"/>
            </w:tcMar>
            <w:vAlign w:val="bottom"/>
          </w:tcPr>
          <w:p w14:paraId="7C2082C8" w14:textId="77777777" w:rsidR="00834A75" w:rsidRDefault="00834A75">
            <w:pPr>
              <w:jc w:val="right"/>
              <w:rPr>
                <w:rFonts w:ascii="宋体"/>
              </w:rPr>
            </w:pPr>
          </w:p>
        </w:tc>
        <w:tc>
          <w:tcPr>
            <w:tcW w:w="0" w:type="auto"/>
            <w:gridSpan w:val="3"/>
            <w:shd w:val="clear" w:color="auto" w:fill="E2EFD9"/>
            <w:tcMar>
              <w:top w:w="0" w:type="dxa"/>
              <w:left w:w="20" w:type="dxa"/>
              <w:bottom w:w="0" w:type="dxa"/>
              <w:right w:w="20" w:type="dxa"/>
            </w:tcMar>
            <w:vAlign w:val="bottom"/>
          </w:tcPr>
          <w:p w14:paraId="7C2082C9" w14:textId="77777777" w:rsidR="00834A75" w:rsidRDefault="00834A75">
            <w:pPr>
              <w:rPr>
                <w:rFonts w:ascii="宋体"/>
              </w:rPr>
            </w:pPr>
          </w:p>
        </w:tc>
        <w:tc>
          <w:tcPr>
            <w:tcW w:w="0" w:type="auto"/>
            <w:gridSpan w:val="2"/>
            <w:shd w:val="clear" w:color="auto" w:fill="E2EFD9"/>
            <w:tcMar>
              <w:top w:w="40" w:type="dxa"/>
              <w:left w:w="20" w:type="dxa"/>
              <w:bottom w:w="40" w:type="dxa"/>
              <w:right w:w="0" w:type="dxa"/>
            </w:tcMar>
            <w:vAlign w:val="bottom"/>
          </w:tcPr>
          <w:p w14:paraId="7C2082CA" w14:textId="77777777" w:rsidR="00834A75" w:rsidRDefault="00A6708C">
            <w:pPr>
              <w:jc w:val="right"/>
              <w:textAlignment w:val="bottom"/>
            </w:pPr>
            <w:r>
              <w:rPr>
                <w:rFonts w:ascii="sans-serif" w:eastAsia="sans-serif" w:hAnsi="sans-serif" w:cs="sans-serif"/>
                <w:color w:val="000000"/>
                <w:sz w:val="20"/>
                <w:szCs w:val="20"/>
              </w:rPr>
              <w:t>— </w:t>
            </w:r>
          </w:p>
        </w:tc>
        <w:tc>
          <w:tcPr>
            <w:tcW w:w="0" w:type="auto"/>
            <w:shd w:val="clear" w:color="auto" w:fill="E2EFD9"/>
            <w:tcMar>
              <w:top w:w="40" w:type="dxa"/>
              <w:left w:w="0" w:type="dxa"/>
              <w:bottom w:w="40" w:type="dxa"/>
              <w:right w:w="20" w:type="dxa"/>
            </w:tcMar>
            <w:vAlign w:val="bottom"/>
          </w:tcPr>
          <w:p w14:paraId="7C2082CB" w14:textId="77777777" w:rsidR="00834A75" w:rsidRDefault="00834A75">
            <w:pPr>
              <w:jc w:val="right"/>
              <w:rPr>
                <w:rFonts w:ascii="宋体"/>
              </w:rPr>
            </w:pPr>
          </w:p>
        </w:tc>
        <w:tc>
          <w:tcPr>
            <w:tcW w:w="0" w:type="auto"/>
            <w:gridSpan w:val="3"/>
            <w:shd w:val="clear" w:color="auto" w:fill="E2EFD9"/>
            <w:tcMar>
              <w:top w:w="0" w:type="dxa"/>
              <w:left w:w="20" w:type="dxa"/>
              <w:bottom w:w="0" w:type="dxa"/>
              <w:right w:w="20" w:type="dxa"/>
            </w:tcMar>
            <w:vAlign w:val="bottom"/>
          </w:tcPr>
          <w:p w14:paraId="7C2082CC" w14:textId="77777777" w:rsidR="00834A75" w:rsidRDefault="00834A75">
            <w:pPr>
              <w:rPr>
                <w:rFonts w:ascii="宋体"/>
              </w:rPr>
            </w:pPr>
          </w:p>
        </w:tc>
        <w:tc>
          <w:tcPr>
            <w:tcW w:w="0" w:type="auto"/>
            <w:gridSpan w:val="2"/>
            <w:shd w:val="clear" w:color="auto" w:fill="E2EFD9"/>
            <w:tcMar>
              <w:top w:w="40" w:type="dxa"/>
              <w:left w:w="20" w:type="dxa"/>
              <w:bottom w:w="40" w:type="dxa"/>
              <w:right w:w="0" w:type="dxa"/>
            </w:tcMar>
            <w:vAlign w:val="bottom"/>
          </w:tcPr>
          <w:p w14:paraId="7C2082CD" w14:textId="77777777" w:rsidR="00834A75" w:rsidRDefault="00A6708C">
            <w:pPr>
              <w:jc w:val="right"/>
              <w:textAlignment w:val="bottom"/>
            </w:pPr>
            <w:r>
              <w:rPr>
                <w:rFonts w:ascii="sans-serif" w:eastAsia="sans-serif" w:hAnsi="sans-serif" w:cs="sans-serif"/>
                <w:color w:val="000000"/>
                <w:sz w:val="20"/>
                <w:szCs w:val="20"/>
              </w:rPr>
              <w:t>— </w:t>
            </w:r>
          </w:p>
        </w:tc>
        <w:tc>
          <w:tcPr>
            <w:tcW w:w="0" w:type="auto"/>
            <w:shd w:val="clear" w:color="auto" w:fill="E2EFD9"/>
            <w:tcMar>
              <w:top w:w="40" w:type="dxa"/>
              <w:left w:w="0" w:type="dxa"/>
              <w:bottom w:w="40" w:type="dxa"/>
              <w:right w:w="20" w:type="dxa"/>
            </w:tcMar>
            <w:vAlign w:val="bottom"/>
          </w:tcPr>
          <w:p w14:paraId="7C2082CE" w14:textId="77777777" w:rsidR="00834A75" w:rsidRDefault="00834A75">
            <w:pPr>
              <w:jc w:val="right"/>
              <w:rPr>
                <w:rFonts w:ascii="宋体"/>
              </w:rPr>
            </w:pPr>
          </w:p>
        </w:tc>
        <w:tc>
          <w:tcPr>
            <w:tcW w:w="0" w:type="auto"/>
            <w:gridSpan w:val="3"/>
            <w:shd w:val="clear" w:color="auto" w:fill="E2EFD9"/>
            <w:tcMar>
              <w:top w:w="0" w:type="dxa"/>
              <w:left w:w="20" w:type="dxa"/>
              <w:bottom w:w="0" w:type="dxa"/>
              <w:right w:w="20" w:type="dxa"/>
            </w:tcMar>
            <w:vAlign w:val="bottom"/>
          </w:tcPr>
          <w:p w14:paraId="7C2082CF" w14:textId="77777777" w:rsidR="00834A75" w:rsidRDefault="00834A75">
            <w:pPr>
              <w:rPr>
                <w:rFonts w:ascii="宋体"/>
              </w:rPr>
            </w:pPr>
          </w:p>
        </w:tc>
        <w:tc>
          <w:tcPr>
            <w:tcW w:w="0" w:type="auto"/>
            <w:gridSpan w:val="2"/>
            <w:shd w:val="clear" w:color="auto" w:fill="E2EFD9"/>
            <w:tcMar>
              <w:top w:w="40" w:type="dxa"/>
              <w:left w:w="20" w:type="dxa"/>
              <w:bottom w:w="40" w:type="dxa"/>
              <w:right w:w="0" w:type="dxa"/>
            </w:tcMar>
            <w:vAlign w:val="bottom"/>
          </w:tcPr>
          <w:p w14:paraId="7C2082D0" w14:textId="77777777" w:rsidR="00834A75" w:rsidRDefault="00A6708C">
            <w:pPr>
              <w:jc w:val="right"/>
              <w:textAlignment w:val="bottom"/>
            </w:pPr>
            <w:r>
              <w:rPr>
                <w:rFonts w:ascii="sans-serif" w:eastAsia="sans-serif" w:hAnsi="sans-serif" w:cs="sans-serif"/>
                <w:color w:val="000000"/>
                <w:sz w:val="20"/>
                <w:szCs w:val="20"/>
              </w:rPr>
              <w:t>316 </w:t>
            </w:r>
          </w:p>
        </w:tc>
        <w:tc>
          <w:tcPr>
            <w:tcW w:w="0" w:type="auto"/>
            <w:shd w:val="clear" w:color="auto" w:fill="E2EFD9"/>
            <w:tcMar>
              <w:top w:w="40" w:type="dxa"/>
              <w:left w:w="0" w:type="dxa"/>
              <w:bottom w:w="40" w:type="dxa"/>
              <w:right w:w="20" w:type="dxa"/>
            </w:tcMar>
            <w:vAlign w:val="bottom"/>
          </w:tcPr>
          <w:p w14:paraId="7C2082D1" w14:textId="77777777" w:rsidR="00834A75" w:rsidRDefault="00834A75">
            <w:pPr>
              <w:jc w:val="right"/>
              <w:rPr>
                <w:rFonts w:ascii="宋体"/>
              </w:rPr>
            </w:pPr>
          </w:p>
        </w:tc>
        <w:tc>
          <w:tcPr>
            <w:tcW w:w="0" w:type="auto"/>
            <w:gridSpan w:val="3"/>
            <w:shd w:val="clear" w:color="auto" w:fill="E2EFD9"/>
            <w:tcMar>
              <w:top w:w="0" w:type="dxa"/>
              <w:left w:w="20" w:type="dxa"/>
              <w:bottom w:w="0" w:type="dxa"/>
              <w:right w:w="20" w:type="dxa"/>
            </w:tcMar>
            <w:vAlign w:val="bottom"/>
          </w:tcPr>
          <w:p w14:paraId="7C2082D2" w14:textId="77777777" w:rsidR="00834A75" w:rsidRDefault="00834A75">
            <w:pPr>
              <w:rPr>
                <w:rFonts w:ascii="宋体"/>
              </w:rPr>
            </w:pPr>
          </w:p>
        </w:tc>
        <w:tc>
          <w:tcPr>
            <w:tcW w:w="0" w:type="auto"/>
            <w:gridSpan w:val="2"/>
            <w:shd w:val="clear" w:color="auto" w:fill="E2EFD9"/>
            <w:tcMar>
              <w:top w:w="40" w:type="dxa"/>
              <w:left w:w="20" w:type="dxa"/>
              <w:bottom w:w="40" w:type="dxa"/>
              <w:right w:w="0" w:type="dxa"/>
            </w:tcMar>
            <w:vAlign w:val="bottom"/>
          </w:tcPr>
          <w:p w14:paraId="7C2082D3" w14:textId="77777777" w:rsidR="00834A75" w:rsidRDefault="00A6708C">
            <w:pPr>
              <w:jc w:val="right"/>
              <w:textAlignment w:val="bottom"/>
            </w:pPr>
            <w:r>
              <w:rPr>
                <w:rFonts w:ascii="sans-serif" w:eastAsia="sans-serif" w:hAnsi="sans-serif" w:cs="sans-serif"/>
                <w:color w:val="000000"/>
                <w:sz w:val="20"/>
                <w:szCs w:val="20"/>
              </w:rPr>
              <w:t>316 </w:t>
            </w:r>
          </w:p>
        </w:tc>
        <w:tc>
          <w:tcPr>
            <w:tcW w:w="0" w:type="auto"/>
            <w:shd w:val="clear" w:color="auto" w:fill="E2EFD9"/>
            <w:tcMar>
              <w:top w:w="40" w:type="dxa"/>
              <w:left w:w="0" w:type="dxa"/>
              <w:bottom w:w="40" w:type="dxa"/>
              <w:right w:w="20" w:type="dxa"/>
            </w:tcMar>
            <w:vAlign w:val="bottom"/>
          </w:tcPr>
          <w:p w14:paraId="7C2082D4" w14:textId="77777777" w:rsidR="00834A75" w:rsidRDefault="00834A75">
            <w:pPr>
              <w:jc w:val="right"/>
              <w:rPr>
                <w:rFonts w:ascii="宋体"/>
              </w:rPr>
            </w:pPr>
          </w:p>
        </w:tc>
        <w:tc>
          <w:tcPr>
            <w:tcW w:w="0" w:type="auto"/>
            <w:gridSpan w:val="3"/>
            <w:shd w:val="clear" w:color="auto" w:fill="E2EFD9"/>
            <w:tcMar>
              <w:top w:w="0" w:type="dxa"/>
              <w:left w:w="20" w:type="dxa"/>
              <w:bottom w:w="0" w:type="dxa"/>
              <w:right w:w="20" w:type="dxa"/>
            </w:tcMar>
            <w:vAlign w:val="bottom"/>
          </w:tcPr>
          <w:p w14:paraId="7C2082D5" w14:textId="77777777" w:rsidR="00834A75" w:rsidRDefault="00834A75">
            <w:pPr>
              <w:rPr>
                <w:rFonts w:ascii="宋体"/>
              </w:rPr>
            </w:pPr>
          </w:p>
        </w:tc>
        <w:tc>
          <w:tcPr>
            <w:tcW w:w="0" w:type="auto"/>
            <w:gridSpan w:val="2"/>
            <w:shd w:val="clear" w:color="auto" w:fill="E2EFD9"/>
            <w:tcMar>
              <w:top w:w="40" w:type="dxa"/>
              <w:left w:w="20" w:type="dxa"/>
              <w:bottom w:w="40" w:type="dxa"/>
              <w:right w:w="0" w:type="dxa"/>
            </w:tcMar>
            <w:vAlign w:val="bottom"/>
          </w:tcPr>
          <w:p w14:paraId="7C2082D6" w14:textId="77777777" w:rsidR="00834A75" w:rsidRDefault="00A6708C">
            <w:pPr>
              <w:jc w:val="right"/>
              <w:textAlignment w:val="bottom"/>
            </w:pPr>
            <w:r>
              <w:rPr>
                <w:rFonts w:ascii="sans-serif" w:eastAsia="sans-serif" w:hAnsi="sans-serif" w:cs="sans-serif"/>
                <w:color w:val="000000"/>
                <w:sz w:val="20"/>
                <w:szCs w:val="20"/>
              </w:rPr>
              <w:t>— </w:t>
            </w:r>
          </w:p>
        </w:tc>
        <w:tc>
          <w:tcPr>
            <w:tcW w:w="0" w:type="auto"/>
            <w:shd w:val="clear" w:color="auto" w:fill="E2EFD9"/>
            <w:tcMar>
              <w:top w:w="40" w:type="dxa"/>
              <w:left w:w="0" w:type="dxa"/>
              <w:bottom w:w="40" w:type="dxa"/>
              <w:right w:w="20" w:type="dxa"/>
            </w:tcMar>
            <w:vAlign w:val="bottom"/>
          </w:tcPr>
          <w:p w14:paraId="7C2082D7" w14:textId="77777777" w:rsidR="00834A75" w:rsidRDefault="00834A75">
            <w:pPr>
              <w:jc w:val="right"/>
              <w:rPr>
                <w:rFonts w:ascii="宋体"/>
              </w:rPr>
            </w:pPr>
          </w:p>
        </w:tc>
      </w:tr>
      <w:tr w:rsidR="00834A75" w14:paraId="7C2082EB" w14:textId="77777777">
        <w:tc>
          <w:tcPr>
            <w:tcW w:w="0" w:type="auto"/>
            <w:gridSpan w:val="3"/>
            <w:shd w:val="clear" w:color="auto" w:fill="FFFFFF"/>
            <w:tcMar>
              <w:top w:w="40" w:type="dxa"/>
              <w:left w:w="20" w:type="dxa"/>
              <w:bottom w:w="40" w:type="dxa"/>
              <w:right w:w="20" w:type="dxa"/>
            </w:tcMar>
            <w:vAlign w:val="bottom"/>
          </w:tcPr>
          <w:p w14:paraId="7C2082D9" w14:textId="77777777" w:rsidR="00834A75" w:rsidRDefault="00A6708C">
            <w:pPr>
              <w:textAlignment w:val="bottom"/>
            </w:pPr>
            <w:r>
              <w:rPr>
                <w:rFonts w:ascii="sans-serif" w:eastAsia="sans-serif" w:hAnsi="sans-serif" w:cs="sans-serif"/>
                <w:color w:val="000000"/>
                <w:sz w:val="20"/>
                <w:szCs w:val="20"/>
              </w:rPr>
              <w:t>Foreign government bonds</w:t>
            </w:r>
          </w:p>
        </w:tc>
        <w:tc>
          <w:tcPr>
            <w:tcW w:w="0" w:type="auto"/>
            <w:gridSpan w:val="2"/>
            <w:shd w:val="clear" w:color="auto" w:fill="FFFFFF"/>
            <w:tcMar>
              <w:top w:w="40" w:type="dxa"/>
              <w:left w:w="20" w:type="dxa"/>
              <w:bottom w:w="40" w:type="dxa"/>
              <w:right w:w="0" w:type="dxa"/>
            </w:tcMar>
            <w:vAlign w:val="bottom"/>
          </w:tcPr>
          <w:p w14:paraId="7C2082DA" w14:textId="77777777" w:rsidR="00834A75" w:rsidRDefault="00A6708C">
            <w:pPr>
              <w:jc w:val="right"/>
              <w:textAlignment w:val="bottom"/>
            </w:pPr>
            <w:r>
              <w:rPr>
                <w:rFonts w:ascii="sans-serif" w:eastAsia="sans-serif" w:hAnsi="sans-serif" w:cs="sans-serif"/>
                <w:color w:val="000000"/>
                <w:sz w:val="20"/>
                <w:szCs w:val="20"/>
              </w:rPr>
              <w:t>150 </w:t>
            </w:r>
          </w:p>
        </w:tc>
        <w:tc>
          <w:tcPr>
            <w:tcW w:w="0" w:type="auto"/>
            <w:shd w:val="clear" w:color="auto" w:fill="FFFFFF"/>
            <w:tcMar>
              <w:top w:w="40" w:type="dxa"/>
              <w:left w:w="0" w:type="dxa"/>
              <w:bottom w:w="40" w:type="dxa"/>
              <w:right w:w="20" w:type="dxa"/>
            </w:tcMar>
            <w:vAlign w:val="bottom"/>
          </w:tcPr>
          <w:p w14:paraId="7C2082DB" w14:textId="77777777" w:rsidR="00834A75" w:rsidRDefault="00834A75">
            <w:pPr>
              <w:jc w:val="right"/>
              <w:rPr>
                <w:rFonts w:ascii="宋体"/>
              </w:rPr>
            </w:pPr>
          </w:p>
        </w:tc>
        <w:tc>
          <w:tcPr>
            <w:tcW w:w="0" w:type="auto"/>
            <w:gridSpan w:val="3"/>
            <w:shd w:val="clear" w:color="auto" w:fill="FFFFFF"/>
            <w:tcMar>
              <w:top w:w="0" w:type="dxa"/>
              <w:left w:w="20" w:type="dxa"/>
              <w:bottom w:w="0" w:type="dxa"/>
              <w:right w:w="20" w:type="dxa"/>
            </w:tcMar>
            <w:vAlign w:val="bottom"/>
          </w:tcPr>
          <w:p w14:paraId="7C2082DC" w14:textId="77777777" w:rsidR="00834A75" w:rsidRDefault="00834A75">
            <w:pPr>
              <w:rPr>
                <w:rFonts w:ascii="宋体"/>
              </w:rPr>
            </w:pPr>
          </w:p>
        </w:tc>
        <w:tc>
          <w:tcPr>
            <w:tcW w:w="0" w:type="auto"/>
            <w:gridSpan w:val="2"/>
            <w:shd w:val="clear" w:color="auto" w:fill="FFFFFF"/>
            <w:tcMar>
              <w:top w:w="40" w:type="dxa"/>
              <w:left w:w="20" w:type="dxa"/>
              <w:bottom w:w="40" w:type="dxa"/>
              <w:right w:w="0" w:type="dxa"/>
            </w:tcMar>
            <w:vAlign w:val="bottom"/>
          </w:tcPr>
          <w:p w14:paraId="7C2082DD" w14:textId="77777777" w:rsidR="00834A75" w:rsidRDefault="00A6708C">
            <w:pPr>
              <w:jc w:val="right"/>
              <w:textAlignment w:val="bottom"/>
            </w:pPr>
            <w:r>
              <w:rPr>
                <w:rFonts w:ascii="sans-serif" w:eastAsia="sans-serif" w:hAnsi="sans-serif" w:cs="sans-serif"/>
                <w:color w:val="000000"/>
                <w:sz w:val="20"/>
                <w:szCs w:val="20"/>
              </w:rPr>
              <w:t>— </w:t>
            </w:r>
          </w:p>
        </w:tc>
        <w:tc>
          <w:tcPr>
            <w:tcW w:w="0" w:type="auto"/>
            <w:shd w:val="clear" w:color="auto" w:fill="FFFFFF"/>
            <w:tcMar>
              <w:top w:w="40" w:type="dxa"/>
              <w:left w:w="0" w:type="dxa"/>
              <w:bottom w:w="40" w:type="dxa"/>
              <w:right w:w="20" w:type="dxa"/>
            </w:tcMar>
            <w:vAlign w:val="bottom"/>
          </w:tcPr>
          <w:p w14:paraId="7C2082DE" w14:textId="77777777" w:rsidR="00834A75" w:rsidRDefault="00834A75">
            <w:pPr>
              <w:jc w:val="right"/>
              <w:rPr>
                <w:rFonts w:ascii="宋体"/>
              </w:rPr>
            </w:pPr>
          </w:p>
        </w:tc>
        <w:tc>
          <w:tcPr>
            <w:tcW w:w="0" w:type="auto"/>
            <w:gridSpan w:val="3"/>
            <w:shd w:val="clear" w:color="auto" w:fill="FFFFFF"/>
            <w:tcMar>
              <w:top w:w="0" w:type="dxa"/>
              <w:left w:w="20" w:type="dxa"/>
              <w:bottom w:w="0" w:type="dxa"/>
              <w:right w:w="20" w:type="dxa"/>
            </w:tcMar>
            <w:vAlign w:val="bottom"/>
          </w:tcPr>
          <w:p w14:paraId="7C2082DF" w14:textId="77777777" w:rsidR="00834A75" w:rsidRDefault="00834A75">
            <w:pPr>
              <w:rPr>
                <w:rFonts w:ascii="宋体"/>
              </w:rPr>
            </w:pPr>
          </w:p>
        </w:tc>
        <w:tc>
          <w:tcPr>
            <w:tcW w:w="0" w:type="auto"/>
            <w:gridSpan w:val="2"/>
            <w:shd w:val="clear" w:color="auto" w:fill="FFFFFF"/>
            <w:tcMar>
              <w:top w:w="40" w:type="dxa"/>
              <w:left w:w="20" w:type="dxa"/>
              <w:bottom w:w="40" w:type="dxa"/>
              <w:right w:w="0" w:type="dxa"/>
            </w:tcMar>
            <w:vAlign w:val="bottom"/>
          </w:tcPr>
          <w:p w14:paraId="7C2082E0" w14:textId="77777777" w:rsidR="00834A75" w:rsidRDefault="00A6708C">
            <w:pPr>
              <w:jc w:val="right"/>
              <w:textAlignment w:val="bottom"/>
            </w:pPr>
            <w:r>
              <w:rPr>
                <w:rFonts w:ascii="sans-serif" w:eastAsia="sans-serif" w:hAnsi="sans-serif" w:cs="sans-serif"/>
                <w:color w:val="000000"/>
                <w:sz w:val="20"/>
                <w:szCs w:val="20"/>
              </w:rPr>
              <w:t>— </w:t>
            </w:r>
          </w:p>
        </w:tc>
        <w:tc>
          <w:tcPr>
            <w:tcW w:w="0" w:type="auto"/>
            <w:shd w:val="clear" w:color="auto" w:fill="FFFFFF"/>
            <w:tcMar>
              <w:top w:w="40" w:type="dxa"/>
              <w:left w:w="0" w:type="dxa"/>
              <w:bottom w:w="40" w:type="dxa"/>
              <w:right w:w="20" w:type="dxa"/>
            </w:tcMar>
            <w:vAlign w:val="bottom"/>
          </w:tcPr>
          <w:p w14:paraId="7C2082E1" w14:textId="77777777" w:rsidR="00834A75" w:rsidRDefault="00834A75">
            <w:pPr>
              <w:jc w:val="right"/>
              <w:rPr>
                <w:rFonts w:ascii="宋体"/>
              </w:rPr>
            </w:pPr>
          </w:p>
        </w:tc>
        <w:tc>
          <w:tcPr>
            <w:tcW w:w="0" w:type="auto"/>
            <w:gridSpan w:val="3"/>
            <w:shd w:val="clear" w:color="auto" w:fill="FFFFFF"/>
            <w:tcMar>
              <w:top w:w="0" w:type="dxa"/>
              <w:left w:w="20" w:type="dxa"/>
              <w:bottom w:w="0" w:type="dxa"/>
              <w:right w:w="20" w:type="dxa"/>
            </w:tcMar>
            <w:vAlign w:val="bottom"/>
          </w:tcPr>
          <w:p w14:paraId="7C2082E2" w14:textId="77777777" w:rsidR="00834A75" w:rsidRDefault="00834A75">
            <w:pPr>
              <w:rPr>
                <w:rFonts w:ascii="宋体"/>
              </w:rPr>
            </w:pPr>
          </w:p>
        </w:tc>
        <w:tc>
          <w:tcPr>
            <w:tcW w:w="0" w:type="auto"/>
            <w:gridSpan w:val="2"/>
            <w:shd w:val="clear" w:color="auto" w:fill="FFFFFF"/>
            <w:tcMar>
              <w:top w:w="40" w:type="dxa"/>
              <w:left w:w="20" w:type="dxa"/>
              <w:bottom w:w="40" w:type="dxa"/>
              <w:right w:w="0" w:type="dxa"/>
            </w:tcMar>
            <w:vAlign w:val="bottom"/>
          </w:tcPr>
          <w:p w14:paraId="7C2082E3" w14:textId="77777777" w:rsidR="00834A75" w:rsidRDefault="00A6708C">
            <w:pPr>
              <w:jc w:val="right"/>
              <w:textAlignment w:val="bottom"/>
            </w:pPr>
            <w:r>
              <w:rPr>
                <w:rFonts w:ascii="sans-serif" w:eastAsia="sans-serif" w:hAnsi="sans-serif" w:cs="sans-serif"/>
                <w:color w:val="000000"/>
                <w:sz w:val="20"/>
                <w:szCs w:val="20"/>
              </w:rPr>
              <w:t>150 </w:t>
            </w:r>
          </w:p>
        </w:tc>
        <w:tc>
          <w:tcPr>
            <w:tcW w:w="0" w:type="auto"/>
            <w:shd w:val="clear" w:color="auto" w:fill="FFFFFF"/>
            <w:tcMar>
              <w:top w:w="40" w:type="dxa"/>
              <w:left w:w="0" w:type="dxa"/>
              <w:bottom w:w="40" w:type="dxa"/>
              <w:right w:w="20" w:type="dxa"/>
            </w:tcMar>
            <w:vAlign w:val="bottom"/>
          </w:tcPr>
          <w:p w14:paraId="7C2082E4" w14:textId="77777777" w:rsidR="00834A75" w:rsidRDefault="00834A75">
            <w:pPr>
              <w:jc w:val="right"/>
              <w:rPr>
                <w:rFonts w:ascii="宋体"/>
              </w:rPr>
            </w:pPr>
          </w:p>
        </w:tc>
        <w:tc>
          <w:tcPr>
            <w:tcW w:w="0" w:type="auto"/>
            <w:gridSpan w:val="3"/>
            <w:shd w:val="clear" w:color="auto" w:fill="FFFFFF"/>
            <w:tcMar>
              <w:top w:w="0" w:type="dxa"/>
              <w:left w:w="20" w:type="dxa"/>
              <w:bottom w:w="0" w:type="dxa"/>
              <w:right w:w="20" w:type="dxa"/>
            </w:tcMar>
            <w:vAlign w:val="bottom"/>
          </w:tcPr>
          <w:p w14:paraId="7C2082E5" w14:textId="77777777" w:rsidR="00834A75" w:rsidRDefault="00834A75">
            <w:pPr>
              <w:rPr>
                <w:rFonts w:ascii="宋体"/>
              </w:rPr>
            </w:pPr>
          </w:p>
        </w:tc>
        <w:tc>
          <w:tcPr>
            <w:tcW w:w="0" w:type="auto"/>
            <w:gridSpan w:val="2"/>
            <w:shd w:val="clear" w:color="auto" w:fill="FFFFFF"/>
            <w:tcMar>
              <w:top w:w="40" w:type="dxa"/>
              <w:left w:w="20" w:type="dxa"/>
              <w:bottom w:w="40" w:type="dxa"/>
              <w:right w:w="0" w:type="dxa"/>
            </w:tcMar>
            <w:vAlign w:val="bottom"/>
          </w:tcPr>
          <w:p w14:paraId="7C2082E6" w14:textId="77777777" w:rsidR="00834A75" w:rsidRDefault="00A6708C">
            <w:pPr>
              <w:jc w:val="right"/>
              <w:textAlignment w:val="bottom"/>
            </w:pPr>
            <w:r>
              <w:rPr>
                <w:rFonts w:ascii="sans-serif" w:eastAsia="sans-serif" w:hAnsi="sans-serif" w:cs="sans-serif"/>
                <w:color w:val="000000"/>
                <w:sz w:val="20"/>
                <w:szCs w:val="20"/>
              </w:rPr>
              <w:t>— </w:t>
            </w:r>
          </w:p>
        </w:tc>
        <w:tc>
          <w:tcPr>
            <w:tcW w:w="0" w:type="auto"/>
            <w:shd w:val="clear" w:color="auto" w:fill="FFFFFF"/>
            <w:tcMar>
              <w:top w:w="40" w:type="dxa"/>
              <w:left w:w="0" w:type="dxa"/>
              <w:bottom w:w="40" w:type="dxa"/>
              <w:right w:w="20" w:type="dxa"/>
            </w:tcMar>
            <w:vAlign w:val="bottom"/>
          </w:tcPr>
          <w:p w14:paraId="7C2082E7" w14:textId="77777777" w:rsidR="00834A75" w:rsidRDefault="00834A75">
            <w:pPr>
              <w:jc w:val="right"/>
              <w:rPr>
                <w:rFonts w:ascii="宋体"/>
              </w:rPr>
            </w:pPr>
          </w:p>
        </w:tc>
        <w:tc>
          <w:tcPr>
            <w:tcW w:w="0" w:type="auto"/>
            <w:gridSpan w:val="3"/>
            <w:shd w:val="clear" w:color="auto" w:fill="FFFFFF"/>
            <w:tcMar>
              <w:top w:w="0" w:type="dxa"/>
              <w:left w:w="20" w:type="dxa"/>
              <w:bottom w:w="0" w:type="dxa"/>
              <w:right w:w="20" w:type="dxa"/>
            </w:tcMar>
            <w:vAlign w:val="bottom"/>
          </w:tcPr>
          <w:p w14:paraId="7C2082E8" w14:textId="77777777" w:rsidR="00834A75" w:rsidRDefault="00834A75">
            <w:pPr>
              <w:rPr>
                <w:rFonts w:ascii="宋体"/>
              </w:rPr>
            </w:pPr>
          </w:p>
        </w:tc>
        <w:tc>
          <w:tcPr>
            <w:tcW w:w="0" w:type="auto"/>
            <w:gridSpan w:val="2"/>
            <w:shd w:val="clear" w:color="auto" w:fill="FFFFFF"/>
            <w:tcMar>
              <w:top w:w="40" w:type="dxa"/>
              <w:left w:w="20" w:type="dxa"/>
              <w:bottom w:w="40" w:type="dxa"/>
              <w:right w:w="0" w:type="dxa"/>
            </w:tcMar>
            <w:vAlign w:val="bottom"/>
          </w:tcPr>
          <w:p w14:paraId="7C2082E9" w14:textId="77777777" w:rsidR="00834A75" w:rsidRDefault="00A6708C">
            <w:pPr>
              <w:jc w:val="right"/>
              <w:textAlignment w:val="bottom"/>
            </w:pPr>
            <w:r>
              <w:rPr>
                <w:rFonts w:ascii="sans-serif" w:eastAsia="sans-serif" w:hAnsi="sans-serif" w:cs="sans-serif"/>
                <w:color w:val="000000"/>
                <w:sz w:val="20"/>
                <w:szCs w:val="20"/>
              </w:rPr>
              <w:t>150 </w:t>
            </w:r>
          </w:p>
        </w:tc>
        <w:tc>
          <w:tcPr>
            <w:tcW w:w="0" w:type="auto"/>
            <w:shd w:val="clear" w:color="auto" w:fill="FFFFFF"/>
            <w:tcMar>
              <w:top w:w="40" w:type="dxa"/>
              <w:left w:w="0" w:type="dxa"/>
              <w:bottom w:w="40" w:type="dxa"/>
              <w:right w:w="20" w:type="dxa"/>
            </w:tcMar>
            <w:vAlign w:val="bottom"/>
          </w:tcPr>
          <w:p w14:paraId="7C2082EA" w14:textId="77777777" w:rsidR="00834A75" w:rsidRDefault="00834A75">
            <w:pPr>
              <w:jc w:val="right"/>
              <w:rPr>
                <w:rFonts w:ascii="宋体"/>
              </w:rPr>
            </w:pPr>
          </w:p>
        </w:tc>
      </w:tr>
      <w:tr w:rsidR="00834A75" w14:paraId="7C2082F8" w14:textId="77777777">
        <w:trPr>
          <w:hidden/>
        </w:trPr>
        <w:tc>
          <w:tcPr>
            <w:tcW w:w="0" w:type="auto"/>
            <w:gridSpan w:val="3"/>
            <w:shd w:val="clear" w:color="auto" w:fill="auto"/>
            <w:vAlign w:val="bottom"/>
          </w:tcPr>
          <w:p w14:paraId="7C2082EC" w14:textId="77777777" w:rsidR="00834A75" w:rsidRDefault="00834A75">
            <w:pPr>
              <w:rPr>
                <w:rFonts w:ascii="宋体"/>
                <w:vanish/>
              </w:rPr>
            </w:pPr>
          </w:p>
        </w:tc>
        <w:tc>
          <w:tcPr>
            <w:tcW w:w="0" w:type="auto"/>
            <w:gridSpan w:val="3"/>
            <w:shd w:val="clear" w:color="auto" w:fill="auto"/>
            <w:vAlign w:val="bottom"/>
          </w:tcPr>
          <w:p w14:paraId="7C2082ED" w14:textId="77777777" w:rsidR="00834A75" w:rsidRDefault="00834A75">
            <w:pPr>
              <w:rPr>
                <w:rFonts w:ascii="宋体"/>
                <w:vanish/>
              </w:rPr>
            </w:pPr>
          </w:p>
        </w:tc>
        <w:tc>
          <w:tcPr>
            <w:tcW w:w="0" w:type="auto"/>
            <w:gridSpan w:val="3"/>
            <w:shd w:val="clear" w:color="auto" w:fill="auto"/>
            <w:vAlign w:val="bottom"/>
          </w:tcPr>
          <w:p w14:paraId="7C2082EE" w14:textId="77777777" w:rsidR="00834A75" w:rsidRDefault="00834A75">
            <w:pPr>
              <w:rPr>
                <w:rFonts w:ascii="宋体"/>
                <w:vanish/>
              </w:rPr>
            </w:pPr>
          </w:p>
        </w:tc>
        <w:tc>
          <w:tcPr>
            <w:tcW w:w="0" w:type="auto"/>
            <w:gridSpan w:val="3"/>
            <w:shd w:val="clear" w:color="auto" w:fill="auto"/>
            <w:vAlign w:val="bottom"/>
          </w:tcPr>
          <w:p w14:paraId="7C2082EF" w14:textId="77777777" w:rsidR="00834A75" w:rsidRDefault="00834A75">
            <w:pPr>
              <w:rPr>
                <w:rFonts w:ascii="宋体"/>
                <w:vanish/>
              </w:rPr>
            </w:pPr>
          </w:p>
        </w:tc>
        <w:tc>
          <w:tcPr>
            <w:tcW w:w="0" w:type="auto"/>
            <w:gridSpan w:val="3"/>
            <w:shd w:val="clear" w:color="auto" w:fill="auto"/>
            <w:vAlign w:val="bottom"/>
          </w:tcPr>
          <w:p w14:paraId="7C2082F0" w14:textId="77777777" w:rsidR="00834A75" w:rsidRDefault="00834A75">
            <w:pPr>
              <w:rPr>
                <w:rFonts w:ascii="宋体"/>
                <w:vanish/>
              </w:rPr>
            </w:pPr>
          </w:p>
        </w:tc>
        <w:tc>
          <w:tcPr>
            <w:tcW w:w="0" w:type="auto"/>
            <w:gridSpan w:val="3"/>
            <w:shd w:val="clear" w:color="auto" w:fill="auto"/>
            <w:vAlign w:val="bottom"/>
          </w:tcPr>
          <w:p w14:paraId="7C2082F1" w14:textId="77777777" w:rsidR="00834A75" w:rsidRDefault="00834A75">
            <w:pPr>
              <w:rPr>
                <w:rFonts w:ascii="宋体"/>
                <w:vanish/>
              </w:rPr>
            </w:pPr>
          </w:p>
        </w:tc>
        <w:tc>
          <w:tcPr>
            <w:tcW w:w="0" w:type="auto"/>
            <w:gridSpan w:val="3"/>
            <w:shd w:val="clear" w:color="auto" w:fill="auto"/>
            <w:vAlign w:val="bottom"/>
          </w:tcPr>
          <w:p w14:paraId="7C2082F2" w14:textId="77777777" w:rsidR="00834A75" w:rsidRDefault="00834A75">
            <w:pPr>
              <w:rPr>
                <w:rFonts w:ascii="宋体"/>
                <w:vanish/>
              </w:rPr>
            </w:pPr>
          </w:p>
        </w:tc>
        <w:tc>
          <w:tcPr>
            <w:tcW w:w="0" w:type="auto"/>
            <w:gridSpan w:val="3"/>
            <w:shd w:val="clear" w:color="auto" w:fill="auto"/>
            <w:vAlign w:val="bottom"/>
          </w:tcPr>
          <w:p w14:paraId="7C2082F3" w14:textId="77777777" w:rsidR="00834A75" w:rsidRDefault="00834A75">
            <w:pPr>
              <w:rPr>
                <w:rFonts w:ascii="宋体"/>
                <w:vanish/>
              </w:rPr>
            </w:pPr>
          </w:p>
        </w:tc>
        <w:tc>
          <w:tcPr>
            <w:tcW w:w="0" w:type="auto"/>
            <w:gridSpan w:val="3"/>
            <w:shd w:val="clear" w:color="auto" w:fill="auto"/>
            <w:vAlign w:val="bottom"/>
          </w:tcPr>
          <w:p w14:paraId="7C2082F4" w14:textId="77777777" w:rsidR="00834A75" w:rsidRDefault="00834A75">
            <w:pPr>
              <w:rPr>
                <w:rFonts w:ascii="宋体"/>
                <w:vanish/>
              </w:rPr>
            </w:pPr>
          </w:p>
        </w:tc>
        <w:tc>
          <w:tcPr>
            <w:tcW w:w="0" w:type="auto"/>
            <w:gridSpan w:val="3"/>
            <w:shd w:val="clear" w:color="auto" w:fill="auto"/>
            <w:vAlign w:val="bottom"/>
          </w:tcPr>
          <w:p w14:paraId="7C2082F5" w14:textId="77777777" w:rsidR="00834A75" w:rsidRDefault="00834A75">
            <w:pPr>
              <w:rPr>
                <w:rFonts w:ascii="宋体"/>
                <w:vanish/>
              </w:rPr>
            </w:pPr>
          </w:p>
        </w:tc>
        <w:tc>
          <w:tcPr>
            <w:tcW w:w="0" w:type="auto"/>
            <w:gridSpan w:val="3"/>
            <w:shd w:val="clear" w:color="auto" w:fill="auto"/>
            <w:vAlign w:val="bottom"/>
          </w:tcPr>
          <w:p w14:paraId="7C2082F6" w14:textId="77777777" w:rsidR="00834A75" w:rsidRDefault="00834A75">
            <w:pPr>
              <w:rPr>
                <w:rFonts w:ascii="宋体"/>
                <w:vanish/>
              </w:rPr>
            </w:pPr>
          </w:p>
        </w:tc>
        <w:tc>
          <w:tcPr>
            <w:tcW w:w="0" w:type="auto"/>
            <w:gridSpan w:val="3"/>
            <w:shd w:val="clear" w:color="auto" w:fill="auto"/>
            <w:vAlign w:val="bottom"/>
          </w:tcPr>
          <w:p w14:paraId="7C2082F7" w14:textId="77777777" w:rsidR="00834A75" w:rsidRDefault="00834A75">
            <w:pPr>
              <w:rPr>
                <w:rFonts w:ascii="宋体"/>
                <w:vanish/>
              </w:rPr>
            </w:pPr>
          </w:p>
        </w:tc>
      </w:tr>
      <w:tr w:rsidR="00834A75" w14:paraId="7C208305" w14:textId="77777777">
        <w:trPr>
          <w:hidden/>
        </w:trPr>
        <w:tc>
          <w:tcPr>
            <w:tcW w:w="0" w:type="auto"/>
            <w:gridSpan w:val="3"/>
            <w:shd w:val="clear" w:color="auto" w:fill="auto"/>
            <w:vAlign w:val="bottom"/>
          </w:tcPr>
          <w:p w14:paraId="7C2082F9" w14:textId="77777777" w:rsidR="00834A75" w:rsidRDefault="00834A75">
            <w:pPr>
              <w:rPr>
                <w:rFonts w:ascii="宋体"/>
                <w:vanish/>
              </w:rPr>
            </w:pPr>
          </w:p>
        </w:tc>
        <w:tc>
          <w:tcPr>
            <w:tcW w:w="0" w:type="auto"/>
            <w:gridSpan w:val="3"/>
            <w:shd w:val="clear" w:color="auto" w:fill="auto"/>
            <w:vAlign w:val="bottom"/>
          </w:tcPr>
          <w:p w14:paraId="7C2082FA" w14:textId="77777777" w:rsidR="00834A75" w:rsidRDefault="00834A75">
            <w:pPr>
              <w:rPr>
                <w:rFonts w:ascii="宋体"/>
                <w:vanish/>
              </w:rPr>
            </w:pPr>
          </w:p>
        </w:tc>
        <w:tc>
          <w:tcPr>
            <w:tcW w:w="0" w:type="auto"/>
            <w:gridSpan w:val="3"/>
            <w:shd w:val="clear" w:color="auto" w:fill="auto"/>
            <w:vAlign w:val="bottom"/>
          </w:tcPr>
          <w:p w14:paraId="7C2082FB" w14:textId="77777777" w:rsidR="00834A75" w:rsidRDefault="00834A75">
            <w:pPr>
              <w:rPr>
                <w:rFonts w:ascii="宋体"/>
                <w:vanish/>
              </w:rPr>
            </w:pPr>
          </w:p>
        </w:tc>
        <w:tc>
          <w:tcPr>
            <w:tcW w:w="0" w:type="auto"/>
            <w:gridSpan w:val="3"/>
            <w:shd w:val="clear" w:color="auto" w:fill="auto"/>
            <w:vAlign w:val="bottom"/>
          </w:tcPr>
          <w:p w14:paraId="7C2082FC" w14:textId="77777777" w:rsidR="00834A75" w:rsidRDefault="00834A75">
            <w:pPr>
              <w:rPr>
                <w:rFonts w:ascii="宋体"/>
                <w:vanish/>
              </w:rPr>
            </w:pPr>
          </w:p>
        </w:tc>
        <w:tc>
          <w:tcPr>
            <w:tcW w:w="0" w:type="auto"/>
            <w:gridSpan w:val="3"/>
            <w:shd w:val="clear" w:color="auto" w:fill="auto"/>
            <w:vAlign w:val="bottom"/>
          </w:tcPr>
          <w:p w14:paraId="7C2082FD" w14:textId="77777777" w:rsidR="00834A75" w:rsidRDefault="00834A75">
            <w:pPr>
              <w:rPr>
                <w:rFonts w:ascii="宋体"/>
                <w:vanish/>
              </w:rPr>
            </w:pPr>
          </w:p>
        </w:tc>
        <w:tc>
          <w:tcPr>
            <w:tcW w:w="0" w:type="auto"/>
            <w:gridSpan w:val="3"/>
            <w:shd w:val="clear" w:color="auto" w:fill="auto"/>
            <w:vAlign w:val="bottom"/>
          </w:tcPr>
          <w:p w14:paraId="7C2082FE" w14:textId="77777777" w:rsidR="00834A75" w:rsidRDefault="00834A75">
            <w:pPr>
              <w:rPr>
                <w:rFonts w:ascii="宋体"/>
                <w:vanish/>
              </w:rPr>
            </w:pPr>
          </w:p>
        </w:tc>
        <w:tc>
          <w:tcPr>
            <w:tcW w:w="0" w:type="auto"/>
            <w:gridSpan w:val="3"/>
            <w:shd w:val="clear" w:color="auto" w:fill="auto"/>
            <w:vAlign w:val="bottom"/>
          </w:tcPr>
          <w:p w14:paraId="7C2082FF" w14:textId="77777777" w:rsidR="00834A75" w:rsidRDefault="00834A75">
            <w:pPr>
              <w:rPr>
                <w:rFonts w:ascii="宋体"/>
                <w:vanish/>
              </w:rPr>
            </w:pPr>
          </w:p>
        </w:tc>
        <w:tc>
          <w:tcPr>
            <w:tcW w:w="0" w:type="auto"/>
            <w:gridSpan w:val="3"/>
            <w:shd w:val="clear" w:color="auto" w:fill="auto"/>
            <w:vAlign w:val="bottom"/>
          </w:tcPr>
          <w:p w14:paraId="7C208300" w14:textId="77777777" w:rsidR="00834A75" w:rsidRDefault="00834A75">
            <w:pPr>
              <w:rPr>
                <w:rFonts w:ascii="宋体"/>
                <w:vanish/>
              </w:rPr>
            </w:pPr>
          </w:p>
        </w:tc>
        <w:tc>
          <w:tcPr>
            <w:tcW w:w="0" w:type="auto"/>
            <w:gridSpan w:val="3"/>
            <w:shd w:val="clear" w:color="auto" w:fill="auto"/>
            <w:vAlign w:val="bottom"/>
          </w:tcPr>
          <w:p w14:paraId="7C208301" w14:textId="77777777" w:rsidR="00834A75" w:rsidRDefault="00834A75">
            <w:pPr>
              <w:rPr>
                <w:rFonts w:ascii="宋体"/>
                <w:vanish/>
              </w:rPr>
            </w:pPr>
          </w:p>
        </w:tc>
        <w:tc>
          <w:tcPr>
            <w:tcW w:w="0" w:type="auto"/>
            <w:gridSpan w:val="3"/>
            <w:shd w:val="clear" w:color="auto" w:fill="auto"/>
            <w:vAlign w:val="bottom"/>
          </w:tcPr>
          <w:p w14:paraId="7C208302" w14:textId="77777777" w:rsidR="00834A75" w:rsidRDefault="00834A75">
            <w:pPr>
              <w:rPr>
                <w:rFonts w:ascii="宋体"/>
                <w:vanish/>
              </w:rPr>
            </w:pPr>
          </w:p>
        </w:tc>
        <w:tc>
          <w:tcPr>
            <w:tcW w:w="0" w:type="auto"/>
            <w:gridSpan w:val="3"/>
            <w:shd w:val="clear" w:color="auto" w:fill="auto"/>
            <w:vAlign w:val="bottom"/>
          </w:tcPr>
          <w:p w14:paraId="7C208303" w14:textId="77777777" w:rsidR="00834A75" w:rsidRDefault="00834A75">
            <w:pPr>
              <w:rPr>
                <w:rFonts w:ascii="宋体"/>
                <w:vanish/>
              </w:rPr>
            </w:pPr>
          </w:p>
        </w:tc>
        <w:tc>
          <w:tcPr>
            <w:tcW w:w="0" w:type="auto"/>
            <w:gridSpan w:val="3"/>
            <w:shd w:val="clear" w:color="auto" w:fill="auto"/>
            <w:vAlign w:val="bottom"/>
          </w:tcPr>
          <w:p w14:paraId="7C208304" w14:textId="77777777" w:rsidR="00834A75" w:rsidRDefault="00834A75">
            <w:pPr>
              <w:rPr>
                <w:rFonts w:ascii="宋体"/>
                <w:vanish/>
              </w:rPr>
            </w:pPr>
          </w:p>
        </w:tc>
      </w:tr>
      <w:tr w:rsidR="00834A75" w14:paraId="7C20831E" w14:textId="77777777">
        <w:tc>
          <w:tcPr>
            <w:tcW w:w="0" w:type="auto"/>
            <w:gridSpan w:val="3"/>
            <w:shd w:val="clear" w:color="auto" w:fill="E2EFD9"/>
            <w:tcMar>
              <w:top w:w="40" w:type="dxa"/>
              <w:left w:w="20" w:type="dxa"/>
              <w:bottom w:w="40" w:type="dxa"/>
              <w:right w:w="20" w:type="dxa"/>
            </w:tcMar>
            <w:vAlign w:val="bottom"/>
          </w:tcPr>
          <w:p w14:paraId="7C208306" w14:textId="77777777" w:rsidR="00834A75" w:rsidRDefault="00A6708C">
            <w:pPr>
              <w:textAlignment w:val="bottom"/>
            </w:pPr>
            <w:r>
              <w:rPr>
                <w:rFonts w:ascii="sans-serif" w:eastAsia="sans-serif" w:hAnsi="sans-serif" w:cs="sans-serif"/>
                <w:color w:val="000000"/>
                <w:sz w:val="20"/>
                <w:szCs w:val="20"/>
              </w:rPr>
              <w:t>Total</w:t>
            </w:r>
          </w:p>
        </w:tc>
        <w:tc>
          <w:tcPr>
            <w:tcW w:w="0" w:type="auto"/>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7C208307" w14:textId="77777777" w:rsidR="00834A75" w:rsidRDefault="00A6708C">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E2EFD9"/>
            <w:tcMar>
              <w:top w:w="40" w:type="dxa"/>
              <w:left w:w="0" w:type="dxa"/>
              <w:bottom w:w="40" w:type="dxa"/>
              <w:right w:w="0" w:type="dxa"/>
            </w:tcMar>
            <w:vAlign w:val="bottom"/>
          </w:tcPr>
          <w:p w14:paraId="7C208308" w14:textId="77777777" w:rsidR="00834A75" w:rsidRDefault="00A6708C">
            <w:pPr>
              <w:jc w:val="right"/>
              <w:textAlignment w:val="bottom"/>
            </w:pPr>
            <w:r>
              <w:rPr>
                <w:rFonts w:ascii="sans-serif" w:eastAsia="sans-serif" w:hAnsi="sans-serif" w:cs="sans-serif"/>
                <w:color w:val="000000"/>
                <w:sz w:val="20"/>
                <w:szCs w:val="20"/>
              </w:rPr>
              <w:t>20,930 </w:t>
            </w:r>
          </w:p>
        </w:tc>
        <w:tc>
          <w:tcPr>
            <w:tcW w:w="0" w:type="auto"/>
            <w:tcBorders>
              <w:top w:val="single" w:sz="8" w:space="0" w:color="000000"/>
              <w:bottom w:val="double" w:sz="6" w:space="0" w:color="000000"/>
            </w:tcBorders>
            <w:shd w:val="clear" w:color="auto" w:fill="E2EFD9"/>
            <w:tcMar>
              <w:top w:w="40" w:type="dxa"/>
              <w:left w:w="0" w:type="dxa"/>
              <w:bottom w:w="40" w:type="dxa"/>
              <w:right w:w="20" w:type="dxa"/>
            </w:tcMar>
            <w:vAlign w:val="bottom"/>
          </w:tcPr>
          <w:p w14:paraId="7C208309" w14:textId="77777777" w:rsidR="00834A75" w:rsidRDefault="00834A75">
            <w:pPr>
              <w:jc w:val="right"/>
              <w:rPr>
                <w:rFonts w:ascii="宋体"/>
              </w:rPr>
            </w:pPr>
          </w:p>
        </w:tc>
        <w:tc>
          <w:tcPr>
            <w:tcW w:w="0" w:type="auto"/>
            <w:gridSpan w:val="3"/>
            <w:shd w:val="clear" w:color="auto" w:fill="E2EFD9"/>
            <w:tcMar>
              <w:top w:w="0" w:type="dxa"/>
              <w:left w:w="20" w:type="dxa"/>
              <w:bottom w:w="0" w:type="dxa"/>
              <w:right w:w="20" w:type="dxa"/>
            </w:tcMar>
            <w:vAlign w:val="bottom"/>
          </w:tcPr>
          <w:p w14:paraId="7C20830A" w14:textId="77777777" w:rsidR="00834A75" w:rsidRDefault="00834A75">
            <w:pPr>
              <w:rPr>
                <w:rFonts w:ascii="宋体"/>
              </w:rPr>
            </w:pPr>
          </w:p>
        </w:tc>
        <w:tc>
          <w:tcPr>
            <w:tcW w:w="0" w:type="auto"/>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7C20830B" w14:textId="77777777" w:rsidR="00834A75" w:rsidRDefault="00A6708C">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E2EFD9"/>
            <w:tcMar>
              <w:top w:w="40" w:type="dxa"/>
              <w:left w:w="0" w:type="dxa"/>
              <w:bottom w:w="40" w:type="dxa"/>
              <w:right w:w="0" w:type="dxa"/>
            </w:tcMar>
            <w:vAlign w:val="bottom"/>
          </w:tcPr>
          <w:p w14:paraId="7C20830C" w14:textId="77777777" w:rsidR="00834A75" w:rsidRDefault="00A6708C">
            <w:pPr>
              <w:jc w:val="right"/>
              <w:textAlignment w:val="bottom"/>
            </w:pPr>
            <w:r>
              <w:rPr>
                <w:rFonts w:ascii="sans-serif" w:eastAsia="sans-serif" w:hAnsi="sans-serif" w:cs="sans-serif"/>
                <w:color w:val="000000"/>
                <w:sz w:val="20"/>
                <w:szCs w:val="20"/>
              </w:rPr>
              <w:t>— </w:t>
            </w:r>
          </w:p>
        </w:tc>
        <w:tc>
          <w:tcPr>
            <w:tcW w:w="0" w:type="auto"/>
            <w:tcBorders>
              <w:top w:val="single" w:sz="8" w:space="0" w:color="000000"/>
              <w:bottom w:val="double" w:sz="6" w:space="0" w:color="000000"/>
            </w:tcBorders>
            <w:shd w:val="clear" w:color="auto" w:fill="E2EFD9"/>
            <w:tcMar>
              <w:top w:w="40" w:type="dxa"/>
              <w:left w:w="0" w:type="dxa"/>
              <w:bottom w:w="40" w:type="dxa"/>
              <w:right w:w="20" w:type="dxa"/>
            </w:tcMar>
            <w:vAlign w:val="bottom"/>
          </w:tcPr>
          <w:p w14:paraId="7C20830D" w14:textId="77777777" w:rsidR="00834A75" w:rsidRDefault="00834A75">
            <w:pPr>
              <w:jc w:val="right"/>
              <w:rPr>
                <w:rFonts w:ascii="宋体"/>
              </w:rPr>
            </w:pPr>
          </w:p>
        </w:tc>
        <w:tc>
          <w:tcPr>
            <w:tcW w:w="0" w:type="auto"/>
            <w:gridSpan w:val="3"/>
            <w:shd w:val="clear" w:color="auto" w:fill="E2EFD9"/>
            <w:tcMar>
              <w:top w:w="0" w:type="dxa"/>
              <w:left w:w="20" w:type="dxa"/>
              <w:bottom w:w="0" w:type="dxa"/>
              <w:right w:w="20" w:type="dxa"/>
            </w:tcMar>
            <w:vAlign w:val="bottom"/>
          </w:tcPr>
          <w:p w14:paraId="7C20830E" w14:textId="77777777" w:rsidR="00834A75" w:rsidRDefault="00834A75">
            <w:pPr>
              <w:rPr>
                <w:rFonts w:ascii="宋体"/>
              </w:rPr>
            </w:pPr>
          </w:p>
        </w:tc>
        <w:tc>
          <w:tcPr>
            <w:tcW w:w="0" w:type="auto"/>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7C20830F" w14:textId="77777777" w:rsidR="00834A75" w:rsidRDefault="00A6708C">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E2EFD9"/>
            <w:tcMar>
              <w:top w:w="40" w:type="dxa"/>
              <w:left w:w="0" w:type="dxa"/>
              <w:bottom w:w="40" w:type="dxa"/>
              <w:right w:w="0" w:type="dxa"/>
            </w:tcMar>
            <w:vAlign w:val="bottom"/>
          </w:tcPr>
          <w:p w14:paraId="7C208310" w14:textId="77777777" w:rsidR="00834A75" w:rsidRDefault="00A6708C">
            <w:pPr>
              <w:jc w:val="right"/>
              <w:textAlignment w:val="bottom"/>
            </w:pPr>
            <w:r>
              <w:rPr>
                <w:rFonts w:ascii="sans-serif" w:eastAsia="sans-serif" w:hAnsi="sans-serif" w:cs="sans-serif"/>
                <w:color w:val="000000"/>
                <w:sz w:val="20"/>
                <w:szCs w:val="20"/>
              </w:rPr>
              <w:t>(17)</w:t>
            </w:r>
          </w:p>
        </w:tc>
        <w:tc>
          <w:tcPr>
            <w:tcW w:w="0" w:type="auto"/>
            <w:tcBorders>
              <w:top w:val="single" w:sz="8" w:space="0" w:color="000000"/>
              <w:bottom w:val="double" w:sz="6" w:space="0" w:color="000000"/>
            </w:tcBorders>
            <w:shd w:val="clear" w:color="auto" w:fill="E2EFD9"/>
            <w:tcMar>
              <w:top w:w="40" w:type="dxa"/>
              <w:left w:w="0" w:type="dxa"/>
              <w:bottom w:w="40" w:type="dxa"/>
              <w:right w:w="20" w:type="dxa"/>
            </w:tcMar>
            <w:vAlign w:val="bottom"/>
          </w:tcPr>
          <w:p w14:paraId="7C208311" w14:textId="77777777" w:rsidR="00834A75" w:rsidRDefault="00834A75">
            <w:pPr>
              <w:jc w:val="right"/>
              <w:rPr>
                <w:rFonts w:ascii="宋体"/>
              </w:rPr>
            </w:pPr>
          </w:p>
        </w:tc>
        <w:tc>
          <w:tcPr>
            <w:tcW w:w="0" w:type="auto"/>
            <w:gridSpan w:val="3"/>
            <w:shd w:val="clear" w:color="auto" w:fill="E2EFD9"/>
            <w:tcMar>
              <w:top w:w="0" w:type="dxa"/>
              <w:left w:w="20" w:type="dxa"/>
              <w:bottom w:w="0" w:type="dxa"/>
              <w:right w:w="20" w:type="dxa"/>
            </w:tcMar>
            <w:vAlign w:val="bottom"/>
          </w:tcPr>
          <w:p w14:paraId="7C208312" w14:textId="77777777" w:rsidR="00834A75" w:rsidRDefault="00834A75">
            <w:pPr>
              <w:rPr>
                <w:rFonts w:ascii="宋体"/>
              </w:rPr>
            </w:pPr>
          </w:p>
        </w:tc>
        <w:tc>
          <w:tcPr>
            <w:tcW w:w="0" w:type="auto"/>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7C208313" w14:textId="77777777" w:rsidR="00834A75" w:rsidRDefault="00A6708C">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E2EFD9"/>
            <w:tcMar>
              <w:top w:w="40" w:type="dxa"/>
              <w:left w:w="0" w:type="dxa"/>
              <w:bottom w:w="40" w:type="dxa"/>
              <w:right w:w="0" w:type="dxa"/>
            </w:tcMar>
            <w:vAlign w:val="bottom"/>
          </w:tcPr>
          <w:p w14:paraId="7C208314" w14:textId="77777777" w:rsidR="00834A75" w:rsidRDefault="00A6708C">
            <w:pPr>
              <w:jc w:val="right"/>
              <w:textAlignment w:val="bottom"/>
            </w:pPr>
            <w:r>
              <w:rPr>
                <w:rFonts w:ascii="sans-serif" w:eastAsia="sans-serif" w:hAnsi="sans-serif" w:cs="sans-serif"/>
                <w:color w:val="000000"/>
                <w:sz w:val="20"/>
                <w:szCs w:val="20"/>
              </w:rPr>
              <w:t>20,913 </w:t>
            </w:r>
          </w:p>
        </w:tc>
        <w:tc>
          <w:tcPr>
            <w:tcW w:w="0" w:type="auto"/>
            <w:tcBorders>
              <w:top w:val="single" w:sz="8" w:space="0" w:color="000000"/>
              <w:bottom w:val="double" w:sz="6" w:space="0" w:color="000000"/>
            </w:tcBorders>
            <w:shd w:val="clear" w:color="auto" w:fill="E2EFD9"/>
            <w:tcMar>
              <w:top w:w="40" w:type="dxa"/>
              <w:left w:w="0" w:type="dxa"/>
              <w:bottom w:w="40" w:type="dxa"/>
              <w:right w:w="20" w:type="dxa"/>
            </w:tcMar>
            <w:vAlign w:val="bottom"/>
          </w:tcPr>
          <w:p w14:paraId="7C208315" w14:textId="77777777" w:rsidR="00834A75" w:rsidRDefault="00834A75">
            <w:pPr>
              <w:jc w:val="right"/>
              <w:rPr>
                <w:rFonts w:ascii="宋体"/>
              </w:rPr>
            </w:pPr>
          </w:p>
        </w:tc>
        <w:tc>
          <w:tcPr>
            <w:tcW w:w="0" w:type="auto"/>
            <w:gridSpan w:val="3"/>
            <w:shd w:val="clear" w:color="auto" w:fill="E2EFD9"/>
            <w:tcMar>
              <w:top w:w="0" w:type="dxa"/>
              <w:left w:w="20" w:type="dxa"/>
              <w:bottom w:w="0" w:type="dxa"/>
              <w:right w:w="20" w:type="dxa"/>
            </w:tcMar>
            <w:vAlign w:val="bottom"/>
          </w:tcPr>
          <w:p w14:paraId="7C208316" w14:textId="77777777" w:rsidR="00834A75" w:rsidRDefault="00834A75">
            <w:pPr>
              <w:rPr>
                <w:rFonts w:ascii="宋体"/>
              </w:rPr>
            </w:pPr>
          </w:p>
        </w:tc>
        <w:tc>
          <w:tcPr>
            <w:tcW w:w="0" w:type="auto"/>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7C208317" w14:textId="77777777" w:rsidR="00834A75" w:rsidRDefault="00A6708C">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E2EFD9"/>
            <w:tcMar>
              <w:top w:w="40" w:type="dxa"/>
              <w:left w:w="0" w:type="dxa"/>
              <w:bottom w:w="40" w:type="dxa"/>
              <w:right w:w="0" w:type="dxa"/>
            </w:tcMar>
            <w:vAlign w:val="bottom"/>
          </w:tcPr>
          <w:p w14:paraId="7C208318" w14:textId="77777777" w:rsidR="00834A75" w:rsidRDefault="00A6708C">
            <w:pPr>
              <w:jc w:val="right"/>
              <w:textAlignment w:val="bottom"/>
            </w:pPr>
            <w:r>
              <w:rPr>
                <w:rFonts w:ascii="sans-serif" w:eastAsia="sans-serif" w:hAnsi="sans-serif" w:cs="sans-serif"/>
                <w:color w:val="000000"/>
                <w:sz w:val="20"/>
                <w:szCs w:val="20"/>
              </w:rPr>
              <w:t>1,695 </w:t>
            </w:r>
          </w:p>
        </w:tc>
        <w:tc>
          <w:tcPr>
            <w:tcW w:w="0" w:type="auto"/>
            <w:tcBorders>
              <w:top w:val="single" w:sz="8" w:space="0" w:color="000000"/>
              <w:bottom w:val="double" w:sz="6" w:space="0" w:color="000000"/>
            </w:tcBorders>
            <w:shd w:val="clear" w:color="auto" w:fill="E2EFD9"/>
            <w:tcMar>
              <w:top w:w="40" w:type="dxa"/>
              <w:left w:w="0" w:type="dxa"/>
              <w:bottom w:w="40" w:type="dxa"/>
              <w:right w:w="20" w:type="dxa"/>
            </w:tcMar>
            <w:vAlign w:val="bottom"/>
          </w:tcPr>
          <w:p w14:paraId="7C208319" w14:textId="77777777" w:rsidR="00834A75" w:rsidRDefault="00834A75">
            <w:pPr>
              <w:jc w:val="right"/>
              <w:rPr>
                <w:rFonts w:ascii="宋体"/>
              </w:rPr>
            </w:pPr>
          </w:p>
        </w:tc>
        <w:tc>
          <w:tcPr>
            <w:tcW w:w="0" w:type="auto"/>
            <w:gridSpan w:val="3"/>
            <w:shd w:val="clear" w:color="auto" w:fill="E2EFD9"/>
            <w:tcMar>
              <w:top w:w="0" w:type="dxa"/>
              <w:left w:w="20" w:type="dxa"/>
              <w:bottom w:w="0" w:type="dxa"/>
              <w:right w:w="20" w:type="dxa"/>
            </w:tcMar>
            <w:vAlign w:val="bottom"/>
          </w:tcPr>
          <w:p w14:paraId="7C20831A" w14:textId="77777777" w:rsidR="00834A75" w:rsidRDefault="00834A75">
            <w:pPr>
              <w:rPr>
                <w:rFonts w:ascii="宋体"/>
              </w:rPr>
            </w:pPr>
          </w:p>
        </w:tc>
        <w:tc>
          <w:tcPr>
            <w:tcW w:w="0" w:type="auto"/>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7C20831B" w14:textId="77777777" w:rsidR="00834A75" w:rsidRDefault="00A6708C">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E2EFD9"/>
            <w:tcMar>
              <w:top w:w="40" w:type="dxa"/>
              <w:left w:w="0" w:type="dxa"/>
              <w:bottom w:w="40" w:type="dxa"/>
              <w:right w:w="0" w:type="dxa"/>
            </w:tcMar>
            <w:vAlign w:val="bottom"/>
          </w:tcPr>
          <w:p w14:paraId="7C20831C" w14:textId="77777777" w:rsidR="00834A75" w:rsidRDefault="00A6708C">
            <w:pPr>
              <w:jc w:val="right"/>
              <w:textAlignment w:val="bottom"/>
            </w:pPr>
            <w:r>
              <w:rPr>
                <w:rFonts w:ascii="sans-serif" w:eastAsia="sans-serif" w:hAnsi="sans-serif" w:cs="sans-serif"/>
                <w:color w:val="000000"/>
                <w:sz w:val="20"/>
                <w:szCs w:val="20"/>
              </w:rPr>
              <w:t>19,218 </w:t>
            </w:r>
          </w:p>
        </w:tc>
        <w:tc>
          <w:tcPr>
            <w:tcW w:w="0" w:type="auto"/>
            <w:tcBorders>
              <w:top w:val="single" w:sz="8" w:space="0" w:color="000000"/>
              <w:bottom w:val="double" w:sz="6" w:space="0" w:color="000000"/>
            </w:tcBorders>
            <w:shd w:val="clear" w:color="auto" w:fill="E2EFD9"/>
            <w:tcMar>
              <w:top w:w="40" w:type="dxa"/>
              <w:left w:w="0" w:type="dxa"/>
              <w:bottom w:w="40" w:type="dxa"/>
              <w:right w:w="20" w:type="dxa"/>
            </w:tcMar>
            <w:vAlign w:val="bottom"/>
          </w:tcPr>
          <w:p w14:paraId="7C20831D" w14:textId="77777777" w:rsidR="00834A75" w:rsidRDefault="00834A75">
            <w:pPr>
              <w:jc w:val="right"/>
              <w:rPr>
                <w:rFonts w:ascii="宋体"/>
              </w:rPr>
            </w:pPr>
          </w:p>
        </w:tc>
      </w:tr>
    </w:tbl>
    <w:p w14:paraId="7C20831F" w14:textId="77777777" w:rsidR="00834A75" w:rsidRDefault="00A6708C">
      <w:pPr>
        <w:spacing w:before="180" w:after="120"/>
        <w:jc w:val="both"/>
      </w:pPr>
      <w:r>
        <w:rPr>
          <w:rFonts w:ascii="sans-serif" w:eastAsia="sans-serif" w:hAnsi="sans-serif" w:cs="sans-serif"/>
          <w:color w:val="000000"/>
          <w:sz w:val="20"/>
          <w:szCs w:val="20"/>
        </w:rPr>
        <w:t>The following tables provide the breakdown of unrealized losses, aggregated by investment category and length of time that individual securities have been in a continuous loss positio</w:t>
      </w:r>
      <w:r>
        <w:rPr>
          <w:rFonts w:ascii="sans-serif" w:eastAsia="sans-serif" w:hAnsi="sans-serif" w:cs="sans-serif"/>
          <w:color w:val="000000"/>
          <w:sz w:val="20"/>
          <w:szCs w:val="20"/>
        </w:rPr>
        <w:t>n:</w:t>
      </w:r>
    </w:p>
    <w:tbl>
      <w:tblPr>
        <w:tblW w:w="5000" w:type="pct"/>
        <w:tblCellMar>
          <w:top w:w="15" w:type="dxa"/>
          <w:left w:w="15" w:type="dxa"/>
          <w:bottom w:w="15" w:type="dxa"/>
          <w:right w:w="15" w:type="dxa"/>
        </w:tblCellMar>
        <w:tblLook w:val="04A0" w:firstRow="1" w:lastRow="0" w:firstColumn="1" w:lastColumn="0" w:noHBand="0" w:noVBand="1"/>
      </w:tblPr>
      <w:tblGrid>
        <w:gridCol w:w="38"/>
        <w:gridCol w:w="1848"/>
        <w:gridCol w:w="37"/>
        <w:gridCol w:w="123"/>
        <w:gridCol w:w="792"/>
        <w:gridCol w:w="37"/>
        <w:gridCol w:w="36"/>
        <w:gridCol w:w="36"/>
        <w:gridCol w:w="36"/>
        <w:gridCol w:w="123"/>
        <w:gridCol w:w="846"/>
        <w:gridCol w:w="36"/>
        <w:gridCol w:w="36"/>
        <w:gridCol w:w="36"/>
        <w:gridCol w:w="36"/>
        <w:gridCol w:w="123"/>
        <w:gridCol w:w="793"/>
        <w:gridCol w:w="36"/>
        <w:gridCol w:w="36"/>
        <w:gridCol w:w="36"/>
        <w:gridCol w:w="36"/>
        <w:gridCol w:w="123"/>
        <w:gridCol w:w="846"/>
        <w:gridCol w:w="36"/>
        <w:gridCol w:w="36"/>
        <w:gridCol w:w="36"/>
        <w:gridCol w:w="36"/>
        <w:gridCol w:w="123"/>
        <w:gridCol w:w="793"/>
        <w:gridCol w:w="36"/>
        <w:gridCol w:w="36"/>
        <w:gridCol w:w="36"/>
        <w:gridCol w:w="36"/>
        <w:gridCol w:w="123"/>
        <w:gridCol w:w="848"/>
        <w:gridCol w:w="36"/>
      </w:tblGrid>
      <w:tr w:rsidR="00834A75" w14:paraId="7C208344" w14:textId="77777777">
        <w:tc>
          <w:tcPr>
            <w:tcW w:w="50" w:type="pct"/>
            <w:shd w:val="clear" w:color="auto" w:fill="auto"/>
            <w:vAlign w:val="bottom"/>
          </w:tcPr>
          <w:p w14:paraId="7C208320" w14:textId="77777777" w:rsidR="00834A75" w:rsidRDefault="00834A75">
            <w:pPr>
              <w:rPr>
                <w:rFonts w:ascii="宋体"/>
              </w:rPr>
            </w:pPr>
          </w:p>
        </w:tc>
        <w:tc>
          <w:tcPr>
            <w:tcW w:w="1268" w:type="pct"/>
            <w:shd w:val="clear" w:color="auto" w:fill="auto"/>
            <w:vAlign w:val="bottom"/>
          </w:tcPr>
          <w:p w14:paraId="7C208321" w14:textId="77777777" w:rsidR="00834A75" w:rsidRDefault="00834A75">
            <w:pPr>
              <w:rPr>
                <w:rFonts w:ascii="宋体"/>
              </w:rPr>
            </w:pPr>
          </w:p>
        </w:tc>
        <w:tc>
          <w:tcPr>
            <w:tcW w:w="5" w:type="pct"/>
            <w:shd w:val="clear" w:color="auto" w:fill="auto"/>
            <w:vAlign w:val="bottom"/>
          </w:tcPr>
          <w:p w14:paraId="7C208322" w14:textId="77777777" w:rsidR="00834A75" w:rsidRDefault="00834A75">
            <w:pPr>
              <w:rPr>
                <w:rFonts w:ascii="宋体"/>
              </w:rPr>
            </w:pPr>
          </w:p>
        </w:tc>
        <w:tc>
          <w:tcPr>
            <w:tcW w:w="50" w:type="pct"/>
            <w:shd w:val="clear" w:color="auto" w:fill="auto"/>
            <w:vAlign w:val="bottom"/>
          </w:tcPr>
          <w:p w14:paraId="7C208323" w14:textId="77777777" w:rsidR="00834A75" w:rsidRDefault="00834A75">
            <w:pPr>
              <w:rPr>
                <w:rFonts w:ascii="宋体"/>
              </w:rPr>
            </w:pPr>
          </w:p>
        </w:tc>
        <w:tc>
          <w:tcPr>
            <w:tcW w:w="529" w:type="pct"/>
            <w:shd w:val="clear" w:color="auto" w:fill="auto"/>
            <w:vAlign w:val="bottom"/>
          </w:tcPr>
          <w:p w14:paraId="7C208324" w14:textId="77777777" w:rsidR="00834A75" w:rsidRDefault="00834A75">
            <w:pPr>
              <w:rPr>
                <w:rFonts w:ascii="宋体"/>
              </w:rPr>
            </w:pPr>
          </w:p>
        </w:tc>
        <w:tc>
          <w:tcPr>
            <w:tcW w:w="5" w:type="pct"/>
            <w:shd w:val="clear" w:color="auto" w:fill="auto"/>
            <w:vAlign w:val="bottom"/>
          </w:tcPr>
          <w:p w14:paraId="7C208325" w14:textId="77777777" w:rsidR="00834A75" w:rsidRDefault="00834A75">
            <w:pPr>
              <w:rPr>
                <w:rFonts w:ascii="宋体"/>
              </w:rPr>
            </w:pPr>
          </w:p>
        </w:tc>
        <w:tc>
          <w:tcPr>
            <w:tcW w:w="5" w:type="pct"/>
            <w:shd w:val="clear" w:color="auto" w:fill="auto"/>
            <w:vAlign w:val="bottom"/>
          </w:tcPr>
          <w:p w14:paraId="7C208326" w14:textId="77777777" w:rsidR="00834A75" w:rsidRDefault="00834A75">
            <w:pPr>
              <w:rPr>
                <w:rFonts w:ascii="宋体"/>
              </w:rPr>
            </w:pPr>
          </w:p>
        </w:tc>
        <w:tc>
          <w:tcPr>
            <w:tcW w:w="26" w:type="pct"/>
            <w:shd w:val="clear" w:color="auto" w:fill="auto"/>
            <w:vAlign w:val="bottom"/>
          </w:tcPr>
          <w:p w14:paraId="7C208327" w14:textId="77777777" w:rsidR="00834A75" w:rsidRDefault="00834A75">
            <w:pPr>
              <w:rPr>
                <w:rFonts w:ascii="宋体"/>
              </w:rPr>
            </w:pPr>
          </w:p>
        </w:tc>
        <w:tc>
          <w:tcPr>
            <w:tcW w:w="5" w:type="pct"/>
            <w:shd w:val="clear" w:color="auto" w:fill="auto"/>
            <w:vAlign w:val="bottom"/>
          </w:tcPr>
          <w:p w14:paraId="7C208328" w14:textId="77777777" w:rsidR="00834A75" w:rsidRDefault="00834A75">
            <w:pPr>
              <w:rPr>
                <w:rFonts w:ascii="宋体"/>
              </w:rPr>
            </w:pPr>
          </w:p>
        </w:tc>
        <w:tc>
          <w:tcPr>
            <w:tcW w:w="50" w:type="pct"/>
            <w:shd w:val="clear" w:color="auto" w:fill="auto"/>
            <w:vAlign w:val="bottom"/>
          </w:tcPr>
          <w:p w14:paraId="7C208329" w14:textId="77777777" w:rsidR="00834A75" w:rsidRDefault="00834A75">
            <w:pPr>
              <w:rPr>
                <w:rFonts w:ascii="宋体"/>
              </w:rPr>
            </w:pPr>
          </w:p>
        </w:tc>
        <w:tc>
          <w:tcPr>
            <w:tcW w:w="529" w:type="pct"/>
            <w:shd w:val="clear" w:color="auto" w:fill="auto"/>
            <w:vAlign w:val="bottom"/>
          </w:tcPr>
          <w:p w14:paraId="7C20832A" w14:textId="77777777" w:rsidR="00834A75" w:rsidRDefault="00834A75">
            <w:pPr>
              <w:rPr>
                <w:rFonts w:ascii="宋体"/>
              </w:rPr>
            </w:pPr>
          </w:p>
        </w:tc>
        <w:tc>
          <w:tcPr>
            <w:tcW w:w="5" w:type="pct"/>
            <w:shd w:val="clear" w:color="auto" w:fill="auto"/>
            <w:vAlign w:val="bottom"/>
          </w:tcPr>
          <w:p w14:paraId="7C20832B" w14:textId="77777777" w:rsidR="00834A75" w:rsidRDefault="00834A75">
            <w:pPr>
              <w:rPr>
                <w:rFonts w:ascii="宋体"/>
              </w:rPr>
            </w:pPr>
          </w:p>
        </w:tc>
        <w:tc>
          <w:tcPr>
            <w:tcW w:w="5" w:type="pct"/>
            <w:shd w:val="clear" w:color="auto" w:fill="auto"/>
            <w:vAlign w:val="bottom"/>
          </w:tcPr>
          <w:p w14:paraId="7C20832C" w14:textId="77777777" w:rsidR="00834A75" w:rsidRDefault="00834A75">
            <w:pPr>
              <w:rPr>
                <w:rFonts w:ascii="宋体"/>
              </w:rPr>
            </w:pPr>
          </w:p>
        </w:tc>
        <w:tc>
          <w:tcPr>
            <w:tcW w:w="26" w:type="pct"/>
            <w:shd w:val="clear" w:color="auto" w:fill="auto"/>
            <w:vAlign w:val="bottom"/>
          </w:tcPr>
          <w:p w14:paraId="7C20832D" w14:textId="77777777" w:rsidR="00834A75" w:rsidRDefault="00834A75">
            <w:pPr>
              <w:rPr>
                <w:rFonts w:ascii="宋体"/>
              </w:rPr>
            </w:pPr>
          </w:p>
        </w:tc>
        <w:tc>
          <w:tcPr>
            <w:tcW w:w="5" w:type="pct"/>
            <w:shd w:val="clear" w:color="auto" w:fill="auto"/>
            <w:vAlign w:val="bottom"/>
          </w:tcPr>
          <w:p w14:paraId="7C20832E" w14:textId="77777777" w:rsidR="00834A75" w:rsidRDefault="00834A75">
            <w:pPr>
              <w:rPr>
                <w:rFonts w:ascii="宋体"/>
              </w:rPr>
            </w:pPr>
          </w:p>
        </w:tc>
        <w:tc>
          <w:tcPr>
            <w:tcW w:w="50" w:type="pct"/>
            <w:shd w:val="clear" w:color="auto" w:fill="auto"/>
            <w:vAlign w:val="bottom"/>
          </w:tcPr>
          <w:p w14:paraId="7C20832F" w14:textId="77777777" w:rsidR="00834A75" w:rsidRDefault="00834A75">
            <w:pPr>
              <w:rPr>
                <w:rFonts w:ascii="宋体"/>
              </w:rPr>
            </w:pPr>
          </w:p>
        </w:tc>
        <w:tc>
          <w:tcPr>
            <w:tcW w:w="529" w:type="pct"/>
            <w:shd w:val="clear" w:color="auto" w:fill="auto"/>
            <w:vAlign w:val="bottom"/>
          </w:tcPr>
          <w:p w14:paraId="7C208330" w14:textId="77777777" w:rsidR="00834A75" w:rsidRDefault="00834A75">
            <w:pPr>
              <w:rPr>
                <w:rFonts w:ascii="宋体"/>
              </w:rPr>
            </w:pPr>
          </w:p>
        </w:tc>
        <w:tc>
          <w:tcPr>
            <w:tcW w:w="5" w:type="pct"/>
            <w:shd w:val="clear" w:color="auto" w:fill="auto"/>
            <w:vAlign w:val="bottom"/>
          </w:tcPr>
          <w:p w14:paraId="7C208331" w14:textId="77777777" w:rsidR="00834A75" w:rsidRDefault="00834A75">
            <w:pPr>
              <w:rPr>
                <w:rFonts w:ascii="宋体"/>
              </w:rPr>
            </w:pPr>
          </w:p>
        </w:tc>
        <w:tc>
          <w:tcPr>
            <w:tcW w:w="5" w:type="pct"/>
            <w:shd w:val="clear" w:color="auto" w:fill="auto"/>
            <w:vAlign w:val="bottom"/>
          </w:tcPr>
          <w:p w14:paraId="7C208332" w14:textId="77777777" w:rsidR="00834A75" w:rsidRDefault="00834A75">
            <w:pPr>
              <w:rPr>
                <w:rFonts w:ascii="宋体"/>
              </w:rPr>
            </w:pPr>
          </w:p>
        </w:tc>
        <w:tc>
          <w:tcPr>
            <w:tcW w:w="26" w:type="pct"/>
            <w:shd w:val="clear" w:color="auto" w:fill="auto"/>
            <w:vAlign w:val="bottom"/>
          </w:tcPr>
          <w:p w14:paraId="7C208333" w14:textId="77777777" w:rsidR="00834A75" w:rsidRDefault="00834A75">
            <w:pPr>
              <w:rPr>
                <w:rFonts w:ascii="宋体"/>
              </w:rPr>
            </w:pPr>
          </w:p>
        </w:tc>
        <w:tc>
          <w:tcPr>
            <w:tcW w:w="5" w:type="pct"/>
            <w:shd w:val="clear" w:color="auto" w:fill="auto"/>
            <w:vAlign w:val="bottom"/>
          </w:tcPr>
          <w:p w14:paraId="7C208334" w14:textId="77777777" w:rsidR="00834A75" w:rsidRDefault="00834A75">
            <w:pPr>
              <w:rPr>
                <w:rFonts w:ascii="宋体"/>
              </w:rPr>
            </w:pPr>
          </w:p>
        </w:tc>
        <w:tc>
          <w:tcPr>
            <w:tcW w:w="50" w:type="pct"/>
            <w:shd w:val="clear" w:color="auto" w:fill="auto"/>
            <w:vAlign w:val="bottom"/>
          </w:tcPr>
          <w:p w14:paraId="7C208335" w14:textId="77777777" w:rsidR="00834A75" w:rsidRDefault="00834A75">
            <w:pPr>
              <w:rPr>
                <w:rFonts w:ascii="宋体"/>
              </w:rPr>
            </w:pPr>
          </w:p>
        </w:tc>
        <w:tc>
          <w:tcPr>
            <w:tcW w:w="529" w:type="pct"/>
            <w:shd w:val="clear" w:color="auto" w:fill="auto"/>
            <w:vAlign w:val="bottom"/>
          </w:tcPr>
          <w:p w14:paraId="7C208336" w14:textId="77777777" w:rsidR="00834A75" w:rsidRDefault="00834A75">
            <w:pPr>
              <w:rPr>
                <w:rFonts w:ascii="宋体"/>
              </w:rPr>
            </w:pPr>
          </w:p>
        </w:tc>
        <w:tc>
          <w:tcPr>
            <w:tcW w:w="5" w:type="pct"/>
            <w:shd w:val="clear" w:color="auto" w:fill="auto"/>
            <w:vAlign w:val="bottom"/>
          </w:tcPr>
          <w:p w14:paraId="7C208337" w14:textId="77777777" w:rsidR="00834A75" w:rsidRDefault="00834A75">
            <w:pPr>
              <w:rPr>
                <w:rFonts w:ascii="宋体"/>
              </w:rPr>
            </w:pPr>
          </w:p>
        </w:tc>
        <w:tc>
          <w:tcPr>
            <w:tcW w:w="5" w:type="pct"/>
            <w:shd w:val="clear" w:color="auto" w:fill="auto"/>
            <w:vAlign w:val="bottom"/>
          </w:tcPr>
          <w:p w14:paraId="7C208338" w14:textId="77777777" w:rsidR="00834A75" w:rsidRDefault="00834A75">
            <w:pPr>
              <w:rPr>
                <w:rFonts w:ascii="宋体"/>
              </w:rPr>
            </w:pPr>
          </w:p>
        </w:tc>
        <w:tc>
          <w:tcPr>
            <w:tcW w:w="19" w:type="pct"/>
            <w:shd w:val="clear" w:color="auto" w:fill="auto"/>
            <w:vAlign w:val="bottom"/>
          </w:tcPr>
          <w:p w14:paraId="7C208339" w14:textId="77777777" w:rsidR="00834A75" w:rsidRDefault="00834A75">
            <w:pPr>
              <w:rPr>
                <w:rFonts w:ascii="宋体"/>
              </w:rPr>
            </w:pPr>
          </w:p>
        </w:tc>
        <w:tc>
          <w:tcPr>
            <w:tcW w:w="5" w:type="pct"/>
            <w:shd w:val="clear" w:color="auto" w:fill="auto"/>
            <w:vAlign w:val="bottom"/>
          </w:tcPr>
          <w:p w14:paraId="7C20833A" w14:textId="77777777" w:rsidR="00834A75" w:rsidRDefault="00834A75">
            <w:pPr>
              <w:rPr>
                <w:rFonts w:ascii="宋体"/>
              </w:rPr>
            </w:pPr>
          </w:p>
        </w:tc>
        <w:tc>
          <w:tcPr>
            <w:tcW w:w="50" w:type="pct"/>
            <w:shd w:val="clear" w:color="auto" w:fill="auto"/>
            <w:vAlign w:val="bottom"/>
          </w:tcPr>
          <w:p w14:paraId="7C20833B" w14:textId="77777777" w:rsidR="00834A75" w:rsidRDefault="00834A75">
            <w:pPr>
              <w:rPr>
                <w:rFonts w:ascii="宋体"/>
              </w:rPr>
            </w:pPr>
          </w:p>
        </w:tc>
        <w:tc>
          <w:tcPr>
            <w:tcW w:w="529" w:type="pct"/>
            <w:shd w:val="clear" w:color="auto" w:fill="auto"/>
            <w:vAlign w:val="bottom"/>
          </w:tcPr>
          <w:p w14:paraId="7C20833C" w14:textId="77777777" w:rsidR="00834A75" w:rsidRDefault="00834A75">
            <w:pPr>
              <w:rPr>
                <w:rFonts w:ascii="宋体"/>
              </w:rPr>
            </w:pPr>
          </w:p>
        </w:tc>
        <w:tc>
          <w:tcPr>
            <w:tcW w:w="5" w:type="pct"/>
            <w:shd w:val="clear" w:color="auto" w:fill="auto"/>
            <w:vAlign w:val="bottom"/>
          </w:tcPr>
          <w:p w14:paraId="7C20833D" w14:textId="77777777" w:rsidR="00834A75" w:rsidRDefault="00834A75">
            <w:pPr>
              <w:rPr>
                <w:rFonts w:ascii="宋体"/>
              </w:rPr>
            </w:pPr>
          </w:p>
        </w:tc>
        <w:tc>
          <w:tcPr>
            <w:tcW w:w="5" w:type="pct"/>
            <w:shd w:val="clear" w:color="auto" w:fill="auto"/>
            <w:vAlign w:val="bottom"/>
          </w:tcPr>
          <w:p w14:paraId="7C20833E" w14:textId="77777777" w:rsidR="00834A75" w:rsidRDefault="00834A75">
            <w:pPr>
              <w:rPr>
                <w:rFonts w:ascii="宋体"/>
              </w:rPr>
            </w:pPr>
          </w:p>
        </w:tc>
        <w:tc>
          <w:tcPr>
            <w:tcW w:w="19" w:type="pct"/>
            <w:shd w:val="clear" w:color="auto" w:fill="auto"/>
            <w:vAlign w:val="bottom"/>
          </w:tcPr>
          <w:p w14:paraId="7C20833F" w14:textId="77777777" w:rsidR="00834A75" w:rsidRDefault="00834A75">
            <w:pPr>
              <w:rPr>
                <w:rFonts w:ascii="宋体"/>
              </w:rPr>
            </w:pPr>
          </w:p>
        </w:tc>
        <w:tc>
          <w:tcPr>
            <w:tcW w:w="5" w:type="pct"/>
            <w:shd w:val="clear" w:color="auto" w:fill="auto"/>
            <w:vAlign w:val="bottom"/>
          </w:tcPr>
          <w:p w14:paraId="7C208340" w14:textId="77777777" w:rsidR="00834A75" w:rsidRDefault="00834A75">
            <w:pPr>
              <w:rPr>
                <w:rFonts w:ascii="宋体"/>
              </w:rPr>
            </w:pPr>
          </w:p>
        </w:tc>
        <w:tc>
          <w:tcPr>
            <w:tcW w:w="50" w:type="pct"/>
            <w:shd w:val="clear" w:color="auto" w:fill="auto"/>
            <w:vAlign w:val="bottom"/>
          </w:tcPr>
          <w:p w14:paraId="7C208341" w14:textId="77777777" w:rsidR="00834A75" w:rsidRDefault="00834A75">
            <w:pPr>
              <w:rPr>
                <w:rFonts w:ascii="宋体"/>
              </w:rPr>
            </w:pPr>
          </w:p>
        </w:tc>
        <w:tc>
          <w:tcPr>
            <w:tcW w:w="530" w:type="pct"/>
            <w:shd w:val="clear" w:color="auto" w:fill="auto"/>
            <w:vAlign w:val="bottom"/>
          </w:tcPr>
          <w:p w14:paraId="7C208342" w14:textId="77777777" w:rsidR="00834A75" w:rsidRDefault="00834A75">
            <w:pPr>
              <w:rPr>
                <w:rFonts w:ascii="宋体"/>
              </w:rPr>
            </w:pPr>
          </w:p>
        </w:tc>
        <w:tc>
          <w:tcPr>
            <w:tcW w:w="5" w:type="pct"/>
            <w:shd w:val="clear" w:color="auto" w:fill="auto"/>
            <w:vAlign w:val="bottom"/>
          </w:tcPr>
          <w:p w14:paraId="7C208343" w14:textId="77777777" w:rsidR="00834A75" w:rsidRDefault="00834A75">
            <w:pPr>
              <w:rPr>
                <w:rFonts w:ascii="宋体"/>
              </w:rPr>
            </w:pPr>
          </w:p>
        </w:tc>
      </w:tr>
      <w:tr w:rsidR="00834A75" w14:paraId="7C208347" w14:textId="77777777">
        <w:tc>
          <w:tcPr>
            <w:tcW w:w="0" w:type="auto"/>
            <w:gridSpan w:val="3"/>
            <w:shd w:val="clear" w:color="auto" w:fill="auto"/>
            <w:tcMar>
              <w:top w:w="0" w:type="dxa"/>
              <w:left w:w="20" w:type="dxa"/>
              <w:bottom w:w="0" w:type="dxa"/>
              <w:right w:w="20" w:type="dxa"/>
            </w:tcMar>
            <w:vAlign w:val="bottom"/>
          </w:tcPr>
          <w:p w14:paraId="7C208345" w14:textId="77777777" w:rsidR="00834A75" w:rsidRDefault="00834A75">
            <w:pPr>
              <w:rPr>
                <w:rFonts w:ascii="宋体"/>
              </w:rPr>
            </w:pPr>
          </w:p>
        </w:tc>
        <w:tc>
          <w:tcPr>
            <w:tcW w:w="0" w:type="auto"/>
            <w:gridSpan w:val="33"/>
            <w:tcBorders>
              <w:bottom w:val="single" w:sz="8" w:space="0" w:color="000000"/>
            </w:tcBorders>
            <w:shd w:val="clear" w:color="auto" w:fill="auto"/>
            <w:tcMar>
              <w:top w:w="40" w:type="dxa"/>
              <w:left w:w="20" w:type="dxa"/>
              <w:bottom w:w="40" w:type="dxa"/>
              <w:right w:w="20" w:type="dxa"/>
            </w:tcMar>
            <w:vAlign w:val="bottom"/>
          </w:tcPr>
          <w:p w14:paraId="7C208346" w14:textId="77777777" w:rsidR="00834A75" w:rsidRDefault="00A6708C">
            <w:pPr>
              <w:jc w:val="center"/>
              <w:textAlignment w:val="bottom"/>
            </w:pPr>
            <w:r>
              <w:rPr>
                <w:rFonts w:ascii="sans-serif" w:eastAsia="sans-serif" w:hAnsi="sans-serif" w:cs="sans-serif"/>
                <w:b/>
                <w:bCs/>
                <w:color w:val="000000"/>
                <w:sz w:val="20"/>
                <w:szCs w:val="20"/>
              </w:rPr>
              <w:t>May 1, 2022</w:t>
            </w:r>
          </w:p>
        </w:tc>
      </w:tr>
      <w:tr w:rsidR="00834A75" w14:paraId="7C20834E" w14:textId="77777777">
        <w:tc>
          <w:tcPr>
            <w:tcW w:w="0" w:type="auto"/>
            <w:gridSpan w:val="3"/>
            <w:shd w:val="clear" w:color="auto" w:fill="auto"/>
            <w:tcMar>
              <w:top w:w="40" w:type="dxa"/>
              <w:left w:w="20" w:type="dxa"/>
              <w:bottom w:w="40" w:type="dxa"/>
              <w:right w:w="20" w:type="dxa"/>
            </w:tcMar>
            <w:vAlign w:val="bottom"/>
          </w:tcPr>
          <w:p w14:paraId="7C208348" w14:textId="77777777" w:rsidR="00834A75" w:rsidRDefault="00A6708C">
            <w:pPr>
              <w:textAlignment w:val="bottom"/>
            </w:pPr>
            <w:r>
              <w:rPr>
                <w:rFonts w:ascii="sans-serif" w:eastAsia="sans-serif" w:hAnsi="sans-serif" w:cs="sans-serif"/>
                <w:color w:val="000000"/>
                <w:sz w:val="20"/>
                <w:szCs w:val="20"/>
              </w:rPr>
              <w:t> </w:t>
            </w: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7C208349" w14:textId="77777777" w:rsidR="00834A75" w:rsidRDefault="00A6708C">
            <w:pPr>
              <w:jc w:val="center"/>
              <w:textAlignment w:val="bottom"/>
            </w:pPr>
            <w:r>
              <w:rPr>
                <w:rFonts w:ascii="sans-serif" w:eastAsia="sans-serif" w:hAnsi="sans-serif" w:cs="sans-serif"/>
                <w:b/>
                <w:bCs/>
                <w:color w:val="000000"/>
                <w:sz w:val="20"/>
                <w:szCs w:val="20"/>
              </w:rPr>
              <w:t>Less than 12 Months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C20834A" w14:textId="77777777" w:rsidR="00834A75" w:rsidRDefault="00834A75">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7C20834B" w14:textId="77777777" w:rsidR="00834A75" w:rsidRDefault="00A6708C">
            <w:pPr>
              <w:jc w:val="center"/>
              <w:textAlignment w:val="bottom"/>
            </w:pPr>
            <w:r>
              <w:rPr>
                <w:rFonts w:ascii="sans-serif" w:eastAsia="sans-serif" w:hAnsi="sans-serif" w:cs="sans-serif"/>
                <w:b/>
                <w:bCs/>
                <w:color w:val="000000"/>
                <w:sz w:val="20"/>
                <w:szCs w:val="20"/>
              </w:rPr>
              <w:t>12 Months or Greater</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C20834C" w14:textId="77777777" w:rsidR="00834A75" w:rsidRDefault="00834A75">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7C20834D" w14:textId="77777777" w:rsidR="00834A75" w:rsidRDefault="00A6708C">
            <w:pPr>
              <w:jc w:val="center"/>
              <w:textAlignment w:val="bottom"/>
            </w:pPr>
            <w:r>
              <w:rPr>
                <w:rFonts w:ascii="sans-serif" w:eastAsia="sans-serif" w:hAnsi="sans-serif" w:cs="sans-serif"/>
                <w:b/>
                <w:bCs/>
                <w:color w:val="000000"/>
                <w:sz w:val="20"/>
                <w:szCs w:val="20"/>
              </w:rPr>
              <w:t>Total</w:t>
            </w:r>
          </w:p>
        </w:tc>
      </w:tr>
      <w:tr w:rsidR="00834A75" w14:paraId="7C20835B" w14:textId="77777777">
        <w:tc>
          <w:tcPr>
            <w:tcW w:w="0" w:type="auto"/>
            <w:gridSpan w:val="3"/>
            <w:shd w:val="clear" w:color="auto" w:fill="auto"/>
            <w:tcMar>
              <w:top w:w="40" w:type="dxa"/>
              <w:left w:w="20" w:type="dxa"/>
              <w:bottom w:w="40" w:type="dxa"/>
              <w:right w:w="20" w:type="dxa"/>
            </w:tcMar>
            <w:vAlign w:val="bottom"/>
          </w:tcPr>
          <w:p w14:paraId="7C20834F" w14:textId="77777777" w:rsidR="00834A75" w:rsidRDefault="00A6708C">
            <w:pPr>
              <w:textAlignment w:val="bottom"/>
            </w:pPr>
            <w:r>
              <w:rPr>
                <w:rFonts w:ascii="sans-serif" w:eastAsia="sans-serif" w:hAnsi="sans-serif" w:cs="sans-serif"/>
                <w:color w:val="000000"/>
                <w:sz w:val="20"/>
                <w:szCs w:val="20"/>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C208350" w14:textId="77777777" w:rsidR="00834A75" w:rsidRDefault="00A6708C">
            <w:pPr>
              <w:jc w:val="center"/>
              <w:textAlignment w:val="bottom"/>
            </w:pPr>
            <w:r>
              <w:rPr>
                <w:rFonts w:ascii="sans-serif" w:eastAsia="sans-serif" w:hAnsi="sans-serif" w:cs="sans-serif"/>
                <w:b/>
                <w:bCs/>
                <w:color w:val="000000"/>
                <w:sz w:val="20"/>
                <w:szCs w:val="20"/>
              </w:rPr>
              <w:t>Estimated Fair Value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C208351" w14:textId="77777777" w:rsidR="00834A75" w:rsidRDefault="00834A75">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C208352" w14:textId="77777777" w:rsidR="00834A75" w:rsidRDefault="00A6708C">
            <w:pPr>
              <w:jc w:val="center"/>
              <w:textAlignment w:val="bottom"/>
            </w:pPr>
            <w:r>
              <w:rPr>
                <w:rFonts w:ascii="sans-serif" w:eastAsia="sans-serif" w:hAnsi="sans-serif" w:cs="sans-serif"/>
                <w:b/>
                <w:bCs/>
                <w:color w:val="000000"/>
                <w:sz w:val="20"/>
                <w:szCs w:val="20"/>
              </w:rPr>
              <w:t xml:space="preserve">Gross </w:t>
            </w:r>
            <w:r>
              <w:rPr>
                <w:rFonts w:ascii="sans-serif" w:eastAsia="sans-serif" w:hAnsi="sans-serif" w:cs="sans-serif"/>
                <w:b/>
                <w:bCs/>
                <w:color w:val="000000"/>
                <w:sz w:val="20"/>
                <w:szCs w:val="20"/>
              </w:rPr>
              <w:t>Unrealized Loss</w:t>
            </w:r>
          </w:p>
        </w:tc>
        <w:tc>
          <w:tcPr>
            <w:tcW w:w="0" w:type="auto"/>
            <w:gridSpan w:val="3"/>
            <w:shd w:val="clear" w:color="auto" w:fill="auto"/>
            <w:tcMar>
              <w:top w:w="0" w:type="dxa"/>
              <w:left w:w="20" w:type="dxa"/>
              <w:bottom w:w="0" w:type="dxa"/>
              <w:right w:w="20" w:type="dxa"/>
            </w:tcMar>
            <w:vAlign w:val="bottom"/>
          </w:tcPr>
          <w:p w14:paraId="7C208353" w14:textId="77777777" w:rsidR="00834A75" w:rsidRDefault="00834A75">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C208354" w14:textId="77777777" w:rsidR="00834A75" w:rsidRDefault="00A6708C">
            <w:pPr>
              <w:jc w:val="center"/>
              <w:textAlignment w:val="bottom"/>
            </w:pPr>
            <w:r>
              <w:rPr>
                <w:rFonts w:ascii="sans-serif" w:eastAsia="sans-serif" w:hAnsi="sans-serif" w:cs="sans-serif"/>
                <w:b/>
                <w:bCs/>
                <w:color w:val="000000"/>
                <w:sz w:val="20"/>
                <w:szCs w:val="20"/>
              </w:rPr>
              <w:t>Estimated Fair Value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C208355" w14:textId="77777777" w:rsidR="00834A75" w:rsidRDefault="00834A75">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C208356" w14:textId="77777777" w:rsidR="00834A75" w:rsidRDefault="00A6708C">
            <w:pPr>
              <w:jc w:val="center"/>
              <w:textAlignment w:val="bottom"/>
            </w:pPr>
            <w:r>
              <w:rPr>
                <w:rFonts w:ascii="sans-serif" w:eastAsia="sans-serif" w:hAnsi="sans-serif" w:cs="sans-serif"/>
                <w:b/>
                <w:bCs/>
                <w:color w:val="000000"/>
                <w:sz w:val="20"/>
                <w:szCs w:val="20"/>
              </w:rPr>
              <w:t>Gross Unrealized Loss</w:t>
            </w:r>
          </w:p>
        </w:tc>
        <w:tc>
          <w:tcPr>
            <w:tcW w:w="0" w:type="auto"/>
            <w:gridSpan w:val="3"/>
            <w:shd w:val="clear" w:color="auto" w:fill="auto"/>
            <w:tcMar>
              <w:top w:w="0" w:type="dxa"/>
              <w:left w:w="20" w:type="dxa"/>
              <w:bottom w:w="0" w:type="dxa"/>
              <w:right w:w="20" w:type="dxa"/>
            </w:tcMar>
            <w:vAlign w:val="bottom"/>
          </w:tcPr>
          <w:p w14:paraId="7C208357" w14:textId="77777777" w:rsidR="00834A75" w:rsidRDefault="00834A75">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C208358" w14:textId="77777777" w:rsidR="00834A75" w:rsidRDefault="00A6708C">
            <w:pPr>
              <w:jc w:val="center"/>
              <w:textAlignment w:val="bottom"/>
            </w:pPr>
            <w:r>
              <w:rPr>
                <w:rFonts w:ascii="sans-serif" w:eastAsia="sans-serif" w:hAnsi="sans-serif" w:cs="sans-serif"/>
                <w:b/>
                <w:bCs/>
                <w:color w:val="000000"/>
                <w:sz w:val="20"/>
                <w:szCs w:val="20"/>
              </w:rPr>
              <w:t>Estimated Fair Value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C208359" w14:textId="77777777" w:rsidR="00834A75" w:rsidRDefault="00834A75">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C20835A" w14:textId="77777777" w:rsidR="00834A75" w:rsidRDefault="00A6708C">
            <w:pPr>
              <w:jc w:val="center"/>
              <w:textAlignment w:val="bottom"/>
            </w:pPr>
            <w:r>
              <w:rPr>
                <w:rFonts w:ascii="sans-serif" w:eastAsia="sans-serif" w:hAnsi="sans-serif" w:cs="sans-serif"/>
                <w:b/>
                <w:bCs/>
                <w:color w:val="000000"/>
                <w:sz w:val="20"/>
                <w:szCs w:val="20"/>
              </w:rPr>
              <w:t>Gross Unrealized Loss</w:t>
            </w:r>
          </w:p>
        </w:tc>
      </w:tr>
      <w:tr w:rsidR="00834A75" w14:paraId="7C208368" w14:textId="77777777">
        <w:trPr>
          <w:trHeight w:val="60"/>
        </w:trPr>
        <w:tc>
          <w:tcPr>
            <w:tcW w:w="0" w:type="auto"/>
            <w:gridSpan w:val="3"/>
            <w:shd w:val="clear" w:color="auto" w:fill="auto"/>
            <w:tcMar>
              <w:top w:w="0" w:type="dxa"/>
              <w:left w:w="20" w:type="dxa"/>
              <w:bottom w:w="0" w:type="dxa"/>
              <w:right w:w="20" w:type="dxa"/>
            </w:tcMar>
            <w:vAlign w:val="bottom"/>
          </w:tcPr>
          <w:p w14:paraId="7C20835C" w14:textId="77777777" w:rsidR="00834A75" w:rsidRDefault="00834A75">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C20835D" w14:textId="77777777" w:rsidR="00834A75" w:rsidRDefault="00834A75">
            <w:pPr>
              <w:rPr>
                <w:rFonts w:ascii="宋体"/>
              </w:rPr>
            </w:pPr>
          </w:p>
        </w:tc>
        <w:tc>
          <w:tcPr>
            <w:tcW w:w="0" w:type="auto"/>
            <w:gridSpan w:val="3"/>
            <w:shd w:val="clear" w:color="auto" w:fill="auto"/>
            <w:tcMar>
              <w:top w:w="0" w:type="dxa"/>
              <w:left w:w="20" w:type="dxa"/>
              <w:bottom w:w="0" w:type="dxa"/>
              <w:right w:w="20" w:type="dxa"/>
            </w:tcMar>
            <w:vAlign w:val="bottom"/>
          </w:tcPr>
          <w:p w14:paraId="7C20835E" w14:textId="77777777" w:rsidR="00834A75" w:rsidRDefault="00834A75">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C20835F" w14:textId="77777777" w:rsidR="00834A75" w:rsidRDefault="00834A75">
            <w:pPr>
              <w:rPr>
                <w:rFonts w:ascii="宋体"/>
              </w:rPr>
            </w:pPr>
          </w:p>
        </w:tc>
        <w:tc>
          <w:tcPr>
            <w:tcW w:w="0" w:type="auto"/>
            <w:gridSpan w:val="3"/>
            <w:shd w:val="clear" w:color="auto" w:fill="auto"/>
            <w:tcMar>
              <w:top w:w="0" w:type="dxa"/>
              <w:left w:w="20" w:type="dxa"/>
              <w:bottom w:w="0" w:type="dxa"/>
              <w:right w:w="20" w:type="dxa"/>
            </w:tcMar>
            <w:vAlign w:val="bottom"/>
          </w:tcPr>
          <w:p w14:paraId="7C208360" w14:textId="77777777" w:rsidR="00834A75" w:rsidRDefault="00834A75">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C208361" w14:textId="77777777" w:rsidR="00834A75" w:rsidRDefault="00834A75">
            <w:pPr>
              <w:rPr>
                <w:rFonts w:ascii="宋体"/>
              </w:rPr>
            </w:pPr>
          </w:p>
        </w:tc>
        <w:tc>
          <w:tcPr>
            <w:tcW w:w="0" w:type="auto"/>
            <w:gridSpan w:val="3"/>
            <w:shd w:val="clear" w:color="auto" w:fill="auto"/>
            <w:tcMar>
              <w:top w:w="0" w:type="dxa"/>
              <w:left w:w="20" w:type="dxa"/>
              <w:bottom w:w="0" w:type="dxa"/>
              <w:right w:w="20" w:type="dxa"/>
            </w:tcMar>
            <w:vAlign w:val="bottom"/>
          </w:tcPr>
          <w:p w14:paraId="7C208362" w14:textId="77777777" w:rsidR="00834A75" w:rsidRDefault="00834A75">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C208363" w14:textId="77777777" w:rsidR="00834A75" w:rsidRDefault="00834A75">
            <w:pPr>
              <w:rPr>
                <w:rFonts w:ascii="宋体"/>
              </w:rPr>
            </w:pPr>
          </w:p>
        </w:tc>
        <w:tc>
          <w:tcPr>
            <w:tcW w:w="0" w:type="auto"/>
            <w:gridSpan w:val="3"/>
            <w:shd w:val="clear" w:color="auto" w:fill="auto"/>
            <w:tcMar>
              <w:top w:w="0" w:type="dxa"/>
              <w:left w:w="20" w:type="dxa"/>
              <w:bottom w:w="0" w:type="dxa"/>
              <w:right w:w="20" w:type="dxa"/>
            </w:tcMar>
            <w:vAlign w:val="bottom"/>
          </w:tcPr>
          <w:p w14:paraId="7C208364" w14:textId="77777777" w:rsidR="00834A75" w:rsidRDefault="00834A75">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C208365" w14:textId="77777777" w:rsidR="00834A75" w:rsidRDefault="00834A75">
            <w:pPr>
              <w:rPr>
                <w:rFonts w:ascii="宋体"/>
              </w:rPr>
            </w:pPr>
          </w:p>
        </w:tc>
        <w:tc>
          <w:tcPr>
            <w:tcW w:w="0" w:type="auto"/>
            <w:gridSpan w:val="3"/>
            <w:shd w:val="clear" w:color="auto" w:fill="auto"/>
            <w:tcMar>
              <w:top w:w="0" w:type="dxa"/>
              <w:left w:w="20" w:type="dxa"/>
              <w:bottom w:w="0" w:type="dxa"/>
              <w:right w:w="20" w:type="dxa"/>
            </w:tcMar>
            <w:vAlign w:val="bottom"/>
          </w:tcPr>
          <w:p w14:paraId="7C208366" w14:textId="77777777" w:rsidR="00834A75" w:rsidRDefault="00834A75">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C208367" w14:textId="77777777" w:rsidR="00834A75" w:rsidRDefault="00834A75">
            <w:pPr>
              <w:rPr>
                <w:rFonts w:ascii="宋体"/>
              </w:rPr>
            </w:pPr>
          </w:p>
        </w:tc>
      </w:tr>
      <w:tr w:rsidR="00834A75" w14:paraId="7C20836C" w14:textId="77777777">
        <w:tc>
          <w:tcPr>
            <w:tcW w:w="0" w:type="auto"/>
            <w:gridSpan w:val="3"/>
            <w:shd w:val="clear" w:color="auto" w:fill="auto"/>
            <w:tcMar>
              <w:top w:w="40" w:type="dxa"/>
              <w:left w:w="20" w:type="dxa"/>
              <w:bottom w:w="40" w:type="dxa"/>
              <w:right w:w="20" w:type="dxa"/>
            </w:tcMar>
            <w:vAlign w:val="bottom"/>
          </w:tcPr>
          <w:p w14:paraId="7C208369" w14:textId="77777777" w:rsidR="00834A75" w:rsidRDefault="00A6708C">
            <w:pPr>
              <w:textAlignment w:val="bottom"/>
            </w:pPr>
            <w:r>
              <w:rPr>
                <w:rFonts w:ascii="sans-serif" w:eastAsia="sans-serif" w:hAnsi="sans-serif" w:cs="sans-serif"/>
                <w:color w:val="000000"/>
                <w:sz w:val="20"/>
                <w:szCs w:val="20"/>
              </w:rPr>
              <w:t> </w:t>
            </w:r>
          </w:p>
        </w:tc>
        <w:tc>
          <w:tcPr>
            <w:tcW w:w="0" w:type="auto"/>
            <w:gridSpan w:val="30"/>
            <w:shd w:val="clear" w:color="auto" w:fill="auto"/>
            <w:tcMar>
              <w:top w:w="40" w:type="dxa"/>
              <w:left w:w="20" w:type="dxa"/>
              <w:bottom w:w="40" w:type="dxa"/>
              <w:right w:w="20" w:type="dxa"/>
            </w:tcMar>
            <w:vAlign w:val="bottom"/>
          </w:tcPr>
          <w:p w14:paraId="7C20836A" w14:textId="77777777" w:rsidR="00834A75" w:rsidRDefault="00A6708C">
            <w:pPr>
              <w:jc w:val="center"/>
              <w:textAlignment w:val="bottom"/>
            </w:pPr>
            <w:r>
              <w:rPr>
                <w:rFonts w:ascii="sans-serif" w:eastAsia="sans-serif" w:hAnsi="sans-serif" w:cs="sans-serif"/>
                <w:i/>
                <w:iCs/>
                <w:color w:val="000000"/>
                <w:sz w:val="20"/>
                <w:szCs w:val="20"/>
              </w:rPr>
              <w:t>(In millions)</w:t>
            </w:r>
          </w:p>
        </w:tc>
        <w:tc>
          <w:tcPr>
            <w:tcW w:w="0" w:type="auto"/>
            <w:gridSpan w:val="3"/>
            <w:shd w:val="clear" w:color="auto" w:fill="auto"/>
            <w:tcMar>
              <w:top w:w="0" w:type="dxa"/>
              <w:left w:w="20" w:type="dxa"/>
              <w:bottom w:w="0" w:type="dxa"/>
              <w:right w:w="20" w:type="dxa"/>
            </w:tcMar>
            <w:vAlign w:val="bottom"/>
          </w:tcPr>
          <w:p w14:paraId="7C20836B" w14:textId="77777777" w:rsidR="00834A75" w:rsidRDefault="00834A75">
            <w:pPr>
              <w:rPr>
                <w:rFonts w:ascii="宋体"/>
              </w:rPr>
            </w:pPr>
          </w:p>
        </w:tc>
      </w:tr>
      <w:tr w:rsidR="00834A75" w14:paraId="7C208385" w14:textId="77777777">
        <w:tc>
          <w:tcPr>
            <w:tcW w:w="0" w:type="auto"/>
            <w:gridSpan w:val="3"/>
            <w:shd w:val="clear" w:color="auto" w:fill="E2EFD9"/>
            <w:tcMar>
              <w:top w:w="40" w:type="dxa"/>
              <w:left w:w="20" w:type="dxa"/>
              <w:bottom w:w="40" w:type="dxa"/>
              <w:right w:w="20" w:type="dxa"/>
            </w:tcMar>
            <w:vAlign w:val="bottom"/>
          </w:tcPr>
          <w:p w14:paraId="7C20836D" w14:textId="77777777" w:rsidR="00834A75" w:rsidRDefault="00A6708C">
            <w:pPr>
              <w:textAlignment w:val="bottom"/>
            </w:pPr>
            <w:r>
              <w:rPr>
                <w:rFonts w:ascii="sans-serif" w:eastAsia="sans-serif" w:hAnsi="sans-serif" w:cs="sans-serif"/>
                <w:color w:val="000000"/>
                <w:sz w:val="20"/>
                <w:szCs w:val="20"/>
              </w:rPr>
              <w:t>Debt securities issued by the United States Treasury</w:t>
            </w:r>
          </w:p>
        </w:tc>
        <w:tc>
          <w:tcPr>
            <w:tcW w:w="0" w:type="auto"/>
            <w:shd w:val="clear" w:color="auto" w:fill="E2EFD9"/>
            <w:tcMar>
              <w:top w:w="40" w:type="dxa"/>
              <w:left w:w="20" w:type="dxa"/>
              <w:bottom w:w="40" w:type="dxa"/>
              <w:right w:w="0" w:type="dxa"/>
            </w:tcMar>
            <w:vAlign w:val="bottom"/>
          </w:tcPr>
          <w:p w14:paraId="7C20836E" w14:textId="77777777" w:rsidR="00834A75" w:rsidRDefault="00A6708C">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7C20836F" w14:textId="77777777" w:rsidR="00834A75" w:rsidRDefault="00A6708C">
            <w:pPr>
              <w:jc w:val="right"/>
              <w:textAlignment w:val="bottom"/>
            </w:pPr>
            <w:r>
              <w:rPr>
                <w:rFonts w:ascii="sans-serif" w:eastAsia="sans-serif" w:hAnsi="sans-serif" w:cs="sans-serif"/>
                <w:color w:val="000000"/>
                <w:sz w:val="20"/>
                <w:szCs w:val="20"/>
              </w:rPr>
              <w:t>2,955 </w:t>
            </w:r>
          </w:p>
        </w:tc>
        <w:tc>
          <w:tcPr>
            <w:tcW w:w="0" w:type="auto"/>
            <w:shd w:val="clear" w:color="auto" w:fill="E2EFD9"/>
            <w:tcMar>
              <w:top w:w="40" w:type="dxa"/>
              <w:left w:w="0" w:type="dxa"/>
              <w:bottom w:w="40" w:type="dxa"/>
              <w:right w:w="20" w:type="dxa"/>
            </w:tcMar>
            <w:vAlign w:val="bottom"/>
          </w:tcPr>
          <w:p w14:paraId="7C208370" w14:textId="77777777" w:rsidR="00834A75" w:rsidRDefault="00834A75">
            <w:pPr>
              <w:jc w:val="right"/>
              <w:rPr>
                <w:rFonts w:ascii="宋体"/>
              </w:rPr>
            </w:pPr>
          </w:p>
        </w:tc>
        <w:tc>
          <w:tcPr>
            <w:tcW w:w="0" w:type="auto"/>
            <w:gridSpan w:val="3"/>
            <w:shd w:val="clear" w:color="auto" w:fill="E2EFD9"/>
            <w:tcMar>
              <w:top w:w="0" w:type="dxa"/>
              <w:left w:w="20" w:type="dxa"/>
              <w:bottom w:w="0" w:type="dxa"/>
              <w:right w:w="20" w:type="dxa"/>
            </w:tcMar>
            <w:vAlign w:val="bottom"/>
          </w:tcPr>
          <w:p w14:paraId="7C208371" w14:textId="77777777" w:rsidR="00834A75" w:rsidRDefault="00834A75">
            <w:pPr>
              <w:rPr>
                <w:rFonts w:ascii="宋体"/>
              </w:rPr>
            </w:pPr>
          </w:p>
        </w:tc>
        <w:tc>
          <w:tcPr>
            <w:tcW w:w="0" w:type="auto"/>
            <w:shd w:val="clear" w:color="auto" w:fill="E2EFD9"/>
            <w:tcMar>
              <w:top w:w="40" w:type="dxa"/>
              <w:left w:w="20" w:type="dxa"/>
              <w:bottom w:w="40" w:type="dxa"/>
              <w:right w:w="0" w:type="dxa"/>
            </w:tcMar>
            <w:vAlign w:val="bottom"/>
          </w:tcPr>
          <w:p w14:paraId="7C208372" w14:textId="77777777" w:rsidR="00834A75" w:rsidRDefault="00A6708C">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7C208373" w14:textId="77777777" w:rsidR="00834A75" w:rsidRDefault="00A6708C">
            <w:pPr>
              <w:jc w:val="right"/>
              <w:textAlignment w:val="bottom"/>
            </w:pPr>
            <w:r>
              <w:rPr>
                <w:rFonts w:ascii="sans-serif" w:eastAsia="sans-serif" w:hAnsi="sans-serif" w:cs="sans-serif"/>
                <w:color w:val="000000"/>
                <w:sz w:val="20"/>
                <w:szCs w:val="20"/>
              </w:rPr>
              <w:t>(38)</w:t>
            </w:r>
          </w:p>
        </w:tc>
        <w:tc>
          <w:tcPr>
            <w:tcW w:w="0" w:type="auto"/>
            <w:shd w:val="clear" w:color="auto" w:fill="E2EFD9"/>
            <w:tcMar>
              <w:top w:w="40" w:type="dxa"/>
              <w:left w:w="0" w:type="dxa"/>
              <w:bottom w:w="40" w:type="dxa"/>
              <w:right w:w="20" w:type="dxa"/>
            </w:tcMar>
            <w:vAlign w:val="bottom"/>
          </w:tcPr>
          <w:p w14:paraId="7C208374" w14:textId="77777777" w:rsidR="00834A75" w:rsidRDefault="00834A75">
            <w:pPr>
              <w:jc w:val="right"/>
              <w:rPr>
                <w:rFonts w:ascii="宋体"/>
              </w:rPr>
            </w:pPr>
          </w:p>
        </w:tc>
        <w:tc>
          <w:tcPr>
            <w:tcW w:w="0" w:type="auto"/>
            <w:gridSpan w:val="3"/>
            <w:shd w:val="clear" w:color="auto" w:fill="E2EFD9"/>
            <w:tcMar>
              <w:top w:w="0" w:type="dxa"/>
              <w:left w:w="20" w:type="dxa"/>
              <w:bottom w:w="0" w:type="dxa"/>
              <w:right w:w="20" w:type="dxa"/>
            </w:tcMar>
            <w:vAlign w:val="bottom"/>
          </w:tcPr>
          <w:p w14:paraId="7C208375" w14:textId="77777777" w:rsidR="00834A75" w:rsidRDefault="00834A75">
            <w:pPr>
              <w:rPr>
                <w:rFonts w:ascii="宋体"/>
              </w:rPr>
            </w:pPr>
          </w:p>
        </w:tc>
        <w:tc>
          <w:tcPr>
            <w:tcW w:w="0" w:type="auto"/>
            <w:shd w:val="clear" w:color="auto" w:fill="E2EFD9"/>
            <w:tcMar>
              <w:top w:w="40" w:type="dxa"/>
              <w:left w:w="20" w:type="dxa"/>
              <w:bottom w:w="40" w:type="dxa"/>
              <w:right w:w="0" w:type="dxa"/>
            </w:tcMar>
            <w:vAlign w:val="bottom"/>
          </w:tcPr>
          <w:p w14:paraId="7C208376" w14:textId="77777777" w:rsidR="00834A75" w:rsidRDefault="00A6708C">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7C208377" w14:textId="77777777" w:rsidR="00834A75" w:rsidRDefault="00A6708C">
            <w:pPr>
              <w:jc w:val="right"/>
              <w:textAlignment w:val="bottom"/>
            </w:pPr>
            <w:r>
              <w:rPr>
                <w:rFonts w:ascii="sans-serif" w:eastAsia="sans-serif" w:hAnsi="sans-serif" w:cs="sans-serif"/>
                <w:color w:val="000000"/>
                <w:sz w:val="20"/>
                <w:szCs w:val="20"/>
              </w:rPr>
              <w:t>— </w:t>
            </w:r>
          </w:p>
        </w:tc>
        <w:tc>
          <w:tcPr>
            <w:tcW w:w="0" w:type="auto"/>
            <w:shd w:val="clear" w:color="auto" w:fill="E2EFD9"/>
            <w:tcMar>
              <w:top w:w="40" w:type="dxa"/>
              <w:left w:w="0" w:type="dxa"/>
              <w:bottom w:w="40" w:type="dxa"/>
              <w:right w:w="20" w:type="dxa"/>
            </w:tcMar>
            <w:vAlign w:val="bottom"/>
          </w:tcPr>
          <w:p w14:paraId="7C208378" w14:textId="77777777" w:rsidR="00834A75" w:rsidRDefault="00834A75">
            <w:pPr>
              <w:jc w:val="right"/>
              <w:rPr>
                <w:rFonts w:ascii="宋体"/>
              </w:rPr>
            </w:pPr>
          </w:p>
        </w:tc>
        <w:tc>
          <w:tcPr>
            <w:tcW w:w="0" w:type="auto"/>
            <w:gridSpan w:val="3"/>
            <w:shd w:val="clear" w:color="auto" w:fill="E2EFD9"/>
            <w:tcMar>
              <w:top w:w="0" w:type="dxa"/>
              <w:left w:w="20" w:type="dxa"/>
              <w:bottom w:w="0" w:type="dxa"/>
              <w:right w:w="20" w:type="dxa"/>
            </w:tcMar>
            <w:vAlign w:val="bottom"/>
          </w:tcPr>
          <w:p w14:paraId="7C208379" w14:textId="77777777" w:rsidR="00834A75" w:rsidRDefault="00834A75">
            <w:pPr>
              <w:rPr>
                <w:rFonts w:ascii="宋体"/>
              </w:rPr>
            </w:pPr>
          </w:p>
        </w:tc>
        <w:tc>
          <w:tcPr>
            <w:tcW w:w="0" w:type="auto"/>
            <w:shd w:val="clear" w:color="auto" w:fill="E2EFD9"/>
            <w:tcMar>
              <w:top w:w="40" w:type="dxa"/>
              <w:left w:w="20" w:type="dxa"/>
              <w:bottom w:w="40" w:type="dxa"/>
              <w:right w:w="0" w:type="dxa"/>
            </w:tcMar>
            <w:vAlign w:val="bottom"/>
          </w:tcPr>
          <w:p w14:paraId="7C20837A" w14:textId="77777777" w:rsidR="00834A75" w:rsidRDefault="00A6708C">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7C20837B" w14:textId="77777777" w:rsidR="00834A75" w:rsidRDefault="00A6708C">
            <w:pPr>
              <w:jc w:val="right"/>
              <w:textAlignment w:val="bottom"/>
            </w:pPr>
            <w:r>
              <w:rPr>
                <w:rFonts w:ascii="sans-serif" w:eastAsia="sans-serif" w:hAnsi="sans-serif" w:cs="sans-serif"/>
                <w:color w:val="000000"/>
                <w:sz w:val="20"/>
                <w:szCs w:val="20"/>
              </w:rPr>
              <w:t>— </w:t>
            </w:r>
          </w:p>
        </w:tc>
        <w:tc>
          <w:tcPr>
            <w:tcW w:w="0" w:type="auto"/>
            <w:shd w:val="clear" w:color="auto" w:fill="E2EFD9"/>
            <w:tcMar>
              <w:top w:w="40" w:type="dxa"/>
              <w:left w:w="0" w:type="dxa"/>
              <w:bottom w:w="40" w:type="dxa"/>
              <w:right w:w="20" w:type="dxa"/>
            </w:tcMar>
            <w:vAlign w:val="bottom"/>
          </w:tcPr>
          <w:p w14:paraId="7C20837C" w14:textId="77777777" w:rsidR="00834A75" w:rsidRDefault="00834A75">
            <w:pPr>
              <w:jc w:val="right"/>
              <w:rPr>
                <w:rFonts w:ascii="宋体"/>
              </w:rPr>
            </w:pPr>
          </w:p>
        </w:tc>
        <w:tc>
          <w:tcPr>
            <w:tcW w:w="0" w:type="auto"/>
            <w:gridSpan w:val="3"/>
            <w:shd w:val="clear" w:color="auto" w:fill="E2EFD9"/>
            <w:tcMar>
              <w:top w:w="0" w:type="dxa"/>
              <w:left w:w="20" w:type="dxa"/>
              <w:bottom w:w="0" w:type="dxa"/>
              <w:right w:w="20" w:type="dxa"/>
            </w:tcMar>
            <w:vAlign w:val="bottom"/>
          </w:tcPr>
          <w:p w14:paraId="7C20837D" w14:textId="77777777" w:rsidR="00834A75" w:rsidRDefault="00834A75">
            <w:pPr>
              <w:rPr>
                <w:rFonts w:ascii="宋体"/>
              </w:rPr>
            </w:pPr>
          </w:p>
        </w:tc>
        <w:tc>
          <w:tcPr>
            <w:tcW w:w="0" w:type="auto"/>
            <w:shd w:val="clear" w:color="auto" w:fill="E2EFD9"/>
            <w:tcMar>
              <w:top w:w="40" w:type="dxa"/>
              <w:left w:w="20" w:type="dxa"/>
              <w:bottom w:w="40" w:type="dxa"/>
              <w:right w:w="0" w:type="dxa"/>
            </w:tcMar>
            <w:vAlign w:val="bottom"/>
          </w:tcPr>
          <w:p w14:paraId="7C20837E" w14:textId="77777777" w:rsidR="00834A75" w:rsidRDefault="00A6708C">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7C20837F" w14:textId="77777777" w:rsidR="00834A75" w:rsidRDefault="00A6708C">
            <w:pPr>
              <w:jc w:val="right"/>
              <w:textAlignment w:val="bottom"/>
            </w:pPr>
            <w:r>
              <w:rPr>
                <w:rFonts w:ascii="sans-serif" w:eastAsia="sans-serif" w:hAnsi="sans-serif" w:cs="sans-serif"/>
                <w:color w:val="000000"/>
                <w:sz w:val="20"/>
                <w:szCs w:val="20"/>
              </w:rPr>
              <w:t>2,955 </w:t>
            </w:r>
          </w:p>
        </w:tc>
        <w:tc>
          <w:tcPr>
            <w:tcW w:w="0" w:type="auto"/>
            <w:shd w:val="clear" w:color="auto" w:fill="E2EFD9"/>
            <w:tcMar>
              <w:top w:w="40" w:type="dxa"/>
              <w:left w:w="0" w:type="dxa"/>
              <w:bottom w:w="40" w:type="dxa"/>
              <w:right w:w="20" w:type="dxa"/>
            </w:tcMar>
            <w:vAlign w:val="bottom"/>
          </w:tcPr>
          <w:p w14:paraId="7C208380" w14:textId="77777777" w:rsidR="00834A75" w:rsidRDefault="00834A75">
            <w:pPr>
              <w:jc w:val="right"/>
              <w:rPr>
                <w:rFonts w:ascii="宋体"/>
              </w:rPr>
            </w:pPr>
          </w:p>
        </w:tc>
        <w:tc>
          <w:tcPr>
            <w:tcW w:w="0" w:type="auto"/>
            <w:gridSpan w:val="3"/>
            <w:shd w:val="clear" w:color="auto" w:fill="E2EFD9"/>
            <w:tcMar>
              <w:top w:w="0" w:type="dxa"/>
              <w:left w:w="20" w:type="dxa"/>
              <w:bottom w:w="0" w:type="dxa"/>
              <w:right w:w="20" w:type="dxa"/>
            </w:tcMar>
            <w:vAlign w:val="bottom"/>
          </w:tcPr>
          <w:p w14:paraId="7C208381" w14:textId="77777777" w:rsidR="00834A75" w:rsidRDefault="00834A75">
            <w:pPr>
              <w:rPr>
                <w:rFonts w:ascii="宋体"/>
              </w:rPr>
            </w:pPr>
          </w:p>
        </w:tc>
        <w:tc>
          <w:tcPr>
            <w:tcW w:w="0" w:type="auto"/>
            <w:shd w:val="clear" w:color="auto" w:fill="E2EFD9"/>
            <w:tcMar>
              <w:top w:w="40" w:type="dxa"/>
              <w:left w:w="20" w:type="dxa"/>
              <w:bottom w:w="40" w:type="dxa"/>
              <w:right w:w="0" w:type="dxa"/>
            </w:tcMar>
            <w:vAlign w:val="bottom"/>
          </w:tcPr>
          <w:p w14:paraId="7C208382" w14:textId="77777777" w:rsidR="00834A75" w:rsidRDefault="00A6708C">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7C208383" w14:textId="77777777" w:rsidR="00834A75" w:rsidRDefault="00A6708C">
            <w:pPr>
              <w:jc w:val="right"/>
              <w:textAlignment w:val="bottom"/>
            </w:pPr>
            <w:r>
              <w:rPr>
                <w:rFonts w:ascii="sans-serif" w:eastAsia="sans-serif" w:hAnsi="sans-serif" w:cs="sans-serif"/>
                <w:color w:val="000000"/>
                <w:sz w:val="20"/>
                <w:szCs w:val="20"/>
              </w:rPr>
              <w:t>(38)</w:t>
            </w:r>
          </w:p>
        </w:tc>
        <w:tc>
          <w:tcPr>
            <w:tcW w:w="0" w:type="auto"/>
            <w:shd w:val="clear" w:color="auto" w:fill="E2EFD9"/>
            <w:tcMar>
              <w:top w:w="40" w:type="dxa"/>
              <w:left w:w="0" w:type="dxa"/>
              <w:bottom w:w="40" w:type="dxa"/>
              <w:right w:w="20" w:type="dxa"/>
            </w:tcMar>
            <w:vAlign w:val="bottom"/>
          </w:tcPr>
          <w:p w14:paraId="7C208384" w14:textId="77777777" w:rsidR="00834A75" w:rsidRDefault="00834A75">
            <w:pPr>
              <w:jc w:val="right"/>
              <w:rPr>
                <w:rFonts w:ascii="宋体"/>
              </w:rPr>
            </w:pPr>
          </w:p>
        </w:tc>
      </w:tr>
      <w:tr w:rsidR="00834A75" w14:paraId="7C208398" w14:textId="77777777">
        <w:tc>
          <w:tcPr>
            <w:tcW w:w="0" w:type="auto"/>
            <w:gridSpan w:val="3"/>
            <w:shd w:val="clear" w:color="auto" w:fill="FFFFFF"/>
            <w:tcMar>
              <w:top w:w="40" w:type="dxa"/>
              <w:left w:w="20" w:type="dxa"/>
              <w:bottom w:w="40" w:type="dxa"/>
              <w:right w:w="20" w:type="dxa"/>
            </w:tcMar>
            <w:vAlign w:val="bottom"/>
          </w:tcPr>
          <w:p w14:paraId="7C208386" w14:textId="77777777" w:rsidR="00834A75" w:rsidRDefault="00A6708C">
            <w:pPr>
              <w:textAlignment w:val="bottom"/>
            </w:pPr>
            <w:r>
              <w:rPr>
                <w:rFonts w:ascii="sans-serif" w:eastAsia="sans-serif" w:hAnsi="sans-serif" w:cs="sans-serif"/>
                <w:color w:val="000000"/>
                <w:sz w:val="20"/>
                <w:szCs w:val="20"/>
              </w:rPr>
              <w:t>Corporate d</w:t>
            </w:r>
            <w:r>
              <w:rPr>
                <w:rFonts w:ascii="sans-serif" w:eastAsia="sans-serif" w:hAnsi="sans-serif" w:cs="sans-serif"/>
                <w:color w:val="000000"/>
                <w:sz w:val="20"/>
                <w:szCs w:val="20"/>
              </w:rPr>
              <w:t>ebt securities</w:t>
            </w:r>
          </w:p>
        </w:tc>
        <w:tc>
          <w:tcPr>
            <w:tcW w:w="0" w:type="auto"/>
            <w:gridSpan w:val="2"/>
            <w:shd w:val="clear" w:color="auto" w:fill="FFFFFF"/>
            <w:tcMar>
              <w:top w:w="40" w:type="dxa"/>
              <w:left w:w="20" w:type="dxa"/>
              <w:bottom w:w="40" w:type="dxa"/>
              <w:right w:w="0" w:type="dxa"/>
            </w:tcMar>
            <w:vAlign w:val="bottom"/>
          </w:tcPr>
          <w:p w14:paraId="7C208387" w14:textId="77777777" w:rsidR="00834A75" w:rsidRDefault="00A6708C">
            <w:pPr>
              <w:jc w:val="right"/>
              <w:textAlignment w:val="bottom"/>
            </w:pPr>
            <w:r>
              <w:rPr>
                <w:rFonts w:ascii="sans-serif" w:eastAsia="sans-serif" w:hAnsi="sans-serif" w:cs="sans-serif"/>
                <w:color w:val="000000"/>
                <w:sz w:val="20"/>
                <w:szCs w:val="20"/>
              </w:rPr>
              <w:t>2,594 </w:t>
            </w:r>
          </w:p>
        </w:tc>
        <w:tc>
          <w:tcPr>
            <w:tcW w:w="0" w:type="auto"/>
            <w:shd w:val="clear" w:color="auto" w:fill="FFFFFF"/>
            <w:tcMar>
              <w:top w:w="40" w:type="dxa"/>
              <w:left w:w="0" w:type="dxa"/>
              <w:bottom w:w="40" w:type="dxa"/>
              <w:right w:w="20" w:type="dxa"/>
            </w:tcMar>
            <w:vAlign w:val="bottom"/>
          </w:tcPr>
          <w:p w14:paraId="7C208388" w14:textId="77777777" w:rsidR="00834A75" w:rsidRDefault="00834A75">
            <w:pPr>
              <w:jc w:val="right"/>
              <w:rPr>
                <w:rFonts w:ascii="宋体"/>
              </w:rPr>
            </w:pPr>
          </w:p>
        </w:tc>
        <w:tc>
          <w:tcPr>
            <w:tcW w:w="0" w:type="auto"/>
            <w:gridSpan w:val="3"/>
            <w:shd w:val="clear" w:color="auto" w:fill="FFFFFF"/>
            <w:tcMar>
              <w:top w:w="0" w:type="dxa"/>
              <w:left w:w="20" w:type="dxa"/>
              <w:bottom w:w="0" w:type="dxa"/>
              <w:right w:w="20" w:type="dxa"/>
            </w:tcMar>
            <w:vAlign w:val="bottom"/>
          </w:tcPr>
          <w:p w14:paraId="7C208389" w14:textId="77777777" w:rsidR="00834A75" w:rsidRDefault="00834A75">
            <w:pPr>
              <w:rPr>
                <w:rFonts w:ascii="宋体"/>
              </w:rPr>
            </w:pPr>
          </w:p>
        </w:tc>
        <w:tc>
          <w:tcPr>
            <w:tcW w:w="0" w:type="auto"/>
            <w:gridSpan w:val="2"/>
            <w:shd w:val="clear" w:color="auto" w:fill="FFFFFF"/>
            <w:tcMar>
              <w:top w:w="40" w:type="dxa"/>
              <w:left w:w="20" w:type="dxa"/>
              <w:bottom w:w="40" w:type="dxa"/>
              <w:right w:w="0" w:type="dxa"/>
            </w:tcMar>
            <w:vAlign w:val="bottom"/>
          </w:tcPr>
          <w:p w14:paraId="7C20838A" w14:textId="77777777" w:rsidR="00834A75" w:rsidRDefault="00A6708C">
            <w:pPr>
              <w:jc w:val="right"/>
              <w:textAlignment w:val="bottom"/>
            </w:pPr>
            <w:r>
              <w:rPr>
                <w:rFonts w:ascii="sans-serif" w:eastAsia="sans-serif" w:hAnsi="sans-serif" w:cs="sans-serif"/>
                <w:color w:val="000000"/>
                <w:sz w:val="20"/>
                <w:szCs w:val="20"/>
              </w:rPr>
              <w:t>(9)</w:t>
            </w:r>
          </w:p>
        </w:tc>
        <w:tc>
          <w:tcPr>
            <w:tcW w:w="0" w:type="auto"/>
            <w:shd w:val="clear" w:color="auto" w:fill="FFFFFF"/>
            <w:tcMar>
              <w:top w:w="40" w:type="dxa"/>
              <w:left w:w="0" w:type="dxa"/>
              <w:bottom w:w="40" w:type="dxa"/>
              <w:right w:w="20" w:type="dxa"/>
            </w:tcMar>
            <w:vAlign w:val="bottom"/>
          </w:tcPr>
          <w:p w14:paraId="7C20838B" w14:textId="77777777" w:rsidR="00834A75" w:rsidRDefault="00834A75">
            <w:pPr>
              <w:jc w:val="right"/>
              <w:rPr>
                <w:rFonts w:ascii="宋体"/>
              </w:rPr>
            </w:pPr>
          </w:p>
        </w:tc>
        <w:tc>
          <w:tcPr>
            <w:tcW w:w="0" w:type="auto"/>
            <w:gridSpan w:val="3"/>
            <w:shd w:val="clear" w:color="auto" w:fill="FFFFFF"/>
            <w:tcMar>
              <w:top w:w="0" w:type="dxa"/>
              <w:left w:w="20" w:type="dxa"/>
              <w:bottom w:w="0" w:type="dxa"/>
              <w:right w:w="20" w:type="dxa"/>
            </w:tcMar>
            <w:vAlign w:val="bottom"/>
          </w:tcPr>
          <w:p w14:paraId="7C20838C" w14:textId="77777777" w:rsidR="00834A75" w:rsidRDefault="00834A75">
            <w:pPr>
              <w:rPr>
                <w:rFonts w:ascii="宋体"/>
              </w:rPr>
            </w:pPr>
          </w:p>
        </w:tc>
        <w:tc>
          <w:tcPr>
            <w:tcW w:w="0" w:type="auto"/>
            <w:gridSpan w:val="2"/>
            <w:shd w:val="clear" w:color="auto" w:fill="FFFFFF"/>
            <w:tcMar>
              <w:top w:w="40" w:type="dxa"/>
              <w:left w:w="20" w:type="dxa"/>
              <w:bottom w:w="40" w:type="dxa"/>
              <w:right w:w="0" w:type="dxa"/>
            </w:tcMar>
            <w:vAlign w:val="bottom"/>
          </w:tcPr>
          <w:p w14:paraId="7C20838D" w14:textId="77777777" w:rsidR="00834A75" w:rsidRDefault="00A6708C">
            <w:pPr>
              <w:jc w:val="right"/>
              <w:textAlignment w:val="bottom"/>
            </w:pPr>
            <w:r>
              <w:rPr>
                <w:rFonts w:ascii="sans-serif" w:eastAsia="sans-serif" w:hAnsi="sans-serif" w:cs="sans-serif"/>
                <w:color w:val="000000"/>
                <w:sz w:val="20"/>
                <w:szCs w:val="20"/>
              </w:rPr>
              <w:t>19 </w:t>
            </w:r>
          </w:p>
        </w:tc>
        <w:tc>
          <w:tcPr>
            <w:tcW w:w="0" w:type="auto"/>
            <w:shd w:val="clear" w:color="auto" w:fill="FFFFFF"/>
            <w:tcMar>
              <w:top w:w="40" w:type="dxa"/>
              <w:left w:w="0" w:type="dxa"/>
              <w:bottom w:w="40" w:type="dxa"/>
              <w:right w:w="20" w:type="dxa"/>
            </w:tcMar>
            <w:vAlign w:val="bottom"/>
          </w:tcPr>
          <w:p w14:paraId="7C20838E" w14:textId="77777777" w:rsidR="00834A75" w:rsidRDefault="00834A75">
            <w:pPr>
              <w:jc w:val="right"/>
              <w:rPr>
                <w:rFonts w:ascii="宋体"/>
              </w:rPr>
            </w:pPr>
          </w:p>
        </w:tc>
        <w:tc>
          <w:tcPr>
            <w:tcW w:w="0" w:type="auto"/>
            <w:gridSpan w:val="3"/>
            <w:shd w:val="clear" w:color="auto" w:fill="FFFFFF"/>
            <w:tcMar>
              <w:top w:w="0" w:type="dxa"/>
              <w:left w:w="20" w:type="dxa"/>
              <w:bottom w:w="0" w:type="dxa"/>
              <w:right w:w="20" w:type="dxa"/>
            </w:tcMar>
            <w:vAlign w:val="bottom"/>
          </w:tcPr>
          <w:p w14:paraId="7C20838F" w14:textId="77777777" w:rsidR="00834A75" w:rsidRDefault="00834A75">
            <w:pPr>
              <w:rPr>
                <w:rFonts w:ascii="宋体"/>
              </w:rPr>
            </w:pPr>
          </w:p>
        </w:tc>
        <w:tc>
          <w:tcPr>
            <w:tcW w:w="0" w:type="auto"/>
            <w:gridSpan w:val="2"/>
            <w:shd w:val="clear" w:color="auto" w:fill="FFFFFF"/>
            <w:tcMar>
              <w:top w:w="40" w:type="dxa"/>
              <w:left w:w="20" w:type="dxa"/>
              <w:bottom w:w="40" w:type="dxa"/>
              <w:right w:w="0" w:type="dxa"/>
            </w:tcMar>
            <w:vAlign w:val="bottom"/>
          </w:tcPr>
          <w:p w14:paraId="7C208390" w14:textId="77777777" w:rsidR="00834A75" w:rsidRDefault="00A6708C">
            <w:pPr>
              <w:jc w:val="right"/>
              <w:textAlignment w:val="bottom"/>
            </w:pPr>
            <w:r>
              <w:rPr>
                <w:rFonts w:ascii="sans-serif" w:eastAsia="sans-serif" w:hAnsi="sans-serif" w:cs="sans-serif"/>
                <w:color w:val="000000"/>
                <w:sz w:val="20"/>
                <w:szCs w:val="20"/>
              </w:rPr>
              <w:t>— </w:t>
            </w:r>
          </w:p>
        </w:tc>
        <w:tc>
          <w:tcPr>
            <w:tcW w:w="0" w:type="auto"/>
            <w:shd w:val="clear" w:color="auto" w:fill="FFFFFF"/>
            <w:tcMar>
              <w:top w:w="40" w:type="dxa"/>
              <w:left w:w="0" w:type="dxa"/>
              <w:bottom w:w="40" w:type="dxa"/>
              <w:right w:w="20" w:type="dxa"/>
            </w:tcMar>
            <w:vAlign w:val="bottom"/>
          </w:tcPr>
          <w:p w14:paraId="7C208391" w14:textId="77777777" w:rsidR="00834A75" w:rsidRDefault="00834A75">
            <w:pPr>
              <w:jc w:val="right"/>
              <w:rPr>
                <w:rFonts w:ascii="宋体"/>
              </w:rPr>
            </w:pPr>
          </w:p>
        </w:tc>
        <w:tc>
          <w:tcPr>
            <w:tcW w:w="0" w:type="auto"/>
            <w:gridSpan w:val="3"/>
            <w:shd w:val="clear" w:color="auto" w:fill="FFFFFF"/>
            <w:tcMar>
              <w:top w:w="0" w:type="dxa"/>
              <w:left w:w="20" w:type="dxa"/>
              <w:bottom w:w="0" w:type="dxa"/>
              <w:right w:w="20" w:type="dxa"/>
            </w:tcMar>
            <w:vAlign w:val="bottom"/>
          </w:tcPr>
          <w:p w14:paraId="7C208392" w14:textId="77777777" w:rsidR="00834A75" w:rsidRDefault="00834A75">
            <w:pPr>
              <w:rPr>
                <w:rFonts w:ascii="宋体"/>
              </w:rPr>
            </w:pPr>
          </w:p>
        </w:tc>
        <w:tc>
          <w:tcPr>
            <w:tcW w:w="0" w:type="auto"/>
            <w:gridSpan w:val="2"/>
            <w:shd w:val="clear" w:color="auto" w:fill="FFFFFF"/>
            <w:tcMar>
              <w:top w:w="40" w:type="dxa"/>
              <w:left w:w="20" w:type="dxa"/>
              <w:bottom w:w="40" w:type="dxa"/>
              <w:right w:w="0" w:type="dxa"/>
            </w:tcMar>
            <w:vAlign w:val="bottom"/>
          </w:tcPr>
          <w:p w14:paraId="7C208393" w14:textId="77777777" w:rsidR="00834A75" w:rsidRDefault="00A6708C">
            <w:pPr>
              <w:jc w:val="right"/>
              <w:textAlignment w:val="bottom"/>
            </w:pPr>
            <w:r>
              <w:rPr>
                <w:rFonts w:ascii="sans-serif" w:eastAsia="sans-serif" w:hAnsi="sans-serif" w:cs="sans-serif"/>
                <w:color w:val="000000"/>
                <w:sz w:val="20"/>
                <w:szCs w:val="20"/>
              </w:rPr>
              <w:t>2,613 </w:t>
            </w:r>
          </w:p>
        </w:tc>
        <w:tc>
          <w:tcPr>
            <w:tcW w:w="0" w:type="auto"/>
            <w:shd w:val="clear" w:color="auto" w:fill="FFFFFF"/>
            <w:tcMar>
              <w:top w:w="40" w:type="dxa"/>
              <w:left w:w="0" w:type="dxa"/>
              <w:bottom w:w="40" w:type="dxa"/>
              <w:right w:w="20" w:type="dxa"/>
            </w:tcMar>
            <w:vAlign w:val="bottom"/>
          </w:tcPr>
          <w:p w14:paraId="7C208394" w14:textId="77777777" w:rsidR="00834A75" w:rsidRDefault="00834A75">
            <w:pPr>
              <w:jc w:val="right"/>
              <w:rPr>
                <w:rFonts w:ascii="宋体"/>
              </w:rPr>
            </w:pPr>
          </w:p>
        </w:tc>
        <w:tc>
          <w:tcPr>
            <w:tcW w:w="0" w:type="auto"/>
            <w:gridSpan w:val="3"/>
            <w:shd w:val="clear" w:color="auto" w:fill="FFFFFF"/>
            <w:tcMar>
              <w:top w:w="0" w:type="dxa"/>
              <w:left w:w="20" w:type="dxa"/>
              <w:bottom w:w="0" w:type="dxa"/>
              <w:right w:w="20" w:type="dxa"/>
            </w:tcMar>
            <w:vAlign w:val="bottom"/>
          </w:tcPr>
          <w:p w14:paraId="7C208395" w14:textId="77777777" w:rsidR="00834A75" w:rsidRDefault="00834A75">
            <w:pPr>
              <w:rPr>
                <w:rFonts w:ascii="宋体"/>
              </w:rPr>
            </w:pPr>
          </w:p>
        </w:tc>
        <w:tc>
          <w:tcPr>
            <w:tcW w:w="0" w:type="auto"/>
            <w:gridSpan w:val="2"/>
            <w:shd w:val="clear" w:color="auto" w:fill="FFFFFF"/>
            <w:tcMar>
              <w:top w:w="40" w:type="dxa"/>
              <w:left w:w="20" w:type="dxa"/>
              <w:bottom w:w="40" w:type="dxa"/>
              <w:right w:w="0" w:type="dxa"/>
            </w:tcMar>
            <w:vAlign w:val="bottom"/>
          </w:tcPr>
          <w:p w14:paraId="7C208396" w14:textId="77777777" w:rsidR="00834A75" w:rsidRDefault="00A6708C">
            <w:pPr>
              <w:jc w:val="right"/>
              <w:textAlignment w:val="bottom"/>
            </w:pPr>
            <w:r>
              <w:rPr>
                <w:rFonts w:ascii="sans-serif" w:eastAsia="sans-serif" w:hAnsi="sans-serif" w:cs="sans-serif"/>
                <w:color w:val="000000"/>
                <w:sz w:val="20"/>
                <w:szCs w:val="20"/>
              </w:rPr>
              <w:t>(9)</w:t>
            </w:r>
          </w:p>
        </w:tc>
        <w:tc>
          <w:tcPr>
            <w:tcW w:w="0" w:type="auto"/>
            <w:shd w:val="clear" w:color="auto" w:fill="FFFFFF"/>
            <w:tcMar>
              <w:top w:w="40" w:type="dxa"/>
              <w:left w:w="0" w:type="dxa"/>
              <w:bottom w:w="40" w:type="dxa"/>
              <w:right w:w="20" w:type="dxa"/>
            </w:tcMar>
            <w:vAlign w:val="bottom"/>
          </w:tcPr>
          <w:p w14:paraId="7C208397" w14:textId="77777777" w:rsidR="00834A75" w:rsidRDefault="00834A75">
            <w:pPr>
              <w:jc w:val="right"/>
              <w:rPr>
                <w:rFonts w:ascii="宋体"/>
              </w:rPr>
            </w:pPr>
          </w:p>
        </w:tc>
      </w:tr>
      <w:tr w:rsidR="00834A75" w14:paraId="7C2083A5" w14:textId="77777777">
        <w:trPr>
          <w:hidden/>
        </w:trPr>
        <w:tc>
          <w:tcPr>
            <w:tcW w:w="0" w:type="auto"/>
            <w:gridSpan w:val="3"/>
            <w:shd w:val="clear" w:color="auto" w:fill="auto"/>
            <w:vAlign w:val="bottom"/>
          </w:tcPr>
          <w:p w14:paraId="7C208399" w14:textId="77777777" w:rsidR="00834A75" w:rsidRDefault="00834A75">
            <w:pPr>
              <w:rPr>
                <w:rFonts w:ascii="宋体"/>
                <w:vanish/>
              </w:rPr>
            </w:pPr>
          </w:p>
        </w:tc>
        <w:tc>
          <w:tcPr>
            <w:tcW w:w="0" w:type="auto"/>
            <w:gridSpan w:val="3"/>
            <w:shd w:val="clear" w:color="auto" w:fill="auto"/>
            <w:vAlign w:val="bottom"/>
          </w:tcPr>
          <w:p w14:paraId="7C20839A" w14:textId="77777777" w:rsidR="00834A75" w:rsidRDefault="00834A75">
            <w:pPr>
              <w:rPr>
                <w:rFonts w:ascii="宋体"/>
                <w:vanish/>
              </w:rPr>
            </w:pPr>
          </w:p>
        </w:tc>
        <w:tc>
          <w:tcPr>
            <w:tcW w:w="0" w:type="auto"/>
            <w:gridSpan w:val="3"/>
            <w:shd w:val="clear" w:color="auto" w:fill="auto"/>
            <w:vAlign w:val="bottom"/>
          </w:tcPr>
          <w:p w14:paraId="7C20839B" w14:textId="77777777" w:rsidR="00834A75" w:rsidRDefault="00834A75">
            <w:pPr>
              <w:rPr>
                <w:rFonts w:ascii="宋体"/>
                <w:vanish/>
              </w:rPr>
            </w:pPr>
          </w:p>
        </w:tc>
        <w:tc>
          <w:tcPr>
            <w:tcW w:w="0" w:type="auto"/>
            <w:gridSpan w:val="3"/>
            <w:shd w:val="clear" w:color="auto" w:fill="auto"/>
            <w:vAlign w:val="bottom"/>
          </w:tcPr>
          <w:p w14:paraId="7C20839C" w14:textId="77777777" w:rsidR="00834A75" w:rsidRDefault="00834A75">
            <w:pPr>
              <w:rPr>
                <w:rFonts w:ascii="宋体"/>
                <w:vanish/>
              </w:rPr>
            </w:pPr>
          </w:p>
        </w:tc>
        <w:tc>
          <w:tcPr>
            <w:tcW w:w="0" w:type="auto"/>
            <w:gridSpan w:val="3"/>
            <w:shd w:val="clear" w:color="auto" w:fill="auto"/>
            <w:vAlign w:val="bottom"/>
          </w:tcPr>
          <w:p w14:paraId="7C20839D" w14:textId="77777777" w:rsidR="00834A75" w:rsidRDefault="00834A75">
            <w:pPr>
              <w:rPr>
                <w:rFonts w:ascii="宋体"/>
                <w:vanish/>
              </w:rPr>
            </w:pPr>
          </w:p>
        </w:tc>
        <w:tc>
          <w:tcPr>
            <w:tcW w:w="0" w:type="auto"/>
            <w:gridSpan w:val="3"/>
            <w:shd w:val="clear" w:color="auto" w:fill="auto"/>
            <w:vAlign w:val="bottom"/>
          </w:tcPr>
          <w:p w14:paraId="7C20839E" w14:textId="77777777" w:rsidR="00834A75" w:rsidRDefault="00834A75">
            <w:pPr>
              <w:rPr>
                <w:rFonts w:ascii="宋体"/>
                <w:vanish/>
              </w:rPr>
            </w:pPr>
          </w:p>
        </w:tc>
        <w:tc>
          <w:tcPr>
            <w:tcW w:w="0" w:type="auto"/>
            <w:gridSpan w:val="3"/>
            <w:shd w:val="clear" w:color="auto" w:fill="auto"/>
            <w:vAlign w:val="bottom"/>
          </w:tcPr>
          <w:p w14:paraId="7C20839F" w14:textId="77777777" w:rsidR="00834A75" w:rsidRDefault="00834A75">
            <w:pPr>
              <w:rPr>
                <w:rFonts w:ascii="宋体"/>
                <w:vanish/>
              </w:rPr>
            </w:pPr>
          </w:p>
        </w:tc>
        <w:tc>
          <w:tcPr>
            <w:tcW w:w="0" w:type="auto"/>
            <w:gridSpan w:val="3"/>
            <w:shd w:val="clear" w:color="auto" w:fill="auto"/>
            <w:vAlign w:val="bottom"/>
          </w:tcPr>
          <w:p w14:paraId="7C2083A0" w14:textId="77777777" w:rsidR="00834A75" w:rsidRDefault="00834A75">
            <w:pPr>
              <w:rPr>
                <w:rFonts w:ascii="宋体"/>
                <w:vanish/>
              </w:rPr>
            </w:pPr>
          </w:p>
        </w:tc>
        <w:tc>
          <w:tcPr>
            <w:tcW w:w="0" w:type="auto"/>
            <w:gridSpan w:val="3"/>
            <w:shd w:val="clear" w:color="auto" w:fill="auto"/>
            <w:vAlign w:val="bottom"/>
          </w:tcPr>
          <w:p w14:paraId="7C2083A1" w14:textId="77777777" w:rsidR="00834A75" w:rsidRDefault="00834A75">
            <w:pPr>
              <w:rPr>
                <w:rFonts w:ascii="宋体"/>
                <w:vanish/>
              </w:rPr>
            </w:pPr>
          </w:p>
        </w:tc>
        <w:tc>
          <w:tcPr>
            <w:tcW w:w="0" w:type="auto"/>
            <w:gridSpan w:val="3"/>
            <w:shd w:val="clear" w:color="auto" w:fill="auto"/>
            <w:vAlign w:val="bottom"/>
          </w:tcPr>
          <w:p w14:paraId="7C2083A2" w14:textId="77777777" w:rsidR="00834A75" w:rsidRDefault="00834A75">
            <w:pPr>
              <w:rPr>
                <w:rFonts w:ascii="宋体"/>
                <w:vanish/>
              </w:rPr>
            </w:pPr>
          </w:p>
        </w:tc>
        <w:tc>
          <w:tcPr>
            <w:tcW w:w="0" w:type="auto"/>
            <w:gridSpan w:val="3"/>
            <w:shd w:val="clear" w:color="auto" w:fill="auto"/>
            <w:vAlign w:val="bottom"/>
          </w:tcPr>
          <w:p w14:paraId="7C2083A3" w14:textId="77777777" w:rsidR="00834A75" w:rsidRDefault="00834A75">
            <w:pPr>
              <w:rPr>
                <w:rFonts w:ascii="宋体"/>
                <w:vanish/>
              </w:rPr>
            </w:pPr>
          </w:p>
        </w:tc>
        <w:tc>
          <w:tcPr>
            <w:tcW w:w="0" w:type="auto"/>
            <w:gridSpan w:val="3"/>
            <w:shd w:val="clear" w:color="auto" w:fill="auto"/>
            <w:vAlign w:val="bottom"/>
          </w:tcPr>
          <w:p w14:paraId="7C2083A4" w14:textId="77777777" w:rsidR="00834A75" w:rsidRDefault="00834A75">
            <w:pPr>
              <w:rPr>
                <w:rFonts w:ascii="宋体"/>
                <w:vanish/>
              </w:rPr>
            </w:pPr>
          </w:p>
        </w:tc>
      </w:tr>
      <w:tr w:rsidR="00834A75" w14:paraId="7C2083BE" w14:textId="77777777">
        <w:tc>
          <w:tcPr>
            <w:tcW w:w="0" w:type="auto"/>
            <w:gridSpan w:val="3"/>
            <w:shd w:val="clear" w:color="auto" w:fill="E2EFD9"/>
            <w:tcMar>
              <w:top w:w="40" w:type="dxa"/>
              <w:left w:w="20" w:type="dxa"/>
              <w:bottom w:w="40" w:type="dxa"/>
              <w:right w:w="20" w:type="dxa"/>
            </w:tcMar>
            <w:vAlign w:val="bottom"/>
          </w:tcPr>
          <w:p w14:paraId="7C2083A6" w14:textId="77777777" w:rsidR="00834A75" w:rsidRDefault="00A6708C">
            <w:pPr>
              <w:textAlignment w:val="bottom"/>
            </w:pPr>
            <w:r>
              <w:rPr>
                <w:rFonts w:ascii="sans-serif" w:eastAsia="sans-serif" w:hAnsi="sans-serif" w:cs="sans-serif"/>
                <w:color w:val="000000"/>
                <w:sz w:val="20"/>
                <w:szCs w:val="20"/>
              </w:rPr>
              <w:t>Total</w:t>
            </w:r>
          </w:p>
        </w:tc>
        <w:tc>
          <w:tcPr>
            <w:tcW w:w="0" w:type="auto"/>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7C2083A7" w14:textId="77777777" w:rsidR="00834A75" w:rsidRDefault="00A6708C">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E2EFD9"/>
            <w:tcMar>
              <w:top w:w="40" w:type="dxa"/>
              <w:left w:w="0" w:type="dxa"/>
              <w:bottom w:w="40" w:type="dxa"/>
              <w:right w:w="0" w:type="dxa"/>
            </w:tcMar>
            <w:vAlign w:val="bottom"/>
          </w:tcPr>
          <w:p w14:paraId="7C2083A8" w14:textId="77777777" w:rsidR="00834A75" w:rsidRDefault="00A6708C">
            <w:pPr>
              <w:jc w:val="right"/>
              <w:textAlignment w:val="bottom"/>
            </w:pPr>
            <w:r>
              <w:rPr>
                <w:rFonts w:ascii="sans-serif" w:eastAsia="sans-serif" w:hAnsi="sans-serif" w:cs="sans-serif"/>
                <w:color w:val="000000"/>
                <w:sz w:val="20"/>
                <w:szCs w:val="20"/>
              </w:rPr>
              <w:t>5,549 </w:t>
            </w:r>
          </w:p>
        </w:tc>
        <w:tc>
          <w:tcPr>
            <w:tcW w:w="0" w:type="auto"/>
            <w:tcBorders>
              <w:top w:val="single" w:sz="8" w:space="0" w:color="000000"/>
              <w:bottom w:val="double" w:sz="6" w:space="0" w:color="000000"/>
            </w:tcBorders>
            <w:shd w:val="clear" w:color="auto" w:fill="E2EFD9"/>
            <w:tcMar>
              <w:top w:w="40" w:type="dxa"/>
              <w:left w:w="0" w:type="dxa"/>
              <w:bottom w:w="40" w:type="dxa"/>
              <w:right w:w="20" w:type="dxa"/>
            </w:tcMar>
            <w:vAlign w:val="bottom"/>
          </w:tcPr>
          <w:p w14:paraId="7C2083A9" w14:textId="77777777" w:rsidR="00834A75" w:rsidRDefault="00834A75">
            <w:pPr>
              <w:jc w:val="right"/>
              <w:rPr>
                <w:rFonts w:ascii="宋体"/>
              </w:rPr>
            </w:pPr>
          </w:p>
        </w:tc>
        <w:tc>
          <w:tcPr>
            <w:tcW w:w="0" w:type="auto"/>
            <w:gridSpan w:val="3"/>
            <w:shd w:val="clear" w:color="auto" w:fill="E2EFD9"/>
            <w:tcMar>
              <w:top w:w="0" w:type="dxa"/>
              <w:left w:w="20" w:type="dxa"/>
              <w:bottom w:w="0" w:type="dxa"/>
              <w:right w:w="20" w:type="dxa"/>
            </w:tcMar>
            <w:vAlign w:val="bottom"/>
          </w:tcPr>
          <w:p w14:paraId="7C2083AA" w14:textId="77777777" w:rsidR="00834A75" w:rsidRDefault="00834A75">
            <w:pPr>
              <w:rPr>
                <w:rFonts w:ascii="宋体"/>
              </w:rPr>
            </w:pPr>
          </w:p>
        </w:tc>
        <w:tc>
          <w:tcPr>
            <w:tcW w:w="0" w:type="auto"/>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7C2083AB" w14:textId="77777777" w:rsidR="00834A75" w:rsidRDefault="00A6708C">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E2EFD9"/>
            <w:tcMar>
              <w:top w:w="40" w:type="dxa"/>
              <w:left w:w="0" w:type="dxa"/>
              <w:bottom w:w="40" w:type="dxa"/>
              <w:right w:w="0" w:type="dxa"/>
            </w:tcMar>
            <w:vAlign w:val="bottom"/>
          </w:tcPr>
          <w:p w14:paraId="7C2083AC" w14:textId="77777777" w:rsidR="00834A75" w:rsidRDefault="00A6708C">
            <w:pPr>
              <w:jc w:val="right"/>
              <w:textAlignment w:val="bottom"/>
            </w:pPr>
            <w:r>
              <w:rPr>
                <w:rFonts w:ascii="sans-serif" w:eastAsia="sans-serif" w:hAnsi="sans-serif" w:cs="sans-serif"/>
                <w:color w:val="000000"/>
                <w:sz w:val="20"/>
                <w:szCs w:val="20"/>
              </w:rPr>
              <w:t>(47)</w:t>
            </w:r>
          </w:p>
        </w:tc>
        <w:tc>
          <w:tcPr>
            <w:tcW w:w="0" w:type="auto"/>
            <w:tcBorders>
              <w:top w:val="single" w:sz="8" w:space="0" w:color="000000"/>
              <w:bottom w:val="double" w:sz="6" w:space="0" w:color="000000"/>
            </w:tcBorders>
            <w:shd w:val="clear" w:color="auto" w:fill="E2EFD9"/>
            <w:tcMar>
              <w:top w:w="40" w:type="dxa"/>
              <w:left w:w="0" w:type="dxa"/>
              <w:bottom w:w="40" w:type="dxa"/>
              <w:right w:w="20" w:type="dxa"/>
            </w:tcMar>
            <w:vAlign w:val="bottom"/>
          </w:tcPr>
          <w:p w14:paraId="7C2083AD" w14:textId="77777777" w:rsidR="00834A75" w:rsidRDefault="00834A75">
            <w:pPr>
              <w:jc w:val="right"/>
              <w:rPr>
                <w:rFonts w:ascii="宋体"/>
              </w:rPr>
            </w:pPr>
          </w:p>
        </w:tc>
        <w:tc>
          <w:tcPr>
            <w:tcW w:w="0" w:type="auto"/>
            <w:gridSpan w:val="3"/>
            <w:shd w:val="clear" w:color="auto" w:fill="E2EFD9"/>
            <w:tcMar>
              <w:top w:w="0" w:type="dxa"/>
              <w:left w:w="20" w:type="dxa"/>
              <w:bottom w:w="0" w:type="dxa"/>
              <w:right w:w="20" w:type="dxa"/>
            </w:tcMar>
            <w:vAlign w:val="bottom"/>
          </w:tcPr>
          <w:p w14:paraId="7C2083AE" w14:textId="77777777" w:rsidR="00834A75" w:rsidRDefault="00834A75">
            <w:pPr>
              <w:rPr>
                <w:rFonts w:ascii="宋体"/>
              </w:rPr>
            </w:pPr>
          </w:p>
        </w:tc>
        <w:tc>
          <w:tcPr>
            <w:tcW w:w="0" w:type="auto"/>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7C2083AF" w14:textId="77777777" w:rsidR="00834A75" w:rsidRDefault="00A6708C">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E2EFD9"/>
            <w:tcMar>
              <w:top w:w="40" w:type="dxa"/>
              <w:left w:w="0" w:type="dxa"/>
              <w:bottom w:w="40" w:type="dxa"/>
              <w:right w:w="0" w:type="dxa"/>
            </w:tcMar>
            <w:vAlign w:val="bottom"/>
          </w:tcPr>
          <w:p w14:paraId="7C2083B0" w14:textId="77777777" w:rsidR="00834A75" w:rsidRDefault="00A6708C">
            <w:pPr>
              <w:jc w:val="right"/>
              <w:textAlignment w:val="bottom"/>
            </w:pPr>
            <w:r>
              <w:rPr>
                <w:rFonts w:ascii="sans-serif" w:eastAsia="sans-serif" w:hAnsi="sans-serif" w:cs="sans-serif"/>
                <w:color w:val="000000"/>
                <w:sz w:val="20"/>
                <w:szCs w:val="20"/>
              </w:rPr>
              <w:t>19 </w:t>
            </w:r>
          </w:p>
        </w:tc>
        <w:tc>
          <w:tcPr>
            <w:tcW w:w="0" w:type="auto"/>
            <w:tcBorders>
              <w:top w:val="single" w:sz="8" w:space="0" w:color="000000"/>
              <w:bottom w:val="double" w:sz="6" w:space="0" w:color="000000"/>
            </w:tcBorders>
            <w:shd w:val="clear" w:color="auto" w:fill="E2EFD9"/>
            <w:tcMar>
              <w:top w:w="40" w:type="dxa"/>
              <w:left w:w="0" w:type="dxa"/>
              <w:bottom w:w="40" w:type="dxa"/>
              <w:right w:w="20" w:type="dxa"/>
            </w:tcMar>
            <w:vAlign w:val="bottom"/>
          </w:tcPr>
          <w:p w14:paraId="7C2083B1" w14:textId="77777777" w:rsidR="00834A75" w:rsidRDefault="00834A75">
            <w:pPr>
              <w:jc w:val="right"/>
              <w:rPr>
                <w:rFonts w:ascii="宋体"/>
              </w:rPr>
            </w:pPr>
          </w:p>
        </w:tc>
        <w:tc>
          <w:tcPr>
            <w:tcW w:w="0" w:type="auto"/>
            <w:gridSpan w:val="3"/>
            <w:shd w:val="clear" w:color="auto" w:fill="E2EFD9"/>
            <w:tcMar>
              <w:top w:w="0" w:type="dxa"/>
              <w:left w:w="20" w:type="dxa"/>
              <w:bottom w:w="0" w:type="dxa"/>
              <w:right w:w="20" w:type="dxa"/>
            </w:tcMar>
            <w:vAlign w:val="bottom"/>
          </w:tcPr>
          <w:p w14:paraId="7C2083B2" w14:textId="77777777" w:rsidR="00834A75" w:rsidRDefault="00834A75">
            <w:pPr>
              <w:rPr>
                <w:rFonts w:ascii="宋体"/>
              </w:rPr>
            </w:pPr>
          </w:p>
        </w:tc>
        <w:tc>
          <w:tcPr>
            <w:tcW w:w="0" w:type="auto"/>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7C2083B3" w14:textId="77777777" w:rsidR="00834A75" w:rsidRDefault="00A6708C">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E2EFD9"/>
            <w:tcMar>
              <w:top w:w="40" w:type="dxa"/>
              <w:left w:w="0" w:type="dxa"/>
              <w:bottom w:w="40" w:type="dxa"/>
              <w:right w:w="0" w:type="dxa"/>
            </w:tcMar>
            <w:vAlign w:val="bottom"/>
          </w:tcPr>
          <w:p w14:paraId="7C2083B4" w14:textId="77777777" w:rsidR="00834A75" w:rsidRDefault="00A6708C">
            <w:pPr>
              <w:jc w:val="right"/>
              <w:textAlignment w:val="bottom"/>
            </w:pPr>
            <w:r>
              <w:rPr>
                <w:rFonts w:ascii="sans-serif" w:eastAsia="sans-serif" w:hAnsi="sans-serif" w:cs="sans-serif"/>
                <w:color w:val="000000"/>
                <w:sz w:val="20"/>
                <w:szCs w:val="20"/>
              </w:rPr>
              <w:t>— </w:t>
            </w:r>
          </w:p>
        </w:tc>
        <w:tc>
          <w:tcPr>
            <w:tcW w:w="0" w:type="auto"/>
            <w:tcBorders>
              <w:top w:val="single" w:sz="8" w:space="0" w:color="000000"/>
              <w:bottom w:val="double" w:sz="6" w:space="0" w:color="000000"/>
            </w:tcBorders>
            <w:shd w:val="clear" w:color="auto" w:fill="E2EFD9"/>
            <w:tcMar>
              <w:top w:w="40" w:type="dxa"/>
              <w:left w:w="0" w:type="dxa"/>
              <w:bottom w:w="40" w:type="dxa"/>
              <w:right w:w="20" w:type="dxa"/>
            </w:tcMar>
            <w:vAlign w:val="bottom"/>
          </w:tcPr>
          <w:p w14:paraId="7C2083B5" w14:textId="77777777" w:rsidR="00834A75" w:rsidRDefault="00834A75">
            <w:pPr>
              <w:jc w:val="right"/>
              <w:rPr>
                <w:rFonts w:ascii="宋体"/>
              </w:rPr>
            </w:pPr>
          </w:p>
        </w:tc>
        <w:tc>
          <w:tcPr>
            <w:tcW w:w="0" w:type="auto"/>
            <w:gridSpan w:val="3"/>
            <w:shd w:val="clear" w:color="auto" w:fill="E2EFD9"/>
            <w:tcMar>
              <w:top w:w="0" w:type="dxa"/>
              <w:left w:w="20" w:type="dxa"/>
              <w:bottom w:w="0" w:type="dxa"/>
              <w:right w:w="20" w:type="dxa"/>
            </w:tcMar>
            <w:vAlign w:val="bottom"/>
          </w:tcPr>
          <w:p w14:paraId="7C2083B6" w14:textId="77777777" w:rsidR="00834A75" w:rsidRDefault="00834A75">
            <w:pPr>
              <w:rPr>
                <w:rFonts w:ascii="宋体"/>
              </w:rPr>
            </w:pPr>
          </w:p>
        </w:tc>
        <w:tc>
          <w:tcPr>
            <w:tcW w:w="0" w:type="auto"/>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7C2083B7" w14:textId="77777777" w:rsidR="00834A75" w:rsidRDefault="00A6708C">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E2EFD9"/>
            <w:tcMar>
              <w:top w:w="40" w:type="dxa"/>
              <w:left w:w="0" w:type="dxa"/>
              <w:bottom w:w="40" w:type="dxa"/>
              <w:right w:w="0" w:type="dxa"/>
            </w:tcMar>
            <w:vAlign w:val="bottom"/>
          </w:tcPr>
          <w:p w14:paraId="7C2083B8" w14:textId="77777777" w:rsidR="00834A75" w:rsidRDefault="00A6708C">
            <w:pPr>
              <w:jc w:val="right"/>
              <w:textAlignment w:val="bottom"/>
            </w:pPr>
            <w:r>
              <w:rPr>
                <w:rFonts w:ascii="sans-serif" w:eastAsia="sans-serif" w:hAnsi="sans-serif" w:cs="sans-serif"/>
                <w:color w:val="000000"/>
                <w:sz w:val="20"/>
                <w:szCs w:val="20"/>
              </w:rPr>
              <w:t>5,568 </w:t>
            </w:r>
          </w:p>
        </w:tc>
        <w:tc>
          <w:tcPr>
            <w:tcW w:w="0" w:type="auto"/>
            <w:tcBorders>
              <w:top w:val="single" w:sz="8" w:space="0" w:color="000000"/>
              <w:bottom w:val="double" w:sz="6" w:space="0" w:color="000000"/>
            </w:tcBorders>
            <w:shd w:val="clear" w:color="auto" w:fill="E2EFD9"/>
            <w:tcMar>
              <w:top w:w="40" w:type="dxa"/>
              <w:left w:w="0" w:type="dxa"/>
              <w:bottom w:w="40" w:type="dxa"/>
              <w:right w:w="20" w:type="dxa"/>
            </w:tcMar>
            <w:vAlign w:val="bottom"/>
          </w:tcPr>
          <w:p w14:paraId="7C2083B9" w14:textId="77777777" w:rsidR="00834A75" w:rsidRDefault="00834A75">
            <w:pPr>
              <w:jc w:val="right"/>
              <w:rPr>
                <w:rFonts w:ascii="宋体"/>
              </w:rPr>
            </w:pPr>
          </w:p>
        </w:tc>
        <w:tc>
          <w:tcPr>
            <w:tcW w:w="0" w:type="auto"/>
            <w:gridSpan w:val="3"/>
            <w:shd w:val="clear" w:color="auto" w:fill="E2EFD9"/>
            <w:tcMar>
              <w:top w:w="0" w:type="dxa"/>
              <w:left w:w="20" w:type="dxa"/>
              <w:bottom w:w="0" w:type="dxa"/>
              <w:right w:w="20" w:type="dxa"/>
            </w:tcMar>
            <w:vAlign w:val="bottom"/>
          </w:tcPr>
          <w:p w14:paraId="7C2083BA" w14:textId="77777777" w:rsidR="00834A75" w:rsidRDefault="00834A75">
            <w:pPr>
              <w:rPr>
                <w:rFonts w:ascii="宋体"/>
              </w:rPr>
            </w:pPr>
          </w:p>
        </w:tc>
        <w:tc>
          <w:tcPr>
            <w:tcW w:w="0" w:type="auto"/>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7C2083BB" w14:textId="77777777" w:rsidR="00834A75" w:rsidRDefault="00A6708C">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E2EFD9"/>
            <w:tcMar>
              <w:top w:w="40" w:type="dxa"/>
              <w:left w:w="0" w:type="dxa"/>
              <w:bottom w:w="40" w:type="dxa"/>
              <w:right w:w="0" w:type="dxa"/>
            </w:tcMar>
            <w:vAlign w:val="bottom"/>
          </w:tcPr>
          <w:p w14:paraId="7C2083BC" w14:textId="77777777" w:rsidR="00834A75" w:rsidRDefault="00A6708C">
            <w:pPr>
              <w:jc w:val="right"/>
              <w:textAlignment w:val="bottom"/>
            </w:pPr>
            <w:r>
              <w:rPr>
                <w:rFonts w:ascii="sans-serif" w:eastAsia="sans-serif" w:hAnsi="sans-serif" w:cs="sans-serif"/>
                <w:color w:val="000000"/>
                <w:sz w:val="20"/>
                <w:szCs w:val="20"/>
              </w:rPr>
              <w:t>(47)</w:t>
            </w:r>
          </w:p>
        </w:tc>
        <w:tc>
          <w:tcPr>
            <w:tcW w:w="0" w:type="auto"/>
            <w:tcBorders>
              <w:top w:val="single" w:sz="8" w:space="0" w:color="000000"/>
              <w:bottom w:val="double" w:sz="6" w:space="0" w:color="000000"/>
            </w:tcBorders>
            <w:shd w:val="clear" w:color="auto" w:fill="E2EFD9"/>
            <w:tcMar>
              <w:top w:w="40" w:type="dxa"/>
              <w:left w:w="0" w:type="dxa"/>
              <w:bottom w:w="40" w:type="dxa"/>
              <w:right w:w="20" w:type="dxa"/>
            </w:tcMar>
            <w:vAlign w:val="bottom"/>
          </w:tcPr>
          <w:p w14:paraId="7C2083BD" w14:textId="77777777" w:rsidR="00834A75" w:rsidRDefault="00834A75">
            <w:pPr>
              <w:jc w:val="right"/>
              <w:rPr>
                <w:rFonts w:ascii="宋体"/>
              </w:rPr>
            </w:pPr>
          </w:p>
        </w:tc>
      </w:tr>
    </w:tbl>
    <w:p w14:paraId="7C2083BF" w14:textId="77777777" w:rsidR="00834A75" w:rsidRDefault="00834A75">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38"/>
        <w:gridCol w:w="1848"/>
        <w:gridCol w:w="37"/>
        <w:gridCol w:w="123"/>
        <w:gridCol w:w="792"/>
        <w:gridCol w:w="37"/>
        <w:gridCol w:w="36"/>
        <w:gridCol w:w="36"/>
        <w:gridCol w:w="36"/>
        <w:gridCol w:w="123"/>
        <w:gridCol w:w="846"/>
        <w:gridCol w:w="36"/>
        <w:gridCol w:w="36"/>
        <w:gridCol w:w="36"/>
        <w:gridCol w:w="36"/>
        <w:gridCol w:w="123"/>
        <w:gridCol w:w="793"/>
        <w:gridCol w:w="36"/>
        <w:gridCol w:w="36"/>
        <w:gridCol w:w="36"/>
        <w:gridCol w:w="36"/>
        <w:gridCol w:w="123"/>
        <w:gridCol w:w="846"/>
        <w:gridCol w:w="36"/>
        <w:gridCol w:w="36"/>
        <w:gridCol w:w="36"/>
        <w:gridCol w:w="36"/>
        <w:gridCol w:w="123"/>
        <w:gridCol w:w="793"/>
        <w:gridCol w:w="36"/>
        <w:gridCol w:w="36"/>
        <w:gridCol w:w="36"/>
        <w:gridCol w:w="36"/>
        <w:gridCol w:w="123"/>
        <w:gridCol w:w="848"/>
        <w:gridCol w:w="36"/>
      </w:tblGrid>
      <w:tr w:rsidR="00834A75" w14:paraId="7C2083E4" w14:textId="77777777">
        <w:tc>
          <w:tcPr>
            <w:tcW w:w="50" w:type="pct"/>
            <w:shd w:val="clear" w:color="auto" w:fill="auto"/>
            <w:vAlign w:val="bottom"/>
          </w:tcPr>
          <w:p w14:paraId="7C2083C0" w14:textId="77777777" w:rsidR="00834A75" w:rsidRDefault="00834A75">
            <w:pPr>
              <w:rPr>
                <w:rFonts w:ascii="宋体"/>
              </w:rPr>
            </w:pPr>
          </w:p>
        </w:tc>
        <w:tc>
          <w:tcPr>
            <w:tcW w:w="1268" w:type="pct"/>
            <w:shd w:val="clear" w:color="auto" w:fill="auto"/>
            <w:vAlign w:val="bottom"/>
          </w:tcPr>
          <w:p w14:paraId="7C2083C1" w14:textId="77777777" w:rsidR="00834A75" w:rsidRDefault="00834A75">
            <w:pPr>
              <w:rPr>
                <w:rFonts w:ascii="宋体"/>
              </w:rPr>
            </w:pPr>
          </w:p>
        </w:tc>
        <w:tc>
          <w:tcPr>
            <w:tcW w:w="5" w:type="pct"/>
            <w:shd w:val="clear" w:color="auto" w:fill="auto"/>
            <w:vAlign w:val="bottom"/>
          </w:tcPr>
          <w:p w14:paraId="7C2083C2" w14:textId="77777777" w:rsidR="00834A75" w:rsidRDefault="00834A75">
            <w:pPr>
              <w:rPr>
                <w:rFonts w:ascii="宋体"/>
              </w:rPr>
            </w:pPr>
          </w:p>
        </w:tc>
        <w:tc>
          <w:tcPr>
            <w:tcW w:w="50" w:type="pct"/>
            <w:shd w:val="clear" w:color="auto" w:fill="auto"/>
            <w:vAlign w:val="bottom"/>
          </w:tcPr>
          <w:p w14:paraId="7C2083C3" w14:textId="77777777" w:rsidR="00834A75" w:rsidRDefault="00834A75">
            <w:pPr>
              <w:rPr>
                <w:rFonts w:ascii="宋体"/>
              </w:rPr>
            </w:pPr>
          </w:p>
        </w:tc>
        <w:tc>
          <w:tcPr>
            <w:tcW w:w="529" w:type="pct"/>
            <w:shd w:val="clear" w:color="auto" w:fill="auto"/>
            <w:vAlign w:val="bottom"/>
          </w:tcPr>
          <w:p w14:paraId="7C2083C4" w14:textId="77777777" w:rsidR="00834A75" w:rsidRDefault="00834A75">
            <w:pPr>
              <w:rPr>
                <w:rFonts w:ascii="宋体"/>
              </w:rPr>
            </w:pPr>
          </w:p>
        </w:tc>
        <w:tc>
          <w:tcPr>
            <w:tcW w:w="5" w:type="pct"/>
            <w:shd w:val="clear" w:color="auto" w:fill="auto"/>
            <w:vAlign w:val="bottom"/>
          </w:tcPr>
          <w:p w14:paraId="7C2083C5" w14:textId="77777777" w:rsidR="00834A75" w:rsidRDefault="00834A75">
            <w:pPr>
              <w:rPr>
                <w:rFonts w:ascii="宋体"/>
              </w:rPr>
            </w:pPr>
          </w:p>
        </w:tc>
        <w:tc>
          <w:tcPr>
            <w:tcW w:w="5" w:type="pct"/>
            <w:shd w:val="clear" w:color="auto" w:fill="auto"/>
            <w:vAlign w:val="bottom"/>
          </w:tcPr>
          <w:p w14:paraId="7C2083C6" w14:textId="77777777" w:rsidR="00834A75" w:rsidRDefault="00834A75">
            <w:pPr>
              <w:rPr>
                <w:rFonts w:ascii="宋体"/>
              </w:rPr>
            </w:pPr>
          </w:p>
        </w:tc>
        <w:tc>
          <w:tcPr>
            <w:tcW w:w="26" w:type="pct"/>
            <w:shd w:val="clear" w:color="auto" w:fill="auto"/>
            <w:vAlign w:val="bottom"/>
          </w:tcPr>
          <w:p w14:paraId="7C2083C7" w14:textId="77777777" w:rsidR="00834A75" w:rsidRDefault="00834A75">
            <w:pPr>
              <w:rPr>
                <w:rFonts w:ascii="宋体"/>
              </w:rPr>
            </w:pPr>
          </w:p>
        </w:tc>
        <w:tc>
          <w:tcPr>
            <w:tcW w:w="5" w:type="pct"/>
            <w:shd w:val="clear" w:color="auto" w:fill="auto"/>
            <w:vAlign w:val="bottom"/>
          </w:tcPr>
          <w:p w14:paraId="7C2083C8" w14:textId="77777777" w:rsidR="00834A75" w:rsidRDefault="00834A75">
            <w:pPr>
              <w:rPr>
                <w:rFonts w:ascii="宋体"/>
              </w:rPr>
            </w:pPr>
          </w:p>
        </w:tc>
        <w:tc>
          <w:tcPr>
            <w:tcW w:w="50" w:type="pct"/>
            <w:shd w:val="clear" w:color="auto" w:fill="auto"/>
            <w:vAlign w:val="bottom"/>
          </w:tcPr>
          <w:p w14:paraId="7C2083C9" w14:textId="77777777" w:rsidR="00834A75" w:rsidRDefault="00834A75">
            <w:pPr>
              <w:rPr>
                <w:rFonts w:ascii="宋体"/>
              </w:rPr>
            </w:pPr>
          </w:p>
        </w:tc>
        <w:tc>
          <w:tcPr>
            <w:tcW w:w="529" w:type="pct"/>
            <w:shd w:val="clear" w:color="auto" w:fill="auto"/>
            <w:vAlign w:val="bottom"/>
          </w:tcPr>
          <w:p w14:paraId="7C2083CA" w14:textId="77777777" w:rsidR="00834A75" w:rsidRDefault="00834A75">
            <w:pPr>
              <w:rPr>
                <w:rFonts w:ascii="宋体"/>
              </w:rPr>
            </w:pPr>
          </w:p>
        </w:tc>
        <w:tc>
          <w:tcPr>
            <w:tcW w:w="5" w:type="pct"/>
            <w:shd w:val="clear" w:color="auto" w:fill="auto"/>
            <w:vAlign w:val="bottom"/>
          </w:tcPr>
          <w:p w14:paraId="7C2083CB" w14:textId="77777777" w:rsidR="00834A75" w:rsidRDefault="00834A75">
            <w:pPr>
              <w:rPr>
                <w:rFonts w:ascii="宋体"/>
              </w:rPr>
            </w:pPr>
          </w:p>
        </w:tc>
        <w:tc>
          <w:tcPr>
            <w:tcW w:w="5" w:type="pct"/>
            <w:shd w:val="clear" w:color="auto" w:fill="auto"/>
            <w:vAlign w:val="bottom"/>
          </w:tcPr>
          <w:p w14:paraId="7C2083CC" w14:textId="77777777" w:rsidR="00834A75" w:rsidRDefault="00834A75">
            <w:pPr>
              <w:rPr>
                <w:rFonts w:ascii="宋体"/>
              </w:rPr>
            </w:pPr>
          </w:p>
        </w:tc>
        <w:tc>
          <w:tcPr>
            <w:tcW w:w="26" w:type="pct"/>
            <w:shd w:val="clear" w:color="auto" w:fill="auto"/>
            <w:vAlign w:val="bottom"/>
          </w:tcPr>
          <w:p w14:paraId="7C2083CD" w14:textId="77777777" w:rsidR="00834A75" w:rsidRDefault="00834A75">
            <w:pPr>
              <w:rPr>
                <w:rFonts w:ascii="宋体"/>
              </w:rPr>
            </w:pPr>
          </w:p>
        </w:tc>
        <w:tc>
          <w:tcPr>
            <w:tcW w:w="5" w:type="pct"/>
            <w:shd w:val="clear" w:color="auto" w:fill="auto"/>
            <w:vAlign w:val="bottom"/>
          </w:tcPr>
          <w:p w14:paraId="7C2083CE" w14:textId="77777777" w:rsidR="00834A75" w:rsidRDefault="00834A75">
            <w:pPr>
              <w:rPr>
                <w:rFonts w:ascii="宋体"/>
              </w:rPr>
            </w:pPr>
          </w:p>
        </w:tc>
        <w:tc>
          <w:tcPr>
            <w:tcW w:w="50" w:type="pct"/>
            <w:shd w:val="clear" w:color="auto" w:fill="auto"/>
            <w:vAlign w:val="bottom"/>
          </w:tcPr>
          <w:p w14:paraId="7C2083CF" w14:textId="77777777" w:rsidR="00834A75" w:rsidRDefault="00834A75">
            <w:pPr>
              <w:rPr>
                <w:rFonts w:ascii="宋体"/>
              </w:rPr>
            </w:pPr>
          </w:p>
        </w:tc>
        <w:tc>
          <w:tcPr>
            <w:tcW w:w="529" w:type="pct"/>
            <w:shd w:val="clear" w:color="auto" w:fill="auto"/>
            <w:vAlign w:val="bottom"/>
          </w:tcPr>
          <w:p w14:paraId="7C2083D0" w14:textId="77777777" w:rsidR="00834A75" w:rsidRDefault="00834A75">
            <w:pPr>
              <w:rPr>
                <w:rFonts w:ascii="宋体"/>
              </w:rPr>
            </w:pPr>
          </w:p>
        </w:tc>
        <w:tc>
          <w:tcPr>
            <w:tcW w:w="5" w:type="pct"/>
            <w:shd w:val="clear" w:color="auto" w:fill="auto"/>
            <w:vAlign w:val="bottom"/>
          </w:tcPr>
          <w:p w14:paraId="7C2083D1" w14:textId="77777777" w:rsidR="00834A75" w:rsidRDefault="00834A75">
            <w:pPr>
              <w:rPr>
                <w:rFonts w:ascii="宋体"/>
              </w:rPr>
            </w:pPr>
          </w:p>
        </w:tc>
        <w:tc>
          <w:tcPr>
            <w:tcW w:w="5" w:type="pct"/>
            <w:shd w:val="clear" w:color="auto" w:fill="auto"/>
            <w:vAlign w:val="bottom"/>
          </w:tcPr>
          <w:p w14:paraId="7C2083D2" w14:textId="77777777" w:rsidR="00834A75" w:rsidRDefault="00834A75">
            <w:pPr>
              <w:rPr>
                <w:rFonts w:ascii="宋体"/>
              </w:rPr>
            </w:pPr>
          </w:p>
        </w:tc>
        <w:tc>
          <w:tcPr>
            <w:tcW w:w="26" w:type="pct"/>
            <w:shd w:val="clear" w:color="auto" w:fill="auto"/>
            <w:vAlign w:val="bottom"/>
          </w:tcPr>
          <w:p w14:paraId="7C2083D3" w14:textId="77777777" w:rsidR="00834A75" w:rsidRDefault="00834A75">
            <w:pPr>
              <w:rPr>
                <w:rFonts w:ascii="宋体"/>
              </w:rPr>
            </w:pPr>
          </w:p>
        </w:tc>
        <w:tc>
          <w:tcPr>
            <w:tcW w:w="5" w:type="pct"/>
            <w:shd w:val="clear" w:color="auto" w:fill="auto"/>
            <w:vAlign w:val="bottom"/>
          </w:tcPr>
          <w:p w14:paraId="7C2083D4" w14:textId="77777777" w:rsidR="00834A75" w:rsidRDefault="00834A75">
            <w:pPr>
              <w:rPr>
                <w:rFonts w:ascii="宋体"/>
              </w:rPr>
            </w:pPr>
          </w:p>
        </w:tc>
        <w:tc>
          <w:tcPr>
            <w:tcW w:w="50" w:type="pct"/>
            <w:shd w:val="clear" w:color="auto" w:fill="auto"/>
            <w:vAlign w:val="bottom"/>
          </w:tcPr>
          <w:p w14:paraId="7C2083D5" w14:textId="77777777" w:rsidR="00834A75" w:rsidRDefault="00834A75">
            <w:pPr>
              <w:rPr>
                <w:rFonts w:ascii="宋体"/>
              </w:rPr>
            </w:pPr>
          </w:p>
        </w:tc>
        <w:tc>
          <w:tcPr>
            <w:tcW w:w="529" w:type="pct"/>
            <w:shd w:val="clear" w:color="auto" w:fill="auto"/>
            <w:vAlign w:val="bottom"/>
          </w:tcPr>
          <w:p w14:paraId="7C2083D6" w14:textId="77777777" w:rsidR="00834A75" w:rsidRDefault="00834A75">
            <w:pPr>
              <w:rPr>
                <w:rFonts w:ascii="宋体"/>
              </w:rPr>
            </w:pPr>
          </w:p>
        </w:tc>
        <w:tc>
          <w:tcPr>
            <w:tcW w:w="5" w:type="pct"/>
            <w:shd w:val="clear" w:color="auto" w:fill="auto"/>
            <w:vAlign w:val="bottom"/>
          </w:tcPr>
          <w:p w14:paraId="7C2083D7" w14:textId="77777777" w:rsidR="00834A75" w:rsidRDefault="00834A75">
            <w:pPr>
              <w:rPr>
                <w:rFonts w:ascii="宋体"/>
              </w:rPr>
            </w:pPr>
          </w:p>
        </w:tc>
        <w:tc>
          <w:tcPr>
            <w:tcW w:w="5" w:type="pct"/>
            <w:shd w:val="clear" w:color="auto" w:fill="auto"/>
            <w:vAlign w:val="bottom"/>
          </w:tcPr>
          <w:p w14:paraId="7C2083D8" w14:textId="77777777" w:rsidR="00834A75" w:rsidRDefault="00834A75">
            <w:pPr>
              <w:rPr>
                <w:rFonts w:ascii="宋体"/>
              </w:rPr>
            </w:pPr>
          </w:p>
        </w:tc>
        <w:tc>
          <w:tcPr>
            <w:tcW w:w="19" w:type="pct"/>
            <w:shd w:val="clear" w:color="auto" w:fill="auto"/>
            <w:vAlign w:val="bottom"/>
          </w:tcPr>
          <w:p w14:paraId="7C2083D9" w14:textId="77777777" w:rsidR="00834A75" w:rsidRDefault="00834A75">
            <w:pPr>
              <w:rPr>
                <w:rFonts w:ascii="宋体"/>
              </w:rPr>
            </w:pPr>
          </w:p>
        </w:tc>
        <w:tc>
          <w:tcPr>
            <w:tcW w:w="5" w:type="pct"/>
            <w:shd w:val="clear" w:color="auto" w:fill="auto"/>
            <w:vAlign w:val="bottom"/>
          </w:tcPr>
          <w:p w14:paraId="7C2083DA" w14:textId="77777777" w:rsidR="00834A75" w:rsidRDefault="00834A75">
            <w:pPr>
              <w:rPr>
                <w:rFonts w:ascii="宋体"/>
              </w:rPr>
            </w:pPr>
          </w:p>
        </w:tc>
        <w:tc>
          <w:tcPr>
            <w:tcW w:w="50" w:type="pct"/>
            <w:shd w:val="clear" w:color="auto" w:fill="auto"/>
            <w:vAlign w:val="bottom"/>
          </w:tcPr>
          <w:p w14:paraId="7C2083DB" w14:textId="77777777" w:rsidR="00834A75" w:rsidRDefault="00834A75">
            <w:pPr>
              <w:rPr>
                <w:rFonts w:ascii="宋体"/>
              </w:rPr>
            </w:pPr>
          </w:p>
        </w:tc>
        <w:tc>
          <w:tcPr>
            <w:tcW w:w="529" w:type="pct"/>
            <w:shd w:val="clear" w:color="auto" w:fill="auto"/>
            <w:vAlign w:val="bottom"/>
          </w:tcPr>
          <w:p w14:paraId="7C2083DC" w14:textId="77777777" w:rsidR="00834A75" w:rsidRDefault="00834A75">
            <w:pPr>
              <w:rPr>
                <w:rFonts w:ascii="宋体"/>
              </w:rPr>
            </w:pPr>
          </w:p>
        </w:tc>
        <w:tc>
          <w:tcPr>
            <w:tcW w:w="5" w:type="pct"/>
            <w:shd w:val="clear" w:color="auto" w:fill="auto"/>
            <w:vAlign w:val="bottom"/>
          </w:tcPr>
          <w:p w14:paraId="7C2083DD" w14:textId="77777777" w:rsidR="00834A75" w:rsidRDefault="00834A75">
            <w:pPr>
              <w:rPr>
                <w:rFonts w:ascii="宋体"/>
              </w:rPr>
            </w:pPr>
          </w:p>
        </w:tc>
        <w:tc>
          <w:tcPr>
            <w:tcW w:w="5" w:type="pct"/>
            <w:shd w:val="clear" w:color="auto" w:fill="auto"/>
            <w:vAlign w:val="bottom"/>
          </w:tcPr>
          <w:p w14:paraId="7C2083DE" w14:textId="77777777" w:rsidR="00834A75" w:rsidRDefault="00834A75">
            <w:pPr>
              <w:rPr>
                <w:rFonts w:ascii="宋体"/>
              </w:rPr>
            </w:pPr>
          </w:p>
        </w:tc>
        <w:tc>
          <w:tcPr>
            <w:tcW w:w="19" w:type="pct"/>
            <w:shd w:val="clear" w:color="auto" w:fill="auto"/>
            <w:vAlign w:val="bottom"/>
          </w:tcPr>
          <w:p w14:paraId="7C2083DF" w14:textId="77777777" w:rsidR="00834A75" w:rsidRDefault="00834A75">
            <w:pPr>
              <w:rPr>
                <w:rFonts w:ascii="宋体"/>
              </w:rPr>
            </w:pPr>
          </w:p>
        </w:tc>
        <w:tc>
          <w:tcPr>
            <w:tcW w:w="5" w:type="pct"/>
            <w:shd w:val="clear" w:color="auto" w:fill="auto"/>
            <w:vAlign w:val="bottom"/>
          </w:tcPr>
          <w:p w14:paraId="7C2083E0" w14:textId="77777777" w:rsidR="00834A75" w:rsidRDefault="00834A75">
            <w:pPr>
              <w:rPr>
                <w:rFonts w:ascii="宋体"/>
              </w:rPr>
            </w:pPr>
          </w:p>
        </w:tc>
        <w:tc>
          <w:tcPr>
            <w:tcW w:w="50" w:type="pct"/>
            <w:shd w:val="clear" w:color="auto" w:fill="auto"/>
            <w:vAlign w:val="bottom"/>
          </w:tcPr>
          <w:p w14:paraId="7C2083E1" w14:textId="77777777" w:rsidR="00834A75" w:rsidRDefault="00834A75">
            <w:pPr>
              <w:rPr>
                <w:rFonts w:ascii="宋体"/>
              </w:rPr>
            </w:pPr>
          </w:p>
        </w:tc>
        <w:tc>
          <w:tcPr>
            <w:tcW w:w="530" w:type="pct"/>
            <w:shd w:val="clear" w:color="auto" w:fill="auto"/>
            <w:vAlign w:val="bottom"/>
          </w:tcPr>
          <w:p w14:paraId="7C2083E2" w14:textId="77777777" w:rsidR="00834A75" w:rsidRDefault="00834A75">
            <w:pPr>
              <w:rPr>
                <w:rFonts w:ascii="宋体"/>
              </w:rPr>
            </w:pPr>
          </w:p>
        </w:tc>
        <w:tc>
          <w:tcPr>
            <w:tcW w:w="5" w:type="pct"/>
            <w:shd w:val="clear" w:color="auto" w:fill="auto"/>
            <w:vAlign w:val="bottom"/>
          </w:tcPr>
          <w:p w14:paraId="7C2083E3" w14:textId="77777777" w:rsidR="00834A75" w:rsidRDefault="00834A75">
            <w:pPr>
              <w:rPr>
                <w:rFonts w:ascii="宋体"/>
              </w:rPr>
            </w:pPr>
          </w:p>
        </w:tc>
      </w:tr>
      <w:tr w:rsidR="00834A75" w14:paraId="7C2083E7" w14:textId="77777777">
        <w:tc>
          <w:tcPr>
            <w:tcW w:w="0" w:type="auto"/>
            <w:gridSpan w:val="3"/>
            <w:shd w:val="clear" w:color="auto" w:fill="auto"/>
            <w:tcMar>
              <w:top w:w="0" w:type="dxa"/>
              <w:left w:w="20" w:type="dxa"/>
              <w:bottom w:w="0" w:type="dxa"/>
              <w:right w:w="20" w:type="dxa"/>
            </w:tcMar>
            <w:vAlign w:val="bottom"/>
          </w:tcPr>
          <w:p w14:paraId="7C2083E5" w14:textId="77777777" w:rsidR="00834A75" w:rsidRDefault="00834A75">
            <w:pPr>
              <w:rPr>
                <w:rFonts w:ascii="宋体"/>
              </w:rPr>
            </w:pPr>
          </w:p>
        </w:tc>
        <w:tc>
          <w:tcPr>
            <w:tcW w:w="0" w:type="auto"/>
            <w:gridSpan w:val="33"/>
            <w:tcBorders>
              <w:bottom w:val="single" w:sz="8" w:space="0" w:color="000000"/>
            </w:tcBorders>
            <w:shd w:val="clear" w:color="auto" w:fill="auto"/>
            <w:tcMar>
              <w:top w:w="40" w:type="dxa"/>
              <w:left w:w="20" w:type="dxa"/>
              <w:bottom w:w="40" w:type="dxa"/>
              <w:right w:w="20" w:type="dxa"/>
            </w:tcMar>
            <w:vAlign w:val="bottom"/>
          </w:tcPr>
          <w:p w14:paraId="7C2083E6" w14:textId="77777777" w:rsidR="00834A75" w:rsidRDefault="00A6708C">
            <w:pPr>
              <w:jc w:val="center"/>
              <w:textAlignment w:val="bottom"/>
            </w:pPr>
            <w:r>
              <w:rPr>
                <w:rFonts w:ascii="sans-serif" w:eastAsia="sans-serif" w:hAnsi="sans-serif" w:cs="sans-serif"/>
                <w:b/>
                <w:bCs/>
                <w:color w:val="000000"/>
                <w:sz w:val="20"/>
                <w:szCs w:val="20"/>
              </w:rPr>
              <w:t>January 30, 2022</w:t>
            </w:r>
          </w:p>
        </w:tc>
      </w:tr>
      <w:tr w:rsidR="00834A75" w14:paraId="7C2083EE" w14:textId="77777777">
        <w:tc>
          <w:tcPr>
            <w:tcW w:w="0" w:type="auto"/>
            <w:gridSpan w:val="3"/>
            <w:shd w:val="clear" w:color="auto" w:fill="auto"/>
            <w:tcMar>
              <w:top w:w="40" w:type="dxa"/>
              <w:left w:w="20" w:type="dxa"/>
              <w:bottom w:w="40" w:type="dxa"/>
              <w:right w:w="20" w:type="dxa"/>
            </w:tcMar>
            <w:vAlign w:val="bottom"/>
          </w:tcPr>
          <w:p w14:paraId="7C2083E8" w14:textId="77777777" w:rsidR="00834A75" w:rsidRDefault="00A6708C">
            <w:pPr>
              <w:textAlignment w:val="bottom"/>
            </w:pPr>
            <w:r>
              <w:rPr>
                <w:rFonts w:ascii="sans-serif" w:eastAsia="sans-serif" w:hAnsi="sans-serif" w:cs="sans-serif"/>
                <w:color w:val="000000"/>
                <w:sz w:val="20"/>
                <w:szCs w:val="20"/>
              </w:rPr>
              <w:t> </w:t>
            </w: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7C2083E9" w14:textId="77777777" w:rsidR="00834A75" w:rsidRDefault="00A6708C">
            <w:pPr>
              <w:jc w:val="center"/>
              <w:textAlignment w:val="bottom"/>
            </w:pPr>
            <w:r>
              <w:rPr>
                <w:rFonts w:ascii="sans-serif" w:eastAsia="sans-serif" w:hAnsi="sans-serif" w:cs="sans-serif"/>
                <w:b/>
                <w:bCs/>
                <w:color w:val="000000"/>
                <w:sz w:val="20"/>
                <w:szCs w:val="20"/>
              </w:rPr>
              <w:t>Less than 12 Months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C2083EA" w14:textId="77777777" w:rsidR="00834A75" w:rsidRDefault="00834A75">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7C2083EB" w14:textId="77777777" w:rsidR="00834A75" w:rsidRDefault="00A6708C">
            <w:pPr>
              <w:jc w:val="center"/>
              <w:textAlignment w:val="bottom"/>
            </w:pPr>
            <w:r>
              <w:rPr>
                <w:rFonts w:ascii="sans-serif" w:eastAsia="sans-serif" w:hAnsi="sans-serif" w:cs="sans-serif"/>
                <w:b/>
                <w:bCs/>
                <w:color w:val="000000"/>
                <w:sz w:val="20"/>
                <w:szCs w:val="20"/>
              </w:rPr>
              <w:t>12 Months or Greater</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C2083EC" w14:textId="77777777" w:rsidR="00834A75" w:rsidRDefault="00834A75">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7C2083ED" w14:textId="77777777" w:rsidR="00834A75" w:rsidRDefault="00A6708C">
            <w:pPr>
              <w:jc w:val="center"/>
              <w:textAlignment w:val="bottom"/>
            </w:pPr>
            <w:r>
              <w:rPr>
                <w:rFonts w:ascii="sans-serif" w:eastAsia="sans-serif" w:hAnsi="sans-serif" w:cs="sans-serif"/>
                <w:b/>
                <w:bCs/>
                <w:color w:val="000000"/>
                <w:sz w:val="20"/>
                <w:szCs w:val="20"/>
              </w:rPr>
              <w:t>Total</w:t>
            </w:r>
          </w:p>
        </w:tc>
      </w:tr>
      <w:tr w:rsidR="00834A75" w14:paraId="7C2083FB" w14:textId="77777777">
        <w:tc>
          <w:tcPr>
            <w:tcW w:w="0" w:type="auto"/>
            <w:gridSpan w:val="3"/>
            <w:shd w:val="clear" w:color="auto" w:fill="auto"/>
            <w:tcMar>
              <w:top w:w="40" w:type="dxa"/>
              <w:left w:w="20" w:type="dxa"/>
              <w:bottom w:w="40" w:type="dxa"/>
              <w:right w:w="20" w:type="dxa"/>
            </w:tcMar>
            <w:vAlign w:val="bottom"/>
          </w:tcPr>
          <w:p w14:paraId="7C2083EF" w14:textId="77777777" w:rsidR="00834A75" w:rsidRDefault="00A6708C">
            <w:pPr>
              <w:textAlignment w:val="bottom"/>
            </w:pPr>
            <w:r>
              <w:rPr>
                <w:rFonts w:ascii="sans-serif" w:eastAsia="sans-serif" w:hAnsi="sans-serif" w:cs="sans-serif"/>
                <w:color w:val="000000"/>
                <w:sz w:val="20"/>
                <w:szCs w:val="20"/>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C2083F0" w14:textId="77777777" w:rsidR="00834A75" w:rsidRDefault="00A6708C">
            <w:pPr>
              <w:jc w:val="center"/>
              <w:textAlignment w:val="bottom"/>
            </w:pPr>
            <w:r>
              <w:rPr>
                <w:rFonts w:ascii="sans-serif" w:eastAsia="sans-serif" w:hAnsi="sans-serif" w:cs="sans-serif"/>
                <w:b/>
                <w:bCs/>
                <w:color w:val="000000"/>
                <w:sz w:val="20"/>
                <w:szCs w:val="20"/>
              </w:rPr>
              <w:t>Estimated Fair Value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C2083F1" w14:textId="77777777" w:rsidR="00834A75" w:rsidRDefault="00834A75">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C2083F2" w14:textId="77777777" w:rsidR="00834A75" w:rsidRDefault="00A6708C">
            <w:pPr>
              <w:jc w:val="center"/>
              <w:textAlignment w:val="bottom"/>
            </w:pPr>
            <w:r>
              <w:rPr>
                <w:rFonts w:ascii="sans-serif" w:eastAsia="sans-serif" w:hAnsi="sans-serif" w:cs="sans-serif"/>
                <w:b/>
                <w:bCs/>
                <w:color w:val="000000"/>
                <w:sz w:val="20"/>
                <w:szCs w:val="20"/>
              </w:rPr>
              <w:t xml:space="preserve">Gross </w:t>
            </w:r>
            <w:r>
              <w:rPr>
                <w:rFonts w:ascii="sans-serif" w:eastAsia="sans-serif" w:hAnsi="sans-serif" w:cs="sans-serif"/>
                <w:b/>
                <w:bCs/>
                <w:color w:val="000000"/>
                <w:sz w:val="20"/>
                <w:szCs w:val="20"/>
              </w:rPr>
              <w:t>Unrealized Loss</w:t>
            </w:r>
          </w:p>
        </w:tc>
        <w:tc>
          <w:tcPr>
            <w:tcW w:w="0" w:type="auto"/>
            <w:gridSpan w:val="3"/>
            <w:shd w:val="clear" w:color="auto" w:fill="auto"/>
            <w:tcMar>
              <w:top w:w="0" w:type="dxa"/>
              <w:left w:w="20" w:type="dxa"/>
              <w:bottom w:w="0" w:type="dxa"/>
              <w:right w:w="20" w:type="dxa"/>
            </w:tcMar>
            <w:vAlign w:val="bottom"/>
          </w:tcPr>
          <w:p w14:paraId="7C2083F3" w14:textId="77777777" w:rsidR="00834A75" w:rsidRDefault="00834A75">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C2083F4" w14:textId="77777777" w:rsidR="00834A75" w:rsidRDefault="00A6708C">
            <w:pPr>
              <w:jc w:val="center"/>
              <w:textAlignment w:val="bottom"/>
            </w:pPr>
            <w:r>
              <w:rPr>
                <w:rFonts w:ascii="sans-serif" w:eastAsia="sans-serif" w:hAnsi="sans-serif" w:cs="sans-serif"/>
                <w:b/>
                <w:bCs/>
                <w:color w:val="000000"/>
                <w:sz w:val="20"/>
                <w:szCs w:val="20"/>
              </w:rPr>
              <w:t>Estimated Fair Value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C2083F5" w14:textId="77777777" w:rsidR="00834A75" w:rsidRDefault="00834A75">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C2083F6" w14:textId="77777777" w:rsidR="00834A75" w:rsidRDefault="00A6708C">
            <w:pPr>
              <w:jc w:val="center"/>
              <w:textAlignment w:val="bottom"/>
            </w:pPr>
            <w:r>
              <w:rPr>
                <w:rFonts w:ascii="sans-serif" w:eastAsia="sans-serif" w:hAnsi="sans-serif" w:cs="sans-serif"/>
                <w:b/>
                <w:bCs/>
                <w:color w:val="000000"/>
                <w:sz w:val="20"/>
                <w:szCs w:val="20"/>
              </w:rPr>
              <w:t>Gross Unrealized Loss</w:t>
            </w:r>
          </w:p>
        </w:tc>
        <w:tc>
          <w:tcPr>
            <w:tcW w:w="0" w:type="auto"/>
            <w:gridSpan w:val="3"/>
            <w:shd w:val="clear" w:color="auto" w:fill="auto"/>
            <w:tcMar>
              <w:top w:w="0" w:type="dxa"/>
              <w:left w:w="20" w:type="dxa"/>
              <w:bottom w:w="0" w:type="dxa"/>
              <w:right w:w="20" w:type="dxa"/>
            </w:tcMar>
            <w:vAlign w:val="bottom"/>
          </w:tcPr>
          <w:p w14:paraId="7C2083F7" w14:textId="77777777" w:rsidR="00834A75" w:rsidRDefault="00834A75">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C2083F8" w14:textId="77777777" w:rsidR="00834A75" w:rsidRDefault="00A6708C">
            <w:pPr>
              <w:jc w:val="center"/>
              <w:textAlignment w:val="bottom"/>
            </w:pPr>
            <w:r>
              <w:rPr>
                <w:rFonts w:ascii="sans-serif" w:eastAsia="sans-serif" w:hAnsi="sans-serif" w:cs="sans-serif"/>
                <w:b/>
                <w:bCs/>
                <w:color w:val="000000"/>
                <w:sz w:val="20"/>
                <w:szCs w:val="20"/>
              </w:rPr>
              <w:t>Estimated Fair Value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C2083F9" w14:textId="77777777" w:rsidR="00834A75" w:rsidRDefault="00834A75">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C2083FA" w14:textId="77777777" w:rsidR="00834A75" w:rsidRDefault="00A6708C">
            <w:pPr>
              <w:jc w:val="center"/>
              <w:textAlignment w:val="bottom"/>
            </w:pPr>
            <w:r>
              <w:rPr>
                <w:rFonts w:ascii="sans-serif" w:eastAsia="sans-serif" w:hAnsi="sans-serif" w:cs="sans-serif"/>
                <w:b/>
                <w:bCs/>
                <w:color w:val="000000"/>
                <w:sz w:val="20"/>
                <w:szCs w:val="20"/>
              </w:rPr>
              <w:t>Gross Unrealized Loss</w:t>
            </w:r>
          </w:p>
        </w:tc>
      </w:tr>
      <w:tr w:rsidR="00834A75" w14:paraId="7C208408" w14:textId="77777777">
        <w:trPr>
          <w:trHeight w:val="60"/>
        </w:trPr>
        <w:tc>
          <w:tcPr>
            <w:tcW w:w="0" w:type="auto"/>
            <w:gridSpan w:val="3"/>
            <w:shd w:val="clear" w:color="auto" w:fill="auto"/>
            <w:tcMar>
              <w:top w:w="0" w:type="dxa"/>
              <w:left w:w="20" w:type="dxa"/>
              <w:bottom w:w="0" w:type="dxa"/>
              <w:right w:w="20" w:type="dxa"/>
            </w:tcMar>
            <w:vAlign w:val="bottom"/>
          </w:tcPr>
          <w:p w14:paraId="7C2083FC" w14:textId="77777777" w:rsidR="00834A75" w:rsidRDefault="00834A75">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C2083FD" w14:textId="77777777" w:rsidR="00834A75" w:rsidRDefault="00834A75">
            <w:pPr>
              <w:rPr>
                <w:rFonts w:ascii="宋体"/>
              </w:rPr>
            </w:pPr>
          </w:p>
        </w:tc>
        <w:tc>
          <w:tcPr>
            <w:tcW w:w="0" w:type="auto"/>
            <w:gridSpan w:val="3"/>
            <w:shd w:val="clear" w:color="auto" w:fill="auto"/>
            <w:tcMar>
              <w:top w:w="0" w:type="dxa"/>
              <w:left w:w="20" w:type="dxa"/>
              <w:bottom w:w="0" w:type="dxa"/>
              <w:right w:w="20" w:type="dxa"/>
            </w:tcMar>
            <w:vAlign w:val="bottom"/>
          </w:tcPr>
          <w:p w14:paraId="7C2083FE" w14:textId="77777777" w:rsidR="00834A75" w:rsidRDefault="00834A75">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C2083FF" w14:textId="77777777" w:rsidR="00834A75" w:rsidRDefault="00834A75">
            <w:pPr>
              <w:rPr>
                <w:rFonts w:ascii="宋体"/>
              </w:rPr>
            </w:pPr>
          </w:p>
        </w:tc>
        <w:tc>
          <w:tcPr>
            <w:tcW w:w="0" w:type="auto"/>
            <w:gridSpan w:val="3"/>
            <w:shd w:val="clear" w:color="auto" w:fill="auto"/>
            <w:tcMar>
              <w:top w:w="0" w:type="dxa"/>
              <w:left w:w="20" w:type="dxa"/>
              <w:bottom w:w="0" w:type="dxa"/>
              <w:right w:w="20" w:type="dxa"/>
            </w:tcMar>
            <w:vAlign w:val="bottom"/>
          </w:tcPr>
          <w:p w14:paraId="7C208400" w14:textId="77777777" w:rsidR="00834A75" w:rsidRDefault="00834A75">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C208401" w14:textId="77777777" w:rsidR="00834A75" w:rsidRDefault="00834A75">
            <w:pPr>
              <w:rPr>
                <w:rFonts w:ascii="宋体"/>
              </w:rPr>
            </w:pPr>
          </w:p>
        </w:tc>
        <w:tc>
          <w:tcPr>
            <w:tcW w:w="0" w:type="auto"/>
            <w:gridSpan w:val="3"/>
            <w:shd w:val="clear" w:color="auto" w:fill="auto"/>
            <w:tcMar>
              <w:top w:w="0" w:type="dxa"/>
              <w:left w:w="20" w:type="dxa"/>
              <w:bottom w:w="0" w:type="dxa"/>
              <w:right w:w="20" w:type="dxa"/>
            </w:tcMar>
            <w:vAlign w:val="bottom"/>
          </w:tcPr>
          <w:p w14:paraId="7C208402" w14:textId="77777777" w:rsidR="00834A75" w:rsidRDefault="00834A75">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C208403" w14:textId="77777777" w:rsidR="00834A75" w:rsidRDefault="00834A75">
            <w:pPr>
              <w:rPr>
                <w:rFonts w:ascii="宋体"/>
              </w:rPr>
            </w:pPr>
          </w:p>
        </w:tc>
        <w:tc>
          <w:tcPr>
            <w:tcW w:w="0" w:type="auto"/>
            <w:gridSpan w:val="3"/>
            <w:shd w:val="clear" w:color="auto" w:fill="auto"/>
            <w:tcMar>
              <w:top w:w="0" w:type="dxa"/>
              <w:left w:w="20" w:type="dxa"/>
              <w:bottom w:w="0" w:type="dxa"/>
              <w:right w:w="20" w:type="dxa"/>
            </w:tcMar>
            <w:vAlign w:val="bottom"/>
          </w:tcPr>
          <w:p w14:paraId="7C208404" w14:textId="77777777" w:rsidR="00834A75" w:rsidRDefault="00834A75">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C208405" w14:textId="77777777" w:rsidR="00834A75" w:rsidRDefault="00834A75">
            <w:pPr>
              <w:rPr>
                <w:rFonts w:ascii="宋体"/>
              </w:rPr>
            </w:pPr>
          </w:p>
        </w:tc>
        <w:tc>
          <w:tcPr>
            <w:tcW w:w="0" w:type="auto"/>
            <w:gridSpan w:val="3"/>
            <w:shd w:val="clear" w:color="auto" w:fill="auto"/>
            <w:tcMar>
              <w:top w:w="0" w:type="dxa"/>
              <w:left w:w="20" w:type="dxa"/>
              <w:bottom w:w="0" w:type="dxa"/>
              <w:right w:w="20" w:type="dxa"/>
            </w:tcMar>
            <w:vAlign w:val="bottom"/>
          </w:tcPr>
          <w:p w14:paraId="7C208406" w14:textId="77777777" w:rsidR="00834A75" w:rsidRDefault="00834A75">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C208407" w14:textId="77777777" w:rsidR="00834A75" w:rsidRDefault="00834A75">
            <w:pPr>
              <w:rPr>
                <w:rFonts w:ascii="宋体"/>
              </w:rPr>
            </w:pPr>
          </w:p>
        </w:tc>
      </w:tr>
      <w:tr w:rsidR="00834A75" w14:paraId="7C20840C" w14:textId="77777777">
        <w:tc>
          <w:tcPr>
            <w:tcW w:w="0" w:type="auto"/>
            <w:gridSpan w:val="3"/>
            <w:shd w:val="clear" w:color="auto" w:fill="auto"/>
            <w:tcMar>
              <w:top w:w="40" w:type="dxa"/>
              <w:left w:w="20" w:type="dxa"/>
              <w:bottom w:w="40" w:type="dxa"/>
              <w:right w:w="20" w:type="dxa"/>
            </w:tcMar>
            <w:vAlign w:val="bottom"/>
          </w:tcPr>
          <w:p w14:paraId="7C208409" w14:textId="77777777" w:rsidR="00834A75" w:rsidRDefault="00A6708C">
            <w:pPr>
              <w:textAlignment w:val="bottom"/>
            </w:pPr>
            <w:r>
              <w:rPr>
                <w:rFonts w:ascii="sans-serif" w:eastAsia="sans-serif" w:hAnsi="sans-serif" w:cs="sans-serif"/>
                <w:color w:val="000000"/>
                <w:sz w:val="20"/>
                <w:szCs w:val="20"/>
              </w:rPr>
              <w:t> </w:t>
            </w:r>
          </w:p>
        </w:tc>
        <w:tc>
          <w:tcPr>
            <w:tcW w:w="0" w:type="auto"/>
            <w:gridSpan w:val="30"/>
            <w:shd w:val="clear" w:color="auto" w:fill="auto"/>
            <w:tcMar>
              <w:top w:w="40" w:type="dxa"/>
              <w:left w:w="20" w:type="dxa"/>
              <w:bottom w:w="40" w:type="dxa"/>
              <w:right w:w="20" w:type="dxa"/>
            </w:tcMar>
            <w:vAlign w:val="bottom"/>
          </w:tcPr>
          <w:p w14:paraId="7C20840A" w14:textId="77777777" w:rsidR="00834A75" w:rsidRDefault="00A6708C">
            <w:pPr>
              <w:jc w:val="center"/>
              <w:textAlignment w:val="bottom"/>
            </w:pPr>
            <w:r>
              <w:rPr>
                <w:rFonts w:ascii="sans-serif" w:eastAsia="sans-serif" w:hAnsi="sans-serif" w:cs="sans-serif"/>
                <w:i/>
                <w:iCs/>
                <w:color w:val="000000"/>
                <w:sz w:val="20"/>
                <w:szCs w:val="20"/>
              </w:rPr>
              <w:t>(In millions)</w:t>
            </w:r>
          </w:p>
        </w:tc>
        <w:tc>
          <w:tcPr>
            <w:tcW w:w="0" w:type="auto"/>
            <w:gridSpan w:val="3"/>
            <w:shd w:val="clear" w:color="auto" w:fill="auto"/>
            <w:tcMar>
              <w:top w:w="0" w:type="dxa"/>
              <w:left w:w="20" w:type="dxa"/>
              <w:bottom w:w="0" w:type="dxa"/>
              <w:right w:w="20" w:type="dxa"/>
            </w:tcMar>
            <w:vAlign w:val="bottom"/>
          </w:tcPr>
          <w:p w14:paraId="7C20840B" w14:textId="77777777" w:rsidR="00834A75" w:rsidRDefault="00834A75">
            <w:pPr>
              <w:rPr>
                <w:rFonts w:ascii="宋体"/>
              </w:rPr>
            </w:pPr>
          </w:p>
        </w:tc>
      </w:tr>
      <w:tr w:rsidR="00834A75" w14:paraId="7C208425" w14:textId="77777777">
        <w:tc>
          <w:tcPr>
            <w:tcW w:w="0" w:type="auto"/>
            <w:gridSpan w:val="3"/>
            <w:shd w:val="clear" w:color="auto" w:fill="E2EFD9"/>
            <w:tcMar>
              <w:top w:w="40" w:type="dxa"/>
              <w:left w:w="20" w:type="dxa"/>
              <w:bottom w:w="40" w:type="dxa"/>
              <w:right w:w="20" w:type="dxa"/>
            </w:tcMar>
            <w:vAlign w:val="bottom"/>
          </w:tcPr>
          <w:p w14:paraId="7C20840D" w14:textId="77777777" w:rsidR="00834A75" w:rsidRDefault="00A6708C">
            <w:pPr>
              <w:textAlignment w:val="bottom"/>
            </w:pPr>
            <w:r>
              <w:rPr>
                <w:rFonts w:ascii="sans-serif" w:eastAsia="sans-serif" w:hAnsi="sans-serif" w:cs="sans-serif"/>
                <w:color w:val="000000"/>
                <w:sz w:val="20"/>
                <w:szCs w:val="20"/>
              </w:rPr>
              <w:t>Debt securities issued by the United States Treasury</w:t>
            </w:r>
          </w:p>
        </w:tc>
        <w:tc>
          <w:tcPr>
            <w:tcW w:w="0" w:type="auto"/>
            <w:shd w:val="clear" w:color="auto" w:fill="E2EFD9"/>
            <w:tcMar>
              <w:top w:w="40" w:type="dxa"/>
              <w:left w:w="20" w:type="dxa"/>
              <w:bottom w:w="40" w:type="dxa"/>
              <w:right w:w="0" w:type="dxa"/>
            </w:tcMar>
            <w:vAlign w:val="bottom"/>
          </w:tcPr>
          <w:p w14:paraId="7C20840E" w14:textId="77777777" w:rsidR="00834A75" w:rsidRDefault="00A6708C">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7C20840F" w14:textId="77777777" w:rsidR="00834A75" w:rsidRDefault="00A6708C">
            <w:pPr>
              <w:jc w:val="right"/>
              <w:textAlignment w:val="bottom"/>
            </w:pPr>
            <w:r>
              <w:rPr>
                <w:rFonts w:ascii="sans-serif" w:eastAsia="sans-serif" w:hAnsi="sans-serif" w:cs="sans-serif"/>
                <w:color w:val="000000"/>
                <w:sz w:val="20"/>
                <w:szCs w:val="20"/>
              </w:rPr>
              <w:t>5,292 </w:t>
            </w:r>
          </w:p>
        </w:tc>
        <w:tc>
          <w:tcPr>
            <w:tcW w:w="0" w:type="auto"/>
            <w:shd w:val="clear" w:color="auto" w:fill="E2EFD9"/>
            <w:tcMar>
              <w:top w:w="40" w:type="dxa"/>
              <w:left w:w="0" w:type="dxa"/>
              <w:bottom w:w="40" w:type="dxa"/>
              <w:right w:w="20" w:type="dxa"/>
            </w:tcMar>
            <w:vAlign w:val="bottom"/>
          </w:tcPr>
          <w:p w14:paraId="7C208410" w14:textId="77777777" w:rsidR="00834A75" w:rsidRDefault="00834A75">
            <w:pPr>
              <w:jc w:val="right"/>
              <w:rPr>
                <w:rFonts w:ascii="宋体"/>
              </w:rPr>
            </w:pPr>
          </w:p>
        </w:tc>
        <w:tc>
          <w:tcPr>
            <w:tcW w:w="0" w:type="auto"/>
            <w:gridSpan w:val="3"/>
            <w:shd w:val="clear" w:color="auto" w:fill="E2EFD9"/>
            <w:tcMar>
              <w:top w:w="0" w:type="dxa"/>
              <w:left w:w="20" w:type="dxa"/>
              <w:bottom w:w="0" w:type="dxa"/>
              <w:right w:w="20" w:type="dxa"/>
            </w:tcMar>
            <w:vAlign w:val="bottom"/>
          </w:tcPr>
          <w:p w14:paraId="7C208411" w14:textId="77777777" w:rsidR="00834A75" w:rsidRDefault="00834A75">
            <w:pPr>
              <w:rPr>
                <w:rFonts w:ascii="宋体"/>
              </w:rPr>
            </w:pPr>
          </w:p>
        </w:tc>
        <w:tc>
          <w:tcPr>
            <w:tcW w:w="0" w:type="auto"/>
            <w:shd w:val="clear" w:color="auto" w:fill="E2EFD9"/>
            <w:tcMar>
              <w:top w:w="40" w:type="dxa"/>
              <w:left w:w="20" w:type="dxa"/>
              <w:bottom w:w="40" w:type="dxa"/>
              <w:right w:w="0" w:type="dxa"/>
            </w:tcMar>
            <w:vAlign w:val="bottom"/>
          </w:tcPr>
          <w:p w14:paraId="7C208412" w14:textId="77777777" w:rsidR="00834A75" w:rsidRDefault="00A6708C">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7C208413" w14:textId="77777777" w:rsidR="00834A75" w:rsidRDefault="00A6708C">
            <w:pPr>
              <w:jc w:val="right"/>
              <w:textAlignment w:val="bottom"/>
            </w:pPr>
            <w:r>
              <w:rPr>
                <w:rFonts w:ascii="sans-serif" w:eastAsia="sans-serif" w:hAnsi="sans-serif" w:cs="sans-serif"/>
                <w:color w:val="000000"/>
                <w:sz w:val="20"/>
                <w:szCs w:val="20"/>
              </w:rPr>
              <w:t>(14)</w:t>
            </w:r>
          </w:p>
        </w:tc>
        <w:tc>
          <w:tcPr>
            <w:tcW w:w="0" w:type="auto"/>
            <w:shd w:val="clear" w:color="auto" w:fill="E2EFD9"/>
            <w:tcMar>
              <w:top w:w="40" w:type="dxa"/>
              <w:left w:w="0" w:type="dxa"/>
              <w:bottom w:w="40" w:type="dxa"/>
              <w:right w:w="20" w:type="dxa"/>
            </w:tcMar>
            <w:vAlign w:val="bottom"/>
          </w:tcPr>
          <w:p w14:paraId="7C208414" w14:textId="77777777" w:rsidR="00834A75" w:rsidRDefault="00834A75">
            <w:pPr>
              <w:jc w:val="right"/>
              <w:rPr>
                <w:rFonts w:ascii="宋体"/>
              </w:rPr>
            </w:pPr>
          </w:p>
        </w:tc>
        <w:tc>
          <w:tcPr>
            <w:tcW w:w="0" w:type="auto"/>
            <w:gridSpan w:val="3"/>
            <w:shd w:val="clear" w:color="auto" w:fill="E2EFD9"/>
            <w:tcMar>
              <w:top w:w="0" w:type="dxa"/>
              <w:left w:w="20" w:type="dxa"/>
              <w:bottom w:w="0" w:type="dxa"/>
              <w:right w:w="20" w:type="dxa"/>
            </w:tcMar>
            <w:vAlign w:val="bottom"/>
          </w:tcPr>
          <w:p w14:paraId="7C208415" w14:textId="77777777" w:rsidR="00834A75" w:rsidRDefault="00834A75">
            <w:pPr>
              <w:rPr>
                <w:rFonts w:ascii="宋体"/>
              </w:rPr>
            </w:pPr>
          </w:p>
        </w:tc>
        <w:tc>
          <w:tcPr>
            <w:tcW w:w="0" w:type="auto"/>
            <w:shd w:val="clear" w:color="auto" w:fill="E2EFD9"/>
            <w:tcMar>
              <w:top w:w="40" w:type="dxa"/>
              <w:left w:w="20" w:type="dxa"/>
              <w:bottom w:w="40" w:type="dxa"/>
              <w:right w:w="0" w:type="dxa"/>
            </w:tcMar>
            <w:vAlign w:val="bottom"/>
          </w:tcPr>
          <w:p w14:paraId="7C208416" w14:textId="77777777" w:rsidR="00834A75" w:rsidRDefault="00A6708C">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7C208417" w14:textId="77777777" w:rsidR="00834A75" w:rsidRDefault="00A6708C">
            <w:pPr>
              <w:jc w:val="right"/>
              <w:textAlignment w:val="bottom"/>
            </w:pPr>
            <w:r>
              <w:rPr>
                <w:rFonts w:ascii="sans-serif" w:eastAsia="sans-serif" w:hAnsi="sans-serif" w:cs="sans-serif"/>
                <w:color w:val="000000"/>
                <w:sz w:val="20"/>
                <w:szCs w:val="20"/>
              </w:rPr>
              <w:t>— </w:t>
            </w:r>
          </w:p>
        </w:tc>
        <w:tc>
          <w:tcPr>
            <w:tcW w:w="0" w:type="auto"/>
            <w:shd w:val="clear" w:color="auto" w:fill="E2EFD9"/>
            <w:tcMar>
              <w:top w:w="40" w:type="dxa"/>
              <w:left w:w="0" w:type="dxa"/>
              <w:bottom w:w="40" w:type="dxa"/>
              <w:right w:w="20" w:type="dxa"/>
            </w:tcMar>
            <w:vAlign w:val="bottom"/>
          </w:tcPr>
          <w:p w14:paraId="7C208418" w14:textId="77777777" w:rsidR="00834A75" w:rsidRDefault="00834A75">
            <w:pPr>
              <w:jc w:val="right"/>
              <w:rPr>
                <w:rFonts w:ascii="宋体"/>
              </w:rPr>
            </w:pPr>
          </w:p>
        </w:tc>
        <w:tc>
          <w:tcPr>
            <w:tcW w:w="0" w:type="auto"/>
            <w:gridSpan w:val="3"/>
            <w:shd w:val="clear" w:color="auto" w:fill="E2EFD9"/>
            <w:tcMar>
              <w:top w:w="0" w:type="dxa"/>
              <w:left w:w="20" w:type="dxa"/>
              <w:bottom w:w="0" w:type="dxa"/>
              <w:right w:w="20" w:type="dxa"/>
            </w:tcMar>
            <w:vAlign w:val="bottom"/>
          </w:tcPr>
          <w:p w14:paraId="7C208419" w14:textId="77777777" w:rsidR="00834A75" w:rsidRDefault="00834A75">
            <w:pPr>
              <w:rPr>
                <w:rFonts w:ascii="宋体"/>
              </w:rPr>
            </w:pPr>
          </w:p>
        </w:tc>
        <w:tc>
          <w:tcPr>
            <w:tcW w:w="0" w:type="auto"/>
            <w:shd w:val="clear" w:color="auto" w:fill="E2EFD9"/>
            <w:tcMar>
              <w:top w:w="40" w:type="dxa"/>
              <w:left w:w="20" w:type="dxa"/>
              <w:bottom w:w="40" w:type="dxa"/>
              <w:right w:w="0" w:type="dxa"/>
            </w:tcMar>
            <w:vAlign w:val="bottom"/>
          </w:tcPr>
          <w:p w14:paraId="7C20841A" w14:textId="77777777" w:rsidR="00834A75" w:rsidRDefault="00A6708C">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7C20841B" w14:textId="77777777" w:rsidR="00834A75" w:rsidRDefault="00A6708C">
            <w:pPr>
              <w:jc w:val="right"/>
              <w:textAlignment w:val="bottom"/>
            </w:pPr>
            <w:r>
              <w:rPr>
                <w:rFonts w:ascii="sans-serif" w:eastAsia="sans-serif" w:hAnsi="sans-serif" w:cs="sans-serif"/>
                <w:color w:val="000000"/>
                <w:sz w:val="20"/>
                <w:szCs w:val="20"/>
              </w:rPr>
              <w:t>— </w:t>
            </w:r>
          </w:p>
        </w:tc>
        <w:tc>
          <w:tcPr>
            <w:tcW w:w="0" w:type="auto"/>
            <w:shd w:val="clear" w:color="auto" w:fill="E2EFD9"/>
            <w:tcMar>
              <w:top w:w="40" w:type="dxa"/>
              <w:left w:w="0" w:type="dxa"/>
              <w:bottom w:w="40" w:type="dxa"/>
              <w:right w:w="20" w:type="dxa"/>
            </w:tcMar>
            <w:vAlign w:val="bottom"/>
          </w:tcPr>
          <w:p w14:paraId="7C20841C" w14:textId="77777777" w:rsidR="00834A75" w:rsidRDefault="00834A75">
            <w:pPr>
              <w:jc w:val="right"/>
              <w:rPr>
                <w:rFonts w:ascii="宋体"/>
              </w:rPr>
            </w:pPr>
          </w:p>
        </w:tc>
        <w:tc>
          <w:tcPr>
            <w:tcW w:w="0" w:type="auto"/>
            <w:gridSpan w:val="3"/>
            <w:shd w:val="clear" w:color="auto" w:fill="E2EFD9"/>
            <w:tcMar>
              <w:top w:w="0" w:type="dxa"/>
              <w:left w:w="20" w:type="dxa"/>
              <w:bottom w:w="0" w:type="dxa"/>
              <w:right w:w="20" w:type="dxa"/>
            </w:tcMar>
            <w:vAlign w:val="bottom"/>
          </w:tcPr>
          <w:p w14:paraId="7C20841D" w14:textId="77777777" w:rsidR="00834A75" w:rsidRDefault="00834A75">
            <w:pPr>
              <w:rPr>
                <w:rFonts w:ascii="宋体"/>
              </w:rPr>
            </w:pPr>
          </w:p>
        </w:tc>
        <w:tc>
          <w:tcPr>
            <w:tcW w:w="0" w:type="auto"/>
            <w:shd w:val="clear" w:color="auto" w:fill="E2EFD9"/>
            <w:tcMar>
              <w:top w:w="40" w:type="dxa"/>
              <w:left w:w="20" w:type="dxa"/>
              <w:bottom w:w="40" w:type="dxa"/>
              <w:right w:w="0" w:type="dxa"/>
            </w:tcMar>
            <w:vAlign w:val="bottom"/>
          </w:tcPr>
          <w:p w14:paraId="7C20841E" w14:textId="77777777" w:rsidR="00834A75" w:rsidRDefault="00A6708C">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7C20841F" w14:textId="77777777" w:rsidR="00834A75" w:rsidRDefault="00A6708C">
            <w:pPr>
              <w:jc w:val="right"/>
              <w:textAlignment w:val="bottom"/>
            </w:pPr>
            <w:r>
              <w:rPr>
                <w:rFonts w:ascii="sans-serif" w:eastAsia="sans-serif" w:hAnsi="sans-serif" w:cs="sans-serif"/>
                <w:color w:val="000000"/>
                <w:sz w:val="20"/>
                <w:szCs w:val="20"/>
              </w:rPr>
              <w:t>5,292 </w:t>
            </w:r>
          </w:p>
        </w:tc>
        <w:tc>
          <w:tcPr>
            <w:tcW w:w="0" w:type="auto"/>
            <w:shd w:val="clear" w:color="auto" w:fill="E2EFD9"/>
            <w:tcMar>
              <w:top w:w="40" w:type="dxa"/>
              <w:left w:w="0" w:type="dxa"/>
              <w:bottom w:w="40" w:type="dxa"/>
              <w:right w:w="20" w:type="dxa"/>
            </w:tcMar>
            <w:vAlign w:val="bottom"/>
          </w:tcPr>
          <w:p w14:paraId="7C208420" w14:textId="77777777" w:rsidR="00834A75" w:rsidRDefault="00834A75">
            <w:pPr>
              <w:jc w:val="right"/>
              <w:rPr>
                <w:rFonts w:ascii="宋体"/>
              </w:rPr>
            </w:pPr>
          </w:p>
        </w:tc>
        <w:tc>
          <w:tcPr>
            <w:tcW w:w="0" w:type="auto"/>
            <w:gridSpan w:val="3"/>
            <w:shd w:val="clear" w:color="auto" w:fill="E2EFD9"/>
            <w:tcMar>
              <w:top w:w="0" w:type="dxa"/>
              <w:left w:w="20" w:type="dxa"/>
              <w:bottom w:w="0" w:type="dxa"/>
              <w:right w:w="20" w:type="dxa"/>
            </w:tcMar>
            <w:vAlign w:val="bottom"/>
          </w:tcPr>
          <w:p w14:paraId="7C208421" w14:textId="77777777" w:rsidR="00834A75" w:rsidRDefault="00834A75">
            <w:pPr>
              <w:rPr>
                <w:rFonts w:ascii="宋体"/>
              </w:rPr>
            </w:pPr>
          </w:p>
        </w:tc>
        <w:tc>
          <w:tcPr>
            <w:tcW w:w="0" w:type="auto"/>
            <w:shd w:val="clear" w:color="auto" w:fill="E2EFD9"/>
            <w:tcMar>
              <w:top w:w="40" w:type="dxa"/>
              <w:left w:w="20" w:type="dxa"/>
              <w:bottom w:w="40" w:type="dxa"/>
              <w:right w:w="0" w:type="dxa"/>
            </w:tcMar>
            <w:vAlign w:val="bottom"/>
          </w:tcPr>
          <w:p w14:paraId="7C208422" w14:textId="77777777" w:rsidR="00834A75" w:rsidRDefault="00A6708C">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7C208423" w14:textId="77777777" w:rsidR="00834A75" w:rsidRDefault="00A6708C">
            <w:pPr>
              <w:jc w:val="right"/>
              <w:textAlignment w:val="bottom"/>
            </w:pPr>
            <w:r>
              <w:rPr>
                <w:rFonts w:ascii="sans-serif" w:eastAsia="sans-serif" w:hAnsi="sans-serif" w:cs="sans-serif"/>
                <w:color w:val="000000"/>
                <w:sz w:val="20"/>
                <w:szCs w:val="20"/>
              </w:rPr>
              <w:t>(14)</w:t>
            </w:r>
          </w:p>
        </w:tc>
        <w:tc>
          <w:tcPr>
            <w:tcW w:w="0" w:type="auto"/>
            <w:shd w:val="clear" w:color="auto" w:fill="E2EFD9"/>
            <w:tcMar>
              <w:top w:w="40" w:type="dxa"/>
              <w:left w:w="0" w:type="dxa"/>
              <w:bottom w:w="40" w:type="dxa"/>
              <w:right w:w="20" w:type="dxa"/>
            </w:tcMar>
            <w:vAlign w:val="bottom"/>
          </w:tcPr>
          <w:p w14:paraId="7C208424" w14:textId="77777777" w:rsidR="00834A75" w:rsidRDefault="00834A75">
            <w:pPr>
              <w:jc w:val="right"/>
              <w:rPr>
                <w:rFonts w:ascii="宋体"/>
              </w:rPr>
            </w:pPr>
          </w:p>
        </w:tc>
      </w:tr>
      <w:tr w:rsidR="00834A75" w14:paraId="7C208438" w14:textId="77777777">
        <w:tc>
          <w:tcPr>
            <w:tcW w:w="0" w:type="auto"/>
            <w:gridSpan w:val="3"/>
            <w:shd w:val="clear" w:color="auto" w:fill="FFFFFF"/>
            <w:tcMar>
              <w:top w:w="40" w:type="dxa"/>
              <w:left w:w="20" w:type="dxa"/>
              <w:bottom w:w="40" w:type="dxa"/>
              <w:right w:w="20" w:type="dxa"/>
            </w:tcMar>
            <w:vAlign w:val="bottom"/>
          </w:tcPr>
          <w:p w14:paraId="7C208426" w14:textId="77777777" w:rsidR="00834A75" w:rsidRDefault="00A6708C">
            <w:pPr>
              <w:textAlignment w:val="bottom"/>
            </w:pPr>
            <w:r>
              <w:rPr>
                <w:rFonts w:ascii="sans-serif" w:eastAsia="sans-serif" w:hAnsi="sans-serif" w:cs="sans-serif"/>
                <w:color w:val="000000"/>
                <w:sz w:val="20"/>
                <w:szCs w:val="20"/>
              </w:rPr>
              <w:t>Corporate d</w:t>
            </w:r>
            <w:r>
              <w:rPr>
                <w:rFonts w:ascii="sans-serif" w:eastAsia="sans-serif" w:hAnsi="sans-serif" w:cs="sans-serif"/>
                <w:color w:val="000000"/>
                <w:sz w:val="20"/>
                <w:szCs w:val="20"/>
              </w:rPr>
              <w:t>ebt securities</w:t>
            </w:r>
          </w:p>
        </w:tc>
        <w:tc>
          <w:tcPr>
            <w:tcW w:w="0" w:type="auto"/>
            <w:gridSpan w:val="2"/>
            <w:shd w:val="clear" w:color="auto" w:fill="FFFFFF"/>
            <w:tcMar>
              <w:top w:w="40" w:type="dxa"/>
              <w:left w:w="20" w:type="dxa"/>
              <w:bottom w:w="40" w:type="dxa"/>
              <w:right w:w="0" w:type="dxa"/>
            </w:tcMar>
            <w:vAlign w:val="bottom"/>
          </w:tcPr>
          <w:p w14:paraId="7C208427" w14:textId="77777777" w:rsidR="00834A75" w:rsidRDefault="00A6708C">
            <w:pPr>
              <w:jc w:val="right"/>
              <w:textAlignment w:val="bottom"/>
            </w:pPr>
            <w:r>
              <w:rPr>
                <w:rFonts w:ascii="sans-serif" w:eastAsia="sans-serif" w:hAnsi="sans-serif" w:cs="sans-serif"/>
                <w:color w:val="000000"/>
                <w:sz w:val="20"/>
                <w:szCs w:val="20"/>
              </w:rPr>
              <w:t>2,445 </w:t>
            </w:r>
          </w:p>
        </w:tc>
        <w:tc>
          <w:tcPr>
            <w:tcW w:w="0" w:type="auto"/>
            <w:shd w:val="clear" w:color="auto" w:fill="FFFFFF"/>
            <w:tcMar>
              <w:top w:w="40" w:type="dxa"/>
              <w:left w:w="0" w:type="dxa"/>
              <w:bottom w:w="40" w:type="dxa"/>
              <w:right w:w="20" w:type="dxa"/>
            </w:tcMar>
            <w:vAlign w:val="bottom"/>
          </w:tcPr>
          <w:p w14:paraId="7C208428" w14:textId="77777777" w:rsidR="00834A75" w:rsidRDefault="00834A75">
            <w:pPr>
              <w:jc w:val="right"/>
              <w:rPr>
                <w:rFonts w:ascii="宋体"/>
              </w:rPr>
            </w:pPr>
          </w:p>
        </w:tc>
        <w:tc>
          <w:tcPr>
            <w:tcW w:w="0" w:type="auto"/>
            <w:gridSpan w:val="3"/>
            <w:shd w:val="clear" w:color="auto" w:fill="FFFFFF"/>
            <w:tcMar>
              <w:top w:w="0" w:type="dxa"/>
              <w:left w:w="20" w:type="dxa"/>
              <w:bottom w:w="0" w:type="dxa"/>
              <w:right w:w="20" w:type="dxa"/>
            </w:tcMar>
            <w:vAlign w:val="bottom"/>
          </w:tcPr>
          <w:p w14:paraId="7C208429" w14:textId="77777777" w:rsidR="00834A75" w:rsidRDefault="00834A75">
            <w:pPr>
              <w:rPr>
                <w:rFonts w:ascii="宋体"/>
              </w:rPr>
            </w:pPr>
          </w:p>
        </w:tc>
        <w:tc>
          <w:tcPr>
            <w:tcW w:w="0" w:type="auto"/>
            <w:gridSpan w:val="2"/>
            <w:shd w:val="clear" w:color="auto" w:fill="FFFFFF"/>
            <w:tcMar>
              <w:top w:w="40" w:type="dxa"/>
              <w:left w:w="20" w:type="dxa"/>
              <w:bottom w:w="40" w:type="dxa"/>
              <w:right w:w="0" w:type="dxa"/>
            </w:tcMar>
            <w:vAlign w:val="bottom"/>
          </w:tcPr>
          <w:p w14:paraId="7C20842A" w14:textId="77777777" w:rsidR="00834A75" w:rsidRDefault="00A6708C">
            <w:pPr>
              <w:jc w:val="right"/>
              <w:textAlignment w:val="bottom"/>
            </w:pPr>
            <w:r>
              <w:rPr>
                <w:rFonts w:ascii="sans-serif" w:eastAsia="sans-serif" w:hAnsi="sans-serif" w:cs="sans-serif"/>
                <w:color w:val="000000"/>
                <w:sz w:val="20"/>
                <w:szCs w:val="20"/>
              </w:rPr>
              <w:t>(3)</w:t>
            </w:r>
          </w:p>
        </w:tc>
        <w:tc>
          <w:tcPr>
            <w:tcW w:w="0" w:type="auto"/>
            <w:shd w:val="clear" w:color="auto" w:fill="FFFFFF"/>
            <w:tcMar>
              <w:top w:w="40" w:type="dxa"/>
              <w:left w:w="0" w:type="dxa"/>
              <w:bottom w:w="40" w:type="dxa"/>
              <w:right w:w="20" w:type="dxa"/>
            </w:tcMar>
            <w:vAlign w:val="bottom"/>
          </w:tcPr>
          <w:p w14:paraId="7C20842B" w14:textId="77777777" w:rsidR="00834A75" w:rsidRDefault="00834A75">
            <w:pPr>
              <w:jc w:val="right"/>
              <w:rPr>
                <w:rFonts w:ascii="宋体"/>
              </w:rPr>
            </w:pPr>
          </w:p>
        </w:tc>
        <w:tc>
          <w:tcPr>
            <w:tcW w:w="0" w:type="auto"/>
            <w:gridSpan w:val="3"/>
            <w:shd w:val="clear" w:color="auto" w:fill="FFFFFF"/>
            <w:tcMar>
              <w:top w:w="0" w:type="dxa"/>
              <w:left w:w="20" w:type="dxa"/>
              <w:bottom w:w="0" w:type="dxa"/>
              <w:right w:w="20" w:type="dxa"/>
            </w:tcMar>
            <w:vAlign w:val="bottom"/>
          </w:tcPr>
          <w:p w14:paraId="7C20842C" w14:textId="77777777" w:rsidR="00834A75" w:rsidRDefault="00834A75">
            <w:pPr>
              <w:rPr>
                <w:rFonts w:ascii="宋体"/>
              </w:rPr>
            </w:pPr>
          </w:p>
        </w:tc>
        <w:tc>
          <w:tcPr>
            <w:tcW w:w="0" w:type="auto"/>
            <w:gridSpan w:val="2"/>
            <w:shd w:val="clear" w:color="auto" w:fill="FFFFFF"/>
            <w:tcMar>
              <w:top w:w="40" w:type="dxa"/>
              <w:left w:w="20" w:type="dxa"/>
              <w:bottom w:w="40" w:type="dxa"/>
              <w:right w:w="0" w:type="dxa"/>
            </w:tcMar>
            <w:vAlign w:val="bottom"/>
          </w:tcPr>
          <w:p w14:paraId="7C20842D" w14:textId="77777777" w:rsidR="00834A75" w:rsidRDefault="00A6708C">
            <w:pPr>
              <w:jc w:val="right"/>
              <w:textAlignment w:val="bottom"/>
            </w:pPr>
            <w:r>
              <w:rPr>
                <w:rFonts w:ascii="sans-serif" w:eastAsia="sans-serif" w:hAnsi="sans-serif" w:cs="sans-serif"/>
                <w:color w:val="000000"/>
                <w:sz w:val="20"/>
                <w:szCs w:val="20"/>
              </w:rPr>
              <w:t>19 </w:t>
            </w:r>
          </w:p>
        </w:tc>
        <w:tc>
          <w:tcPr>
            <w:tcW w:w="0" w:type="auto"/>
            <w:shd w:val="clear" w:color="auto" w:fill="FFFFFF"/>
            <w:tcMar>
              <w:top w:w="40" w:type="dxa"/>
              <w:left w:w="0" w:type="dxa"/>
              <w:bottom w:w="40" w:type="dxa"/>
              <w:right w:w="20" w:type="dxa"/>
            </w:tcMar>
            <w:vAlign w:val="bottom"/>
          </w:tcPr>
          <w:p w14:paraId="7C20842E" w14:textId="77777777" w:rsidR="00834A75" w:rsidRDefault="00834A75">
            <w:pPr>
              <w:jc w:val="right"/>
              <w:rPr>
                <w:rFonts w:ascii="宋体"/>
              </w:rPr>
            </w:pPr>
          </w:p>
        </w:tc>
        <w:tc>
          <w:tcPr>
            <w:tcW w:w="0" w:type="auto"/>
            <w:gridSpan w:val="3"/>
            <w:shd w:val="clear" w:color="auto" w:fill="FFFFFF"/>
            <w:tcMar>
              <w:top w:w="0" w:type="dxa"/>
              <w:left w:w="20" w:type="dxa"/>
              <w:bottom w:w="0" w:type="dxa"/>
              <w:right w:w="20" w:type="dxa"/>
            </w:tcMar>
            <w:vAlign w:val="bottom"/>
          </w:tcPr>
          <w:p w14:paraId="7C20842F" w14:textId="77777777" w:rsidR="00834A75" w:rsidRDefault="00834A75">
            <w:pPr>
              <w:rPr>
                <w:rFonts w:ascii="宋体"/>
              </w:rPr>
            </w:pPr>
          </w:p>
        </w:tc>
        <w:tc>
          <w:tcPr>
            <w:tcW w:w="0" w:type="auto"/>
            <w:gridSpan w:val="2"/>
            <w:shd w:val="clear" w:color="auto" w:fill="FFFFFF"/>
            <w:tcMar>
              <w:top w:w="40" w:type="dxa"/>
              <w:left w:w="20" w:type="dxa"/>
              <w:bottom w:w="40" w:type="dxa"/>
              <w:right w:w="0" w:type="dxa"/>
            </w:tcMar>
            <w:vAlign w:val="bottom"/>
          </w:tcPr>
          <w:p w14:paraId="7C208430" w14:textId="77777777" w:rsidR="00834A75" w:rsidRDefault="00A6708C">
            <w:pPr>
              <w:jc w:val="right"/>
              <w:textAlignment w:val="bottom"/>
            </w:pPr>
            <w:r>
              <w:rPr>
                <w:rFonts w:ascii="sans-serif" w:eastAsia="sans-serif" w:hAnsi="sans-serif" w:cs="sans-serif"/>
                <w:color w:val="000000"/>
                <w:sz w:val="20"/>
                <w:szCs w:val="20"/>
              </w:rPr>
              <w:t>— </w:t>
            </w:r>
          </w:p>
        </w:tc>
        <w:tc>
          <w:tcPr>
            <w:tcW w:w="0" w:type="auto"/>
            <w:shd w:val="clear" w:color="auto" w:fill="FFFFFF"/>
            <w:tcMar>
              <w:top w:w="40" w:type="dxa"/>
              <w:left w:w="0" w:type="dxa"/>
              <w:bottom w:w="40" w:type="dxa"/>
              <w:right w:w="20" w:type="dxa"/>
            </w:tcMar>
            <w:vAlign w:val="bottom"/>
          </w:tcPr>
          <w:p w14:paraId="7C208431" w14:textId="77777777" w:rsidR="00834A75" w:rsidRDefault="00834A75">
            <w:pPr>
              <w:jc w:val="right"/>
              <w:rPr>
                <w:rFonts w:ascii="宋体"/>
              </w:rPr>
            </w:pPr>
          </w:p>
        </w:tc>
        <w:tc>
          <w:tcPr>
            <w:tcW w:w="0" w:type="auto"/>
            <w:gridSpan w:val="3"/>
            <w:shd w:val="clear" w:color="auto" w:fill="FFFFFF"/>
            <w:tcMar>
              <w:top w:w="0" w:type="dxa"/>
              <w:left w:w="20" w:type="dxa"/>
              <w:bottom w:w="0" w:type="dxa"/>
              <w:right w:w="20" w:type="dxa"/>
            </w:tcMar>
            <w:vAlign w:val="bottom"/>
          </w:tcPr>
          <w:p w14:paraId="7C208432" w14:textId="77777777" w:rsidR="00834A75" w:rsidRDefault="00834A75">
            <w:pPr>
              <w:rPr>
                <w:rFonts w:ascii="宋体"/>
              </w:rPr>
            </w:pPr>
          </w:p>
        </w:tc>
        <w:tc>
          <w:tcPr>
            <w:tcW w:w="0" w:type="auto"/>
            <w:gridSpan w:val="2"/>
            <w:shd w:val="clear" w:color="auto" w:fill="FFFFFF"/>
            <w:tcMar>
              <w:top w:w="40" w:type="dxa"/>
              <w:left w:w="20" w:type="dxa"/>
              <w:bottom w:w="40" w:type="dxa"/>
              <w:right w:w="0" w:type="dxa"/>
            </w:tcMar>
            <w:vAlign w:val="bottom"/>
          </w:tcPr>
          <w:p w14:paraId="7C208433" w14:textId="77777777" w:rsidR="00834A75" w:rsidRDefault="00A6708C">
            <w:pPr>
              <w:jc w:val="right"/>
              <w:textAlignment w:val="bottom"/>
            </w:pPr>
            <w:r>
              <w:rPr>
                <w:rFonts w:ascii="sans-serif" w:eastAsia="sans-serif" w:hAnsi="sans-serif" w:cs="sans-serif"/>
                <w:color w:val="000000"/>
                <w:sz w:val="20"/>
                <w:szCs w:val="20"/>
              </w:rPr>
              <w:t>2,464 </w:t>
            </w:r>
          </w:p>
        </w:tc>
        <w:tc>
          <w:tcPr>
            <w:tcW w:w="0" w:type="auto"/>
            <w:shd w:val="clear" w:color="auto" w:fill="FFFFFF"/>
            <w:tcMar>
              <w:top w:w="40" w:type="dxa"/>
              <w:left w:w="0" w:type="dxa"/>
              <w:bottom w:w="40" w:type="dxa"/>
              <w:right w:w="20" w:type="dxa"/>
            </w:tcMar>
            <w:vAlign w:val="bottom"/>
          </w:tcPr>
          <w:p w14:paraId="7C208434" w14:textId="77777777" w:rsidR="00834A75" w:rsidRDefault="00834A75">
            <w:pPr>
              <w:jc w:val="right"/>
              <w:rPr>
                <w:rFonts w:ascii="宋体"/>
              </w:rPr>
            </w:pPr>
          </w:p>
        </w:tc>
        <w:tc>
          <w:tcPr>
            <w:tcW w:w="0" w:type="auto"/>
            <w:gridSpan w:val="3"/>
            <w:shd w:val="clear" w:color="auto" w:fill="FFFFFF"/>
            <w:tcMar>
              <w:top w:w="0" w:type="dxa"/>
              <w:left w:w="20" w:type="dxa"/>
              <w:bottom w:w="0" w:type="dxa"/>
              <w:right w:w="20" w:type="dxa"/>
            </w:tcMar>
            <w:vAlign w:val="bottom"/>
          </w:tcPr>
          <w:p w14:paraId="7C208435" w14:textId="77777777" w:rsidR="00834A75" w:rsidRDefault="00834A75">
            <w:pPr>
              <w:rPr>
                <w:rFonts w:ascii="宋体"/>
              </w:rPr>
            </w:pPr>
          </w:p>
        </w:tc>
        <w:tc>
          <w:tcPr>
            <w:tcW w:w="0" w:type="auto"/>
            <w:gridSpan w:val="2"/>
            <w:shd w:val="clear" w:color="auto" w:fill="FFFFFF"/>
            <w:tcMar>
              <w:top w:w="40" w:type="dxa"/>
              <w:left w:w="20" w:type="dxa"/>
              <w:bottom w:w="40" w:type="dxa"/>
              <w:right w:w="0" w:type="dxa"/>
            </w:tcMar>
            <w:vAlign w:val="bottom"/>
          </w:tcPr>
          <w:p w14:paraId="7C208436" w14:textId="77777777" w:rsidR="00834A75" w:rsidRDefault="00A6708C">
            <w:pPr>
              <w:jc w:val="right"/>
              <w:textAlignment w:val="bottom"/>
            </w:pPr>
            <w:r>
              <w:rPr>
                <w:rFonts w:ascii="sans-serif" w:eastAsia="sans-serif" w:hAnsi="sans-serif" w:cs="sans-serif"/>
                <w:color w:val="000000"/>
                <w:sz w:val="20"/>
                <w:szCs w:val="20"/>
              </w:rPr>
              <w:t>(3)</w:t>
            </w:r>
          </w:p>
        </w:tc>
        <w:tc>
          <w:tcPr>
            <w:tcW w:w="0" w:type="auto"/>
            <w:shd w:val="clear" w:color="auto" w:fill="FFFFFF"/>
            <w:tcMar>
              <w:top w:w="40" w:type="dxa"/>
              <w:left w:w="0" w:type="dxa"/>
              <w:bottom w:w="40" w:type="dxa"/>
              <w:right w:w="20" w:type="dxa"/>
            </w:tcMar>
            <w:vAlign w:val="bottom"/>
          </w:tcPr>
          <w:p w14:paraId="7C208437" w14:textId="77777777" w:rsidR="00834A75" w:rsidRDefault="00834A75">
            <w:pPr>
              <w:jc w:val="right"/>
              <w:rPr>
                <w:rFonts w:ascii="宋体"/>
              </w:rPr>
            </w:pPr>
          </w:p>
        </w:tc>
      </w:tr>
      <w:tr w:rsidR="00834A75" w14:paraId="7C208445" w14:textId="77777777">
        <w:trPr>
          <w:hidden/>
        </w:trPr>
        <w:tc>
          <w:tcPr>
            <w:tcW w:w="0" w:type="auto"/>
            <w:gridSpan w:val="3"/>
            <w:shd w:val="clear" w:color="auto" w:fill="auto"/>
            <w:vAlign w:val="bottom"/>
          </w:tcPr>
          <w:p w14:paraId="7C208439" w14:textId="77777777" w:rsidR="00834A75" w:rsidRDefault="00834A75">
            <w:pPr>
              <w:rPr>
                <w:rFonts w:ascii="宋体"/>
                <w:vanish/>
              </w:rPr>
            </w:pPr>
          </w:p>
        </w:tc>
        <w:tc>
          <w:tcPr>
            <w:tcW w:w="0" w:type="auto"/>
            <w:gridSpan w:val="3"/>
            <w:shd w:val="clear" w:color="auto" w:fill="auto"/>
            <w:vAlign w:val="bottom"/>
          </w:tcPr>
          <w:p w14:paraId="7C20843A" w14:textId="77777777" w:rsidR="00834A75" w:rsidRDefault="00834A75">
            <w:pPr>
              <w:rPr>
                <w:rFonts w:ascii="宋体"/>
                <w:vanish/>
              </w:rPr>
            </w:pPr>
          </w:p>
        </w:tc>
        <w:tc>
          <w:tcPr>
            <w:tcW w:w="0" w:type="auto"/>
            <w:gridSpan w:val="3"/>
            <w:shd w:val="clear" w:color="auto" w:fill="auto"/>
            <w:vAlign w:val="bottom"/>
          </w:tcPr>
          <w:p w14:paraId="7C20843B" w14:textId="77777777" w:rsidR="00834A75" w:rsidRDefault="00834A75">
            <w:pPr>
              <w:rPr>
                <w:rFonts w:ascii="宋体"/>
                <w:vanish/>
              </w:rPr>
            </w:pPr>
          </w:p>
        </w:tc>
        <w:tc>
          <w:tcPr>
            <w:tcW w:w="0" w:type="auto"/>
            <w:gridSpan w:val="3"/>
            <w:shd w:val="clear" w:color="auto" w:fill="auto"/>
            <w:vAlign w:val="bottom"/>
          </w:tcPr>
          <w:p w14:paraId="7C20843C" w14:textId="77777777" w:rsidR="00834A75" w:rsidRDefault="00834A75">
            <w:pPr>
              <w:rPr>
                <w:rFonts w:ascii="宋体"/>
                <w:vanish/>
              </w:rPr>
            </w:pPr>
          </w:p>
        </w:tc>
        <w:tc>
          <w:tcPr>
            <w:tcW w:w="0" w:type="auto"/>
            <w:gridSpan w:val="3"/>
            <w:shd w:val="clear" w:color="auto" w:fill="auto"/>
            <w:vAlign w:val="bottom"/>
          </w:tcPr>
          <w:p w14:paraId="7C20843D" w14:textId="77777777" w:rsidR="00834A75" w:rsidRDefault="00834A75">
            <w:pPr>
              <w:rPr>
                <w:rFonts w:ascii="宋体"/>
                <w:vanish/>
              </w:rPr>
            </w:pPr>
          </w:p>
        </w:tc>
        <w:tc>
          <w:tcPr>
            <w:tcW w:w="0" w:type="auto"/>
            <w:gridSpan w:val="3"/>
            <w:shd w:val="clear" w:color="auto" w:fill="auto"/>
            <w:vAlign w:val="bottom"/>
          </w:tcPr>
          <w:p w14:paraId="7C20843E" w14:textId="77777777" w:rsidR="00834A75" w:rsidRDefault="00834A75">
            <w:pPr>
              <w:rPr>
                <w:rFonts w:ascii="宋体"/>
                <w:vanish/>
              </w:rPr>
            </w:pPr>
          </w:p>
        </w:tc>
        <w:tc>
          <w:tcPr>
            <w:tcW w:w="0" w:type="auto"/>
            <w:gridSpan w:val="3"/>
            <w:shd w:val="clear" w:color="auto" w:fill="auto"/>
            <w:vAlign w:val="bottom"/>
          </w:tcPr>
          <w:p w14:paraId="7C20843F" w14:textId="77777777" w:rsidR="00834A75" w:rsidRDefault="00834A75">
            <w:pPr>
              <w:rPr>
                <w:rFonts w:ascii="宋体"/>
                <w:vanish/>
              </w:rPr>
            </w:pPr>
          </w:p>
        </w:tc>
        <w:tc>
          <w:tcPr>
            <w:tcW w:w="0" w:type="auto"/>
            <w:gridSpan w:val="3"/>
            <w:shd w:val="clear" w:color="auto" w:fill="auto"/>
            <w:vAlign w:val="bottom"/>
          </w:tcPr>
          <w:p w14:paraId="7C208440" w14:textId="77777777" w:rsidR="00834A75" w:rsidRDefault="00834A75">
            <w:pPr>
              <w:rPr>
                <w:rFonts w:ascii="宋体"/>
                <w:vanish/>
              </w:rPr>
            </w:pPr>
          </w:p>
        </w:tc>
        <w:tc>
          <w:tcPr>
            <w:tcW w:w="0" w:type="auto"/>
            <w:gridSpan w:val="3"/>
            <w:shd w:val="clear" w:color="auto" w:fill="auto"/>
            <w:vAlign w:val="bottom"/>
          </w:tcPr>
          <w:p w14:paraId="7C208441" w14:textId="77777777" w:rsidR="00834A75" w:rsidRDefault="00834A75">
            <w:pPr>
              <w:rPr>
                <w:rFonts w:ascii="宋体"/>
                <w:vanish/>
              </w:rPr>
            </w:pPr>
          </w:p>
        </w:tc>
        <w:tc>
          <w:tcPr>
            <w:tcW w:w="0" w:type="auto"/>
            <w:gridSpan w:val="3"/>
            <w:shd w:val="clear" w:color="auto" w:fill="auto"/>
            <w:vAlign w:val="bottom"/>
          </w:tcPr>
          <w:p w14:paraId="7C208442" w14:textId="77777777" w:rsidR="00834A75" w:rsidRDefault="00834A75">
            <w:pPr>
              <w:rPr>
                <w:rFonts w:ascii="宋体"/>
                <w:vanish/>
              </w:rPr>
            </w:pPr>
          </w:p>
        </w:tc>
        <w:tc>
          <w:tcPr>
            <w:tcW w:w="0" w:type="auto"/>
            <w:gridSpan w:val="3"/>
            <w:shd w:val="clear" w:color="auto" w:fill="auto"/>
            <w:vAlign w:val="bottom"/>
          </w:tcPr>
          <w:p w14:paraId="7C208443" w14:textId="77777777" w:rsidR="00834A75" w:rsidRDefault="00834A75">
            <w:pPr>
              <w:rPr>
                <w:rFonts w:ascii="宋体"/>
                <w:vanish/>
              </w:rPr>
            </w:pPr>
          </w:p>
        </w:tc>
        <w:tc>
          <w:tcPr>
            <w:tcW w:w="0" w:type="auto"/>
            <w:gridSpan w:val="3"/>
            <w:shd w:val="clear" w:color="auto" w:fill="auto"/>
            <w:vAlign w:val="bottom"/>
          </w:tcPr>
          <w:p w14:paraId="7C208444" w14:textId="77777777" w:rsidR="00834A75" w:rsidRDefault="00834A75">
            <w:pPr>
              <w:rPr>
                <w:rFonts w:ascii="宋体"/>
                <w:vanish/>
              </w:rPr>
            </w:pPr>
          </w:p>
        </w:tc>
      </w:tr>
      <w:tr w:rsidR="00834A75" w14:paraId="7C20845E" w14:textId="77777777">
        <w:tc>
          <w:tcPr>
            <w:tcW w:w="0" w:type="auto"/>
            <w:gridSpan w:val="3"/>
            <w:shd w:val="clear" w:color="auto" w:fill="E2EFD9"/>
            <w:tcMar>
              <w:top w:w="40" w:type="dxa"/>
              <w:left w:w="20" w:type="dxa"/>
              <w:bottom w:w="40" w:type="dxa"/>
              <w:right w:w="20" w:type="dxa"/>
            </w:tcMar>
            <w:vAlign w:val="bottom"/>
          </w:tcPr>
          <w:p w14:paraId="7C208446" w14:textId="77777777" w:rsidR="00834A75" w:rsidRDefault="00A6708C">
            <w:pPr>
              <w:textAlignment w:val="bottom"/>
            </w:pPr>
            <w:r>
              <w:rPr>
                <w:rFonts w:ascii="sans-serif" w:eastAsia="sans-serif" w:hAnsi="sans-serif" w:cs="sans-serif"/>
                <w:color w:val="000000"/>
                <w:sz w:val="20"/>
                <w:szCs w:val="20"/>
              </w:rPr>
              <w:t>Total</w:t>
            </w:r>
          </w:p>
        </w:tc>
        <w:tc>
          <w:tcPr>
            <w:tcW w:w="0" w:type="auto"/>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7C208447" w14:textId="77777777" w:rsidR="00834A75" w:rsidRDefault="00A6708C">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E2EFD9"/>
            <w:tcMar>
              <w:top w:w="40" w:type="dxa"/>
              <w:left w:w="0" w:type="dxa"/>
              <w:bottom w:w="40" w:type="dxa"/>
              <w:right w:w="0" w:type="dxa"/>
            </w:tcMar>
            <w:vAlign w:val="bottom"/>
          </w:tcPr>
          <w:p w14:paraId="7C208448" w14:textId="77777777" w:rsidR="00834A75" w:rsidRDefault="00A6708C">
            <w:pPr>
              <w:jc w:val="right"/>
              <w:textAlignment w:val="bottom"/>
            </w:pPr>
            <w:r>
              <w:rPr>
                <w:rFonts w:ascii="sans-serif" w:eastAsia="sans-serif" w:hAnsi="sans-serif" w:cs="sans-serif"/>
                <w:color w:val="000000"/>
                <w:sz w:val="20"/>
                <w:szCs w:val="20"/>
              </w:rPr>
              <w:t>7,737 </w:t>
            </w:r>
          </w:p>
        </w:tc>
        <w:tc>
          <w:tcPr>
            <w:tcW w:w="0" w:type="auto"/>
            <w:tcBorders>
              <w:top w:val="single" w:sz="8" w:space="0" w:color="000000"/>
              <w:bottom w:val="double" w:sz="6" w:space="0" w:color="000000"/>
            </w:tcBorders>
            <w:shd w:val="clear" w:color="auto" w:fill="E2EFD9"/>
            <w:tcMar>
              <w:top w:w="40" w:type="dxa"/>
              <w:left w:w="0" w:type="dxa"/>
              <w:bottom w:w="40" w:type="dxa"/>
              <w:right w:w="20" w:type="dxa"/>
            </w:tcMar>
            <w:vAlign w:val="bottom"/>
          </w:tcPr>
          <w:p w14:paraId="7C208449" w14:textId="77777777" w:rsidR="00834A75" w:rsidRDefault="00834A75">
            <w:pPr>
              <w:jc w:val="right"/>
              <w:rPr>
                <w:rFonts w:ascii="宋体"/>
              </w:rPr>
            </w:pPr>
          </w:p>
        </w:tc>
        <w:tc>
          <w:tcPr>
            <w:tcW w:w="0" w:type="auto"/>
            <w:gridSpan w:val="3"/>
            <w:shd w:val="clear" w:color="auto" w:fill="E2EFD9"/>
            <w:tcMar>
              <w:top w:w="0" w:type="dxa"/>
              <w:left w:w="20" w:type="dxa"/>
              <w:bottom w:w="0" w:type="dxa"/>
              <w:right w:w="20" w:type="dxa"/>
            </w:tcMar>
            <w:vAlign w:val="bottom"/>
          </w:tcPr>
          <w:p w14:paraId="7C20844A" w14:textId="77777777" w:rsidR="00834A75" w:rsidRDefault="00834A75">
            <w:pPr>
              <w:rPr>
                <w:rFonts w:ascii="宋体"/>
              </w:rPr>
            </w:pPr>
          </w:p>
        </w:tc>
        <w:tc>
          <w:tcPr>
            <w:tcW w:w="0" w:type="auto"/>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7C20844B" w14:textId="77777777" w:rsidR="00834A75" w:rsidRDefault="00A6708C">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E2EFD9"/>
            <w:tcMar>
              <w:top w:w="40" w:type="dxa"/>
              <w:left w:w="0" w:type="dxa"/>
              <w:bottom w:w="40" w:type="dxa"/>
              <w:right w:w="0" w:type="dxa"/>
            </w:tcMar>
            <w:vAlign w:val="bottom"/>
          </w:tcPr>
          <w:p w14:paraId="7C20844C" w14:textId="77777777" w:rsidR="00834A75" w:rsidRDefault="00A6708C">
            <w:pPr>
              <w:jc w:val="right"/>
              <w:textAlignment w:val="bottom"/>
            </w:pPr>
            <w:r>
              <w:rPr>
                <w:rFonts w:ascii="sans-serif" w:eastAsia="sans-serif" w:hAnsi="sans-serif" w:cs="sans-serif"/>
                <w:color w:val="000000"/>
                <w:sz w:val="20"/>
                <w:szCs w:val="20"/>
              </w:rPr>
              <w:t>(17)</w:t>
            </w:r>
          </w:p>
        </w:tc>
        <w:tc>
          <w:tcPr>
            <w:tcW w:w="0" w:type="auto"/>
            <w:tcBorders>
              <w:top w:val="single" w:sz="8" w:space="0" w:color="000000"/>
              <w:bottom w:val="double" w:sz="6" w:space="0" w:color="000000"/>
            </w:tcBorders>
            <w:shd w:val="clear" w:color="auto" w:fill="E2EFD9"/>
            <w:tcMar>
              <w:top w:w="40" w:type="dxa"/>
              <w:left w:w="0" w:type="dxa"/>
              <w:bottom w:w="40" w:type="dxa"/>
              <w:right w:w="20" w:type="dxa"/>
            </w:tcMar>
            <w:vAlign w:val="bottom"/>
          </w:tcPr>
          <w:p w14:paraId="7C20844D" w14:textId="77777777" w:rsidR="00834A75" w:rsidRDefault="00834A75">
            <w:pPr>
              <w:jc w:val="right"/>
              <w:rPr>
                <w:rFonts w:ascii="宋体"/>
              </w:rPr>
            </w:pPr>
          </w:p>
        </w:tc>
        <w:tc>
          <w:tcPr>
            <w:tcW w:w="0" w:type="auto"/>
            <w:gridSpan w:val="3"/>
            <w:shd w:val="clear" w:color="auto" w:fill="E2EFD9"/>
            <w:tcMar>
              <w:top w:w="0" w:type="dxa"/>
              <w:left w:w="20" w:type="dxa"/>
              <w:bottom w:w="0" w:type="dxa"/>
              <w:right w:w="20" w:type="dxa"/>
            </w:tcMar>
            <w:vAlign w:val="bottom"/>
          </w:tcPr>
          <w:p w14:paraId="7C20844E" w14:textId="77777777" w:rsidR="00834A75" w:rsidRDefault="00834A75">
            <w:pPr>
              <w:rPr>
                <w:rFonts w:ascii="宋体"/>
              </w:rPr>
            </w:pPr>
          </w:p>
        </w:tc>
        <w:tc>
          <w:tcPr>
            <w:tcW w:w="0" w:type="auto"/>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7C20844F" w14:textId="77777777" w:rsidR="00834A75" w:rsidRDefault="00A6708C">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E2EFD9"/>
            <w:tcMar>
              <w:top w:w="40" w:type="dxa"/>
              <w:left w:w="0" w:type="dxa"/>
              <w:bottom w:w="40" w:type="dxa"/>
              <w:right w:w="0" w:type="dxa"/>
            </w:tcMar>
            <w:vAlign w:val="bottom"/>
          </w:tcPr>
          <w:p w14:paraId="7C208450" w14:textId="77777777" w:rsidR="00834A75" w:rsidRDefault="00A6708C">
            <w:pPr>
              <w:jc w:val="right"/>
              <w:textAlignment w:val="bottom"/>
            </w:pPr>
            <w:r>
              <w:rPr>
                <w:rFonts w:ascii="sans-serif" w:eastAsia="sans-serif" w:hAnsi="sans-serif" w:cs="sans-serif"/>
                <w:color w:val="000000"/>
                <w:sz w:val="20"/>
                <w:szCs w:val="20"/>
              </w:rPr>
              <w:t>19 </w:t>
            </w:r>
          </w:p>
        </w:tc>
        <w:tc>
          <w:tcPr>
            <w:tcW w:w="0" w:type="auto"/>
            <w:tcBorders>
              <w:top w:val="single" w:sz="8" w:space="0" w:color="000000"/>
              <w:bottom w:val="double" w:sz="6" w:space="0" w:color="000000"/>
            </w:tcBorders>
            <w:shd w:val="clear" w:color="auto" w:fill="E2EFD9"/>
            <w:tcMar>
              <w:top w:w="40" w:type="dxa"/>
              <w:left w:w="0" w:type="dxa"/>
              <w:bottom w:w="40" w:type="dxa"/>
              <w:right w:w="20" w:type="dxa"/>
            </w:tcMar>
            <w:vAlign w:val="bottom"/>
          </w:tcPr>
          <w:p w14:paraId="7C208451" w14:textId="77777777" w:rsidR="00834A75" w:rsidRDefault="00834A75">
            <w:pPr>
              <w:jc w:val="right"/>
              <w:rPr>
                <w:rFonts w:ascii="宋体"/>
              </w:rPr>
            </w:pPr>
          </w:p>
        </w:tc>
        <w:tc>
          <w:tcPr>
            <w:tcW w:w="0" w:type="auto"/>
            <w:gridSpan w:val="3"/>
            <w:shd w:val="clear" w:color="auto" w:fill="E2EFD9"/>
            <w:tcMar>
              <w:top w:w="0" w:type="dxa"/>
              <w:left w:w="20" w:type="dxa"/>
              <w:bottom w:w="0" w:type="dxa"/>
              <w:right w:w="20" w:type="dxa"/>
            </w:tcMar>
            <w:vAlign w:val="bottom"/>
          </w:tcPr>
          <w:p w14:paraId="7C208452" w14:textId="77777777" w:rsidR="00834A75" w:rsidRDefault="00834A75">
            <w:pPr>
              <w:rPr>
                <w:rFonts w:ascii="宋体"/>
              </w:rPr>
            </w:pPr>
          </w:p>
        </w:tc>
        <w:tc>
          <w:tcPr>
            <w:tcW w:w="0" w:type="auto"/>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7C208453" w14:textId="77777777" w:rsidR="00834A75" w:rsidRDefault="00A6708C">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E2EFD9"/>
            <w:tcMar>
              <w:top w:w="40" w:type="dxa"/>
              <w:left w:w="0" w:type="dxa"/>
              <w:bottom w:w="40" w:type="dxa"/>
              <w:right w:w="0" w:type="dxa"/>
            </w:tcMar>
            <w:vAlign w:val="bottom"/>
          </w:tcPr>
          <w:p w14:paraId="7C208454" w14:textId="77777777" w:rsidR="00834A75" w:rsidRDefault="00A6708C">
            <w:pPr>
              <w:jc w:val="right"/>
              <w:textAlignment w:val="bottom"/>
            </w:pPr>
            <w:r>
              <w:rPr>
                <w:rFonts w:ascii="sans-serif" w:eastAsia="sans-serif" w:hAnsi="sans-serif" w:cs="sans-serif"/>
                <w:color w:val="000000"/>
                <w:sz w:val="20"/>
                <w:szCs w:val="20"/>
              </w:rPr>
              <w:t>— </w:t>
            </w:r>
          </w:p>
        </w:tc>
        <w:tc>
          <w:tcPr>
            <w:tcW w:w="0" w:type="auto"/>
            <w:tcBorders>
              <w:top w:val="single" w:sz="8" w:space="0" w:color="000000"/>
              <w:bottom w:val="double" w:sz="6" w:space="0" w:color="000000"/>
            </w:tcBorders>
            <w:shd w:val="clear" w:color="auto" w:fill="E2EFD9"/>
            <w:tcMar>
              <w:top w:w="40" w:type="dxa"/>
              <w:left w:w="0" w:type="dxa"/>
              <w:bottom w:w="40" w:type="dxa"/>
              <w:right w:w="20" w:type="dxa"/>
            </w:tcMar>
            <w:vAlign w:val="bottom"/>
          </w:tcPr>
          <w:p w14:paraId="7C208455" w14:textId="77777777" w:rsidR="00834A75" w:rsidRDefault="00834A75">
            <w:pPr>
              <w:jc w:val="right"/>
              <w:rPr>
                <w:rFonts w:ascii="宋体"/>
              </w:rPr>
            </w:pPr>
          </w:p>
        </w:tc>
        <w:tc>
          <w:tcPr>
            <w:tcW w:w="0" w:type="auto"/>
            <w:gridSpan w:val="3"/>
            <w:shd w:val="clear" w:color="auto" w:fill="E2EFD9"/>
            <w:tcMar>
              <w:top w:w="0" w:type="dxa"/>
              <w:left w:w="20" w:type="dxa"/>
              <w:bottom w:w="0" w:type="dxa"/>
              <w:right w:w="20" w:type="dxa"/>
            </w:tcMar>
            <w:vAlign w:val="bottom"/>
          </w:tcPr>
          <w:p w14:paraId="7C208456" w14:textId="77777777" w:rsidR="00834A75" w:rsidRDefault="00834A75">
            <w:pPr>
              <w:rPr>
                <w:rFonts w:ascii="宋体"/>
              </w:rPr>
            </w:pPr>
          </w:p>
        </w:tc>
        <w:tc>
          <w:tcPr>
            <w:tcW w:w="0" w:type="auto"/>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7C208457" w14:textId="77777777" w:rsidR="00834A75" w:rsidRDefault="00A6708C">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E2EFD9"/>
            <w:tcMar>
              <w:top w:w="40" w:type="dxa"/>
              <w:left w:w="0" w:type="dxa"/>
              <w:bottom w:w="40" w:type="dxa"/>
              <w:right w:w="0" w:type="dxa"/>
            </w:tcMar>
            <w:vAlign w:val="bottom"/>
          </w:tcPr>
          <w:p w14:paraId="7C208458" w14:textId="77777777" w:rsidR="00834A75" w:rsidRDefault="00A6708C">
            <w:pPr>
              <w:jc w:val="right"/>
              <w:textAlignment w:val="bottom"/>
            </w:pPr>
            <w:r>
              <w:rPr>
                <w:rFonts w:ascii="sans-serif" w:eastAsia="sans-serif" w:hAnsi="sans-serif" w:cs="sans-serif"/>
                <w:color w:val="000000"/>
                <w:sz w:val="20"/>
                <w:szCs w:val="20"/>
              </w:rPr>
              <w:t>7,756 </w:t>
            </w:r>
          </w:p>
        </w:tc>
        <w:tc>
          <w:tcPr>
            <w:tcW w:w="0" w:type="auto"/>
            <w:tcBorders>
              <w:top w:val="single" w:sz="8" w:space="0" w:color="000000"/>
              <w:bottom w:val="double" w:sz="6" w:space="0" w:color="000000"/>
            </w:tcBorders>
            <w:shd w:val="clear" w:color="auto" w:fill="E2EFD9"/>
            <w:tcMar>
              <w:top w:w="40" w:type="dxa"/>
              <w:left w:w="0" w:type="dxa"/>
              <w:bottom w:w="40" w:type="dxa"/>
              <w:right w:w="20" w:type="dxa"/>
            </w:tcMar>
            <w:vAlign w:val="bottom"/>
          </w:tcPr>
          <w:p w14:paraId="7C208459" w14:textId="77777777" w:rsidR="00834A75" w:rsidRDefault="00834A75">
            <w:pPr>
              <w:jc w:val="right"/>
              <w:rPr>
                <w:rFonts w:ascii="宋体"/>
              </w:rPr>
            </w:pPr>
          </w:p>
        </w:tc>
        <w:tc>
          <w:tcPr>
            <w:tcW w:w="0" w:type="auto"/>
            <w:gridSpan w:val="3"/>
            <w:shd w:val="clear" w:color="auto" w:fill="E2EFD9"/>
            <w:tcMar>
              <w:top w:w="0" w:type="dxa"/>
              <w:left w:w="20" w:type="dxa"/>
              <w:bottom w:w="0" w:type="dxa"/>
              <w:right w:w="20" w:type="dxa"/>
            </w:tcMar>
            <w:vAlign w:val="bottom"/>
          </w:tcPr>
          <w:p w14:paraId="7C20845A" w14:textId="77777777" w:rsidR="00834A75" w:rsidRDefault="00834A75">
            <w:pPr>
              <w:rPr>
                <w:rFonts w:ascii="宋体"/>
              </w:rPr>
            </w:pPr>
          </w:p>
        </w:tc>
        <w:tc>
          <w:tcPr>
            <w:tcW w:w="0" w:type="auto"/>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7C20845B" w14:textId="77777777" w:rsidR="00834A75" w:rsidRDefault="00A6708C">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E2EFD9"/>
            <w:tcMar>
              <w:top w:w="40" w:type="dxa"/>
              <w:left w:w="0" w:type="dxa"/>
              <w:bottom w:w="40" w:type="dxa"/>
              <w:right w:w="0" w:type="dxa"/>
            </w:tcMar>
            <w:vAlign w:val="bottom"/>
          </w:tcPr>
          <w:p w14:paraId="7C20845C" w14:textId="77777777" w:rsidR="00834A75" w:rsidRDefault="00A6708C">
            <w:pPr>
              <w:jc w:val="right"/>
              <w:textAlignment w:val="bottom"/>
            </w:pPr>
            <w:r>
              <w:rPr>
                <w:rFonts w:ascii="sans-serif" w:eastAsia="sans-serif" w:hAnsi="sans-serif" w:cs="sans-serif"/>
                <w:color w:val="000000"/>
                <w:sz w:val="20"/>
                <w:szCs w:val="20"/>
              </w:rPr>
              <w:t>(17)</w:t>
            </w:r>
          </w:p>
        </w:tc>
        <w:tc>
          <w:tcPr>
            <w:tcW w:w="0" w:type="auto"/>
            <w:tcBorders>
              <w:top w:val="single" w:sz="8" w:space="0" w:color="000000"/>
              <w:bottom w:val="double" w:sz="6" w:space="0" w:color="000000"/>
            </w:tcBorders>
            <w:shd w:val="clear" w:color="auto" w:fill="E2EFD9"/>
            <w:tcMar>
              <w:top w:w="40" w:type="dxa"/>
              <w:left w:w="0" w:type="dxa"/>
              <w:bottom w:w="40" w:type="dxa"/>
              <w:right w:w="20" w:type="dxa"/>
            </w:tcMar>
            <w:vAlign w:val="bottom"/>
          </w:tcPr>
          <w:p w14:paraId="7C20845D" w14:textId="77777777" w:rsidR="00834A75" w:rsidRDefault="00834A75">
            <w:pPr>
              <w:jc w:val="right"/>
              <w:rPr>
                <w:rFonts w:ascii="宋体"/>
              </w:rPr>
            </w:pPr>
          </w:p>
        </w:tc>
      </w:tr>
    </w:tbl>
    <w:p w14:paraId="7C20845F" w14:textId="77777777" w:rsidR="00834A75" w:rsidRDefault="00A6708C">
      <w:pPr>
        <w:spacing w:after="180"/>
        <w:jc w:val="both"/>
      </w:pPr>
      <w:r>
        <w:rPr>
          <w:rFonts w:ascii="sans-serif" w:eastAsia="sans-serif" w:hAnsi="sans-serif" w:cs="sans-serif"/>
          <w:color w:val="000000"/>
          <w:sz w:val="20"/>
          <w:szCs w:val="20"/>
        </w:rPr>
        <w:t>The gross unrealized losses are related to fixed income securities, driven primarily by changes in interest rates. Net realized gains and unrealized gains and losses were not signific</w:t>
      </w:r>
      <w:r>
        <w:rPr>
          <w:rFonts w:ascii="sans-serif" w:eastAsia="sans-serif" w:hAnsi="sans-serif" w:cs="sans-serif"/>
          <w:color w:val="000000"/>
          <w:sz w:val="20"/>
          <w:szCs w:val="20"/>
        </w:rPr>
        <w:t>ant for all periods presented.</w:t>
      </w:r>
    </w:p>
    <w:p w14:paraId="7C208460" w14:textId="77777777" w:rsidR="00834A75" w:rsidRDefault="00A6708C">
      <w:pPr>
        <w:spacing w:before="180" w:after="180"/>
        <w:jc w:val="both"/>
      </w:pPr>
      <w:r>
        <w:rPr>
          <w:rFonts w:ascii="sans-serif" w:eastAsia="sans-serif" w:hAnsi="sans-serif" w:cs="sans-serif"/>
          <w:color w:val="000000"/>
          <w:sz w:val="20"/>
          <w:szCs w:val="20"/>
        </w:rPr>
        <w:t>The amortized cost and estimated fair value of cash equivalents and marketable securities as of May 1, 2022 and January 30, 2022 are shown below by contractual maturity.</w:t>
      </w:r>
    </w:p>
    <w:tbl>
      <w:tblPr>
        <w:tblW w:w="5000" w:type="pct"/>
        <w:tblCellMar>
          <w:top w:w="15" w:type="dxa"/>
          <w:left w:w="15" w:type="dxa"/>
          <w:bottom w:w="15" w:type="dxa"/>
          <w:right w:w="15" w:type="dxa"/>
        </w:tblCellMar>
        <w:tblLook w:val="04A0" w:firstRow="1" w:lastRow="0" w:firstColumn="1" w:lastColumn="0" w:noHBand="0" w:noVBand="1"/>
      </w:tblPr>
      <w:tblGrid>
        <w:gridCol w:w="37"/>
        <w:gridCol w:w="3563"/>
        <w:gridCol w:w="36"/>
        <w:gridCol w:w="123"/>
        <w:gridCol w:w="950"/>
        <w:gridCol w:w="36"/>
        <w:gridCol w:w="36"/>
        <w:gridCol w:w="36"/>
        <w:gridCol w:w="36"/>
        <w:gridCol w:w="123"/>
        <w:gridCol w:w="890"/>
        <w:gridCol w:w="36"/>
        <w:gridCol w:w="36"/>
        <w:gridCol w:w="36"/>
        <w:gridCol w:w="36"/>
        <w:gridCol w:w="123"/>
        <w:gridCol w:w="950"/>
        <w:gridCol w:w="36"/>
        <w:gridCol w:w="36"/>
        <w:gridCol w:w="36"/>
        <w:gridCol w:w="36"/>
        <w:gridCol w:w="123"/>
        <w:gridCol w:w="950"/>
        <w:gridCol w:w="36"/>
      </w:tblGrid>
      <w:tr w:rsidR="00834A75" w14:paraId="7C208479" w14:textId="77777777">
        <w:tc>
          <w:tcPr>
            <w:tcW w:w="50" w:type="pct"/>
            <w:shd w:val="clear" w:color="auto" w:fill="auto"/>
            <w:vAlign w:val="bottom"/>
          </w:tcPr>
          <w:p w14:paraId="7C208461" w14:textId="77777777" w:rsidR="00834A75" w:rsidRDefault="00834A75">
            <w:pPr>
              <w:rPr>
                <w:rFonts w:ascii="宋体"/>
              </w:rPr>
            </w:pPr>
          </w:p>
        </w:tc>
        <w:tc>
          <w:tcPr>
            <w:tcW w:w="2189" w:type="pct"/>
            <w:shd w:val="clear" w:color="auto" w:fill="auto"/>
            <w:vAlign w:val="bottom"/>
          </w:tcPr>
          <w:p w14:paraId="7C208462" w14:textId="77777777" w:rsidR="00834A75" w:rsidRDefault="00834A75">
            <w:pPr>
              <w:rPr>
                <w:rFonts w:ascii="宋体"/>
              </w:rPr>
            </w:pPr>
          </w:p>
        </w:tc>
        <w:tc>
          <w:tcPr>
            <w:tcW w:w="5" w:type="pct"/>
            <w:shd w:val="clear" w:color="auto" w:fill="auto"/>
            <w:vAlign w:val="bottom"/>
          </w:tcPr>
          <w:p w14:paraId="7C208463" w14:textId="77777777" w:rsidR="00834A75" w:rsidRDefault="00834A75">
            <w:pPr>
              <w:rPr>
                <w:rFonts w:ascii="宋体"/>
              </w:rPr>
            </w:pPr>
          </w:p>
        </w:tc>
        <w:tc>
          <w:tcPr>
            <w:tcW w:w="50" w:type="pct"/>
            <w:shd w:val="clear" w:color="auto" w:fill="auto"/>
            <w:vAlign w:val="bottom"/>
          </w:tcPr>
          <w:p w14:paraId="7C208464" w14:textId="77777777" w:rsidR="00834A75" w:rsidRDefault="00834A75">
            <w:pPr>
              <w:rPr>
                <w:rFonts w:ascii="宋体"/>
              </w:rPr>
            </w:pPr>
          </w:p>
        </w:tc>
        <w:tc>
          <w:tcPr>
            <w:tcW w:w="610" w:type="pct"/>
            <w:shd w:val="clear" w:color="auto" w:fill="auto"/>
            <w:vAlign w:val="bottom"/>
          </w:tcPr>
          <w:p w14:paraId="7C208465" w14:textId="77777777" w:rsidR="00834A75" w:rsidRDefault="00834A75">
            <w:pPr>
              <w:rPr>
                <w:rFonts w:ascii="宋体"/>
              </w:rPr>
            </w:pPr>
          </w:p>
        </w:tc>
        <w:tc>
          <w:tcPr>
            <w:tcW w:w="5" w:type="pct"/>
            <w:shd w:val="clear" w:color="auto" w:fill="auto"/>
            <w:vAlign w:val="bottom"/>
          </w:tcPr>
          <w:p w14:paraId="7C208466" w14:textId="77777777" w:rsidR="00834A75" w:rsidRDefault="00834A75">
            <w:pPr>
              <w:rPr>
                <w:rFonts w:ascii="宋体"/>
              </w:rPr>
            </w:pPr>
          </w:p>
        </w:tc>
        <w:tc>
          <w:tcPr>
            <w:tcW w:w="5" w:type="pct"/>
            <w:shd w:val="clear" w:color="auto" w:fill="auto"/>
            <w:vAlign w:val="bottom"/>
          </w:tcPr>
          <w:p w14:paraId="7C208467" w14:textId="77777777" w:rsidR="00834A75" w:rsidRDefault="00834A75">
            <w:pPr>
              <w:rPr>
                <w:rFonts w:ascii="宋体"/>
              </w:rPr>
            </w:pPr>
          </w:p>
        </w:tc>
        <w:tc>
          <w:tcPr>
            <w:tcW w:w="26" w:type="pct"/>
            <w:shd w:val="clear" w:color="auto" w:fill="auto"/>
            <w:vAlign w:val="bottom"/>
          </w:tcPr>
          <w:p w14:paraId="7C208468" w14:textId="77777777" w:rsidR="00834A75" w:rsidRDefault="00834A75">
            <w:pPr>
              <w:rPr>
                <w:rFonts w:ascii="宋体"/>
              </w:rPr>
            </w:pPr>
          </w:p>
        </w:tc>
        <w:tc>
          <w:tcPr>
            <w:tcW w:w="5" w:type="pct"/>
            <w:shd w:val="clear" w:color="auto" w:fill="auto"/>
            <w:vAlign w:val="bottom"/>
          </w:tcPr>
          <w:p w14:paraId="7C208469" w14:textId="77777777" w:rsidR="00834A75" w:rsidRDefault="00834A75">
            <w:pPr>
              <w:rPr>
                <w:rFonts w:ascii="宋体"/>
              </w:rPr>
            </w:pPr>
          </w:p>
        </w:tc>
        <w:tc>
          <w:tcPr>
            <w:tcW w:w="50" w:type="pct"/>
            <w:shd w:val="clear" w:color="auto" w:fill="auto"/>
            <w:vAlign w:val="bottom"/>
          </w:tcPr>
          <w:p w14:paraId="7C20846A" w14:textId="77777777" w:rsidR="00834A75" w:rsidRDefault="00834A75">
            <w:pPr>
              <w:rPr>
                <w:rFonts w:ascii="宋体"/>
              </w:rPr>
            </w:pPr>
          </w:p>
        </w:tc>
        <w:tc>
          <w:tcPr>
            <w:tcW w:w="610" w:type="pct"/>
            <w:shd w:val="clear" w:color="auto" w:fill="auto"/>
            <w:vAlign w:val="bottom"/>
          </w:tcPr>
          <w:p w14:paraId="7C20846B" w14:textId="77777777" w:rsidR="00834A75" w:rsidRDefault="00834A75">
            <w:pPr>
              <w:rPr>
                <w:rFonts w:ascii="宋体"/>
              </w:rPr>
            </w:pPr>
          </w:p>
        </w:tc>
        <w:tc>
          <w:tcPr>
            <w:tcW w:w="5" w:type="pct"/>
            <w:shd w:val="clear" w:color="auto" w:fill="auto"/>
            <w:vAlign w:val="bottom"/>
          </w:tcPr>
          <w:p w14:paraId="7C20846C" w14:textId="77777777" w:rsidR="00834A75" w:rsidRDefault="00834A75">
            <w:pPr>
              <w:rPr>
                <w:rFonts w:ascii="宋体"/>
              </w:rPr>
            </w:pPr>
          </w:p>
        </w:tc>
        <w:tc>
          <w:tcPr>
            <w:tcW w:w="5" w:type="pct"/>
            <w:shd w:val="clear" w:color="auto" w:fill="auto"/>
            <w:vAlign w:val="bottom"/>
          </w:tcPr>
          <w:p w14:paraId="7C20846D" w14:textId="77777777" w:rsidR="00834A75" w:rsidRDefault="00834A75">
            <w:pPr>
              <w:rPr>
                <w:rFonts w:ascii="宋体"/>
              </w:rPr>
            </w:pPr>
          </w:p>
        </w:tc>
        <w:tc>
          <w:tcPr>
            <w:tcW w:w="19" w:type="pct"/>
            <w:shd w:val="clear" w:color="auto" w:fill="auto"/>
            <w:vAlign w:val="bottom"/>
          </w:tcPr>
          <w:p w14:paraId="7C20846E" w14:textId="77777777" w:rsidR="00834A75" w:rsidRDefault="00834A75">
            <w:pPr>
              <w:rPr>
                <w:rFonts w:ascii="宋体"/>
              </w:rPr>
            </w:pPr>
          </w:p>
        </w:tc>
        <w:tc>
          <w:tcPr>
            <w:tcW w:w="5" w:type="pct"/>
            <w:shd w:val="clear" w:color="auto" w:fill="auto"/>
            <w:vAlign w:val="bottom"/>
          </w:tcPr>
          <w:p w14:paraId="7C20846F" w14:textId="77777777" w:rsidR="00834A75" w:rsidRDefault="00834A75">
            <w:pPr>
              <w:rPr>
                <w:rFonts w:ascii="宋体"/>
              </w:rPr>
            </w:pPr>
          </w:p>
        </w:tc>
        <w:tc>
          <w:tcPr>
            <w:tcW w:w="50" w:type="pct"/>
            <w:shd w:val="clear" w:color="auto" w:fill="auto"/>
            <w:vAlign w:val="bottom"/>
          </w:tcPr>
          <w:p w14:paraId="7C208470" w14:textId="77777777" w:rsidR="00834A75" w:rsidRDefault="00834A75">
            <w:pPr>
              <w:rPr>
                <w:rFonts w:ascii="宋体"/>
              </w:rPr>
            </w:pPr>
          </w:p>
        </w:tc>
        <w:tc>
          <w:tcPr>
            <w:tcW w:w="610" w:type="pct"/>
            <w:shd w:val="clear" w:color="auto" w:fill="auto"/>
            <w:vAlign w:val="bottom"/>
          </w:tcPr>
          <w:p w14:paraId="7C208471" w14:textId="77777777" w:rsidR="00834A75" w:rsidRDefault="00834A75">
            <w:pPr>
              <w:rPr>
                <w:rFonts w:ascii="宋体"/>
              </w:rPr>
            </w:pPr>
          </w:p>
        </w:tc>
        <w:tc>
          <w:tcPr>
            <w:tcW w:w="5" w:type="pct"/>
            <w:shd w:val="clear" w:color="auto" w:fill="auto"/>
            <w:vAlign w:val="bottom"/>
          </w:tcPr>
          <w:p w14:paraId="7C208472" w14:textId="77777777" w:rsidR="00834A75" w:rsidRDefault="00834A75">
            <w:pPr>
              <w:rPr>
                <w:rFonts w:ascii="宋体"/>
              </w:rPr>
            </w:pPr>
          </w:p>
        </w:tc>
        <w:tc>
          <w:tcPr>
            <w:tcW w:w="5" w:type="pct"/>
            <w:shd w:val="clear" w:color="auto" w:fill="auto"/>
            <w:vAlign w:val="bottom"/>
          </w:tcPr>
          <w:p w14:paraId="7C208473" w14:textId="77777777" w:rsidR="00834A75" w:rsidRDefault="00834A75">
            <w:pPr>
              <w:rPr>
                <w:rFonts w:ascii="宋体"/>
              </w:rPr>
            </w:pPr>
          </w:p>
        </w:tc>
        <w:tc>
          <w:tcPr>
            <w:tcW w:w="19" w:type="pct"/>
            <w:shd w:val="clear" w:color="auto" w:fill="auto"/>
            <w:vAlign w:val="bottom"/>
          </w:tcPr>
          <w:p w14:paraId="7C208474" w14:textId="77777777" w:rsidR="00834A75" w:rsidRDefault="00834A75">
            <w:pPr>
              <w:rPr>
                <w:rFonts w:ascii="宋体"/>
              </w:rPr>
            </w:pPr>
          </w:p>
        </w:tc>
        <w:tc>
          <w:tcPr>
            <w:tcW w:w="5" w:type="pct"/>
            <w:shd w:val="clear" w:color="auto" w:fill="auto"/>
            <w:vAlign w:val="bottom"/>
          </w:tcPr>
          <w:p w14:paraId="7C208475" w14:textId="77777777" w:rsidR="00834A75" w:rsidRDefault="00834A75">
            <w:pPr>
              <w:rPr>
                <w:rFonts w:ascii="宋体"/>
              </w:rPr>
            </w:pPr>
          </w:p>
        </w:tc>
        <w:tc>
          <w:tcPr>
            <w:tcW w:w="50" w:type="pct"/>
            <w:shd w:val="clear" w:color="auto" w:fill="auto"/>
            <w:vAlign w:val="bottom"/>
          </w:tcPr>
          <w:p w14:paraId="7C208476" w14:textId="77777777" w:rsidR="00834A75" w:rsidRDefault="00834A75">
            <w:pPr>
              <w:rPr>
                <w:rFonts w:ascii="宋体"/>
              </w:rPr>
            </w:pPr>
          </w:p>
        </w:tc>
        <w:tc>
          <w:tcPr>
            <w:tcW w:w="610" w:type="pct"/>
            <w:shd w:val="clear" w:color="auto" w:fill="auto"/>
            <w:vAlign w:val="bottom"/>
          </w:tcPr>
          <w:p w14:paraId="7C208477" w14:textId="77777777" w:rsidR="00834A75" w:rsidRDefault="00834A75">
            <w:pPr>
              <w:rPr>
                <w:rFonts w:ascii="宋体"/>
              </w:rPr>
            </w:pPr>
          </w:p>
        </w:tc>
        <w:tc>
          <w:tcPr>
            <w:tcW w:w="5" w:type="pct"/>
            <w:shd w:val="clear" w:color="auto" w:fill="auto"/>
            <w:vAlign w:val="bottom"/>
          </w:tcPr>
          <w:p w14:paraId="7C208478" w14:textId="77777777" w:rsidR="00834A75" w:rsidRDefault="00834A75">
            <w:pPr>
              <w:rPr>
                <w:rFonts w:ascii="宋体"/>
              </w:rPr>
            </w:pPr>
          </w:p>
        </w:tc>
      </w:tr>
      <w:tr w:rsidR="00834A75" w14:paraId="7C20847E" w14:textId="77777777">
        <w:tc>
          <w:tcPr>
            <w:tcW w:w="0" w:type="auto"/>
            <w:gridSpan w:val="3"/>
            <w:shd w:val="clear" w:color="auto" w:fill="auto"/>
            <w:tcMar>
              <w:top w:w="0" w:type="dxa"/>
              <w:left w:w="20" w:type="dxa"/>
              <w:bottom w:w="0" w:type="dxa"/>
              <w:right w:w="20" w:type="dxa"/>
            </w:tcMar>
            <w:vAlign w:val="bottom"/>
          </w:tcPr>
          <w:p w14:paraId="7C20847A" w14:textId="77777777" w:rsidR="00834A75" w:rsidRDefault="00834A75">
            <w:pPr>
              <w:rPr>
                <w:rFonts w:ascii="宋体"/>
              </w:rPr>
            </w:pPr>
          </w:p>
        </w:tc>
        <w:tc>
          <w:tcPr>
            <w:tcW w:w="0" w:type="auto"/>
            <w:gridSpan w:val="9"/>
            <w:shd w:val="clear" w:color="auto" w:fill="auto"/>
            <w:tcMar>
              <w:top w:w="40" w:type="dxa"/>
              <w:left w:w="20" w:type="dxa"/>
              <w:bottom w:w="40" w:type="dxa"/>
              <w:right w:w="20" w:type="dxa"/>
            </w:tcMar>
            <w:vAlign w:val="bottom"/>
          </w:tcPr>
          <w:p w14:paraId="7C20847B" w14:textId="77777777" w:rsidR="00834A75" w:rsidRDefault="00A6708C">
            <w:pPr>
              <w:jc w:val="center"/>
              <w:textAlignment w:val="bottom"/>
            </w:pPr>
            <w:r>
              <w:rPr>
                <w:rFonts w:ascii="sans-serif" w:eastAsia="sans-serif" w:hAnsi="sans-serif" w:cs="sans-serif"/>
                <w:b/>
                <w:bCs/>
                <w:color w:val="000000"/>
                <w:sz w:val="20"/>
                <w:szCs w:val="20"/>
              </w:rPr>
              <w:t>May 1, 2022</w:t>
            </w:r>
          </w:p>
        </w:tc>
        <w:tc>
          <w:tcPr>
            <w:tcW w:w="0" w:type="auto"/>
            <w:gridSpan w:val="3"/>
            <w:shd w:val="clear" w:color="auto" w:fill="auto"/>
            <w:tcMar>
              <w:top w:w="0" w:type="dxa"/>
              <w:left w:w="20" w:type="dxa"/>
              <w:bottom w:w="0" w:type="dxa"/>
              <w:right w:w="20" w:type="dxa"/>
            </w:tcMar>
            <w:vAlign w:val="bottom"/>
          </w:tcPr>
          <w:p w14:paraId="7C20847C" w14:textId="77777777" w:rsidR="00834A75" w:rsidRDefault="00834A75">
            <w:pPr>
              <w:rPr>
                <w:rFonts w:ascii="宋体"/>
              </w:rPr>
            </w:pPr>
          </w:p>
        </w:tc>
        <w:tc>
          <w:tcPr>
            <w:tcW w:w="0" w:type="auto"/>
            <w:gridSpan w:val="9"/>
            <w:shd w:val="clear" w:color="auto" w:fill="auto"/>
            <w:tcMar>
              <w:top w:w="40" w:type="dxa"/>
              <w:left w:w="20" w:type="dxa"/>
              <w:bottom w:w="40" w:type="dxa"/>
              <w:right w:w="20" w:type="dxa"/>
            </w:tcMar>
            <w:vAlign w:val="bottom"/>
          </w:tcPr>
          <w:p w14:paraId="7C20847D" w14:textId="77777777" w:rsidR="00834A75" w:rsidRDefault="00A6708C">
            <w:pPr>
              <w:jc w:val="center"/>
              <w:textAlignment w:val="bottom"/>
            </w:pPr>
            <w:r>
              <w:rPr>
                <w:rFonts w:ascii="sans-serif" w:eastAsia="sans-serif" w:hAnsi="sans-serif" w:cs="sans-serif"/>
                <w:b/>
                <w:bCs/>
                <w:color w:val="000000"/>
                <w:sz w:val="20"/>
                <w:szCs w:val="20"/>
              </w:rPr>
              <w:t>January 30, 2022</w:t>
            </w:r>
          </w:p>
        </w:tc>
      </w:tr>
      <w:tr w:rsidR="00834A75" w14:paraId="7C208487" w14:textId="77777777">
        <w:tc>
          <w:tcPr>
            <w:tcW w:w="0" w:type="auto"/>
            <w:gridSpan w:val="3"/>
            <w:shd w:val="clear" w:color="auto" w:fill="auto"/>
            <w:tcMar>
              <w:top w:w="0" w:type="dxa"/>
              <w:left w:w="20" w:type="dxa"/>
              <w:bottom w:w="0" w:type="dxa"/>
              <w:right w:w="20" w:type="dxa"/>
            </w:tcMar>
            <w:vAlign w:val="bottom"/>
          </w:tcPr>
          <w:p w14:paraId="7C20847F" w14:textId="77777777" w:rsidR="00834A75" w:rsidRDefault="00834A75">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C208480" w14:textId="77777777" w:rsidR="00834A75" w:rsidRDefault="00A6708C">
            <w:pPr>
              <w:jc w:val="center"/>
              <w:textAlignment w:val="bottom"/>
            </w:pPr>
            <w:r>
              <w:rPr>
                <w:rFonts w:ascii="sans-serif" w:eastAsia="sans-serif" w:hAnsi="sans-serif" w:cs="sans-serif"/>
                <w:b/>
                <w:bCs/>
                <w:color w:val="000000"/>
                <w:sz w:val="20"/>
                <w:szCs w:val="20"/>
              </w:rPr>
              <w:t>Amortized Cost</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C208481" w14:textId="77777777" w:rsidR="00834A75" w:rsidRDefault="00834A75">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C208482" w14:textId="77777777" w:rsidR="00834A75" w:rsidRDefault="00A6708C">
            <w:pPr>
              <w:jc w:val="center"/>
              <w:textAlignment w:val="bottom"/>
            </w:pPr>
            <w:r>
              <w:rPr>
                <w:rFonts w:ascii="sans-serif" w:eastAsia="sans-serif" w:hAnsi="sans-serif" w:cs="sans-serif"/>
                <w:b/>
                <w:bCs/>
                <w:color w:val="000000"/>
                <w:sz w:val="20"/>
                <w:szCs w:val="20"/>
              </w:rPr>
              <w:t>Estimated Fair Value</w:t>
            </w:r>
          </w:p>
        </w:tc>
        <w:tc>
          <w:tcPr>
            <w:tcW w:w="0" w:type="auto"/>
            <w:gridSpan w:val="3"/>
            <w:shd w:val="clear" w:color="auto" w:fill="auto"/>
            <w:tcMar>
              <w:top w:w="0" w:type="dxa"/>
              <w:left w:w="20" w:type="dxa"/>
              <w:bottom w:w="0" w:type="dxa"/>
              <w:right w:w="20" w:type="dxa"/>
            </w:tcMar>
            <w:vAlign w:val="bottom"/>
          </w:tcPr>
          <w:p w14:paraId="7C208483" w14:textId="77777777" w:rsidR="00834A75" w:rsidRDefault="00834A75">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C208484" w14:textId="77777777" w:rsidR="00834A75" w:rsidRDefault="00A6708C">
            <w:pPr>
              <w:jc w:val="center"/>
              <w:textAlignment w:val="bottom"/>
            </w:pPr>
            <w:r>
              <w:rPr>
                <w:rFonts w:ascii="sans-serif" w:eastAsia="sans-serif" w:hAnsi="sans-serif" w:cs="sans-serif"/>
                <w:b/>
                <w:bCs/>
                <w:color w:val="000000"/>
                <w:sz w:val="20"/>
                <w:szCs w:val="20"/>
              </w:rPr>
              <w:t>Amortized Cost</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C208485" w14:textId="77777777" w:rsidR="00834A75" w:rsidRDefault="00834A75">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C208486" w14:textId="77777777" w:rsidR="00834A75" w:rsidRDefault="00A6708C">
            <w:pPr>
              <w:jc w:val="center"/>
              <w:textAlignment w:val="bottom"/>
            </w:pPr>
            <w:r>
              <w:rPr>
                <w:rFonts w:ascii="sans-serif" w:eastAsia="sans-serif" w:hAnsi="sans-serif" w:cs="sans-serif"/>
                <w:b/>
                <w:bCs/>
                <w:color w:val="000000"/>
                <w:sz w:val="20"/>
                <w:szCs w:val="20"/>
              </w:rPr>
              <w:t>Estimated Fair Value</w:t>
            </w:r>
          </w:p>
        </w:tc>
      </w:tr>
      <w:tr w:rsidR="00834A75" w14:paraId="7C208490" w14:textId="77777777">
        <w:trPr>
          <w:trHeight w:val="60"/>
        </w:trPr>
        <w:tc>
          <w:tcPr>
            <w:tcW w:w="0" w:type="auto"/>
            <w:gridSpan w:val="3"/>
            <w:shd w:val="clear" w:color="auto" w:fill="auto"/>
            <w:tcMar>
              <w:top w:w="0" w:type="dxa"/>
              <w:left w:w="20" w:type="dxa"/>
              <w:bottom w:w="0" w:type="dxa"/>
              <w:right w:w="20" w:type="dxa"/>
            </w:tcMar>
            <w:vAlign w:val="bottom"/>
          </w:tcPr>
          <w:p w14:paraId="7C208488" w14:textId="77777777" w:rsidR="00834A75" w:rsidRDefault="00834A75">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C208489" w14:textId="77777777" w:rsidR="00834A75" w:rsidRDefault="00834A75">
            <w:pPr>
              <w:rPr>
                <w:rFonts w:ascii="宋体"/>
              </w:rPr>
            </w:pPr>
          </w:p>
        </w:tc>
        <w:tc>
          <w:tcPr>
            <w:tcW w:w="0" w:type="auto"/>
            <w:gridSpan w:val="3"/>
            <w:shd w:val="clear" w:color="auto" w:fill="auto"/>
            <w:tcMar>
              <w:top w:w="0" w:type="dxa"/>
              <w:left w:w="20" w:type="dxa"/>
              <w:bottom w:w="0" w:type="dxa"/>
              <w:right w:w="20" w:type="dxa"/>
            </w:tcMar>
            <w:vAlign w:val="bottom"/>
          </w:tcPr>
          <w:p w14:paraId="7C20848A" w14:textId="77777777" w:rsidR="00834A75" w:rsidRDefault="00834A75">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C20848B" w14:textId="77777777" w:rsidR="00834A75" w:rsidRDefault="00834A75">
            <w:pPr>
              <w:rPr>
                <w:rFonts w:ascii="宋体"/>
              </w:rPr>
            </w:pPr>
          </w:p>
        </w:tc>
        <w:tc>
          <w:tcPr>
            <w:tcW w:w="0" w:type="auto"/>
            <w:gridSpan w:val="3"/>
            <w:shd w:val="clear" w:color="auto" w:fill="auto"/>
            <w:tcMar>
              <w:top w:w="0" w:type="dxa"/>
              <w:left w:w="20" w:type="dxa"/>
              <w:bottom w:w="0" w:type="dxa"/>
              <w:right w:w="20" w:type="dxa"/>
            </w:tcMar>
            <w:vAlign w:val="bottom"/>
          </w:tcPr>
          <w:p w14:paraId="7C20848C" w14:textId="77777777" w:rsidR="00834A75" w:rsidRDefault="00834A75">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C20848D" w14:textId="77777777" w:rsidR="00834A75" w:rsidRDefault="00834A75">
            <w:pPr>
              <w:rPr>
                <w:rFonts w:ascii="宋体"/>
              </w:rPr>
            </w:pPr>
          </w:p>
        </w:tc>
        <w:tc>
          <w:tcPr>
            <w:tcW w:w="0" w:type="auto"/>
            <w:gridSpan w:val="3"/>
            <w:shd w:val="clear" w:color="auto" w:fill="auto"/>
            <w:tcMar>
              <w:top w:w="0" w:type="dxa"/>
              <w:left w:w="20" w:type="dxa"/>
              <w:bottom w:w="0" w:type="dxa"/>
              <w:right w:w="20" w:type="dxa"/>
            </w:tcMar>
            <w:vAlign w:val="bottom"/>
          </w:tcPr>
          <w:p w14:paraId="7C20848E" w14:textId="77777777" w:rsidR="00834A75" w:rsidRDefault="00834A75">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C20848F" w14:textId="77777777" w:rsidR="00834A75" w:rsidRDefault="00834A75">
            <w:pPr>
              <w:rPr>
                <w:rFonts w:ascii="宋体"/>
              </w:rPr>
            </w:pPr>
          </w:p>
        </w:tc>
      </w:tr>
      <w:tr w:rsidR="00834A75" w14:paraId="7C208493" w14:textId="77777777">
        <w:tc>
          <w:tcPr>
            <w:tcW w:w="0" w:type="auto"/>
            <w:gridSpan w:val="3"/>
            <w:shd w:val="clear" w:color="auto" w:fill="auto"/>
            <w:tcMar>
              <w:top w:w="0" w:type="dxa"/>
              <w:left w:w="20" w:type="dxa"/>
              <w:bottom w:w="0" w:type="dxa"/>
              <w:right w:w="20" w:type="dxa"/>
            </w:tcMar>
            <w:vAlign w:val="bottom"/>
          </w:tcPr>
          <w:p w14:paraId="7C208491" w14:textId="77777777" w:rsidR="00834A75" w:rsidRDefault="00834A75">
            <w:pPr>
              <w:rPr>
                <w:rFonts w:ascii="宋体"/>
              </w:rPr>
            </w:pPr>
          </w:p>
        </w:tc>
        <w:tc>
          <w:tcPr>
            <w:tcW w:w="0" w:type="auto"/>
            <w:gridSpan w:val="21"/>
            <w:shd w:val="clear" w:color="auto" w:fill="auto"/>
            <w:tcMar>
              <w:top w:w="40" w:type="dxa"/>
              <w:left w:w="20" w:type="dxa"/>
              <w:bottom w:w="40" w:type="dxa"/>
              <w:right w:w="20" w:type="dxa"/>
            </w:tcMar>
            <w:vAlign w:val="bottom"/>
          </w:tcPr>
          <w:p w14:paraId="7C208492" w14:textId="77777777" w:rsidR="00834A75" w:rsidRDefault="00A6708C">
            <w:pPr>
              <w:jc w:val="center"/>
              <w:textAlignment w:val="bottom"/>
            </w:pPr>
            <w:r>
              <w:rPr>
                <w:rFonts w:ascii="sans-serif" w:eastAsia="sans-serif" w:hAnsi="sans-serif" w:cs="sans-serif"/>
                <w:i/>
                <w:iCs/>
                <w:color w:val="000000"/>
                <w:sz w:val="20"/>
                <w:szCs w:val="20"/>
              </w:rPr>
              <w:t>(In millions)</w:t>
            </w:r>
          </w:p>
        </w:tc>
      </w:tr>
      <w:tr w:rsidR="00834A75" w14:paraId="7C2084A4" w14:textId="77777777">
        <w:tc>
          <w:tcPr>
            <w:tcW w:w="0" w:type="auto"/>
            <w:gridSpan w:val="3"/>
            <w:shd w:val="clear" w:color="auto" w:fill="E2EFD9"/>
            <w:tcMar>
              <w:top w:w="40" w:type="dxa"/>
              <w:left w:w="20" w:type="dxa"/>
              <w:bottom w:w="40" w:type="dxa"/>
              <w:right w:w="20" w:type="dxa"/>
            </w:tcMar>
            <w:vAlign w:val="bottom"/>
          </w:tcPr>
          <w:p w14:paraId="7C208494" w14:textId="77777777" w:rsidR="00834A75" w:rsidRDefault="00A6708C">
            <w:pPr>
              <w:textAlignment w:val="bottom"/>
            </w:pPr>
            <w:r>
              <w:rPr>
                <w:rFonts w:ascii="sans-serif" w:eastAsia="sans-serif" w:hAnsi="sans-serif" w:cs="sans-serif"/>
                <w:color w:val="000000"/>
                <w:sz w:val="20"/>
                <w:szCs w:val="20"/>
              </w:rPr>
              <w:t>Less than one year</w:t>
            </w:r>
          </w:p>
        </w:tc>
        <w:tc>
          <w:tcPr>
            <w:tcW w:w="0" w:type="auto"/>
            <w:shd w:val="clear" w:color="auto" w:fill="E2EFD9"/>
            <w:tcMar>
              <w:top w:w="40" w:type="dxa"/>
              <w:left w:w="20" w:type="dxa"/>
              <w:bottom w:w="40" w:type="dxa"/>
              <w:right w:w="0" w:type="dxa"/>
            </w:tcMar>
            <w:vAlign w:val="bottom"/>
          </w:tcPr>
          <w:p w14:paraId="7C208495" w14:textId="77777777" w:rsidR="00834A75" w:rsidRDefault="00A6708C">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7C208496" w14:textId="77777777" w:rsidR="00834A75" w:rsidRDefault="00A6708C">
            <w:pPr>
              <w:jc w:val="right"/>
              <w:textAlignment w:val="bottom"/>
            </w:pPr>
            <w:r>
              <w:rPr>
                <w:rFonts w:ascii="sans-serif" w:eastAsia="sans-serif" w:hAnsi="sans-serif" w:cs="sans-serif"/>
                <w:color w:val="000000"/>
                <w:sz w:val="20"/>
                <w:szCs w:val="20"/>
              </w:rPr>
              <w:t>15,196 </w:t>
            </w:r>
          </w:p>
        </w:tc>
        <w:tc>
          <w:tcPr>
            <w:tcW w:w="0" w:type="auto"/>
            <w:shd w:val="clear" w:color="auto" w:fill="E2EFD9"/>
            <w:tcMar>
              <w:top w:w="40" w:type="dxa"/>
              <w:left w:w="0" w:type="dxa"/>
              <w:bottom w:w="40" w:type="dxa"/>
              <w:right w:w="20" w:type="dxa"/>
            </w:tcMar>
            <w:vAlign w:val="bottom"/>
          </w:tcPr>
          <w:p w14:paraId="7C208497" w14:textId="77777777" w:rsidR="00834A75" w:rsidRDefault="00834A75">
            <w:pPr>
              <w:jc w:val="right"/>
              <w:rPr>
                <w:rFonts w:ascii="宋体"/>
              </w:rPr>
            </w:pPr>
          </w:p>
        </w:tc>
        <w:tc>
          <w:tcPr>
            <w:tcW w:w="0" w:type="auto"/>
            <w:gridSpan w:val="3"/>
            <w:shd w:val="clear" w:color="auto" w:fill="E2EFD9"/>
            <w:tcMar>
              <w:top w:w="0" w:type="dxa"/>
              <w:left w:w="20" w:type="dxa"/>
              <w:bottom w:w="0" w:type="dxa"/>
              <w:right w:w="20" w:type="dxa"/>
            </w:tcMar>
            <w:vAlign w:val="bottom"/>
          </w:tcPr>
          <w:p w14:paraId="7C208498" w14:textId="77777777" w:rsidR="00834A75" w:rsidRDefault="00834A75">
            <w:pPr>
              <w:rPr>
                <w:rFonts w:ascii="宋体"/>
              </w:rPr>
            </w:pPr>
          </w:p>
        </w:tc>
        <w:tc>
          <w:tcPr>
            <w:tcW w:w="0" w:type="auto"/>
            <w:shd w:val="clear" w:color="auto" w:fill="E2EFD9"/>
            <w:tcMar>
              <w:top w:w="40" w:type="dxa"/>
              <w:left w:w="20" w:type="dxa"/>
              <w:bottom w:w="40" w:type="dxa"/>
              <w:right w:w="0" w:type="dxa"/>
            </w:tcMar>
            <w:vAlign w:val="bottom"/>
          </w:tcPr>
          <w:p w14:paraId="7C208499" w14:textId="77777777" w:rsidR="00834A75" w:rsidRDefault="00A6708C">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7C20849A" w14:textId="77777777" w:rsidR="00834A75" w:rsidRDefault="00A6708C">
            <w:pPr>
              <w:jc w:val="right"/>
              <w:textAlignment w:val="bottom"/>
            </w:pPr>
            <w:r>
              <w:rPr>
                <w:rFonts w:ascii="sans-serif" w:eastAsia="sans-serif" w:hAnsi="sans-serif" w:cs="sans-serif"/>
                <w:color w:val="000000"/>
                <w:sz w:val="20"/>
                <w:szCs w:val="20"/>
              </w:rPr>
              <w:t>15,185 </w:t>
            </w:r>
          </w:p>
        </w:tc>
        <w:tc>
          <w:tcPr>
            <w:tcW w:w="0" w:type="auto"/>
            <w:shd w:val="clear" w:color="auto" w:fill="E2EFD9"/>
            <w:tcMar>
              <w:top w:w="40" w:type="dxa"/>
              <w:left w:w="0" w:type="dxa"/>
              <w:bottom w:w="40" w:type="dxa"/>
              <w:right w:w="20" w:type="dxa"/>
            </w:tcMar>
            <w:vAlign w:val="bottom"/>
          </w:tcPr>
          <w:p w14:paraId="7C20849B" w14:textId="77777777" w:rsidR="00834A75" w:rsidRDefault="00834A75">
            <w:pPr>
              <w:jc w:val="right"/>
              <w:rPr>
                <w:rFonts w:ascii="宋体"/>
              </w:rPr>
            </w:pPr>
          </w:p>
        </w:tc>
        <w:tc>
          <w:tcPr>
            <w:tcW w:w="0" w:type="auto"/>
            <w:gridSpan w:val="3"/>
            <w:shd w:val="clear" w:color="auto" w:fill="E2EFD9"/>
            <w:tcMar>
              <w:top w:w="0" w:type="dxa"/>
              <w:left w:w="20" w:type="dxa"/>
              <w:bottom w:w="0" w:type="dxa"/>
              <w:right w:w="20" w:type="dxa"/>
            </w:tcMar>
            <w:vAlign w:val="bottom"/>
          </w:tcPr>
          <w:p w14:paraId="7C20849C" w14:textId="77777777" w:rsidR="00834A75" w:rsidRDefault="00834A75">
            <w:pPr>
              <w:rPr>
                <w:rFonts w:ascii="宋体"/>
              </w:rPr>
            </w:pPr>
          </w:p>
        </w:tc>
        <w:tc>
          <w:tcPr>
            <w:tcW w:w="0" w:type="auto"/>
            <w:shd w:val="clear" w:color="auto" w:fill="E2EFD9"/>
            <w:tcMar>
              <w:top w:w="40" w:type="dxa"/>
              <w:left w:w="20" w:type="dxa"/>
              <w:bottom w:w="40" w:type="dxa"/>
              <w:right w:w="0" w:type="dxa"/>
            </w:tcMar>
            <w:vAlign w:val="bottom"/>
          </w:tcPr>
          <w:p w14:paraId="7C20849D" w14:textId="77777777" w:rsidR="00834A75" w:rsidRDefault="00A6708C">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7C20849E" w14:textId="77777777" w:rsidR="00834A75" w:rsidRDefault="00A6708C">
            <w:pPr>
              <w:jc w:val="right"/>
              <w:textAlignment w:val="bottom"/>
            </w:pPr>
            <w:r>
              <w:rPr>
                <w:rFonts w:ascii="sans-serif" w:eastAsia="sans-serif" w:hAnsi="sans-serif" w:cs="sans-serif"/>
                <w:color w:val="000000"/>
                <w:sz w:val="20"/>
                <w:szCs w:val="20"/>
              </w:rPr>
              <w:t>16,346 </w:t>
            </w:r>
          </w:p>
        </w:tc>
        <w:tc>
          <w:tcPr>
            <w:tcW w:w="0" w:type="auto"/>
            <w:shd w:val="clear" w:color="auto" w:fill="E2EFD9"/>
            <w:tcMar>
              <w:top w:w="40" w:type="dxa"/>
              <w:left w:w="0" w:type="dxa"/>
              <w:bottom w:w="40" w:type="dxa"/>
              <w:right w:w="20" w:type="dxa"/>
            </w:tcMar>
            <w:vAlign w:val="bottom"/>
          </w:tcPr>
          <w:p w14:paraId="7C20849F" w14:textId="77777777" w:rsidR="00834A75" w:rsidRDefault="00834A75">
            <w:pPr>
              <w:jc w:val="right"/>
              <w:rPr>
                <w:rFonts w:ascii="宋体"/>
              </w:rPr>
            </w:pPr>
          </w:p>
        </w:tc>
        <w:tc>
          <w:tcPr>
            <w:tcW w:w="0" w:type="auto"/>
            <w:gridSpan w:val="3"/>
            <w:shd w:val="clear" w:color="auto" w:fill="E2EFD9"/>
            <w:tcMar>
              <w:top w:w="0" w:type="dxa"/>
              <w:left w:w="20" w:type="dxa"/>
              <w:bottom w:w="0" w:type="dxa"/>
              <w:right w:w="20" w:type="dxa"/>
            </w:tcMar>
            <w:vAlign w:val="bottom"/>
          </w:tcPr>
          <w:p w14:paraId="7C2084A0" w14:textId="77777777" w:rsidR="00834A75" w:rsidRDefault="00834A75">
            <w:pPr>
              <w:rPr>
                <w:rFonts w:ascii="宋体"/>
              </w:rPr>
            </w:pPr>
          </w:p>
        </w:tc>
        <w:tc>
          <w:tcPr>
            <w:tcW w:w="0" w:type="auto"/>
            <w:shd w:val="clear" w:color="auto" w:fill="E2EFD9"/>
            <w:tcMar>
              <w:top w:w="40" w:type="dxa"/>
              <w:left w:w="20" w:type="dxa"/>
              <w:bottom w:w="40" w:type="dxa"/>
              <w:right w:w="0" w:type="dxa"/>
            </w:tcMar>
            <w:vAlign w:val="bottom"/>
          </w:tcPr>
          <w:p w14:paraId="7C2084A1" w14:textId="77777777" w:rsidR="00834A75" w:rsidRDefault="00A6708C">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7C2084A2" w14:textId="77777777" w:rsidR="00834A75" w:rsidRDefault="00A6708C">
            <w:pPr>
              <w:jc w:val="right"/>
              <w:textAlignment w:val="bottom"/>
            </w:pPr>
            <w:r>
              <w:rPr>
                <w:rFonts w:ascii="sans-serif" w:eastAsia="sans-serif" w:hAnsi="sans-serif" w:cs="sans-serif"/>
                <w:color w:val="000000"/>
                <w:sz w:val="20"/>
                <w:szCs w:val="20"/>
              </w:rPr>
              <w:t>16,343 </w:t>
            </w:r>
          </w:p>
        </w:tc>
        <w:tc>
          <w:tcPr>
            <w:tcW w:w="0" w:type="auto"/>
            <w:shd w:val="clear" w:color="auto" w:fill="E2EFD9"/>
            <w:tcMar>
              <w:top w:w="40" w:type="dxa"/>
              <w:left w:w="0" w:type="dxa"/>
              <w:bottom w:w="40" w:type="dxa"/>
              <w:right w:w="20" w:type="dxa"/>
            </w:tcMar>
            <w:vAlign w:val="bottom"/>
          </w:tcPr>
          <w:p w14:paraId="7C2084A3" w14:textId="77777777" w:rsidR="00834A75" w:rsidRDefault="00834A75">
            <w:pPr>
              <w:jc w:val="right"/>
              <w:rPr>
                <w:rFonts w:ascii="宋体"/>
              </w:rPr>
            </w:pPr>
          </w:p>
        </w:tc>
      </w:tr>
      <w:tr w:rsidR="00834A75" w14:paraId="7C2084B1" w14:textId="77777777">
        <w:tc>
          <w:tcPr>
            <w:tcW w:w="0" w:type="auto"/>
            <w:gridSpan w:val="3"/>
            <w:shd w:val="clear" w:color="auto" w:fill="FFFFFF"/>
            <w:tcMar>
              <w:top w:w="40" w:type="dxa"/>
              <w:left w:w="20" w:type="dxa"/>
              <w:bottom w:w="40" w:type="dxa"/>
              <w:right w:w="20" w:type="dxa"/>
            </w:tcMar>
            <w:vAlign w:val="bottom"/>
          </w:tcPr>
          <w:p w14:paraId="7C2084A5" w14:textId="77777777" w:rsidR="00834A75" w:rsidRDefault="00A6708C">
            <w:pPr>
              <w:textAlignment w:val="bottom"/>
            </w:pPr>
            <w:r>
              <w:rPr>
                <w:rFonts w:ascii="sans-serif" w:eastAsia="sans-serif" w:hAnsi="sans-serif" w:cs="sans-serif"/>
                <w:color w:val="000000"/>
                <w:sz w:val="20"/>
                <w:szCs w:val="20"/>
              </w:rPr>
              <w:t>Due in 1 - 5 years</w:t>
            </w:r>
          </w:p>
        </w:tc>
        <w:tc>
          <w:tcPr>
            <w:tcW w:w="0" w:type="auto"/>
            <w:gridSpan w:val="2"/>
            <w:shd w:val="clear" w:color="auto" w:fill="FFFFFF"/>
            <w:tcMar>
              <w:top w:w="40" w:type="dxa"/>
              <w:left w:w="20" w:type="dxa"/>
              <w:bottom w:w="40" w:type="dxa"/>
              <w:right w:w="0" w:type="dxa"/>
            </w:tcMar>
            <w:vAlign w:val="bottom"/>
          </w:tcPr>
          <w:p w14:paraId="7C2084A6" w14:textId="77777777" w:rsidR="00834A75" w:rsidRDefault="00A6708C">
            <w:pPr>
              <w:jc w:val="right"/>
              <w:textAlignment w:val="bottom"/>
            </w:pPr>
            <w:r>
              <w:rPr>
                <w:rFonts w:ascii="sans-serif" w:eastAsia="sans-serif" w:hAnsi="sans-serif" w:cs="sans-serif"/>
                <w:color w:val="000000"/>
                <w:sz w:val="20"/>
                <w:szCs w:val="20"/>
              </w:rPr>
              <w:t>4,810 </w:t>
            </w:r>
          </w:p>
        </w:tc>
        <w:tc>
          <w:tcPr>
            <w:tcW w:w="0" w:type="auto"/>
            <w:shd w:val="clear" w:color="auto" w:fill="FFFFFF"/>
            <w:tcMar>
              <w:top w:w="40" w:type="dxa"/>
              <w:left w:w="0" w:type="dxa"/>
              <w:bottom w:w="40" w:type="dxa"/>
              <w:right w:w="20" w:type="dxa"/>
            </w:tcMar>
            <w:vAlign w:val="bottom"/>
          </w:tcPr>
          <w:p w14:paraId="7C2084A7" w14:textId="77777777" w:rsidR="00834A75" w:rsidRDefault="00834A75">
            <w:pPr>
              <w:jc w:val="right"/>
              <w:rPr>
                <w:rFonts w:ascii="宋体"/>
              </w:rPr>
            </w:pPr>
          </w:p>
        </w:tc>
        <w:tc>
          <w:tcPr>
            <w:tcW w:w="0" w:type="auto"/>
            <w:gridSpan w:val="3"/>
            <w:shd w:val="clear" w:color="auto" w:fill="FFFFFF"/>
            <w:tcMar>
              <w:top w:w="0" w:type="dxa"/>
              <w:left w:w="20" w:type="dxa"/>
              <w:bottom w:w="0" w:type="dxa"/>
              <w:right w:w="20" w:type="dxa"/>
            </w:tcMar>
            <w:vAlign w:val="bottom"/>
          </w:tcPr>
          <w:p w14:paraId="7C2084A8" w14:textId="77777777" w:rsidR="00834A75" w:rsidRDefault="00834A75">
            <w:pPr>
              <w:rPr>
                <w:rFonts w:ascii="宋体"/>
              </w:rPr>
            </w:pPr>
          </w:p>
        </w:tc>
        <w:tc>
          <w:tcPr>
            <w:tcW w:w="0" w:type="auto"/>
            <w:gridSpan w:val="2"/>
            <w:shd w:val="clear" w:color="auto" w:fill="FFFFFF"/>
            <w:tcMar>
              <w:top w:w="40" w:type="dxa"/>
              <w:left w:w="20" w:type="dxa"/>
              <w:bottom w:w="40" w:type="dxa"/>
              <w:right w:w="0" w:type="dxa"/>
            </w:tcMar>
            <w:vAlign w:val="bottom"/>
          </w:tcPr>
          <w:p w14:paraId="7C2084A9" w14:textId="77777777" w:rsidR="00834A75" w:rsidRDefault="00A6708C">
            <w:pPr>
              <w:jc w:val="right"/>
              <w:textAlignment w:val="bottom"/>
            </w:pPr>
            <w:r>
              <w:rPr>
                <w:rFonts w:ascii="sans-serif" w:eastAsia="sans-serif" w:hAnsi="sans-serif" w:cs="sans-serif"/>
                <w:color w:val="000000"/>
                <w:sz w:val="20"/>
                <w:szCs w:val="20"/>
              </w:rPr>
              <w:t>4,777 </w:t>
            </w:r>
          </w:p>
        </w:tc>
        <w:tc>
          <w:tcPr>
            <w:tcW w:w="0" w:type="auto"/>
            <w:shd w:val="clear" w:color="auto" w:fill="FFFFFF"/>
            <w:tcMar>
              <w:top w:w="40" w:type="dxa"/>
              <w:left w:w="0" w:type="dxa"/>
              <w:bottom w:w="40" w:type="dxa"/>
              <w:right w:w="20" w:type="dxa"/>
            </w:tcMar>
            <w:vAlign w:val="bottom"/>
          </w:tcPr>
          <w:p w14:paraId="7C2084AA" w14:textId="77777777" w:rsidR="00834A75" w:rsidRDefault="00834A75">
            <w:pPr>
              <w:jc w:val="right"/>
              <w:rPr>
                <w:rFonts w:ascii="宋体"/>
              </w:rPr>
            </w:pPr>
          </w:p>
        </w:tc>
        <w:tc>
          <w:tcPr>
            <w:tcW w:w="0" w:type="auto"/>
            <w:gridSpan w:val="3"/>
            <w:shd w:val="clear" w:color="auto" w:fill="FFFFFF"/>
            <w:tcMar>
              <w:top w:w="0" w:type="dxa"/>
              <w:left w:w="20" w:type="dxa"/>
              <w:bottom w:w="0" w:type="dxa"/>
              <w:right w:w="20" w:type="dxa"/>
            </w:tcMar>
            <w:vAlign w:val="bottom"/>
          </w:tcPr>
          <w:p w14:paraId="7C2084AB" w14:textId="77777777" w:rsidR="00834A75" w:rsidRDefault="00834A75">
            <w:pPr>
              <w:rPr>
                <w:rFonts w:ascii="宋体"/>
              </w:rPr>
            </w:pPr>
          </w:p>
        </w:tc>
        <w:tc>
          <w:tcPr>
            <w:tcW w:w="0" w:type="auto"/>
            <w:gridSpan w:val="2"/>
            <w:shd w:val="clear" w:color="auto" w:fill="FFFFFF"/>
            <w:tcMar>
              <w:top w:w="40" w:type="dxa"/>
              <w:left w:w="20" w:type="dxa"/>
              <w:bottom w:w="40" w:type="dxa"/>
              <w:right w:w="0" w:type="dxa"/>
            </w:tcMar>
            <w:vAlign w:val="bottom"/>
          </w:tcPr>
          <w:p w14:paraId="7C2084AC" w14:textId="77777777" w:rsidR="00834A75" w:rsidRDefault="00A6708C">
            <w:pPr>
              <w:jc w:val="right"/>
              <w:textAlignment w:val="bottom"/>
            </w:pPr>
            <w:r>
              <w:rPr>
                <w:rFonts w:ascii="sans-serif" w:eastAsia="sans-serif" w:hAnsi="sans-serif" w:cs="sans-serif"/>
                <w:color w:val="000000"/>
                <w:sz w:val="20"/>
                <w:szCs w:val="20"/>
              </w:rPr>
              <w:t>4,584 </w:t>
            </w:r>
          </w:p>
        </w:tc>
        <w:tc>
          <w:tcPr>
            <w:tcW w:w="0" w:type="auto"/>
            <w:shd w:val="clear" w:color="auto" w:fill="FFFFFF"/>
            <w:tcMar>
              <w:top w:w="40" w:type="dxa"/>
              <w:left w:w="0" w:type="dxa"/>
              <w:bottom w:w="40" w:type="dxa"/>
              <w:right w:w="20" w:type="dxa"/>
            </w:tcMar>
            <w:vAlign w:val="bottom"/>
          </w:tcPr>
          <w:p w14:paraId="7C2084AD" w14:textId="77777777" w:rsidR="00834A75" w:rsidRDefault="00834A75">
            <w:pPr>
              <w:jc w:val="right"/>
              <w:rPr>
                <w:rFonts w:ascii="宋体"/>
              </w:rPr>
            </w:pPr>
          </w:p>
        </w:tc>
        <w:tc>
          <w:tcPr>
            <w:tcW w:w="0" w:type="auto"/>
            <w:gridSpan w:val="3"/>
            <w:shd w:val="clear" w:color="auto" w:fill="FFFFFF"/>
            <w:tcMar>
              <w:top w:w="0" w:type="dxa"/>
              <w:left w:w="20" w:type="dxa"/>
              <w:bottom w:w="0" w:type="dxa"/>
              <w:right w:w="20" w:type="dxa"/>
            </w:tcMar>
            <w:vAlign w:val="bottom"/>
          </w:tcPr>
          <w:p w14:paraId="7C2084AE" w14:textId="77777777" w:rsidR="00834A75" w:rsidRDefault="00834A75">
            <w:pPr>
              <w:rPr>
                <w:rFonts w:ascii="宋体"/>
              </w:rPr>
            </w:pPr>
          </w:p>
        </w:tc>
        <w:tc>
          <w:tcPr>
            <w:tcW w:w="0" w:type="auto"/>
            <w:gridSpan w:val="2"/>
            <w:shd w:val="clear" w:color="auto" w:fill="FFFFFF"/>
            <w:tcMar>
              <w:top w:w="40" w:type="dxa"/>
              <w:left w:w="20" w:type="dxa"/>
              <w:bottom w:w="40" w:type="dxa"/>
              <w:right w:w="0" w:type="dxa"/>
            </w:tcMar>
            <w:vAlign w:val="bottom"/>
          </w:tcPr>
          <w:p w14:paraId="7C2084AF" w14:textId="77777777" w:rsidR="00834A75" w:rsidRDefault="00A6708C">
            <w:pPr>
              <w:jc w:val="right"/>
              <w:textAlignment w:val="bottom"/>
            </w:pPr>
            <w:r>
              <w:rPr>
                <w:rFonts w:ascii="sans-serif" w:eastAsia="sans-serif" w:hAnsi="sans-serif" w:cs="sans-serif"/>
                <w:color w:val="000000"/>
                <w:sz w:val="20"/>
                <w:szCs w:val="20"/>
              </w:rPr>
              <w:t>4,570 </w:t>
            </w:r>
          </w:p>
        </w:tc>
        <w:tc>
          <w:tcPr>
            <w:tcW w:w="0" w:type="auto"/>
            <w:shd w:val="clear" w:color="auto" w:fill="FFFFFF"/>
            <w:tcMar>
              <w:top w:w="40" w:type="dxa"/>
              <w:left w:w="0" w:type="dxa"/>
              <w:bottom w:w="40" w:type="dxa"/>
              <w:right w:w="20" w:type="dxa"/>
            </w:tcMar>
            <w:vAlign w:val="bottom"/>
          </w:tcPr>
          <w:p w14:paraId="7C2084B0" w14:textId="77777777" w:rsidR="00834A75" w:rsidRDefault="00834A75">
            <w:pPr>
              <w:jc w:val="right"/>
              <w:rPr>
                <w:rFonts w:ascii="宋体"/>
              </w:rPr>
            </w:pPr>
          </w:p>
        </w:tc>
      </w:tr>
      <w:tr w:rsidR="00834A75" w14:paraId="7C2084BA" w14:textId="77777777">
        <w:trPr>
          <w:hidden/>
        </w:trPr>
        <w:tc>
          <w:tcPr>
            <w:tcW w:w="0" w:type="auto"/>
            <w:gridSpan w:val="3"/>
            <w:shd w:val="clear" w:color="auto" w:fill="auto"/>
            <w:vAlign w:val="bottom"/>
          </w:tcPr>
          <w:p w14:paraId="7C2084B2" w14:textId="77777777" w:rsidR="00834A75" w:rsidRDefault="00834A75">
            <w:pPr>
              <w:rPr>
                <w:rFonts w:ascii="宋体"/>
                <w:vanish/>
              </w:rPr>
            </w:pPr>
          </w:p>
        </w:tc>
        <w:tc>
          <w:tcPr>
            <w:tcW w:w="0" w:type="auto"/>
            <w:gridSpan w:val="3"/>
            <w:shd w:val="clear" w:color="auto" w:fill="auto"/>
            <w:vAlign w:val="bottom"/>
          </w:tcPr>
          <w:p w14:paraId="7C2084B3" w14:textId="77777777" w:rsidR="00834A75" w:rsidRDefault="00834A75">
            <w:pPr>
              <w:rPr>
                <w:rFonts w:ascii="宋体"/>
                <w:vanish/>
              </w:rPr>
            </w:pPr>
          </w:p>
        </w:tc>
        <w:tc>
          <w:tcPr>
            <w:tcW w:w="0" w:type="auto"/>
            <w:gridSpan w:val="3"/>
            <w:shd w:val="clear" w:color="auto" w:fill="auto"/>
            <w:vAlign w:val="bottom"/>
          </w:tcPr>
          <w:p w14:paraId="7C2084B4" w14:textId="77777777" w:rsidR="00834A75" w:rsidRDefault="00834A75">
            <w:pPr>
              <w:rPr>
                <w:rFonts w:ascii="宋体"/>
                <w:vanish/>
              </w:rPr>
            </w:pPr>
          </w:p>
        </w:tc>
        <w:tc>
          <w:tcPr>
            <w:tcW w:w="0" w:type="auto"/>
            <w:gridSpan w:val="3"/>
            <w:shd w:val="clear" w:color="auto" w:fill="auto"/>
            <w:vAlign w:val="bottom"/>
          </w:tcPr>
          <w:p w14:paraId="7C2084B5" w14:textId="77777777" w:rsidR="00834A75" w:rsidRDefault="00834A75">
            <w:pPr>
              <w:rPr>
                <w:rFonts w:ascii="宋体"/>
                <w:vanish/>
              </w:rPr>
            </w:pPr>
          </w:p>
        </w:tc>
        <w:tc>
          <w:tcPr>
            <w:tcW w:w="0" w:type="auto"/>
            <w:gridSpan w:val="3"/>
            <w:shd w:val="clear" w:color="auto" w:fill="auto"/>
            <w:vAlign w:val="bottom"/>
          </w:tcPr>
          <w:p w14:paraId="7C2084B6" w14:textId="77777777" w:rsidR="00834A75" w:rsidRDefault="00834A75">
            <w:pPr>
              <w:rPr>
                <w:rFonts w:ascii="宋体"/>
                <w:vanish/>
              </w:rPr>
            </w:pPr>
          </w:p>
        </w:tc>
        <w:tc>
          <w:tcPr>
            <w:tcW w:w="0" w:type="auto"/>
            <w:gridSpan w:val="3"/>
            <w:shd w:val="clear" w:color="auto" w:fill="auto"/>
            <w:vAlign w:val="bottom"/>
          </w:tcPr>
          <w:p w14:paraId="7C2084B7" w14:textId="77777777" w:rsidR="00834A75" w:rsidRDefault="00834A75">
            <w:pPr>
              <w:rPr>
                <w:rFonts w:ascii="宋体"/>
                <w:vanish/>
              </w:rPr>
            </w:pPr>
          </w:p>
        </w:tc>
        <w:tc>
          <w:tcPr>
            <w:tcW w:w="0" w:type="auto"/>
            <w:gridSpan w:val="3"/>
            <w:shd w:val="clear" w:color="auto" w:fill="auto"/>
            <w:vAlign w:val="bottom"/>
          </w:tcPr>
          <w:p w14:paraId="7C2084B8" w14:textId="77777777" w:rsidR="00834A75" w:rsidRDefault="00834A75">
            <w:pPr>
              <w:rPr>
                <w:rFonts w:ascii="宋体"/>
                <w:vanish/>
              </w:rPr>
            </w:pPr>
          </w:p>
        </w:tc>
        <w:tc>
          <w:tcPr>
            <w:tcW w:w="0" w:type="auto"/>
            <w:gridSpan w:val="3"/>
            <w:shd w:val="clear" w:color="auto" w:fill="auto"/>
            <w:vAlign w:val="bottom"/>
          </w:tcPr>
          <w:p w14:paraId="7C2084B9" w14:textId="77777777" w:rsidR="00834A75" w:rsidRDefault="00834A75">
            <w:pPr>
              <w:rPr>
                <w:rFonts w:ascii="宋体"/>
                <w:vanish/>
              </w:rPr>
            </w:pPr>
          </w:p>
        </w:tc>
      </w:tr>
      <w:tr w:rsidR="00834A75" w14:paraId="7C2084CB" w14:textId="77777777">
        <w:tc>
          <w:tcPr>
            <w:tcW w:w="0" w:type="auto"/>
            <w:gridSpan w:val="3"/>
            <w:shd w:val="clear" w:color="auto" w:fill="E2EFD9"/>
            <w:tcMar>
              <w:top w:w="40" w:type="dxa"/>
              <w:left w:w="20" w:type="dxa"/>
              <w:bottom w:w="40" w:type="dxa"/>
              <w:right w:w="20" w:type="dxa"/>
            </w:tcMar>
            <w:vAlign w:val="bottom"/>
          </w:tcPr>
          <w:p w14:paraId="7C2084BB" w14:textId="77777777" w:rsidR="00834A75" w:rsidRDefault="00A6708C">
            <w:pPr>
              <w:textAlignment w:val="bottom"/>
            </w:pPr>
            <w:r>
              <w:rPr>
                <w:rFonts w:ascii="sans-serif" w:eastAsia="sans-serif" w:hAnsi="sans-serif" w:cs="sans-serif"/>
                <w:color w:val="000000"/>
                <w:sz w:val="20"/>
                <w:szCs w:val="20"/>
              </w:rPr>
              <w:t>Total</w:t>
            </w:r>
          </w:p>
        </w:tc>
        <w:tc>
          <w:tcPr>
            <w:tcW w:w="0" w:type="auto"/>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7C2084BC" w14:textId="77777777" w:rsidR="00834A75" w:rsidRDefault="00A6708C">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E2EFD9"/>
            <w:tcMar>
              <w:top w:w="40" w:type="dxa"/>
              <w:left w:w="0" w:type="dxa"/>
              <w:bottom w:w="40" w:type="dxa"/>
              <w:right w:w="0" w:type="dxa"/>
            </w:tcMar>
            <w:vAlign w:val="bottom"/>
          </w:tcPr>
          <w:p w14:paraId="7C2084BD" w14:textId="77777777" w:rsidR="00834A75" w:rsidRDefault="00A6708C">
            <w:pPr>
              <w:jc w:val="right"/>
              <w:textAlignment w:val="bottom"/>
            </w:pPr>
            <w:r>
              <w:rPr>
                <w:rFonts w:ascii="sans-serif" w:eastAsia="sans-serif" w:hAnsi="sans-serif" w:cs="sans-serif"/>
                <w:color w:val="000000"/>
                <w:sz w:val="20"/>
                <w:szCs w:val="20"/>
              </w:rPr>
              <w:t>20,006 </w:t>
            </w:r>
          </w:p>
        </w:tc>
        <w:tc>
          <w:tcPr>
            <w:tcW w:w="0" w:type="auto"/>
            <w:tcBorders>
              <w:top w:val="single" w:sz="8" w:space="0" w:color="000000"/>
              <w:bottom w:val="double" w:sz="6" w:space="0" w:color="000000"/>
            </w:tcBorders>
            <w:shd w:val="clear" w:color="auto" w:fill="E2EFD9"/>
            <w:tcMar>
              <w:top w:w="40" w:type="dxa"/>
              <w:left w:w="0" w:type="dxa"/>
              <w:bottom w:w="40" w:type="dxa"/>
              <w:right w:w="20" w:type="dxa"/>
            </w:tcMar>
            <w:vAlign w:val="bottom"/>
          </w:tcPr>
          <w:p w14:paraId="7C2084BE" w14:textId="77777777" w:rsidR="00834A75" w:rsidRDefault="00834A75">
            <w:pPr>
              <w:jc w:val="right"/>
              <w:rPr>
                <w:rFonts w:ascii="宋体"/>
              </w:rPr>
            </w:pPr>
          </w:p>
        </w:tc>
        <w:tc>
          <w:tcPr>
            <w:tcW w:w="0" w:type="auto"/>
            <w:gridSpan w:val="3"/>
            <w:shd w:val="clear" w:color="auto" w:fill="E2EFD9"/>
            <w:tcMar>
              <w:top w:w="0" w:type="dxa"/>
              <w:left w:w="20" w:type="dxa"/>
              <w:bottom w:w="0" w:type="dxa"/>
              <w:right w:w="20" w:type="dxa"/>
            </w:tcMar>
            <w:vAlign w:val="bottom"/>
          </w:tcPr>
          <w:p w14:paraId="7C2084BF" w14:textId="77777777" w:rsidR="00834A75" w:rsidRDefault="00834A75">
            <w:pPr>
              <w:rPr>
                <w:rFonts w:ascii="宋体"/>
              </w:rPr>
            </w:pPr>
          </w:p>
        </w:tc>
        <w:tc>
          <w:tcPr>
            <w:tcW w:w="0" w:type="auto"/>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7C2084C0" w14:textId="77777777" w:rsidR="00834A75" w:rsidRDefault="00A6708C">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E2EFD9"/>
            <w:tcMar>
              <w:top w:w="40" w:type="dxa"/>
              <w:left w:w="0" w:type="dxa"/>
              <w:bottom w:w="40" w:type="dxa"/>
              <w:right w:w="0" w:type="dxa"/>
            </w:tcMar>
            <w:vAlign w:val="bottom"/>
          </w:tcPr>
          <w:p w14:paraId="7C2084C1" w14:textId="77777777" w:rsidR="00834A75" w:rsidRDefault="00A6708C">
            <w:pPr>
              <w:jc w:val="right"/>
              <w:textAlignment w:val="bottom"/>
            </w:pPr>
            <w:r>
              <w:rPr>
                <w:rFonts w:ascii="sans-serif" w:eastAsia="sans-serif" w:hAnsi="sans-serif" w:cs="sans-serif"/>
                <w:color w:val="000000"/>
                <w:sz w:val="20"/>
                <w:szCs w:val="20"/>
              </w:rPr>
              <w:t>19,962 </w:t>
            </w:r>
          </w:p>
        </w:tc>
        <w:tc>
          <w:tcPr>
            <w:tcW w:w="0" w:type="auto"/>
            <w:tcBorders>
              <w:top w:val="single" w:sz="8" w:space="0" w:color="000000"/>
              <w:bottom w:val="double" w:sz="6" w:space="0" w:color="000000"/>
            </w:tcBorders>
            <w:shd w:val="clear" w:color="auto" w:fill="E2EFD9"/>
            <w:tcMar>
              <w:top w:w="40" w:type="dxa"/>
              <w:left w:w="0" w:type="dxa"/>
              <w:bottom w:w="40" w:type="dxa"/>
              <w:right w:w="20" w:type="dxa"/>
            </w:tcMar>
            <w:vAlign w:val="bottom"/>
          </w:tcPr>
          <w:p w14:paraId="7C2084C2" w14:textId="77777777" w:rsidR="00834A75" w:rsidRDefault="00834A75">
            <w:pPr>
              <w:jc w:val="right"/>
              <w:rPr>
                <w:rFonts w:ascii="宋体"/>
              </w:rPr>
            </w:pPr>
          </w:p>
        </w:tc>
        <w:tc>
          <w:tcPr>
            <w:tcW w:w="0" w:type="auto"/>
            <w:gridSpan w:val="3"/>
            <w:shd w:val="clear" w:color="auto" w:fill="E2EFD9"/>
            <w:tcMar>
              <w:top w:w="0" w:type="dxa"/>
              <w:left w:w="20" w:type="dxa"/>
              <w:bottom w:w="0" w:type="dxa"/>
              <w:right w:w="20" w:type="dxa"/>
            </w:tcMar>
            <w:vAlign w:val="bottom"/>
          </w:tcPr>
          <w:p w14:paraId="7C2084C3" w14:textId="77777777" w:rsidR="00834A75" w:rsidRDefault="00834A75">
            <w:pPr>
              <w:rPr>
                <w:rFonts w:ascii="宋体"/>
              </w:rPr>
            </w:pPr>
          </w:p>
        </w:tc>
        <w:tc>
          <w:tcPr>
            <w:tcW w:w="0" w:type="auto"/>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7C2084C4" w14:textId="77777777" w:rsidR="00834A75" w:rsidRDefault="00A6708C">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E2EFD9"/>
            <w:tcMar>
              <w:top w:w="40" w:type="dxa"/>
              <w:left w:w="0" w:type="dxa"/>
              <w:bottom w:w="40" w:type="dxa"/>
              <w:right w:w="0" w:type="dxa"/>
            </w:tcMar>
            <w:vAlign w:val="bottom"/>
          </w:tcPr>
          <w:p w14:paraId="7C2084C5" w14:textId="77777777" w:rsidR="00834A75" w:rsidRDefault="00A6708C">
            <w:pPr>
              <w:jc w:val="right"/>
              <w:textAlignment w:val="bottom"/>
            </w:pPr>
            <w:r>
              <w:rPr>
                <w:rFonts w:ascii="sans-serif" w:eastAsia="sans-serif" w:hAnsi="sans-serif" w:cs="sans-serif"/>
                <w:color w:val="000000"/>
                <w:sz w:val="20"/>
                <w:szCs w:val="20"/>
              </w:rPr>
              <w:t>20,930 </w:t>
            </w:r>
          </w:p>
        </w:tc>
        <w:tc>
          <w:tcPr>
            <w:tcW w:w="0" w:type="auto"/>
            <w:tcBorders>
              <w:top w:val="single" w:sz="8" w:space="0" w:color="000000"/>
              <w:bottom w:val="double" w:sz="6" w:space="0" w:color="000000"/>
            </w:tcBorders>
            <w:shd w:val="clear" w:color="auto" w:fill="E2EFD9"/>
            <w:tcMar>
              <w:top w:w="40" w:type="dxa"/>
              <w:left w:w="0" w:type="dxa"/>
              <w:bottom w:w="40" w:type="dxa"/>
              <w:right w:w="20" w:type="dxa"/>
            </w:tcMar>
            <w:vAlign w:val="bottom"/>
          </w:tcPr>
          <w:p w14:paraId="7C2084C6" w14:textId="77777777" w:rsidR="00834A75" w:rsidRDefault="00834A75">
            <w:pPr>
              <w:jc w:val="right"/>
              <w:rPr>
                <w:rFonts w:ascii="宋体"/>
              </w:rPr>
            </w:pPr>
          </w:p>
        </w:tc>
        <w:tc>
          <w:tcPr>
            <w:tcW w:w="0" w:type="auto"/>
            <w:gridSpan w:val="3"/>
            <w:shd w:val="clear" w:color="auto" w:fill="E2EFD9"/>
            <w:tcMar>
              <w:top w:w="0" w:type="dxa"/>
              <w:left w:w="20" w:type="dxa"/>
              <w:bottom w:w="0" w:type="dxa"/>
              <w:right w:w="20" w:type="dxa"/>
            </w:tcMar>
            <w:vAlign w:val="bottom"/>
          </w:tcPr>
          <w:p w14:paraId="7C2084C7" w14:textId="77777777" w:rsidR="00834A75" w:rsidRDefault="00834A75">
            <w:pPr>
              <w:rPr>
                <w:rFonts w:ascii="宋体"/>
              </w:rPr>
            </w:pPr>
          </w:p>
        </w:tc>
        <w:tc>
          <w:tcPr>
            <w:tcW w:w="0" w:type="auto"/>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7C2084C8" w14:textId="77777777" w:rsidR="00834A75" w:rsidRDefault="00A6708C">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E2EFD9"/>
            <w:tcMar>
              <w:top w:w="40" w:type="dxa"/>
              <w:left w:w="0" w:type="dxa"/>
              <w:bottom w:w="40" w:type="dxa"/>
              <w:right w:w="0" w:type="dxa"/>
            </w:tcMar>
            <w:vAlign w:val="bottom"/>
          </w:tcPr>
          <w:p w14:paraId="7C2084C9" w14:textId="77777777" w:rsidR="00834A75" w:rsidRDefault="00A6708C">
            <w:pPr>
              <w:jc w:val="right"/>
              <w:textAlignment w:val="bottom"/>
            </w:pPr>
            <w:r>
              <w:rPr>
                <w:rFonts w:ascii="sans-serif" w:eastAsia="sans-serif" w:hAnsi="sans-serif" w:cs="sans-serif"/>
                <w:color w:val="000000"/>
                <w:sz w:val="20"/>
                <w:szCs w:val="20"/>
              </w:rPr>
              <w:t>20,913 </w:t>
            </w:r>
          </w:p>
        </w:tc>
        <w:tc>
          <w:tcPr>
            <w:tcW w:w="0" w:type="auto"/>
            <w:tcBorders>
              <w:top w:val="single" w:sz="8" w:space="0" w:color="000000"/>
              <w:bottom w:val="double" w:sz="6" w:space="0" w:color="000000"/>
            </w:tcBorders>
            <w:shd w:val="clear" w:color="auto" w:fill="E2EFD9"/>
            <w:tcMar>
              <w:top w:w="40" w:type="dxa"/>
              <w:left w:w="0" w:type="dxa"/>
              <w:bottom w:w="40" w:type="dxa"/>
              <w:right w:w="20" w:type="dxa"/>
            </w:tcMar>
            <w:vAlign w:val="bottom"/>
          </w:tcPr>
          <w:p w14:paraId="7C2084CA" w14:textId="77777777" w:rsidR="00834A75" w:rsidRDefault="00834A75">
            <w:pPr>
              <w:jc w:val="right"/>
              <w:rPr>
                <w:rFonts w:ascii="宋体"/>
              </w:rPr>
            </w:pPr>
          </w:p>
        </w:tc>
      </w:tr>
    </w:tbl>
    <w:p w14:paraId="7C2084CC" w14:textId="77777777" w:rsidR="00834A75" w:rsidRDefault="00A6708C">
      <w:pPr>
        <w:spacing w:before="240" w:after="120"/>
        <w:jc w:val="both"/>
      </w:pPr>
      <w:r>
        <w:rPr>
          <w:rFonts w:ascii="sans-serif" w:eastAsia="sans-serif" w:hAnsi="sans-serif" w:cs="sans-serif"/>
          <w:b/>
          <w:bCs/>
          <w:color w:val="76B900"/>
          <w:sz w:val="22"/>
          <w:szCs w:val="22"/>
        </w:rPr>
        <w:t>Note 8 – Fair Value of Financial Assets and Liabilities</w:t>
      </w:r>
    </w:p>
    <w:p w14:paraId="7C2084CD" w14:textId="77777777" w:rsidR="00834A75" w:rsidRDefault="00A6708C">
      <w:pPr>
        <w:jc w:val="both"/>
      </w:pPr>
      <w:r>
        <w:rPr>
          <w:rFonts w:ascii="sans-serif" w:eastAsia="sans-serif" w:hAnsi="sans-serif" w:cs="sans-serif"/>
          <w:color w:val="000000"/>
          <w:sz w:val="20"/>
          <w:szCs w:val="20"/>
        </w:rPr>
        <w:t>The fair values of our financial assets and liabilities</w:t>
      </w:r>
      <w:r>
        <w:rPr>
          <w:rFonts w:ascii="sans-serif" w:eastAsia="sans-serif" w:hAnsi="sans-serif" w:cs="sans-serif"/>
          <w:color w:val="000000"/>
          <w:sz w:val="20"/>
          <w:szCs w:val="20"/>
        </w:rPr>
        <w:t xml:space="preserve"> are determined using quoted market prices of identical assets or quoted market prices of similar assets from active markets. We review fair value hierarchy classification on a quarterly basis.</w:t>
      </w:r>
    </w:p>
    <w:p w14:paraId="7C2084CE" w14:textId="77777777" w:rsidR="00834A75" w:rsidRDefault="00A6708C">
      <w:pPr>
        <w:spacing w:after="180"/>
        <w:jc w:val="center"/>
      </w:pPr>
      <w:r>
        <w:rPr>
          <w:rFonts w:ascii="sans-serif" w:eastAsia="sans-serif" w:hAnsi="sans-serif" w:cs="sans-serif"/>
          <w:color w:val="000000"/>
          <w:sz w:val="20"/>
          <w:szCs w:val="20"/>
        </w:rPr>
        <w:t>12</w:t>
      </w:r>
    </w:p>
    <w:p w14:paraId="7C2084CF" w14:textId="77777777" w:rsidR="00834A75" w:rsidRDefault="00A6708C">
      <w:r>
        <w:pict w14:anchorId="7C20935B">
          <v:rect id="_x0000_i1036" style="width:415.3pt;height:1.5pt" o:hralign="center" o:hrstd="t" o:hr="t" fillcolor="#a0a0a0" stroked="f"/>
        </w:pict>
      </w:r>
    </w:p>
    <w:p w14:paraId="7C2084D0" w14:textId="77777777" w:rsidR="00834A75" w:rsidRDefault="00A6708C">
      <w:pPr>
        <w:jc w:val="center"/>
      </w:pPr>
      <w:r>
        <w:rPr>
          <w:rFonts w:ascii="sans-serif" w:eastAsia="sans-serif" w:hAnsi="sans-serif" w:cs="sans-serif"/>
          <w:b/>
          <w:bCs/>
          <w:color w:val="000000"/>
          <w:sz w:val="20"/>
          <w:szCs w:val="20"/>
        </w:rPr>
        <w:t>NVIDIA CORPORATION AND SUBSIDIARIES</w:t>
      </w:r>
    </w:p>
    <w:p w14:paraId="7C2084D1" w14:textId="77777777" w:rsidR="00834A75" w:rsidRDefault="00A6708C">
      <w:pPr>
        <w:jc w:val="center"/>
      </w:pPr>
      <w:r>
        <w:rPr>
          <w:rFonts w:ascii="sans-serif" w:eastAsia="sans-serif" w:hAnsi="sans-serif" w:cs="sans-serif"/>
          <w:b/>
          <w:bCs/>
          <w:color w:val="000000"/>
          <w:sz w:val="20"/>
          <w:szCs w:val="20"/>
        </w:rPr>
        <w:t>NOTES TO CONDENSED CO</w:t>
      </w:r>
      <w:r>
        <w:rPr>
          <w:rFonts w:ascii="sans-serif" w:eastAsia="sans-serif" w:hAnsi="sans-serif" w:cs="sans-serif"/>
          <w:b/>
          <w:bCs/>
          <w:color w:val="000000"/>
          <w:sz w:val="20"/>
          <w:szCs w:val="20"/>
        </w:rPr>
        <w:t>NSOLIDATED FINANCIAL STATEMENTS (Continued)</w:t>
      </w:r>
    </w:p>
    <w:p w14:paraId="7C2084D2" w14:textId="77777777" w:rsidR="00834A75" w:rsidRDefault="00A6708C">
      <w:pPr>
        <w:jc w:val="center"/>
      </w:pPr>
      <w:r>
        <w:rPr>
          <w:rFonts w:ascii="sans-serif" w:eastAsia="sans-serif" w:hAnsi="sans-serif" w:cs="sans-serif"/>
          <w:b/>
          <w:bCs/>
          <w:color w:val="000000"/>
          <w:sz w:val="20"/>
          <w:szCs w:val="20"/>
        </w:rPr>
        <w:t>(Unaudited)</w:t>
      </w:r>
    </w:p>
    <w:p w14:paraId="7C2084D3" w14:textId="77777777" w:rsidR="00834A75" w:rsidRDefault="00834A75">
      <w:pPr>
        <w:spacing w:after="180"/>
        <w:jc w:val="both"/>
      </w:pPr>
    </w:p>
    <w:p w14:paraId="7C2084D4" w14:textId="77777777" w:rsidR="00834A75" w:rsidRDefault="00834A75">
      <w:pPr>
        <w:spacing w:after="180"/>
        <w:jc w:val="both"/>
      </w:pPr>
    </w:p>
    <w:tbl>
      <w:tblPr>
        <w:tblW w:w="5000" w:type="pct"/>
        <w:tblCellMar>
          <w:top w:w="15" w:type="dxa"/>
          <w:left w:w="15" w:type="dxa"/>
          <w:bottom w:w="15" w:type="dxa"/>
          <w:right w:w="15" w:type="dxa"/>
        </w:tblCellMar>
        <w:tblLook w:val="04A0" w:firstRow="1" w:lastRow="0" w:firstColumn="1" w:lastColumn="0" w:noHBand="0" w:noVBand="1"/>
      </w:tblPr>
      <w:tblGrid>
        <w:gridCol w:w="45"/>
        <w:gridCol w:w="4393"/>
        <w:gridCol w:w="39"/>
        <w:gridCol w:w="62"/>
        <w:gridCol w:w="913"/>
        <w:gridCol w:w="36"/>
        <w:gridCol w:w="36"/>
        <w:gridCol w:w="36"/>
        <w:gridCol w:w="36"/>
        <w:gridCol w:w="122"/>
        <w:gridCol w:w="1145"/>
        <w:gridCol w:w="36"/>
        <w:gridCol w:w="36"/>
        <w:gridCol w:w="36"/>
        <w:gridCol w:w="36"/>
        <w:gridCol w:w="123"/>
        <w:gridCol w:w="1170"/>
        <w:gridCol w:w="36"/>
      </w:tblGrid>
      <w:tr w:rsidR="00834A75" w14:paraId="7C2084E7" w14:textId="77777777">
        <w:tc>
          <w:tcPr>
            <w:tcW w:w="50" w:type="pct"/>
            <w:shd w:val="clear" w:color="auto" w:fill="auto"/>
            <w:vAlign w:val="bottom"/>
          </w:tcPr>
          <w:p w14:paraId="7C2084D5" w14:textId="77777777" w:rsidR="00834A75" w:rsidRDefault="00834A75">
            <w:pPr>
              <w:rPr>
                <w:rFonts w:ascii="宋体"/>
              </w:rPr>
            </w:pPr>
          </w:p>
        </w:tc>
        <w:tc>
          <w:tcPr>
            <w:tcW w:w="2656" w:type="pct"/>
            <w:shd w:val="clear" w:color="auto" w:fill="auto"/>
            <w:vAlign w:val="bottom"/>
          </w:tcPr>
          <w:p w14:paraId="7C2084D6" w14:textId="77777777" w:rsidR="00834A75" w:rsidRDefault="00834A75">
            <w:pPr>
              <w:rPr>
                <w:rFonts w:ascii="宋体"/>
              </w:rPr>
            </w:pPr>
          </w:p>
        </w:tc>
        <w:tc>
          <w:tcPr>
            <w:tcW w:w="5" w:type="pct"/>
            <w:shd w:val="clear" w:color="auto" w:fill="auto"/>
            <w:vAlign w:val="bottom"/>
          </w:tcPr>
          <w:p w14:paraId="7C2084D7" w14:textId="77777777" w:rsidR="00834A75" w:rsidRDefault="00834A75">
            <w:pPr>
              <w:rPr>
                <w:rFonts w:ascii="宋体"/>
              </w:rPr>
            </w:pPr>
          </w:p>
        </w:tc>
        <w:tc>
          <w:tcPr>
            <w:tcW w:w="50" w:type="pct"/>
            <w:shd w:val="clear" w:color="auto" w:fill="auto"/>
            <w:vAlign w:val="bottom"/>
          </w:tcPr>
          <w:p w14:paraId="7C2084D8" w14:textId="77777777" w:rsidR="00834A75" w:rsidRDefault="00834A75">
            <w:pPr>
              <w:rPr>
                <w:rFonts w:ascii="宋体"/>
              </w:rPr>
            </w:pPr>
          </w:p>
        </w:tc>
        <w:tc>
          <w:tcPr>
            <w:tcW w:w="580" w:type="pct"/>
            <w:shd w:val="clear" w:color="auto" w:fill="auto"/>
            <w:vAlign w:val="bottom"/>
          </w:tcPr>
          <w:p w14:paraId="7C2084D9" w14:textId="77777777" w:rsidR="00834A75" w:rsidRDefault="00834A75">
            <w:pPr>
              <w:rPr>
                <w:rFonts w:ascii="宋体"/>
              </w:rPr>
            </w:pPr>
          </w:p>
        </w:tc>
        <w:tc>
          <w:tcPr>
            <w:tcW w:w="5" w:type="pct"/>
            <w:shd w:val="clear" w:color="auto" w:fill="auto"/>
            <w:vAlign w:val="bottom"/>
          </w:tcPr>
          <w:p w14:paraId="7C2084DA" w14:textId="77777777" w:rsidR="00834A75" w:rsidRDefault="00834A75">
            <w:pPr>
              <w:rPr>
                <w:rFonts w:ascii="宋体"/>
              </w:rPr>
            </w:pPr>
          </w:p>
        </w:tc>
        <w:tc>
          <w:tcPr>
            <w:tcW w:w="5" w:type="pct"/>
            <w:shd w:val="clear" w:color="auto" w:fill="auto"/>
            <w:vAlign w:val="bottom"/>
          </w:tcPr>
          <w:p w14:paraId="7C2084DB" w14:textId="77777777" w:rsidR="00834A75" w:rsidRDefault="00834A75">
            <w:pPr>
              <w:rPr>
                <w:rFonts w:ascii="宋体"/>
              </w:rPr>
            </w:pPr>
          </w:p>
        </w:tc>
        <w:tc>
          <w:tcPr>
            <w:tcW w:w="26" w:type="pct"/>
            <w:shd w:val="clear" w:color="auto" w:fill="auto"/>
            <w:vAlign w:val="bottom"/>
          </w:tcPr>
          <w:p w14:paraId="7C2084DC" w14:textId="77777777" w:rsidR="00834A75" w:rsidRDefault="00834A75">
            <w:pPr>
              <w:rPr>
                <w:rFonts w:ascii="宋体"/>
              </w:rPr>
            </w:pPr>
          </w:p>
        </w:tc>
        <w:tc>
          <w:tcPr>
            <w:tcW w:w="5" w:type="pct"/>
            <w:shd w:val="clear" w:color="auto" w:fill="auto"/>
            <w:vAlign w:val="bottom"/>
          </w:tcPr>
          <w:p w14:paraId="7C2084DD" w14:textId="77777777" w:rsidR="00834A75" w:rsidRDefault="00834A75">
            <w:pPr>
              <w:rPr>
                <w:rFonts w:ascii="宋体"/>
              </w:rPr>
            </w:pPr>
          </w:p>
        </w:tc>
        <w:tc>
          <w:tcPr>
            <w:tcW w:w="50" w:type="pct"/>
            <w:shd w:val="clear" w:color="auto" w:fill="auto"/>
            <w:vAlign w:val="bottom"/>
          </w:tcPr>
          <w:p w14:paraId="7C2084DE" w14:textId="77777777" w:rsidR="00834A75" w:rsidRDefault="00834A75">
            <w:pPr>
              <w:rPr>
                <w:rFonts w:ascii="宋体"/>
              </w:rPr>
            </w:pPr>
          </w:p>
        </w:tc>
        <w:tc>
          <w:tcPr>
            <w:tcW w:w="727" w:type="pct"/>
            <w:shd w:val="clear" w:color="auto" w:fill="auto"/>
            <w:vAlign w:val="bottom"/>
          </w:tcPr>
          <w:p w14:paraId="7C2084DF" w14:textId="77777777" w:rsidR="00834A75" w:rsidRDefault="00834A75">
            <w:pPr>
              <w:rPr>
                <w:rFonts w:ascii="宋体"/>
              </w:rPr>
            </w:pPr>
          </w:p>
        </w:tc>
        <w:tc>
          <w:tcPr>
            <w:tcW w:w="5" w:type="pct"/>
            <w:shd w:val="clear" w:color="auto" w:fill="auto"/>
            <w:vAlign w:val="bottom"/>
          </w:tcPr>
          <w:p w14:paraId="7C2084E0" w14:textId="77777777" w:rsidR="00834A75" w:rsidRDefault="00834A75">
            <w:pPr>
              <w:rPr>
                <w:rFonts w:ascii="宋体"/>
              </w:rPr>
            </w:pPr>
          </w:p>
        </w:tc>
        <w:tc>
          <w:tcPr>
            <w:tcW w:w="5" w:type="pct"/>
            <w:shd w:val="clear" w:color="auto" w:fill="auto"/>
            <w:vAlign w:val="bottom"/>
          </w:tcPr>
          <w:p w14:paraId="7C2084E1" w14:textId="77777777" w:rsidR="00834A75" w:rsidRDefault="00834A75">
            <w:pPr>
              <w:rPr>
                <w:rFonts w:ascii="宋体"/>
              </w:rPr>
            </w:pPr>
          </w:p>
        </w:tc>
        <w:tc>
          <w:tcPr>
            <w:tcW w:w="41" w:type="pct"/>
            <w:shd w:val="clear" w:color="auto" w:fill="auto"/>
            <w:vAlign w:val="bottom"/>
          </w:tcPr>
          <w:p w14:paraId="7C2084E2" w14:textId="77777777" w:rsidR="00834A75" w:rsidRDefault="00834A75">
            <w:pPr>
              <w:rPr>
                <w:rFonts w:ascii="宋体"/>
              </w:rPr>
            </w:pPr>
          </w:p>
        </w:tc>
        <w:tc>
          <w:tcPr>
            <w:tcW w:w="5" w:type="pct"/>
            <w:shd w:val="clear" w:color="auto" w:fill="auto"/>
            <w:vAlign w:val="bottom"/>
          </w:tcPr>
          <w:p w14:paraId="7C2084E3" w14:textId="77777777" w:rsidR="00834A75" w:rsidRDefault="00834A75">
            <w:pPr>
              <w:rPr>
                <w:rFonts w:ascii="宋体"/>
              </w:rPr>
            </w:pPr>
          </w:p>
        </w:tc>
        <w:tc>
          <w:tcPr>
            <w:tcW w:w="50" w:type="pct"/>
            <w:shd w:val="clear" w:color="auto" w:fill="auto"/>
            <w:vAlign w:val="bottom"/>
          </w:tcPr>
          <w:p w14:paraId="7C2084E4" w14:textId="77777777" w:rsidR="00834A75" w:rsidRDefault="00834A75">
            <w:pPr>
              <w:rPr>
                <w:rFonts w:ascii="宋体"/>
              </w:rPr>
            </w:pPr>
          </w:p>
        </w:tc>
        <w:tc>
          <w:tcPr>
            <w:tcW w:w="727" w:type="pct"/>
            <w:shd w:val="clear" w:color="auto" w:fill="auto"/>
            <w:vAlign w:val="bottom"/>
          </w:tcPr>
          <w:p w14:paraId="7C2084E5" w14:textId="77777777" w:rsidR="00834A75" w:rsidRDefault="00834A75">
            <w:pPr>
              <w:rPr>
                <w:rFonts w:ascii="宋体"/>
              </w:rPr>
            </w:pPr>
          </w:p>
        </w:tc>
        <w:tc>
          <w:tcPr>
            <w:tcW w:w="5" w:type="pct"/>
            <w:shd w:val="clear" w:color="auto" w:fill="auto"/>
            <w:vAlign w:val="bottom"/>
          </w:tcPr>
          <w:p w14:paraId="7C2084E6" w14:textId="77777777" w:rsidR="00834A75" w:rsidRDefault="00834A75">
            <w:pPr>
              <w:rPr>
                <w:rFonts w:ascii="宋体"/>
              </w:rPr>
            </w:pPr>
          </w:p>
        </w:tc>
      </w:tr>
      <w:tr w:rsidR="00834A75" w14:paraId="7C2084EB" w14:textId="77777777">
        <w:tc>
          <w:tcPr>
            <w:tcW w:w="0" w:type="auto"/>
            <w:gridSpan w:val="6"/>
            <w:shd w:val="clear" w:color="auto" w:fill="auto"/>
            <w:tcMar>
              <w:top w:w="0" w:type="dxa"/>
              <w:left w:w="20" w:type="dxa"/>
              <w:bottom w:w="0" w:type="dxa"/>
              <w:right w:w="20" w:type="dxa"/>
            </w:tcMar>
            <w:vAlign w:val="bottom"/>
          </w:tcPr>
          <w:p w14:paraId="7C2084E8" w14:textId="77777777" w:rsidR="00834A75" w:rsidRDefault="00834A75">
            <w:pPr>
              <w:rPr>
                <w:rFonts w:ascii="宋体"/>
              </w:rPr>
            </w:pPr>
          </w:p>
        </w:tc>
        <w:tc>
          <w:tcPr>
            <w:tcW w:w="0" w:type="auto"/>
            <w:gridSpan w:val="3"/>
            <w:shd w:val="clear" w:color="auto" w:fill="auto"/>
            <w:tcMar>
              <w:top w:w="0" w:type="dxa"/>
              <w:left w:w="20" w:type="dxa"/>
              <w:bottom w:w="0" w:type="dxa"/>
              <w:right w:w="20" w:type="dxa"/>
            </w:tcMar>
            <w:vAlign w:val="bottom"/>
          </w:tcPr>
          <w:p w14:paraId="7C2084E9" w14:textId="77777777" w:rsidR="00834A75" w:rsidRDefault="00834A75">
            <w:pPr>
              <w:rPr>
                <w:rFonts w:ascii="宋体"/>
              </w:rPr>
            </w:pPr>
          </w:p>
        </w:tc>
        <w:tc>
          <w:tcPr>
            <w:tcW w:w="0" w:type="auto"/>
            <w:gridSpan w:val="9"/>
            <w:shd w:val="clear" w:color="auto" w:fill="auto"/>
            <w:tcMar>
              <w:top w:w="40" w:type="dxa"/>
              <w:left w:w="20" w:type="dxa"/>
              <w:bottom w:w="40" w:type="dxa"/>
              <w:right w:w="20" w:type="dxa"/>
            </w:tcMar>
            <w:vAlign w:val="bottom"/>
          </w:tcPr>
          <w:p w14:paraId="7C2084EA" w14:textId="77777777" w:rsidR="00834A75" w:rsidRDefault="00A6708C">
            <w:pPr>
              <w:jc w:val="center"/>
              <w:textAlignment w:val="bottom"/>
            </w:pPr>
            <w:r>
              <w:rPr>
                <w:rFonts w:ascii="sans-serif" w:eastAsia="sans-serif" w:hAnsi="sans-serif" w:cs="sans-serif"/>
                <w:b/>
                <w:bCs/>
                <w:color w:val="000000"/>
                <w:sz w:val="20"/>
                <w:szCs w:val="20"/>
              </w:rPr>
              <w:t>Fair Value at</w:t>
            </w:r>
          </w:p>
        </w:tc>
      </w:tr>
      <w:tr w:rsidR="00834A75" w14:paraId="7C2084F2" w14:textId="77777777">
        <w:tc>
          <w:tcPr>
            <w:tcW w:w="0" w:type="auto"/>
            <w:gridSpan w:val="3"/>
            <w:shd w:val="clear" w:color="auto" w:fill="auto"/>
            <w:tcMar>
              <w:top w:w="0" w:type="dxa"/>
              <w:left w:w="20" w:type="dxa"/>
              <w:bottom w:w="0" w:type="dxa"/>
              <w:right w:w="20" w:type="dxa"/>
            </w:tcMar>
            <w:vAlign w:val="bottom"/>
          </w:tcPr>
          <w:p w14:paraId="7C2084EC" w14:textId="77777777" w:rsidR="00834A75" w:rsidRDefault="00834A75">
            <w:pPr>
              <w:rPr>
                <w:rFonts w:ascii="宋体"/>
              </w:rPr>
            </w:pPr>
          </w:p>
        </w:tc>
        <w:tc>
          <w:tcPr>
            <w:tcW w:w="0" w:type="auto"/>
            <w:gridSpan w:val="3"/>
            <w:shd w:val="clear" w:color="auto" w:fill="auto"/>
            <w:tcMar>
              <w:top w:w="40" w:type="dxa"/>
              <w:left w:w="20" w:type="dxa"/>
              <w:bottom w:w="40" w:type="dxa"/>
              <w:right w:w="20" w:type="dxa"/>
            </w:tcMar>
            <w:vAlign w:val="bottom"/>
          </w:tcPr>
          <w:p w14:paraId="7C2084ED" w14:textId="77777777" w:rsidR="00834A75" w:rsidRDefault="00A6708C">
            <w:pPr>
              <w:jc w:val="center"/>
              <w:textAlignment w:val="bottom"/>
            </w:pPr>
            <w:r>
              <w:rPr>
                <w:rFonts w:ascii="sans-serif" w:eastAsia="sans-serif" w:hAnsi="sans-serif" w:cs="sans-serif"/>
                <w:b/>
                <w:bCs/>
                <w:color w:val="000000"/>
                <w:sz w:val="20"/>
                <w:szCs w:val="20"/>
              </w:rPr>
              <w:t>Pricing Category</w:t>
            </w:r>
          </w:p>
        </w:tc>
        <w:tc>
          <w:tcPr>
            <w:tcW w:w="0" w:type="auto"/>
            <w:gridSpan w:val="3"/>
            <w:shd w:val="clear" w:color="auto" w:fill="auto"/>
            <w:tcMar>
              <w:top w:w="0" w:type="dxa"/>
              <w:left w:w="20" w:type="dxa"/>
              <w:bottom w:w="0" w:type="dxa"/>
              <w:right w:w="20" w:type="dxa"/>
            </w:tcMar>
            <w:vAlign w:val="bottom"/>
          </w:tcPr>
          <w:p w14:paraId="7C2084EE" w14:textId="77777777" w:rsidR="00834A75" w:rsidRDefault="00834A75">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C2084EF" w14:textId="77777777" w:rsidR="00834A75" w:rsidRDefault="00A6708C">
            <w:pPr>
              <w:jc w:val="center"/>
              <w:textAlignment w:val="bottom"/>
            </w:pPr>
            <w:r>
              <w:rPr>
                <w:rFonts w:ascii="sans-serif" w:eastAsia="sans-serif" w:hAnsi="sans-serif" w:cs="sans-serif"/>
                <w:b/>
                <w:bCs/>
                <w:color w:val="000000"/>
                <w:sz w:val="20"/>
                <w:szCs w:val="20"/>
              </w:rPr>
              <w:t>May 1, 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C2084F0" w14:textId="77777777" w:rsidR="00834A75" w:rsidRDefault="00834A75">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C2084F1" w14:textId="77777777" w:rsidR="00834A75" w:rsidRDefault="00A6708C">
            <w:pPr>
              <w:jc w:val="center"/>
              <w:textAlignment w:val="bottom"/>
            </w:pPr>
            <w:r>
              <w:rPr>
                <w:rFonts w:ascii="sans-serif" w:eastAsia="sans-serif" w:hAnsi="sans-serif" w:cs="sans-serif"/>
                <w:b/>
                <w:bCs/>
                <w:color w:val="000000"/>
                <w:sz w:val="20"/>
                <w:szCs w:val="20"/>
              </w:rPr>
              <w:t>January 30, 2022</w:t>
            </w:r>
          </w:p>
        </w:tc>
      </w:tr>
      <w:tr w:rsidR="00834A75" w14:paraId="7C2084F9" w14:textId="77777777">
        <w:trPr>
          <w:trHeight w:val="60"/>
        </w:trPr>
        <w:tc>
          <w:tcPr>
            <w:tcW w:w="0" w:type="auto"/>
            <w:gridSpan w:val="3"/>
            <w:shd w:val="clear" w:color="auto" w:fill="auto"/>
            <w:tcMar>
              <w:top w:w="0" w:type="dxa"/>
              <w:left w:w="20" w:type="dxa"/>
              <w:bottom w:w="0" w:type="dxa"/>
              <w:right w:w="20" w:type="dxa"/>
            </w:tcMar>
            <w:vAlign w:val="bottom"/>
          </w:tcPr>
          <w:p w14:paraId="7C2084F3" w14:textId="77777777" w:rsidR="00834A75" w:rsidRDefault="00834A75">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C2084F4" w14:textId="77777777" w:rsidR="00834A75" w:rsidRDefault="00834A75">
            <w:pPr>
              <w:rPr>
                <w:rFonts w:ascii="宋体"/>
              </w:rPr>
            </w:pPr>
          </w:p>
        </w:tc>
        <w:tc>
          <w:tcPr>
            <w:tcW w:w="0" w:type="auto"/>
            <w:gridSpan w:val="3"/>
            <w:shd w:val="clear" w:color="auto" w:fill="auto"/>
            <w:tcMar>
              <w:top w:w="0" w:type="dxa"/>
              <w:left w:w="20" w:type="dxa"/>
              <w:bottom w:w="0" w:type="dxa"/>
              <w:right w:w="20" w:type="dxa"/>
            </w:tcMar>
            <w:vAlign w:val="bottom"/>
          </w:tcPr>
          <w:p w14:paraId="7C2084F5" w14:textId="77777777" w:rsidR="00834A75" w:rsidRDefault="00834A75">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C2084F6" w14:textId="77777777" w:rsidR="00834A75" w:rsidRDefault="00834A75">
            <w:pPr>
              <w:rPr>
                <w:rFonts w:ascii="宋体"/>
              </w:rPr>
            </w:pPr>
          </w:p>
        </w:tc>
        <w:tc>
          <w:tcPr>
            <w:tcW w:w="0" w:type="auto"/>
            <w:gridSpan w:val="3"/>
            <w:shd w:val="clear" w:color="auto" w:fill="auto"/>
            <w:tcMar>
              <w:top w:w="0" w:type="dxa"/>
              <w:left w:w="20" w:type="dxa"/>
              <w:bottom w:w="0" w:type="dxa"/>
              <w:right w:w="20" w:type="dxa"/>
            </w:tcMar>
            <w:vAlign w:val="bottom"/>
          </w:tcPr>
          <w:p w14:paraId="7C2084F7" w14:textId="77777777" w:rsidR="00834A75" w:rsidRDefault="00834A75">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C2084F8" w14:textId="77777777" w:rsidR="00834A75" w:rsidRDefault="00834A75">
            <w:pPr>
              <w:rPr>
                <w:rFonts w:ascii="宋体"/>
              </w:rPr>
            </w:pPr>
          </w:p>
        </w:tc>
      </w:tr>
      <w:tr w:rsidR="00834A75" w14:paraId="7C2084FE" w14:textId="77777777">
        <w:tc>
          <w:tcPr>
            <w:tcW w:w="0" w:type="auto"/>
            <w:gridSpan w:val="3"/>
            <w:shd w:val="clear" w:color="auto" w:fill="auto"/>
            <w:tcMar>
              <w:top w:w="0" w:type="dxa"/>
              <w:left w:w="20" w:type="dxa"/>
              <w:bottom w:w="0" w:type="dxa"/>
              <w:right w:w="20" w:type="dxa"/>
            </w:tcMar>
            <w:vAlign w:val="bottom"/>
          </w:tcPr>
          <w:p w14:paraId="7C2084FA" w14:textId="77777777" w:rsidR="00834A75" w:rsidRDefault="00834A75">
            <w:pPr>
              <w:rPr>
                <w:rFonts w:ascii="宋体"/>
              </w:rPr>
            </w:pPr>
          </w:p>
        </w:tc>
        <w:tc>
          <w:tcPr>
            <w:tcW w:w="0" w:type="auto"/>
            <w:gridSpan w:val="3"/>
            <w:shd w:val="clear" w:color="auto" w:fill="auto"/>
            <w:tcMar>
              <w:top w:w="0" w:type="dxa"/>
              <w:left w:w="20" w:type="dxa"/>
              <w:bottom w:w="0" w:type="dxa"/>
              <w:right w:w="20" w:type="dxa"/>
            </w:tcMar>
            <w:vAlign w:val="bottom"/>
          </w:tcPr>
          <w:p w14:paraId="7C2084FB" w14:textId="77777777" w:rsidR="00834A75" w:rsidRDefault="00834A75">
            <w:pPr>
              <w:rPr>
                <w:rFonts w:ascii="宋体"/>
              </w:rPr>
            </w:pPr>
          </w:p>
        </w:tc>
        <w:tc>
          <w:tcPr>
            <w:tcW w:w="0" w:type="auto"/>
            <w:gridSpan w:val="3"/>
            <w:shd w:val="clear" w:color="auto" w:fill="auto"/>
            <w:tcMar>
              <w:top w:w="0" w:type="dxa"/>
              <w:left w:w="20" w:type="dxa"/>
              <w:bottom w:w="0" w:type="dxa"/>
              <w:right w:w="20" w:type="dxa"/>
            </w:tcMar>
            <w:vAlign w:val="bottom"/>
          </w:tcPr>
          <w:p w14:paraId="7C2084FC" w14:textId="77777777" w:rsidR="00834A75" w:rsidRDefault="00834A75">
            <w:pPr>
              <w:rPr>
                <w:rFonts w:ascii="宋体"/>
              </w:rPr>
            </w:pPr>
          </w:p>
        </w:tc>
        <w:tc>
          <w:tcPr>
            <w:tcW w:w="0" w:type="auto"/>
            <w:gridSpan w:val="9"/>
            <w:shd w:val="clear" w:color="auto" w:fill="auto"/>
            <w:tcMar>
              <w:top w:w="40" w:type="dxa"/>
              <w:left w:w="20" w:type="dxa"/>
              <w:bottom w:w="40" w:type="dxa"/>
              <w:right w:w="20" w:type="dxa"/>
            </w:tcMar>
            <w:vAlign w:val="bottom"/>
          </w:tcPr>
          <w:p w14:paraId="7C2084FD" w14:textId="77777777" w:rsidR="00834A75" w:rsidRDefault="00A6708C">
            <w:pPr>
              <w:jc w:val="center"/>
              <w:textAlignment w:val="bottom"/>
            </w:pPr>
            <w:r>
              <w:rPr>
                <w:rFonts w:ascii="sans-serif" w:eastAsia="sans-serif" w:hAnsi="sans-serif" w:cs="sans-serif"/>
                <w:i/>
                <w:iCs/>
                <w:color w:val="000000"/>
                <w:sz w:val="20"/>
                <w:szCs w:val="20"/>
              </w:rPr>
              <w:t>(In millions)</w:t>
            </w:r>
          </w:p>
        </w:tc>
      </w:tr>
      <w:tr w:rsidR="00834A75" w14:paraId="7C208505" w14:textId="77777777">
        <w:tc>
          <w:tcPr>
            <w:tcW w:w="0" w:type="auto"/>
            <w:gridSpan w:val="3"/>
            <w:shd w:val="clear" w:color="auto" w:fill="FFFFFF"/>
            <w:tcMar>
              <w:top w:w="40" w:type="dxa"/>
              <w:left w:w="20" w:type="dxa"/>
              <w:bottom w:w="40" w:type="dxa"/>
              <w:right w:w="20" w:type="dxa"/>
            </w:tcMar>
            <w:vAlign w:val="bottom"/>
          </w:tcPr>
          <w:p w14:paraId="7C2084FF" w14:textId="77777777" w:rsidR="00834A75" w:rsidRDefault="00A6708C">
            <w:pPr>
              <w:textAlignment w:val="bottom"/>
            </w:pPr>
            <w:r>
              <w:rPr>
                <w:rFonts w:ascii="sans-serif" w:eastAsia="sans-serif" w:hAnsi="sans-serif" w:cs="sans-serif"/>
                <w:b/>
                <w:bCs/>
                <w:color w:val="000000"/>
                <w:sz w:val="20"/>
                <w:szCs w:val="20"/>
              </w:rPr>
              <w:t>Assets</w:t>
            </w:r>
          </w:p>
        </w:tc>
        <w:tc>
          <w:tcPr>
            <w:tcW w:w="0" w:type="auto"/>
            <w:gridSpan w:val="3"/>
            <w:shd w:val="clear" w:color="auto" w:fill="FFFFFF"/>
            <w:tcMar>
              <w:top w:w="0" w:type="dxa"/>
              <w:left w:w="20" w:type="dxa"/>
              <w:bottom w:w="0" w:type="dxa"/>
              <w:right w:w="20" w:type="dxa"/>
            </w:tcMar>
            <w:vAlign w:val="bottom"/>
          </w:tcPr>
          <w:p w14:paraId="7C208500" w14:textId="77777777" w:rsidR="00834A75" w:rsidRDefault="00834A75">
            <w:pPr>
              <w:rPr>
                <w:rFonts w:ascii="宋体"/>
              </w:rPr>
            </w:pPr>
          </w:p>
        </w:tc>
        <w:tc>
          <w:tcPr>
            <w:tcW w:w="0" w:type="auto"/>
            <w:gridSpan w:val="3"/>
            <w:shd w:val="clear" w:color="auto" w:fill="FFFFFF"/>
            <w:tcMar>
              <w:top w:w="0" w:type="dxa"/>
              <w:left w:w="20" w:type="dxa"/>
              <w:bottom w:w="0" w:type="dxa"/>
              <w:right w:w="20" w:type="dxa"/>
            </w:tcMar>
            <w:vAlign w:val="bottom"/>
          </w:tcPr>
          <w:p w14:paraId="7C208501" w14:textId="77777777" w:rsidR="00834A75" w:rsidRDefault="00834A75">
            <w:pPr>
              <w:rPr>
                <w:rFonts w:ascii="宋体"/>
              </w:rPr>
            </w:pPr>
          </w:p>
        </w:tc>
        <w:tc>
          <w:tcPr>
            <w:tcW w:w="0" w:type="auto"/>
            <w:gridSpan w:val="3"/>
            <w:shd w:val="clear" w:color="auto" w:fill="FFFFFF"/>
            <w:tcMar>
              <w:top w:w="0" w:type="dxa"/>
              <w:left w:w="20" w:type="dxa"/>
              <w:bottom w:w="0" w:type="dxa"/>
              <w:right w:w="20" w:type="dxa"/>
            </w:tcMar>
            <w:vAlign w:val="bottom"/>
          </w:tcPr>
          <w:p w14:paraId="7C208502" w14:textId="77777777" w:rsidR="00834A75" w:rsidRDefault="00834A75">
            <w:pPr>
              <w:rPr>
                <w:rFonts w:ascii="宋体"/>
              </w:rPr>
            </w:pPr>
          </w:p>
        </w:tc>
        <w:tc>
          <w:tcPr>
            <w:tcW w:w="0" w:type="auto"/>
            <w:gridSpan w:val="3"/>
            <w:shd w:val="clear" w:color="auto" w:fill="FFFFFF"/>
            <w:tcMar>
              <w:top w:w="0" w:type="dxa"/>
              <w:left w:w="20" w:type="dxa"/>
              <w:bottom w:w="0" w:type="dxa"/>
              <w:right w:w="20" w:type="dxa"/>
            </w:tcMar>
            <w:vAlign w:val="bottom"/>
          </w:tcPr>
          <w:p w14:paraId="7C208503" w14:textId="77777777" w:rsidR="00834A75" w:rsidRDefault="00834A75">
            <w:pPr>
              <w:rPr>
                <w:rFonts w:ascii="宋体"/>
              </w:rPr>
            </w:pPr>
          </w:p>
        </w:tc>
        <w:tc>
          <w:tcPr>
            <w:tcW w:w="0" w:type="auto"/>
            <w:gridSpan w:val="3"/>
            <w:shd w:val="clear" w:color="auto" w:fill="FFFFFF"/>
            <w:tcMar>
              <w:top w:w="0" w:type="dxa"/>
              <w:left w:w="20" w:type="dxa"/>
              <w:bottom w:w="0" w:type="dxa"/>
              <w:right w:w="20" w:type="dxa"/>
            </w:tcMar>
            <w:vAlign w:val="bottom"/>
          </w:tcPr>
          <w:p w14:paraId="7C208504" w14:textId="77777777" w:rsidR="00834A75" w:rsidRDefault="00834A75">
            <w:pPr>
              <w:rPr>
                <w:rFonts w:ascii="宋体"/>
              </w:rPr>
            </w:pPr>
          </w:p>
        </w:tc>
      </w:tr>
      <w:tr w:rsidR="00834A75" w14:paraId="7C20850C" w14:textId="77777777">
        <w:tc>
          <w:tcPr>
            <w:tcW w:w="0" w:type="auto"/>
            <w:gridSpan w:val="3"/>
            <w:shd w:val="clear" w:color="auto" w:fill="E2EFD9"/>
            <w:tcMar>
              <w:top w:w="40" w:type="dxa"/>
              <w:left w:w="20" w:type="dxa"/>
              <w:bottom w:w="40" w:type="dxa"/>
              <w:right w:w="20" w:type="dxa"/>
            </w:tcMar>
            <w:vAlign w:val="bottom"/>
          </w:tcPr>
          <w:p w14:paraId="7C208506" w14:textId="77777777" w:rsidR="00834A75" w:rsidRDefault="00A6708C">
            <w:pPr>
              <w:textAlignment w:val="bottom"/>
            </w:pPr>
            <w:r>
              <w:rPr>
                <w:rFonts w:ascii="sans-serif" w:eastAsia="sans-serif" w:hAnsi="sans-serif" w:cs="sans-serif"/>
                <w:color w:val="000000"/>
                <w:sz w:val="20"/>
                <w:szCs w:val="20"/>
              </w:rPr>
              <w:t>Cash equivalents and marketable securities:</w:t>
            </w:r>
          </w:p>
        </w:tc>
        <w:tc>
          <w:tcPr>
            <w:tcW w:w="0" w:type="auto"/>
            <w:gridSpan w:val="3"/>
            <w:shd w:val="clear" w:color="auto" w:fill="E2EFD9"/>
            <w:tcMar>
              <w:top w:w="0" w:type="dxa"/>
              <w:left w:w="20" w:type="dxa"/>
              <w:bottom w:w="0" w:type="dxa"/>
              <w:right w:w="20" w:type="dxa"/>
            </w:tcMar>
            <w:vAlign w:val="bottom"/>
          </w:tcPr>
          <w:p w14:paraId="7C208507" w14:textId="77777777" w:rsidR="00834A75" w:rsidRDefault="00834A75">
            <w:pPr>
              <w:rPr>
                <w:rFonts w:ascii="宋体"/>
              </w:rPr>
            </w:pPr>
          </w:p>
        </w:tc>
        <w:tc>
          <w:tcPr>
            <w:tcW w:w="0" w:type="auto"/>
            <w:gridSpan w:val="3"/>
            <w:shd w:val="clear" w:color="auto" w:fill="E2EFD9"/>
            <w:tcMar>
              <w:top w:w="0" w:type="dxa"/>
              <w:left w:w="20" w:type="dxa"/>
              <w:bottom w:w="0" w:type="dxa"/>
              <w:right w:w="20" w:type="dxa"/>
            </w:tcMar>
            <w:vAlign w:val="bottom"/>
          </w:tcPr>
          <w:p w14:paraId="7C208508" w14:textId="77777777" w:rsidR="00834A75" w:rsidRDefault="00834A75">
            <w:pPr>
              <w:rPr>
                <w:rFonts w:ascii="宋体"/>
              </w:rPr>
            </w:pPr>
          </w:p>
        </w:tc>
        <w:tc>
          <w:tcPr>
            <w:tcW w:w="0" w:type="auto"/>
            <w:gridSpan w:val="3"/>
            <w:shd w:val="clear" w:color="auto" w:fill="E2EFD9"/>
            <w:tcMar>
              <w:top w:w="0" w:type="dxa"/>
              <w:left w:w="20" w:type="dxa"/>
              <w:bottom w:w="0" w:type="dxa"/>
              <w:right w:w="20" w:type="dxa"/>
            </w:tcMar>
            <w:vAlign w:val="bottom"/>
          </w:tcPr>
          <w:p w14:paraId="7C208509" w14:textId="77777777" w:rsidR="00834A75" w:rsidRDefault="00834A75">
            <w:pPr>
              <w:rPr>
                <w:rFonts w:ascii="宋体"/>
              </w:rPr>
            </w:pPr>
          </w:p>
        </w:tc>
        <w:tc>
          <w:tcPr>
            <w:tcW w:w="0" w:type="auto"/>
            <w:gridSpan w:val="3"/>
            <w:shd w:val="clear" w:color="auto" w:fill="E2EFD9"/>
            <w:tcMar>
              <w:top w:w="0" w:type="dxa"/>
              <w:left w:w="20" w:type="dxa"/>
              <w:bottom w:w="0" w:type="dxa"/>
              <w:right w:w="20" w:type="dxa"/>
            </w:tcMar>
            <w:vAlign w:val="bottom"/>
          </w:tcPr>
          <w:p w14:paraId="7C20850A" w14:textId="77777777" w:rsidR="00834A75" w:rsidRDefault="00834A75">
            <w:pPr>
              <w:rPr>
                <w:rFonts w:ascii="宋体"/>
              </w:rPr>
            </w:pPr>
          </w:p>
        </w:tc>
        <w:tc>
          <w:tcPr>
            <w:tcW w:w="0" w:type="auto"/>
            <w:gridSpan w:val="3"/>
            <w:shd w:val="clear" w:color="auto" w:fill="E2EFD9"/>
            <w:tcMar>
              <w:top w:w="0" w:type="dxa"/>
              <w:left w:w="20" w:type="dxa"/>
              <w:bottom w:w="0" w:type="dxa"/>
              <w:right w:w="20" w:type="dxa"/>
            </w:tcMar>
            <w:vAlign w:val="bottom"/>
          </w:tcPr>
          <w:p w14:paraId="7C20850B" w14:textId="77777777" w:rsidR="00834A75" w:rsidRDefault="00834A75">
            <w:pPr>
              <w:rPr>
                <w:rFonts w:ascii="宋体"/>
              </w:rPr>
            </w:pPr>
          </w:p>
        </w:tc>
      </w:tr>
      <w:tr w:rsidR="00834A75" w14:paraId="7C208517" w14:textId="77777777">
        <w:tc>
          <w:tcPr>
            <w:tcW w:w="0" w:type="auto"/>
            <w:gridSpan w:val="3"/>
            <w:shd w:val="clear" w:color="auto" w:fill="FFFFFF"/>
            <w:tcMar>
              <w:top w:w="40" w:type="dxa"/>
              <w:left w:w="200" w:type="dxa"/>
              <w:bottom w:w="40" w:type="dxa"/>
              <w:right w:w="20" w:type="dxa"/>
            </w:tcMar>
            <w:vAlign w:val="bottom"/>
          </w:tcPr>
          <w:p w14:paraId="7C20850D" w14:textId="77777777" w:rsidR="00834A75" w:rsidRDefault="00A6708C">
            <w:pPr>
              <w:textAlignment w:val="bottom"/>
            </w:pPr>
            <w:r>
              <w:rPr>
                <w:rFonts w:ascii="sans-serif" w:eastAsia="sans-serif" w:hAnsi="sans-serif" w:cs="sans-serif"/>
                <w:color w:val="000000"/>
                <w:sz w:val="20"/>
                <w:szCs w:val="20"/>
              </w:rPr>
              <w:t>Money market funds</w:t>
            </w:r>
          </w:p>
        </w:tc>
        <w:tc>
          <w:tcPr>
            <w:tcW w:w="0" w:type="auto"/>
            <w:gridSpan w:val="3"/>
            <w:shd w:val="clear" w:color="auto" w:fill="FFFFFF"/>
            <w:tcMar>
              <w:top w:w="40" w:type="dxa"/>
              <w:left w:w="20" w:type="dxa"/>
              <w:bottom w:w="40" w:type="dxa"/>
              <w:right w:w="20" w:type="dxa"/>
            </w:tcMar>
            <w:vAlign w:val="bottom"/>
          </w:tcPr>
          <w:p w14:paraId="7C20850E" w14:textId="77777777" w:rsidR="00834A75" w:rsidRDefault="00A6708C">
            <w:pPr>
              <w:jc w:val="center"/>
              <w:textAlignment w:val="bottom"/>
            </w:pPr>
            <w:r>
              <w:rPr>
                <w:rFonts w:ascii="sans-serif" w:eastAsia="sans-serif" w:hAnsi="sans-serif" w:cs="sans-serif"/>
                <w:color w:val="000000"/>
                <w:sz w:val="20"/>
                <w:szCs w:val="20"/>
              </w:rPr>
              <w:t>Level 1</w:t>
            </w:r>
          </w:p>
        </w:tc>
        <w:tc>
          <w:tcPr>
            <w:tcW w:w="0" w:type="auto"/>
            <w:gridSpan w:val="3"/>
            <w:shd w:val="clear" w:color="auto" w:fill="FFFFFF"/>
            <w:tcMar>
              <w:top w:w="0" w:type="dxa"/>
              <w:left w:w="20" w:type="dxa"/>
              <w:bottom w:w="0" w:type="dxa"/>
              <w:right w:w="20" w:type="dxa"/>
            </w:tcMar>
            <w:vAlign w:val="bottom"/>
          </w:tcPr>
          <w:p w14:paraId="7C20850F" w14:textId="77777777" w:rsidR="00834A75" w:rsidRDefault="00834A75">
            <w:pPr>
              <w:rPr>
                <w:rFonts w:ascii="宋体"/>
              </w:rPr>
            </w:pPr>
          </w:p>
        </w:tc>
        <w:tc>
          <w:tcPr>
            <w:tcW w:w="0" w:type="auto"/>
            <w:shd w:val="clear" w:color="auto" w:fill="FFFFFF"/>
            <w:tcMar>
              <w:top w:w="40" w:type="dxa"/>
              <w:left w:w="20" w:type="dxa"/>
              <w:bottom w:w="40" w:type="dxa"/>
              <w:right w:w="0" w:type="dxa"/>
            </w:tcMar>
            <w:vAlign w:val="bottom"/>
          </w:tcPr>
          <w:p w14:paraId="7C208510" w14:textId="77777777" w:rsidR="00834A75" w:rsidRDefault="00A6708C">
            <w:pPr>
              <w:textAlignment w:val="bottom"/>
            </w:pPr>
            <w:r>
              <w:rPr>
                <w:rFonts w:ascii="sans-serif" w:eastAsia="sans-serif" w:hAnsi="sans-serif" w:cs="sans-serif"/>
                <w:color w:val="000000"/>
                <w:sz w:val="20"/>
                <w:szCs w:val="20"/>
              </w:rPr>
              <w:t>$</w:t>
            </w:r>
          </w:p>
        </w:tc>
        <w:tc>
          <w:tcPr>
            <w:tcW w:w="0" w:type="auto"/>
            <w:shd w:val="clear" w:color="auto" w:fill="FFFFFF"/>
            <w:tcMar>
              <w:top w:w="40" w:type="dxa"/>
              <w:left w:w="0" w:type="dxa"/>
              <w:bottom w:w="40" w:type="dxa"/>
              <w:right w:w="0" w:type="dxa"/>
            </w:tcMar>
            <w:vAlign w:val="bottom"/>
          </w:tcPr>
          <w:p w14:paraId="7C208511" w14:textId="77777777" w:rsidR="00834A75" w:rsidRDefault="00A6708C">
            <w:pPr>
              <w:jc w:val="right"/>
              <w:textAlignment w:val="bottom"/>
            </w:pPr>
            <w:r>
              <w:rPr>
                <w:rFonts w:ascii="sans-serif" w:eastAsia="sans-serif" w:hAnsi="sans-serif" w:cs="sans-serif"/>
                <w:color w:val="000000"/>
                <w:sz w:val="20"/>
                <w:szCs w:val="20"/>
              </w:rPr>
              <w:t>419 </w:t>
            </w:r>
          </w:p>
        </w:tc>
        <w:tc>
          <w:tcPr>
            <w:tcW w:w="0" w:type="auto"/>
            <w:shd w:val="clear" w:color="auto" w:fill="FFFFFF"/>
            <w:tcMar>
              <w:top w:w="40" w:type="dxa"/>
              <w:left w:w="0" w:type="dxa"/>
              <w:bottom w:w="40" w:type="dxa"/>
              <w:right w:w="20" w:type="dxa"/>
            </w:tcMar>
            <w:vAlign w:val="bottom"/>
          </w:tcPr>
          <w:p w14:paraId="7C208512" w14:textId="77777777" w:rsidR="00834A75" w:rsidRDefault="00834A75">
            <w:pPr>
              <w:jc w:val="right"/>
              <w:rPr>
                <w:rFonts w:ascii="宋体"/>
              </w:rPr>
            </w:pPr>
          </w:p>
        </w:tc>
        <w:tc>
          <w:tcPr>
            <w:tcW w:w="0" w:type="auto"/>
            <w:gridSpan w:val="3"/>
            <w:shd w:val="clear" w:color="auto" w:fill="FFFFFF"/>
            <w:tcMar>
              <w:top w:w="0" w:type="dxa"/>
              <w:left w:w="20" w:type="dxa"/>
              <w:bottom w:w="0" w:type="dxa"/>
              <w:right w:w="20" w:type="dxa"/>
            </w:tcMar>
            <w:vAlign w:val="bottom"/>
          </w:tcPr>
          <w:p w14:paraId="7C208513" w14:textId="77777777" w:rsidR="00834A75" w:rsidRDefault="00834A75">
            <w:pPr>
              <w:rPr>
                <w:rFonts w:ascii="宋体"/>
              </w:rPr>
            </w:pPr>
          </w:p>
        </w:tc>
        <w:tc>
          <w:tcPr>
            <w:tcW w:w="0" w:type="auto"/>
            <w:shd w:val="clear" w:color="auto" w:fill="FFFFFF"/>
            <w:tcMar>
              <w:top w:w="40" w:type="dxa"/>
              <w:left w:w="20" w:type="dxa"/>
              <w:bottom w:w="40" w:type="dxa"/>
              <w:right w:w="0" w:type="dxa"/>
            </w:tcMar>
            <w:vAlign w:val="bottom"/>
          </w:tcPr>
          <w:p w14:paraId="7C208514" w14:textId="77777777" w:rsidR="00834A75" w:rsidRDefault="00A6708C">
            <w:pPr>
              <w:textAlignment w:val="bottom"/>
            </w:pPr>
            <w:r>
              <w:rPr>
                <w:rFonts w:ascii="sans-serif" w:eastAsia="sans-serif" w:hAnsi="sans-serif" w:cs="sans-serif"/>
                <w:color w:val="000000"/>
                <w:sz w:val="20"/>
                <w:szCs w:val="20"/>
              </w:rPr>
              <w:t>$</w:t>
            </w:r>
          </w:p>
        </w:tc>
        <w:tc>
          <w:tcPr>
            <w:tcW w:w="0" w:type="auto"/>
            <w:shd w:val="clear" w:color="auto" w:fill="FFFFFF"/>
            <w:tcMar>
              <w:top w:w="40" w:type="dxa"/>
              <w:left w:w="0" w:type="dxa"/>
              <w:bottom w:w="40" w:type="dxa"/>
              <w:right w:w="0" w:type="dxa"/>
            </w:tcMar>
            <w:vAlign w:val="bottom"/>
          </w:tcPr>
          <w:p w14:paraId="7C208515" w14:textId="77777777" w:rsidR="00834A75" w:rsidRDefault="00A6708C">
            <w:pPr>
              <w:jc w:val="right"/>
              <w:textAlignment w:val="bottom"/>
            </w:pPr>
            <w:r>
              <w:rPr>
                <w:rFonts w:ascii="sans-serif" w:eastAsia="sans-serif" w:hAnsi="sans-serif" w:cs="sans-serif"/>
                <w:color w:val="000000"/>
                <w:sz w:val="20"/>
                <w:szCs w:val="20"/>
              </w:rPr>
              <w:t>316 </w:t>
            </w:r>
          </w:p>
        </w:tc>
        <w:tc>
          <w:tcPr>
            <w:tcW w:w="0" w:type="auto"/>
            <w:shd w:val="clear" w:color="auto" w:fill="FFFFFF"/>
            <w:tcMar>
              <w:top w:w="40" w:type="dxa"/>
              <w:left w:w="0" w:type="dxa"/>
              <w:bottom w:w="40" w:type="dxa"/>
              <w:right w:w="20" w:type="dxa"/>
            </w:tcMar>
            <w:vAlign w:val="bottom"/>
          </w:tcPr>
          <w:p w14:paraId="7C208516" w14:textId="77777777" w:rsidR="00834A75" w:rsidRDefault="00834A75">
            <w:pPr>
              <w:jc w:val="right"/>
              <w:rPr>
                <w:rFonts w:ascii="宋体"/>
              </w:rPr>
            </w:pPr>
          </w:p>
        </w:tc>
      </w:tr>
      <w:tr w:rsidR="00834A75" w14:paraId="7C208522" w14:textId="77777777">
        <w:tc>
          <w:tcPr>
            <w:tcW w:w="0" w:type="auto"/>
            <w:gridSpan w:val="3"/>
            <w:shd w:val="clear" w:color="auto" w:fill="E2EFD9"/>
            <w:tcMar>
              <w:top w:w="40" w:type="dxa"/>
              <w:left w:w="200" w:type="dxa"/>
              <w:bottom w:w="40" w:type="dxa"/>
              <w:right w:w="20" w:type="dxa"/>
            </w:tcMar>
            <w:vAlign w:val="bottom"/>
          </w:tcPr>
          <w:p w14:paraId="7C208518" w14:textId="77777777" w:rsidR="00834A75" w:rsidRDefault="00A6708C">
            <w:pPr>
              <w:textAlignment w:val="bottom"/>
            </w:pPr>
            <w:r>
              <w:rPr>
                <w:rFonts w:ascii="sans-serif" w:eastAsia="sans-serif" w:hAnsi="sans-serif" w:cs="sans-serif"/>
                <w:color w:val="000000"/>
                <w:sz w:val="20"/>
                <w:szCs w:val="20"/>
              </w:rPr>
              <w:t>Corporate debt securities</w:t>
            </w:r>
          </w:p>
        </w:tc>
        <w:tc>
          <w:tcPr>
            <w:tcW w:w="0" w:type="auto"/>
            <w:gridSpan w:val="3"/>
            <w:shd w:val="clear" w:color="auto" w:fill="E2EFD9"/>
            <w:tcMar>
              <w:top w:w="40" w:type="dxa"/>
              <w:left w:w="20" w:type="dxa"/>
              <w:bottom w:w="40" w:type="dxa"/>
              <w:right w:w="20" w:type="dxa"/>
            </w:tcMar>
            <w:vAlign w:val="bottom"/>
          </w:tcPr>
          <w:p w14:paraId="7C208519" w14:textId="77777777" w:rsidR="00834A75" w:rsidRDefault="00A6708C">
            <w:pPr>
              <w:jc w:val="center"/>
              <w:textAlignment w:val="bottom"/>
            </w:pPr>
            <w:r>
              <w:rPr>
                <w:rFonts w:ascii="sans-serif" w:eastAsia="sans-serif" w:hAnsi="sans-serif" w:cs="sans-serif"/>
                <w:color w:val="000000"/>
                <w:sz w:val="20"/>
                <w:szCs w:val="20"/>
              </w:rPr>
              <w:t>Level 2</w:t>
            </w:r>
          </w:p>
        </w:tc>
        <w:tc>
          <w:tcPr>
            <w:tcW w:w="0" w:type="auto"/>
            <w:gridSpan w:val="3"/>
            <w:shd w:val="clear" w:color="auto" w:fill="E2EFD9"/>
            <w:tcMar>
              <w:top w:w="0" w:type="dxa"/>
              <w:left w:w="20" w:type="dxa"/>
              <w:bottom w:w="0" w:type="dxa"/>
              <w:right w:w="20" w:type="dxa"/>
            </w:tcMar>
            <w:vAlign w:val="bottom"/>
          </w:tcPr>
          <w:p w14:paraId="7C20851A" w14:textId="77777777" w:rsidR="00834A75" w:rsidRDefault="00834A75">
            <w:pPr>
              <w:rPr>
                <w:rFonts w:ascii="宋体"/>
              </w:rPr>
            </w:pPr>
          </w:p>
        </w:tc>
        <w:tc>
          <w:tcPr>
            <w:tcW w:w="0" w:type="auto"/>
            <w:shd w:val="clear" w:color="auto" w:fill="E2EFD9"/>
            <w:tcMar>
              <w:top w:w="40" w:type="dxa"/>
              <w:left w:w="20" w:type="dxa"/>
              <w:bottom w:w="40" w:type="dxa"/>
              <w:right w:w="0" w:type="dxa"/>
            </w:tcMar>
            <w:vAlign w:val="bottom"/>
          </w:tcPr>
          <w:p w14:paraId="7C20851B" w14:textId="77777777" w:rsidR="00834A75" w:rsidRDefault="00A6708C">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7C20851C" w14:textId="77777777" w:rsidR="00834A75" w:rsidRDefault="00A6708C">
            <w:pPr>
              <w:jc w:val="right"/>
              <w:textAlignment w:val="bottom"/>
            </w:pPr>
            <w:r>
              <w:rPr>
                <w:rFonts w:ascii="sans-serif" w:eastAsia="sans-serif" w:hAnsi="sans-serif" w:cs="sans-serif"/>
                <w:color w:val="000000"/>
                <w:sz w:val="20"/>
                <w:szCs w:val="20"/>
              </w:rPr>
              <w:t>9,818 </w:t>
            </w:r>
          </w:p>
        </w:tc>
        <w:tc>
          <w:tcPr>
            <w:tcW w:w="0" w:type="auto"/>
            <w:shd w:val="clear" w:color="auto" w:fill="E2EFD9"/>
            <w:tcMar>
              <w:top w:w="40" w:type="dxa"/>
              <w:left w:w="0" w:type="dxa"/>
              <w:bottom w:w="40" w:type="dxa"/>
              <w:right w:w="20" w:type="dxa"/>
            </w:tcMar>
            <w:vAlign w:val="bottom"/>
          </w:tcPr>
          <w:p w14:paraId="7C20851D" w14:textId="77777777" w:rsidR="00834A75" w:rsidRDefault="00834A75">
            <w:pPr>
              <w:jc w:val="right"/>
              <w:rPr>
                <w:rFonts w:ascii="宋体"/>
              </w:rPr>
            </w:pPr>
          </w:p>
        </w:tc>
        <w:tc>
          <w:tcPr>
            <w:tcW w:w="0" w:type="auto"/>
            <w:gridSpan w:val="3"/>
            <w:shd w:val="clear" w:color="auto" w:fill="E2EFD9"/>
            <w:tcMar>
              <w:top w:w="0" w:type="dxa"/>
              <w:left w:w="20" w:type="dxa"/>
              <w:bottom w:w="0" w:type="dxa"/>
              <w:right w:w="20" w:type="dxa"/>
            </w:tcMar>
            <w:vAlign w:val="bottom"/>
          </w:tcPr>
          <w:p w14:paraId="7C20851E" w14:textId="77777777" w:rsidR="00834A75" w:rsidRDefault="00834A75">
            <w:pPr>
              <w:rPr>
                <w:rFonts w:ascii="宋体"/>
              </w:rPr>
            </w:pPr>
          </w:p>
        </w:tc>
        <w:tc>
          <w:tcPr>
            <w:tcW w:w="0" w:type="auto"/>
            <w:shd w:val="clear" w:color="auto" w:fill="E2EFD9"/>
            <w:tcMar>
              <w:top w:w="40" w:type="dxa"/>
              <w:left w:w="20" w:type="dxa"/>
              <w:bottom w:w="40" w:type="dxa"/>
              <w:right w:w="0" w:type="dxa"/>
            </w:tcMar>
            <w:vAlign w:val="bottom"/>
          </w:tcPr>
          <w:p w14:paraId="7C20851F" w14:textId="77777777" w:rsidR="00834A75" w:rsidRDefault="00A6708C">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7C208520" w14:textId="77777777" w:rsidR="00834A75" w:rsidRDefault="00A6708C">
            <w:pPr>
              <w:jc w:val="right"/>
              <w:textAlignment w:val="bottom"/>
            </w:pPr>
            <w:r>
              <w:rPr>
                <w:rFonts w:ascii="sans-serif" w:eastAsia="sans-serif" w:hAnsi="sans-serif" w:cs="sans-serif"/>
                <w:color w:val="000000"/>
                <w:sz w:val="20"/>
                <w:szCs w:val="20"/>
              </w:rPr>
              <w:t>9,974 </w:t>
            </w:r>
          </w:p>
        </w:tc>
        <w:tc>
          <w:tcPr>
            <w:tcW w:w="0" w:type="auto"/>
            <w:shd w:val="clear" w:color="auto" w:fill="E2EFD9"/>
            <w:tcMar>
              <w:top w:w="40" w:type="dxa"/>
              <w:left w:w="0" w:type="dxa"/>
              <w:bottom w:w="40" w:type="dxa"/>
              <w:right w:w="20" w:type="dxa"/>
            </w:tcMar>
            <w:vAlign w:val="bottom"/>
          </w:tcPr>
          <w:p w14:paraId="7C208521" w14:textId="77777777" w:rsidR="00834A75" w:rsidRDefault="00834A75">
            <w:pPr>
              <w:jc w:val="right"/>
              <w:rPr>
                <w:rFonts w:ascii="宋体"/>
              </w:rPr>
            </w:pPr>
          </w:p>
        </w:tc>
      </w:tr>
      <w:tr w:rsidR="00834A75" w14:paraId="7C20852D" w14:textId="77777777">
        <w:tc>
          <w:tcPr>
            <w:tcW w:w="0" w:type="auto"/>
            <w:gridSpan w:val="3"/>
            <w:shd w:val="clear" w:color="auto" w:fill="FFFFFF"/>
            <w:tcMar>
              <w:top w:w="40" w:type="dxa"/>
              <w:left w:w="200" w:type="dxa"/>
              <w:bottom w:w="40" w:type="dxa"/>
              <w:right w:w="20" w:type="dxa"/>
            </w:tcMar>
            <w:vAlign w:val="bottom"/>
          </w:tcPr>
          <w:p w14:paraId="7C208523" w14:textId="77777777" w:rsidR="00834A75" w:rsidRDefault="00A6708C">
            <w:pPr>
              <w:textAlignment w:val="bottom"/>
            </w:pPr>
            <w:r>
              <w:rPr>
                <w:rFonts w:ascii="sans-serif" w:eastAsia="sans-serif" w:hAnsi="sans-serif" w:cs="sans-serif"/>
                <w:color w:val="000000"/>
                <w:sz w:val="20"/>
                <w:szCs w:val="20"/>
              </w:rPr>
              <w:t>Debt securities issued by the United States Treasury</w:t>
            </w:r>
          </w:p>
        </w:tc>
        <w:tc>
          <w:tcPr>
            <w:tcW w:w="0" w:type="auto"/>
            <w:gridSpan w:val="3"/>
            <w:shd w:val="clear" w:color="auto" w:fill="FFFFFF"/>
            <w:tcMar>
              <w:top w:w="40" w:type="dxa"/>
              <w:left w:w="20" w:type="dxa"/>
              <w:bottom w:w="40" w:type="dxa"/>
              <w:right w:w="20" w:type="dxa"/>
            </w:tcMar>
            <w:vAlign w:val="bottom"/>
          </w:tcPr>
          <w:p w14:paraId="7C208524" w14:textId="77777777" w:rsidR="00834A75" w:rsidRDefault="00A6708C">
            <w:pPr>
              <w:jc w:val="center"/>
              <w:textAlignment w:val="bottom"/>
            </w:pPr>
            <w:r>
              <w:rPr>
                <w:rFonts w:ascii="sans-serif" w:eastAsia="sans-serif" w:hAnsi="sans-serif" w:cs="sans-serif"/>
                <w:color w:val="000000"/>
                <w:sz w:val="20"/>
                <w:szCs w:val="20"/>
              </w:rPr>
              <w:t>Level 2</w:t>
            </w:r>
          </w:p>
        </w:tc>
        <w:tc>
          <w:tcPr>
            <w:tcW w:w="0" w:type="auto"/>
            <w:gridSpan w:val="3"/>
            <w:shd w:val="clear" w:color="auto" w:fill="FFFFFF"/>
            <w:tcMar>
              <w:top w:w="0" w:type="dxa"/>
              <w:left w:w="20" w:type="dxa"/>
              <w:bottom w:w="0" w:type="dxa"/>
              <w:right w:w="20" w:type="dxa"/>
            </w:tcMar>
            <w:vAlign w:val="bottom"/>
          </w:tcPr>
          <w:p w14:paraId="7C208525" w14:textId="77777777" w:rsidR="00834A75" w:rsidRDefault="00834A75">
            <w:pPr>
              <w:rPr>
                <w:rFonts w:ascii="宋体"/>
              </w:rPr>
            </w:pPr>
          </w:p>
        </w:tc>
        <w:tc>
          <w:tcPr>
            <w:tcW w:w="0" w:type="auto"/>
            <w:shd w:val="clear" w:color="auto" w:fill="FFFFFF"/>
            <w:tcMar>
              <w:top w:w="40" w:type="dxa"/>
              <w:left w:w="20" w:type="dxa"/>
              <w:bottom w:w="40" w:type="dxa"/>
              <w:right w:w="0" w:type="dxa"/>
            </w:tcMar>
            <w:vAlign w:val="bottom"/>
          </w:tcPr>
          <w:p w14:paraId="7C208526" w14:textId="77777777" w:rsidR="00834A75" w:rsidRDefault="00A6708C">
            <w:pPr>
              <w:textAlignment w:val="bottom"/>
            </w:pPr>
            <w:r>
              <w:rPr>
                <w:rFonts w:ascii="sans-serif" w:eastAsia="sans-serif" w:hAnsi="sans-serif" w:cs="sans-serif"/>
                <w:color w:val="000000"/>
                <w:sz w:val="20"/>
                <w:szCs w:val="20"/>
              </w:rPr>
              <w:t>$</w:t>
            </w:r>
          </w:p>
        </w:tc>
        <w:tc>
          <w:tcPr>
            <w:tcW w:w="0" w:type="auto"/>
            <w:shd w:val="clear" w:color="auto" w:fill="FFFFFF"/>
            <w:tcMar>
              <w:top w:w="40" w:type="dxa"/>
              <w:left w:w="0" w:type="dxa"/>
              <w:bottom w:w="40" w:type="dxa"/>
              <w:right w:w="0" w:type="dxa"/>
            </w:tcMar>
            <w:vAlign w:val="bottom"/>
          </w:tcPr>
          <w:p w14:paraId="7C208527" w14:textId="77777777" w:rsidR="00834A75" w:rsidRDefault="00A6708C">
            <w:pPr>
              <w:jc w:val="right"/>
              <w:textAlignment w:val="bottom"/>
            </w:pPr>
            <w:r>
              <w:rPr>
                <w:rFonts w:ascii="sans-serif" w:eastAsia="sans-serif" w:hAnsi="sans-serif" w:cs="sans-serif"/>
                <w:color w:val="000000"/>
                <w:sz w:val="20"/>
                <w:szCs w:val="20"/>
              </w:rPr>
              <w:t>6,122 </w:t>
            </w:r>
          </w:p>
        </w:tc>
        <w:tc>
          <w:tcPr>
            <w:tcW w:w="0" w:type="auto"/>
            <w:shd w:val="clear" w:color="auto" w:fill="FFFFFF"/>
            <w:tcMar>
              <w:top w:w="40" w:type="dxa"/>
              <w:left w:w="0" w:type="dxa"/>
              <w:bottom w:w="40" w:type="dxa"/>
              <w:right w:w="20" w:type="dxa"/>
            </w:tcMar>
            <w:vAlign w:val="bottom"/>
          </w:tcPr>
          <w:p w14:paraId="7C208528" w14:textId="77777777" w:rsidR="00834A75" w:rsidRDefault="00834A75">
            <w:pPr>
              <w:jc w:val="right"/>
              <w:rPr>
                <w:rFonts w:ascii="宋体"/>
              </w:rPr>
            </w:pPr>
          </w:p>
        </w:tc>
        <w:tc>
          <w:tcPr>
            <w:tcW w:w="0" w:type="auto"/>
            <w:gridSpan w:val="3"/>
            <w:shd w:val="clear" w:color="auto" w:fill="FFFFFF"/>
            <w:tcMar>
              <w:top w:w="0" w:type="dxa"/>
              <w:left w:w="20" w:type="dxa"/>
              <w:bottom w:w="0" w:type="dxa"/>
              <w:right w:w="20" w:type="dxa"/>
            </w:tcMar>
            <w:vAlign w:val="bottom"/>
          </w:tcPr>
          <w:p w14:paraId="7C208529" w14:textId="77777777" w:rsidR="00834A75" w:rsidRDefault="00834A75">
            <w:pPr>
              <w:rPr>
                <w:rFonts w:ascii="宋体"/>
              </w:rPr>
            </w:pPr>
          </w:p>
        </w:tc>
        <w:tc>
          <w:tcPr>
            <w:tcW w:w="0" w:type="auto"/>
            <w:shd w:val="clear" w:color="auto" w:fill="FFFFFF"/>
            <w:tcMar>
              <w:top w:w="40" w:type="dxa"/>
              <w:left w:w="20" w:type="dxa"/>
              <w:bottom w:w="40" w:type="dxa"/>
              <w:right w:w="0" w:type="dxa"/>
            </w:tcMar>
            <w:vAlign w:val="bottom"/>
          </w:tcPr>
          <w:p w14:paraId="7C20852A" w14:textId="77777777" w:rsidR="00834A75" w:rsidRDefault="00A6708C">
            <w:pPr>
              <w:textAlignment w:val="bottom"/>
            </w:pPr>
            <w:r>
              <w:rPr>
                <w:rFonts w:ascii="sans-serif" w:eastAsia="sans-serif" w:hAnsi="sans-serif" w:cs="sans-serif"/>
                <w:color w:val="000000"/>
                <w:sz w:val="20"/>
                <w:szCs w:val="20"/>
              </w:rPr>
              <w:t>$</w:t>
            </w:r>
          </w:p>
        </w:tc>
        <w:tc>
          <w:tcPr>
            <w:tcW w:w="0" w:type="auto"/>
            <w:shd w:val="clear" w:color="auto" w:fill="FFFFFF"/>
            <w:tcMar>
              <w:top w:w="40" w:type="dxa"/>
              <w:left w:w="0" w:type="dxa"/>
              <w:bottom w:w="40" w:type="dxa"/>
              <w:right w:w="0" w:type="dxa"/>
            </w:tcMar>
            <w:vAlign w:val="bottom"/>
          </w:tcPr>
          <w:p w14:paraId="7C20852B" w14:textId="77777777" w:rsidR="00834A75" w:rsidRDefault="00A6708C">
            <w:pPr>
              <w:jc w:val="right"/>
              <w:textAlignment w:val="bottom"/>
            </w:pPr>
            <w:r>
              <w:rPr>
                <w:rFonts w:ascii="sans-serif" w:eastAsia="sans-serif" w:hAnsi="sans-serif" w:cs="sans-serif"/>
                <w:color w:val="000000"/>
                <w:sz w:val="20"/>
                <w:szCs w:val="20"/>
              </w:rPr>
              <w:t>7,300 </w:t>
            </w:r>
          </w:p>
        </w:tc>
        <w:tc>
          <w:tcPr>
            <w:tcW w:w="0" w:type="auto"/>
            <w:shd w:val="clear" w:color="auto" w:fill="FFFFFF"/>
            <w:tcMar>
              <w:top w:w="40" w:type="dxa"/>
              <w:left w:w="0" w:type="dxa"/>
              <w:bottom w:w="40" w:type="dxa"/>
              <w:right w:w="20" w:type="dxa"/>
            </w:tcMar>
            <w:vAlign w:val="bottom"/>
          </w:tcPr>
          <w:p w14:paraId="7C20852C" w14:textId="77777777" w:rsidR="00834A75" w:rsidRDefault="00834A75">
            <w:pPr>
              <w:jc w:val="right"/>
              <w:rPr>
                <w:rFonts w:ascii="宋体"/>
              </w:rPr>
            </w:pPr>
          </w:p>
        </w:tc>
      </w:tr>
      <w:tr w:rsidR="00834A75" w14:paraId="7C208538" w14:textId="77777777">
        <w:tc>
          <w:tcPr>
            <w:tcW w:w="0" w:type="auto"/>
            <w:gridSpan w:val="3"/>
            <w:shd w:val="clear" w:color="auto" w:fill="E2EFD9"/>
            <w:tcMar>
              <w:top w:w="40" w:type="dxa"/>
              <w:left w:w="200" w:type="dxa"/>
              <w:bottom w:w="40" w:type="dxa"/>
              <w:right w:w="20" w:type="dxa"/>
            </w:tcMar>
            <w:vAlign w:val="bottom"/>
          </w:tcPr>
          <w:p w14:paraId="7C20852E" w14:textId="77777777" w:rsidR="00834A75" w:rsidRDefault="00A6708C">
            <w:pPr>
              <w:textAlignment w:val="bottom"/>
            </w:pPr>
            <w:r>
              <w:rPr>
                <w:rFonts w:ascii="sans-serif" w:eastAsia="sans-serif" w:hAnsi="sans-serif" w:cs="sans-serif"/>
                <w:color w:val="000000"/>
                <w:sz w:val="20"/>
                <w:szCs w:val="20"/>
              </w:rPr>
              <w:t>Debt securities issued by United States government agencies</w:t>
            </w:r>
          </w:p>
        </w:tc>
        <w:tc>
          <w:tcPr>
            <w:tcW w:w="0" w:type="auto"/>
            <w:gridSpan w:val="3"/>
            <w:shd w:val="clear" w:color="auto" w:fill="E2EFD9"/>
            <w:tcMar>
              <w:top w:w="40" w:type="dxa"/>
              <w:left w:w="20" w:type="dxa"/>
              <w:bottom w:w="40" w:type="dxa"/>
              <w:right w:w="20" w:type="dxa"/>
            </w:tcMar>
            <w:vAlign w:val="bottom"/>
          </w:tcPr>
          <w:p w14:paraId="7C20852F" w14:textId="77777777" w:rsidR="00834A75" w:rsidRDefault="00A6708C">
            <w:pPr>
              <w:jc w:val="center"/>
              <w:textAlignment w:val="bottom"/>
            </w:pPr>
            <w:r>
              <w:rPr>
                <w:rFonts w:ascii="sans-serif" w:eastAsia="sans-serif" w:hAnsi="sans-serif" w:cs="sans-serif"/>
                <w:color w:val="000000"/>
                <w:sz w:val="20"/>
                <w:szCs w:val="20"/>
              </w:rPr>
              <w:t>Level 2</w:t>
            </w:r>
          </w:p>
        </w:tc>
        <w:tc>
          <w:tcPr>
            <w:tcW w:w="0" w:type="auto"/>
            <w:gridSpan w:val="3"/>
            <w:shd w:val="clear" w:color="auto" w:fill="E2EFD9"/>
            <w:tcMar>
              <w:top w:w="0" w:type="dxa"/>
              <w:left w:w="20" w:type="dxa"/>
              <w:bottom w:w="0" w:type="dxa"/>
              <w:right w:w="20" w:type="dxa"/>
            </w:tcMar>
            <w:vAlign w:val="bottom"/>
          </w:tcPr>
          <w:p w14:paraId="7C208530" w14:textId="77777777" w:rsidR="00834A75" w:rsidRDefault="00834A75">
            <w:pPr>
              <w:rPr>
                <w:rFonts w:ascii="宋体"/>
              </w:rPr>
            </w:pPr>
          </w:p>
        </w:tc>
        <w:tc>
          <w:tcPr>
            <w:tcW w:w="0" w:type="auto"/>
            <w:shd w:val="clear" w:color="auto" w:fill="E2EFD9"/>
            <w:tcMar>
              <w:top w:w="40" w:type="dxa"/>
              <w:left w:w="20" w:type="dxa"/>
              <w:bottom w:w="40" w:type="dxa"/>
              <w:right w:w="0" w:type="dxa"/>
            </w:tcMar>
            <w:vAlign w:val="bottom"/>
          </w:tcPr>
          <w:p w14:paraId="7C208531" w14:textId="77777777" w:rsidR="00834A75" w:rsidRDefault="00A6708C">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7C208532" w14:textId="77777777" w:rsidR="00834A75" w:rsidRDefault="00A6708C">
            <w:pPr>
              <w:jc w:val="right"/>
              <w:textAlignment w:val="bottom"/>
            </w:pPr>
            <w:r>
              <w:rPr>
                <w:rFonts w:ascii="sans-serif" w:eastAsia="sans-serif" w:hAnsi="sans-serif" w:cs="sans-serif"/>
                <w:color w:val="000000"/>
                <w:sz w:val="20"/>
                <w:szCs w:val="20"/>
              </w:rPr>
              <w:t>2,116 </w:t>
            </w:r>
          </w:p>
        </w:tc>
        <w:tc>
          <w:tcPr>
            <w:tcW w:w="0" w:type="auto"/>
            <w:shd w:val="clear" w:color="auto" w:fill="E2EFD9"/>
            <w:tcMar>
              <w:top w:w="40" w:type="dxa"/>
              <w:left w:w="0" w:type="dxa"/>
              <w:bottom w:w="40" w:type="dxa"/>
              <w:right w:w="20" w:type="dxa"/>
            </w:tcMar>
            <w:vAlign w:val="bottom"/>
          </w:tcPr>
          <w:p w14:paraId="7C208533" w14:textId="77777777" w:rsidR="00834A75" w:rsidRDefault="00834A75">
            <w:pPr>
              <w:jc w:val="right"/>
              <w:rPr>
                <w:rFonts w:ascii="宋体"/>
              </w:rPr>
            </w:pPr>
          </w:p>
        </w:tc>
        <w:tc>
          <w:tcPr>
            <w:tcW w:w="0" w:type="auto"/>
            <w:gridSpan w:val="3"/>
            <w:shd w:val="clear" w:color="auto" w:fill="E2EFD9"/>
            <w:tcMar>
              <w:top w:w="0" w:type="dxa"/>
              <w:left w:w="20" w:type="dxa"/>
              <w:bottom w:w="0" w:type="dxa"/>
              <w:right w:w="20" w:type="dxa"/>
            </w:tcMar>
            <w:vAlign w:val="bottom"/>
          </w:tcPr>
          <w:p w14:paraId="7C208534" w14:textId="77777777" w:rsidR="00834A75" w:rsidRDefault="00834A75">
            <w:pPr>
              <w:rPr>
                <w:rFonts w:ascii="宋体"/>
              </w:rPr>
            </w:pPr>
          </w:p>
        </w:tc>
        <w:tc>
          <w:tcPr>
            <w:tcW w:w="0" w:type="auto"/>
            <w:shd w:val="clear" w:color="auto" w:fill="E2EFD9"/>
            <w:tcMar>
              <w:top w:w="40" w:type="dxa"/>
              <w:left w:w="20" w:type="dxa"/>
              <w:bottom w:w="40" w:type="dxa"/>
              <w:right w:w="0" w:type="dxa"/>
            </w:tcMar>
            <w:vAlign w:val="bottom"/>
          </w:tcPr>
          <w:p w14:paraId="7C208535" w14:textId="77777777" w:rsidR="00834A75" w:rsidRDefault="00A6708C">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7C208536" w14:textId="77777777" w:rsidR="00834A75" w:rsidRDefault="00A6708C">
            <w:pPr>
              <w:jc w:val="right"/>
              <w:textAlignment w:val="bottom"/>
            </w:pPr>
            <w:r>
              <w:rPr>
                <w:rFonts w:ascii="sans-serif" w:eastAsia="sans-serif" w:hAnsi="sans-serif" w:cs="sans-serif"/>
                <w:color w:val="000000"/>
                <w:sz w:val="20"/>
                <w:szCs w:val="20"/>
              </w:rPr>
              <w:t>1,612 </w:t>
            </w:r>
          </w:p>
        </w:tc>
        <w:tc>
          <w:tcPr>
            <w:tcW w:w="0" w:type="auto"/>
            <w:shd w:val="clear" w:color="auto" w:fill="E2EFD9"/>
            <w:tcMar>
              <w:top w:w="40" w:type="dxa"/>
              <w:left w:w="0" w:type="dxa"/>
              <w:bottom w:w="40" w:type="dxa"/>
              <w:right w:w="20" w:type="dxa"/>
            </w:tcMar>
            <w:vAlign w:val="bottom"/>
          </w:tcPr>
          <w:p w14:paraId="7C208537" w14:textId="77777777" w:rsidR="00834A75" w:rsidRDefault="00834A75">
            <w:pPr>
              <w:jc w:val="right"/>
              <w:rPr>
                <w:rFonts w:ascii="宋体"/>
              </w:rPr>
            </w:pPr>
          </w:p>
        </w:tc>
      </w:tr>
      <w:tr w:rsidR="00834A75" w14:paraId="7C208543" w14:textId="77777777">
        <w:tc>
          <w:tcPr>
            <w:tcW w:w="0" w:type="auto"/>
            <w:gridSpan w:val="3"/>
            <w:shd w:val="clear" w:color="auto" w:fill="FFFFFF"/>
            <w:tcMar>
              <w:top w:w="40" w:type="dxa"/>
              <w:left w:w="200" w:type="dxa"/>
              <w:bottom w:w="40" w:type="dxa"/>
              <w:right w:w="20" w:type="dxa"/>
            </w:tcMar>
            <w:vAlign w:val="bottom"/>
          </w:tcPr>
          <w:p w14:paraId="7C208539" w14:textId="77777777" w:rsidR="00834A75" w:rsidRDefault="00A6708C">
            <w:pPr>
              <w:textAlignment w:val="bottom"/>
            </w:pPr>
            <w:r>
              <w:rPr>
                <w:rFonts w:ascii="sans-serif" w:eastAsia="sans-serif" w:hAnsi="sans-serif" w:cs="sans-serif"/>
                <w:color w:val="000000"/>
                <w:sz w:val="20"/>
                <w:szCs w:val="20"/>
              </w:rPr>
              <w:t>Certificates of deposit</w:t>
            </w:r>
          </w:p>
        </w:tc>
        <w:tc>
          <w:tcPr>
            <w:tcW w:w="0" w:type="auto"/>
            <w:gridSpan w:val="3"/>
            <w:shd w:val="clear" w:color="auto" w:fill="FFFFFF"/>
            <w:tcMar>
              <w:top w:w="40" w:type="dxa"/>
              <w:left w:w="20" w:type="dxa"/>
              <w:bottom w:w="40" w:type="dxa"/>
              <w:right w:w="20" w:type="dxa"/>
            </w:tcMar>
            <w:vAlign w:val="bottom"/>
          </w:tcPr>
          <w:p w14:paraId="7C20853A" w14:textId="77777777" w:rsidR="00834A75" w:rsidRDefault="00A6708C">
            <w:pPr>
              <w:jc w:val="center"/>
              <w:textAlignment w:val="bottom"/>
            </w:pPr>
            <w:r>
              <w:rPr>
                <w:rFonts w:ascii="sans-serif" w:eastAsia="sans-serif" w:hAnsi="sans-serif" w:cs="sans-serif"/>
                <w:color w:val="000000"/>
                <w:sz w:val="20"/>
                <w:szCs w:val="20"/>
              </w:rPr>
              <w:t>Level 2</w:t>
            </w:r>
          </w:p>
        </w:tc>
        <w:tc>
          <w:tcPr>
            <w:tcW w:w="0" w:type="auto"/>
            <w:gridSpan w:val="3"/>
            <w:shd w:val="clear" w:color="auto" w:fill="FFFFFF"/>
            <w:tcMar>
              <w:top w:w="0" w:type="dxa"/>
              <w:left w:w="20" w:type="dxa"/>
              <w:bottom w:w="0" w:type="dxa"/>
              <w:right w:w="20" w:type="dxa"/>
            </w:tcMar>
            <w:vAlign w:val="bottom"/>
          </w:tcPr>
          <w:p w14:paraId="7C20853B" w14:textId="77777777" w:rsidR="00834A75" w:rsidRDefault="00834A75">
            <w:pPr>
              <w:rPr>
                <w:rFonts w:ascii="宋体"/>
              </w:rPr>
            </w:pPr>
          </w:p>
        </w:tc>
        <w:tc>
          <w:tcPr>
            <w:tcW w:w="0" w:type="auto"/>
            <w:shd w:val="clear" w:color="auto" w:fill="FFFFFF"/>
            <w:tcMar>
              <w:top w:w="40" w:type="dxa"/>
              <w:left w:w="20" w:type="dxa"/>
              <w:bottom w:w="40" w:type="dxa"/>
              <w:right w:w="0" w:type="dxa"/>
            </w:tcMar>
            <w:vAlign w:val="bottom"/>
          </w:tcPr>
          <w:p w14:paraId="7C20853C" w14:textId="77777777" w:rsidR="00834A75" w:rsidRDefault="00A6708C">
            <w:pPr>
              <w:textAlignment w:val="bottom"/>
            </w:pPr>
            <w:r>
              <w:rPr>
                <w:rFonts w:ascii="sans-serif" w:eastAsia="sans-serif" w:hAnsi="sans-serif" w:cs="sans-serif"/>
                <w:color w:val="000000"/>
                <w:sz w:val="20"/>
                <w:szCs w:val="20"/>
              </w:rPr>
              <w:t>$</w:t>
            </w:r>
          </w:p>
        </w:tc>
        <w:tc>
          <w:tcPr>
            <w:tcW w:w="0" w:type="auto"/>
            <w:shd w:val="clear" w:color="auto" w:fill="FFFFFF"/>
            <w:tcMar>
              <w:top w:w="40" w:type="dxa"/>
              <w:left w:w="0" w:type="dxa"/>
              <w:bottom w:w="40" w:type="dxa"/>
              <w:right w:w="0" w:type="dxa"/>
            </w:tcMar>
            <w:vAlign w:val="bottom"/>
          </w:tcPr>
          <w:p w14:paraId="7C20853D" w14:textId="77777777" w:rsidR="00834A75" w:rsidRDefault="00A6708C">
            <w:pPr>
              <w:jc w:val="right"/>
              <w:textAlignment w:val="bottom"/>
            </w:pPr>
            <w:r>
              <w:rPr>
                <w:rFonts w:ascii="sans-serif" w:eastAsia="sans-serif" w:hAnsi="sans-serif" w:cs="sans-serif"/>
                <w:color w:val="000000"/>
                <w:sz w:val="20"/>
                <w:szCs w:val="20"/>
              </w:rPr>
              <w:t>1,302 </w:t>
            </w:r>
          </w:p>
        </w:tc>
        <w:tc>
          <w:tcPr>
            <w:tcW w:w="0" w:type="auto"/>
            <w:shd w:val="clear" w:color="auto" w:fill="FFFFFF"/>
            <w:tcMar>
              <w:top w:w="40" w:type="dxa"/>
              <w:left w:w="0" w:type="dxa"/>
              <w:bottom w:w="40" w:type="dxa"/>
              <w:right w:w="20" w:type="dxa"/>
            </w:tcMar>
            <w:vAlign w:val="bottom"/>
          </w:tcPr>
          <w:p w14:paraId="7C20853E" w14:textId="77777777" w:rsidR="00834A75" w:rsidRDefault="00834A75">
            <w:pPr>
              <w:jc w:val="right"/>
              <w:rPr>
                <w:rFonts w:ascii="宋体"/>
              </w:rPr>
            </w:pPr>
          </w:p>
        </w:tc>
        <w:tc>
          <w:tcPr>
            <w:tcW w:w="0" w:type="auto"/>
            <w:gridSpan w:val="3"/>
            <w:shd w:val="clear" w:color="auto" w:fill="FFFFFF"/>
            <w:tcMar>
              <w:top w:w="0" w:type="dxa"/>
              <w:left w:w="20" w:type="dxa"/>
              <w:bottom w:w="0" w:type="dxa"/>
              <w:right w:w="20" w:type="dxa"/>
            </w:tcMar>
            <w:vAlign w:val="bottom"/>
          </w:tcPr>
          <w:p w14:paraId="7C20853F" w14:textId="77777777" w:rsidR="00834A75" w:rsidRDefault="00834A75">
            <w:pPr>
              <w:rPr>
                <w:rFonts w:ascii="宋体"/>
              </w:rPr>
            </w:pPr>
          </w:p>
        </w:tc>
        <w:tc>
          <w:tcPr>
            <w:tcW w:w="0" w:type="auto"/>
            <w:shd w:val="clear" w:color="auto" w:fill="FFFFFF"/>
            <w:tcMar>
              <w:top w:w="40" w:type="dxa"/>
              <w:left w:w="20" w:type="dxa"/>
              <w:bottom w:w="40" w:type="dxa"/>
              <w:right w:w="0" w:type="dxa"/>
            </w:tcMar>
            <w:vAlign w:val="bottom"/>
          </w:tcPr>
          <w:p w14:paraId="7C208540" w14:textId="77777777" w:rsidR="00834A75" w:rsidRDefault="00A6708C">
            <w:pPr>
              <w:textAlignment w:val="bottom"/>
            </w:pPr>
            <w:r>
              <w:rPr>
                <w:rFonts w:ascii="sans-serif" w:eastAsia="sans-serif" w:hAnsi="sans-serif" w:cs="sans-serif"/>
                <w:color w:val="000000"/>
                <w:sz w:val="20"/>
                <w:szCs w:val="20"/>
              </w:rPr>
              <w:t>$</w:t>
            </w:r>
          </w:p>
        </w:tc>
        <w:tc>
          <w:tcPr>
            <w:tcW w:w="0" w:type="auto"/>
            <w:shd w:val="clear" w:color="auto" w:fill="FFFFFF"/>
            <w:tcMar>
              <w:top w:w="40" w:type="dxa"/>
              <w:left w:w="0" w:type="dxa"/>
              <w:bottom w:w="40" w:type="dxa"/>
              <w:right w:w="0" w:type="dxa"/>
            </w:tcMar>
            <w:vAlign w:val="bottom"/>
          </w:tcPr>
          <w:p w14:paraId="7C208541" w14:textId="77777777" w:rsidR="00834A75" w:rsidRDefault="00A6708C">
            <w:pPr>
              <w:jc w:val="right"/>
              <w:textAlignment w:val="bottom"/>
            </w:pPr>
            <w:r>
              <w:rPr>
                <w:rFonts w:ascii="sans-serif" w:eastAsia="sans-serif" w:hAnsi="sans-serif" w:cs="sans-serif"/>
                <w:color w:val="000000"/>
                <w:sz w:val="20"/>
                <w:szCs w:val="20"/>
              </w:rPr>
              <w:t>1,561 </w:t>
            </w:r>
          </w:p>
        </w:tc>
        <w:tc>
          <w:tcPr>
            <w:tcW w:w="0" w:type="auto"/>
            <w:shd w:val="clear" w:color="auto" w:fill="FFFFFF"/>
            <w:tcMar>
              <w:top w:w="40" w:type="dxa"/>
              <w:left w:w="0" w:type="dxa"/>
              <w:bottom w:w="40" w:type="dxa"/>
              <w:right w:w="20" w:type="dxa"/>
            </w:tcMar>
            <w:vAlign w:val="bottom"/>
          </w:tcPr>
          <w:p w14:paraId="7C208542" w14:textId="77777777" w:rsidR="00834A75" w:rsidRDefault="00834A75">
            <w:pPr>
              <w:jc w:val="right"/>
              <w:rPr>
                <w:rFonts w:ascii="宋体"/>
              </w:rPr>
            </w:pPr>
          </w:p>
        </w:tc>
      </w:tr>
      <w:tr w:rsidR="00834A75" w14:paraId="7C20854E" w14:textId="77777777">
        <w:tc>
          <w:tcPr>
            <w:tcW w:w="0" w:type="auto"/>
            <w:gridSpan w:val="3"/>
            <w:shd w:val="clear" w:color="auto" w:fill="E2EFD9"/>
            <w:tcMar>
              <w:top w:w="40" w:type="dxa"/>
              <w:left w:w="200" w:type="dxa"/>
              <w:bottom w:w="40" w:type="dxa"/>
              <w:right w:w="20" w:type="dxa"/>
            </w:tcMar>
            <w:vAlign w:val="bottom"/>
          </w:tcPr>
          <w:p w14:paraId="7C208544" w14:textId="77777777" w:rsidR="00834A75" w:rsidRDefault="00A6708C">
            <w:pPr>
              <w:textAlignment w:val="bottom"/>
            </w:pPr>
            <w:r>
              <w:rPr>
                <w:rFonts w:ascii="sans-serif" w:eastAsia="sans-serif" w:hAnsi="sans-serif" w:cs="sans-serif"/>
                <w:color w:val="000000"/>
                <w:sz w:val="20"/>
                <w:szCs w:val="20"/>
              </w:rPr>
              <w:t>Foreign government bonds</w:t>
            </w:r>
          </w:p>
        </w:tc>
        <w:tc>
          <w:tcPr>
            <w:tcW w:w="0" w:type="auto"/>
            <w:gridSpan w:val="3"/>
            <w:shd w:val="clear" w:color="auto" w:fill="E2EFD9"/>
            <w:tcMar>
              <w:top w:w="40" w:type="dxa"/>
              <w:left w:w="20" w:type="dxa"/>
              <w:bottom w:w="40" w:type="dxa"/>
              <w:right w:w="20" w:type="dxa"/>
            </w:tcMar>
            <w:vAlign w:val="bottom"/>
          </w:tcPr>
          <w:p w14:paraId="7C208545" w14:textId="77777777" w:rsidR="00834A75" w:rsidRDefault="00A6708C">
            <w:pPr>
              <w:jc w:val="center"/>
              <w:textAlignment w:val="bottom"/>
            </w:pPr>
            <w:r>
              <w:rPr>
                <w:rFonts w:ascii="sans-serif" w:eastAsia="sans-serif" w:hAnsi="sans-serif" w:cs="sans-serif"/>
                <w:color w:val="000000"/>
                <w:sz w:val="20"/>
                <w:szCs w:val="20"/>
              </w:rPr>
              <w:t>Level 2</w:t>
            </w:r>
          </w:p>
        </w:tc>
        <w:tc>
          <w:tcPr>
            <w:tcW w:w="0" w:type="auto"/>
            <w:gridSpan w:val="3"/>
            <w:shd w:val="clear" w:color="auto" w:fill="E2EFD9"/>
            <w:tcMar>
              <w:top w:w="0" w:type="dxa"/>
              <w:left w:w="20" w:type="dxa"/>
              <w:bottom w:w="0" w:type="dxa"/>
              <w:right w:w="20" w:type="dxa"/>
            </w:tcMar>
            <w:vAlign w:val="bottom"/>
          </w:tcPr>
          <w:p w14:paraId="7C208546" w14:textId="77777777" w:rsidR="00834A75" w:rsidRDefault="00834A75">
            <w:pPr>
              <w:rPr>
                <w:rFonts w:ascii="宋体"/>
              </w:rPr>
            </w:pPr>
          </w:p>
        </w:tc>
        <w:tc>
          <w:tcPr>
            <w:tcW w:w="0" w:type="auto"/>
            <w:shd w:val="clear" w:color="auto" w:fill="E2EFD9"/>
            <w:tcMar>
              <w:top w:w="40" w:type="dxa"/>
              <w:left w:w="20" w:type="dxa"/>
              <w:bottom w:w="40" w:type="dxa"/>
              <w:right w:w="0" w:type="dxa"/>
            </w:tcMar>
            <w:vAlign w:val="bottom"/>
          </w:tcPr>
          <w:p w14:paraId="7C208547" w14:textId="77777777" w:rsidR="00834A75" w:rsidRDefault="00A6708C">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7C208548" w14:textId="77777777" w:rsidR="00834A75" w:rsidRDefault="00A6708C">
            <w:pPr>
              <w:jc w:val="right"/>
              <w:textAlignment w:val="bottom"/>
            </w:pPr>
            <w:r>
              <w:rPr>
                <w:rFonts w:ascii="sans-serif" w:eastAsia="sans-serif" w:hAnsi="sans-serif" w:cs="sans-serif"/>
                <w:color w:val="000000"/>
                <w:sz w:val="20"/>
                <w:szCs w:val="20"/>
              </w:rPr>
              <w:t>185 </w:t>
            </w:r>
          </w:p>
        </w:tc>
        <w:tc>
          <w:tcPr>
            <w:tcW w:w="0" w:type="auto"/>
            <w:shd w:val="clear" w:color="auto" w:fill="E2EFD9"/>
            <w:tcMar>
              <w:top w:w="40" w:type="dxa"/>
              <w:left w:w="0" w:type="dxa"/>
              <w:bottom w:w="40" w:type="dxa"/>
              <w:right w:w="20" w:type="dxa"/>
            </w:tcMar>
            <w:vAlign w:val="bottom"/>
          </w:tcPr>
          <w:p w14:paraId="7C208549" w14:textId="77777777" w:rsidR="00834A75" w:rsidRDefault="00834A75">
            <w:pPr>
              <w:jc w:val="right"/>
              <w:rPr>
                <w:rFonts w:ascii="宋体"/>
              </w:rPr>
            </w:pPr>
          </w:p>
        </w:tc>
        <w:tc>
          <w:tcPr>
            <w:tcW w:w="0" w:type="auto"/>
            <w:gridSpan w:val="3"/>
            <w:shd w:val="clear" w:color="auto" w:fill="E2EFD9"/>
            <w:tcMar>
              <w:top w:w="0" w:type="dxa"/>
              <w:left w:w="20" w:type="dxa"/>
              <w:bottom w:w="0" w:type="dxa"/>
              <w:right w:w="20" w:type="dxa"/>
            </w:tcMar>
            <w:vAlign w:val="bottom"/>
          </w:tcPr>
          <w:p w14:paraId="7C20854A" w14:textId="77777777" w:rsidR="00834A75" w:rsidRDefault="00834A75">
            <w:pPr>
              <w:rPr>
                <w:rFonts w:ascii="宋体"/>
              </w:rPr>
            </w:pPr>
          </w:p>
        </w:tc>
        <w:tc>
          <w:tcPr>
            <w:tcW w:w="0" w:type="auto"/>
            <w:shd w:val="clear" w:color="auto" w:fill="E2EFD9"/>
            <w:tcMar>
              <w:top w:w="40" w:type="dxa"/>
              <w:left w:w="20" w:type="dxa"/>
              <w:bottom w:w="40" w:type="dxa"/>
              <w:right w:w="0" w:type="dxa"/>
            </w:tcMar>
            <w:vAlign w:val="bottom"/>
          </w:tcPr>
          <w:p w14:paraId="7C20854B" w14:textId="77777777" w:rsidR="00834A75" w:rsidRDefault="00A6708C">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7C20854C" w14:textId="77777777" w:rsidR="00834A75" w:rsidRDefault="00A6708C">
            <w:pPr>
              <w:jc w:val="right"/>
              <w:textAlignment w:val="bottom"/>
            </w:pPr>
            <w:r>
              <w:rPr>
                <w:rFonts w:ascii="sans-serif" w:eastAsia="sans-serif" w:hAnsi="sans-serif" w:cs="sans-serif"/>
                <w:color w:val="000000"/>
                <w:sz w:val="20"/>
                <w:szCs w:val="20"/>
              </w:rPr>
              <w:t>150 </w:t>
            </w:r>
          </w:p>
        </w:tc>
        <w:tc>
          <w:tcPr>
            <w:tcW w:w="0" w:type="auto"/>
            <w:shd w:val="clear" w:color="auto" w:fill="E2EFD9"/>
            <w:tcMar>
              <w:top w:w="40" w:type="dxa"/>
              <w:left w:w="0" w:type="dxa"/>
              <w:bottom w:w="40" w:type="dxa"/>
              <w:right w:w="20" w:type="dxa"/>
            </w:tcMar>
            <w:vAlign w:val="bottom"/>
          </w:tcPr>
          <w:p w14:paraId="7C20854D" w14:textId="77777777" w:rsidR="00834A75" w:rsidRDefault="00834A75">
            <w:pPr>
              <w:jc w:val="right"/>
              <w:rPr>
                <w:rFonts w:ascii="宋体"/>
              </w:rPr>
            </w:pPr>
          </w:p>
        </w:tc>
      </w:tr>
      <w:tr w:rsidR="00834A75" w14:paraId="7C208555" w14:textId="77777777">
        <w:trPr>
          <w:hidden/>
        </w:trPr>
        <w:tc>
          <w:tcPr>
            <w:tcW w:w="0" w:type="auto"/>
            <w:gridSpan w:val="3"/>
            <w:shd w:val="clear" w:color="auto" w:fill="auto"/>
            <w:vAlign w:val="bottom"/>
          </w:tcPr>
          <w:p w14:paraId="7C20854F" w14:textId="77777777" w:rsidR="00834A75" w:rsidRDefault="00834A75">
            <w:pPr>
              <w:rPr>
                <w:rFonts w:ascii="宋体"/>
                <w:vanish/>
              </w:rPr>
            </w:pPr>
          </w:p>
        </w:tc>
        <w:tc>
          <w:tcPr>
            <w:tcW w:w="0" w:type="auto"/>
            <w:gridSpan w:val="3"/>
            <w:shd w:val="clear" w:color="auto" w:fill="auto"/>
            <w:vAlign w:val="bottom"/>
          </w:tcPr>
          <w:p w14:paraId="7C208550" w14:textId="77777777" w:rsidR="00834A75" w:rsidRDefault="00834A75">
            <w:pPr>
              <w:rPr>
                <w:rFonts w:ascii="宋体"/>
                <w:vanish/>
              </w:rPr>
            </w:pPr>
          </w:p>
        </w:tc>
        <w:tc>
          <w:tcPr>
            <w:tcW w:w="0" w:type="auto"/>
            <w:gridSpan w:val="3"/>
            <w:shd w:val="clear" w:color="auto" w:fill="auto"/>
            <w:vAlign w:val="bottom"/>
          </w:tcPr>
          <w:p w14:paraId="7C208551" w14:textId="77777777" w:rsidR="00834A75" w:rsidRDefault="00834A75">
            <w:pPr>
              <w:rPr>
                <w:rFonts w:ascii="宋体"/>
                <w:vanish/>
              </w:rPr>
            </w:pPr>
          </w:p>
        </w:tc>
        <w:tc>
          <w:tcPr>
            <w:tcW w:w="0" w:type="auto"/>
            <w:gridSpan w:val="3"/>
            <w:shd w:val="clear" w:color="auto" w:fill="auto"/>
            <w:vAlign w:val="bottom"/>
          </w:tcPr>
          <w:p w14:paraId="7C208552" w14:textId="77777777" w:rsidR="00834A75" w:rsidRDefault="00834A75">
            <w:pPr>
              <w:rPr>
                <w:rFonts w:ascii="宋体"/>
                <w:vanish/>
              </w:rPr>
            </w:pPr>
          </w:p>
        </w:tc>
        <w:tc>
          <w:tcPr>
            <w:tcW w:w="0" w:type="auto"/>
            <w:gridSpan w:val="3"/>
            <w:shd w:val="clear" w:color="auto" w:fill="auto"/>
            <w:vAlign w:val="bottom"/>
          </w:tcPr>
          <w:p w14:paraId="7C208553" w14:textId="77777777" w:rsidR="00834A75" w:rsidRDefault="00834A75">
            <w:pPr>
              <w:rPr>
                <w:rFonts w:ascii="宋体"/>
                <w:vanish/>
              </w:rPr>
            </w:pPr>
          </w:p>
        </w:tc>
        <w:tc>
          <w:tcPr>
            <w:tcW w:w="0" w:type="auto"/>
            <w:gridSpan w:val="3"/>
            <w:shd w:val="clear" w:color="auto" w:fill="auto"/>
            <w:vAlign w:val="bottom"/>
          </w:tcPr>
          <w:p w14:paraId="7C208554" w14:textId="77777777" w:rsidR="00834A75" w:rsidRDefault="00834A75">
            <w:pPr>
              <w:rPr>
                <w:rFonts w:ascii="宋体"/>
                <w:vanish/>
              </w:rPr>
            </w:pPr>
          </w:p>
        </w:tc>
      </w:tr>
      <w:tr w:rsidR="00834A75" w14:paraId="7C20855C" w14:textId="77777777">
        <w:trPr>
          <w:hidden/>
        </w:trPr>
        <w:tc>
          <w:tcPr>
            <w:tcW w:w="0" w:type="auto"/>
            <w:gridSpan w:val="3"/>
            <w:shd w:val="clear" w:color="auto" w:fill="auto"/>
            <w:vAlign w:val="bottom"/>
          </w:tcPr>
          <w:p w14:paraId="7C208556" w14:textId="77777777" w:rsidR="00834A75" w:rsidRDefault="00834A75">
            <w:pPr>
              <w:rPr>
                <w:rFonts w:ascii="宋体"/>
                <w:vanish/>
              </w:rPr>
            </w:pPr>
          </w:p>
        </w:tc>
        <w:tc>
          <w:tcPr>
            <w:tcW w:w="0" w:type="auto"/>
            <w:gridSpan w:val="3"/>
            <w:shd w:val="clear" w:color="auto" w:fill="auto"/>
            <w:vAlign w:val="bottom"/>
          </w:tcPr>
          <w:p w14:paraId="7C208557" w14:textId="77777777" w:rsidR="00834A75" w:rsidRDefault="00834A75">
            <w:pPr>
              <w:rPr>
                <w:rFonts w:ascii="宋体"/>
                <w:vanish/>
              </w:rPr>
            </w:pPr>
          </w:p>
        </w:tc>
        <w:tc>
          <w:tcPr>
            <w:tcW w:w="0" w:type="auto"/>
            <w:gridSpan w:val="3"/>
            <w:shd w:val="clear" w:color="auto" w:fill="auto"/>
            <w:vAlign w:val="bottom"/>
          </w:tcPr>
          <w:p w14:paraId="7C208558" w14:textId="77777777" w:rsidR="00834A75" w:rsidRDefault="00834A75">
            <w:pPr>
              <w:rPr>
                <w:rFonts w:ascii="宋体"/>
                <w:vanish/>
              </w:rPr>
            </w:pPr>
          </w:p>
        </w:tc>
        <w:tc>
          <w:tcPr>
            <w:tcW w:w="0" w:type="auto"/>
            <w:gridSpan w:val="3"/>
            <w:shd w:val="clear" w:color="auto" w:fill="auto"/>
            <w:vAlign w:val="bottom"/>
          </w:tcPr>
          <w:p w14:paraId="7C208559" w14:textId="77777777" w:rsidR="00834A75" w:rsidRDefault="00834A75">
            <w:pPr>
              <w:rPr>
                <w:rFonts w:ascii="宋体"/>
                <w:vanish/>
              </w:rPr>
            </w:pPr>
          </w:p>
        </w:tc>
        <w:tc>
          <w:tcPr>
            <w:tcW w:w="0" w:type="auto"/>
            <w:gridSpan w:val="3"/>
            <w:shd w:val="clear" w:color="auto" w:fill="auto"/>
            <w:vAlign w:val="bottom"/>
          </w:tcPr>
          <w:p w14:paraId="7C20855A" w14:textId="77777777" w:rsidR="00834A75" w:rsidRDefault="00834A75">
            <w:pPr>
              <w:rPr>
                <w:rFonts w:ascii="宋体"/>
                <w:vanish/>
              </w:rPr>
            </w:pPr>
          </w:p>
        </w:tc>
        <w:tc>
          <w:tcPr>
            <w:tcW w:w="0" w:type="auto"/>
            <w:gridSpan w:val="3"/>
            <w:shd w:val="clear" w:color="auto" w:fill="auto"/>
            <w:vAlign w:val="bottom"/>
          </w:tcPr>
          <w:p w14:paraId="7C20855B" w14:textId="77777777" w:rsidR="00834A75" w:rsidRDefault="00834A75">
            <w:pPr>
              <w:rPr>
                <w:rFonts w:ascii="宋体"/>
                <w:vanish/>
              </w:rPr>
            </w:pPr>
          </w:p>
        </w:tc>
      </w:tr>
      <w:tr w:rsidR="00834A75" w14:paraId="7C208563" w14:textId="77777777">
        <w:tc>
          <w:tcPr>
            <w:tcW w:w="0" w:type="auto"/>
            <w:gridSpan w:val="3"/>
            <w:shd w:val="clear" w:color="auto" w:fill="FFFFFF"/>
            <w:tcMar>
              <w:top w:w="40" w:type="dxa"/>
              <w:left w:w="20" w:type="dxa"/>
              <w:bottom w:w="40" w:type="dxa"/>
              <w:right w:w="20" w:type="dxa"/>
            </w:tcMar>
            <w:vAlign w:val="bottom"/>
          </w:tcPr>
          <w:p w14:paraId="7C20855D" w14:textId="77777777" w:rsidR="00834A75" w:rsidRDefault="00A6708C">
            <w:pPr>
              <w:textAlignment w:val="bottom"/>
            </w:pPr>
            <w:r>
              <w:rPr>
                <w:rFonts w:ascii="sans-serif" w:eastAsia="sans-serif" w:hAnsi="sans-serif" w:cs="sans-serif"/>
                <w:color w:val="000000"/>
                <w:sz w:val="20"/>
                <w:szCs w:val="20"/>
              </w:rPr>
              <w:t>Other assets (Investment in non-affiliated entities):</w:t>
            </w:r>
          </w:p>
        </w:tc>
        <w:tc>
          <w:tcPr>
            <w:tcW w:w="0" w:type="auto"/>
            <w:gridSpan w:val="3"/>
            <w:shd w:val="clear" w:color="auto" w:fill="FFFFFF"/>
            <w:tcMar>
              <w:top w:w="0" w:type="dxa"/>
              <w:left w:w="20" w:type="dxa"/>
              <w:bottom w:w="0" w:type="dxa"/>
              <w:right w:w="20" w:type="dxa"/>
            </w:tcMar>
            <w:vAlign w:val="bottom"/>
          </w:tcPr>
          <w:p w14:paraId="7C20855E" w14:textId="77777777" w:rsidR="00834A75" w:rsidRDefault="00834A75">
            <w:pPr>
              <w:rPr>
                <w:rFonts w:ascii="宋体"/>
              </w:rPr>
            </w:pPr>
          </w:p>
        </w:tc>
        <w:tc>
          <w:tcPr>
            <w:tcW w:w="0" w:type="auto"/>
            <w:gridSpan w:val="3"/>
            <w:shd w:val="clear" w:color="auto" w:fill="FFFFFF"/>
            <w:tcMar>
              <w:top w:w="0" w:type="dxa"/>
              <w:left w:w="20" w:type="dxa"/>
              <w:bottom w:w="0" w:type="dxa"/>
              <w:right w:w="20" w:type="dxa"/>
            </w:tcMar>
            <w:vAlign w:val="bottom"/>
          </w:tcPr>
          <w:p w14:paraId="7C20855F" w14:textId="77777777" w:rsidR="00834A75" w:rsidRDefault="00834A75">
            <w:pPr>
              <w:rPr>
                <w:rFonts w:ascii="宋体"/>
              </w:rPr>
            </w:pPr>
          </w:p>
        </w:tc>
        <w:tc>
          <w:tcPr>
            <w:tcW w:w="0" w:type="auto"/>
            <w:gridSpan w:val="3"/>
            <w:shd w:val="clear" w:color="auto" w:fill="FFFFFF"/>
            <w:tcMar>
              <w:top w:w="0" w:type="dxa"/>
              <w:left w:w="20" w:type="dxa"/>
              <w:bottom w:w="0" w:type="dxa"/>
              <w:right w:w="20" w:type="dxa"/>
            </w:tcMar>
            <w:vAlign w:val="bottom"/>
          </w:tcPr>
          <w:p w14:paraId="7C208560" w14:textId="77777777" w:rsidR="00834A75" w:rsidRDefault="00834A75">
            <w:pPr>
              <w:rPr>
                <w:rFonts w:ascii="宋体"/>
              </w:rPr>
            </w:pPr>
          </w:p>
        </w:tc>
        <w:tc>
          <w:tcPr>
            <w:tcW w:w="0" w:type="auto"/>
            <w:gridSpan w:val="3"/>
            <w:shd w:val="clear" w:color="auto" w:fill="FFFFFF"/>
            <w:tcMar>
              <w:top w:w="0" w:type="dxa"/>
              <w:left w:w="20" w:type="dxa"/>
              <w:bottom w:w="0" w:type="dxa"/>
              <w:right w:w="20" w:type="dxa"/>
            </w:tcMar>
            <w:vAlign w:val="bottom"/>
          </w:tcPr>
          <w:p w14:paraId="7C208561" w14:textId="77777777" w:rsidR="00834A75" w:rsidRDefault="00834A75">
            <w:pPr>
              <w:rPr>
                <w:rFonts w:ascii="宋体"/>
              </w:rPr>
            </w:pPr>
          </w:p>
        </w:tc>
        <w:tc>
          <w:tcPr>
            <w:tcW w:w="0" w:type="auto"/>
            <w:gridSpan w:val="3"/>
            <w:shd w:val="clear" w:color="auto" w:fill="FFFFFF"/>
            <w:tcMar>
              <w:top w:w="0" w:type="dxa"/>
              <w:left w:w="20" w:type="dxa"/>
              <w:bottom w:w="0" w:type="dxa"/>
              <w:right w:w="20" w:type="dxa"/>
            </w:tcMar>
            <w:vAlign w:val="bottom"/>
          </w:tcPr>
          <w:p w14:paraId="7C208562" w14:textId="77777777" w:rsidR="00834A75" w:rsidRDefault="00834A75">
            <w:pPr>
              <w:rPr>
                <w:rFonts w:ascii="宋体"/>
              </w:rPr>
            </w:pPr>
          </w:p>
        </w:tc>
      </w:tr>
      <w:tr w:rsidR="00834A75" w14:paraId="7C20856E" w14:textId="77777777">
        <w:tc>
          <w:tcPr>
            <w:tcW w:w="0" w:type="auto"/>
            <w:gridSpan w:val="3"/>
            <w:shd w:val="clear" w:color="auto" w:fill="E2EFD9"/>
            <w:tcMar>
              <w:top w:w="40" w:type="dxa"/>
              <w:left w:w="200" w:type="dxa"/>
              <w:bottom w:w="40" w:type="dxa"/>
              <w:right w:w="20" w:type="dxa"/>
            </w:tcMar>
            <w:vAlign w:val="bottom"/>
          </w:tcPr>
          <w:p w14:paraId="7C208564" w14:textId="77777777" w:rsidR="00834A75" w:rsidRDefault="00A6708C">
            <w:pPr>
              <w:textAlignment w:val="bottom"/>
            </w:pPr>
            <w:r>
              <w:rPr>
                <w:rFonts w:ascii="sans-serif" w:eastAsia="sans-serif" w:hAnsi="sans-serif" w:cs="sans-serif"/>
                <w:color w:val="000000"/>
                <w:sz w:val="20"/>
                <w:szCs w:val="20"/>
              </w:rPr>
              <w:t>Publicly-held equity securities (1)</w:t>
            </w:r>
          </w:p>
        </w:tc>
        <w:tc>
          <w:tcPr>
            <w:tcW w:w="0" w:type="auto"/>
            <w:gridSpan w:val="3"/>
            <w:shd w:val="clear" w:color="auto" w:fill="E2EFD9"/>
            <w:tcMar>
              <w:top w:w="40" w:type="dxa"/>
              <w:left w:w="20" w:type="dxa"/>
              <w:bottom w:w="40" w:type="dxa"/>
              <w:right w:w="20" w:type="dxa"/>
            </w:tcMar>
            <w:vAlign w:val="bottom"/>
          </w:tcPr>
          <w:p w14:paraId="7C208565" w14:textId="77777777" w:rsidR="00834A75" w:rsidRDefault="00A6708C">
            <w:pPr>
              <w:jc w:val="center"/>
              <w:textAlignment w:val="bottom"/>
            </w:pPr>
            <w:r>
              <w:rPr>
                <w:rFonts w:ascii="sans-serif" w:eastAsia="sans-serif" w:hAnsi="sans-serif" w:cs="sans-serif"/>
                <w:color w:val="000000"/>
                <w:sz w:val="20"/>
                <w:szCs w:val="20"/>
              </w:rPr>
              <w:t>Level 1</w:t>
            </w:r>
          </w:p>
        </w:tc>
        <w:tc>
          <w:tcPr>
            <w:tcW w:w="0" w:type="auto"/>
            <w:gridSpan w:val="3"/>
            <w:shd w:val="clear" w:color="auto" w:fill="E2EFD9"/>
            <w:tcMar>
              <w:top w:w="0" w:type="dxa"/>
              <w:left w:w="20" w:type="dxa"/>
              <w:bottom w:w="0" w:type="dxa"/>
              <w:right w:w="20" w:type="dxa"/>
            </w:tcMar>
            <w:vAlign w:val="bottom"/>
          </w:tcPr>
          <w:p w14:paraId="7C208566" w14:textId="77777777" w:rsidR="00834A75" w:rsidRDefault="00834A75">
            <w:pPr>
              <w:rPr>
                <w:rFonts w:ascii="宋体"/>
              </w:rPr>
            </w:pPr>
          </w:p>
        </w:tc>
        <w:tc>
          <w:tcPr>
            <w:tcW w:w="0" w:type="auto"/>
            <w:shd w:val="clear" w:color="auto" w:fill="E2EFD9"/>
            <w:tcMar>
              <w:top w:w="40" w:type="dxa"/>
              <w:left w:w="20" w:type="dxa"/>
              <w:bottom w:w="40" w:type="dxa"/>
              <w:right w:w="0" w:type="dxa"/>
            </w:tcMar>
            <w:vAlign w:val="bottom"/>
          </w:tcPr>
          <w:p w14:paraId="7C208567" w14:textId="77777777" w:rsidR="00834A75" w:rsidRDefault="00A6708C">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7C208568" w14:textId="77777777" w:rsidR="00834A75" w:rsidRDefault="00A6708C">
            <w:pPr>
              <w:jc w:val="right"/>
              <w:textAlignment w:val="bottom"/>
            </w:pPr>
            <w:r>
              <w:rPr>
                <w:rFonts w:ascii="sans-serif" w:eastAsia="sans-serif" w:hAnsi="sans-serif" w:cs="sans-serif"/>
                <w:color w:val="000000"/>
                <w:sz w:val="20"/>
                <w:szCs w:val="20"/>
              </w:rPr>
              <w:t>48 </w:t>
            </w:r>
          </w:p>
        </w:tc>
        <w:tc>
          <w:tcPr>
            <w:tcW w:w="0" w:type="auto"/>
            <w:shd w:val="clear" w:color="auto" w:fill="E2EFD9"/>
            <w:tcMar>
              <w:top w:w="40" w:type="dxa"/>
              <w:left w:w="0" w:type="dxa"/>
              <w:bottom w:w="40" w:type="dxa"/>
              <w:right w:w="20" w:type="dxa"/>
            </w:tcMar>
            <w:vAlign w:val="bottom"/>
          </w:tcPr>
          <w:p w14:paraId="7C208569" w14:textId="77777777" w:rsidR="00834A75" w:rsidRDefault="00834A75">
            <w:pPr>
              <w:jc w:val="right"/>
              <w:rPr>
                <w:rFonts w:ascii="宋体"/>
              </w:rPr>
            </w:pPr>
          </w:p>
        </w:tc>
        <w:tc>
          <w:tcPr>
            <w:tcW w:w="0" w:type="auto"/>
            <w:gridSpan w:val="3"/>
            <w:shd w:val="clear" w:color="auto" w:fill="E2EFD9"/>
            <w:tcMar>
              <w:top w:w="0" w:type="dxa"/>
              <w:left w:w="20" w:type="dxa"/>
              <w:bottom w:w="0" w:type="dxa"/>
              <w:right w:w="20" w:type="dxa"/>
            </w:tcMar>
            <w:vAlign w:val="bottom"/>
          </w:tcPr>
          <w:p w14:paraId="7C20856A" w14:textId="77777777" w:rsidR="00834A75" w:rsidRDefault="00834A75">
            <w:pPr>
              <w:rPr>
                <w:rFonts w:ascii="宋体"/>
              </w:rPr>
            </w:pPr>
          </w:p>
        </w:tc>
        <w:tc>
          <w:tcPr>
            <w:tcW w:w="0" w:type="auto"/>
            <w:shd w:val="clear" w:color="auto" w:fill="E2EFD9"/>
            <w:tcMar>
              <w:top w:w="40" w:type="dxa"/>
              <w:left w:w="20" w:type="dxa"/>
              <w:bottom w:w="40" w:type="dxa"/>
              <w:right w:w="0" w:type="dxa"/>
            </w:tcMar>
            <w:vAlign w:val="bottom"/>
          </w:tcPr>
          <w:p w14:paraId="7C20856B" w14:textId="77777777" w:rsidR="00834A75" w:rsidRDefault="00A6708C">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7C20856C" w14:textId="77777777" w:rsidR="00834A75" w:rsidRDefault="00A6708C">
            <w:pPr>
              <w:jc w:val="right"/>
              <w:textAlignment w:val="bottom"/>
            </w:pPr>
            <w:r>
              <w:rPr>
                <w:rFonts w:ascii="sans-serif" w:eastAsia="sans-serif" w:hAnsi="sans-serif" w:cs="sans-serif"/>
                <w:color w:val="000000"/>
                <w:sz w:val="20"/>
                <w:szCs w:val="20"/>
              </w:rPr>
              <w:t>58 </w:t>
            </w:r>
          </w:p>
        </w:tc>
        <w:tc>
          <w:tcPr>
            <w:tcW w:w="0" w:type="auto"/>
            <w:shd w:val="clear" w:color="auto" w:fill="E2EFD9"/>
            <w:tcMar>
              <w:top w:w="40" w:type="dxa"/>
              <w:left w:w="0" w:type="dxa"/>
              <w:bottom w:w="40" w:type="dxa"/>
              <w:right w:w="20" w:type="dxa"/>
            </w:tcMar>
            <w:vAlign w:val="bottom"/>
          </w:tcPr>
          <w:p w14:paraId="7C20856D" w14:textId="77777777" w:rsidR="00834A75" w:rsidRDefault="00834A75">
            <w:pPr>
              <w:jc w:val="right"/>
              <w:rPr>
                <w:rFonts w:ascii="宋体"/>
              </w:rPr>
            </w:pPr>
          </w:p>
        </w:tc>
      </w:tr>
      <w:tr w:rsidR="00834A75" w14:paraId="7C208579" w14:textId="77777777">
        <w:tc>
          <w:tcPr>
            <w:tcW w:w="0" w:type="auto"/>
            <w:gridSpan w:val="3"/>
            <w:shd w:val="clear" w:color="auto" w:fill="FFFFFF"/>
            <w:tcMar>
              <w:top w:w="40" w:type="dxa"/>
              <w:left w:w="200" w:type="dxa"/>
              <w:bottom w:w="40" w:type="dxa"/>
              <w:right w:w="20" w:type="dxa"/>
            </w:tcMar>
            <w:vAlign w:val="bottom"/>
          </w:tcPr>
          <w:p w14:paraId="7C20856F" w14:textId="77777777" w:rsidR="00834A75" w:rsidRDefault="00A6708C">
            <w:pPr>
              <w:textAlignment w:val="bottom"/>
            </w:pPr>
            <w:r>
              <w:rPr>
                <w:rFonts w:ascii="sans-serif" w:eastAsia="sans-serif" w:hAnsi="sans-serif" w:cs="sans-serif"/>
                <w:color w:val="000000"/>
                <w:sz w:val="20"/>
                <w:szCs w:val="20"/>
              </w:rPr>
              <w:t>Privately-held equity securities</w:t>
            </w:r>
          </w:p>
        </w:tc>
        <w:tc>
          <w:tcPr>
            <w:tcW w:w="0" w:type="auto"/>
            <w:gridSpan w:val="3"/>
            <w:shd w:val="clear" w:color="auto" w:fill="FFFFFF"/>
            <w:tcMar>
              <w:top w:w="40" w:type="dxa"/>
              <w:left w:w="20" w:type="dxa"/>
              <w:bottom w:w="40" w:type="dxa"/>
              <w:right w:w="20" w:type="dxa"/>
            </w:tcMar>
            <w:vAlign w:val="bottom"/>
          </w:tcPr>
          <w:p w14:paraId="7C208570" w14:textId="77777777" w:rsidR="00834A75" w:rsidRDefault="00A6708C">
            <w:pPr>
              <w:jc w:val="center"/>
              <w:textAlignment w:val="bottom"/>
            </w:pPr>
            <w:r>
              <w:rPr>
                <w:rFonts w:ascii="sans-serif" w:eastAsia="sans-serif" w:hAnsi="sans-serif" w:cs="sans-serif"/>
                <w:color w:val="000000"/>
                <w:sz w:val="20"/>
                <w:szCs w:val="20"/>
              </w:rPr>
              <w:t>Level 3</w:t>
            </w:r>
          </w:p>
        </w:tc>
        <w:tc>
          <w:tcPr>
            <w:tcW w:w="0" w:type="auto"/>
            <w:gridSpan w:val="3"/>
            <w:shd w:val="clear" w:color="auto" w:fill="FFFFFF"/>
            <w:tcMar>
              <w:top w:w="0" w:type="dxa"/>
              <w:left w:w="20" w:type="dxa"/>
              <w:bottom w:w="0" w:type="dxa"/>
              <w:right w:w="20" w:type="dxa"/>
            </w:tcMar>
            <w:vAlign w:val="bottom"/>
          </w:tcPr>
          <w:p w14:paraId="7C208571" w14:textId="77777777" w:rsidR="00834A75" w:rsidRDefault="00834A75">
            <w:pPr>
              <w:rPr>
                <w:rFonts w:ascii="宋体"/>
              </w:rPr>
            </w:pPr>
          </w:p>
        </w:tc>
        <w:tc>
          <w:tcPr>
            <w:tcW w:w="0" w:type="auto"/>
            <w:shd w:val="clear" w:color="auto" w:fill="FFFFFF"/>
            <w:tcMar>
              <w:top w:w="40" w:type="dxa"/>
              <w:left w:w="20" w:type="dxa"/>
              <w:bottom w:w="40" w:type="dxa"/>
              <w:right w:w="0" w:type="dxa"/>
            </w:tcMar>
            <w:vAlign w:val="bottom"/>
          </w:tcPr>
          <w:p w14:paraId="7C208572" w14:textId="77777777" w:rsidR="00834A75" w:rsidRDefault="00A6708C">
            <w:pPr>
              <w:textAlignment w:val="bottom"/>
            </w:pPr>
            <w:r>
              <w:rPr>
                <w:rFonts w:ascii="sans-serif" w:eastAsia="sans-serif" w:hAnsi="sans-serif" w:cs="sans-serif"/>
                <w:color w:val="000000"/>
                <w:sz w:val="20"/>
                <w:szCs w:val="20"/>
              </w:rPr>
              <w:t>$</w:t>
            </w:r>
          </w:p>
        </w:tc>
        <w:tc>
          <w:tcPr>
            <w:tcW w:w="0" w:type="auto"/>
            <w:shd w:val="clear" w:color="auto" w:fill="FFFFFF"/>
            <w:tcMar>
              <w:top w:w="40" w:type="dxa"/>
              <w:left w:w="0" w:type="dxa"/>
              <w:bottom w:w="40" w:type="dxa"/>
              <w:right w:w="0" w:type="dxa"/>
            </w:tcMar>
            <w:vAlign w:val="bottom"/>
          </w:tcPr>
          <w:p w14:paraId="7C208573" w14:textId="77777777" w:rsidR="00834A75" w:rsidRDefault="00A6708C">
            <w:pPr>
              <w:jc w:val="right"/>
              <w:textAlignment w:val="bottom"/>
            </w:pPr>
            <w:r>
              <w:rPr>
                <w:rFonts w:ascii="sans-serif" w:eastAsia="sans-serif" w:hAnsi="sans-serif" w:cs="sans-serif"/>
                <w:color w:val="000000"/>
                <w:sz w:val="20"/>
                <w:szCs w:val="20"/>
              </w:rPr>
              <w:t>238 </w:t>
            </w:r>
          </w:p>
        </w:tc>
        <w:tc>
          <w:tcPr>
            <w:tcW w:w="0" w:type="auto"/>
            <w:shd w:val="clear" w:color="auto" w:fill="FFFFFF"/>
            <w:tcMar>
              <w:top w:w="40" w:type="dxa"/>
              <w:left w:w="0" w:type="dxa"/>
              <w:bottom w:w="40" w:type="dxa"/>
              <w:right w:w="20" w:type="dxa"/>
            </w:tcMar>
            <w:vAlign w:val="bottom"/>
          </w:tcPr>
          <w:p w14:paraId="7C208574" w14:textId="77777777" w:rsidR="00834A75" w:rsidRDefault="00834A75">
            <w:pPr>
              <w:jc w:val="right"/>
              <w:rPr>
                <w:rFonts w:ascii="宋体"/>
              </w:rPr>
            </w:pPr>
          </w:p>
        </w:tc>
        <w:tc>
          <w:tcPr>
            <w:tcW w:w="0" w:type="auto"/>
            <w:gridSpan w:val="3"/>
            <w:shd w:val="clear" w:color="auto" w:fill="FFFFFF"/>
            <w:tcMar>
              <w:top w:w="0" w:type="dxa"/>
              <w:left w:w="20" w:type="dxa"/>
              <w:bottom w:w="0" w:type="dxa"/>
              <w:right w:w="20" w:type="dxa"/>
            </w:tcMar>
            <w:vAlign w:val="bottom"/>
          </w:tcPr>
          <w:p w14:paraId="7C208575" w14:textId="77777777" w:rsidR="00834A75" w:rsidRDefault="00834A75">
            <w:pPr>
              <w:rPr>
                <w:rFonts w:ascii="宋体"/>
              </w:rPr>
            </w:pPr>
          </w:p>
        </w:tc>
        <w:tc>
          <w:tcPr>
            <w:tcW w:w="0" w:type="auto"/>
            <w:shd w:val="clear" w:color="auto" w:fill="FFFFFF"/>
            <w:tcMar>
              <w:top w:w="40" w:type="dxa"/>
              <w:left w:w="20" w:type="dxa"/>
              <w:bottom w:w="40" w:type="dxa"/>
              <w:right w:w="0" w:type="dxa"/>
            </w:tcMar>
            <w:vAlign w:val="bottom"/>
          </w:tcPr>
          <w:p w14:paraId="7C208576" w14:textId="77777777" w:rsidR="00834A75" w:rsidRDefault="00A6708C">
            <w:pPr>
              <w:textAlignment w:val="bottom"/>
            </w:pPr>
            <w:r>
              <w:rPr>
                <w:rFonts w:ascii="sans-serif" w:eastAsia="sans-serif" w:hAnsi="sans-serif" w:cs="sans-serif"/>
                <w:color w:val="000000"/>
                <w:sz w:val="20"/>
                <w:szCs w:val="20"/>
              </w:rPr>
              <w:t>$</w:t>
            </w:r>
          </w:p>
        </w:tc>
        <w:tc>
          <w:tcPr>
            <w:tcW w:w="0" w:type="auto"/>
            <w:shd w:val="clear" w:color="auto" w:fill="FFFFFF"/>
            <w:tcMar>
              <w:top w:w="40" w:type="dxa"/>
              <w:left w:w="0" w:type="dxa"/>
              <w:bottom w:w="40" w:type="dxa"/>
              <w:right w:w="0" w:type="dxa"/>
            </w:tcMar>
            <w:vAlign w:val="bottom"/>
          </w:tcPr>
          <w:p w14:paraId="7C208577" w14:textId="77777777" w:rsidR="00834A75" w:rsidRDefault="00A6708C">
            <w:pPr>
              <w:jc w:val="right"/>
              <w:textAlignment w:val="bottom"/>
            </w:pPr>
            <w:r>
              <w:rPr>
                <w:rFonts w:ascii="sans-serif" w:eastAsia="sans-serif" w:hAnsi="sans-serif" w:cs="sans-serif"/>
                <w:color w:val="000000"/>
                <w:sz w:val="20"/>
                <w:szCs w:val="20"/>
              </w:rPr>
              <w:t>208 </w:t>
            </w:r>
          </w:p>
        </w:tc>
        <w:tc>
          <w:tcPr>
            <w:tcW w:w="0" w:type="auto"/>
            <w:shd w:val="clear" w:color="auto" w:fill="FFFFFF"/>
            <w:tcMar>
              <w:top w:w="40" w:type="dxa"/>
              <w:left w:w="0" w:type="dxa"/>
              <w:bottom w:w="40" w:type="dxa"/>
              <w:right w:w="20" w:type="dxa"/>
            </w:tcMar>
            <w:vAlign w:val="bottom"/>
          </w:tcPr>
          <w:p w14:paraId="7C208578" w14:textId="77777777" w:rsidR="00834A75" w:rsidRDefault="00834A75">
            <w:pPr>
              <w:jc w:val="right"/>
              <w:rPr>
                <w:rFonts w:ascii="宋体"/>
              </w:rPr>
            </w:pPr>
          </w:p>
        </w:tc>
      </w:tr>
      <w:tr w:rsidR="00834A75" w14:paraId="7C208580" w14:textId="77777777">
        <w:trPr>
          <w:trHeight w:val="300"/>
        </w:trPr>
        <w:tc>
          <w:tcPr>
            <w:tcW w:w="0" w:type="auto"/>
            <w:gridSpan w:val="3"/>
            <w:shd w:val="clear" w:color="auto" w:fill="E2EFD9"/>
            <w:tcMar>
              <w:top w:w="0" w:type="dxa"/>
              <w:left w:w="20" w:type="dxa"/>
              <w:bottom w:w="0" w:type="dxa"/>
              <w:right w:w="20" w:type="dxa"/>
            </w:tcMar>
            <w:vAlign w:val="bottom"/>
          </w:tcPr>
          <w:p w14:paraId="7C20857A" w14:textId="77777777" w:rsidR="00834A75" w:rsidRDefault="00834A75">
            <w:pPr>
              <w:rPr>
                <w:rFonts w:ascii="宋体"/>
              </w:rPr>
            </w:pPr>
          </w:p>
        </w:tc>
        <w:tc>
          <w:tcPr>
            <w:tcW w:w="0" w:type="auto"/>
            <w:gridSpan w:val="3"/>
            <w:shd w:val="clear" w:color="auto" w:fill="E2EFD9"/>
            <w:tcMar>
              <w:top w:w="0" w:type="dxa"/>
              <w:left w:w="20" w:type="dxa"/>
              <w:bottom w:w="0" w:type="dxa"/>
              <w:right w:w="20" w:type="dxa"/>
            </w:tcMar>
            <w:vAlign w:val="bottom"/>
          </w:tcPr>
          <w:p w14:paraId="7C20857B" w14:textId="77777777" w:rsidR="00834A75" w:rsidRDefault="00834A75">
            <w:pPr>
              <w:rPr>
                <w:rFonts w:ascii="宋体"/>
              </w:rPr>
            </w:pPr>
          </w:p>
        </w:tc>
        <w:tc>
          <w:tcPr>
            <w:tcW w:w="0" w:type="auto"/>
            <w:gridSpan w:val="3"/>
            <w:shd w:val="clear" w:color="auto" w:fill="E2EFD9"/>
            <w:tcMar>
              <w:top w:w="0" w:type="dxa"/>
              <w:left w:w="20" w:type="dxa"/>
              <w:bottom w:w="0" w:type="dxa"/>
              <w:right w:w="20" w:type="dxa"/>
            </w:tcMar>
            <w:vAlign w:val="bottom"/>
          </w:tcPr>
          <w:p w14:paraId="7C20857C" w14:textId="77777777" w:rsidR="00834A75" w:rsidRDefault="00834A75">
            <w:pPr>
              <w:rPr>
                <w:rFonts w:ascii="宋体"/>
              </w:rPr>
            </w:pPr>
          </w:p>
        </w:tc>
        <w:tc>
          <w:tcPr>
            <w:tcW w:w="0" w:type="auto"/>
            <w:gridSpan w:val="3"/>
            <w:shd w:val="clear" w:color="auto" w:fill="E2EFD9"/>
            <w:tcMar>
              <w:top w:w="0" w:type="dxa"/>
              <w:left w:w="20" w:type="dxa"/>
              <w:bottom w:w="0" w:type="dxa"/>
              <w:right w:w="20" w:type="dxa"/>
            </w:tcMar>
            <w:vAlign w:val="bottom"/>
          </w:tcPr>
          <w:p w14:paraId="7C20857D" w14:textId="77777777" w:rsidR="00834A75" w:rsidRDefault="00834A75">
            <w:pPr>
              <w:rPr>
                <w:rFonts w:ascii="宋体"/>
              </w:rPr>
            </w:pPr>
          </w:p>
        </w:tc>
        <w:tc>
          <w:tcPr>
            <w:tcW w:w="0" w:type="auto"/>
            <w:gridSpan w:val="3"/>
            <w:shd w:val="clear" w:color="auto" w:fill="E2EFD9"/>
            <w:tcMar>
              <w:top w:w="0" w:type="dxa"/>
              <w:left w:w="20" w:type="dxa"/>
              <w:bottom w:w="0" w:type="dxa"/>
              <w:right w:w="20" w:type="dxa"/>
            </w:tcMar>
            <w:vAlign w:val="bottom"/>
          </w:tcPr>
          <w:p w14:paraId="7C20857E" w14:textId="77777777" w:rsidR="00834A75" w:rsidRDefault="00834A75">
            <w:pPr>
              <w:rPr>
                <w:rFonts w:ascii="宋体"/>
              </w:rPr>
            </w:pPr>
          </w:p>
        </w:tc>
        <w:tc>
          <w:tcPr>
            <w:tcW w:w="0" w:type="auto"/>
            <w:gridSpan w:val="3"/>
            <w:shd w:val="clear" w:color="auto" w:fill="E2EFD9"/>
            <w:tcMar>
              <w:top w:w="0" w:type="dxa"/>
              <w:left w:w="20" w:type="dxa"/>
              <w:bottom w:w="0" w:type="dxa"/>
              <w:right w:w="20" w:type="dxa"/>
            </w:tcMar>
            <w:vAlign w:val="bottom"/>
          </w:tcPr>
          <w:p w14:paraId="7C20857F" w14:textId="77777777" w:rsidR="00834A75" w:rsidRDefault="00834A75">
            <w:pPr>
              <w:rPr>
                <w:rFonts w:ascii="宋体"/>
              </w:rPr>
            </w:pPr>
          </w:p>
        </w:tc>
      </w:tr>
      <w:tr w:rsidR="00834A75" w14:paraId="7C208587" w14:textId="77777777">
        <w:trPr>
          <w:hidden/>
        </w:trPr>
        <w:tc>
          <w:tcPr>
            <w:tcW w:w="0" w:type="auto"/>
            <w:gridSpan w:val="3"/>
            <w:shd w:val="clear" w:color="auto" w:fill="auto"/>
            <w:vAlign w:val="bottom"/>
          </w:tcPr>
          <w:p w14:paraId="7C208581" w14:textId="77777777" w:rsidR="00834A75" w:rsidRDefault="00834A75">
            <w:pPr>
              <w:rPr>
                <w:rFonts w:ascii="宋体"/>
                <w:vanish/>
              </w:rPr>
            </w:pPr>
          </w:p>
        </w:tc>
        <w:tc>
          <w:tcPr>
            <w:tcW w:w="0" w:type="auto"/>
            <w:gridSpan w:val="3"/>
            <w:shd w:val="clear" w:color="auto" w:fill="auto"/>
            <w:vAlign w:val="bottom"/>
          </w:tcPr>
          <w:p w14:paraId="7C208582" w14:textId="77777777" w:rsidR="00834A75" w:rsidRDefault="00834A75">
            <w:pPr>
              <w:rPr>
                <w:rFonts w:ascii="宋体"/>
                <w:vanish/>
              </w:rPr>
            </w:pPr>
          </w:p>
        </w:tc>
        <w:tc>
          <w:tcPr>
            <w:tcW w:w="0" w:type="auto"/>
            <w:gridSpan w:val="3"/>
            <w:shd w:val="clear" w:color="auto" w:fill="auto"/>
            <w:vAlign w:val="bottom"/>
          </w:tcPr>
          <w:p w14:paraId="7C208583" w14:textId="77777777" w:rsidR="00834A75" w:rsidRDefault="00834A75">
            <w:pPr>
              <w:rPr>
                <w:rFonts w:ascii="宋体"/>
                <w:vanish/>
              </w:rPr>
            </w:pPr>
          </w:p>
        </w:tc>
        <w:tc>
          <w:tcPr>
            <w:tcW w:w="0" w:type="auto"/>
            <w:gridSpan w:val="3"/>
            <w:shd w:val="clear" w:color="auto" w:fill="auto"/>
            <w:vAlign w:val="bottom"/>
          </w:tcPr>
          <w:p w14:paraId="7C208584" w14:textId="77777777" w:rsidR="00834A75" w:rsidRDefault="00834A75">
            <w:pPr>
              <w:rPr>
                <w:rFonts w:ascii="宋体"/>
                <w:vanish/>
              </w:rPr>
            </w:pPr>
          </w:p>
        </w:tc>
        <w:tc>
          <w:tcPr>
            <w:tcW w:w="0" w:type="auto"/>
            <w:gridSpan w:val="3"/>
            <w:shd w:val="clear" w:color="auto" w:fill="auto"/>
            <w:vAlign w:val="bottom"/>
          </w:tcPr>
          <w:p w14:paraId="7C208585" w14:textId="77777777" w:rsidR="00834A75" w:rsidRDefault="00834A75">
            <w:pPr>
              <w:rPr>
                <w:rFonts w:ascii="宋体"/>
                <w:vanish/>
              </w:rPr>
            </w:pPr>
          </w:p>
        </w:tc>
        <w:tc>
          <w:tcPr>
            <w:tcW w:w="0" w:type="auto"/>
            <w:gridSpan w:val="3"/>
            <w:shd w:val="clear" w:color="auto" w:fill="auto"/>
            <w:vAlign w:val="bottom"/>
          </w:tcPr>
          <w:p w14:paraId="7C208586" w14:textId="77777777" w:rsidR="00834A75" w:rsidRDefault="00834A75">
            <w:pPr>
              <w:rPr>
                <w:rFonts w:ascii="宋体"/>
                <w:vanish/>
              </w:rPr>
            </w:pPr>
          </w:p>
        </w:tc>
      </w:tr>
      <w:tr w:rsidR="00834A75" w14:paraId="7C20858E" w14:textId="77777777">
        <w:trPr>
          <w:hidden/>
        </w:trPr>
        <w:tc>
          <w:tcPr>
            <w:tcW w:w="0" w:type="auto"/>
            <w:gridSpan w:val="3"/>
            <w:shd w:val="clear" w:color="auto" w:fill="auto"/>
            <w:vAlign w:val="bottom"/>
          </w:tcPr>
          <w:p w14:paraId="7C208588" w14:textId="77777777" w:rsidR="00834A75" w:rsidRDefault="00834A75">
            <w:pPr>
              <w:rPr>
                <w:rFonts w:ascii="宋体"/>
                <w:vanish/>
              </w:rPr>
            </w:pPr>
          </w:p>
        </w:tc>
        <w:tc>
          <w:tcPr>
            <w:tcW w:w="0" w:type="auto"/>
            <w:gridSpan w:val="3"/>
            <w:shd w:val="clear" w:color="auto" w:fill="auto"/>
            <w:vAlign w:val="bottom"/>
          </w:tcPr>
          <w:p w14:paraId="7C208589" w14:textId="77777777" w:rsidR="00834A75" w:rsidRDefault="00834A75">
            <w:pPr>
              <w:rPr>
                <w:rFonts w:ascii="宋体"/>
                <w:vanish/>
              </w:rPr>
            </w:pPr>
          </w:p>
        </w:tc>
        <w:tc>
          <w:tcPr>
            <w:tcW w:w="0" w:type="auto"/>
            <w:gridSpan w:val="3"/>
            <w:shd w:val="clear" w:color="auto" w:fill="auto"/>
            <w:vAlign w:val="bottom"/>
          </w:tcPr>
          <w:p w14:paraId="7C20858A" w14:textId="77777777" w:rsidR="00834A75" w:rsidRDefault="00834A75">
            <w:pPr>
              <w:rPr>
                <w:rFonts w:ascii="宋体"/>
                <w:vanish/>
              </w:rPr>
            </w:pPr>
          </w:p>
        </w:tc>
        <w:tc>
          <w:tcPr>
            <w:tcW w:w="0" w:type="auto"/>
            <w:gridSpan w:val="3"/>
            <w:shd w:val="clear" w:color="auto" w:fill="auto"/>
            <w:vAlign w:val="bottom"/>
          </w:tcPr>
          <w:p w14:paraId="7C20858B" w14:textId="77777777" w:rsidR="00834A75" w:rsidRDefault="00834A75">
            <w:pPr>
              <w:rPr>
                <w:rFonts w:ascii="宋体"/>
                <w:vanish/>
              </w:rPr>
            </w:pPr>
          </w:p>
        </w:tc>
        <w:tc>
          <w:tcPr>
            <w:tcW w:w="0" w:type="auto"/>
            <w:gridSpan w:val="3"/>
            <w:shd w:val="clear" w:color="auto" w:fill="auto"/>
            <w:vAlign w:val="bottom"/>
          </w:tcPr>
          <w:p w14:paraId="7C20858C" w14:textId="77777777" w:rsidR="00834A75" w:rsidRDefault="00834A75">
            <w:pPr>
              <w:rPr>
                <w:rFonts w:ascii="宋体"/>
                <w:vanish/>
              </w:rPr>
            </w:pPr>
          </w:p>
        </w:tc>
        <w:tc>
          <w:tcPr>
            <w:tcW w:w="0" w:type="auto"/>
            <w:gridSpan w:val="3"/>
            <w:shd w:val="clear" w:color="auto" w:fill="auto"/>
            <w:vAlign w:val="bottom"/>
          </w:tcPr>
          <w:p w14:paraId="7C20858D" w14:textId="77777777" w:rsidR="00834A75" w:rsidRDefault="00834A75">
            <w:pPr>
              <w:rPr>
                <w:rFonts w:ascii="宋体"/>
                <w:vanish/>
              </w:rPr>
            </w:pPr>
          </w:p>
        </w:tc>
      </w:tr>
      <w:tr w:rsidR="00834A75" w14:paraId="7C208595" w14:textId="77777777">
        <w:tc>
          <w:tcPr>
            <w:tcW w:w="0" w:type="auto"/>
            <w:gridSpan w:val="3"/>
            <w:shd w:val="clear" w:color="auto" w:fill="FFFFFF"/>
            <w:tcMar>
              <w:top w:w="40" w:type="dxa"/>
              <w:left w:w="20" w:type="dxa"/>
              <w:bottom w:w="40" w:type="dxa"/>
              <w:right w:w="20" w:type="dxa"/>
            </w:tcMar>
            <w:vAlign w:val="bottom"/>
          </w:tcPr>
          <w:p w14:paraId="7C20858F" w14:textId="77777777" w:rsidR="00834A75" w:rsidRDefault="00A6708C">
            <w:pPr>
              <w:textAlignment w:val="bottom"/>
            </w:pPr>
            <w:r>
              <w:rPr>
                <w:rFonts w:ascii="sans-serif" w:eastAsia="sans-serif" w:hAnsi="sans-serif" w:cs="sans-serif"/>
                <w:b/>
                <w:bCs/>
                <w:color w:val="000000"/>
                <w:sz w:val="20"/>
                <w:szCs w:val="20"/>
              </w:rPr>
              <w:t>Liabilities (2)</w:t>
            </w:r>
          </w:p>
        </w:tc>
        <w:tc>
          <w:tcPr>
            <w:tcW w:w="0" w:type="auto"/>
            <w:gridSpan w:val="3"/>
            <w:shd w:val="clear" w:color="auto" w:fill="FFFFFF"/>
            <w:tcMar>
              <w:top w:w="0" w:type="dxa"/>
              <w:left w:w="20" w:type="dxa"/>
              <w:bottom w:w="0" w:type="dxa"/>
              <w:right w:w="20" w:type="dxa"/>
            </w:tcMar>
            <w:vAlign w:val="bottom"/>
          </w:tcPr>
          <w:p w14:paraId="7C208590" w14:textId="77777777" w:rsidR="00834A75" w:rsidRDefault="00834A75">
            <w:pPr>
              <w:rPr>
                <w:rFonts w:ascii="宋体"/>
              </w:rPr>
            </w:pPr>
          </w:p>
        </w:tc>
        <w:tc>
          <w:tcPr>
            <w:tcW w:w="0" w:type="auto"/>
            <w:gridSpan w:val="3"/>
            <w:shd w:val="clear" w:color="auto" w:fill="FFFFFF"/>
            <w:tcMar>
              <w:top w:w="0" w:type="dxa"/>
              <w:left w:w="20" w:type="dxa"/>
              <w:bottom w:w="0" w:type="dxa"/>
              <w:right w:w="20" w:type="dxa"/>
            </w:tcMar>
            <w:vAlign w:val="bottom"/>
          </w:tcPr>
          <w:p w14:paraId="7C208591" w14:textId="77777777" w:rsidR="00834A75" w:rsidRDefault="00834A75">
            <w:pPr>
              <w:rPr>
                <w:rFonts w:ascii="宋体"/>
              </w:rPr>
            </w:pPr>
          </w:p>
        </w:tc>
        <w:tc>
          <w:tcPr>
            <w:tcW w:w="0" w:type="auto"/>
            <w:gridSpan w:val="3"/>
            <w:shd w:val="clear" w:color="auto" w:fill="FFFFFF"/>
            <w:tcMar>
              <w:top w:w="0" w:type="dxa"/>
              <w:left w:w="20" w:type="dxa"/>
              <w:bottom w:w="0" w:type="dxa"/>
              <w:right w:w="20" w:type="dxa"/>
            </w:tcMar>
            <w:vAlign w:val="bottom"/>
          </w:tcPr>
          <w:p w14:paraId="7C208592" w14:textId="77777777" w:rsidR="00834A75" w:rsidRDefault="00834A75">
            <w:pPr>
              <w:rPr>
                <w:rFonts w:ascii="宋体"/>
              </w:rPr>
            </w:pPr>
          </w:p>
        </w:tc>
        <w:tc>
          <w:tcPr>
            <w:tcW w:w="0" w:type="auto"/>
            <w:gridSpan w:val="3"/>
            <w:shd w:val="clear" w:color="auto" w:fill="FFFFFF"/>
            <w:tcMar>
              <w:top w:w="0" w:type="dxa"/>
              <w:left w:w="20" w:type="dxa"/>
              <w:bottom w:w="0" w:type="dxa"/>
              <w:right w:w="20" w:type="dxa"/>
            </w:tcMar>
            <w:vAlign w:val="bottom"/>
          </w:tcPr>
          <w:p w14:paraId="7C208593" w14:textId="77777777" w:rsidR="00834A75" w:rsidRDefault="00834A75">
            <w:pPr>
              <w:rPr>
                <w:rFonts w:ascii="宋体"/>
              </w:rPr>
            </w:pPr>
          </w:p>
        </w:tc>
        <w:tc>
          <w:tcPr>
            <w:tcW w:w="0" w:type="auto"/>
            <w:gridSpan w:val="3"/>
            <w:shd w:val="clear" w:color="auto" w:fill="FFFFFF"/>
            <w:tcMar>
              <w:top w:w="0" w:type="dxa"/>
              <w:left w:w="20" w:type="dxa"/>
              <w:bottom w:w="0" w:type="dxa"/>
              <w:right w:w="20" w:type="dxa"/>
            </w:tcMar>
            <w:vAlign w:val="bottom"/>
          </w:tcPr>
          <w:p w14:paraId="7C208594" w14:textId="77777777" w:rsidR="00834A75" w:rsidRDefault="00834A75">
            <w:pPr>
              <w:rPr>
                <w:rFonts w:ascii="宋体"/>
              </w:rPr>
            </w:pPr>
          </w:p>
        </w:tc>
      </w:tr>
      <w:tr w:rsidR="00834A75" w14:paraId="7C20859C" w14:textId="77777777">
        <w:trPr>
          <w:hidden/>
        </w:trPr>
        <w:tc>
          <w:tcPr>
            <w:tcW w:w="0" w:type="auto"/>
            <w:gridSpan w:val="3"/>
            <w:shd w:val="clear" w:color="auto" w:fill="auto"/>
            <w:vAlign w:val="bottom"/>
          </w:tcPr>
          <w:p w14:paraId="7C208596" w14:textId="77777777" w:rsidR="00834A75" w:rsidRDefault="00834A75">
            <w:pPr>
              <w:rPr>
                <w:rFonts w:ascii="宋体"/>
                <w:vanish/>
              </w:rPr>
            </w:pPr>
          </w:p>
        </w:tc>
        <w:tc>
          <w:tcPr>
            <w:tcW w:w="0" w:type="auto"/>
            <w:gridSpan w:val="3"/>
            <w:shd w:val="clear" w:color="auto" w:fill="auto"/>
            <w:vAlign w:val="bottom"/>
          </w:tcPr>
          <w:p w14:paraId="7C208597" w14:textId="77777777" w:rsidR="00834A75" w:rsidRDefault="00834A75">
            <w:pPr>
              <w:rPr>
                <w:rFonts w:ascii="宋体"/>
                <w:vanish/>
              </w:rPr>
            </w:pPr>
          </w:p>
        </w:tc>
        <w:tc>
          <w:tcPr>
            <w:tcW w:w="0" w:type="auto"/>
            <w:gridSpan w:val="3"/>
            <w:shd w:val="clear" w:color="auto" w:fill="auto"/>
            <w:vAlign w:val="bottom"/>
          </w:tcPr>
          <w:p w14:paraId="7C208598" w14:textId="77777777" w:rsidR="00834A75" w:rsidRDefault="00834A75">
            <w:pPr>
              <w:rPr>
                <w:rFonts w:ascii="宋体"/>
                <w:vanish/>
              </w:rPr>
            </w:pPr>
          </w:p>
        </w:tc>
        <w:tc>
          <w:tcPr>
            <w:tcW w:w="0" w:type="auto"/>
            <w:gridSpan w:val="3"/>
            <w:shd w:val="clear" w:color="auto" w:fill="auto"/>
            <w:vAlign w:val="bottom"/>
          </w:tcPr>
          <w:p w14:paraId="7C208599" w14:textId="77777777" w:rsidR="00834A75" w:rsidRDefault="00834A75">
            <w:pPr>
              <w:rPr>
                <w:rFonts w:ascii="宋体"/>
                <w:vanish/>
              </w:rPr>
            </w:pPr>
          </w:p>
        </w:tc>
        <w:tc>
          <w:tcPr>
            <w:tcW w:w="0" w:type="auto"/>
            <w:gridSpan w:val="3"/>
            <w:shd w:val="clear" w:color="auto" w:fill="auto"/>
            <w:vAlign w:val="bottom"/>
          </w:tcPr>
          <w:p w14:paraId="7C20859A" w14:textId="77777777" w:rsidR="00834A75" w:rsidRDefault="00834A75">
            <w:pPr>
              <w:rPr>
                <w:rFonts w:ascii="宋体"/>
                <w:vanish/>
              </w:rPr>
            </w:pPr>
          </w:p>
        </w:tc>
        <w:tc>
          <w:tcPr>
            <w:tcW w:w="0" w:type="auto"/>
            <w:gridSpan w:val="3"/>
            <w:shd w:val="clear" w:color="auto" w:fill="auto"/>
            <w:vAlign w:val="bottom"/>
          </w:tcPr>
          <w:p w14:paraId="7C20859B" w14:textId="77777777" w:rsidR="00834A75" w:rsidRDefault="00834A75">
            <w:pPr>
              <w:rPr>
                <w:rFonts w:ascii="宋体"/>
                <w:vanish/>
              </w:rPr>
            </w:pPr>
          </w:p>
        </w:tc>
      </w:tr>
      <w:tr w:rsidR="00834A75" w14:paraId="7C2085A3" w14:textId="77777777">
        <w:trPr>
          <w:hidden/>
        </w:trPr>
        <w:tc>
          <w:tcPr>
            <w:tcW w:w="0" w:type="auto"/>
            <w:gridSpan w:val="3"/>
            <w:shd w:val="clear" w:color="auto" w:fill="auto"/>
            <w:vAlign w:val="bottom"/>
          </w:tcPr>
          <w:p w14:paraId="7C20859D" w14:textId="77777777" w:rsidR="00834A75" w:rsidRDefault="00834A75">
            <w:pPr>
              <w:rPr>
                <w:rFonts w:ascii="宋体"/>
                <w:vanish/>
              </w:rPr>
            </w:pPr>
          </w:p>
        </w:tc>
        <w:tc>
          <w:tcPr>
            <w:tcW w:w="0" w:type="auto"/>
            <w:gridSpan w:val="3"/>
            <w:shd w:val="clear" w:color="auto" w:fill="auto"/>
            <w:vAlign w:val="bottom"/>
          </w:tcPr>
          <w:p w14:paraId="7C20859E" w14:textId="77777777" w:rsidR="00834A75" w:rsidRDefault="00834A75">
            <w:pPr>
              <w:rPr>
                <w:rFonts w:ascii="宋体"/>
                <w:vanish/>
              </w:rPr>
            </w:pPr>
          </w:p>
        </w:tc>
        <w:tc>
          <w:tcPr>
            <w:tcW w:w="0" w:type="auto"/>
            <w:gridSpan w:val="3"/>
            <w:shd w:val="clear" w:color="auto" w:fill="auto"/>
            <w:vAlign w:val="bottom"/>
          </w:tcPr>
          <w:p w14:paraId="7C20859F" w14:textId="77777777" w:rsidR="00834A75" w:rsidRDefault="00834A75">
            <w:pPr>
              <w:rPr>
                <w:rFonts w:ascii="宋体"/>
                <w:vanish/>
              </w:rPr>
            </w:pPr>
          </w:p>
        </w:tc>
        <w:tc>
          <w:tcPr>
            <w:tcW w:w="0" w:type="auto"/>
            <w:gridSpan w:val="3"/>
            <w:shd w:val="clear" w:color="auto" w:fill="auto"/>
            <w:vAlign w:val="bottom"/>
          </w:tcPr>
          <w:p w14:paraId="7C2085A0" w14:textId="77777777" w:rsidR="00834A75" w:rsidRDefault="00834A75">
            <w:pPr>
              <w:rPr>
                <w:rFonts w:ascii="宋体"/>
                <w:vanish/>
              </w:rPr>
            </w:pPr>
          </w:p>
        </w:tc>
        <w:tc>
          <w:tcPr>
            <w:tcW w:w="0" w:type="auto"/>
            <w:gridSpan w:val="3"/>
            <w:shd w:val="clear" w:color="auto" w:fill="auto"/>
            <w:vAlign w:val="bottom"/>
          </w:tcPr>
          <w:p w14:paraId="7C2085A1" w14:textId="77777777" w:rsidR="00834A75" w:rsidRDefault="00834A75">
            <w:pPr>
              <w:rPr>
                <w:rFonts w:ascii="宋体"/>
                <w:vanish/>
              </w:rPr>
            </w:pPr>
          </w:p>
        </w:tc>
        <w:tc>
          <w:tcPr>
            <w:tcW w:w="0" w:type="auto"/>
            <w:gridSpan w:val="3"/>
            <w:shd w:val="clear" w:color="auto" w:fill="auto"/>
            <w:vAlign w:val="bottom"/>
          </w:tcPr>
          <w:p w14:paraId="7C2085A2" w14:textId="77777777" w:rsidR="00834A75" w:rsidRDefault="00834A75">
            <w:pPr>
              <w:rPr>
                <w:rFonts w:ascii="宋体"/>
                <w:vanish/>
              </w:rPr>
            </w:pPr>
          </w:p>
        </w:tc>
      </w:tr>
      <w:tr w:rsidR="00834A75" w14:paraId="7C2085AA" w14:textId="77777777">
        <w:trPr>
          <w:hidden/>
        </w:trPr>
        <w:tc>
          <w:tcPr>
            <w:tcW w:w="0" w:type="auto"/>
            <w:gridSpan w:val="3"/>
            <w:shd w:val="clear" w:color="auto" w:fill="auto"/>
            <w:vAlign w:val="bottom"/>
          </w:tcPr>
          <w:p w14:paraId="7C2085A4" w14:textId="77777777" w:rsidR="00834A75" w:rsidRDefault="00834A75">
            <w:pPr>
              <w:rPr>
                <w:rFonts w:ascii="宋体"/>
                <w:vanish/>
              </w:rPr>
            </w:pPr>
          </w:p>
        </w:tc>
        <w:tc>
          <w:tcPr>
            <w:tcW w:w="0" w:type="auto"/>
            <w:gridSpan w:val="3"/>
            <w:shd w:val="clear" w:color="auto" w:fill="auto"/>
            <w:vAlign w:val="bottom"/>
          </w:tcPr>
          <w:p w14:paraId="7C2085A5" w14:textId="77777777" w:rsidR="00834A75" w:rsidRDefault="00834A75">
            <w:pPr>
              <w:rPr>
                <w:rFonts w:ascii="宋体"/>
                <w:vanish/>
              </w:rPr>
            </w:pPr>
          </w:p>
        </w:tc>
        <w:tc>
          <w:tcPr>
            <w:tcW w:w="0" w:type="auto"/>
            <w:gridSpan w:val="3"/>
            <w:shd w:val="clear" w:color="auto" w:fill="auto"/>
            <w:vAlign w:val="bottom"/>
          </w:tcPr>
          <w:p w14:paraId="7C2085A6" w14:textId="77777777" w:rsidR="00834A75" w:rsidRDefault="00834A75">
            <w:pPr>
              <w:rPr>
                <w:rFonts w:ascii="宋体"/>
                <w:vanish/>
              </w:rPr>
            </w:pPr>
          </w:p>
        </w:tc>
        <w:tc>
          <w:tcPr>
            <w:tcW w:w="0" w:type="auto"/>
            <w:gridSpan w:val="3"/>
            <w:shd w:val="clear" w:color="auto" w:fill="auto"/>
            <w:vAlign w:val="bottom"/>
          </w:tcPr>
          <w:p w14:paraId="7C2085A7" w14:textId="77777777" w:rsidR="00834A75" w:rsidRDefault="00834A75">
            <w:pPr>
              <w:rPr>
                <w:rFonts w:ascii="宋体"/>
                <w:vanish/>
              </w:rPr>
            </w:pPr>
          </w:p>
        </w:tc>
        <w:tc>
          <w:tcPr>
            <w:tcW w:w="0" w:type="auto"/>
            <w:gridSpan w:val="3"/>
            <w:shd w:val="clear" w:color="auto" w:fill="auto"/>
            <w:vAlign w:val="bottom"/>
          </w:tcPr>
          <w:p w14:paraId="7C2085A8" w14:textId="77777777" w:rsidR="00834A75" w:rsidRDefault="00834A75">
            <w:pPr>
              <w:rPr>
                <w:rFonts w:ascii="宋体"/>
                <w:vanish/>
              </w:rPr>
            </w:pPr>
          </w:p>
        </w:tc>
        <w:tc>
          <w:tcPr>
            <w:tcW w:w="0" w:type="auto"/>
            <w:gridSpan w:val="3"/>
            <w:shd w:val="clear" w:color="auto" w:fill="auto"/>
            <w:vAlign w:val="bottom"/>
          </w:tcPr>
          <w:p w14:paraId="7C2085A9" w14:textId="77777777" w:rsidR="00834A75" w:rsidRDefault="00834A75">
            <w:pPr>
              <w:rPr>
                <w:rFonts w:ascii="宋体"/>
                <w:vanish/>
              </w:rPr>
            </w:pPr>
          </w:p>
        </w:tc>
      </w:tr>
      <w:tr w:rsidR="00834A75" w14:paraId="7C2085B1" w14:textId="77777777">
        <w:trPr>
          <w:hidden/>
        </w:trPr>
        <w:tc>
          <w:tcPr>
            <w:tcW w:w="0" w:type="auto"/>
            <w:gridSpan w:val="3"/>
            <w:shd w:val="clear" w:color="auto" w:fill="auto"/>
            <w:vAlign w:val="bottom"/>
          </w:tcPr>
          <w:p w14:paraId="7C2085AB" w14:textId="77777777" w:rsidR="00834A75" w:rsidRDefault="00834A75">
            <w:pPr>
              <w:rPr>
                <w:rFonts w:ascii="宋体"/>
                <w:vanish/>
              </w:rPr>
            </w:pPr>
          </w:p>
        </w:tc>
        <w:tc>
          <w:tcPr>
            <w:tcW w:w="0" w:type="auto"/>
            <w:gridSpan w:val="3"/>
            <w:shd w:val="clear" w:color="auto" w:fill="auto"/>
            <w:vAlign w:val="bottom"/>
          </w:tcPr>
          <w:p w14:paraId="7C2085AC" w14:textId="77777777" w:rsidR="00834A75" w:rsidRDefault="00834A75">
            <w:pPr>
              <w:rPr>
                <w:rFonts w:ascii="宋体"/>
                <w:vanish/>
              </w:rPr>
            </w:pPr>
          </w:p>
        </w:tc>
        <w:tc>
          <w:tcPr>
            <w:tcW w:w="0" w:type="auto"/>
            <w:gridSpan w:val="3"/>
            <w:shd w:val="clear" w:color="auto" w:fill="auto"/>
            <w:vAlign w:val="bottom"/>
          </w:tcPr>
          <w:p w14:paraId="7C2085AD" w14:textId="77777777" w:rsidR="00834A75" w:rsidRDefault="00834A75">
            <w:pPr>
              <w:rPr>
                <w:rFonts w:ascii="宋体"/>
                <w:vanish/>
              </w:rPr>
            </w:pPr>
          </w:p>
        </w:tc>
        <w:tc>
          <w:tcPr>
            <w:tcW w:w="0" w:type="auto"/>
            <w:gridSpan w:val="3"/>
            <w:shd w:val="clear" w:color="auto" w:fill="auto"/>
            <w:vAlign w:val="bottom"/>
          </w:tcPr>
          <w:p w14:paraId="7C2085AE" w14:textId="77777777" w:rsidR="00834A75" w:rsidRDefault="00834A75">
            <w:pPr>
              <w:rPr>
                <w:rFonts w:ascii="宋体"/>
                <w:vanish/>
              </w:rPr>
            </w:pPr>
          </w:p>
        </w:tc>
        <w:tc>
          <w:tcPr>
            <w:tcW w:w="0" w:type="auto"/>
            <w:gridSpan w:val="3"/>
            <w:shd w:val="clear" w:color="auto" w:fill="auto"/>
            <w:vAlign w:val="bottom"/>
          </w:tcPr>
          <w:p w14:paraId="7C2085AF" w14:textId="77777777" w:rsidR="00834A75" w:rsidRDefault="00834A75">
            <w:pPr>
              <w:rPr>
                <w:rFonts w:ascii="宋体"/>
                <w:vanish/>
              </w:rPr>
            </w:pPr>
          </w:p>
        </w:tc>
        <w:tc>
          <w:tcPr>
            <w:tcW w:w="0" w:type="auto"/>
            <w:gridSpan w:val="3"/>
            <w:shd w:val="clear" w:color="auto" w:fill="auto"/>
            <w:vAlign w:val="bottom"/>
          </w:tcPr>
          <w:p w14:paraId="7C2085B0" w14:textId="77777777" w:rsidR="00834A75" w:rsidRDefault="00834A75">
            <w:pPr>
              <w:rPr>
                <w:rFonts w:ascii="宋体"/>
                <w:vanish/>
              </w:rPr>
            </w:pPr>
          </w:p>
        </w:tc>
      </w:tr>
      <w:tr w:rsidR="00834A75" w14:paraId="7C2085BC" w14:textId="77777777">
        <w:tc>
          <w:tcPr>
            <w:tcW w:w="0" w:type="auto"/>
            <w:gridSpan w:val="3"/>
            <w:shd w:val="clear" w:color="auto" w:fill="E2EFD9"/>
            <w:tcMar>
              <w:top w:w="40" w:type="dxa"/>
              <w:left w:w="20" w:type="dxa"/>
              <w:bottom w:w="40" w:type="dxa"/>
              <w:right w:w="20" w:type="dxa"/>
            </w:tcMar>
            <w:vAlign w:val="bottom"/>
          </w:tcPr>
          <w:p w14:paraId="7C2085B2" w14:textId="77777777" w:rsidR="00834A75" w:rsidRDefault="00A6708C">
            <w:pPr>
              <w:textAlignment w:val="bottom"/>
            </w:pPr>
            <w:r>
              <w:rPr>
                <w:rFonts w:ascii="sans-serif" w:eastAsia="sans-serif" w:hAnsi="sans-serif" w:cs="sans-serif"/>
                <w:color w:val="000000"/>
                <w:sz w:val="20"/>
                <w:szCs w:val="20"/>
              </w:rPr>
              <w:t>0.309% Notes Due 2023</w:t>
            </w:r>
          </w:p>
        </w:tc>
        <w:tc>
          <w:tcPr>
            <w:tcW w:w="0" w:type="auto"/>
            <w:gridSpan w:val="3"/>
            <w:shd w:val="clear" w:color="auto" w:fill="E2EFD9"/>
            <w:tcMar>
              <w:top w:w="40" w:type="dxa"/>
              <w:left w:w="20" w:type="dxa"/>
              <w:bottom w:w="40" w:type="dxa"/>
              <w:right w:w="20" w:type="dxa"/>
            </w:tcMar>
            <w:vAlign w:val="bottom"/>
          </w:tcPr>
          <w:p w14:paraId="7C2085B3" w14:textId="77777777" w:rsidR="00834A75" w:rsidRDefault="00A6708C">
            <w:pPr>
              <w:jc w:val="center"/>
              <w:textAlignment w:val="bottom"/>
            </w:pPr>
            <w:r>
              <w:rPr>
                <w:rFonts w:ascii="sans-serif" w:eastAsia="sans-serif" w:hAnsi="sans-serif" w:cs="sans-serif"/>
                <w:color w:val="000000"/>
                <w:sz w:val="20"/>
                <w:szCs w:val="20"/>
              </w:rPr>
              <w:t>Level 2</w:t>
            </w:r>
          </w:p>
        </w:tc>
        <w:tc>
          <w:tcPr>
            <w:tcW w:w="0" w:type="auto"/>
            <w:gridSpan w:val="3"/>
            <w:shd w:val="clear" w:color="auto" w:fill="E2EFD9"/>
            <w:tcMar>
              <w:top w:w="0" w:type="dxa"/>
              <w:left w:w="20" w:type="dxa"/>
              <w:bottom w:w="0" w:type="dxa"/>
              <w:right w:w="20" w:type="dxa"/>
            </w:tcMar>
            <w:vAlign w:val="bottom"/>
          </w:tcPr>
          <w:p w14:paraId="7C2085B4" w14:textId="77777777" w:rsidR="00834A75" w:rsidRDefault="00834A75">
            <w:pPr>
              <w:rPr>
                <w:rFonts w:ascii="宋体"/>
              </w:rPr>
            </w:pPr>
          </w:p>
        </w:tc>
        <w:tc>
          <w:tcPr>
            <w:tcW w:w="0" w:type="auto"/>
            <w:shd w:val="clear" w:color="auto" w:fill="E2EFD9"/>
            <w:tcMar>
              <w:top w:w="40" w:type="dxa"/>
              <w:left w:w="20" w:type="dxa"/>
              <w:bottom w:w="40" w:type="dxa"/>
              <w:right w:w="0" w:type="dxa"/>
            </w:tcMar>
            <w:vAlign w:val="bottom"/>
          </w:tcPr>
          <w:p w14:paraId="7C2085B5" w14:textId="77777777" w:rsidR="00834A75" w:rsidRDefault="00A6708C">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7C2085B6" w14:textId="77777777" w:rsidR="00834A75" w:rsidRDefault="00A6708C">
            <w:pPr>
              <w:jc w:val="right"/>
              <w:textAlignment w:val="bottom"/>
            </w:pPr>
            <w:r>
              <w:rPr>
                <w:rFonts w:ascii="sans-serif" w:eastAsia="sans-serif" w:hAnsi="sans-serif" w:cs="sans-serif"/>
                <w:color w:val="000000"/>
                <w:sz w:val="20"/>
                <w:szCs w:val="20"/>
              </w:rPr>
              <w:t>1,221 </w:t>
            </w:r>
          </w:p>
        </w:tc>
        <w:tc>
          <w:tcPr>
            <w:tcW w:w="0" w:type="auto"/>
            <w:shd w:val="clear" w:color="auto" w:fill="E2EFD9"/>
            <w:tcMar>
              <w:top w:w="40" w:type="dxa"/>
              <w:left w:w="0" w:type="dxa"/>
              <w:bottom w:w="40" w:type="dxa"/>
              <w:right w:w="20" w:type="dxa"/>
            </w:tcMar>
            <w:vAlign w:val="bottom"/>
          </w:tcPr>
          <w:p w14:paraId="7C2085B7" w14:textId="77777777" w:rsidR="00834A75" w:rsidRDefault="00834A75">
            <w:pPr>
              <w:jc w:val="right"/>
              <w:rPr>
                <w:rFonts w:ascii="宋体"/>
              </w:rPr>
            </w:pPr>
          </w:p>
        </w:tc>
        <w:tc>
          <w:tcPr>
            <w:tcW w:w="0" w:type="auto"/>
            <w:gridSpan w:val="3"/>
            <w:shd w:val="clear" w:color="auto" w:fill="E2EFD9"/>
            <w:tcMar>
              <w:top w:w="0" w:type="dxa"/>
              <w:left w:w="20" w:type="dxa"/>
              <w:bottom w:w="0" w:type="dxa"/>
              <w:right w:w="20" w:type="dxa"/>
            </w:tcMar>
            <w:vAlign w:val="bottom"/>
          </w:tcPr>
          <w:p w14:paraId="7C2085B8" w14:textId="77777777" w:rsidR="00834A75" w:rsidRDefault="00834A75">
            <w:pPr>
              <w:rPr>
                <w:rFonts w:ascii="宋体"/>
              </w:rPr>
            </w:pPr>
          </w:p>
        </w:tc>
        <w:tc>
          <w:tcPr>
            <w:tcW w:w="0" w:type="auto"/>
            <w:shd w:val="clear" w:color="auto" w:fill="E2EFD9"/>
            <w:tcMar>
              <w:top w:w="40" w:type="dxa"/>
              <w:left w:w="20" w:type="dxa"/>
              <w:bottom w:w="40" w:type="dxa"/>
              <w:right w:w="0" w:type="dxa"/>
            </w:tcMar>
            <w:vAlign w:val="bottom"/>
          </w:tcPr>
          <w:p w14:paraId="7C2085B9" w14:textId="77777777" w:rsidR="00834A75" w:rsidRDefault="00A6708C">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7C2085BA" w14:textId="77777777" w:rsidR="00834A75" w:rsidRDefault="00A6708C">
            <w:pPr>
              <w:jc w:val="right"/>
              <w:textAlignment w:val="bottom"/>
            </w:pPr>
            <w:r>
              <w:rPr>
                <w:rFonts w:ascii="sans-serif" w:eastAsia="sans-serif" w:hAnsi="sans-serif" w:cs="sans-serif"/>
                <w:color w:val="000000"/>
                <w:sz w:val="20"/>
                <w:szCs w:val="20"/>
              </w:rPr>
              <w:t>1,236 </w:t>
            </w:r>
          </w:p>
        </w:tc>
        <w:tc>
          <w:tcPr>
            <w:tcW w:w="0" w:type="auto"/>
            <w:shd w:val="clear" w:color="auto" w:fill="E2EFD9"/>
            <w:tcMar>
              <w:top w:w="40" w:type="dxa"/>
              <w:left w:w="0" w:type="dxa"/>
              <w:bottom w:w="40" w:type="dxa"/>
              <w:right w:w="20" w:type="dxa"/>
            </w:tcMar>
            <w:vAlign w:val="bottom"/>
          </w:tcPr>
          <w:p w14:paraId="7C2085BB" w14:textId="77777777" w:rsidR="00834A75" w:rsidRDefault="00834A75">
            <w:pPr>
              <w:jc w:val="right"/>
              <w:rPr>
                <w:rFonts w:ascii="宋体"/>
              </w:rPr>
            </w:pPr>
          </w:p>
        </w:tc>
      </w:tr>
      <w:tr w:rsidR="00834A75" w14:paraId="7C2085C7" w14:textId="77777777">
        <w:tc>
          <w:tcPr>
            <w:tcW w:w="0" w:type="auto"/>
            <w:gridSpan w:val="3"/>
            <w:shd w:val="clear" w:color="auto" w:fill="FFFFFF"/>
            <w:tcMar>
              <w:top w:w="40" w:type="dxa"/>
              <w:left w:w="20" w:type="dxa"/>
              <w:bottom w:w="40" w:type="dxa"/>
              <w:right w:w="20" w:type="dxa"/>
            </w:tcMar>
            <w:vAlign w:val="bottom"/>
          </w:tcPr>
          <w:p w14:paraId="7C2085BD" w14:textId="77777777" w:rsidR="00834A75" w:rsidRDefault="00A6708C">
            <w:pPr>
              <w:textAlignment w:val="bottom"/>
            </w:pPr>
            <w:r>
              <w:rPr>
                <w:rFonts w:ascii="sans-serif" w:eastAsia="sans-serif" w:hAnsi="sans-serif" w:cs="sans-serif"/>
                <w:color w:val="000000"/>
                <w:sz w:val="20"/>
                <w:szCs w:val="20"/>
              </w:rPr>
              <w:t>0.584% Notes Due 2024</w:t>
            </w:r>
          </w:p>
        </w:tc>
        <w:tc>
          <w:tcPr>
            <w:tcW w:w="0" w:type="auto"/>
            <w:gridSpan w:val="3"/>
            <w:shd w:val="clear" w:color="auto" w:fill="FFFFFF"/>
            <w:tcMar>
              <w:top w:w="40" w:type="dxa"/>
              <w:left w:w="20" w:type="dxa"/>
              <w:bottom w:w="40" w:type="dxa"/>
              <w:right w:w="20" w:type="dxa"/>
            </w:tcMar>
            <w:vAlign w:val="bottom"/>
          </w:tcPr>
          <w:p w14:paraId="7C2085BE" w14:textId="77777777" w:rsidR="00834A75" w:rsidRDefault="00A6708C">
            <w:pPr>
              <w:jc w:val="center"/>
              <w:textAlignment w:val="bottom"/>
            </w:pPr>
            <w:r>
              <w:rPr>
                <w:rFonts w:ascii="sans-serif" w:eastAsia="sans-serif" w:hAnsi="sans-serif" w:cs="sans-serif"/>
                <w:color w:val="000000"/>
                <w:sz w:val="20"/>
                <w:szCs w:val="20"/>
              </w:rPr>
              <w:t>Level 2</w:t>
            </w:r>
          </w:p>
        </w:tc>
        <w:tc>
          <w:tcPr>
            <w:tcW w:w="0" w:type="auto"/>
            <w:gridSpan w:val="3"/>
            <w:shd w:val="clear" w:color="auto" w:fill="FFFFFF"/>
            <w:tcMar>
              <w:top w:w="0" w:type="dxa"/>
              <w:left w:w="20" w:type="dxa"/>
              <w:bottom w:w="0" w:type="dxa"/>
              <w:right w:w="20" w:type="dxa"/>
            </w:tcMar>
            <w:vAlign w:val="bottom"/>
          </w:tcPr>
          <w:p w14:paraId="7C2085BF" w14:textId="77777777" w:rsidR="00834A75" w:rsidRDefault="00834A75">
            <w:pPr>
              <w:rPr>
                <w:rFonts w:ascii="宋体"/>
              </w:rPr>
            </w:pPr>
          </w:p>
        </w:tc>
        <w:tc>
          <w:tcPr>
            <w:tcW w:w="0" w:type="auto"/>
            <w:shd w:val="clear" w:color="auto" w:fill="FFFFFF"/>
            <w:tcMar>
              <w:top w:w="40" w:type="dxa"/>
              <w:left w:w="20" w:type="dxa"/>
              <w:bottom w:w="40" w:type="dxa"/>
              <w:right w:w="0" w:type="dxa"/>
            </w:tcMar>
            <w:vAlign w:val="bottom"/>
          </w:tcPr>
          <w:p w14:paraId="7C2085C0" w14:textId="77777777" w:rsidR="00834A75" w:rsidRDefault="00A6708C">
            <w:pPr>
              <w:textAlignment w:val="bottom"/>
            </w:pPr>
            <w:r>
              <w:rPr>
                <w:rFonts w:ascii="sans-serif" w:eastAsia="sans-serif" w:hAnsi="sans-serif" w:cs="sans-serif"/>
                <w:color w:val="000000"/>
                <w:sz w:val="20"/>
                <w:szCs w:val="20"/>
              </w:rPr>
              <w:t>$</w:t>
            </w:r>
          </w:p>
        </w:tc>
        <w:tc>
          <w:tcPr>
            <w:tcW w:w="0" w:type="auto"/>
            <w:shd w:val="clear" w:color="auto" w:fill="FFFFFF"/>
            <w:tcMar>
              <w:top w:w="40" w:type="dxa"/>
              <w:left w:w="0" w:type="dxa"/>
              <w:bottom w:w="40" w:type="dxa"/>
              <w:right w:w="0" w:type="dxa"/>
            </w:tcMar>
            <w:vAlign w:val="bottom"/>
          </w:tcPr>
          <w:p w14:paraId="7C2085C1" w14:textId="77777777" w:rsidR="00834A75" w:rsidRDefault="00A6708C">
            <w:pPr>
              <w:jc w:val="right"/>
              <w:textAlignment w:val="bottom"/>
            </w:pPr>
            <w:r>
              <w:rPr>
                <w:rFonts w:ascii="sans-serif" w:eastAsia="sans-serif" w:hAnsi="sans-serif" w:cs="sans-serif"/>
                <w:color w:val="000000"/>
                <w:sz w:val="20"/>
                <w:szCs w:val="20"/>
              </w:rPr>
              <w:t>1,191 </w:t>
            </w:r>
          </w:p>
        </w:tc>
        <w:tc>
          <w:tcPr>
            <w:tcW w:w="0" w:type="auto"/>
            <w:shd w:val="clear" w:color="auto" w:fill="FFFFFF"/>
            <w:tcMar>
              <w:top w:w="40" w:type="dxa"/>
              <w:left w:w="0" w:type="dxa"/>
              <w:bottom w:w="40" w:type="dxa"/>
              <w:right w:w="20" w:type="dxa"/>
            </w:tcMar>
            <w:vAlign w:val="bottom"/>
          </w:tcPr>
          <w:p w14:paraId="7C2085C2" w14:textId="77777777" w:rsidR="00834A75" w:rsidRDefault="00834A75">
            <w:pPr>
              <w:jc w:val="right"/>
              <w:rPr>
                <w:rFonts w:ascii="宋体"/>
              </w:rPr>
            </w:pPr>
          </w:p>
        </w:tc>
        <w:tc>
          <w:tcPr>
            <w:tcW w:w="0" w:type="auto"/>
            <w:gridSpan w:val="3"/>
            <w:shd w:val="clear" w:color="auto" w:fill="FFFFFF"/>
            <w:tcMar>
              <w:top w:w="0" w:type="dxa"/>
              <w:left w:w="20" w:type="dxa"/>
              <w:bottom w:w="0" w:type="dxa"/>
              <w:right w:w="20" w:type="dxa"/>
            </w:tcMar>
            <w:vAlign w:val="bottom"/>
          </w:tcPr>
          <w:p w14:paraId="7C2085C3" w14:textId="77777777" w:rsidR="00834A75" w:rsidRDefault="00834A75">
            <w:pPr>
              <w:rPr>
                <w:rFonts w:ascii="宋体"/>
              </w:rPr>
            </w:pPr>
          </w:p>
        </w:tc>
        <w:tc>
          <w:tcPr>
            <w:tcW w:w="0" w:type="auto"/>
            <w:shd w:val="clear" w:color="auto" w:fill="FFFFFF"/>
            <w:tcMar>
              <w:top w:w="40" w:type="dxa"/>
              <w:left w:w="20" w:type="dxa"/>
              <w:bottom w:w="40" w:type="dxa"/>
              <w:right w:w="0" w:type="dxa"/>
            </w:tcMar>
            <w:vAlign w:val="bottom"/>
          </w:tcPr>
          <w:p w14:paraId="7C2085C4" w14:textId="77777777" w:rsidR="00834A75" w:rsidRDefault="00A6708C">
            <w:pPr>
              <w:textAlignment w:val="bottom"/>
            </w:pPr>
            <w:r>
              <w:rPr>
                <w:rFonts w:ascii="sans-serif" w:eastAsia="sans-serif" w:hAnsi="sans-serif" w:cs="sans-serif"/>
                <w:color w:val="000000"/>
                <w:sz w:val="20"/>
                <w:szCs w:val="20"/>
              </w:rPr>
              <w:t>$</w:t>
            </w:r>
          </w:p>
        </w:tc>
        <w:tc>
          <w:tcPr>
            <w:tcW w:w="0" w:type="auto"/>
            <w:shd w:val="clear" w:color="auto" w:fill="FFFFFF"/>
            <w:tcMar>
              <w:top w:w="40" w:type="dxa"/>
              <w:left w:w="0" w:type="dxa"/>
              <w:bottom w:w="40" w:type="dxa"/>
              <w:right w:w="0" w:type="dxa"/>
            </w:tcMar>
            <w:vAlign w:val="bottom"/>
          </w:tcPr>
          <w:p w14:paraId="7C2085C5" w14:textId="77777777" w:rsidR="00834A75" w:rsidRDefault="00A6708C">
            <w:pPr>
              <w:jc w:val="right"/>
              <w:textAlignment w:val="bottom"/>
            </w:pPr>
            <w:r>
              <w:rPr>
                <w:rFonts w:ascii="sans-serif" w:eastAsia="sans-serif" w:hAnsi="sans-serif" w:cs="sans-serif"/>
                <w:color w:val="000000"/>
                <w:sz w:val="20"/>
                <w:szCs w:val="20"/>
              </w:rPr>
              <w:t>1,224 </w:t>
            </w:r>
          </w:p>
        </w:tc>
        <w:tc>
          <w:tcPr>
            <w:tcW w:w="0" w:type="auto"/>
            <w:shd w:val="clear" w:color="auto" w:fill="FFFFFF"/>
            <w:tcMar>
              <w:top w:w="40" w:type="dxa"/>
              <w:left w:w="0" w:type="dxa"/>
              <w:bottom w:w="40" w:type="dxa"/>
              <w:right w:w="20" w:type="dxa"/>
            </w:tcMar>
            <w:vAlign w:val="bottom"/>
          </w:tcPr>
          <w:p w14:paraId="7C2085C6" w14:textId="77777777" w:rsidR="00834A75" w:rsidRDefault="00834A75">
            <w:pPr>
              <w:jc w:val="right"/>
              <w:rPr>
                <w:rFonts w:ascii="宋体"/>
              </w:rPr>
            </w:pPr>
          </w:p>
        </w:tc>
      </w:tr>
      <w:tr w:rsidR="00834A75" w14:paraId="7C2085D2" w14:textId="77777777">
        <w:tc>
          <w:tcPr>
            <w:tcW w:w="0" w:type="auto"/>
            <w:gridSpan w:val="3"/>
            <w:shd w:val="clear" w:color="auto" w:fill="E2EFD9"/>
            <w:tcMar>
              <w:top w:w="40" w:type="dxa"/>
              <w:left w:w="20" w:type="dxa"/>
              <w:bottom w:w="40" w:type="dxa"/>
              <w:right w:w="20" w:type="dxa"/>
            </w:tcMar>
            <w:vAlign w:val="bottom"/>
          </w:tcPr>
          <w:p w14:paraId="7C2085C8" w14:textId="77777777" w:rsidR="00834A75" w:rsidRDefault="00A6708C">
            <w:pPr>
              <w:textAlignment w:val="bottom"/>
            </w:pPr>
            <w:r>
              <w:rPr>
                <w:rFonts w:ascii="sans-serif" w:eastAsia="sans-serif" w:hAnsi="sans-serif" w:cs="sans-serif"/>
                <w:color w:val="000000"/>
                <w:sz w:val="20"/>
                <w:szCs w:val="20"/>
              </w:rPr>
              <w:t xml:space="preserve">3.20% Notes Due </w:t>
            </w:r>
            <w:r>
              <w:rPr>
                <w:rFonts w:ascii="sans-serif" w:eastAsia="sans-serif" w:hAnsi="sans-serif" w:cs="sans-serif"/>
                <w:color w:val="000000"/>
                <w:sz w:val="20"/>
                <w:szCs w:val="20"/>
              </w:rPr>
              <w:t>2026</w:t>
            </w:r>
          </w:p>
        </w:tc>
        <w:tc>
          <w:tcPr>
            <w:tcW w:w="0" w:type="auto"/>
            <w:gridSpan w:val="3"/>
            <w:shd w:val="clear" w:color="auto" w:fill="E2EFD9"/>
            <w:tcMar>
              <w:top w:w="40" w:type="dxa"/>
              <w:left w:w="20" w:type="dxa"/>
              <w:bottom w:w="40" w:type="dxa"/>
              <w:right w:w="20" w:type="dxa"/>
            </w:tcMar>
            <w:vAlign w:val="bottom"/>
          </w:tcPr>
          <w:p w14:paraId="7C2085C9" w14:textId="77777777" w:rsidR="00834A75" w:rsidRDefault="00A6708C">
            <w:pPr>
              <w:jc w:val="center"/>
              <w:textAlignment w:val="bottom"/>
            </w:pPr>
            <w:r>
              <w:rPr>
                <w:rFonts w:ascii="sans-serif" w:eastAsia="sans-serif" w:hAnsi="sans-serif" w:cs="sans-serif"/>
                <w:color w:val="000000"/>
                <w:sz w:val="20"/>
                <w:szCs w:val="20"/>
              </w:rPr>
              <w:t>Level 2</w:t>
            </w:r>
          </w:p>
        </w:tc>
        <w:tc>
          <w:tcPr>
            <w:tcW w:w="0" w:type="auto"/>
            <w:gridSpan w:val="3"/>
            <w:shd w:val="clear" w:color="auto" w:fill="E2EFD9"/>
            <w:tcMar>
              <w:top w:w="0" w:type="dxa"/>
              <w:left w:w="20" w:type="dxa"/>
              <w:bottom w:w="0" w:type="dxa"/>
              <w:right w:w="20" w:type="dxa"/>
            </w:tcMar>
            <w:vAlign w:val="bottom"/>
          </w:tcPr>
          <w:p w14:paraId="7C2085CA" w14:textId="77777777" w:rsidR="00834A75" w:rsidRDefault="00834A75">
            <w:pPr>
              <w:rPr>
                <w:rFonts w:ascii="宋体"/>
              </w:rPr>
            </w:pPr>
          </w:p>
        </w:tc>
        <w:tc>
          <w:tcPr>
            <w:tcW w:w="0" w:type="auto"/>
            <w:shd w:val="clear" w:color="auto" w:fill="E2EFD9"/>
            <w:tcMar>
              <w:top w:w="40" w:type="dxa"/>
              <w:left w:w="20" w:type="dxa"/>
              <w:bottom w:w="40" w:type="dxa"/>
              <w:right w:w="0" w:type="dxa"/>
            </w:tcMar>
            <w:vAlign w:val="bottom"/>
          </w:tcPr>
          <w:p w14:paraId="7C2085CB" w14:textId="77777777" w:rsidR="00834A75" w:rsidRDefault="00A6708C">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7C2085CC" w14:textId="77777777" w:rsidR="00834A75" w:rsidRDefault="00A6708C">
            <w:pPr>
              <w:jc w:val="right"/>
              <w:textAlignment w:val="bottom"/>
            </w:pPr>
            <w:r>
              <w:rPr>
                <w:rFonts w:ascii="sans-serif" w:eastAsia="sans-serif" w:hAnsi="sans-serif" w:cs="sans-serif"/>
                <w:color w:val="000000"/>
                <w:sz w:val="20"/>
                <w:szCs w:val="20"/>
              </w:rPr>
              <w:t>995 </w:t>
            </w:r>
          </w:p>
        </w:tc>
        <w:tc>
          <w:tcPr>
            <w:tcW w:w="0" w:type="auto"/>
            <w:shd w:val="clear" w:color="auto" w:fill="E2EFD9"/>
            <w:tcMar>
              <w:top w:w="40" w:type="dxa"/>
              <w:left w:w="0" w:type="dxa"/>
              <w:bottom w:w="40" w:type="dxa"/>
              <w:right w:w="20" w:type="dxa"/>
            </w:tcMar>
            <w:vAlign w:val="bottom"/>
          </w:tcPr>
          <w:p w14:paraId="7C2085CD" w14:textId="77777777" w:rsidR="00834A75" w:rsidRDefault="00834A75">
            <w:pPr>
              <w:jc w:val="right"/>
              <w:rPr>
                <w:rFonts w:ascii="宋体"/>
              </w:rPr>
            </w:pPr>
          </w:p>
        </w:tc>
        <w:tc>
          <w:tcPr>
            <w:tcW w:w="0" w:type="auto"/>
            <w:gridSpan w:val="3"/>
            <w:shd w:val="clear" w:color="auto" w:fill="E2EFD9"/>
            <w:tcMar>
              <w:top w:w="0" w:type="dxa"/>
              <w:left w:w="20" w:type="dxa"/>
              <w:bottom w:w="0" w:type="dxa"/>
              <w:right w:w="20" w:type="dxa"/>
            </w:tcMar>
            <w:vAlign w:val="bottom"/>
          </w:tcPr>
          <w:p w14:paraId="7C2085CE" w14:textId="77777777" w:rsidR="00834A75" w:rsidRDefault="00834A75">
            <w:pPr>
              <w:rPr>
                <w:rFonts w:ascii="宋体"/>
              </w:rPr>
            </w:pPr>
          </w:p>
        </w:tc>
        <w:tc>
          <w:tcPr>
            <w:tcW w:w="0" w:type="auto"/>
            <w:shd w:val="clear" w:color="auto" w:fill="E2EFD9"/>
            <w:tcMar>
              <w:top w:w="40" w:type="dxa"/>
              <w:left w:w="20" w:type="dxa"/>
              <w:bottom w:w="40" w:type="dxa"/>
              <w:right w:w="0" w:type="dxa"/>
            </w:tcMar>
            <w:vAlign w:val="bottom"/>
          </w:tcPr>
          <w:p w14:paraId="7C2085CF" w14:textId="77777777" w:rsidR="00834A75" w:rsidRDefault="00A6708C">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7C2085D0" w14:textId="77777777" w:rsidR="00834A75" w:rsidRDefault="00A6708C">
            <w:pPr>
              <w:jc w:val="right"/>
              <w:textAlignment w:val="bottom"/>
            </w:pPr>
            <w:r>
              <w:rPr>
                <w:rFonts w:ascii="sans-serif" w:eastAsia="sans-serif" w:hAnsi="sans-serif" w:cs="sans-serif"/>
                <w:color w:val="000000"/>
                <w:sz w:val="20"/>
                <w:szCs w:val="20"/>
              </w:rPr>
              <w:t>1,055 </w:t>
            </w:r>
          </w:p>
        </w:tc>
        <w:tc>
          <w:tcPr>
            <w:tcW w:w="0" w:type="auto"/>
            <w:shd w:val="clear" w:color="auto" w:fill="E2EFD9"/>
            <w:tcMar>
              <w:top w:w="40" w:type="dxa"/>
              <w:left w:w="0" w:type="dxa"/>
              <w:bottom w:w="40" w:type="dxa"/>
              <w:right w:w="20" w:type="dxa"/>
            </w:tcMar>
            <w:vAlign w:val="bottom"/>
          </w:tcPr>
          <w:p w14:paraId="7C2085D1" w14:textId="77777777" w:rsidR="00834A75" w:rsidRDefault="00834A75">
            <w:pPr>
              <w:jc w:val="right"/>
              <w:rPr>
                <w:rFonts w:ascii="宋体"/>
              </w:rPr>
            </w:pPr>
          </w:p>
        </w:tc>
      </w:tr>
      <w:tr w:rsidR="00834A75" w14:paraId="7C2085DD" w14:textId="77777777">
        <w:tc>
          <w:tcPr>
            <w:tcW w:w="0" w:type="auto"/>
            <w:gridSpan w:val="3"/>
            <w:shd w:val="clear" w:color="auto" w:fill="FFFFFF"/>
            <w:tcMar>
              <w:top w:w="40" w:type="dxa"/>
              <w:left w:w="20" w:type="dxa"/>
              <w:bottom w:w="40" w:type="dxa"/>
              <w:right w:w="20" w:type="dxa"/>
            </w:tcMar>
            <w:vAlign w:val="bottom"/>
          </w:tcPr>
          <w:p w14:paraId="7C2085D3" w14:textId="77777777" w:rsidR="00834A75" w:rsidRDefault="00A6708C">
            <w:pPr>
              <w:textAlignment w:val="bottom"/>
            </w:pPr>
            <w:r>
              <w:rPr>
                <w:rFonts w:ascii="sans-serif" w:eastAsia="sans-serif" w:hAnsi="sans-serif" w:cs="sans-serif"/>
                <w:color w:val="000000"/>
                <w:sz w:val="20"/>
                <w:szCs w:val="20"/>
              </w:rPr>
              <w:t>1.55% Notes Due 2028</w:t>
            </w:r>
          </w:p>
        </w:tc>
        <w:tc>
          <w:tcPr>
            <w:tcW w:w="0" w:type="auto"/>
            <w:gridSpan w:val="3"/>
            <w:shd w:val="clear" w:color="auto" w:fill="FFFFFF"/>
            <w:tcMar>
              <w:top w:w="40" w:type="dxa"/>
              <w:left w:w="20" w:type="dxa"/>
              <w:bottom w:w="40" w:type="dxa"/>
              <w:right w:w="20" w:type="dxa"/>
            </w:tcMar>
            <w:vAlign w:val="bottom"/>
          </w:tcPr>
          <w:p w14:paraId="7C2085D4" w14:textId="77777777" w:rsidR="00834A75" w:rsidRDefault="00A6708C">
            <w:pPr>
              <w:jc w:val="center"/>
              <w:textAlignment w:val="bottom"/>
            </w:pPr>
            <w:r>
              <w:rPr>
                <w:rFonts w:ascii="sans-serif" w:eastAsia="sans-serif" w:hAnsi="sans-serif" w:cs="sans-serif"/>
                <w:color w:val="000000"/>
                <w:sz w:val="20"/>
                <w:szCs w:val="20"/>
              </w:rPr>
              <w:t>Level 2</w:t>
            </w:r>
          </w:p>
        </w:tc>
        <w:tc>
          <w:tcPr>
            <w:tcW w:w="0" w:type="auto"/>
            <w:gridSpan w:val="3"/>
            <w:shd w:val="clear" w:color="auto" w:fill="FFFFFF"/>
            <w:tcMar>
              <w:top w:w="0" w:type="dxa"/>
              <w:left w:w="20" w:type="dxa"/>
              <w:bottom w:w="0" w:type="dxa"/>
              <w:right w:w="20" w:type="dxa"/>
            </w:tcMar>
            <w:vAlign w:val="bottom"/>
          </w:tcPr>
          <w:p w14:paraId="7C2085D5" w14:textId="77777777" w:rsidR="00834A75" w:rsidRDefault="00834A75">
            <w:pPr>
              <w:rPr>
                <w:rFonts w:ascii="宋体"/>
              </w:rPr>
            </w:pPr>
          </w:p>
        </w:tc>
        <w:tc>
          <w:tcPr>
            <w:tcW w:w="0" w:type="auto"/>
            <w:shd w:val="clear" w:color="auto" w:fill="FFFFFF"/>
            <w:tcMar>
              <w:top w:w="40" w:type="dxa"/>
              <w:left w:w="20" w:type="dxa"/>
              <w:bottom w:w="40" w:type="dxa"/>
              <w:right w:w="0" w:type="dxa"/>
            </w:tcMar>
            <w:vAlign w:val="bottom"/>
          </w:tcPr>
          <w:p w14:paraId="7C2085D6" w14:textId="77777777" w:rsidR="00834A75" w:rsidRDefault="00A6708C">
            <w:pPr>
              <w:textAlignment w:val="bottom"/>
            </w:pPr>
            <w:r>
              <w:rPr>
                <w:rFonts w:ascii="sans-serif" w:eastAsia="sans-serif" w:hAnsi="sans-serif" w:cs="sans-serif"/>
                <w:color w:val="000000"/>
                <w:sz w:val="20"/>
                <w:szCs w:val="20"/>
              </w:rPr>
              <w:t>$</w:t>
            </w:r>
          </w:p>
        </w:tc>
        <w:tc>
          <w:tcPr>
            <w:tcW w:w="0" w:type="auto"/>
            <w:shd w:val="clear" w:color="auto" w:fill="FFFFFF"/>
            <w:tcMar>
              <w:top w:w="40" w:type="dxa"/>
              <w:left w:w="0" w:type="dxa"/>
              <w:bottom w:w="40" w:type="dxa"/>
              <w:right w:w="0" w:type="dxa"/>
            </w:tcMar>
            <w:vAlign w:val="bottom"/>
          </w:tcPr>
          <w:p w14:paraId="7C2085D7" w14:textId="77777777" w:rsidR="00834A75" w:rsidRDefault="00A6708C">
            <w:pPr>
              <w:jc w:val="right"/>
              <w:textAlignment w:val="bottom"/>
            </w:pPr>
            <w:r>
              <w:rPr>
                <w:rFonts w:ascii="sans-serif" w:eastAsia="sans-serif" w:hAnsi="sans-serif" w:cs="sans-serif"/>
                <w:color w:val="000000"/>
                <w:sz w:val="20"/>
                <w:szCs w:val="20"/>
              </w:rPr>
              <w:t>1,100 </w:t>
            </w:r>
          </w:p>
        </w:tc>
        <w:tc>
          <w:tcPr>
            <w:tcW w:w="0" w:type="auto"/>
            <w:shd w:val="clear" w:color="auto" w:fill="FFFFFF"/>
            <w:tcMar>
              <w:top w:w="40" w:type="dxa"/>
              <w:left w:w="0" w:type="dxa"/>
              <w:bottom w:w="40" w:type="dxa"/>
              <w:right w:w="20" w:type="dxa"/>
            </w:tcMar>
            <w:vAlign w:val="bottom"/>
          </w:tcPr>
          <w:p w14:paraId="7C2085D8" w14:textId="77777777" w:rsidR="00834A75" w:rsidRDefault="00834A75">
            <w:pPr>
              <w:jc w:val="right"/>
              <w:rPr>
                <w:rFonts w:ascii="宋体"/>
              </w:rPr>
            </w:pPr>
          </w:p>
        </w:tc>
        <w:tc>
          <w:tcPr>
            <w:tcW w:w="0" w:type="auto"/>
            <w:gridSpan w:val="3"/>
            <w:shd w:val="clear" w:color="auto" w:fill="FFFFFF"/>
            <w:tcMar>
              <w:top w:w="0" w:type="dxa"/>
              <w:left w:w="20" w:type="dxa"/>
              <w:bottom w:w="0" w:type="dxa"/>
              <w:right w:w="20" w:type="dxa"/>
            </w:tcMar>
            <w:vAlign w:val="bottom"/>
          </w:tcPr>
          <w:p w14:paraId="7C2085D9" w14:textId="77777777" w:rsidR="00834A75" w:rsidRDefault="00834A75">
            <w:pPr>
              <w:rPr>
                <w:rFonts w:ascii="宋体"/>
              </w:rPr>
            </w:pPr>
          </w:p>
        </w:tc>
        <w:tc>
          <w:tcPr>
            <w:tcW w:w="0" w:type="auto"/>
            <w:shd w:val="clear" w:color="auto" w:fill="FFFFFF"/>
            <w:tcMar>
              <w:top w:w="40" w:type="dxa"/>
              <w:left w:w="20" w:type="dxa"/>
              <w:bottom w:w="40" w:type="dxa"/>
              <w:right w:w="0" w:type="dxa"/>
            </w:tcMar>
            <w:vAlign w:val="bottom"/>
          </w:tcPr>
          <w:p w14:paraId="7C2085DA" w14:textId="77777777" w:rsidR="00834A75" w:rsidRDefault="00A6708C">
            <w:pPr>
              <w:textAlignment w:val="bottom"/>
            </w:pPr>
            <w:r>
              <w:rPr>
                <w:rFonts w:ascii="sans-serif" w:eastAsia="sans-serif" w:hAnsi="sans-serif" w:cs="sans-serif"/>
                <w:color w:val="000000"/>
                <w:sz w:val="20"/>
                <w:szCs w:val="20"/>
              </w:rPr>
              <w:t>$</w:t>
            </w:r>
          </w:p>
        </w:tc>
        <w:tc>
          <w:tcPr>
            <w:tcW w:w="0" w:type="auto"/>
            <w:shd w:val="clear" w:color="auto" w:fill="FFFFFF"/>
            <w:tcMar>
              <w:top w:w="40" w:type="dxa"/>
              <w:left w:w="0" w:type="dxa"/>
              <w:bottom w:w="40" w:type="dxa"/>
              <w:right w:w="0" w:type="dxa"/>
            </w:tcMar>
            <w:vAlign w:val="bottom"/>
          </w:tcPr>
          <w:p w14:paraId="7C2085DB" w14:textId="77777777" w:rsidR="00834A75" w:rsidRDefault="00A6708C">
            <w:pPr>
              <w:jc w:val="right"/>
              <w:textAlignment w:val="bottom"/>
            </w:pPr>
            <w:r>
              <w:rPr>
                <w:rFonts w:ascii="sans-serif" w:eastAsia="sans-serif" w:hAnsi="sans-serif" w:cs="sans-serif"/>
                <w:color w:val="000000"/>
                <w:sz w:val="20"/>
                <w:szCs w:val="20"/>
              </w:rPr>
              <w:t>1,200 </w:t>
            </w:r>
          </w:p>
        </w:tc>
        <w:tc>
          <w:tcPr>
            <w:tcW w:w="0" w:type="auto"/>
            <w:shd w:val="clear" w:color="auto" w:fill="FFFFFF"/>
            <w:tcMar>
              <w:top w:w="40" w:type="dxa"/>
              <w:left w:w="0" w:type="dxa"/>
              <w:bottom w:w="40" w:type="dxa"/>
              <w:right w:w="20" w:type="dxa"/>
            </w:tcMar>
            <w:vAlign w:val="bottom"/>
          </w:tcPr>
          <w:p w14:paraId="7C2085DC" w14:textId="77777777" w:rsidR="00834A75" w:rsidRDefault="00834A75">
            <w:pPr>
              <w:jc w:val="right"/>
              <w:rPr>
                <w:rFonts w:ascii="宋体"/>
              </w:rPr>
            </w:pPr>
          </w:p>
        </w:tc>
      </w:tr>
      <w:tr w:rsidR="00834A75" w14:paraId="7C2085E8" w14:textId="77777777">
        <w:tc>
          <w:tcPr>
            <w:tcW w:w="0" w:type="auto"/>
            <w:gridSpan w:val="3"/>
            <w:shd w:val="clear" w:color="auto" w:fill="E2EFD9"/>
            <w:tcMar>
              <w:top w:w="40" w:type="dxa"/>
              <w:left w:w="20" w:type="dxa"/>
              <w:bottom w:w="40" w:type="dxa"/>
              <w:right w:w="20" w:type="dxa"/>
            </w:tcMar>
            <w:vAlign w:val="bottom"/>
          </w:tcPr>
          <w:p w14:paraId="7C2085DE" w14:textId="77777777" w:rsidR="00834A75" w:rsidRDefault="00A6708C">
            <w:pPr>
              <w:textAlignment w:val="bottom"/>
            </w:pPr>
            <w:r>
              <w:rPr>
                <w:rFonts w:ascii="sans-serif" w:eastAsia="sans-serif" w:hAnsi="sans-serif" w:cs="sans-serif"/>
                <w:color w:val="000000"/>
                <w:sz w:val="20"/>
                <w:szCs w:val="20"/>
              </w:rPr>
              <w:t>2.85% Notes Due 2030</w:t>
            </w:r>
          </w:p>
        </w:tc>
        <w:tc>
          <w:tcPr>
            <w:tcW w:w="0" w:type="auto"/>
            <w:gridSpan w:val="3"/>
            <w:shd w:val="clear" w:color="auto" w:fill="E2EFD9"/>
            <w:tcMar>
              <w:top w:w="40" w:type="dxa"/>
              <w:left w:w="20" w:type="dxa"/>
              <w:bottom w:w="40" w:type="dxa"/>
              <w:right w:w="20" w:type="dxa"/>
            </w:tcMar>
            <w:vAlign w:val="bottom"/>
          </w:tcPr>
          <w:p w14:paraId="7C2085DF" w14:textId="77777777" w:rsidR="00834A75" w:rsidRDefault="00A6708C">
            <w:pPr>
              <w:jc w:val="center"/>
              <w:textAlignment w:val="bottom"/>
            </w:pPr>
            <w:r>
              <w:rPr>
                <w:rFonts w:ascii="sans-serif" w:eastAsia="sans-serif" w:hAnsi="sans-serif" w:cs="sans-serif"/>
                <w:color w:val="000000"/>
                <w:sz w:val="20"/>
                <w:szCs w:val="20"/>
              </w:rPr>
              <w:t>Level 2</w:t>
            </w:r>
          </w:p>
        </w:tc>
        <w:tc>
          <w:tcPr>
            <w:tcW w:w="0" w:type="auto"/>
            <w:gridSpan w:val="3"/>
            <w:shd w:val="clear" w:color="auto" w:fill="E2EFD9"/>
            <w:tcMar>
              <w:top w:w="0" w:type="dxa"/>
              <w:left w:w="20" w:type="dxa"/>
              <w:bottom w:w="0" w:type="dxa"/>
              <w:right w:w="20" w:type="dxa"/>
            </w:tcMar>
            <w:vAlign w:val="bottom"/>
          </w:tcPr>
          <w:p w14:paraId="7C2085E0" w14:textId="77777777" w:rsidR="00834A75" w:rsidRDefault="00834A75">
            <w:pPr>
              <w:rPr>
                <w:rFonts w:ascii="宋体"/>
              </w:rPr>
            </w:pPr>
          </w:p>
        </w:tc>
        <w:tc>
          <w:tcPr>
            <w:tcW w:w="0" w:type="auto"/>
            <w:shd w:val="clear" w:color="auto" w:fill="E2EFD9"/>
            <w:tcMar>
              <w:top w:w="40" w:type="dxa"/>
              <w:left w:w="20" w:type="dxa"/>
              <w:bottom w:w="40" w:type="dxa"/>
              <w:right w:w="0" w:type="dxa"/>
            </w:tcMar>
            <w:vAlign w:val="bottom"/>
          </w:tcPr>
          <w:p w14:paraId="7C2085E1" w14:textId="77777777" w:rsidR="00834A75" w:rsidRDefault="00A6708C">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7C2085E2" w14:textId="77777777" w:rsidR="00834A75" w:rsidRDefault="00A6708C">
            <w:pPr>
              <w:jc w:val="right"/>
              <w:textAlignment w:val="bottom"/>
            </w:pPr>
            <w:r>
              <w:rPr>
                <w:rFonts w:ascii="sans-serif" w:eastAsia="sans-serif" w:hAnsi="sans-serif" w:cs="sans-serif"/>
                <w:color w:val="000000"/>
                <w:sz w:val="20"/>
                <w:szCs w:val="20"/>
              </w:rPr>
              <w:t>1,393 </w:t>
            </w:r>
          </w:p>
        </w:tc>
        <w:tc>
          <w:tcPr>
            <w:tcW w:w="0" w:type="auto"/>
            <w:shd w:val="clear" w:color="auto" w:fill="E2EFD9"/>
            <w:tcMar>
              <w:top w:w="40" w:type="dxa"/>
              <w:left w:w="0" w:type="dxa"/>
              <w:bottom w:w="40" w:type="dxa"/>
              <w:right w:w="20" w:type="dxa"/>
            </w:tcMar>
            <w:vAlign w:val="bottom"/>
          </w:tcPr>
          <w:p w14:paraId="7C2085E3" w14:textId="77777777" w:rsidR="00834A75" w:rsidRDefault="00834A75">
            <w:pPr>
              <w:jc w:val="right"/>
              <w:rPr>
                <w:rFonts w:ascii="宋体"/>
              </w:rPr>
            </w:pPr>
          </w:p>
        </w:tc>
        <w:tc>
          <w:tcPr>
            <w:tcW w:w="0" w:type="auto"/>
            <w:gridSpan w:val="3"/>
            <w:shd w:val="clear" w:color="auto" w:fill="E2EFD9"/>
            <w:tcMar>
              <w:top w:w="0" w:type="dxa"/>
              <w:left w:w="20" w:type="dxa"/>
              <w:bottom w:w="0" w:type="dxa"/>
              <w:right w:w="20" w:type="dxa"/>
            </w:tcMar>
            <w:vAlign w:val="bottom"/>
          </w:tcPr>
          <w:p w14:paraId="7C2085E4" w14:textId="77777777" w:rsidR="00834A75" w:rsidRDefault="00834A75">
            <w:pPr>
              <w:rPr>
                <w:rFonts w:ascii="宋体"/>
              </w:rPr>
            </w:pPr>
          </w:p>
        </w:tc>
        <w:tc>
          <w:tcPr>
            <w:tcW w:w="0" w:type="auto"/>
            <w:shd w:val="clear" w:color="auto" w:fill="E2EFD9"/>
            <w:tcMar>
              <w:top w:w="40" w:type="dxa"/>
              <w:left w:w="20" w:type="dxa"/>
              <w:bottom w:w="40" w:type="dxa"/>
              <w:right w:w="0" w:type="dxa"/>
            </w:tcMar>
            <w:vAlign w:val="bottom"/>
          </w:tcPr>
          <w:p w14:paraId="7C2085E5" w14:textId="77777777" w:rsidR="00834A75" w:rsidRDefault="00A6708C">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7C2085E6" w14:textId="77777777" w:rsidR="00834A75" w:rsidRDefault="00A6708C">
            <w:pPr>
              <w:jc w:val="right"/>
              <w:textAlignment w:val="bottom"/>
            </w:pPr>
            <w:r>
              <w:rPr>
                <w:rFonts w:ascii="sans-serif" w:eastAsia="sans-serif" w:hAnsi="sans-serif" w:cs="sans-serif"/>
                <w:color w:val="000000"/>
                <w:sz w:val="20"/>
                <w:szCs w:val="20"/>
              </w:rPr>
              <w:t>1,542 </w:t>
            </w:r>
          </w:p>
        </w:tc>
        <w:tc>
          <w:tcPr>
            <w:tcW w:w="0" w:type="auto"/>
            <w:shd w:val="clear" w:color="auto" w:fill="E2EFD9"/>
            <w:tcMar>
              <w:top w:w="40" w:type="dxa"/>
              <w:left w:w="0" w:type="dxa"/>
              <w:bottom w:w="40" w:type="dxa"/>
              <w:right w:w="20" w:type="dxa"/>
            </w:tcMar>
            <w:vAlign w:val="bottom"/>
          </w:tcPr>
          <w:p w14:paraId="7C2085E7" w14:textId="77777777" w:rsidR="00834A75" w:rsidRDefault="00834A75">
            <w:pPr>
              <w:jc w:val="right"/>
              <w:rPr>
                <w:rFonts w:ascii="宋体"/>
              </w:rPr>
            </w:pPr>
          </w:p>
        </w:tc>
      </w:tr>
      <w:tr w:rsidR="00834A75" w14:paraId="7C2085F3" w14:textId="77777777">
        <w:tc>
          <w:tcPr>
            <w:tcW w:w="0" w:type="auto"/>
            <w:gridSpan w:val="3"/>
            <w:shd w:val="clear" w:color="auto" w:fill="FFFFFF"/>
            <w:tcMar>
              <w:top w:w="40" w:type="dxa"/>
              <w:left w:w="20" w:type="dxa"/>
              <w:bottom w:w="40" w:type="dxa"/>
              <w:right w:w="20" w:type="dxa"/>
            </w:tcMar>
            <w:vAlign w:val="bottom"/>
          </w:tcPr>
          <w:p w14:paraId="7C2085E9" w14:textId="77777777" w:rsidR="00834A75" w:rsidRDefault="00A6708C">
            <w:pPr>
              <w:textAlignment w:val="bottom"/>
            </w:pPr>
            <w:r>
              <w:rPr>
                <w:rFonts w:ascii="sans-serif" w:eastAsia="sans-serif" w:hAnsi="sans-serif" w:cs="sans-serif"/>
                <w:color w:val="000000"/>
                <w:sz w:val="20"/>
                <w:szCs w:val="20"/>
              </w:rPr>
              <w:t>2.00% Notes Due 2031</w:t>
            </w:r>
          </w:p>
        </w:tc>
        <w:tc>
          <w:tcPr>
            <w:tcW w:w="0" w:type="auto"/>
            <w:gridSpan w:val="3"/>
            <w:shd w:val="clear" w:color="auto" w:fill="FFFFFF"/>
            <w:tcMar>
              <w:top w:w="40" w:type="dxa"/>
              <w:left w:w="20" w:type="dxa"/>
              <w:bottom w:w="40" w:type="dxa"/>
              <w:right w:w="20" w:type="dxa"/>
            </w:tcMar>
            <w:vAlign w:val="bottom"/>
          </w:tcPr>
          <w:p w14:paraId="7C2085EA" w14:textId="77777777" w:rsidR="00834A75" w:rsidRDefault="00A6708C">
            <w:pPr>
              <w:jc w:val="center"/>
              <w:textAlignment w:val="bottom"/>
            </w:pPr>
            <w:r>
              <w:rPr>
                <w:rFonts w:ascii="sans-serif" w:eastAsia="sans-serif" w:hAnsi="sans-serif" w:cs="sans-serif"/>
                <w:color w:val="000000"/>
                <w:sz w:val="20"/>
                <w:szCs w:val="20"/>
              </w:rPr>
              <w:t>Level 2</w:t>
            </w:r>
          </w:p>
        </w:tc>
        <w:tc>
          <w:tcPr>
            <w:tcW w:w="0" w:type="auto"/>
            <w:gridSpan w:val="3"/>
            <w:shd w:val="clear" w:color="auto" w:fill="FFFFFF"/>
            <w:tcMar>
              <w:top w:w="0" w:type="dxa"/>
              <w:left w:w="20" w:type="dxa"/>
              <w:bottom w:w="0" w:type="dxa"/>
              <w:right w:w="20" w:type="dxa"/>
            </w:tcMar>
            <w:vAlign w:val="bottom"/>
          </w:tcPr>
          <w:p w14:paraId="7C2085EB" w14:textId="77777777" w:rsidR="00834A75" w:rsidRDefault="00834A75">
            <w:pPr>
              <w:rPr>
                <w:rFonts w:ascii="宋体"/>
              </w:rPr>
            </w:pPr>
          </w:p>
        </w:tc>
        <w:tc>
          <w:tcPr>
            <w:tcW w:w="0" w:type="auto"/>
            <w:shd w:val="clear" w:color="auto" w:fill="FFFFFF"/>
            <w:tcMar>
              <w:top w:w="40" w:type="dxa"/>
              <w:left w:w="20" w:type="dxa"/>
              <w:bottom w:w="40" w:type="dxa"/>
              <w:right w:w="0" w:type="dxa"/>
            </w:tcMar>
            <w:vAlign w:val="bottom"/>
          </w:tcPr>
          <w:p w14:paraId="7C2085EC" w14:textId="77777777" w:rsidR="00834A75" w:rsidRDefault="00A6708C">
            <w:pPr>
              <w:textAlignment w:val="bottom"/>
            </w:pPr>
            <w:r>
              <w:rPr>
                <w:rFonts w:ascii="sans-serif" w:eastAsia="sans-serif" w:hAnsi="sans-serif" w:cs="sans-serif"/>
                <w:color w:val="000000"/>
                <w:sz w:val="20"/>
                <w:szCs w:val="20"/>
              </w:rPr>
              <w:t>$</w:t>
            </w:r>
          </w:p>
        </w:tc>
        <w:tc>
          <w:tcPr>
            <w:tcW w:w="0" w:type="auto"/>
            <w:shd w:val="clear" w:color="auto" w:fill="FFFFFF"/>
            <w:tcMar>
              <w:top w:w="40" w:type="dxa"/>
              <w:left w:w="0" w:type="dxa"/>
              <w:bottom w:w="40" w:type="dxa"/>
              <w:right w:w="0" w:type="dxa"/>
            </w:tcMar>
            <w:vAlign w:val="bottom"/>
          </w:tcPr>
          <w:p w14:paraId="7C2085ED" w14:textId="77777777" w:rsidR="00834A75" w:rsidRDefault="00A6708C">
            <w:pPr>
              <w:jc w:val="right"/>
              <w:textAlignment w:val="bottom"/>
            </w:pPr>
            <w:r>
              <w:rPr>
                <w:rFonts w:ascii="sans-serif" w:eastAsia="sans-serif" w:hAnsi="sans-serif" w:cs="sans-serif"/>
                <w:color w:val="000000"/>
                <w:sz w:val="20"/>
                <w:szCs w:val="20"/>
              </w:rPr>
              <w:t>1,071 </w:t>
            </w:r>
          </w:p>
        </w:tc>
        <w:tc>
          <w:tcPr>
            <w:tcW w:w="0" w:type="auto"/>
            <w:shd w:val="clear" w:color="auto" w:fill="FFFFFF"/>
            <w:tcMar>
              <w:top w:w="40" w:type="dxa"/>
              <w:left w:w="0" w:type="dxa"/>
              <w:bottom w:w="40" w:type="dxa"/>
              <w:right w:w="20" w:type="dxa"/>
            </w:tcMar>
            <w:vAlign w:val="bottom"/>
          </w:tcPr>
          <w:p w14:paraId="7C2085EE" w14:textId="77777777" w:rsidR="00834A75" w:rsidRDefault="00834A75">
            <w:pPr>
              <w:jc w:val="right"/>
              <w:rPr>
                <w:rFonts w:ascii="宋体"/>
              </w:rPr>
            </w:pPr>
          </w:p>
        </w:tc>
        <w:tc>
          <w:tcPr>
            <w:tcW w:w="0" w:type="auto"/>
            <w:gridSpan w:val="3"/>
            <w:shd w:val="clear" w:color="auto" w:fill="FFFFFF"/>
            <w:tcMar>
              <w:top w:w="0" w:type="dxa"/>
              <w:left w:w="20" w:type="dxa"/>
              <w:bottom w:w="0" w:type="dxa"/>
              <w:right w:w="20" w:type="dxa"/>
            </w:tcMar>
            <w:vAlign w:val="bottom"/>
          </w:tcPr>
          <w:p w14:paraId="7C2085EF" w14:textId="77777777" w:rsidR="00834A75" w:rsidRDefault="00834A75">
            <w:pPr>
              <w:rPr>
                <w:rFonts w:ascii="宋体"/>
              </w:rPr>
            </w:pPr>
          </w:p>
        </w:tc>
        <w:tc>
          <w:tcPr>
            <w:tcW w:w="0" w:type="auto"/>
            <w:shd w:val="clear" w:color="auto" w:fill="FFFFFF"/>
            <w:tcMar>
              <w:top w:w="40" w:type="dxa"/>
              <w:left w:w="20" w:type="dxa"/>
              <w:bottom w:w="40" w:type="dxa"/>
              <w:right w:w="0" w:type="dxa"/>
            </w:tcMar>
            <w:vAlign w:val="bottom"/>
          </w:tcPr>
          <w:p w14:paraId="7C2085F0" w14:textId="77777777" w:rsidR="00834A75" w:rsidRDefault="00A6708C">
            <w:pPr>
              <w:textAlignment w:val="bottom"/>
            </w:pPr>
            <w:r>
              <w:rPr>
                <w:rFonts w:ascii="sans-serif" w:eastAsia="sans-serif" w:hAnsi="sans-serif" w:cs="sans-serif"/>
                <w:color w:val="000000"/>
                <w:sz w:val="20"/>
                <w:szCs w:val="20"/>
              </w:rPr>
              <w:t>$</w:t>
            </w:r>
          </w:p>
        </w:tc>
        <w:tc>
          <w:tcPr>
            <w:tcW w:w="0" w:type="auto"/>
            <w:shd w:val="clear" w:color="auto" w:fill="FFFFFF"/>
            <w:tcMar>
              <w:top w:w="40" w:type="dxa"/>
              <w:left w:w="0" w:type="dxa"/>
              <w:bottom w:w="40" w:type="dxa"/>
              <w:right w:w="0" w:type="dxa"/>
            </w:tcMar>
            <w:vAlign w:val="bottom"/>
          </w:tcPr>
          <w:p w14:paraId="7C2085F1" w14:textId="77777777" w:rsidR="00834A75" w:rsidRDefault="00A6708C">
            <w:pPr>
              <w:jc w:val="right"/>
              <w:textAlignment w:val="bottom"/>
            </w:pPr>
            <w:r>
              <w:rPr>
                <w:rFonts w:ascii="sans-serif" w:eastAsia="sans-serif" w:hAnsi="sans-serif" w:cs="sans-serif"/>
                <w:color w:val="000000"/>
                <w:sz w:val="20"/>
                <w:szCs w:val="20"/>
              </w:rPr>
              <w:t>1,200 </w:t>
            </w:r>
          </w:p>
        </w:tc>
        <w:tc>
          <w:tcPr>
            <w:tcW w:w="0" w:type="auto"/>
            <w:shd w:val="clear" w:color="auto" w:fill="FFFFFF"/>
            <w:tcMar>
              <w:top w:w="40" w:type="dxa"/>
              <w:left w:w="0" w:type="dxa"/>
              <w:bottom w:w="40" w:type="dxa"/>
              <w:right w:w="20" w:type="dxa"/>
            </w:tcMar>
            <w:vAlign w:val="bottom"/>
          </w:tcPr>
          <w:p w14:paraId="7C2085F2" w14:textId="77777777" w:rsidR="00834A75" w:rsidRDefault="00834A75">
            <w:pPr>
              <w:jc w:val="right"/>
              <w:rPr>
                <w:rFonts w:ascii="宋体"/>
              </w:rPr>
            </w:pPr>
          </w:p>
        </w:tc>
      </w:tr>
      <w:tr w:rsidR="00834A75" w14:paraId="7C2085FE" w14:textId="77777777">
        <w:tc>
          <w:tcPr>
            <w:tcW w:w="0" w:type="auto"/>
            <w:gridSpan w:val="3"/>
            <w:shd w:val="clear" w:color="auto" w:fill="E2EFD9"/>
            <w:tcMar>
              <w:top w:w="40" w:type="dxa"/>
              <w:left w:w="20" w:type="dxa"/>
              <w:bottom w:w="40" w:type="dxa"/>
              <w:right w:w="20" w:type="dxa"/>
            </w:tcMar>
            <w:vAlign w:val="bottom"/>
          </w:tcPr>
          <w:p w14:paraId="7C2085F4" w14:textId="77777777" w:rsidR="00834A75" w:rsidRDefault="00A6708C">
            <w:pPr>
              <w:textAlignment w:val="bottom"/>
            </w:pPr>
            <w:r>
              <w:rPr>
                <w:rFonts w:ascii="sans-serif" w:eastAsia="sans-serif" w:hAnsi="sans-serif" w:cs="sans-serif"/>
                <w:color w:val="000000"/>
                <w:sz w:val="20"/>
                <w:szCs w:val="20"/>
              </w:rPr>
              <w:t>3.50% Notes Due 2040</w:t>
            </w:r>
          </w:p>
        </w:tc>
        <w:tc>
          <w:tcPr>
            <w:tcW w:w="0" w:type="auto"/>
            <w:gridSpan w:val="3"/>
            <w:shd w:val="clear" w:color="auto" w:fill="E2EFD9"/>
            <w:tcMar>
              <w:top w:w="40" w:type="dxa"/>
              <w:left w:w="20" w:type="dxa"/>
              <w:bottom w:w="40" w:type="dxa"/>
              <w:right w:w="20" w:type="dxa"/>
            </w:tcMar>
            <w:vAlign w:val="bottom"/>
          </w:tcPr>
          <w:p w14:paraId="7C2085F5" w14:textId="77777777" w:rsidR="00834A75" w:rsidRDefault="00A6708C">
            <w:pPr>
              <w:jc w:val="center"/>
              <w:textAlignment w:val="bottom"/>
            </w:pPr>
            <w:r>
              <w:rPr>
                <w:rFonts w:ascii="sans-serif" w:eastAsia="sans-serif" w:hAnsi="sans-serif" w:cs="sans-serif"/>
                <w:color w:val="000000"/>
                <w:sz w:val="20"/>
                <w:szCs w:val="20"/>
              </w:rPr>
              <w:t>Level 2</w:t>
            </w:r>
          </w:p>
        </w:tc>
        <w:tc>
          <w:tcPr>
            <w:tcW w:w="0" w:type="auto"/>
            <w:gridSpan w:val="3"/>
            <w:shd w:val="clear" w:color="auto" w:fill="E2EFD9"/>
            <w:tcMar>
              <w:top w:w="0" w:type="dxa"/>
              <w:left w:w="20" w:type="dxa"/>
              <w:bottom w:w="0" w:type="dxa"/>
              <w:right w:w="20" w:type="dxa"/>
            </w:tcMar>
            <w:vAlign w:val="bottom"/>
          </w:tcPr>
          <w:p w14:paraId="7C2085F6" w14:textId="77777777" w:rsidR="00834A75" w:rsidRDefault="00834A75">
            <w:pPr>
              <w:rPr>
                <w:rFonts w:ascii="宋体"/>
              </w:rPr>
            </w:pPr>
          </w:p>
        </w:tc>
        <w:tc>
          <w:tcPr>
            <w:tcW w:w="0" w:type="auto"/>
            <w:shd w:val="clear" w:color="auto" w:fill="E2EFD9"/>
            <w:tcMar>
              <w:top w:w="40" w:type="dxa"/>
              <w:left w:w="20" w:type="dxa"/>
              <w:bottom w:w="40" w:type="dxa"/>
              <w:right w:w="0" w:type="dxa"/>
            </w:tcMar>
            <w:vAlign w:val="bottom"/>
          </w:tcPr>
          <w:p w14:paraId="7C2085F7" w14:textId="77777777" w:rsidR="00834A75" w:rsidRDefault="00A6708C">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7C2085F8" w14:textId="77777777" w:rsidR="00834A75" w:rsidRDefault="00A6708C">
            <w:pPr>
              <w:jc w:val="right"/>
              <w:textAlignment w:val="bottom"/>
            </w:pPr>
            <w:r>
              <w:rPr>
                <w:rFonts w:ascii="sans-serif" w:eastAsia="sans-serif" w:hAnsi="sans-serif" w:cs="sans-serif"/>
                <w:color w:val="000000"/>
                <w:sz w:val="20"/>
                <w:szCs w:val="20"/>
              </w:rPr>
              <w:t>903 </w:t>
            </w:r>
          </w:p>
        </w:tc>
        <w:tc>
          <w:tcPr>
            <w:tcW w:w="0" w:type="auto"/>
            <w:shd w:val="clear" w:color="auto" w:fill="E2EFD9"/>
            <w:tcMar>
              <w:top w:w="40" w:type="dxa"/>
              <w:left w:w="0" w:type="dxa"/>
              <w:bottom w:w="40" w:type="dxa"/>
              <w:right w:w="20" w:type="dxa"/>
            </w:tcMar>
            <w:vAlign w:val="bottom"/>
          </w:tcPr>
          <w:p w14:paraId="7C2085F9" w14:textId="77777777" w:rsidR="00834A75" w:rsidRDefault="00834A75">
            <w:pPr>
              <w:jc w:val="right"/>
              <w:rPr>
                <w:rFonts w:ascii="宋体"/>
              </w:rPr>
            </w:pPr>
          </w:p>
        </w:tc>
        <w:tc>
          <w:tcPr>
            <w:tcW w:w="0" w:type="auto"/>
            <w:gridSpan w:val="3"/>
            <w:shd w:val="clear" w:color="auto" w:fill="E2EFD9"/>
            <w:tcMar>
              <w:top w:w="0" w:type="dxa"/>
              <w:left w:w="20" w:type="dxa"/>
              <w:bottom w:w="0" w:type="dxa"/>
              <w:right w:w="20" w:type="dxa"/>
            </w:tcMar>
            <w:vAlign w:val="bottom"/>
          </w:tcPr>
          <w:p w14:paraId="7C2085FA" w14:textId="77777777" w:rsidR="00834A75" w:rsidRDefault="00834A75">
            <w:pPr>
              <w:rPr>
                <w:rFonts w:ascii="宋体"/>
              </w:rPr>
            </w:pPr>
          </w:p>
        </w:tc>
        <w:tc>
          <w:tcPr>
            <w:tcW w:w="0" w:type="auto"/>
            <w:shd w:val="clear" w:color="auto" w:fill="E2EFD9"/>
            <w:tcMar>
              <w:top w:w="40" w:type="dxa"/>
              <w:left w:w="20" w:type="dxa"/>
              <w:bottom w:w="40" w:type="dxa"/>
              <w:right w:w="0" w:type="dxa"/>
            </w:tcMar>
            <w:vAlign w:val="bottom"/>
          </w:tcPr>
          <w:p w14:paraId="7C2085FB" w14:textId="77777777" w:rsidR="00834A75" w:rsidRDefault="00A6708C">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7C2085FC" w14:textId="77777777" w:rsidR="00834A75" w:rsidRDefault="00A6708C">
            <w:pPr>
              <w:jc w:val="right"/>
              <w:textAlignment w:val="bottom"/>
            </w:pPr>
            <w:r>
              <w:rPr>
                <w:rFonts w:ascii="sans-serif" w:eastAsia="sans-serif" w:hAnsi="sans-serif" w:cs="sans-serif"/>
                <w:color w:val="000000"/>
                <w:sz w:val="20"/>
                <w:szCs w:val="20"/>
              </w:rPr>
              <w:t>1,066 </w:t>
            </w:r>
          </w:p>
        </w:tc>
        <w:tc>
          <w:tcPr>
            <w:tcW w:w="0" w:type="auto"/>
            <w:shd w:val="clear" w:color="auto" w:fill="E2EFD9"/>
            <w:tcMar>
              <w:top w:w="40" w:type="dxa"/>
              <w:left w:w="0" w:type="dxa"/>
              <w:bottom w:w="40" w:type="dxa"/>
              <w:right w:w="20" w:type="dxa"/>
            </w:tcMar>
            <w:vAlign w:val="bottom"/>
          </w:tcPr>
          <w:p w14:paraId="7C2085FD" w14:textId="77777777" w:rsidR="00834A75" w:rsidRDefault="00834A75">
            <w:pPr>
              <w:jc w:val="right"/>
              <w:rPr>
                <w:rFonts w:ascii="宋体"/>
              </w:rPr>
            </w:pPr>
          </w:p>
        </w:tc>
      </w:tr>
      <w:tr w:rsidR="00834A75" w14:paraId="7C208609" w14:textId="77777777">
        <w:tc>
          <w:tcPr>
            <w:tcW w:w="0" w:type="auto"/>
            <w:gridSpan w:val="3"/>
            <w:shd w:val="clear" w:color="auto" w:fill="FFFFFF"/>
            <w:tcMar>
              <w:top w:w="40" w:type="dxa"/>
              <w:left w:w="20" w:type="dxa"/>
              <w:bottom w:w="40" w:type="dxa"/>
              <w:right w:w="20" w:type="dxa"/>
            </w:tcMar>
            <w:vAlign w:val="bottom"/>
          </w:tcPr>
          <w:p w14:paraId="7C2085FF" w14:textId="77777777" w:rsidR="00834A75" w:rsidRDefault="00A6708C">
            <w:pPr>
              <w:textAlignment w:val="bottom"/>
            </w:pPr>
            <w:r>
              <w:rPr>
                <w:rFonts w:ascii="sans-serif" w:eastAsia="sans-serif" w:hAnsi="sans-serif" w:cs="sans-serif"/>
                <w:color w:val="000000"/>
                <w:sz w:val="20"/>
                <w:szCs w:val="20"/>
              </w:rPr>
              <w:t xml:space="preserve">3.50% Notes </w:t>
            </w:r>
            <w:r>
              <w:rPr>
                <w:rFonts w:ascii="sans-serif" w:eastAsia="sans-serif" w:hAnsi="sans-serif" w:cs="sans-serif"/>
                <w:color w:val="000000"/>
                <w:sz w:val="20"/>
                <w:szCs w:val="20"/>
              </w:rPr>
              <w:t>Due 2050</w:t>
            </w:r>
          </w:p>
        </w:tc>
        <w:tc>
          <w:tcPr>
            <w:tcW w:w="0" w:type="auto"/>
            <w:gridSpan w:val="3"/>
            <w:shd w:val="clear" w:color="auto" w:fill="FFFFFF"/>
            <w:tcMar>
              <w:top w:w="40" w:type="dxa"/>
              <w:left w:w="20" w:type="dxa"/>
              <w:bottom w:w="40" w:type="dxa"/>
              <w:right w:w="20" w:type="dxa"/>
            </w:tcMar>
            <w:vAlign w:val="bottom"/>
          </w:tcPr>
          <w:p w14:paraId="7C208600" w14:textId="77777777" w:rsidR="00834A75" w:rsidRDefault="00A6708C">
            <w:pPr>
              <w:jc w:val="center"/>
              <w:textAlignment w:val="bottom"/>
            </w:pPr>
            <w:r>
              <w:rPr>
                <w:rFonts w:ascii="sans-serif" w:eastAsia="sans-serif" w:hAnsi="sans-serif" w:cs="sans-serif"/>
                <w:color w:val="000000"/>
                <w:sz w:val="20"/>
                <w:szCs w:val="20"/>
              </w:rPr>
              <w:t>Level 2</w:t>
            </w:r>
          </w:p>
        </w:tc>
        <w:tc>
          <w:tcPr>
            <w:tcW w:w="0" w:type="auto"/>
            <w:gridSpan w:val="3"/>
            <w:shd w:val="clear" w:color="auto" w:fill="FFFFFF"/>
            <w:tcMar>
              <w:top w:w="0" w:type="dxa"/>
              <w:left w:w="20" w:type="dxa"/>
              <w:bottom w:w="0" w:type="dxa"/>
              <w:right w:w="20" w:type="dxa"/>
            </w:tcMar>
            <w:vAlign w:val="bottom"/>
          </w:tcPr>
          <w:p w14:paraId="7C208601" w14:textId="77777777" w:rsidR="00834A75" w:rsidRDefault="00834A75">
            <w:pPr>
              <w:rPr>
                <w:rFonts w:ascii="宋体"/>
              </w:rPr>
            </w:pPr>
          </w:p>
        </w:tc>
        <w:tc>
          <w:tcPr>
            <w:tcW w:w="0" w:type="auto"/>
            <w:shd w:val="clear" w:color="auto" w:fill="FFFFFF"/>
            <w:tcMar>
              <w:top w:w="40" w:type="dxa"/>
              <w:left w:w="20" w:type="dxa"/>
              <w:bottom w:w="40" w:type="dxa"/>
              <w:right w:w="0" w:type="dxa"/>
            </w:tcMar>
            <w:vAlign w:val="bottom"/>
          </w:tcPr>
          <w:p w14:paraId="7C208602" w14:textId="77777777" w:rsidR="00834A75" w:rsidRDefault="00A6708C">
            <w:pPr>
              <w:textAlignment w:val="bottom"/>
            </w:pPr>
            <w:r>
              <w:rPr>
                <w:rFonts w:ascii="sans-serif" w:eastAsia="sans-serif" w:hAnsi="sans-serif" w:cs="sans-serif"/>
                <w:color w:val="000000"/>
                <w:sz w:val="20"/>
                <w:szCs w:val="20"/>
              </w:rPr>
              <w:t>$</w:t>
            </w:r>
          </w:p>
        </w:tc>
        <w:tc>
          <w:tcPr>
            <w:tcW w:w="0" w:type="auto"/>
            <w:shd w:val="clear" w:color="auto" w:fill="FFFFFF"/>
            <w:tcMar>
              <w:top w:w="40" w:type="dxa"/>
              <w:left w:w="0" w:type="dxa"/>
              <w:bottom w:w="40" w:type="dxa"/>
              <w:right w:w="0" w:type="dxa"/>
            </w:tcMar>
            <w:vAlign w:val="bottom"/>
          </w:tcPr>
          <w:p w14:paraId="7C208603" w14:textId="77777777" w:rsidR="00834A75" w:rsidRDefault="00A6708C">
            <w:pPr>
              <w:jc w:val="right"/>
              <w:textAlignment w:val="bottom"/>
            </w:pPr>
            <w:r>
              <w:rPr>
                <w:rFonts w:ascii="sans-serif" w:eastAsia="sans-serif" w:hAnsi="sans-serif" w:cs="sans-serif"/>
                <w:color w:val="000000"/>
                <w:sz w:val="20"/>
                <w:szCs w:val="20"/>
              </w:rPr>
              <w:t>1,756 </w:t>
            </w:r>
          </w:p>
        </w:tc>
        <w:tc>
          <w:tcPr>
            <w:tcW w:w="0" w:type="auto"/>
            <w:shd w:val="clear" w:color="auto" w:fill="FFFFFF"/>
            <w:tcMar>
              <w:top w:w="40" w:type="dxa"/>
              <w:left w:w="0" w:type="dxa"/>
              <w:bottom w:w="40" w:type="dxa"/>
              <w:right w:w="20" w:type="dxa"/>
            </w:tcMar>
            <w:vAlign w:val="bottom"/>
          </w:tcPr>
          <w:p w14:paraId="7C208604" w14:textId="77777777" w:rsidR="00834A75" w:rsidRDefault="00834A75">
            <w:pPr>
              <w:jc w:val="right"/>
              <w:rPr>
                <w:rFonts w:ascii="宋体"/>
              </w:rPr>
            </w:pPr>
          </w:p>
        </w:tc>
        <w:tc>
          <w:tcPr>
            <w:tcW w:w="0" w:type="auto"/>
            <w:gridSpan w:val="3"/>
            <w:shd w:val="clear" w:color="auto" w:fill="FFFFFF"/>
            <w:tcMar>
              <w:top w:w="0" w:type="dxa"/>
              <w:left w:w="20" w:type="dxa"/>
              <w:bottom w:w="0" w:type="dxa"/>
              <w:right w:w="20" w:type="dxa"/>
            </w:tcMar>
            <w:vAlign w:val="bottom"/>
          </w:tcPr>
          <w:p w14:paraId="7C208605" w14:textId="77777777" w:rsidR="00834A75" w:rsidRDefault="00834A75">
            <w:pPr>
              <w:rPr>
                <w:rFonts w:ascii="宋体"/>
              </w:rPr>
            </w:pPr>
          </w:p>
        </w:tc>
        <w:tc>
          <w:tcPr>
            <w:tcW w:w="0" w:type="auto"/>
            <w:shd w:val="clear" w:color="auto" w:fill="FFFFFF"/>
            <w:tcMar>
              <w:top w:w="40" w:type="dxa"/>
              <w:left w:w="20" w:type="dxa"/>
              <w:bottom w:w="40" w:type="dxa"/>
              <w:right w:w="0" w:type="dxa"/>
            </w:tcMar>
            <w:vAlign w:val="bottom"/>
          </w:tcPr>
          <w:p w14:paraId="7C208606" w14:textId="77777777" w:rsidR="00834A75" w:rsidRDefault="00A6708C">
            <w:pPr>
              <w:textAlignment w:val="bottom"/>
            </w:pPr>
            <w:r>
              <w:rPr>
                <w:rFonts w:ascii="sans-serif" w:eastAsia="sans-serif" w:hAnsi="sans-serif" w:cs="sans-serif"/>
                <w:color w:val="000000"/>
                <w:sz w:val="20"/>
                <w:szCs w:val="20"/>
              </w:rPr>
              <w:t>$</w:t>
            </w:r>
          </w:p>
        </w:tc>
        <w:tc>
          <w:tcPr>
            <w:tcW w:w="0" w:type="auto"/>
            <w:shd w:val="clear" w:color="auto" w:fill="FFFFFF"/>
            <w:tcMar>
              <w:top w:w="40" w:type="dxa"/>
              <w:left w:w="0" w:type="dxa"/>
              <w:bottom w:w="40" w:type="dxa"/>
              <w:right w:w="0" w:type="dxa"/>
            </w:tcMar>
            <w:vAlign w:val="bottom"/>
          </w:tcPr>
          <w:p w14:paraId="7C208607" w14:textId="77777777" w:rsidR="00834A75" w:rsidRDefault="00A6708C">
            <w:pPr>
              <w:jc w:val="right"/>
              <w:textAlignment w:val="bottom"/>
            </w:pPr>
            <w:r>
              <w:rPr>
                <w:rFonts w:ascii="sans-serif" w:eastAsia="sans-serif" w:hAnsi="sans-serif" w:cs="sans-serif"/>
                <w:color w:val="000000"/>
                <w:sz w:val="20"/>
                <w:szCs w:val="20"/>
              </w:rPr>
              <w:t>2,147 </w:t>
            </w:r>
          </w:p>
        </w:tc>
        <w:tc>
          <w:tcPr>
            <w:tcW w:w="0" w:type="auto"/>
            <w:shd w:val="clear" w:color="auto" w:fill="FFFFFF"/>
            <w:tcMar>
              <w:top w:w="40" w:type="dxa"/>
              <w:left w:w="0" w:type="dxa"/>
              <w:bottom w:w="40" w:type="dxa"/>
              <w:right w:w="20" w:type="dxa"/>
            </w:tcMar>
            <w:vAlign w:val="bottom"/>
          </w:tcPr>
          <w:p w14:paraId="7C208608" w14:textId="77777777" w:rsidR="00834A75" w:rsidRDefault="00834A75">
            <w:pPr>
              <w:jc w:val="right"/>
              <w:rPr>
                <w:rFonts w:ascii="宋体"/>
              </w:rPr>
            </w:pPr>
          </w:p>
        </w:tc>
      </w:tr>
      <w:tr w:rsidR="00834A75" w14:paraId="7C208614" w14:textId="77777777">
        <w:tc>
          <w:tcPr>
            <w:tcW w:w="0" w:type="auto"/>
            <w:gridSpan w:val="3"/>
            <w:shd w:val="clear" w:color="auto" w:fill="E2EFD9"/>
            <w:tcMar>
              <w:top w:w="40" w:type="dxa"/>
              <w:left w:w="20" w:type="dxa"/>
              <w:bottom w:w="40" w:type="dxa"/>
              <w:right w:w="20" w:type="dxa"/>
            </w:tcMar>
            <w:vAlign w:val="bottom"/>
          </w:tcPr>
          <w:p w14:paraId="7C20860A" w14:textId="77777777" w:rsidR="00834A75" w:rsidRDefault="00A6708C">
            <w:pPr>
              <w:textAlignment w:val="bottom"/>
            </w:pPr>
            <w:r>
              <w:rPr>
                <w:rFonts w:ascii="sans-serif" w:eastAsia="sans-serif" w:hAnsi="sans-serif" w:cs="sans-serif"/>
                <w:color w:val="000000"/>
                <w:sz w:val="20"/>
                <w:szCs w:val="20"/>
              </w:rPr>
              <w:t>3.70% Notes Due 2060</w:t>
            </w:r>
          </w:p>
        </w:tc>
        <w:tc>
          <w:tcPr>
            <w:tcW w:w="0" w:type="auto"/>
            <w:gridSpan w:val="3"/>
            <w:shd w:val="clear" w:color="auto" w:fill="E2EFD9"/>
            <w:tcMar>
              <w:top w:w="40" w:type="dxa"/>
              <w:left w:w="20" w:type="dxa"/>
              <w:bottom w:w="40" w:type="dxa"/>
              <w:right w:w="20" w:type="dxa"/>
            </w:tcMar>
            <w:vAlign w:val="bottom"/>
          </w:tcPr>
          <w:p w14:paraId="7C20860B" w14:textId="77777777" w:rsidR="00834A75" w:rsidRDefault="00A6708C">
            <w:pPr>
              <w:jc w:val="center"/>
              <w:textAlignment w:val="bottom"/>
            </w:pPr>
            <w:r>
              <w:rPr>
                <w:rFonts w:ascii="sans-serif" w:eastAsia="sans-serif" w:hAnsi="sans-serif" w:cs="sans-serif"/>
                <w:color w:val="000000"/>
                <w:sz w:val="20"/>
                <w:szCs w:val="20"/>
              </w:rPr>
              <w:t>Level 2</w:t>
            </w:r>
          </w:p>
        </w:tc>
        <w:tc>
          <w:tcPr>
            <w:tcW w:w="0" w:type="auto"/>
            <w:gridSpan w:val="3"/>
            <w:shd w:val="clear" w:color="auto" w:fill="E2EFD9"/>
            <w:tcMar>
              <w:top w:w="0" w:type="dxa"/>
              <w:left w:w="20" w:type="dxa"/>
              <w:bottom w:w="0" w:type="dxa"/>
              <w:right w:w="20" w:type="dxa"/>
            </w:tcMar>
            <w:vAlign w:val="bottom"/>
          </w:tcPr>
          <w:p w14:paraId="7C20860C" w14:textId="77777777" w:rsidR="00834A75" w:rsidRDefault="00834A75">
            <w:pPr>
              <w:rPr>
                <w:rFonts w:ascii="宋体"/>
              </w:rPr>
            </w:pPr>
          </w:p>
        </w:tc>
        <w:tc>
          <w:tcPr>
            <w:tcW w:w="0" w:type="auto"/>
            <w:shd w:val="clear" w:color="auto" w:fill="E2EFD9"/>
            <w:tcMar>
              <w:top w:w="40" w:type="dxa"/>
              <w:left w:w="20" w:type="dxa"/>
              <w:bottom w:w="40" w:type="dxa"/>
              <w:right w:w="0" w:type="dxa"/>
            </w:tcMar>
            <w:vAlign w:val="bottom"/>
          </w:tcPr>
          <w:p w14:paraId="7C20860D" w14:textId="77777777" w:rsidR="00834A75" w:rsidRDefault="00A6708C">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7C20860E" w14:textId="77777777" w:rsidR="00834A75" w:rsidRDefault="00A6708C">
            <w:pPr>
              <w:jc w:val="right"/>
              <w:textAlignment w:val="bottom"/>
            </w:pPr>
            <w:r>
              <w:rPr>
                <w:rFonts w:ascii="sans-serif" w:eastAsia="sans-serif" w:hAnsi="sans-serif" w:cs="sans-serif"/>
                <w:color w:val="000000"/>
                <w:sz w:val="20"/>
                <w:szCs w:val="20"/>
              </w:rPr>
              <w:t>433 </w:t>
            </w:r>
          </w:p>
        </w:tc>
        <w:tc>
          <w:tcPr>
            <w:tcW w:w="0" w:type="auto"/>
            <w:shd w:val="clear" w:color="auto" w:fill="E2EFD9"/>
            <w:tcMar>
              <w:top w:w="40" w:type="dxa"/>
              <w:left w:w="0" w:type="dxa"/>
              <w:bottom w:w="40" w:type="dxa"/>
              <w:right w:w="20" w:type="dxa"/>
            </w:tcMar>
            <w:vAlign w:val="bottom"/>
          </w:tcPr>
          <w:p w14:paraId="7C20860F" w14:textId="77777777" w:rsidR="00834A75" w:rsidRDefault="00834A75">
            <w:pPr>
              <w:jc w:val="right"/>
              <w:rPr>
                <w:rFonts w:ascii="宋体"/>
              </w:rPr>
            </w:pPr>
          </w:p>
        </w:tc>
        <w:tc>
          <w:tcPr>
            <w:tcW w:w="0" w:type="auto"/>
            <w:gridSpan w:val="3"/>
            <w:shd w:val="clear" w:color="auto" w:fill="E2EFD9"/>
            <w:tcMar>
              <w:top w:w="0" w:type="dxa"/>
              <w:left w:w="20" w:type="dxa"/>
              <w:bottom w:w="0" w:type="dxa"/>
              <w:right w:w="20" w:type="dxa"/>
            </w:tcMar>
            <w:vAlign w:val="bottom"/>
          </w:tcPr>
          <w:p w14:paraId="7C208610" w14:textId="77777777" w:rsidR="00834A75" w:rsidRDefault="00834A75">
            <w:pPr>
              <w:rPr>
                <w:rFonts w:ascii="宋体"/>
              </w:rPr>
            </w:pPr>
          </w:p>
        </w:tc>
        <w:tc>
          <w:tcPr>
            <w:tcW w:w="0" w:type="auto"/>
            <w:shd w:val="clear" w:color="auto" w:fill="E2EFD9"/>
            <w:tcMar>
              <w:top w:w="40" w:type="dxa"/>
              <w:left w:w="20" w:type="dxa"/>
              <w:bottom w:w="40" w:type="dxa"/>
              <w:right w:w="0" w:type="dxa"/>
            </w:tcMar>
            <w:vAlign w:val="bottom"/>
          </w:tcPr>
          <w:p w14:paraId="7C208611" w14:textId="77777777" w:rsidR="00834A75" w:rsidRDefault="00A6708C">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7C208612" w14:textId="77777777" w:rsidR="00834A75" w:rsidRDefault="00A6708C">
            <w:pPr>
              <w:jc w:val="right"/>
              <w:textAlignment w:val="bottom"/>
            </w:pPr>
            <w:r>
              <w:rPr>
                <w:rFonts w:ascii="sans-serif" w:eastAsia="sans-serif" w:hAnsi="sans-serif" w:cs="sans-serif"/>
                <w:color w:val="000000"/>
                <w:sz w:val="20"/>
                <w:szCs w:val="20"/>
              </w:rPr>
              <w:t>551 </w:t>
            </w:r>
          </w:p>
        </w:tc>
        <w:tc>
          <w:tcPr>
            <w:tcW w:w="0" w:type="auto"/>
            <w:shd w:val="clear" w:color="auto" w:fill="E2EFD9"/>
            <w:tcMar>
              <w:top w:w="40" w:type="dxa"/>
              <w:left w:w="0" w:type="dxa"/>
              <w:bottom w:w="40" w:type="dxa"/>
              <w:right w:w="20" w:type="dxa"/>
            </w:tcMar>
            <w:vAlign w:val="bottom"/>
          </w:tcPr>
          <w:p w14:paraId="7C208613" w14:textId="77777777" w:rsidR="00834A75" w:rsidRDefault="00834A75">
            <w:pPr>
              <w:jc w:val="right"/>
              <w:rPr>
                <w:rFonts w:ascii="宋体"/>
              </w:rPr>
            </w:pPr>
          </w:p>
        </w:tc>
      </w:tr>
    </w:tbl>
    <w:p w14:paraId="7C208615" w14:textId="77777777" w:rsidR="00834A75" w:rsidRDefault="00A6708C">
      <w:pPr>
        <w:spacing w:after="60"/>
        <w:ind w:hanging="360"/>
        <w:jc w:val="both"/>
      </w:pPr>
      <w:r>
        <w:rPr>
          <w:rFonts w:ascii="sans-serif" w:eastAsia="sans-serif" w:hAnsi="sans-serif" w:cs="sans-serif"/>
          <w:color w:val="000000"/>
          <w:sz w:val="16"/>
          <w:szCs w:val="16"/>
        </w:rPr>
        <w:t xml:space="preserve">(1)    Unrealized losses of $24 million and an unrealized gain of $124 million from investments in publicly-traded equity securities were recorded in other income (expense), net, in the first quarter of fiscal years 2023 and 2022, respectively. </w:t>
      </w:r>
    </w:p>
    <w:p w14:paraId="7C208616" w14:textId="77777777" w:rsidR="00834A75" w:rsidRDefault="00A6708C">
      <w:pPr>
        <w:spacing w:after="60"/>
        <w:ind w:hanging="360"/>
        <w:jc w:val="both"/>
      </w:pPr>
      <w:r>
        <w:rPr>
          <w:rFonts w:ascii="sans-serif" w:eastAsia="sans-serif" w:hAnsi="sans-serif" w:cs="sans-serif"/>
          <w:color w:val="000000"/>
          <w:sz w:val="16"/>
          <w:szCs w:val="16"/>
        </w:rPr>
        <w:t>(2)    The</w:t>
      </w:r>
      <w:r>
        <w:rPr>
          <w:rFonts w:ascii="sans-serif" w:eastAsia="sans-serif" w:hAnsi="sans-serif" w:cs="sans-serif"/>
          <w:color w:val="000000"/>
          <w:sz w:val="16"/>
          <w:szCs w:val="16"/>
        </w:rPr>
        <w:t>se liabilities are carried on our Condensed Consolidated Balance Sheets at their original issuance value, net of unamortized debt discount and issuance costs.</w:t>
      </w:r>
    </w:p>
    <w:p w14:paraId="7C208617" w14:textId="77777777" w:rsidR="00834A75" w:rsidRDefault="00A6708C">
      <w:pPr>
        <w:spacing w:before="240" w:after="120"/>
        <w:jc w:val="both"/>
      </w:pPr>
      <w:r>
        <w:rPr>
          <w:rFonts w:ascii="sans-serif" w:eastAsia="sans-serif" w:hAnsi="sans-serif" w:cs="sans-serif"/>
          <w:b/>
          <w:bCs/>
          <w:color w:val="76B900"/>
          <w:sz w:val="22"/>
          <w:szCs w:val="22"/>
        </w:rPr>
        <w:t>Note 9 - Amortizable Intangible Assets and Goodwill</w:t>
      </w:r>
    </w:p>
    <w:p w14:paraId="7C208618" w14:textId="77777777" w:rsidR="00834A75" w:rsidRDefault="00A6708C">
      <w:pPr>
        <w:spacing w:after="180"/>
        <w:jc w:val="both"/>
      </w:pPr>
      <w:r>
        <w:rPr>
          <w:rFonts w:ascii="sans-serif" w:eastAsia="sans-serif" w:hAnsi="sans-serif" w:cs="sans-serif"/>
          <w:color w:val="000000"/>
          <w:sz w:val="20"/>
          <w:szCs w:val="20"/>
        </w:rPr>
        <w:t xml:space="preserve">The components of our amortizable </w:t>
      </w:r>
      <w:r>
        <w:rPr>
          <w:rFonts w:ascii="sans-serif" w:eastAsia="sans-serif" w:hAnsi="sans-serif" w:cs="sans-serif"/>
          <w:color w:val="000000"/>
          <w:sz w:val="20"/>
          <w:szCs w:val="20"/>
        </w:rPr>
        <w:t>intangible assets are as follows:</w:t>
      </w:r>
    </w:p>
    <w:tbl>
      <w:tblPr>
        <w:tblW w:w="4963" w:type="pct"/>
        <w:tblCellMar>
          <w:top w:w="15" w:type="dxa"/>
          <w:left w:w="15" w:type="dxa"/>
          <w:bottom w:w="15" w:type="dxa"/>
          <w:right w:w="15" w:type="dxa"/>
        </w:tblCellMar>
        <w:tblLook w:val="04A0" w:firstRow="1" w:lastRow="0" w:firstColumn="1" w:lastColumn="0" w:noHBand="0" w:noVBand="1"/>
      </w:tblPr>
      <w:tblGrid>
        <w:gridCol w:w="75"/>
        <w:gridCol w:w="1477"/>
        <w:gridCol w:w="36"/>
        <w:gridCol w:w="121"/>
        <w:gridCol w:w="656"/>
        <w:gridCol w:w="36"/>
        <w:gridCol w:w="40"/>
        <w:gridCol w:w="32"/>
        <w:gridCol w:w="36"/>
        <w:gridCol w:w="121"/>
        <w:gridCol w:w="1012"/>
        <w:gridCol w:w="36"/>
        <w:gridCol w:w="40"/>
        <w:gridCol w:w="32"/>
        <w:gridCol w:w="36"/>
        <w:gridCol w:w="121"/>
        <w:gridCol w:w="965"/>
        <w:gridCol w:w="36"/>
        <w:gridCol w:w="40"/>
        <w:gridCol w:w="32"/>
        <w:gridCol w:w="36"/>
        <w:gridCol w:w="121"/>
        <w:gridCol w:w="656"/>
        <w:gridCol w:w="36"/>
        <w:gridCol w:w="40"/>
        <w:gridCol w:w="32"/>
        <w:gridCol w:w="36"/>
        <w:gridCol w:w="121"/>
        <w:gridCol w:w="1012"/>
        <w:gridCol w:w="36"/>
        <w:gridCol w:w="40"/>
        <w:gridCol w:w="32"/>
        <w:gridCol w:w="36"/>
        <w:gridCol w:w="121"/>
        <w:gridCol w:w="965"/>
        <w:gridCol w:w="36"/>
      </w:tblGrid>
      <w:tr w:rsidR="00834A75" w14:paraId="7C20863D" w14:textId="77777777">
        <w:tc>
          <w:tcPr>
            <w:tcW w:w="50" w:type="pct"/>
            <w:shd w:val="clear" w:color="auto" w:fill="auto"/>
            <w:vAlign w:val="bottom"/>
          </w:tcPr>
          <w:p w14:paraId="7C208619" w14:textId="77777777" w:rsidR="00834A75" w:rsidRDefault="00834A75">
            <w:pPr>
              <w:rPr>
                <w:rFonts w:ascii="宋体"/>
              </w:rPr>
            </w:pPr>
          </w:p>
        </w:tc>
        <w:tc>
          <w:tcPr>
            <w:tcW w:w="1005" w:type="pct"/>
            <w:shd w:val="clear" w:color="auto" w:fill="auto"/>
            <w:vAlign w:val="bottom"/>
          </w:tcPr>
          <w:p w14:paraId="7C20861A" w14:textId="77777777" w:rsidR="00834A75" w:rsidRDefault="00834A75">
            <w:pPr>
              <w:rPr>
                <w:rFonts w:ascii="宋体"/>
              </w:rPr>
            </w:pPr>
          </w:p>
        </w:tc>
        <w:tc>
          <w:tcPr>
            <w:tcW w:w="5" w:type="pct"/>
            <w:shd w:val="clear" w:color="auto" w:fill="auto"/>
            <w:vAlign w:val="bottom"/>
          </w:tcPr>
          <w:p w14:paraId="7C20861B" w14:textId="77777777" w:rsidR="00834A75" w:rsidRDefault="00834A75">
            <w:pPr>
              <w:rPr>
                <w:rFonts w:ascii="宋体"/>
              </w:rPr>
            </w:pPr>
          </w:p>
        </w:tc>
        <w:tc>
          <w:tcPr>
            <w:tcW w:w="50" w:type="pct"/>
            <w:shd w:val="clear" w:color="auto" w:fill="auto"/>
            <w:vAlign w:val="bottom"/>
          </w:tcPr>
          <w:p w14:paraId="7C20861C" w14:textId="77777777" w:rsidR="00834A75" w:rsidRDefault="00834A75">
            <w:pPr>
              <w:rPr>
                <w:rFonts w:ascii="宋体"/>
              </w:rPr>
            </w:pPr>
          </w:p>
        </w:tc>
        <w:tc>
          <w:tcPr>
            <w:tcW w:w="570" w:type="pct"/>
            <w:shd w:val="clear" w:color="auto" w:fill="auto"/>
            <w:vAlign w:val="bottom"/>
          </w:tcPr>
          <w:p w14:paraId="7C20861D" w14:textId="77777777" w:rsidR="00834A75" w:rsidRDefault="00834A75">
            <w:pPr>
              <w:rPr>
                <w:rFonts w:ascii="宋体"/>
              </w:rPr>
            </w:pPr>
          </w:p>
        </w:tc>
        <w:tc>
          <w:tcPr>
            <w:tcW w:w="5" w:type="pct"/>
            <w:shd w:val="clear" w:color="auto" w:fill="auto"/>
            <w:vAlign w:val="bottom"/>
          </w:tcPr>
          <w:p w14:paraId="7C20861E" w14:textId="77777777" w:rsidR="00834A75" w:rsidRDefault="00834A75">
            <w:pPr>
              <w:rPr>
                <w:rFonts w:ascii="宋体"/>
              </w:rPr>
            </w:pPr>
          </w:p>
        </w:tc>
        <w:tc>
          <w:tcPr>
            <w:tcW w:w="5" w:type="pct"/>
            <w:shd w:val="clear" w:color="auto" w:fill="auto"/>
            <w:vAlign w:val="bottom"/>
          </w:tcPr>
          <w:p w14:paraId="7C20861F" w14:textId="77777777" w:rsidR="00834A75" w:rsidRDefault="00834A75">
            <w:pPr>
              <w:rPr>
                <w:rFonts w:ascii="宋体"/>
              </w:rPr>
            </w:pPr>
          </w:p>
        </w:tc>
        <w:tc>
          <w:tcPr>
            <w:tcW w:w="26" w:type="pct"/>
            <w:shd w:val="clear" w:color="auto" w:fill="auto"/>
            <w:vAlign w:val="bottom"/>
          </w:tcPr>
          <w:p w14:paraId="7C208620" w14:textId="77777777" w:rsidR="00834A75" w:rsidRDefault="00834A75">
            <w:pPr>
              <w:rPr>
                <w:rFonts w:ascii="宋体"/>
              </w:rPr>
            </w:pPr>
          </w:p>
        </w:tc>
        <w:tc>
          <w:tcPr>
            <w:tcW w:w="5" w:type="pct"/>
            <w:shd w:val="clear" w:color="auto" w:fill="auto"/>
            <w:vAlign w:val="bottom"/>
          </w:tcPr>
          <w:p w14:paraId="7C208621" w14:textId="77777777" w:rsidR="00834A75" w:rsidRDefault="00834A75">
            <w:pPr>
              <w:rPr>
                <w:rFonts w:ascii="宋体"/>
              </w:rPr>
            </w:pPr>
          </w:p>
        </w:tc>
        <w:tc>
          <w:tcPr>
            <w:tcW w:w="50" w:type="pct"/>
            <w:shd w:val="clear" w:color="auto" w:fill="auto"/>
            <w:vAlign w:val="bottom"/>
          </w:tcPr>
          <w:p w14:paraId="7C208622" w14:textId="77777777" w:rsidR="00834A75" w:rsidRDefault="00834A75">
            <w:pPr>
              <w:rPr>
                <w:rFonts w:ascii="宋体"/>
              </w:rPr>
            </w:pPr>
          </w:p>
        </w:tc>
        <w:tc>
          <w:tcPr>
            <w:tcW w:w="570" w:type="pct"/>
            <w:shd w:val="clear" w:color="auto" w:fill="auto"/>
            <w:vAlign w:val="bottom"/>
          </w:tcPr>
          <w:p w14:paraId="7C208623" w14:textId="77777777" w:rsidR="00834A75" w:rsidRDefault="00834A75">
            <w:pPr>
              <w:rPr>
                <w:rFonts w:ascii="宋体"/>
              </w:rPr>
            </w:pPr>
          </w:p>
        </w:tc>
        <w:tc>
          <w:tcPr>
            <w:tcW w:w="5" w:type="pct"/>
            <w:shd w:val="clear" w:color="auto" w:fill="auto"/>
            <w:vAlign w:val="bottom"/>
          </w:tcPr>
          <w:p w14:paraId="7C208624" w14:textId="77777777" w:rsidR="00834A75" w:rsidRDefault="00834A75">
            <w:pPr>
              <w:rPr>
                <w:rFonts w:ascii="宋体"/>
              </w:rPr>
            </w:pPr>
          </w:p>
        </w:tc>
        <w:tc>
          <w:tcPr>
            <w:tcW w:w="5" w:type="pct"/>
            <w:shd w:val="clear" w:color="auto" w:fill="auto"/>
            <w:vAlign w:val="bottom"/>
          </w:tcPr>
          <w:p w14:paraId="7C208625" w14:textId="77777777" w:rsidR="00834A75" w:rsidRDefault="00834A75">
            <w:pPr>
              <w:rPr>
                <w:rFonts w:ascii="宋体"/>
              </w:rPr>
            </w:pPr>
          </w:p>
        </w:tc>
        <w:tc>
          <w:tcPr>
            <w:tcW w:w="26" w:type="pct"/>
            <w:shd w:val="clear" w:color="auto" w:fill="auto"/>
            <w:vAlign w:val="bottom"/>
          </w:tcPr>
          <w:p w14:paraId="7C208626" w14:textId="77777777" w:rsidR="00834A75" w:rsidRDefault="00834A75">
            <w:pPr>
              <w:rPr>
                <w:rFonts w:ascii="宋体"/>
              </w:rPr>
            </w:pPr>
          </w:p>
        </w:tc>
        <w:tc>
          <w:tcPr>
            <w:tcW w:w="5" w:type="pct"/>
            <w:shd w:val="clear" w:color="auto" w:fill="auto"/>
            <w:vAlign w:val="bottom"/>
          </w:tcPr>
          <w:p w14:paraId="7C208627" w14:textId="77777777" w:rsidR="00834A75" w:rsidRDefault="00834A75">
            <w:pPr>
              <w:rPr>
                <w:rFonts w:ascii="宋体"/>
              </w:rPr>
            </w:pPr>
          </w:p>
        </w:tc>
        <w:tc>
          <w:tcPr>
            <w:tcW w:w="50" w:type="pct"/>
            <w:shd w:val="clear" w:color="auto" w:fill="auto"/>
            <w:vAlign w:val="bottom"/>
          </w:tcPr>
          <w:p w14:paraId="7C208628" w14:textId="77777777" w:rsidR="00834A75" w:rsidRDefault="00834A75">
            <w:pPr>
              <w:rPr>
                <w:rFonts w:ascii="宋体"/>
              </w:rPr>
            </w:pPr>
          </w:p>
        </w:tc>
        <w:tc>
          <w:tcPr>
            <w:tcW w:w="570" w:type="pct"/>
            <w:shd w:val="clear" w:color="auto" w:fill="auto"/>
            <w:vAlign w:val="bottom"/>
          </w:tcPr>
          <w:p w14:paraId="7C208629" w14:textId="77777777" w:rsidR="00834A75" w:rsidRDefault="00834A75">
            <w:pPr>
              <w:rPr>
                <w:rFonts w:ascii="宋体"/>
              </w:rPr>
            </w:pPr>
          </w:p>
        </w:tc>
        <w:tc>
          <w:tcPr>
            <w:tcW w:w="5" w:type="pct"/>
            <w:shd w:val="clear" w:color="auto" w:fill="auto"/>
            <w:vAlign w:val="bottom"/>
          </w:tcPr>
          <w:p w14:paraId="7C20862A" w14:textId="77777777" w:rsidR="00834A75" w:rsidRDefault="00834A75">
            <w:pPr>
              <w:rPr>
                <w:rFonts w:ascii="宋体"/>
              </w:rPr>
            </w:pPr>
          </w:p>
        </w:tc>
        <w:tc>
          <w:tcPr>
            <w:tcW w:w="5" w:type="pct"/>
            <w:shd w:val="clear" w:color="auto" w:fill="auto"/>
            <w:vAlign w:val="bottom"/>
          </w:tcPr>
          <w:p w14:paraId="7C20862B" w14:textId="77777777" w:rsidR="00834A75" w:rsidRDefault="00834A75">
            <w:pPr>
              <w:rPr>
                <w:rFonts w:ascii="宋体"/>
              </w:rPr>
            </w:pPr>
          </w:p>
        </w:tc>
        <w:tc>
          <w:tcPr>
            <w:tcW w:w="26" w:type="pct"/>
            <w:shd w:val="clear" w:color="auto" w:fill="auto"/>
            <w:vAlign w:val="bottom"/>
          </w:tcPr>
          <w:p w14:paraId="7C20862C" w14:textId="77777777" w:rsidR="00834A75" w:rsidRDefault="00834A75">
            <w:pPr>
              <w:rPr>
                <w:rFonts w:ascii="宋体"/>
              </w:rPr>
            </w:pPr>
          </w:p>
        </w:tc>
        <w:tc>
          <w:tcPr>
            <w:tcW w:w="5" w:type="pct"/>
            <w:shd w:val="clear" w:color="auto" w:fill="auto"/>
            <w:vAlign w:val="bottom"/>
          </w:tcPr>
          <w:p w14:paraId="7C20862D" w14:textId="77777777" w:rsidR="00834A75" w:rsidRDefault="00834A75">
            <w:pPr>
              <w:rPr>
                <w:rFonts w:ascii="宋体"/>
              </w:rPr>
            </w:pPr>
          </w:p>
        </w:tc>
        <w:tc>
          <w:tcPr>
            <w:tcW w:w="50" w:type="pct"/>
            <w:shd w:val="clear" w:color="auto" w:fill="auto"/>
            <w:vAlign w:val="bottom"/>
          </w:tcPr>
          <w:p w14:paraId="7C20862E" w14:textId="77777777" w:rsidR="00834A75" w:rsidRDefault="00834A75">
            <w:pPr>
              <w:rPr>
                <w:rFonts w:ascii="宋体"/>
              </w:rPr>
            </w:pPr>
          </w:p>
        </w:tc>
        <w:tc>
          <w:tcPr>
            <w:tcW w:w="570" w:type="pct"/>
            <w:shd w:val="clear" w:color="auto" w:fill="auto"/>
            <w:vAlign w:val="bottom"/>
          </w:tcPr>
          <w:p w14:paraId="7C20862F" w14:textId="77777777" w:rsidR="00834A75" w:rsidRDefault="00834A75">
            <w:pPr>
              <w:rPr>
                <w:rFonts w:ascii="宋体"/>
              </w:rPr>
            </w:pPr>
          </w:p>
        </w:tc>
        <w:tc>
          <w:tcPr>
            <w:tcW w:w="5" w:type="pct"/>
            <w:shd w:val="clear" w:color="auto" w:fill="auto"/>
            <w:vAlign w:val="bottom"/>
          </w:tcPr>
          <w:p w14:paraId="7C208630" w14:textId="77777777" w:rsidR="00834A75" w:rsidRDefault="00834A75">
            <w:pPr>
              <w:rPr>
                <w:rFonts w:ascii="宋体"/>
              </w:rPr>
            </w:pPr>
          </w:p>
        </w:tc>
        <w:tc>
          <w:tcPr>
            <w:tcW w:w="5" w:type="pct"/>
            <w:shd w:val="clear" w:color="auto" w:fill="auto"/>
            <w:vAlign w:val="bottom"/>
          </w:tcPr>
          <w:p w14:paraId="7C208631" w14:textId="77777777" w:rsidR="00834A75" w:rsidRDefault="00834A75">
            <w:pPr>
              <w:rPr>
                <w:rFonts w:ascii="宋体"/>
              </w:rPr>
            </w:pPr>
          </w:p>
        </w:tc>
        <w:tc>
          <w:tcPr>
            <w:tcW w:w="26" w:type="pct"/>
            <w:shd w:val="clear" w:color="auto" w:fill="auto"/>
            <w:vAlign w:val="bottom"/>
          </w:tcPr>
          <w:p w14:paraId="7C208632" w14:textId="77777777" w:rsidR="00834A75" w:rsidRDefault="00834A75">
            <w:pPr>
              <w:rPr>
                <w:rFonts w:ascii="宋体"/>
              </w:rPr>
            </w:pPr>
          </w:p>
        </w:tc>
        <w:tc>
          <w:tcPr>
            <w:tcW w:w="5" w:type="pct"/>
            <w:shd w:val="clear" w:color="auto" w:fill="auto"/>
            <w:vAlign w:val="bottom"/>
          </w:tcPr>
          <w:p w14:paraId="7C208633" w14:textId="77777777" w:rsidR="00834A75" w:rsidRDefault="00834A75">
            <w:pPr>
              <w:rPr>
                <w:rFonts w:ascii="宋体"/>
              </w:rPr>
            </w:pPr>
          </w:p>
        </w:tc>
        <w:tc>
          <w:tcPr>
            <w:tcW w:w="50" w:type="pct"/>
            <w:shd w:val="clear" w:color="auto" w:fill="auto"/>
            <w:vAlign w:val="bottom"/>
          </w:tcPr>
          <w:p w14:paraId="7C208634" w14:textId="77777777" w:rsidR="00834A75" w:rsidRDefault="00834A75">
            <w:pPr>
              <w:rPr>
                <w:rFonts w:ascii="宋体"/>
              </w:rPr>
            </w:pPr>
          </w:p>
        </w:tc>
        <w:tc>
          <w:tcPr>
            <w:tcW w:w="570" w:type="pct"/>
            <w:shd w:val="clear" w:color="auto" w:fill="auto"/>
            <w:vAlign w:val="bottom"/>
          </w:tcPr>
          <w:p w14:paraId="7C208635" w14:textId="77777777" w:rsidR="00834A75" w:rsidRDefault="00834A75">
            <w:pPr>
              <w:rPr>
                <w:rFonts w:ascii="宋体"/>
              </w:rPr>
            </w:pPr>
          </w:p>
        </w:tc>
        <w:tc>
          <w:tcPr>
            <w:tcW w:w="5" w:type="pct"/>
            <w:shd w:val="clear" w:color="auto" w:fill="auto"/>
            <w:vAlign w:val="bottom"/>
          </w:tcPr>
          <w:p w14:paraId="7C208636" w14:textId="77777777" w:rsidR="00834A75" w:rsidRDefault="00834A75">
            <w:pPr>
              <w:rPr>
                <w:rFonts w:ascii="宋体"/>
              </w:rPr>
            </w:pPr>
          </w:p>
        </w:tc>
        <w:tc>
          <w:tcPr>
            <w:tcW w:w="5" w:type="pct"/>
            <w:shd w:val="clear" w:color="auto" w:fill="auto"/>
            <w:vAlign w:val="bottom"/>
          </w:tcPr>
          <w:p w14:paraId="7C208637" w14:textId="77777777" w:rsidR="00834A75" w:rsidRDefault="00834A75">
            <w:pPr>
              <w:rPr>
                <w:rFonts w:ascii="宋体"/>
              </w:rPr>
            </w:pPr>
          </w:p>
        </w:tc>
        <w:tc>
          <w:tcPr>
            <w:tcW w:w="26" w:type="pct"/>
            <w:shd w:val="clear" w:color="auto" w:fill="auto"/>
            <w:vAlign w:val="bottom"/>
          </w:tcPr>
          <w:p w14:paraId="7C208638" w14:textId="77777777" w:rsidR="00834A75" w:rsidRDefault="00834A75">
            <w:pPr>
              <w:rPr>
                <w:rFonts w:ascii="宋体"/>
              </w:rPr>
            </w:pPr>
          </w:p>
        </w:tc>
        <w:tc>
          <w:tcPr>
            <w:tcW w:w="5" w:type="pct"/>
            <w:shd w:val="clear" w:color="auto" w:fill="auto"/>
            <w:vAlign w:val="bottom"/>
          </w:tcPr>
          <w:p w14:paraId="7C208639" w14:textId="77777777" w:rsidR="00834A75" w:rsidRDefault="00834A75">
            <w:pPr>
              <w:rPr>
                <w:rFonts w:ascii="宋体"/>
              </w:rPr>
            </w:pPr>
          </w:p>
        </w:tc>
        <w:tc>
          <w:tcPr>
            <w:tcW w:w="50" w:type="pct"/>
            <w:shd w:val="clear" w:color="auto" w:fill="auto"/>
            <w:vAlign w:val="bottom"/>
          </w:tcPr>
          <w:p w14:paraId="7C20863A" w14:textId="77777777" w:rsidR="00834A75" w:rsidRDefault="00834A75">
            <w:pPr>
              <w:rPr>
                <w:rFonts w:ascii="宋体"/>
              </w:rPr>
            </w:pPr>
          </w:p>
        </w:tc>
        <w:tc>
          <w:tcPr>
            <w:tcW w:w="571" w:type="pct"/>
            <w:shd w:val="clear" w:color="auto" w:fill="auto"/>
            <w:vAlign w:val="bottom"/>
          </w:tcPr>
          <w:p w14:paraId="7C20863B" w14:textId="77777777" w:rsidR="00834A75" w:rsidRDefault="00834A75">
            <w:pPr>
              <w:rPr>
                <w:rFonts w:ascii="宋体"/>
              </w:rPr>
            </w:pPr>
          </w:p>
        </w:tc>
        <w:tc>
          <w:tcPr>
            <w:tcW w:w="5" w:type="pct"/>
            <w:shd w:val="clear" w:color="auto" w:fill="auto"/>
            <w:vAlign w:val="bottom"/>
          </w:tcPr>
          <w:p w14:paraId="7C20863C" w14:textId="77777777" w:rsidR="00834A75" w:rsidRDefault="00834A75">
            <w:pPr>
              <w:rPr>
                <w:rFonts w:ascii="宋体"/>
              </w:rPr>
            </w:pPr>
          </w:p>
        </w:tc>
      </w:tr>
      <w:tr w:rsidR="00834A75" w14:paraId="7C208642" w14:textId="77777777">
        <w:tc>
          <w:tcPr>
            <w:tcW w:w="0" w:type="auto"/>
            <w:gridSpan w:val="3"/>
            <w:shd w:val="clear" w:color="auto" w:fill="auto"/>
            <w:tcMar>
              <w:top w:w="40" w:type="dxa"/>
              <w:left w:w="20" w:type="dxa"/>
              <w:bottom w:w="40" w:type="dxa"/>
              <w:right w:w="20" w:type="dxa"/>
            </w:tcMar>
            <w:vAlign w:val="bottom"/>
          </w:tcPr>
          <w:p w14:paraId="7C20863E" w14:textId="77777777" w:rsidR="00834A75" w:rsidRDefault="00A6708C">
            <w:pPr>
              <w:textAlignment w:val="bottom"/>
            </w:pPr>
            <w:r>
              <w:rPr>
                <w:rFonts w:ascii="sans-serif" w:eastAsia="sans-serif" w:hAnsi="sans-serif" w:cs="sans-serif"/>
                <w:color w:val="000000"/>
                <w:sz w:val="20"/>
                <w:szCs w:val="20"/>
              </w:rPr>
              <w:t> </w:t>
            </w:r>
          </w:p>
        </w:tc>
        <w:tc>
          <w:tcPr>
            <w:tcW w:w="0" w:type="auto"/>
            <w:gridSpan w:val="15"/>
            <w:shd w:val="clear" w:color="auto" w:fill="auto"/>
            <w:tcMar>
              <w:top w:w="40" w:type="dxa"/>
              <w:left w:w="20" w:type="dxa"/>
              <w:bottom w:w="40" w:type="dxa"/>
              <w:right w:w="20" w:type="dxa"/>
            </w:tcMar>
            <w:vAlign w:val="bottom"/>
          </w:tcPr>
          <w:p w14:paraId="7C20863F" w14:textId="77777777" w:rsidR="00834A75" w:rsidRDefault="00A6708C">
            <w:pPr>
              <w:jc w:val="center"/>
              <w:textAlignment w:val="bottom"/>
            </w:pPr>
            <w:r>
              <w:rPr>
                <w:rFonts w:ascii="sans-serif" w:eastAsia="sans-serif" w:hAnsi="sans-serif" w:cs="sans-serif"/>
                <w:b/>
                <w:bCs/>
                <w:color w:val="000000"/>
                <w:sz w:val="20"/>
                <w:szCs w:val="20"/>
              </w:rPr>
              <w:t>May 1, 2022</w:t>
            </w:r>
          </w:p>
        </w:tc>
        <w:tc>
          <w:tcPr>
            <w:tcW w:w="0" w:type="auto"/>
            <w:gridSpan w:val="3"/>
            <w:shd w:val="clear" w:color="auto" w:fill="auto"/>
            <w:tcMar>
              <w:top w:w="0" w:type="dxa"/>
              <w:left w:w="20" w:type="dxa"/>
              <w:bottom w:w="0" w:type="dxa"/>
              <w:right w:w="20" w:type="dxa"/>
            </w:tcMar>
            <w:vAlign w:val="bottom"/>
          </w:tcPr>
          <w:p w14:paraId="7C208640" w14:textId="77777777" w:rsidR="00834A75" w:rsidRDefault="00834A75">
            <w:pPr>
              <w:rPr>
                <w:rFonts w:ascii="宋体"/>
              </w:rPr>
            </w:pPr>
          </w:p>
        </w:tc>
        <w:tc>
          <w:tcPr>
            <w:tcW w:w="0" w:type="auto"/>
            <w:gridSpan w:val="15"/>
            <w:shd w:val="clear" w:color="auto" w:fill="auto"/>
            <w:tcMar>
              <w:top w:w="40" w:type="dxa"/>
              <w:left w:w="20" w:type="dxa"/>
              <w:bottom w:w="40" w:type="dxa"/>
              <w:right w:w="20" w:type="dxa"/>
            </w:tcMar>
            <w:vAlign w:val="bottom"/>
          </w:tcPr>
          <w:p w14:paraId="7C208641" w14:textId="77777777" w:rsidR="00834A75" w:rsidRDefault="00A6708C">
            <w:pPr>
              <w:jc w:val="center"/>
              <w:textAlignment w:val="bottom"/>
            </w:pPr>
            <w:r>
              <w:rPr>
                <w:rFonts w:ascii="sans-serif" w:eastAsia="sans-serif" w:hAnsi="sans-serif" w:cs="sans-serif"/>
                <w:b/>
                <w:bCs/>
                <w:color w:val="000000"/>
                <w:sz w:val="20"/>
                <w:szCs w:val="20"/>
              </w:rPr>
              <w:t>January 30, 2022</w:t>
            </w:r>
          </w:p>
        </w:tc>
      </w:tr>
      <w:tr w:rsidR="00834A75" w14:paraId="7C20864F" w14:textId="77777777">
        <w:tc>
          <w:tcPr>
            <w:tcW w:w="0" w:type="auto"/>
            <w:gridSpan w:val="3"/>
            <w:shd w:val="clear" w:color="auto" w:fill="auto"/>
            <w:tcMar>
              <w:top w:w="40" w:type="dxa"/>
              <w:left w:w="20" w:type="dxa"/>
              <w:bottom w:w="40" w:type="dxa"/>
              <w:right w:w="20" w:type="dxa"/>
            </w:tcMar>
            <w:vAlign w:val="bottom"/>
          </w:tcPr>
          <w:p w14:paraId="7C208643" w14:textId="77777777" w:rsidR="00834A75" w:rsidRDefault="00A6708C">
            <w:pPr>
              <w:textAlignment w:val="bottom"/>
            </w:pPr>
            <w:r>
              <w:rPr>
                <w:rFonts w:ascii="sans-serif" w:eastAsia="sans-serif" w:hAnsi="sans-serif" w:cs="sans-serif"/>
                <w:color w:val="000000"/>
                <w:sz w:val="20"/>
                <w:szCs w:val="20"/>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C208644" w14:textId="77777777" w:rsidR="00834A75" w:rsidRDefault="00A6708C">
            <w:pPr>
              <w:jc w:val="center"/>
              <w:textAlignment w:val="bottom"/>
            </w:pPr>
            <w:r>
              <w:rPr>
                <w:rFonts w:ascii="sans-serif" w:eastAsia="sans-serif" w:hAnsi="sans-serif" w:cs="sans-serif"/>
                <w:b/>
                <w:bCs/>
                <w:color w:val="000000"/>
                <w:sz w:val="20"/>
                <w:szCs w:val="20"/>
              </w:rPr>
              <w:t>Gross</w:t>
            </w:r>
            <w:r>
              <w:rPr>
                <w:rFonts w:ascii="sans-serif" w:eastAsia="sans-serif" w:hAnsi="sans-serif" w:cs="sans-serif"/>
                <w:b/>
                <w:bCs/>
                <w:color w:val="000000"/>
                <w:sz w:val="20"/>
                <w:szCs w:val="20"/>
              </w:rPr>
              <w:br/>
              <w:t>Carrying</w:t>
            </w:r>
            <w:r>
              <w:rPr>
                <w:rFonts w:ascii="sans-serif" w:eastAsia="sans-serif" w:hAnsi="sans-serif" w:cs="sans-serif"/>
                <w:b/>
                <w:bCs/>
                <w:color w:val="000000"/>
                <w:sz w:val="20"/>
                <w:szCs w:val="20"/>
              </w:rPr>
              <w:br/>
              <w:t>Amount</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C208645" w14:textId="77777777" w:rsidR="00834A75" w:rsidRDefault="00834A75">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C208646" w14:textId="77777777" w:rsidR="00834A75" w:rsidRDefault="00A6708C">
            <w:pPr>
              <w:jc w:val="center"/>
              <w:textAlignment w:val="bottom"/>
            </w:pPr>
            <w:r>
              <w:rPr>
                <w:rFonts w:ascii="sans-serif" w:eastAsia="sans-serif" w:hAnsi="sans-serif" w:cs="sans-serif"/>
                <w:b/>
                <w:bCs/>
                <w:color w:val="000000"/>
                <w:sz w:val="20"/>
                <w:szCs w:val="20"/>
              </w:rPr>
              <w:t>Accumulated</w:t>
            </w:r>
            <w:r>
              <w:rPr>
                <w:rFonts w:ascii="sans-serif" w:eastAsia="sans-serif" w:hAnsi="sans-serif" w:cs="sans-serif"/>
                <w:b/>
                <w:bCs/>
                <w:color w:val="000000"/>
                <w:sz w:val="20"/>
                <w:szCs w:val="20"/>
              </w:rPr>
              <w:br/>
              <w:t>Amortization</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C208647" w14:textId="77777777" w:rsidR="00834A75" w:rsidRDefault="00834A75">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C208648" w14:textId="77777777" w:rsidR="00834A75" w:rsidRDefault="00A6708C">
            <w:pPr>
              <w:jc w:val="center"/>
              <w:textAlignment w:val="bottom"/>
            </w:pPr>
            <w:r>
              <w:rPr>
                <w:rFonts w:ascii="sans-serif" w:eastAsia="sans-serif" w:hAnsi="sans-serif" w:cs="sans-serif"/>
                <w:b/>
                <w:bCs/>
                <w:color w:val="000000"/>
                <w:sz w:val="20"/>
                <w:szCs w:val="20"/>
              </w:rPr>
              <w:t>Net Carrying</w:t>
            </w:r>
            <w:r>
              <w:rPr>
                <w:rFonts w:ascii="sans-serif" w:eastAsia="sans-serif" w:hAnsi="sans-serif" w:cs="sans-serif"/>
                <w:b/>
                <w:bCs/>
                <w:color w:val="000000"/>
                <w:sz w:val="20"/>
                <w:szCs w:val="20"/>
              </w:rPr>
              <w:br/>
              <w:t>Amount</w:t>
            </w:r>
          </w:p>
        </w:tc>
        <w:tc>
          <w:tcPr>
            <w:tcW w:w="0" w:type="auto"/>
            <w:gridSpan w:val="3"/>
            <w:shd w:val="clear" w:color="auto" w:fill="auto"/>
            <w:tcMar>
              <w:top w:w="0" w:type="dxa"/>
              <w:left w:w="20" w:type="dxa"/>
              <w:bottom w:w="0" w:type="dxa"/>
              <w:right w:w="20" w:type="dxa"/>
            </w:tcMar>
            <w:vAlign w:val="bottom"/>
          </w:tcPr>
          <w:p w14:paraId="7C208649" w14:textId="77777777" w:rsidR="00834A75" w:rsidRDefault="00834A75">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C20864A" w14:textId="77777777" w:rsidR="00834A75" w:rsidRDefault="00A6708C">
            <w:pPr>
              <w:jc w:val="center"/>
              <w:textAlignment w:val="bottom"/>
            </w:pPr>
            <w:r>
              <w:rPr>
                <w:rFonts w:ascii="sans-serif" w:eastAsia="sans-serif" w:hAnsi="sans-serif" w:cs="sans-serif"/>
                <w:b/>
                <w:bCs/>
                <w:color w:val="000000"/>
                <w:sz w:val="20"/>
                <w:szCs w:val="20"/>
              </w:rPr>
              <w:t>Gross</w:t>
            </w:r>
            <w:r>
              <w:rPr>
                <w:rFonts w:ascii="sans-serif" w:eastAsia="sans-serif" w:hAnsi="sans-serif" w:cs="sans-serif"/>
                <w:b/>
                <w:bCs/>
                <w:color w:val="000000"/>
                <w:sz w:val="20"/>
                <w:szCs w:val="20"/>
              </w:rPr>
              <w:br/>
              <w:t>Carrying</w:t>
            </w:r>
            <w:r>
              <w:rPr>
                <w:rFonts w:ascii="sans-serif" w:eastAsia="sans-serif" w:hAnsi="sans-serif" w:cs="sans-serif"/>
                <w:b/>
                <w:bCs/>
                <w:color w:val="000000"/>
                <w:sz w:val="20"/>
                <w:szCs w:val="20"/>
              </w:rPr>
              <w:br/>
              <w:t>Amount</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C20864B" w14:textId="77777777" w:rsidR="00834A75" w:rsidRDefault="00834A75">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C20864C" w14:textId="77777777" w:rsidR="00834A75" w:rsidRDefault="00A6708C">
            <w:pPr>
              <w:jc w:val="center"/>
              <w:textAlignment w:val="bottom"/>
            </w:pPr>
            <w:r>
              <w:rPr>
                <w:rFonts w:ascii="sans-serif" w:eastAsia="sans-serif" w:hAnsi="sans-serif" w:cs="sans-serif"/>
                <w:b/>
                <w:bCs/>
                <w:color w:val="000000"/>
                <w:sz w:val="20"/>
                <w:szCs w:val="20"/>
              </w:rPr>
              <w:t>Accumulated</w:t>
            </w:r>
            <w:r>
              <w:rPr>
                <w:rFonts w:ascii="sans-serif" w:eastAsia="sans-serif" w:hAnsi="sans-serif" w:cs="sans-serif"/>
                <w:b/>
                <w:bCs/>
                <w:color w:val="000000"/>
                <w:sz w:val="20"/>
                <w:szCs w:val="20"/>
              </w:rPr>
              <w:br/>
              <w:t>Amortization</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C20864D" w14:textId="77777777" w:rsidR="00834A75" w:rsidRDefault="00834A75">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C20864E" w14:textId="77777777" w:rsidR="00834A75" w:rsidRDefault="00A6708C">
            <w:pPr>
              <w:jc w:val="center"/>
              <w:textAlignment w:val="bottom"/>
            </w:pPr>
            <w:r>
              <w:rPr>
                <w:rFonts w:ascii="sans-serif" w:eastAsia="sans-serif" w:hAnsi="sans-serif" w:cs="sans-serif"/>
                <w:b/>
                <w:bCs/>
                <w:color w:val="000000"/>
                <w:sz w:val="20"/>
                <w:szCs w:val="20"/>
              </w:rPr>
              <w:t>Net Carrying</w:t>
            </w:r>
            <w:r>
              <w:rPr>
                <w:rFonts w:ascii="sans-serif" w:eastAsia="sans-serif" w:hAnsi="sans-serif" w:cs="sans-serif"/>
                <w:b/>
                <w:bCs/>
                <w:color w:val="000000"/>
                <w:sz w:val="20"/>
                <w:szCs w:val="20"/>
              </w:rPr>
              <w:br/>
              <w:t>Amount</w:t>
            </w:r>
          </w:p>
        </w:tc>
      </w:tr>
      <w:tr w:rsidR="00834A75" w14:paraId="7C20865C" w14:textId="77777777">
        <w:trPr>
          <w:trHeight w:val="60"/>
        </w:trPr>
        <w:tc>
          <w:tcPr>
            <w:tcW w:w="0" w:type="auto"/>
            <w:gridSpan w:val="3"/>
            <w:shd w:val="clear" w:color="auto" w:fill="auto"/>
            <w:tcMar>
              <w:top w:w="0" w:type="dxa"/>
              <w:left w:w="20" w:type="dxa"/>
              <w:bottom w:w="0" w:type="dxa"/>
              <w:right w:w="20" w:type="dxa"/>
            </w:tcMar>
            <w:vAlign w:val="bottom"/>
          </w:tcPr>
          <w:p w14:paraId="7C208650" w14:textId="77777777" w:rsidR="00834A75" w:rsidRDefault="00834A75">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C208651" w14:textId="77777777" w:rsidR="00834A75" w:rsidRDefault="00834A75">
            <w:pPr>
              <w:rPr>
                <w:rFonts w:ascii="宋体"/>
              </w:rPr>
            </w:pPr>
          </w:p>
        </w:tc>
        <w:tc>
          <w:tcPr>
            <w:tcW w:w="0" w:type="auto"/>
            <w:gridSpan w:val="3"/>
            <w:shd w:val="clear" w:color="auto" w:fill="auto"/>
            <w:tcMar>
              <w:top w:w="0" w:type="dxa"/>
              <w:left w:w="20" w:type="dxa"/>
              <w:bottom w:w="0" w:type="dxa"/>
              <w:right w:w="20" w:type="dxa"/>
            </w:tcMar>
            <w:vAlign w:val="bottom"/>
          </w:tcPr>
          <w:p w14:paraId="7C208652" w14:textId="77777777" w:rsidR="00834A75" w:rsidRDefault="00834A75">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C208653" w14:textId="77777777" w:rsidR="00834A75" w:rsidRDefault="00834A75">
            <w:pPr>
              <w:rPr>
                <w:rFonts w:ascii="宋体"/>
              </w:rPr>
            </w:pPr>
          </w:p>
        </w:tc>
        <w:tc>
          <w:tcPr>
            <w:tcW w:w="0" w:type="auto"/>
            <w:gridSpan w:val="3"/>
            <w:shd w:val="clear" w:color="auto" w:fill="auto"/>
            <w:tcMar>
              <w:top w:w="0" w:type="dxa"/>
              <w:left w:w="20" w:type="dxa"/>
              <w:bottom w:w="0" w:type="dxa"/>
              <w:right w:w="20" w:type="dxa"/>
            </w:tcMar>
            <w:vAlign w:val="bottom"/>
          </w:tcPr>
          <w:p w14:paraId="7C208654" w14:textId="77777777" w:rsidR="00834A75" w:rsidRDefault="00834A75">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C208655" w14:textId="77777777" w:rsidR="00834A75" w:rsidRDefault="00834A75">
            <w:pPr>
              <w:rPr>
                <w:rFonts w:ascii="宋体"/>
              </w:rPr>
            </w:pPr>
          </w:p>
        </w:tc>
        <w:tc>
          <w:tcPr>
            <w:tcW w:w="0" w:type="auto"/>
            <w:gridSpan w:val="3"/>
            <w:shd w:val="clear" w:color="auto" w:fill="auto"/>
            <w:tcMar>
              <w:top w:w="0" w:type="dxa"/>
              <w:left w:w="20" w:type="dxa"/>
              <w:bottom w:w="0" w:type="dxa"/>
              <w:right w:w="20" w:type="dxa"/>
            </w:tcMar>
            <w:vAlign w:val="bottom"/>
          </w:tcPr>
          <w:p w14:paraId="7C208656" w14:textId="77777777" w:rsidR="00834A75" w:rsidRDefault="00834A75">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C208657" w14:textId="77777777" w:rsidR="00834A75" w:rsidRDefault="00834A75">
            <w:pPr>
              <w:rPr>
                <w:rFonts w:ascii="宋体"/>
              </w:rPr>
            </w:pPr>
          </w:p>
        </w:tc>
        <w:tc>
          <w:tcPr>
            <w:tcW w:w="0" w:type="auto"/>
            <w:gridSpan w:val="3"/>
            <w:shd w:val="clear" w:color="auto" w:fill="auto"/>
            <w:tcMar>
              <w:top w:w="0" w:type="dxa"/>
              <w:left w:w="20" w:type="dxa"/>
              <w:bottom w:w="0" w:type="dxa"/>
              <w:right w:w="20" w:type="dxa"/>
            </w:tcMar>
            <w:vAlign w:val="bottom"/>
          </w:tcPr>
          <w:p w14:paraId="7C208658" w14:textId="77777777" w:rsidR="00834A75" w:rsidRDefault="00834A75">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C208659" w14:textId="77777777" w:rsidR="00834A75" w:rsidRDefault="00834A75">
            <w:pPr>
              <w:rPr>
                <w:rFonts w:ascii="宋体"/>
              </w:rPr>
            </w:pPr>
          </w:p>
        </w:tc>
        <w:tc>
          <w:tcPr>
            <w:tcW w:w="0" w:type="auto"/>
            <w:gridSpan w:val="3"/>
            <w:shd w:val="clear" w:color="auto" w:fill="auto"/>
            <w:tcMar>
              <w:top w:w="0" w:type="dxa"/>
              <w:left w:w="20" w:type="dxa"/>
              <w:bottom w:w="0" w:type="dxa"/>
              <w:right w:w="20" w:type="dxa"/>
            </w:tcMar>
            <w:vAlign w:val="bottom"/>
          </w:tcPr>
          <w:p w14:paraId="7C20865A" w14:textId="77777777" w:rsidR="00834A75" w:rsidRDefault="00834A75">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C20865B" w14:textId="77777777" w:rsidR="00834A75" w:rsidRDefault="00834A75">
            <w:pPr>
              <w:rPr>
                <w:rFonts w:ascii="宋体"/>
              </w:rPr>
            </w:pPr>
          </w:p>
        </w:tc>
      </w:tr>
      <w:tr w:rsidR="00834A75" w14:paraId="7C20865F" w14:textId="77777777">
        <w:tc>
          <w:tcPr>
            <w:tcW w:w="0" w:type="auto"/>
            <w:gridSpan w:val="3"/>
            <w:shd w:val="clear" w:color="auto" w:fill="auto"/>
            <w:tcMar>
              <w:top w:w="40" w:type="dxa"/>
              <w:left w:w="20" w:type="dxa"/>
              <w:bottom w:w="40" w:type="dxa"/>
              <w:right w:w="20" w:type="dxa"/>
            </w:tcMar>
            <w:vAlign w:val="bottom"/>
          </w:tcPr>
          <w:p w14:paraId="7C20865D" w14:textId="77777777" w:rsidR="00834A75" w:rsidRDefault="00A6708C">
            <w:pPr>
              <w:textAlignment w:val="bottom"/>
            </w:pPr>
            <w:r>
              <w:rPr>
                <w:rFonts w:ascii="sans-serif" w:eastAsia="sans-serif" w:hAnsi="sans-serif" w:cs="sans-serif"/>
                <w:color w:val="000000"/>
                <w:sz w:val="20"/>
                <w:szCs w:val="20"/>
              </w:rPr>
              <w:t> </w:t>
            </w:r>
          </w:p>
        </w:tc>
        <w:tc>
          <w:tcPr>
            <w:tcW w:w="0" w:type="auto"/>
            <w:gridSpan w:val="33"/>
            <w:shd w:val="clear" w:color="auto" w:fill="auto"/>
            <w:tcMar>
              <w:top w:w="40" w:type="dxa"/>
              <w:left w:w="20" w:type="dxa"/>
              <w:bottom w:w="40" w:type="dxa"/>
              <w:right w:w="20" w:type="dxa"/>
            </w:tcMar>
            <w:vAlign w:val="bottom"/>
          </w:tcPr>
          <w:p w14:paraId="7C20865E" w14:textId="77777777" w:rsidR="00834A75" w:rsidRDefault="00A6708C">
            <w:pPr>
              <w:jc w:val="center"/>
              <w:textAlignment w:val="bottom"/>
            </w:pPr>
            <w:r>
              <w:rPr>
                <w:rFonts w:ascii="sans-serif" w:eastAsia="sans-serif" w:hAnsi="sans-serif" w:cs="sans-serif"/>
                <w:i/>
                <w:iCs/>
                <w:color w:val="000000"/>
                <w:sz w:val="20"/>
                <w:szCs w:val="20"/>
              </w:rPr>
              <w:t>(In millions)</w:t>
            </w:r>
          </w:p>
        </w:tc>
      </w:tr>
      <w:tr w:rsidR="00834A75" w14:paraId="7C208678" w14:textId="77777777">
        <w:tc>
          <w:tcPr>
            <w:tcW w:w="0" w:type="auto"/>
            <w:gridSpan w:val="3"/>
            <w:shd w:val="clear" w:color="auto" w:fill="E2EFD9"/>
            <w:tcMar>
              <w:top w:w="40" w:type="dxa"/>
              <w:left w:w="20" w:type="dxa"/>
              <w:bottom w:w="40" w:type="dxa"/>
              <w:right w:w="20" w:type="dxa"/>
            </w:tcMar>
            <w:vAlign w:val="bottom"/>
          </w:tcPr>
          <w:p w14:paraId="7C208660" w14:textId="77777777" w:rsidR="00834A75" w:rsidRDefault="00A6708C">
            <w:pPr>
              <w:textAlignment w:val="bottom"/>
            </w:pPr>
            <w:r>
              <w:rPr>
                <w:rFonts w:ascii="sans-serif" w:eastAsia="sans-serif" w:hAnsi="sans-serif" w:cs="sans-serif"/>
                <w:color w:val="000000"/>
                <w:sz w:val="20"/>
                <w:szCs w:val="20"/>
              </w:rPr>
              <w:t>Acquisition-related intangible assets (1)</w:t>
            </w:r>
          </w:p>
        </w:tc>
        <w:tc>
          <w:tcPr>
            <w:tcW w:w="0" w:type="auto"/>
            <w:shd w:val="clear" w:color="auto" w:fill="E2EFD9"/>
            <w:tcMar>
              <w:top w:w="40" w:type="dxa"/>
              <w:left w:w="20" w:type="dxa"/>
              <w:bottom w:w="40" w:type="dxa"/>
              <w:right w:w="0" w:type="dxa"/>
            </w:tcMar>
            <w:vAlign w:val="bottom"/>
          </w:tcPr>
          <w:p w14:paraId="7C208661" w14:textId="77777777" w:rsidR="00834A75" w:rsidRDefault="00A6708C">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7C208662" w14:textId="77777777" w:rsidR="00834A75" w:rsidRDefault="00A6708C">
            <w:pPr>
              <w:jc w:val="right"/>
              <w:textAlignment w:val="bottom"/>
            </w:pPr>
            <w:r>
              <w:rPr>
                <w:rFonts w:ascii="sans-serif" w:eastAsia="sans-serif" w:hAnsi="sans-serif" w:cs="sans-serif"/>
                <w:color w:val="000000"/>
                <w:sz w:val="20"/>
                <w:szCs w:val="20"/>
              </w:rPr>
              <w:t>3,253 </w:t>
            </w:r>
          </w:p>
        </w:tc>
        <w:tc>
          <w:tcPr>
            <w:tcW w:w="0" w:type="auto"/>
            <w:shd w:val="clear" w:color="auto" w:fill="E2EFD9"/>
            <w:tcMar>
              <w:top w:w="40" w:type="dxa"/>
              <w:left w:w="0" w:type="dxa"/>
              <w:bottom w:w="40" w:type="dxa"/>
              <w:right w:w="20" w:type="dxa"/>
            </w:tcMar>
            <w:vAlign w:val="bottom"/>
          </w:tcPr>
          <w:p w14:paraId="7C208663" w14:textId="77777777" w:rsidR="00834A75" w:rsidRDefault="00834A75">
            <w:pPr>
              <w:jc w:val="right"/>
              <w:rPr>
                <w:rFonts w:ascii="宋体"/>
              </w:rPr>
            </w:pPr>
          </w:p>
        </w:tc>
        <w:tc>
          <w:tcPr>
            <w:tcW w:w="0" w:type="auto"/>
            <w:gridSpan w:val="3"/>
            <w:shd w:val="clear" w:color="auto" w:fill="E2EFD9"/>
            <w:tcMar>
              <w:top w:w="0" w:type="dxa"/>
              <w:left w:w="20" w:type="dxa"/>
              <w:bottom w:w="0" w:type="dxa"/>
              <w:right w:w="20" w:type="dxa"/>
            </w:tcMar>
            <w:vAlign w:val="bottom"/>
          </w:tcPr>
          <w:p w14:paraId="7C208664" w14:textId="77777777" w:rsidR="00834A75" w:rsidRDefault="00834A75">
            <w:pPr>
              <w:rPr>
                <w:rFonts w:ascii="宋体"/>
              </w:rPr>
            </w:pPr>
          </w:p>
        </w:tc>
        <w:tc>
          <w:tcPr>
            <w:tcW w:w="0" w:type="auto"/>
            <w:shd w:val="clear" w:color="auto" w:fill="E2EFD9"/>
            <w:tcMar>
              <w:top w:w="40" w:type="dxa"/>
              <w:left w:w="20" w:type="dxa"/>
              <w:bottom w:w="40" w:type="dxa"/>
              <w:right w:w="0" w:type="dxa"/>
            </w:tcMar>
            <w:vAlign w:val="bottom"/>
          </w:tcPr>
          <w:p w14:paraId="7C208665" w14:textId="77777777" w:rsidR="00834A75" w:rsidRDefault="00A6708C">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7C208666" w14:textId="77777777" w:rsidR="00834A75" w:rsidRDefault="00A6708C">
            <w:pPr>
              <w:jc w:val="right"/>
              <w:textAlignment w:val="bottom"/>
            </w:pPr>
            <w:r>
              <w:rPr>
                <w:rFonts w:ascii="sans-serif" w:eastAsia="sans-serif" w:hAnsi="sans-serif" w:cs="sans-serif"/>
                <w:color w:val="000000"/>
                <w:sz w:val="20"/>
                <w:szCs w:val="20"/>
              </w:rPr>
              <w:t>(1,260)</w:t>
            </w:r>
          </w:p>
        </w:tc>
        <w:tc>
          <w:tcPr>
            <w:tcW w:w="0" w:type="auto"/>
            <w:shd w:val="clear" w:color="auto" w:fill="E2EFD9"/>
            <w:tcMar>
              <w:top w:w="40" w:type="dxa"/>
              <w:left w:w="0" w:type="dxa"/>
              <w:bottom w:w="40" w:type="dxa"/>
              <w:right w:w="20" w:type="dxa"/>
            </w:tcMar>
            <w:vAlign w:val="bottom"/>
          </w:tcPr>
          <w:p w14:paraId="7C208667" w14:textId="77777777" w:rsidR="00834A75" w:rsidRDefault="00834A75">
            <w:pPr>
              <w:jc w:val="right"/>
              <w:rPr>
                <w:rFonts w:ascii="宋体"/>
              </w:rPr>
            </w:pPr>
          </w:p>
        </w:tc>
        <w:tc>
          <w:tcPr>
            <w:tcW w:w="0" w:type="auto"/>
            <w:gridSpan w:val="3"/>
            <w:shd w:val="clear" w:color="auto" w:fill="E2EFD9"/>
            <w:tcMar>
              <w:top w:w="0" w:type="dxa"/>
              <w:left w:w="20" w:type="dxa"/>
              <w:bottom w:w="0" w:type="dxa"/>
              <w:right w:w="20" w:type="dxa"/>
            </w:tcMar>
            <w:vAlign w:val="bottom"/>
          </w:tcPr>
          <w:p w14:paraId="7C208668" w14:textId="77777777" w:rsidR="00834A75" w:rsidRDefault="00834A75">
            <w:pPr>
              <w:rPr>
                <w:rFonts w:ascii="宋体"/>
              </w:rPr>
            </w:pPr>
          </w:p>
        </w:tc>
        <w:tc>
          <w:tcPr>
            <w:tcW w:w="0" w:type="auto"/>
            <w:shd w:val="clear" w:color="auto" w:fill="E2EFD9"/>
            <w:tcMar>
              <w:top w:w="40" w:type="dxa"/>
              <w:left w:w="20" w:type="dxa"/>
              <w:bottom w:w="40" w:type="dxa"/>
              <w:right w:w="0" w:type="dxa"/>
            </w:tcMar>
            <w:vAlign w:val="bottom"/>
          </w:tcPr>
          <w:p w14:paraId="7C208669" w14:textId="77777777" w:rsidR="00834A75" w:rsidRDefault="00A6708C">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7C20866A" w14:textId="77777777" w:rsidR="00834A75" w:rsidRDefault="00A6708C">
            <w:pPr>
              <w:jc w:val="right"/>
              <w:textAlignment w:val="bottom"/>
            </w:pPr>
            <w:r>
              <w:rPr>
                <w:rFonts w:ascii="sans-serif" w:eastAsia="sans-serif" w:hAnsi="sans-serif" w:cs="sans-serif"/>
                <w:color w:val="000000"/>
                <w:sz w:val="20"/>
                <w:szCs w:val="20"/>
              </w:rPr>
              <w:t>1,993 </w:t>
            </w:r>
          </w:p>
        </w:tc>
        <w:tc>
          <w:tcPr>
            <w:tcW w:w="0" w:type="auto"/>
            <w:shd w:val="clear" w:color="auto" w:fill="E2EFD9"/>
            <w:tcMar>
              <w:top w:w="40" w:type="dxa"/>
              <w:left w:w="0" w:type="dxa"/>
              <w:bottom w:w="40" w:type="dxa"/>
              <w:right w:w="20" w:type="dxa"/>
            </w:tcMar>
            <w:vAlign w:val="bottom"/>
          </w:tcPr>
          <w:p w14:paraId="7C20866B" w14:textId="77777777" w:rsidR="00834A75" w:rsidRDefault="00834A75">
            <w:pPr>
              <w:jc w:val="right"/>
              <w:rPr>
                <w:rFonts w:ascii="宋体"/>
              </w:rPr>
            </w:pPr>
          </w:p>
        </w:tc>
        <w:tc>
          <w:tcPr>
            <w:tcW w:w="0" w:type="auto"/>
            <w:gridSpan w:val="3"/>
            <w:shd w:val="clear" w:color="auto" w:fill="E2EFD9"/>
            <w:tcMar>
              <w:top w:w="0" w:type="dxa"/>
              <w:left w:w="20" w:type="dxa"/>
              <w:bottom w:w="0" w:type="dxa"/>
              <w:right w:w="20" w:type="dxa"/>
            </w:tcMar>
            <w:vAlign w:val="bottom"/>
          </w:tcPr>
          <w:p w14:paraId="7C20866C" w14:textId="77777777" w:rsidR="00834A75" w:rsidRDefault="00834A75">
            <w:pPr>
              <w:rPr>
                <w:rFonts w:ascii="宋体"/>
              </w:rPr>
            </w:pPr>
          </w:p>
        </w:tc>
        <w:tc>
          <w:tcPr>
            <w:tcW w:w="0" w:type="auto"/>
            <w:shd w:val="clear" w:color="auto" w:fill="E2EFD9"/>
            <w:tcMar>
              <w:top w:w="40" w:type="dxa"/>
              <w:left w:w="20" w:type="dxa"/>
              <w:bottom w:w="40" w:type="dxa"/>
              <w:right w:w="0" w:type="dxa"/>
            </w:tcMar>
            <w:vAlign w:val="bottom"/>
          </w:tcPr>
          <w:p w14:paraId="7C20866D" w14:textId="77777777" w:rsidR="00834A75" w:rsidRDefault="00A6708C">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7C20866E" w14:textId="77777777" w:rsidR="00834A75" w:rsidRDefault="00A6708C">
            <w:pPr>
              <w:jc w:val="right"/>
              <w:textAlignment w:val="bottom"/>
            </w:pPr>
            <w:r>
              <w:rPr>
                <w:rFonts w:ascii="sans-serif" w:eastAsia="sans-serif" w:hAnsi="sans-serif" w:cs="sans-serif"/>
                <w:color w:val="000000"/>
                <w:sz w:val="20"/>
                <w:szCs w:val="20"/>
              </w:rPr>
              <w:t>3,418 </w:t>
            </w:r>
          </w:p>
        </w:tc>
        <w:tc>
          <w:tcPr>
            <w:tcW w:w="0" w:type="auto"/>
            <w:shd w:val="clear" w:color="auto" w:fill="E2EFD9"/>
            <w:tcMar>
              <w:top w:w="40" w:type="dxa"/>
              <w:left w:w="0" w:type="dxa"/>
              <w:bottom w:w="40" w:type="dxa"/>
              <w:right w:w="20" w:type="dxa"/>
            </w:tcMar>
            <w:vAlign w:val="bottom"/>
          </w:tcPr>
          <w:p w14:paraId="7C20866F" w14:textId="77777777" w:rsidR="00834A75" w:rsidRDefault="00834A75">
            <w:pPr>
              <w:jc w:val="right"/>
              <w:rPr>
                <w:rFonts w:ascii="宋体"/>
              </w:rPr>
            </w:pPr>
          </w:p>
        </w:tc>
        <w:tc>
          <w:tcPr>
            <w:tcW w:w="0" w:type="auto"/>
            <w:gridSpan w:val="3"/>
            <w:shd w:val="clear" w:color="auto" w:fill="E2EFD9"/>
            <w:tcMar>
              <w:top w:w="0" w:type="dxa"/>
              <w:left w:w="20" w:type="dxa"/>
              <w:bottom w:w="0" w:type="dxa"/>
              <w:right w:w="20" w:type="dxa"/>
            </w:tcMar>
            <w:vAlign w:val="bottom"/>
          </w:tcPr>
          <w:p w14:paraId="7C208670" w14:textId="77777777" w:rsidR="00834A75" w:rsidRDefault="00834A75">
            <w:pPr>
              <w:rPr>
                <w:rFonts w:ascii="宋体"/>
              </w:rPr>
            </w:pPr>
          </w:p>
        </w:tc>
        <w:tc>
          <w:tcPr>
            <w:tcW w:w="0" w:type="auto"/>
            <w:shd w:val="clear" w:color="auto" w:fill="E2EFD9"/>
            <w:tcMar>
              <w:top w:w="40" w:type="dxa"/>
              <w:left w:w="20" w:type="dxa"/>
              <w:bottom w:w="40" w:type="dxa"/>
              <w:right w:w="0" w:type="dxa"/>
            </w:tcMar>
            <w:vAlign w:val="bottom"/>
          </w:tcPr>
          <w:p w14:paraId="7C208671" w14:textId="77777777" w:rsidR="00834A75" w:rsidRDefault="00A6708C">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7C208672" w14:textId="77777777" w:rsidR="00834A75" w:rsidRDefault="00A6708C">
            <w:pPr>
              <w:jc w:val="right"/>
              <w:textAlignment w:val="bottom"/>
            </w:pPr>
            <w:r>
              <w:rPr>
                <w:rFonts w:ascii="sans-serif" w:eastAsia="sans-serif" w:hAnsi="sans-serif" w:cs="sans-serif"/>
                <w:color w:val="000000"/>
                <w:sz w:val="20"/>
                <w:szCs w:val="20"/>
              </w:rPr>
              <w:t>(1,304)</w:t>
            </w:r>
          </w:p>
        </w:tc>
        <w:tc>
          <w:tcPr>
            <w:tcW w:w="0" w:type="auto"/>
            <w:shd w:val="clear" w:color="auto" w:fill="E2EFD9"/>
            <w:tcMar>
              <w:top w:w="40" w:type="dxa"/>
              <w:left w:w="0" w:type="dxa"/>
              <w:bottom w:w="40" w:type="dxa"/>
              <w:right w:w="20" w:type="dxa"/>
            </w:tcMar>
            <w:vAlign w:val="bottom"/>
          </w:tcPr>
          <w:p w14:paraId="7C208673" w14:textId="77777777" w:rsidR="00834A75" w:rsidRDefault="00834A75">
            <w:pPr>
              <w:jc w:val="right"/>
              <w:rPr>
                <w:rFonts w:ascii="宋体"/>
              </w:rPr>
            </w:pPr>
          </w:p>
        </w:tc>
        <w:tc>
          <w:tcPr>
            <w:tcW w:w="0" w:type="auto"/>
            <w:gridSpan w:val="3"/>
            <w:shd w:val="clear" w:color="auto" w:fill="E2EFD9"/>
            <w:tcMar>
              <w:top w:w="0" w:type="dxa"/>
              <w:left w:w="20" w:type="dxa"/>
              <w:bottom w:w="0" w:type="dxa"/>
              <w:right w:w="20" w:type="dxa"/>
            </w:tcMar>
            <w:vAlign w:val="bottom"/>
          </w:tcPr>
          <w:p w14:paraId="7C208674" w14:textId="77777777" w:rsidR="00834A75" w:rsidRDefault="00834A75">
            <w:pPr>
              <w:rPr>
                <w:rFonts w:ascii="宋体"/>
              </w:rPr>
            </w:pPr>
          </w:p>
        </w:tc>
        <w:tc>
          <w:tcPr>
            <w:tcW w:w="0" w:type="auto"/>
            <w:shd w:val="clear" w:color="auto" w:fill="E2EFD9"/>
            <w:tcMar>
              <w:top w:w="40" w:type="dxa"/>
              <w:left w:w="20" w:type="dxa"/>
              <w:bottom w:w="40" w:type="dxa"/>
              <w:right w:w="0" w:type="dxa"/>
            </w:tcMar>
            <w:vAlign w:val="bottom"/>
          </w:tcPr>
          <w:p w14:paraId="7C208675" w14:textId="77777777" w:rsidR="00834A75" w:rsidRDefault="00A6708C">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7C208676" w14:textId="77777777" w:rsidR="00834A75" w:rsidRDefault="00A6708C">
            <w:pPr>
              <w:jc w:val="right"/>
              <w:textAlignment w:val="bottom"/>
            </w:pPr>
            <w:r>
              <w:rPr>
                <w:rFonts w:ascii="sans-serif" w:eastAsia="sans-serif" w:hAnsi="sans-serif" w:cs="sans-serif"/>
                <w:color w:val="000000"/>
                <w:sz w:val="20"/>
                <w:szCs w:val="20"/>
              </w:rPr>
              <w:t>2,114 </w:t>
            </w:r>
          </w:p>
        </w:tc>
        <w:tc>
          <w:tcPr>
            <w:tcW w:w="0" w:type="auto"/>
            <w:shd w:val="clear" w:color="auto" w:fill="E2EFD9"/>
            <w:tcMar>
              <w:top w:w="40" w:type="dxa"/>
              <w:left w:w="0" w:type="dxa"/>
              <w:bottom w:w="40" w:type="dxa"/>
              <w:right w:w="20" w:type="dxa"/>
            </w:tcMar>
            <w:vAlign w:val="bottom"/>
          </w:tcPr>
          <w:p w14:paraId="7C208677" w14:textId="77777777" w:rsidR="00834A75" w:rsidRDefault="00834A75">
            <w:pPr>
              <w:jc w:val="right"/>
              <w:rPr>
                <w:rFonts w:ascii="宋体"/>
              </w:rPr>
            </w:pPr>
          </w:p>
        </w:tc>
      </w:tr>
      <w:tr w:rsidR="00834A75" w14:paraId="7C20868B" w14:textId="77777777">
        <w:tc>
          <w:tcPr>
            <w:tcW w:w="0" w:type="auto"/>
            <w:gridSpan w:val="3"/>
            <w:shd w:val="clear" w:color="auto" w:fill="FFFFFF"/>
            <w:tcMar>
              <w:top w:w="40" w:type="dxa"/>
              <w:left w:w="20" w:type="dxa"/>
              <w:bottom w:w="40" w:type="dxa"/>
              <w:right w:w="20" w:type="dxa"/>
            </w:tcMar>
            <w:vAlign w:val="bottom"/>
          </w:tcPr>
          <w:p w14:paraId="7C208679" w14:textId="77777777" w:rsidR="00834A75" w:rsidRDefault="00A6708C">
            <w:pPr>
              <w:textAlignment w:val="bottom"/>
            </w:pPr>
            <w:r>
              <w:rPr>
                <w:rFonts w:ascii="sans-serif" w:eastAsia="sans-serif" w:hAnsi="sans-serif" w:cs="sans-serif"/>
                <w:color w:val="000000"/>
                <w:sz w:val="20"/>
                <w:szCs w:val="20"/>
              </w:rPr>
              <w:t>Patents and</w:t>
            </w:r>
            <w:r>
              <w:rPr>
                <w:rFonts w:ascii="sans-serif" w:eastAsia="sans-serif" w:hAnsi="sans-serif" w:cs="sans-serif"/>
                <w:color w:val="000000"/>
                <w:sz w:val="20"/>
                <w:szCs w:val="20"/>
              </w:rPr>
              <w:t xml:space="preserve"> licensed technology</w:t>
            </w:r>
          </w:p>
        </w:tc>
        <w:tc>
          <w:tcPr>
            <w:tcW w:w="0" w:type="auto"/>
            <w:gridSpan w:val="2"/>
            <w:shd w:val="clear" w:color="auto" w:fill="FFFFFF"/>
            <w:tcMar>
              <w:top w:w="40" w:type="dxa"/>
              <w:left w:w="20" w:type="dxa"/>
              <w:bottom w:w="40" w:type="dxa"/>
              <w:right w:w="0" w:type="dxa"/>
            </w:tcMar>
            <w:vAlign w:val="bottom"/>
          </w:tcPr>
          <w:p w14:paraId="7C20867A" w14:textId="77777777" w:rsidR="00834A75" w:rsidRDefault="00A6708C">
            <w:pPr>
              <w:jc w:val="right"/>
              <w:textAlignment w:val="bottom"/>
            </w:pPr>
            <w:r>
              <w:rPr>
                <w:rFonts w:ascii="sans-serif" w:eastAsia="sans-serif" w:hAnsi="sans-serif" w:cs="sans-serif"/>
                <w:color w:val="000000"/>
                <w:sz w:val="20"/>
                <w:szCs w:val="20"/>
              </w:rPr>
              <w:t>719 </w:t>
            </w:r>
          </w:p>
        </w:tc>
        <w:tc>
          <w:tcPr>
            <w:tcW w:w="0" w:type="auto"/>
            <w:shd w:val="clear" w:color="auto" w:fill="FFFFFF"/>
            <w:tcMar>
              <w:top w:w="40" w:type="dxa"/>
              <w:left w:w="0" w:type="dxa"/>
              <w:bottom w:w="40" w:type="dxa"/>
              <w:right w:w="20" w:type="dxa"/>
            </w:tcMar>
            <w:vAlign w:val="bottom"/>
          </w:tcPr>
          <w:p w14:paraId="7C20867B" w14:textId="77777777" w:rsidR="00834A75" w:rsidRDefault="00834A75">
            <w:pPr>
              <w:jc w:val="right"/>
              <w:rPr>
                <w:rFonts w:ascii="宋体"/>
              </w:rPr>
            </w:pPr>
          </w:p>
        </w:tc>
        <w:tc>
          <w:tcPr>
            <w:tcW w:w="0" w:type="auto"/>
            <w:gridSpan w:val="3"/>
            <w:shd w:val="clear" w:color="auto" w:fill="FFFFFF"/>
            <w:tcMar>
              <w:top w:w="0" w:type="dxa"/>
              <w:left w:w="20" w:type="dxa"/>
              <w:bottom w:w="0" w:type="dxa"/>
              <w:right w:w="20" w:type="dxa"/>
            </w:tcMar>
            <w:vAlign w:val="bottom"/>
          </w:tcPr>
          <w:p w14:paraId="7C20867C" w14:textId="77777777" w:rsidR="00834A75" w:rsidRDefault="00834A75">
            <w:pPr>
              <w:rPr>
                <w:rFonts w:ascii="宋体"/>
              </w:rPr>
            </w:pPr>
          </w:p>
        </w:tc>
        <w:tc>
          <w:tcPr>
            <w:tcW w:w="0" w:type="auto"/>
            <w:gridSpan w:val="2"/>
            <w:shd w:val="clear" w:color="auto" w:fill="FFFFFF"/>
            <w:tcMar>
              <w:top w:w="40" w:type="dxa"/>
              <w:left w:w="20" w:type="dxa"/>
              <w:bottom w:w="40" w:type="dxa"/>
              <w:right w:w="0" w:type="dxa"/>
            </w:tcMar>
            <w:vAlign w:val="bottom"/>
          </w:tcPr>
          <w:p w14:paraId="7C20867D" w14:textId="77777777" w:rsidR="00834A75" w:rsidRDefault="00A6708C">
            <w:pPr>
              <w:jc w:val="right"/>
              <w:textAlignment w:val="bottom"/>
            </w:pPr>
            <w:r>
              <w:rPr>
                <w:rFonts w:ascii="sans-serif" w:eastAsia="sans-serif" w:hAnsi="sans-serif" w:cs="sans-serif"/>
                <w:color w:val="000000"/>
                <w:sz w:val="20"/>
                <w:szCs w:val="20"/>
              </w:rPr>
              <w:t>(501)</w:t>
            </w:r>
          </w:p>
        </w:tc>
        <w:tc>
          <w:tcPr>
            <w:tcW w:w="0" w:type="auto"/>
            <w:shd w:val="clear" w:color="auto" w:fill="FFFFFF"/>
            <w:tcMar>
              <w:top w:w="40" w:type="dxa"/>
              <w:left w:w="0" w:type="dxa"/>
              <w:bottom w:w="40" w:type="dxa"/>
              <w:right w:w="20" w:type="dxa"/>
            </w:tcMar>
            <w:vAlign w:val="bottom"/>
          </w:tcPr>
          <w:p w14:paraId="7C20867E" w14:textId="77777777" w:rsidR="00834A75" w:rsidRDefault="00834A75">
            <w:pPr>
              <w:jc w:val="right"/>
              <w:rPr>
                <w:rFonts w:ascii="宋体"/>
              </w:rPr>
            </w:pPr>
          </w:p>
        </w:tc>
        <w:tc>
          <w:tcPr>
            <w:tcW w:w="0" w:type="auto"/>
            <w:gridSpan w:val="3"/>
            <w:shd w:val="clear" w:color="auto" w:fill="FFFFFF"/>
            <w:tcMar>
              <w:top w:w="0" w:type="dxa"/>
              <w:left w:w="20" w:type="dxa"/>
              <w:bottom w:w="0" w:type="dxa"/>
              <w:right w:w="20" w:type="dxa"/>
            </w:tcMar>
            <w:vAlign w:val="bottom"/>
          </w:tcPr>
          <w:p w14:paraId="7C20867F" w14:textId="77777777" w:rsidR="00834A75" w:rsidRDefault="00834A75">
            <w:pPr>
              <w:rPr>
                <w:rFonts w:ascii="宋体"/>
              </w:rPr>
            </w:pPr>
          </w:p>
        </w:tc>
        <w:tc>
          <w:tcPr>
            <w:tcW w:w="0" w:type="auto"/>
            <w:gridSpan w:val="2"/>
            <w:shd w:val="clear" w:color="auto" w:fill="FFFFFF"/>
            <w:tcMar>
              <w:top w:w="40" w:type="dxa"/>
              <w:left w:w="20" w:type="dxa"/>
              <w:bottom w:w="40" w:type="dxa"/>
              <w:right w:w="0" w:type="dxa"/>
            </w:tcMar>
            <w:vAlign w:val="bottom"/>
          </w:tcPr>
          <w:p w14:paraId="7C208680" w14:textId="77777777" w:rsidR="00834A75" w:rsidRDefault="00A6708C">
            <w:pPr>
              <w:jc w:val="right"/>
              <w:textAlignment w:val="bottom"/>
            </w:pPr>
            <w:r>
              <w:rPr>
                <w:rFonts w:ascii="sans-serif" w:eastAsia="sans-serif" w:hAnsi="sans-serif" w:cs="sans-serif"/>
                <w:color w:val="000000"/>
                <w:sz w:val="20"/>
                <w:szCs w:val="20"/>
              </w:rPr>
              <w:t>218 </w:t>
            </w:r>
          </w:p>
        </w:tc>
        <w:tc>
          <w:tcPr>
            <w:tcW w:w="0" w:type="auto"/>
            <w:shd w:val="clear" w:color="auto" w:fill="FFFFFF"/>
            <w:tcMar>
              <w:top w:w="40" w:type="dxa"/>
              <w:left w:w="0" w:type="dxa"/>
              <w:bottom w:w="40" w:type="dxa"/>
              <w:right w:w="20" w:type="dxa"/>
            </w:tcMar>
            <w:vAlign w:val="bottom"/>
          </w:tcPr>
          <w:p w14:paraId="7C208681" w14:textId="77777777" w:rsidR="00834A75" w:rsidRDefault="00834A75">
            <w:pPr>
              <w:jc w:val="right"/>
              <w:rPr>
                <w:rFonts w:ascii="宋体"/>
              </w:rPr>
            </w:pPr>
          </w:p>
        </w:tc>
        <w:tc>
          <w:tcPr>
            <w:tcW w:w="0" w:type="auto"/>
            <w:gridSpan w:val="3"/>
            <w:shd w:val="clear" w:color="auto" w:fill="FFFFFF"/>
            <w:tcMar>
              <w:top w:w="0" w:type="dxa"/>
              <w:left w:w="20" w:type="dxa"/>
              <w:bottom w:w="0" w:type="dxa"/>
              <w:right w:w="20" w:type="dxa"/>
            </w:tcMar>
            <w:vAlign w:val="bottom"/>
          </w:tcPr>
          <w:p w14:paraId="7C208682" w14:textId="77777777" w:rsidR="00834A75" w:rsidRDefault="00834A75">
            <w:pPr>
              <w:rPr>
                <w:rFonts w:ascii="宋体"/>
              </w:rPr>
            </w:pPr>
          </w:p>
        </w:tc>
        <w:tc>
          <w:tcPr>
            <w:tcW w:w="0" w:type="auto"/>
            <w:gridSpan w:val="2"/>
            <w:shd w:val="clear" w:color="auto" w:fill="FFFFFF"/>
            <w:tcMar>
              <w:top w:w="40" w:type="dxa"/>
              <w:left w:w="20" w:type="dxa"/>
              <w:bottom w:w="40" w:type="dxa"/>
              <w:right w:w="0" w:type="dxa"/>
            </w:tcMar>
            <w:vAlign w:val="bottom"/>
          </w:tcPr>
          <w:p w14:paraId="7C208683" w14:textId="77777777" w:rsidR="00834A75" w:rsidRDefault="00A6708C">
            <w:pPr>
              <w:jc w:val="right"/>
              <w:textAlignment w:val="bottom"/>
            </w:pPr>
            <w:r>
              <w:rPr>
                <w:rFonts w:ascii="sans-serif" w:eastAsia="sans-serif" w:hAnsi="sans-serif" w:cs="sans-serif"/>
                <w:color w:val="000000"/>
                <w:sz w:val="20"/>
                <w:szCs w:val="20"/>
              </w:rPr>
              <w:t>717 </w:t>
            </w:r>
          </w:p>
        </w:tc>
        <w:tc>
          <w:tcPr>
            <w:tcW w:w="0" w:type="auto"/>
            <w:shd w:val="clear" w:color="auto" w:fill="FFFFFF"/>
            <w:tcMar>
              <w:top w:w="40" w:type="dxa"/>
              <w:left w:w="0" w:type="dxa"/>
              <w:bottom w:w="40" w:type="dxa"/>
              <w:right w:w="20" w:type="dxa"/>
            </w:tcMar>
            <w:vAlign w:val="bottom"/>
          </w:tcPr>
          <w:p w14:paraId="7C208684" w14:textId="77777777" w:rsidR="00834A75" w:rsidRDefault="00834A75">
            <w:pPr>
              <w:jc w:val="right"/>
              <w:rPr>
                <w:rFonts w:ascii="宋体"/>
              </w:rPr>
            </w:pPr>
          </w:p>
        </w:tc>
        <w:tc>
          <w:tcPr>
            <w:tcW w:w="0" w:type="auto"/>
            <w:gridSpan w:val="3"/>
            <w:shd w:val="clear" w:color="auto" w:fill="FFFFFF"/>
            <w:tcMar>
              <w:top w:w="0" w:type="dxa"/>
              <w:left w:w="20" w:type="dxa"/>
              <w:bottom w:w="0" w:type="dxa"/>
              <w:right w:w="20" w:type="dxa"/>
            </w:tcMar>
            <w:vAlign w:val="bottom"/>
          </w:tcPr>
          <w:p w14:paraId="7C208685" w14:textId="77777777" w:rsidR="00834A75" w:rsidRDefault="00834A75">
            <w:pPr>
              <w:rPr>
                <w:rFonts w:ascii="宋体"/>
              </w:rPr>
            </w:pPr>
          </w:p>
        </w:tc>
        <w:tc>
          <w:tcPr>
            <w:tcW w:w="0" w:type="auto"/>
            <w:gridSpan w:val="2"/>
            <w:shd w:val="clear" w:color="auto" w:fill="FFFFFF"/>
            <w:tcMar>
              <w:top w:w="40" w:type="dxa"/>
              <w:left w:w="20" w:type="dxa"/>
              <w:bottom w:w="40" w:type="dxa"/>
              <w:right w:w="0" w:type="dxa"/>
            </w:tcMar>
            <w:vAlign w:val="bottom"/>
          </w:tcPr>
          <w:p w14:paraId="7C208686" w14:textId="77777777" w:rsidR="00834A75" w:rsidRDefault="00A6708C">
            <w:pPr>
              <w:jc w:val="right"/>
              <w:textAlignment w:val="bottom"/>
            </w:pPr>
            <w:r>
              <w:rPr>
                <w:rFonts w:ascii="sans-serif" w:eastAsia="sans-serif" w:hAnsi="sans-serif" w:cs="sans-serif"/>
                <w:color w:val="000000"/>
                <w:sz w:val="20"/>
                <w:szCs w:val="20"/>
              </w:rPr>
              <w:t>(492)</w:t>
            </w:r>
          </w:p>
        </w:tc>
        <w:tc>
          <w:tcPr>
            <w:tcW w:w="0" w:type="auto"/>
            <w:shd w:val="clear" w:color="auto" w:fill="FFFFFF"/>
            <w:tcMar>
              <w:top w:w="40" w:type="dxa"/>
              <w:left w:w="0" w:type="dxa"/>
              <w:bottom w:w="40" w:type="dxa"/>
              <w:right w:w="20" w:type="dxa"/>
            </w:tcMar>
            <w:vAlign w:val="bottom"/>
          </w:tcPr>
          <w:p w14:paraId="7C208687" w14:textId="77777777" w:rsidR="00834A75" w:rsidRDefault="00834A75">
            <w:pPr>
              <w:jc w:val="right"/>
              <w:rPr>
                <w:rFonts w:ascii="宋体"/>
              </w:rPr>
            </w:pPr>
          </w:p>
        </w:tc>
        <w:tc>
          <w:tcPr>
            <w:tcW w:w="0" w:type="auto"/>
            <w:gridSpan w:val="3"/>
            <w:shd w:val="clear" w:color="auto" w:fill="FFFFFF"/>
            <w:tcMar>
              <w:top w:w="0" w:type="dxa"/>
              <w:left w:w="20" w:type="dxa"/>
              <w:bottom w:w="0" w:type="dxa"/>
              <w:right w:w="20" w:type="dxa"/>
            </w:tcMar>
            <w:vAlign w:val="bottom"/>
          </w:tcPr>
          <w:p w14:paraId="7C208688" w14:textId="77777777" w:rsidR="00834A75" w:rsidRDefault="00834A75">
            <w:pPr>
              <w:rPr>
                <w:rFonts w:ascii="宋体"/>
              </w:rPr>
            </w:pPr>
          </w:p>
        </w:tc>
        <w:tc>
          <w:tcPr>
            <w:tcW w:w="0" w:type="auto"/>
            <w:gridSpan w:val="2"/>
            <w:shd w:val="clear" w:color="auto" w:fill="FFFFFF"/>
            <w:tcMar>
              <w:top w:w="40" w:type="dxa"/>
              <w:left w:w="20" w:type="dxa"/>
              <w:bottom w:w="40" w:type="dxa"/>
              <w:right w:w="0" w:type="dxa"/>
            </w:tcMar>
            <w:vAlign w:val="bottom"/>
          </w:tcPr>
          <w:p w14:paraId="7C208689" w14:textId="77777777" w:rsidR="00834A75" w:rsidRDefault="00A6708C">
            <w:pPr>
              <w:jc w:val="right"/>
              <w:textAlignment w:val="bottom"/>
            </w:pPr>
            <w:r>
              <w:rPr>
                <w:rFonts w:ascii="sans-serif" w:eastAsia="sans-serif" w:hAnsi="sans-serif" w:cs="sans-serif"/>
                <w:color w:val="000000"/>
                <w:sz w:val="20"/>
                <w:szCs w:val="20"/>
              </w:rPr>
              <w:t>225 </w:t>
            </w:r>
          </w:p>
        </w:tc>
        <w:tc>
          <w:tcPr>
            <w:tcW w:w="0" w:type="auto"/>
            <w:shd w:val="clear" w:color="auto" w:fill="FFFFFF"/>
            <w:tcMar>
              <w:top w:w="40" w:type="dxa"/>
              <w:left w:w="0" w:type="dxa"/>
              <w:bottom w:w="40" w:type="dxa"/>
              <w:right w:w="20" w:type="dxa"/>
            </w:tcMar>
            <w:vAlign w:val="bottom"/>
          </w:tcPr>
          <w:p w14:paraId="7C20868A" w14:textId="77777777" w:rsidR="00834A75" w:rsidRDefault="00834A75">
            <w:pPr>
              <w:jc w:val="right"/>
              <w:rPr>
                <w:rFonts w:ascii="宋体"/>
              </w:rPr>
            </w:pPr>
          </w:p>
        </w:tc>
      </w:tr>
      <w:tr w:rsidR="00834A75" w14:paraId="7C2086A4" w14:textId="77777777">
        <w:tc>
          <w:tcPr>
            <w:tcW w:w="0" w:type="auto"/>
            <w:gridSpan w:val="3"/>
            <w:shd w:val="clear" w:color="auto" w:fill="E2EFD9"/>
            <w:tcMar>
              <w:top w:w="40" w:type="dxa"/>
              <w:left w:w="20" w:type="dxa"/>
              <w:bottom w:w="40" w:type="dxa"/>
              <w:right w:w="20" w:type="dxa"/>
            </w:tcMar>
            <w:vAlign w:val="bottom"/>
          </w:tcPr>
          <w:p w14:paraId="7C20868C" w14:textId="77777777" w:rsidR="00834A75" w:rsidRDefault="00A6708C">
            <w:pPr>
              <w:textAlignment w:val="bottom"/>
            </w:pPr>
            <w:r>
              <w:rPr>
                <w:rFonts w:ascii="sans-serif" w:eastAsia="sans-serif" w:hAnsi="sans-serif" w:cs="sans-serif"/>
                <w:color w:val="000000"/>
                <w:sz w:val="20"/>
                <w:szCs w:val="20"/>
              </w:rPr>
              <w:t>Total intangible assets</w:t>
            </w:r>
          </w:p>
        </w:tc>
        <w:tc>
          <w:tcPr>
            <w:tcW w:w="0" w:type="auto"/>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7C20868D" w14:textId="77777777" w:rsidR="00834A75" w:rsidRDefault="00A6708C">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E2EFD9"/>
            <w:tcMar>
              <w:top w:w="40" w:type="dxa"/>
              <w:left w:w="0" w:type="dxa"/>
              <w:bottom w:w="40" w:type="dxa"/>
              <w:right w:w="0" w:type="dxa"/>
            </w:tcMar>
            <w:vAlign w:val="bottom"/>
          </w:tcPr>
          <w:p w14:paraId="7C20868E" w14:textId="77777777" w:rsidR="00834A75" w:rsidRDefault="00A6708C">
            <w:pPr>
              <w:jc w:val="right"/>
              <w:textAlignment w:val="bottom"/>
            </w:pPr>
            <w:r>
              <w:rPr>
                <w:rFonts w:ascii="sans-serif" w:eastAsia="sans-serif" w:hAnsi="sans-serif" w:cs="sans-serif"/>
                <w:color w:val="000000"/>
                <w:sz w:val="20"/>
                <w:szCs w:val="20"/>
              </w:rPr>
              <w:t>3,972 </w:t>
            </w:r>
          </w:p>
        </w:tc>
        <w:tc>
          <w:tcPr>
            <w:tcW w:w="0" w:type="auto"/>
            <w:tcBorders>
              <w:top w:val="single" w:sz="8" w:space="0" w:color="000000"/>
              <w:bottom w:val="double" w:sz="6" w:space="0" w:color="000000"/>
            </w:tcBorders>
            <w:shd w:val="clear" w:color="auto" w:fill="E2EFD9"/>
            <w:tcMar>
              <w:top w:w="40" w:type="dxa"/>
              <w:left w:w="0" w:type="dxa"/>
              <w:bottom w:w="40" w:type="dxa"/>
              <w:right w:w="20" w:type="dxa"/>
            </w:tcMar>
            <w:vAlign w:val="bottom"/>
          </w:tcPr>
          <w:p w14:paraId="7C20868F" w14:textId="77777777" w:rsidR="00834A75" w:rsidRDefault="00834A75">
            <w:pPr>
              <w:jc w:val="right"/>
              <w:rPr>
                <w:rFonts w:ascii="宋体"/>
              </w:rPr>
            </w:pPr>
          </w:p>
        </w:tc>
        <w:tc>
          <w:tcPr>
            <w:tcW w:w="0" w:type="auto"/>
            <w:gridSpan w:val="3"/>
            <w:shd w:val="clear" w:color="auto" w:fill="E2EFD9"/>
            <w:tcMar>
              <w:top w:w="0" w:type="dxa"/>
              <w:left w:w="20" w:type="dxa"/>
              <w:bottom w:w="0" w:type="dxa"/>
              <w:right w:w="20" w:type="dxa"/>
            </w:tcMar>
            <w:vAlign w:val="bottom"/>
          </w:tcPr>
          <w:p w14:paraId="7C208690" w14:textId="77777777" w:rsidR="00834A75" w:rsidRDefault="00834A75">
            <w:pPr>
              <w:rPr>
                <w:rFonts w:ascii="宋体"/>
              </w:rPr>
            </w:pPr>
          </w:p>
        </w:tc>
        <w:tc>
          <w:tcPr>
            <w:tcW w:w="0" w:type="auto"/>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7C208691" w14:textId="77777777" w:rsidR="00834A75" w:rsidRDefault="00A6708C">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E2EFD9"/>
            <w:tcMar>
              <w:top w:w="40" w:type="dxa"/>
              <w:left w:w="0" w:type="dxa"/>
              <w:bottom w:w="40" w:type="dxa"/>
              <w:right w:w="0" w:type="dxa"/>
            </w:tcMar>
            <w:vAlign w:val="bottom"/>
          </w:tcPr>
          <w:p w14:paraId="7C208692" w14:textId="77777777" w:rsidR="00834A75" w:rsidRDefault="00A6708C">
            <w:pPr>
              <w:jc w:val="right"/>
              <w:textAlignment w:val="bottom"/>
            </w:pPr>
            <w:r>
              <w:rPr>
                <w:rFonts w:ascii="sans-serif" w:eastAsia="sans-serif" w:hAnsi="sans-serif" w:cs="sans-serif"/>
                <w:color w:val="000000"/>
                <w:sz w:val="20"/>
                <w:szCs w:val="20"/>
              </w:rPr>
              <w:t>(1,761)</w:t>
            </w:r>
          </w:p>
        </w:tc>
        <w:tc>
          <w:tcPr>
            <w:tcW w:w="0" w:type="auto"/>
            <w:tcBorders>
              <w:top w:val="single" w:sz="8" w:space="0" w:color="000000"/>
              <w:bottom w:val="double" w:sz="6" w:space="0" w:color="000000"/>
            </w:tcBorders>
            <w:shd w:val="clear" w:color="auto" w:fill="E2EFD9"/>
            <w:tcMar>
              <w:top w:w="40" w:type="dxa"/>
              <w:left w:w="0" w:type="dxa"/>
              <w:bottom w:w="40" w:type="dxa"/>
              <w:right w:w="20" w:type="dxa"/>
            </w:tcMar>
            <w:vAlign w:val="bottom"/>
          </w:tcPr>
          <w:p w14:paraId="7C208693" w14:textId="77777777" w:rsidR="00834A75" w:rsidRDefault="00834A75">
            <w:pPr>
              <w:jc w:val="right"/>
              <w:rPr>
                <w:rFonts w:ascii="宋体"/>
              </w:rPr>
            </w:pPr>
          </w:p>
        </w:tc>
        <w:tc>
          <w:tcPr>
            <w:tcW w:w="0" w:type="auto"/>
            <w:gridSpan w:val="3"/>
            <w:shd w:val="clear" w:color="auto" w:fill="E2EFD9"/>
            <w:tcMar>
              <w:top w:w="0" w:type="dxa"/>
              <w:left w:w="20" w:type="dxa"/>
              <w:bottom w:w="0" w:type="dxa"/>
              <w:right w:w="20" w:type="dxa"/>
            </w:tcMar>
            <w:vAlign w:val="bottom"/>
          </w:tcPr>
          <w:p w14:paraId="7C208694" w14:textId="77777777" w:rsidR="00834A75" w:rsidRDefault="00834A75">
            <w:pPr>
              <w:rPr>
                <w:rFonts w:ascii="宋体"/>
              </w:rPr>
            </w:pPr>
          </w:p>
        </w:tc>
        <w:tc>
          <w:tcPr>
            <w:tcW w:w="0" w:type="auto"/>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7C208695" w14:textId="77777777" w:rsidR="00834A75" w:rsidRDefault="00A6708C">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E2EFD9"/>
            <w:tcMar>
              <w:top w:w="40" w:type="dxa"/>
              <w:left w:w="0" w:type="dxa"/>
              <w:bottom w:w="40" w:type="dxa"/>
              <w:right w:w="0" w:type="dxa"/>
            </w:tcMar>
            <w:vAlign w:val="bottom"/>
          </w:tcPr>
          <w:p w14:paraId="7C208696" w14:textId="77777777" w:rsidR="00834A75" w:rsidRDefault="00A6708C">
            <w:pPr>
              <w:jc w:val="right"/>
              <w:textAlignment w:val="bottom"/>
            </w:pPr>
            <w:r>
              <w:rPr>
                <w:rFonts w:ascii="sans-serif" w:eastAsia="sans-serif" w:hAnsi="sans-serif" w:cs="sans-serif"/>
                <w:color w:val="000000"/>
                <w:sz w:val="20"/>
                <w:szCs w:val="20"/>
              </w:rPr>
              <w:t>2,211 </w:t>
            </w:r>
          </w:p>
        </w:tc>
        <w:tc>
          <w:tcPr>
            <w:tcW w:w="0" w:type="auto"/>
            <w:tcBorders>
              <w:top w:val="single" w:sz="8" w:space="0" w:color="000000"/>
              <w:bottom w:val="double" w:sz="6" w:space="0" w:color="000000"/>
            </w:tcBorders>
            <w:shd w:val="clear" w:color="auto" w:fill="E2EFD9"/>
            <w:tcMar>
              <w:top w:w="40" w:type="dxa"/>
              <w:left w:w="0" w:type="dxa"/>
              <w:bottom w:w="40" w:type="dxa"/>
              <w:right w:w="20" w:type="dxa"/>
            </w:tcMar>
            <w:vAlign w:val="bottom"/>
          </w:tcPr>
          <w:p w14:paraId="7C208697" w14:textId="77777777" w:rsidR="00834A75" w:rsidRDefault="00834A75">
            <w:pPr>
              <w:jc w:val="right"/>
              <w:rPr>
                <w:rFonts w:ascii="宋体"/>
              </w:rPr>
            </w:pPr>
          </w:p>
        </w:tc>
        <w:tc>
          <w:tcPr>
            <w:tcW w:w="0" w:type="auto"/>
            <w:gridSpan w:val="3"/>
            <w:shd w:val="clear" w:color="auto" w:fill="E2EFD9"/>
            <w:tcMar>
              <w:top w:w="0" w:type="dxa"/>
              <w:left w:w="20" w:type="dxa"/>
              <w:bottom w:w="0" w:type="dxa"/>
              <w:right w:w="20" w:type="dxa"/>
            </w:tcMar>
            <w:vAlign w:val="bottom"/>
          </w:tcPr>
          <w:p w14:paraId="7C208698" w14:textId="77777777" w:rsidR="00834A75" w:rsidRDefault="00834A75">
            <w:pPr>
              <w:rPr>
                <w:rFonts w:ascii="宋体"/>
              </w:rPr>
            </w:pPr>
          </w:p>
        </w:tc>
        <w:tc>
          <w:tcPr>
            <w:tcW w:w="0" w:type="auto"/>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7C208699" w14:textId="77777777" w:rsidR="00834A75" w:rsidRDefault="00A6708C">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E2EFD9"/>
            <w:tcMar>
              <w:top w:w="40" w:type="dxa"/>
              <w:left w:w="0" w:type="dxa"/>
              <w:bottom w:w="40" w:type="dxa"/>
              <w:right w:w="0" w:type="dxa"/>
            </w:tcMar>
            <w:vAlign w:val="bottom"/>
          </w:tcPr>
          <w:p w14:paraId="7C20869A" w14:textId="77777777" w:rsidR="00834A75" w:rsidRDefault="00A6708C">
            <w:pPr>
              <w:jc w:val="right"/>
              <w:textAlignment w:val="bottom"/>
            </w:pPr>
            <w:r>
              <w:rPr>
                <w:rFonts w:ascii="sans-serif" w:eastAsia="sans-serif" w:hAnsi="sans-serif" w:cs="sans-serif"/>
                <w:color w:val="000000"/>
                <w:sz w:val="20"/>
                <w:szCs w:val="20"/>
              </w:rPr>
              <w:t>4,135 </w:t>
            </w:r>
          </w:p>
        </w:tc>
        <w:tc>
          <w:tcPr>
            <w:tcW w:w="0" w:type="auto"/>
            <w:tcBorders>
              <w:top w:val="single" w:sz="8" w:space="0" w:color="000000"/>
              <w:bottom w:val="double" w:sz="6" w:space="0" w:color="000000"/>
            </w:tcBorders>
            <w:shd w:val="clear" w:color="auto" w:fill="E2EFD9"/>
            <w:tcMar>
              <w:top w:w="40" w:type="dxa"/>
              <w:left w:w="0" w:type="dxa"/>
              <w:bottom w:w="40" w:type="dxa"/>
              <w:right w:w="20" w:type="dxa"/>
            </w:tcMar>
            <w:vAlign w:val="bottom"/>
          </w:tcPr>
          <w:p w14:paraId="7C20869B" w14:textId="77777777" w:rsidR="00834A75" w:rsidRDefault="00834A75">
            <w:pPr>
              <w:jc w:val="right"/>
              <w:rPr>
                <w:rFonts w:ascii="宋体"/>
              </w:rPr>
            </w:pPr>
          </w:p>
        </w:tc>
        <w:tc>
          <w:tcPr>
            <w:tcW w:w="0" w:type="auto"/>
            <w:gridSpan w:val="3"/>
            <w:shd w:val="clear" w:color="auto" w:fill="E2EFD9"/>
            <w:tcMar>
              <w:top w:w="0" w:type="dxa"/>
              <w:left w:w="20" w:type="dxa"/>
              <w:bottom w:w="0" w:type="dxa"/>
              <w:right w:w="20" w:type="dxa"/>
            </w:tcMar>
            <w:vAlign w:val="bottom"/>
          </w:tcPr>
          <w:p w14:paraId="7C20869C" w14:textId="77777777" w:rsidR="00834A75" w:rsidRDefault="00834A75">
            <w:pPr>
              <w:rPr>
                <w:rFonts w:ascii="宋体"/>
              </w:rPr>
            </w:pPr>
          </w:p>
        </w:tc>
        <w:tc>
          <w:tcPr>
            <w:tcW w:w="0" w:type="auto"/>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7C20869D" w14:textId="77777777" w:rsidR="00834A75" w:rsidRDefault="00A6708C">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E2EFD9"/>
            <w:tcMar>
              <w:top w:w="40" w:type="dxa"/>
              <w:left w:w="0" w:type="dxa"/>
              <w:bottom w:w="40" w:type="dxa"/>
              <w:right w:w="0" w:type="dxa"/>
            </w:tcMar>
            <w:vAlign w:val="bottom"/>
          </w:tcPr>
          <w:p w14:paraId="7C20869E" w14:textId="77777777" w:rsidR="00834A75" w:rsidRDefault="00A6708C">
            <w:pPr>
              <w:jc w:val="right"/>
              <w:textAlignment w:val="bottom"/>
            </w:pPr>
            <w:r>
              <w:rPr>
                <w:rFonts w:ascii="sans-serif" w:eastAsia="sans-serif" w:hAnsi="sans-serif" w:cs="sans-serif"/>
                <w:color w:val="000000"/>
                <w:sz w:val="20"/>
                <w:szCs w:val="20"/>
              </w:rPr>
              <w:t>(1,796)</w:t>
            </w:r>
          </w:p>
        </w:tc>
        <w:tc>
          <w:tcPr>
            <w:tcW w:w="0" w:type="auto"/>
            <w:tcBorders>
              <w:top w:val="single" w:sz="8" w:space="0" w:color="000000"/>
              <w:bottom w:val="double" w:sz="6" w:space="0" w:color="000000"/>
            </w:tcBorders>
            <w:shd w:val="clear" w:color="auto" w:fill="E2EFD9"/>
            <w:tcMar>
              <w:top w:w="40" w:type="dxa"/>
              <w:left w:w="0" w:type="dxa"/>
              <w:bottom w:w="40" w:type="dxa"/>
              <w:right w:w="20" w:type="dxa"/>
            </w:tcMar>
            <w:vAlign w:val="bottom"/>
          </w:tcPr>
          <w:p w14:paraId="7C20869F" w14:textId="77777777" w:rsidR="00834A75" w:rsidRDefault="00834A75">
            <w:pPr>
              <w:jc w:val="right"/>
              <w:rPr>
                <w:rFonts w:ascii="宋体"/>
              </w:rPr>
            </w:pPr>
          </w:p>
        </w:tc>
        <w:tc>
          <w:tcPr>
            <w:tcW w:w="0" w:type="auto"/>
            <w:gridSpan w:val="3"/>
            <w:shd w:val="clear" w:color="auto" w:fill="E2EFD9"/>
            <w:tcMar>
              <w:top w:w="0" w:type="dxa"/>
              <w:left w:w="20" w:type="dxa"/>
              <w:bottom w:w="0" w:type="dxa"/>
              <w:right w:w="20" w:type="dxa"/>
            </w:tcMar>
            <w:vAlign w:val="bottom"/>
          </w:tcPr>
          <w:p w14:paraId="7C2086A0" w14:textId="77777777" w:rsidR="00834A75" w:rsidRDefault="00834A75">
            <w:pPr>
              <w:rPr>
                <w:rFonts w:ascii="宋体"/>
              </w:rPr>
            </w:pPr>
          </w:p>
        </w:tc>
        <w:tc>
          <w:tcPr>
            <w:tcW w:w="0" w:type="auto"/>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7C2086A1" w14:textId="77777777" w:rsidR="00834A75" w:rsidRDefault="00A6708C">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E2EFD9"/>
            <w:tcMar>
              <w:top w:w="40" w:type="dxa"/>
              <w:left w:w="0" w:type="dxa"/>
              <w:bottom w:w="40" w:type="dxa"/>
              <w:right w:w="0" w:type="dxa"/>
            </w:tcMar>
            <w:vAlign w:val="bottom"/>
          </w:tcPr>
          <w:p w14:paraId="7C2086A2" w14:textId="77777777" w:rsidR="00834A75" w:rsidRDefault="00A6708C">
            <w:pPr>
              <w:jc w:val="right"/>
              <w:textAlignment w:val="bottom"/>
            </w:pPr>
            <w:r>
              <w:rPr>
                <w:rFonts w:ascii="sans-serif" w:eastAsia="sans-serif" w:hAnsi="sans-serif" w:cs="sans-serif"/>
                <w:color w:val="000000"/>
                <w:sz w:val="20"/>
                <w:szCs w:val="20"/>
              </w:rPr>
              <w:t>2,339 </w:t>
            </w:r>
          </w:p>
        </w:tc>
        <w:tc>
          <w:tcPr>
            <w:tcW w:w="0" w:type="auto"/>
            <w:tcBorders>
              <w:top w:val="single" w:sz="8" w:space="0" w:color="000000"/>
              <w:bottom w:val="double" w:sz="6" w:space="0" w:color="000000"/>
            </w:tcBorders>
            <w:shd w:val="clear" w:color="auto" w:fill="E2EFD9"/>
            <w:tcMar>
              <w:top w:w="40" w:type="dxa"/>
              <w:left w:w="0" w:type="dxa"/>
              <w:bottom w:w="40" w:type="dxa"/>
              <w:right w:w="20" w:type="dxa"/>
            </w:tcMar>
            <w:vAlign w:val="bottom"/>
          </w:tcPr>
          <w:p w14:paraId="7C2086A3" w14:textId="77777777" w:rsidR="00834A75" w:rsidRDefault="00834A75">
            <w:pPr>
              <w:jc w:val="right"/>
              <w:rPr>
                <w:rFonts w:ascii="宋体"/>
              </w:rPr>
            </w:pPr>
          </w:p>
        </w:tc>
      </w:tr>
    </w:tbl>
    <w:p w14:paraId="7C2086A5" w14:textId="77777777" w:rsidR="00834A75" w:rsidRDefault="00A6708C">
      <w:pPr>
        <w:spacing w:after="180"/>
        <w:ind w:hanging="360"/>
        <w:jc w:val="both"/>
      </w:pPr>
      <w:r>
        <w:rPr>
          <w:rFonts w:ascii="sans-serif" w:eastAsia="sans-serif" w:hAnsi="sans-serif" w:cs="sans-serif"/>
          <w:color w:val="000000"/>
          <w:sz w:val="16"/>
          <w:szCs w:val="16"/>
        </w:rPr>
        <w:t>(1)    During the first quarter of fiscal year 2023, we commenced amortization of the $630 million in-process research and development intangible asset related to our acquisition of M</w:t>
      </w:r>
      <w:r>
        <w:rPr>
          <w:rFonts w:ascii="sans-serif" w:eastAsia="sans-serif" w:hAnsi="sans-serif" w:cs="sans-serif"/>
          <w:color w:val="000000"/>
          <w:sz w:val="16"/>
          <w:szCs w:val="16"/>
        </w:rPr>
        <w:t>ellanox.</w:t>
      </w:r>
    </w:p>
    <w:p w14:paraId="7C2086A6" w14:textId="77777777" w:rsidR="00834A75" w:rsidRDefault="00A6708C">
      <w:pPr>
        <w:spacing w:after="180"/>
        <w:jc w:val="center"/>
      </w:pPr>
      <w:r>
        <w:rPr>
          <w:rFonts w:ascii="sans-serif" w:eastAsia="sans-serif" w:hAnsi="sans-serif" w:cs="sans-serif"/>
          <w:color w:val="000000"/>
          <w:sz w:val="20"/>
          <w:szCs w:val="20"/>
        </w:rPr>
        <w:t>13</w:t>
      </w:r>
    </w:p>
    <w:p w14:paraId="7C2086A7" w14:textId="77777777" w:rsidR="00834A75" w:rsidRDefault="00A6708C">
      <w:r>
        <w:pict w14:anchorId="7C20935C">
          <v:rect id="_x0000_i1037" style="width:415.3pt;height:1.5pt" o:hralign="center" o:hrstd="t" o:hr="t" fillcolor="#a0a0a0" stroked="f"/>
        </w:pict>
      </w:r>
    </w:p>
    <w:p w14:paraId="7C2086A8" w14:textId="77777777" w:rsidR="00834A75" w:rsidRDefault="00A6708C">
      <w:pPr>
        <w:jc w:val="center"/>
      </w:pPr>
      <w:r>
        <w:rPr>
          <w:rFonts w:ascii="sans-serif" w:eastAsia="sans-serif" w:hAnsi="sans-serif" w:cs="sans-serif"/>
          <w:b/>
          <w:bCs/>
          <w:color w:val="000000"/>
          <w:sz w:val="20"/>
          <w:szCs w:val="20"/>
        </w:rPr>
        <w:t>NVIDIA CORPORATION AND SUBSIDIARIES</w:t>
      </w:r>
    </w:p>
    <w:p w14:paraId="7C2086A9" w14:textId="77777777" w:rsidR="00834A75" w:rsidRDefault="00A6708C">
      <w:pPr>
        <w:jc w:val="center"/>
      </w:pPr>
      <w:r>
        <w:rPr>
          <w:rFonts w:ascii="sans-serif" w:eastAsia="sans-serif" w:hAnsi="sans-serif" w:cs="sans-serif"/>
          <w:b/>
          <w:bCs/>
          <w:color w:val="000000"/>
          <w:sz w:val="20"/>
          <w:szCs w:val="20"/>
        </w:rPr>
        <w:t>NOTES TO CONDENSED CONSOLIDATED FINANCIAL STATEMENTS (Continued)</w:t>
      </w:r>
    </w:p>
    <w:p w14:paraId="7C2086AA" w14:textId="77777777" w:rsidR="00834A75" w:rsidRDefault="00A6708C">
      <w:pPr>
        <w:jc w:val="center"/>
      </w:pPr>
      <w:r>
        <w:rPr>
          <w:rFonts w:ascii="sans-serif" w:eastAsia="sans-serif" w:hAnsi="sans-serif" w:cs="sans-serif"/>
          <w:b/>
          <w:bCs/>
          <w:color w:val="000000"/>
          <w:sz w:val="20"/>
          <w:szCs w:val="20"/>
        </w:rPr>
        <w:t>(Unaudited)</w:t>
      </w:r>
    </w:p>
    <w:p w14:paraId="7C2086AB" w14:textId="77777777" w:rsidR="00834A75" w:rsidRDefault="00834A75">
      <w:pPr>
        <w:spacing w:after="180"/>
        <w:jc w:val="both"/>
      </w:pPr>
    </w:p>
    <w:p w14:paraId="7C2086AC" w14:textId="77777777" w:rsidR="00834A75" w:rsidRDefault="00834A75">
      <w:pPr>
        <w:spacing w:after="180"/>
        <w:jc w:val="both"/>
      </w:pPr>
    </w:p>
    <w:p w14:paraId="7C2086AD" w14:textId="77777777" w:rsidR="00834A75" w:rsidRDefault="00A6708C">
      <w:pPr>
        <w:spacing w:after="180"/>
        <w:jc w:val="both"/>
      </w:pPr>
      <w:r>
        <w:rPr>
          <w:rFonts w:ascii="sans-serif" w:eastAsia="sans-serif" w:hAnsi="sans-serif" w:cs="sans-serif"/>
          <w:color w:val="000000"/>
          <w:sz w:val="20"/>
          <w:szCs w:val="20"/>
        </w:rPr>
        <w:t xml:space="preserve">Amortization expense associated with intangible assets was $155 million and $137 million for the first quarter of fiscal years </w:t>
      </w:r>
      <w:r>
        <w:rPr>
          <w:rFonts w:ascii="sans-serif" w:eastAsia="sans-serif" w:hAnsi="sans-serif" w:cs="sans-serif"/>
          <w:color w:val="000000"/>
          <w:sz w:val="20"/>
          <w:szCs w:val="20"/>
        </w:rPr>
        <w:t>2023 and 2022, respectively. Future amortization expense related to the net carrying amount of intangible assets as of May 1, 2022 is estimated to be $541 million for the remainder of fiscal year 2023, $597 million in fiscal year 2024, $536 million in fisc</w:t>
      </w:r>
      <w:r>
        <w:rPr>
          <w:rFonts w:ascii="sans-serif" w:eastAsia="sans-serif" w:hAnsi="sans-serif" w:cs="sans-serif"/>
          <w:color w:val="000000"/>
          <w:sz w:val="20"/>
          <w:szCs w:val="20"/>
        </w:rPr>
        <w:t>al year 2025, $248 million in fiscal year 2026, $143 million in fiscal year 2027, and $146 million in fiscal year 2028 and thereafter.</w:t>
      </w:r>
    </w:p>
    <w:p w14:paraId="7C2086AE" w14:textId="77777777" w:rsidR="00834A75" w:rsidRDefault="00A6708C">
      <w:pPr>
        <w:spacing w:after="180"/>
        <w:jc w:val="both"/>
      </w:pPr>
      <w:r>
        <w:rPr>
          <w:rFonts w:ascii="sans-serif" w:eastAsia="sans-serif" w:hAnsi="sans-serif" w:cs="sans-serif"/>
          <w:color w:val="000000"/>
          <w:sz w:val="20"/>
          <w:szCs w:val="20"/>
        </w:rPr>
        <w:t>In the first quarter of fiscal year 2023, goodwill increased by $16 million and intangible assets increased by $25 million from acquisitions. We assigned $14 million of the increase in goodwill to our Compute &amp; Networking segment and $2 million of the incr</w:t>
      </w:r>
      <w:r>
        <w:rPr>
          <w:rFonts w:ascii="sans-serif" w:eastAsia="sans-serif" w:hAnsi="sans-serif" w:cs="sans-serif"/>
          <w:color w:val="000000"/>
          <w:sz w:val="20"/>
          <w:szCs w:val="20"/>
        </w:rPr>
        <w:t xml:space="preserve">ease to our Graphics segment. </w:t>
      </w:r>
    </w:p>
    <w:p w14:paraId="7C2086AF" w14:textId="77777777" w:rsidR="00834A75" w:rsidRDefault="00A6708C">
      <w:pPr>
        <w:spacing w:before="180" w:after="120"/>
        <w:jc w:val="both"/>
      </w:pPr>
      <w:r>
        <w:rPr>
          <w:rFonts w:ascii="sans-serif" w:eastAsia="sans-serif" w:hAnsi="sans-serif" w:cs="sans-serif"/>
          <w:b/>
          <w:bCs/>
          <w:color w:val="76B900"/>
          <w:sz w:val="22"/>
          <w:szCs w:val="22"/>
        </w:rPr>
        <w:t>Note 10 - Balance Sheet Components </w:t>
      </w:r>
    </w:p>
    <w:p w14:paraId="7C2086B0" w14:textId="77777777" w:rsidR="00834A75" w:rsidRDefault="00A6708C">
      <w:pPr>
        <w:spacing w:after="120"/>
        <w:jc w:val="both"/>
      </w:pPr>
      <w:r>
        <w:rPr>
          <w:rFonts w:ascii="sans-serif" w:eastAsia="sans-serif" w:hAnsi="sans-serif" w:cs="sans-serif"/>
          <w:color w:val="000000"/>
          <w:sz w:val="20"/>
          <w:szCs w:val="20"/>
        </w:rPr>
        <w:t>Certain balance sheet components are as follows:</w:t>
      </w:r>
    </w:p>
    <w:tbl>
      <w:tblPr>
        <w:tblW w:w="4993" w:type="pct"/>
        <w:tblCellMar>
          <w:top w:w="15" w:type="dxa"/>
          <w:left w:w="15" w:type="dxa"/>
          <w:bottom w:w="15" w:type="dxa"/>
          <w:right w:w="15" w:type="dxa"/>
        </w:tblCellMar>
        <w:tblLook w:val="04A0" w:firstRow="1" w:lastRow="0" w:firstColumn="1" w:lastColumn="0" w:noHBand="0" w:noVBand="1"/>
      </w:tblPr>
      <w:tblGrid>
        <w:gridCol w:w="40"/>
        <w:gridCol w:w="5910"/>
        <w:gridCol w:w="37"/>
        <w:gridCol w:w="122"/>
        <w:gridCol w:w="974"/>
        <w:gridCol w:w="36"/>
        <w:gridCol w:w="36"/>
        <w:gridCol w:w="36"/>
        <w:gridCol w:w="36"/>
        <w:gridCol w:w="123"/>
        <w:gridCol w:w="938"/>
        <w:gridCol w:w="36"/>
      </w:tblGrid>
      <w:tr w:rsidR="00834A75" w14:paraId="7C2086BD" w14:textId="77777777">
        <w:tc>
          <w:tcPr>
            <w:tcW w:w="50" w:type="pct"/>
            <w:shd w:val="clear" w:color="auto" w:fill="auto"/>
            <w:vAlign w:val="bottom"/>
          </w:tcPr>
          <w:p w14:paraId="7C2086B1" w14:textId="77777777" w:rsidR="00834A75" w:rsidRDefault="00834A75">
            <w:pPr>
              <w:rPr>
                <w:rFonts w:ascii="宋体"/>
              </w:rPr>
            </w:pPr>
          </w:p>
        </w:tc>
        <w:tc>
          <w:tcPr>
            <w:tcW w:w="3575" w:type="pct"/>
            <w:shd w:val="clear" w:color="auto" w:fill="auto"/>
            <w:vAlign w:val="bottom"/>
          </w:tcPr>
          <w:p w14:paraId="7C2086B2" w14:textId="77777777" w:rsidR="00834A75" w:rsidRDefault="00834A75">
            <w:pPr>
              <w:rPr>
                <w:rFonts w:ascii="宋体"/>
              </w:rPr>
            </w:pPr>
          </w:p>
        </w:tc>
        <w:tc>
          <w:tcPr>
            <w:tcW w:w="5" w:type="pct"/>
            <w:shd w:val="clear" w:color="auto" w:fill="auto"/>
            <w:vAlign w:val="bottom"/>
          </w:tcPr>
          <w:p w14:paraId="7C2086B3" w14:textId="77777777" w:rsidR="00834A75" w:rsidRDefault="00834A75">
            <w:pPr>
              <w:rPr>
                <w:rFonts w:ascii="宋体"/>
              </w:rPr>
            </w:pPr>
          </w:p>
        </w:tc>
        <w:tc>
          <w:tcPr>
            <w:tcW w:w="50" w:type="pct"/>
            <w:shd w:val="clear" w:color="auto" w:fill="auto"/>
            <w:vAlign w:val="bottom"/>
          </w:tcPr>
          <w:p w14:paraId="7C2086B4" w14:textId="77777777" w:rsidR="00834A75" w:rsidRDefault="00834A75">
            <w:pPr>
              <w:rPr>
                <w:rFonts w:ascii="宋体"/>
              </w:rPr>
            </w:pPr>
          </w:p>
        </w:tc>
        <w:tc>
          <w:tcPr>
            <w:tcW w:w="611" w:type="pct"/>
            <w:shd w:val="clear" w:color="auto" w:fill="auto"/>
            <w:vAlign w:val="bottom"/>
          </w:tcPr>
          <w:p w14:paraId="7C2086B5" w14:textId="77777777" w:rsidR="00834A75" w:rsidRDefault="00834A75">
            <w:pPr>
              <w:rPr>
                <w:rFonts w:ascii="宋体"/>
              </w:rPr>
            </w:pPr>
          </w:p>
        </w:tc>
        <w:tc>
          <w:tcPr>
            <w:tcW w:w="5" w:type="pct"/>
            <w:shd w:val="clear" w:color="auto" w:fill="auto"/>
            <w:vAlign w:val="bottom"/>
          </w:tcPr>
          <w:p w14:paraId="7C2086B6" w14:textId="77777777" w:rsidR="00834A75" w:rsidRDefault="00834A75">
            <w:pPr>
              <w:rPr>
                <w:rFonts w:ascii="宋体"/>
              </w:rPr>
            </w:pPr>
          </w:p>
        </w:tc>
        <w:tc>
          <w:tcPr>
            <w:tcW w:w="5" w:type="pct"/>
            <w:shd w:val="clear" w:color="auto" w:fill="auto"/>
            <w:vAlign w:val="bottom"/>
          </w:tcPr>
          <w:p w14:paraId="7C2086B7" w14:textId="77777777" w:rsidR="00834A75" w:rsidRDefault="00834A75">
            <w:pPr>
              <w:rPr>
                <w:rFonts w:ascii="宋体"/>
              </w:rPr>
            </w:pPr>
          </w:p>
        </w:tc>
        <w:tc>
          <w:tcPr>
            <w:tcW w:w="26" w:type="pct"/>
            <w:shd w:val="clear" w:color="auto" w:fill="auto"/>
            <w:vAlign w:val="bottom"/>
          </w:tcPr>
          <w:p w14:paraId="7C2086B8" w14:textId="77777777" w:rsidR="00834A75" w:rsidRDefault="00834A75">
            <w:pPr>
              <w:rPr>
                <w:rFonts w:ascii="宋体"/>
              </w:rPr>
            </w:pPr>
          </w:p>
        </w:tc>
        <w:tc>
          <w:tcPr>
            <w:tcW w:w="5" w:type="pct"/>
            <w:shd w:val="clear" w:color="auto" w:fill="auto"/>
            <w:vAlign w:val="bottom"/>
          </w:tcPr>
          <w:p w14:paraId="7C2086B9" w14:textId="77777777" w:rsidR="00834A75" w:rsidRDefault="00834A75">
            <w:pPr>
              <w:rPr>
                <w:rFonts w:ascii="宋体"/>
              </w:rPr>
            </w:pPr>
          </w:p>
        </w:tc>
        <w:tc>
          <w:tcPr>
            <w:tcW w:w="50" w:type="pct"/>
            <w:shd w:val="clear" w:color="auto" w:fill="auto"/>
            <w:vAlign w:val="bottom"/>
          </w:tcPr>
          <w:p w14:paraId="7C2086BA" w14:textId="77777777" w:rsidR="00834A75" w:rsidRDefault="00834A75">
            <w:pPr>
              <w:rPr>
                <w:rFonts w:ascii="宋体"/>
              </w:rPr>
            </w:pPr>
          </w:p>
        </w:tc>
        <w:tc>
          <w:tcPr>
            <w:tcW w:w="611" w:type="pct"/>
            <w:shd w:val="clear" w:color="auto" w:fill="auto"/>
            <w:vAlign w:val="bottom"/>
          </w:tcPr>
          <w:p w14:paraId="7C2086BB" w14:textId="77777777" w:rsidR="00834A75" w:rsidRDefault="00834A75">
            <w:pPr>
              <w:rPr>
                <w:rFonts w:ascii="宋体"/>
              </w:rPr>
            </w:pPr>
          </w:p>
        </w:tc>
        <w:tc>
          <w:tcPr>
            <w:tcW w:w="5" w:type="pct"/>
            <w:shd w:val="clear" w:color="auto" w:fill="auto"/>
            <w:vAlign w:val="bottom"/>
          </w:tcPr>
          <w:p w14:paraId="7C2086BC" w14:textId="77777777" w:rsidR="00834A75" w:rsidRDefault="00834A75">
            <w:pPr>
              <w:rPr>
                <w:rFonts w:ascii="宋体"/>
              </w:rPr>
            </w:pPr>
          </w:p>
        </w:tc>
      </w:tr>
      <w:tr w:rsidR="00834A75" w14:paraId="7C2086C2" w14:textId="77777777">
        <w:tc>
          <w:tcPr>
            <w:tcW w:w="0" w:type="auto"/>
            <w:gridSpan w:val="3"/>
            <w:shd w:val="clear" w:color="auto" w:fill="auto"/>
            <w:tcMar>
              <w:top w:w="0" w:type="dxa"/>
              <w:left w:w="20" w:type="dxa"/>
              <w:bottom w:w="0" w:type="dxa"/>
              <w:right w:w="20" w:type="dxa"/>
            </w:tcMar>
            <w:vAlign w:val="bottom"/>
          </w:tcPr>
          <w:p w14:paraId="7C2086BE" w14:textId="77777777" w:rsidR="00834A75" w:rsidRDefault="00834A75">
            <w:pPr>
              <w:rPr>
                <w:rFonts w:ascii="宋体"/>
              </w:rPr>
            </w:pPr>
          </w:p>
        </w:tc>
        <w:tc>
          <w:tcPr>
            <w:tcW w:w="0" w:type="auto"/>
            <w:gridSpan w:val="3"/>
            <w:shd w:val="clear" w:color="auto" w:fill="auto"/>
            <w:tcMar>
              <w:top w:w="40" w:type="dxa"/>
              <w:left w:w="20" w:type="dxa"/>
              <w:bottom w:w="40" w:type="dxa"/>
              <w:right w:w="20" w:type="dxa"/>
            </w:tcMar>
            <w:vAlign w:val="bottom"/>
          </w:tcPr>
          <w:p w14:paraId="7C2086BF" w14:textId="77777777" w:rsidR="00834A75" w:rsidRDefault="00A6708C">
            <w:pPr>
              <w:jc w:val="center"/>
              <w:textAlignment w:val="bottom"/>
            </w:pPr>
            <w:r>
              <w:rPr>
                <w:rFonts w:ascii="sans-serif" w:eastAsia="sans-serif" w:hAnsi="sans-serif" w:cs="sans-serif"/>
                <w:b/>
                <w:bCs/>
                <w:color w:val="000000"/>
                <w:sz w:val="20"/>
                <w:szCs w:val="20"/>
              </w:rPr>
              <w:t>May 1,</w:t>
            </w:r>
          </w:p>
        </w:tc>
        <w:tc>
          <w:tcPr>
            <w:tcW w:w="0" w:type="auto"/>
            <w:gridSpan w:val="3"/>
            <w:shd w:val="clear" w:color="auto" w:fill="auto"/>
            <w:tcMar>
              <w:top w:w="0" w:type="dxa"/>
              <w:left w:w="20" w:type="dxa"/>
              <w:bottom w:w="0" w:type="dxa"/>
              <w:right w:w="20" w:type="dxa"/>
            </w:tcMar>
            <w:vAlign w:val="bottom"/>
          </w:tcPr>
          <w:p w14:paraId="7C2086C0" w14:textId="77777777" w:rsidR="00834A75" w:rsidRDefault="00834A75">
            <w:pPr>
              <w:rPr>
                <w:rFonts w:ascii="宋体"/>
              </w:rPr>
            </w:pPr>
          </w:p>
        </w:tc>
        <w:tc>
          <w:tcPr>
            <w:tcW w:w="0" w:type="auto"/>
            <w:gridSpan w:val="3"/>
            <w:shd w:val="clear" w:color="auto" w:fill="auto"/>
            <w:tcMar>
              <w:top w:w="40" w:type="dxa"/>
              <w:left w:w="20" w:type="dxa"/>
              <w:bottom w:w="40" w:type="dxa"/>
              <w:right w:w="20" w:type="dxa"/>
            </w:tcMar>
            <w:vAlign w:val="bottom"/>
          </w:tcPr>
          <w:p w14:paraId="7C2086C1" w14:textId="77777777" w:rsidR="00834A75" w:rsidRDefault="00A6708C">
            <w:pPr>
              <w:jc w:val="center"/>
              <w:textAlignment w:val="bottom"/>
            </w:pPr>
            <w:r>
              <w:rPr>
                <w:rFonts w:ascii="sans-serif" w:eastAsia="sans-serif" w:hAnsi="sans-serif" w:cs="sans-serif"/>
                <w:b/>
                <w:bCs/>
                <w:color w:val="000000"/>
                <w:sz w:val="20"/>
                <w:szCs w:val="20"/>
              </w:rPr>
              <w:t>January 30,</w:t>
            </w:r>
          </w:p>
        </w:tc>
      </w:tr>
      <w:tr w:rsidR="00834A75" w14:paraId="7C2086C7" w14:textId="77777777">
        <w:tc>
          <w:tcPr>
            <w:tcW w:w="0" w:type="auto"/>
            <w:gridSpan w:val="3"/>
            <w:shd w:val="clear" w:color="auto" w:fill="auto"/>
            <w:tcMar>
              <w:top w:w="40" w:type="dxa"/>
              <w:left w:w="20" w:type="dxa"/>
              <w:bottom w:w="40" w:type="dxa"/>
              <w:right w:w="20" w:type="dxa"/>
            </w:tcMar>
            <w:vAlign w:val="bottom"/>
          </w:tcPr>
          <w:p w14:paraId="7C2086C3" w14:textId="77777777" w:rsidR="00834A75" w:rsidRDefault="00A6708C">
            <w:pPr>
              <w:textAlignment w:val="bottom"/>
            </w:pPr>
            <w:r>
              <w:rPr>
                <w:rFonts w:ascii="sans-serif" w:eastAsia="sans-serif" w:hAnsi="sans-serif" w:cs="sans-serif"/>
                <w:color w:val="000000"/>
                <w:sz w:val="20"/>
                <w:szCs w:val="20"/>
              </w:rPr>
              <w:t> </w:t>
            </w:r>
          </w:p>
        </w:tc>
        <w:tc>
          <w:tcPr>
            <w:tcW w:w="0" w:type="auto"/>
            <w:gridSpan w:val="3"/>
            <w:shd w:val="clear" w:color="auto" w:fill="auto"/>
            <w:tcMar>
              <w:top w:w="40" w:type="dxa"/>
              <w:left w:w="20" w:type="dxa"/>
              <w:bottom w:w="40" w:type="dxa"/>
              <w:right w:w="20" w:type="dxa"/>
            </w:tcMar>
            <w:vAlign w:val="bottom"/>
          </w:tcPr>
          <w:p w14:paraId="7C2086C4" w14:textId="77777777" w:rsidR="00834A75" w:rsidRDefault="00A6708C">
            <w:pPr>
              <w:jc w:val="center"/>
              <w:textAlignment w:val="bottom"/>
            </w:pPr>
            <w:r>
              <w:rPr>
                <w:rFonts w:ascii="sans-serif" w:eastAsia="sans-serif" w:hAnsi="sans-serif" w:cs="sans-serif"/>
                <w:b/>
                <w:bCs/>
                <w:color w:val="000000"/>
                <w:sz w:val="20"/>
                <w:szCs w:val="20"/>
              </w:rPr>
              <w:t>2022</w:t>
            </w:r>
          </w:p>
        </w:tc>
        <w:tc>
          <w:tcPr>
            <w:tcW w:w="0" w:type="auto"/>
            <w:gridSpan w:val="3"/>
            <w:shd w:val="clear" w:color="auto" w:fill="auto"/>
            <w:tcMar>
              <w:top w:w="0" w:type="dxa"/>
              <w:left w:w="20" w:type="dxa"/>
              <w:bottom w:w="0" w:type="dxa"/>
              <w:right w:w="20" w:type="dxa"/>
            </w:tcMar>
            <w:vAlign w:val="bottom"/>
          </w:tcPr>
          <w:p w14:paraId="7C2086C5" w14:textId="77777777" w:rsidR="00834A75" w:rsidRDefault="00834A75">
            <w:pPr>
              <w:rPr>
                <w:rFonts w:ascii="宋体"/>
              </w:rPr>
            </w:pPr>
          </w:p>
        </w:tc>
        <w:tc>
          <w:tcPr>
            <w:tcW w:w="0" w:type="auto"/>
            <w:gridSpan w:val="3"/>
            <w:shd w:val="clear" w:color="auto" w:fill="auto"/>
            <w:tcMar>
              <w:top w:w="40" w:type="dxa"/>
              <w:left w:w="20" w:type="dxa"/>
              <w:bottom w:w="40" w:type="dxa"/>
              <w:right w:w="20" w:type="dxa"/>
            </w:tcMar>
            <w:vAlign w:val="bottom"/>
          </w:tcPr>
          <w:p w14:paraId="7C2086C6" w14:textId="77777777" w:rsidR="00834A75" w:rsidRDefault="00A6708C">
            <w:pPr>
              <w:jc w:val="center"/>
              <w:textAlignment w:val="bottom"/>
            </w:pPr>
            <w:r>
              <w:rPr>
                <w:rFonts w:ascii="sans-serif" w:eastAsia="sans-serif" w:hAnsi="sans-serif" w:cs="sans-serif"/>
                <w:b/>
                <w:bCs/>
                <w:color w:val="000000"/>
                <w:sz w:val="20"/>
                <w:szCs w:val="20"/>
              </w:rPr>
              <w:t>2022</w:t>
            </w:r>
          </w:p>
        </w:tc>
      </w:tr>
      <w:tr w:rsidR="00834A75" w14:paraId="7C2086CC" w14:textId="77777777">
        <w:trPr>
          <w:trHeight w:val="60"/>
        </w:trPr>
        <w:tc>
          <w:tcPr>
            <w:tcW w:w="0" w:type="auto"/>
            <w:gridSpan w:val="3"/>
            <w:shd w:val="clear" w:color="auto" w:fill="auto"/>
            <w:tcMar>
              <w:top w:w="0" w:type="dxa"/>
              <w:left w:w="20" w:type="dxa"/>
              <w:bottom w:w="0" w:type="dxa"/>
              <w:right w:w="20" w:type="dxa"/>
            </w:tcMar>
            <w:vAlign w:val="bottom"/>
          </w:tcPr>
          <w:p w14:paraId="7C2086C8" w14:textId="77777777" w:rsidR="00834A75" w:rsidRDefault="00834A75">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C2086C9" w14:textId="77777777" w:rsidR="00834A75" w:rsidRDefault="00834A75">
            <w:pPr>
              <w:rPr>
                <w:rFonts w:ascii="宋体"/>
              </w:rPr>
            </w:pPr>
          </w:p>
        </w:tc>
        <w:tc>
          <w:tcPr>
            <w:tcW w:w="0" w:type="auto"/>
            <w:gridSpan w:val="3"/>
            <w:shd w:val="clear" w:color="auto" w:fill="auto"/>
            <w:tcMar>
              <w:top w:w="0" w:type="dxa"/>
              <w:left w:w="20" w:type="dxa"/>
              <w:bottom w:w="0" w:type="dxa"/>
              <w:right w:w="20" w:type="dxa"/>
            </w:tcMar>
            <w:vAlign w:val="bottom"/>
          </w:tcPr>
          <w:p w14:paraId="7C2086CA" w14:textId="77777777" w:rsidR="00834A75" w:rsidRDefault="00834A75">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C2086CB" w14:textId="77777777" w:rsidR="00834A75" w:rsidRDefault="00834A75">
            <w:pPr>
              <w:rPr>
                <w:rFonts w:ascii="宋体"/>
              </w:rPr>
            </w:pPr>
          </w:p>
        </w:tc>
      </w:tr>
      <w:tr w:rsidR="00834A75" w14:paraId="7C2086CF" w14:textId="77777777">
        <w:tc>
          <w:tcPr>
            <w:tcW w:w="0" w:type="auto"/>
            <w:gridSpan w:val="3"/>
            <w:shd w:val="clear" w:color="auto" w:fill="auto"/>
            <w:tcMar>
              <w:top w:w="40" w:type="dxa"/>
              <w:left w:w="20" w:type="dxa"/>
              <w:bottom w:w="40" w:type="dxa"/>
              <w:right w:w="20" w:type="dxa"/>
            </w:tcMar>
            <w:vAlign w:val="bottom"/>
          </w:tcPr>
          <w:p w14:paraId="7C2086CD" w14:textId="77777777" w:rsidR="00834A75" w:rsidRDefault="00A6708C">
            <w:pPr>
              <w:textAlignment w:val="bottom"/>
            </w:pPr>
            <w:r>
              <w:rPr>
                <w:rFonts w:ascii="sans-serif" w:eastAsia="sans-serif" w:hAnsi="sans-serif" w:cs="sans-serif"/>
                <w:b/>
                <w:bCs/>
                <w:color w:val="000000"/>
                <w:sz w:val="20"/>
                <w:szCs w:val="20"/>
              </w:rPr>
              <w:t>Inventories:</w:t>
            </w:r>
          </w:p>
        </w:tc>
        <w:tc>
          <w:tcPr>
            <w:tcW w:w="0" w:type="auto"/>
            <w:gridSpan w:val="9"/>
            <w:shd w:val="clear" w:color="auto" w:fill="auto"/>
            <w:tcMar>
              <w:top w:w="40" w:type="dxa"/>
              <w:left w:w="20" w:type="dxa"/>
              <w:bottom w:w="40" w:type="dxa"/>
              <w:right w:w="20" w:type="dxa"/>
            </w:tcMar>
            <w:vAlign w:val="bottom"/>
          </w:tcPr>
          <w:p w14:paraId="7C2086CE" w14:textId="77777777" w:rsidR="00834A75" w:rsidRDefault="00A6708C">
            <w:pPr>
              <w:jc w:val="center"/>
              <w:textAlignment w:val="bottom"/>
            </w:pPr>
            <w:r>
              <w:rPr>
                <w:rFonts w:ascii="sans-serif" w:eastAsia="sans-serif" w:hAnsi="sans-serif" w:cs="sans-serif"/>
                <w:i/>
                <w:iCs/>
                <w:color w:val="000000"/>
                <w:sz w:val="20"/>
                <w:szCs w:val="20"/>
              </w:rPr>
              <w:t>(In millions)</w:t>
            </w:r>
          </w:p>
        </w:tc>
      </w:tr>
      <w:tr w:rsidR="00834A75" w14:paraId="7C2086D8" w14:textId="77777777">
        <w:tc>
          <w:tcPr>
            <w:tcW w:w="0" w:type="auto"/>
            <w:gridSpan w:val="3"/>
            <w:shd w:val="clear" w:color="auto" w:fill="E2EFD9"/>
            <w:tcMar>
              <w:top w:w="40" w:type="dxa"/>
              <w:left w:w="20" w:type="dxa"/>
              <w:bottom w:w="40" w:type="dxa"/>
              <w:right w:w="20" w:type="dxa"/>
            </w:tcMar>
            <w:vAlign w:val="bottom"/>
          </w:tcPr>
          <w:p w14:paraId="7C2086D0" w14:textId="77777777" w:rsidR="00834A75" w:rsidRDefault="00A6708C">
            <w:pPr>
              <w:textAlignment w:val="bottom"/>
            </w:pPr>
            <w:r>
              <w:rPr>
                <w:rFonts w:ascii="sans-serif" w:eastAsia="sans-serif" w:hAnsi="sans-serif" w:cs="sans-serif"/>
                <w:color w:val="000000"/>
                <w:sz w:val="20"/>
                <w:szCs w:val="20"/>
              </w:rPr>
              <w:t>Raw materials</w:t>
            </w:r>
          </w:p>
        </w:tc>
        <w:tc>
          <w:tcPr>
            <w:tcW w:w="0" w:type="auto"/>
            <w:shd w:val="clear" w:color="auto" w:fill="E2EFD9"/>
            <w:tcMar>
              <w:top w:w="40" w:type="dxa"/>
              <w:left w:w="20" w:type="dxa"/>
              <w:bottom w:w="40" w:type="dxa"/>
              <w:right w:w="0" w:type="dxa"/>
            </w:tcMar>
            <w:vAlign w:val="bottom"/>
          </w:tcPr>
          <w:p w14:paraId="7C2086D1" w14:textId="77777777" w:rsidR="00834A75" w:rsidRDefault="00A6708C">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7C2086D2" w14:textId="77777777" w:rsidR="00834A75" w:rsidRDefault="00A6708C">
            <w:pPr>
              <w:jc w:val="right"/>
              <w:textAlignment w:val="bottom"/>
            </w:pPr>
            <w:r>
              <w:rPr>
                <w:rFonts w:ascii="sans-serif" w:eastAsia="sans-serif" w:hAnsi="sans-serif" w:cs="sans-serif"/>
                <w:color w:val="000000"/>
                <w:sz w:val="20"/>
                <w:szCs w:val="20"/>
              </w:rPr>
              <w:t>1,119 </w:t>
            </w:r>
          </w:p>
        </w:tc>
        <w:tc>
          <w:tcPr>
            <w:tcW w:w="0" w:type="auto"/>
            <w:shd w:val="clear" w:color="auto" w:fill="E2EFD9"/>
            <w:tcMar>
              <w:top w:w="40" w:type="dxa"/>
              <w:left w:w="0" w:type="dxa"/>
              <w:bottom w:w="40" w:type="dxa"/>
              <w:right w:w="20" w:type="dxa"/>
            </w:tcMar>
            <w:vAlign w:val="bottom"/>
          </w:tcPr>
          <w:p w14:paraId="7C2086D3" w14:textId="77777777" w:rsidR="00834A75" w:rsidRDefault="00834A75">
            <w:pPr>
              <w:jc w:val="right"/>
              <w:rPr>
                <w:rFonts w:ascii="宋体"/>
              </w:rPr>
            </w:pPr>
          </w:p>
        </w:tc>
        <w:tc>
          <w:tcPr>
            <w:tcW w:w="0" w:type="auto"/>
            <w:gridSpan w:val="3"/>
            <w:shd w:val="clear" w:color="auto" w:fill="E2EFD9"/>
            <w:tcMar>
              <w:top w:w="0" w:type="dxa"/>
              <w:left w:w="20" w:type="dxa"/>
              <w:bottom w:w="0" w:type="dxa"/>
              <w:right w:w="20" w:type="dxa"/>
            </w:tcMar>
            <w:vAlign w:val="bottom"/>
          </w:tcPr>
          <w:p w14:paraId="7C2086D4" w14:textId="77777777" w:rsidR="00834A75" w:rsidRDefault="00834A75">
            <w:pPr>
              <w:rPr>
                <w:rFonts w:ascii="宋体"/>
              </w:rPr>
            </w:pPr>
          </w:p>
        </w:tc>
        <w:tc>
          <w:tcPr>
            <w:tcW w:w="0" w:type="auto"/>
            <w:shd w:val="clear" w:color="auto" w:fill="E2EFD9"/>
            <w:tcMar>
              <w:top w:w="40" w:type="dxa"/>
              <w:left w:w="20" w:type="dxa"/>
              <w:bottom w:w="40" w:type="dxa"/>
              <w:right w:w="0" w:type="dxa"/>
            </w:tcMar>
            <w:vAlign w:val="bottom"/>
          </w:tcPr>
          <w:p w14:paraId="7C2086D5" w14:textId="77777777" w:rsidR="00834A75" w:rsidRDefault="00A6708C">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7C2086D6" w14:textId="77777777" w:rsidR="00834A75" w:rsidRDefault="00A6708C">
            <w:pPr>
              <w:jc w:val="right"/>
              <w:textAlignment w:val="bottom"/>
            </w:pPr>
            <w:r>
              <w:rPr>
                <w:rFonts w:ascii="sans-serif" w:eastAsia="sans-serif" w:hAnsi="sans-serif" w:cs="sans-serif"/>
                <w:color w:val="000000"/>
                <w:sz w:val="20"/>
                <w:szCs w:val="20"/>
              </w:rPr>
              <w:t>791 </w:t>
            </w:r>
          </w:p>
        </w:tc>
        <w:tc>
          <w:tcPr>
            <w:tcW w:w="0" w:type="auto"/>
            <w:shd w:val="clear" w:color="auto" w:fill="E2EFD9"/>
            <w:tcMar>
              <w:top w:w="40" w:type="dxa"/>
              <w:left w:w="0" w:type="dxa"/>
              <w:bottom w:w="40" w:type="dxa"/>
              <w:right w:w="20" w:type="dxa"/>
            </w:tcMar>
            <w:vAlign w:val="bottom"/>
          </w:tcPr>
          <w:p w14:paraId="7C2086D7" w14:textId="77777777" w:rsidR="00834A75" w:rsidRDefault="00834A75">
            <w:pPr>
              <w:jc w:val="right"/>
              <w:rPr>
                <w:rFonts w:ascii="宋体"/>
              </w:rPr>
            </w:pPr>
          </w:p>
        </w:tc>
      </w:tr>
      <w:tr w:rsidR="00834A75" w14:paraId="7C2086DF" w14:textId="77777777">
        <w:tc>
          <w:tcPr>
            <w:tcW w:w="0" w:type="auto"/>
            <w:gridSpan w:val="3"/>
            <w:shd w:val="clear" w:color="auto" w:fill="FFFFFF"/>
            <w:tcMar>
              <w:top w:w="40" w:type="dxa"/>
              <w:left w:w="20" w:type="dxa"/>
              <w:bottom w:w="40" w:type="dxa"/>
              <w:right w:w="20" w:type="dxa"/>
            </w:tcMar>
            <w:vAlign w:val="bottom"/>
          </w:tcPr>
          <w:p w14:paraId="7C2086D9" w14:textId="77777777" w:rsidR="00834A75" w:rsidRDefault="00A6708C">
            <w:pPr>
              <w:textAlignment w:val="bottom"/>
            </w:pPr>
            <w:r>
              <w:rPr>
                <w:rFonts w:ascii="sans-serif" w:eastAsia="sans-serif" w:hAnsi="sans-serif" w:cs="sans-serif"/>
                <w:color w:val="000000"/>
                <w:sz w:val="20"/>
                <w:szCs w:val="20"/>
              </w:rPr>
              <w:t xml:space="preserve">Work </w:t>
            </w:r>
            <w:r>
              <w:rPr>
                <w:rFonts w:ascii="sans-serif" w:eastAsia="sans-serif" w:hAnsi="sans-serif" w:cs="sans-serif"/>
                <w:color w:val="000000"/>
                <w:sz w:val="20"/>
                <w:szCs w:val="20"/>
              </w:rPr>
              <w:t>in-process</w:t>
            </w:r>
          </w:p>
        </w:tc>
        <w:tc>
          <w:tcPr>
            <w:tcW w:w="0" w:type="auto"/>
            <w:gridSpan w:val="2"/>
            <w:shd w:val="clear" w:color="auto" w:fill="FFFFFF"/>
            <w:tcMar>
              <w:top w:w="40" w:type="dxa"/>
              <w:left w:w="20" w:type="dxa"/>
              <w:bottom w:w="40" w:type="dxa"/>
              <w:right w:w="0" w:type="dxa"/>
            </w:tcMar>
            <w:vAlign w:val="bottom"/>
          </w:tcPr>
          <w:p w14:paraId="7C2086DA" w14:textId="77777777" w:rsidR="00834A75" w:rsidRDefault="00A6708C">
            <w:pPr>
              <w:jc w:val="right"/>
              <w:textAlignment w:val="bottom"/>
            </w:pPr>
            <w:r>
              <w:rPr>
                <w:rFonts w:ascii="sans-serif" w:eastAsia="sans-serif" w:hAnsi="sans-serif" w:cs="sans-serif"/>
                <w:color w:val="000000"/>
                <w:sz w:val="20"/>
                <w:szCs w:val="20"/>
              </w:rPr>
              <w:t>672 </w:t>
            </w:r>
          </w:p>
        </w:tc>
        <w:tc>
          <w:tcPr>
            <w:tcW w:w="0" w:type="auto"/>
            <w:shd w:val="clear" w:color="auto" w:fill="FFFFFF"/>
            <w:tcMar>
              <w:top w:w="40" w:type="dxa"/>
              <w:left w:w="0" w:type="dxa"/>
              <w:bottom w:w="40" w:type="dxa"/>
              <w:right w:w="20" w:type="dxa"/>
            </w:tcMar>
            <w:vAlign w:val="bottom"/>
          </w:tcPr>
          <w:p w14:paraId="7C2086DB" w14:textId="77777777" w:rsidR="00834A75" w:rsidRDefault="00834A75">
            <w:pPr>
              <w:jc w:val="right"/>
              <w:rPr>
                <w:rFonts w:ascii="宋体"/>
              </w:rPr>
            </w:pPr>
          </w:p>
        </w:tc>
        <w:tc>
          <w:tcPr>
            <w:tcW w:w="0" w:type="auto"/>
            <w:gridSpan w:val="3"/>
            <w:shd w:val="clear" w:color="auto" w:fill="FFFFFF"/>
            <w:tcMar>
              <w:top w:w="0" w:type="dxa"/>
              <w:left w:w="20" w:type="dxa"/>
              <w:bottom w:w="0" w:type="dxa"/>
              <w:right w:w="20" w:type="dxa"/>
            </w:tcMar>
            <w:vAlign w:val="bottom"/>
          </w:tcPr>
          <w:p w14:paraId="7C2086DC" w14:textId="77777777" w:rsidR="00834A75" w:rsidRDefault="00834A75">
            <w:pPr>
              <w:rPr>
                <w:rFonts w:ascii="宋体"/>
              </w:rPr>
            </w:pPr>
          </w:p>
        </w:tc>
        <w:tc>
          <w:tcPr>
            <w:tcW w:w="0" w:type="auto"/>
            <w:gridSpan w:val="2"/>
            <w:shd w:val="clear" w:color="auto" w:fill="FFFFFF"/>
            <w:tcMar>
              <w:top w:w="40" w:type="dxa"/>
              <w:left w:w="20" w:type="dxa"/>
              <w:bottom w:w="40" w:type="dxa"/>
              <w:right w:w="0" w:type="dxa"/>
            </w:tcMar>
            <w:vAlign w:val="bottom"/>
          </w:tcPr>
          <w:p w14:paraId="7C2086DD" w14:textId="77777777" w:rsidR="00834A75" w:rsidRDefault="00A6708C">
            <w:pPr>
              <w:jc w:val="right"/>
              <w:textAlignment w:val="bottom"/>
            </w:pPr>
            <w:r>
              <w:rPr>
                <w:rFonts w:ascii="sans-serif" w:eastAsia="sans-serif" w:hAnsi="sans-serif" w:cs="sans-serif"/>
                <w:color w:val="000000"/>
                <w:sz w:val="20"/>
                <w:szCs w:val="20"/>
              </w:rPr>
              <w:t>692 </w:t>
            </w:r>
          </w:p>
        </w:tc>
        <w:tc>
          <w:tcPr>
            <w:tcW w:w="0" w:type="auto"/>
            <w:shd w:val="clear" w:color="auto" w:fill="FFFFFF"/>
            <w:tcMar>
              <w:top w:w="40" w:type="dxa"/>
              <w:left w:w="0" w:type="dxa"/>
              <w:bottom w:w="40" w:type="dxa"/>
              <w:right w:w="20" w:type="dxa"/>
            </w:tcMar>
            <w:vAlign w:val="bottom"/>
          </w:tcPr>
          <w:p w14:paraId="7C2086DE" w14:textId="77777777" w:rsidR="00834A75" w:rsidRDefault="00834A75">
            <w:pPr>
              <w:jc w:val="right"/>
              <w:rPr>
                <w:rFonts w:ascii="宋体"/>
              </w:rPr>
            </w:pPr>
          </w:p>
        </w:tc>
      </w:tr>
      <w:tr w:rsidR="00834A75" w14:paraId="7C2086E6" w14:textId="77777777">
        <w:tc>
          <w:tcPr>
            <w:tcW w:w="0" w:type="auto"/>
            <w:gridSpan w:val="3"/>
            <w:shd w:val="clear" w:color="auto" w:fill="E2EFD9"/>
            <w:tcMar>
              <w:top w:w="40" w:type="dxa"/>
              <w:left w:w="20" w:type="dxa"/>
              <w:bottom w:w="40" w:type="dxa"/>
              <w:right w:w="20" w:type="dxa"/>
            </w:tcMar>
            <w:vAlign w:val="bottom"/>
          </w:tcPr>
          <w:p w14:paraId="7C2086E0" w14:textId="77777777" w:rsidR="00834A75" w:rsidRDefault="00A6708C">
            <w:pPr>
              <w:textAlignment w:val="bottom"/>
            </w:pPr>
            <w:r>
              <w:rPr>
                <w:rFonts w:ascii="sans-serif" w:eastAsia="sans-serif" w:hAnsi="sans-serif" w:cs="sans-serif"/>
                <w:color w:val="000000"/>
                <w:sz w:val="20"/>
                <w:szCs w:val="20"/>
              </w:rPr>
              <w:t>Finished goods</w:t>
            </w:r>
          </w:p>
        </w:tc>
        <w:tc>
          <w:tcPr>
            <w:tcW w:w="0" w:type="auto"/>
            <w:gridSpan w:val="2"/>
            <w:shd w:val="clear" w:color="auto" w:fill="E2EFD9"/>
            <w:tcMar>
              <w:top w:w="40" w:type="dxa"/>
              <w:left w:w="20" w:type="dxa"/>
              <w:bottom w:w="40" w:type="dxa"/>
              <w:right w:w="0" w:type="dxa"/>
            </w:tcMar>
            <w:vAlign w:val="bottom"/>
          </w:tcPr>
          <w:p w14:paraId="7C2086E1" w14:textId="77777777" w:rsidR="00834A75" w:rsidRDefault="00A6708C">
            <w:pPr>
              <w:jc w:val="right"/>
              <w:textAlignment w:val="bottom"/>
            </w:pPr>
            <w:r>
              <w:rPr>
                <w:rFonts w:ascii="sans-serif" w:eastAsia="sans-serif" w:hAnsi="sans-serif" w:cs="sans-serif"/>
                <w:color w:val="000000"/>
                <w:sz w:val="20"/>
                <w:szCs w:val="20"/>
              </w:rPr>
              <w:t>1,372 </w:t>
            </w:r>
          </w:p>
        </w:tc>
        <w:tc>
          <w:tcPr>
            <w:tcW w:w="0" w:type="auto"/>
            <w:shd w:val="clear" w:color="auto" w:fill="E2EFD9"/>
            <w:tcMar>
              <w:top w:w="40" w:type="dxa"/>
              <w:left w:w="0" w:type="dxa"/>
              <w:bottom w:w="40" w:type="dxa"/>
              <w:right w:w="20" w:type="dxa"/>
            </w:tcMar>
            <w:vAlign w:val="bottom"/>
          </w:tcPr>
          <w:p w14:paraId="7C2086E2" w14:textId="77777777" w:rsidR="00834A75" w:rsidRDefault="00834A75">
            <w:pPr>
              <w:jc w:val="right"/>
              <w:rPr>
                <w:rFonts w:ascii="宋体"/>
              </w:rPr>
            </w:pPr>
          </w:p>
        </w:tc>
        <w:tc>
          <w:tcPr>
            <w:tcW w:w="0" w:type="auto"/>
            <w:gridSpan w:val="3"/>
            <w:shd w:val="clear" w:color="auto" w:fill="E2EFD9"/>
            <w:tcMar>
              <w:top w:w="0" w:type="dxa"/>
              <w:left w:w="20" w:type="dxa"/>
              <w:bottom w:w="0" w:type="dxa"/>
              <w:right w:w="20" w:type="dxa"/>
            </w:tcMar>
            <w:vAlign w:val="bottom"/>
          </w:tcPr>
          <w:p w14:paraId="7C2086E3" w14:textId="77777777" w:rsidR="00834A75" w:rsidRDefault="00834A75">
            <w:pPr>
              <w:rPr>
                <w:rFonts w:ascii="宋体"/>
              </w:rPr>
            </w:pPr>
          </w:p>
        </w:tc>
        <w:tc>
          <w:tcPr>
            <w:tcW w:w="0" w:type="auto"/>
            <w:gridSpan w:val="2"/>
            <w:shd w:val="clear" w:color="auto" w:fill="E2EFD9"/>
            <w:tcMar>
              <w:top w:w="40" w:type="dxa"/>
              <w:left w:w="20" w:type="dxa"/>
              <w:bottom w:w="40" w:type="dxa"/>
              <w:right w:w="0" w:type="dxa"/>
            </w:tcMar>
            <w:vAlign w:val="bottom"/>
          </w:tcPr>
          <w:p w14:paraId="7C2086E4" w14:textId="77777777" w:rsidR="00834A75" w:rsidRDefault="00A6708C">
            <w:pPr>
              <w:jc w:val="right"/>
              <w:textAlignment w:val="bottom"/>
            </w:pPr>
            <w:r>
              <w:rPr>
                <w:rFonts w:ascii="sans-serif" w:eastAsia="sans-serif" w:hAnsi="sans-serif" w:cs="sans-serif"/>
                <w:color w:val="000000"/>
                <w:sz w:val="20"/>
                <w:szCs w:val="20"/>
              </w:rPr>
              <w:t>1,122 </w:t>
            </w:r>
          </w:p>
        </w:tc>
        <w:tc>
          <w:tcPr>
            <w:tcW w:w="0" w:type="auto"/>
            <w:shd w:val="clear" w:color="auto" w:fill="E2EFD9"/>
            <w:tcMar>
              <w:top w:w="40" w:type="dxa"/>
              <w:left w:w="0" w:type="dxa"/>
              <w:bottom w:w="40" w:type="dxa"/>
              <w:right w:w="20" w:type="dxa"/>
            </w:tcMar>
            <w:vAlign w:val="bottom"/>
          </w:tcPr>
          <w:p w14:paraId="7C2086E5" w14:textId="77777777" w:rsidR="00834A75" w:rsidRDefault="00834A75">
            <w:pPr>
              <w:jc w:val="right"/>
              <w:rPr>
                <w:rFonts w:ascii="宋体"/>
              </w:rPr>
            </w:pPr>
          </w:p>
        </w:tc>
      </w:tr>
      <w:tr w:rsidR="00834A75" w14:paraId="7C2086EF" w14:textId="77777777">
        <w:tc>
          <w:tcPr>
            <w:tcW w:w="0" w:type="auto"/>
            <w:gridSpan w:val="3"/>
            <w:shd w:val="clear" w:color="auto" w:fill="FFFFFF"/>
            <w:tcMar>
              <w:top w:w="40" w:type="dxa"/>
              <w:left w:w="380" w:type="dxa"/>
              <w:bottom w:w="40" w:type="dxa"/>
              <w:right w:w="20" w:type="dxa"/>
            </w:tcMar>
            <w:vAlign w:val="bottom"/>
          </w:tcPr>
          <w:p w14:paraId="7C2086E7" w14:textId="77777777" w:rsidR="00834A75" w:rsidRDefault="00A6708C">
            <w:pPr>
              <w:textAlignment w:val="bottom"/>
            </w:pPr>
            <w:r>
              <w:rPr>
                <w:rFonts w:ascii="sans-serif" w:eastAsia="sans-serif" w:hAnsi="sans-serif" w:cs="sans-serif"/>
                <w:color w:val="000000"/>
                <w:sz w:val="20"/>
                <w:szCs w:val="20"/>
              </w:rPr>
              <w:t>Total inventories</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C2086E8" w14:textId="77777777" w:rsidR="00834A75" w:rsidRDefault="00A6708C">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C2086E9" w14:textId="77777777" w:rsidR="00834A75" w:rsidRDefault="00A6708C">
            <w:pPr>
              <w:jc w:val="right"/>
              <w:textAlignment w:val="bottom"/>
            </w:pPr>
            <w:r>
              <w:rPr>
                <w:rFonts w:ascii="sans-serif" w:eastAsia="sans-serif" w:hAnsi="sans-serif" w:cs="sans-serif"/>
                <w:color w:val="000000"/>
                <w:sz w:val="20"/>
                <w:szCs w:val="20"/>
              </w:rPr>
              <w:t>3,163 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C2086EA" w14:textId="77777777" w:rsidR="00834A75" w:rsidRDefault="00834A75">
            <w:pPr>
              <w:jc w:val="right"/>
              <w:rPr>
                <w:rFonts w:ascii="宋体"/>
              </w:rPr>
            </w:pPr>
          </w:p>
        </w:tc>
        <w:tc>
          <w:tcPr>
            <w:tcW w:w="0" w:type="auto"/>
            <w:gridSpan w:val="3"/>
            <w:shd w:val="clear" w:color="auto" w:fill="FFFFFF"/>
            <w:tcMar>
              <w:top w:w="0" w:type="dxa"/>
              <w:left w:w="20" w:type="dxa"/>
              <w:bottom w:w="0" w:type="dxa"/>
              <w:right w:w="20" w:type="dxa"/>
            </w:tcMar>
            <w:vAlign w:val="bottom"/>
          </w:tcPr>
          <w:p w14:paraId="7C2086EB" w14:textId="77777777" w:rsidR="00834A75" w:rsidRDefault="00834A75">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C2086EC" w14:textId="77777777" w:rsidR="00834A75" w:rsidRDefault="00A6708C">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C2086ED" w14:textId="77777777" w:rsidR="00834A75" w:rsidRDefault="00A6708C">
            <w:pPr>
              <w:jc w:val="right"/>
              <w:textAlignment w:val="bottom"/>
            </w:pPr>
            <w:r>
              <w:rPr>
                <w:rFonts w:ascii="sans-serif" w:eastAsia="sans-serif" w:hAnsi="sans-serif" w:cs="sans-serif"/>
                <w:color w:val="000000"/>
                <w:sz w:val="20"/>
                <w:szCs w:val="20"/>
              </w:rPr>
              <w:t>2,605 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C2086EE" w14:textId="77777777" w:rsidR="00834A75" w:rsidRDefault="00834A75">
            <w:pPr>
              <w:jc w:val="right"/>
              <w:rPr>
                <w:rFonts w:ascii="宋体"/>
              </w:rPr>
            </w:pPr>
          </w:p>
        </w:tc>
      </w:tr>
    </w:tbl>
    <w:p w14:paraId="7C2086F0" w14:textId="77777777" w:rsidR="00834A75" w:rsidRDefault="00834A75">
      <w:pPr>
        <w:rPr>
          <w:vanish/>
        </w:rPr>
      </w:pPr>
    </w:p>
    <w:tbl>
      <w:tblPr>
        <w:tblW w:w="4993" w:type="pct"/>
        <w:tblCellMar>
          <w:top w:w="15" w:type="dxa"/>
          <w:left w:w="15" w:type="dxa"/>
          <w:bottom w:w="15" w:type="dxa"/>
          <w:right w:w="15" w:type="dxa"/>
        </w:tblCellMar>
        <w:tblLook w:val="04A0" w:firstRow="1" w:lastRow="0" w:firstColumn="1" w:lastColumn="0" w:noHBand="0" w:noVBand="1"/>
      </w:tblPr>
      <w:tblGrid>
        <w:gridCol w:w="39"/>
        <w:gridCol w:w="5910"/>
        <w:gridCol w:w="38"/>
        <w:gridCol w:w="122"/>
        <w:gridCol w:w="974"/>
        <w:gridCol w:w="36"/>
        <w:gridCol w:w="36"/>
        <w:gridCol w:w="36"/>
        <w:gridCol w:w="36"/>
        <w:gridCol w:w="123"/>
        <w:gridCol w:w="938"/>
        <w:gridCol w:w="36"/>
      </w:tblGrid>
      <w:tr w:rsidR="00834A75" w14:paraId="7C2086FD" w14:textId="77777777">
        <w:tc>
          <w:tcPr>
            <w:tcW w:w="50" w:type="pct"/>
            <w:shd w:val="clear" w:color="auto" w:fill="auto"/>
            <w:vAlign w:val="bottom"/>
          </w:tcPr>
          <w:p w14:paraId="7C2086F1" w14:textId="77777777" w:rsidR="00834A75" w:rsidRDefault="00834A75">
            <w:pPr>
              <w:rPr>
                <w:rFonts w:ascii="宋体"/>
              </w:rPr>
            </w:pPr>
          </w:p>
        </w:tc>
        <w:tc>
          <w:tcPr>
            <w:tcW w:w="3575" w:type="pct"/>
            <w:shd w:val="clear" w:color="auto" w:fill="auto"/>
            <w:vAlign w:val="bottom"/>
          </w:tcPr>
          <w:p w14:paraId="7C2086F2" w14:textId="77777777" w:rsidR="00834A75" w:rsidRDefault="00834A75">
            <w:pPr>
              <w:rPr>
                <w:rFonts w:ascii="宋体"/>
              </w:rPr>
            </w:pPr>
          </w:p>
        </w:tc>
        <w:tc>
          <w:tcPr>
            <w:tcW w:w="5" w:type="pct"/>
            <w:shd w:val="clear" w:color="auto" w:fill="auto"/>
            <w:vAlign w:val="bottom"/>
          </w:tcPr>
          <w:p w14:paraId="7C2086F3" w14:textId="77777777" w:rsidR="00834A75" w:rsidRDefault="00834A75">
            <w:pPr>
              <w:rPr>
                <w:rFonts w:ascii="宋体"/>
              </w:rPr>
            </w:pPr>
          </w:p>
        </w:tc>
        <w:tc>
          <w:tcPr>
            <w:tcW w:w="50" w:type="pct"/>
            <w:shd w:val="clear" w:color="auto" w:fill="auto"/>
            <w:vAlign w:val="bottom"/>
          </w:tcPr>
          <w:p w14:paraId="7C2086F4" w14:textId="77777777" w:rsidR="00834A75" w:rsidRDefault="00834A75">
            <w:pPr>
              <w:rPr>
                <w:rFonts w:ascii="宋体"/>
              </w:rPr>
            </w:pPr>
          </w:p>
        </w:tc>
        <w:tc>
          <w:tcPr>
            <w:tcW w:w="611" w:type="pct"/>
            <w:shd w:val="clear" w:color="auto" w:fill="auto"/>
            <w:vAlign w:val="bottom"/>
          </w:tcPr>
          <w:p w14:paraId="7C2086F5" w14:textId="77777777" w:rsidR="00834A75" w:rsidRDefault="00834A75">
            <w:pPr>
              <w:rPr>
                <w:rFonts w:ascii="宋体"/>
              </w:rPr>
            </w:pPr>
          </w:p>
        </w:tc>
        <w:tc>
          <w:tcPr>
            <w:tcW w:w="5" w:type="pct"/>
            <w:shd w:val="clear" w:color="auto" w:fill="auto"/>
            <w:vAlign w:val="bottom"/>
          </w:tcPr>
          <w:p w14:paraId="7C2086F6" w14:textId="77777777" w:rsidR="00834A75" w:rsidRDefault="00834A75">
            <w:pPr>
              <w:rPr>
                <w:rFonts w:ascii="宋体"/>
              </w:rPr>
            </w:pPr>
          </w:p>
        </w:tc>
        <w:tc>
          <w:tcPr>
            <w:tcW w:w="5" w:type="pct"/>
            <w:shd w:val="clear" w:color="auto" w:fill="auto"/>
            <w:vAlign w:val="bottom"/>
          </w:tcPr>
          <w:p w14:paraId="7C2086F7" w14:textId="77777777" w:rsidR="00834A75" w:rsidRDefault="00834A75">
            <w:pPr>
              <w:rPr>
                <w:rFonts w:ascii="宋体"/>
              </w:rPr>
            </w:pPr>
          </w:p>
        </w:tc>
        <w:tc>
          <w:tcPr>
            <w:tcW w:w="26" w:type="pct"/>
            <w:shd w:val="clear" w:color="auto" w:fill="auto"/>
            <w:vAlign w:val="bottom"/>
          </w:tcPr>
          <w:p w14:paraId="7C2086F8" w14:textId="77777777" w:rsidR="00834A75" w:rsidRDefault="00834A75">
            <w:pPr>
              <w:rPr>
                <w:rFonts w:ascii="宋体"/>
              </w:rPr>
            </w:pPr>
          </w:p>
        </w:tc>
        <w:tc>
          <w:tcPr>
            <w:tcW w:w="5" w:type="pct"/>
            <w:shd w:val="clear" w:color="auto" w:fill="auto"/>
            <w:vAlign w:val="bottom"/>
          </w:tcPr>
          <w:p w14:paraId="7C2086F9" w14:textId="77777777" w:rsidR="00834A75" w:rsidRDefault="00834A75">
            <w:pPr>
              <w:rPr>
                <w:rFonts w:ascii="宋体"/>
              </w:rPr>
            </w:pPr>
          </w:p>
        </w:tc>
        <w:tc>
          <w:tcPr>
            <w:tcW w:w="50" w:type="pct"/>
            <w:shd w:val="clear" w:color="auto" w:fill="auto"/>
            <w:vAlign w:val="bottom"/>
          </w:tcPr>
          <w:p w14:paraId="7C2086FA" w14:textId="77777777" w:rsidR="00834A75" w:rsidRDefault="00834A75">
            <w:pPr>
              <w:rPr>
                <w:rFonts w:ascii="宋体"/>
              </w:rPr>
            </w:pPr>
          </w:p>
        </w:tc>
        <w:tc>
          <w:tcPr>
            <w:tcW w:w="611" w:type="pct"/>
            <w:shd w:val="clear" w:color="auto" w:fill="auto"/>
            <w:vAlign w:val="bottom"/>
          </w:tcPr>
          <w:p w14:paraId="7C2086FB" w14:textId="77777777" w:rsidR="00834A75" w:rsidRDefault="00834A75">
            <w:pPr>
              <w:rPr>
                <w:rFonts w:ascii="宋体"/>
              </w:rPr>
            </w:pPr>
          </w:p>
        </w:tc>
        <w:tc>
          <w:tcPr>
            <w:tcW w:w="5" w:type="pct"/>
            <w:shd w:val="clear" w:color="auto" w:fill="auto"/>
            <w:vAlign w:val="bottom"/>
          </w:tcPr>
          <w:p w14:paraId="7C2086FC" w14:textId="77777777" w:rsidR="00834A75" w:rsidRDefault="00834A75">
            <w:pPr>
              <w:rPr>
                <w:rFonts w:ascii="宋体"/>
              </w:rPr>
            </w:pPr>
          </w:p>
        </w:tc>
      </w:tr>
      <w:tr w:rsidR="00834A75" w14:paraId="7C208702" w14:textId="77777777">
        <w:tc>
          <w:tcPr>
            <w:tcW w:w="0" w:type="auto"/>
            <w:gridSpan w:val="3"/>
            <w:shd w:val="clear" w:color="auto" w:fill="auto"/>
            <w:tcMar>
              <w:top w:w="0" w:type="dxa"/>
              <w:left w:w="20" w:type="dxa"/>
              <w:bottom w:w="0" w:type="dxa"/>
              <w:right w:w="20" w:type="dxa"/>
            </w:tcMar>
            <w:vAlign w:val="bottom"/>
          </w:tcPr>
          <w:p w14:paraId="7C2086FE" w14:textId="77777777" w:rsidR="00834A75" w:rsidRDefault="00834A75">
            <w:pPr>
              <w:rPr>
                <w:rFonts w:ascii="宋体"/>
              </w:rPr>
            </w:pPr>
          </w:p>
        </w:tc>
        <w:tc>
          <w:tcPr>
            <w:tcW w:w="0" w:type="auto"/>
            <w:gridSpan w:val="3"/>
            <w:shd w:val="clear" w:color="auto" w:fill="auto"/>
            <w:tcMar>
              <w:top w:w="40" w:type="dxa"/>
              <w:left w:w="20" w:type="dxa"/>
              <w:bottom w:w="40" w:type="dxa"/>
              <w:right w:w="20" w:type="dxa"/>
            </w:tcMar>
            <w:vAlign w:val="bottom"/>
          </w:tcPr>
          <w:p w14:paraId="7C2086FF" w14:textId="77777777" w:rsidR="00834A75" w:rsidRDefault="00A6708C">
            <w:pPr>
              <w:jc w:val="center"/>
              <w:textAlignment w:val="bottom"/>
            </w:pPr>
            <w:r>
              <w:rPr>
                <w:rFonts w:ascii="sans-serif" w:eastAsia="sans-serif" w:hAnsi="sans-serif" w:cs="sans-serif"/>
                <w:b/>
                <w:bCs/>
                <w:color w:val="000000"/>
                <w:sz w:val="20"/>
                <w:szCs w:val="20"/>
              </w:rPr>
              <w:t>May 1,</w:t>
            </w:r>
          </w:p>
        </w:tc>
        <w:tc>
          <w:tcPr>
            <w:tcW w:w="0" w:type="auto"/>
            <w:gridSpan w:val="3"/>
            <w:shd w:val="clear" w:color="auto" w:fill="auto"/>
            <w:tcMar>
              <w:top w:w="0" w:type="dxa"/>
              <w:left w:w="20" w:type="dxa"/>
              <w:bottom w:w="0" w:type="dxa"/>
              <w:right w:w="20" w:type="dxa"/>
            </w:tcMar>
            <w:vAlign w:val="bottom"/>
          </w:tcPr>
          <w:p w14:paraId="7C208700" w14:textId="77777777" w:rsidR="00834A75" w:rsidRDefault="00834A75">
            <w:pPr>
              <w:rPr>
                <w:rFonts w:ascii="宋体"/>
              </w:rPr>
            </w:pPr>
          </w:p>
        </w:tc>
        <w:tc>
          <w:tcPr>
            <w:tcW w:w="0" w:type="auto"/>
            <w:gridSpan w:val="3"/>
            <w:shd w:val="clear" w:color="auto" w:fill="auto"/>
            <w:tcMar>
              <w:top w:w="40" w:type="dxa"/>
              <w:left w:w="20" w:type="dxa"/>
              <w:bottom w:w="40" w:type="dxa"/>
              <w:right w:w="20" w:type="dxa"/>
            </w:tcMar>
            <w:vAlign w:val="bottom"/>
          </w:tcPr>
          <w:p w14:paraId="7C208701" w14:textId="77777777" w:rsidR="00834A75" w:rsidRDefault="00A6708C">
            <w:pPr>
              <w:jc w:val="center"/>
              <w:textAlignment w:val="bottom"/>
            </w:pPr>
            <w:r>
              <w:rPr>
                <w:rFonts w:ascii="sans-serif" w:eastAsia="sans-serif" w:hAnsi="sans-serif" w:cs="sans-serif"/>
                <w:b/>
                <w:bCs/>
                <w:color w:val="000000"/>
                <w:sz w:val="20"/>
                <w:szCs w:val="20"/>
              </w:rPr>
              <w:t>January 30,</w:t>
            </w:r>
          </w:p>
        </w:tc>
      </w:tr>
      <w:tr w:rsidR="00834A75" w14:paraId="7C208707" w14:textId="77777777">
        <w:tc>
          <w:tcPr>
            <w:tcW w:w="0" w:type="auto"/>
            <w:gridSpan w:val="3"/>
            <w:shd w:val="clear" w:color="auto" w:fill="auto"/>
            <w:tcMar>
              <w:top w:w="40" w:type="dxa"/>
              <w:left w:w="20" w:type="dxa"/>
              <w:bottom w:w="40" w:type="dxa"/>
              <w:right w:w="20" w:type="dxa"/>
            </w:tcMar>
            <w:vAlign w:val="bottom"/>
          </w:tcPr>
          <w:p w14:paraId="7C208703" w14:textId="77777777" w:rsidR="00834A75" w:rsidRDefault="00A6708C">
            <w:pPr>
              <w:textAlignment w:val="bottom"/>
            </w:pPr>
            <w:r>
              <w:rPr>
                <w:rFonts w:ascii="sans-serif" w:eastAsia="sans-serif" w:hAnsi="sans-serif" w:cs="sans-serif"/>
                <w:color w:val="000000"/>
                <w:sz w:val="20"/>
                <w:szCs w:val="20"/>
              </w:rPr>
              <w:t> </w:t>
            </w:r>
          </w:p>
        </w:tc>
        <w:tc>
          <w:tcPr>
            <w:tcW w:w="0" w:type="auto"/>
            <w:gridSpan w:val="3"/>
            <w:shd w:val="clear" w:color="auto" w:fill="auto"/>
            <w:tcMar>
              <w:top w:w="40" w:type="dxa"/>
              <w:left w:w="20" w:type="dxa"/>
              <w:bottom w:w="40" w:type="dxa"/>
              <w:right w:w="20" w:type="dxa"/>
            </w:tcMar>
            <w:vAlign w:val="bottom"/>
          </w:tcPr>
          <w:p w14:paraId="7C208704" w14:textId="77777777" w:rsidR="00834A75" w:rsidRDefault="00A6708C">
            <w:pPr>
              <w:jc w:val="center"/>
              <w:textAlignment w:val="bottom"/>
            </w:pPr>
            <w:r>
              <w:rPr>
                <w:rFonts w:ascii="sans-serif" w:eastAsia="sans-serif" w:hAnsi="sans-serif" w:cs="sans-serif"/>
                <w:b/>
                <w:bCs/>
                <w:color w:val="000000"/>
                <w:sz w:val="20"/>
                <w:szCs w:val="20"/>
              </w:rPr>
              <w:t>2022</w:t>
            </w:r>
          </w:p>
        </w:tc>
        <w:tc>
          <w:tcPr>
            <w:tcW w:w="0" w:type="auto"/>
            <w:gridSpan w:val="3"/>
            <w:shd w:val="clear" w:color="auto" w:fill="auto"/>
            <w:tcMar>
              <w:top w:w="0" w:type="dxa"/>
              <w:left w:w="20" w:type="dxa"/>
              <w:bottom w:w="0" w:type="dxa"/>
              <w:right w:w="20" w:type="dxa"/>
            </w:tcMar>
            <w:vAlign w:val="bottom"/>
          </w:tcPr>
          <w:p w14:paraId="7C208705" w14:textId="77777777" w:rsidR="00834A75" w:rsidRDefault="00834A75">
            <w:pPr>
              <w:rPr>
                <w:rFonts w:ascii="宋体"/>
              </w:rPr>
            </w:pPr>
          </w:p>
        </w:tc>
        <w:tc>
          <w:tcPr>
            <w:tcW w:w="0" w:type="auto"/>
            <w:gridSpan w:val="3"/>
            <w:shd w:val="clear" w:color="auto" w:fill="auto"/>
            <w:tcMar>
              <w:top w:w="40" w:type="dxa"/>
              <w:left w:w="20" w:type="dxa"/>
              <w:bottom w:w="40" w:type="dxa"/>
              <w:right w:w="20" w:type="dxa"/>
            </w:tcMar>
            <w:vAlign w:val="bottom"/>
          </w:tcPr>
          <w:p w14:paraId="7C208706" w14:textId="77777777" w:rsidR="00834A75" w:rsidRDefault="00A6708C">
            <w:pPr>
              <w:jc w:val="center"/>
              <w:textAlignment w:val="bottom"/>
            </w:pPr>
            <w:r>
              <w:rPr>
                <w:rFonts w:ascii="sans-serif" w:eastAsia="sans-serif" w:hAnsi="sans-serif" w:cs="sans-serif"/>
                <w:b/>
                <w:bCs/>
                <w:color w:val="000000"/>
                <w:sz w:val="20"/>
                <w:szCs w:val="20"/>
              </w:rPr>
              <w:t>2022</w:t>
            </w:r>
          </w:p>
        </w:tc>
      </w:tr>
      <w:tr w:rsidR="00834A75" w14:paraId="7C20870C" w14:textId="77777777">
        <w:trPr>
          <w:trHeight w:val="60"/>
        </w:trPr>
        <w:tc>
          <w:tcPr>
            <w:tcW w:w="0" w:type="auto"/>
            <w:gridSpan w:val="3"/>
            <w:shd w:val="clear" w:color="auto" w:fill="auto"/>
            <w:tcMar>
              <w:top w:w="0" w:type="dxa"/>
              <w:left w:w="20" w:type="dxa"/>
              <w:bottom w:w="0" w:type="dxa"/>
              <w:right w:w="20" w:type="dxa"/>
            </w:tcMar>
            <w:vAlign w:val="bottom"/>
          </w:tcPr>
          <w:p w14:paraId="7C208708" w14:textId="77777777" w:rsidR="00834A75" w:rsidRDefault="00834A75">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C208709" w14:textId="77777777" w:rsidR="00834A75" w:rsidRDefault="00834A75">
            <w:pPr>
              <w:rPr>
                <w:rFonts w:ascii="宋体"/>
              </w:rPr>
            </w:pPr>
          </w:p>
        </w:tc>
        <w:tc>
          <w:tcPr>
            <w:tcW w:w="0" w:type="auto"/>
            <w:gridSpan w:val="3"/>
            <w:shd w:val="clear" w:color="auto" w:fill="auto"/>
            <w:tcMar>
              <w:top w:w="0" w:type="dxa"/>
              <w:left w:w="20" w:type="dxa"/>
              <w:bottom w:w="0" w:type="dxa"/>
              <w:right w:w="20" w:type="dxa"/>
            </w:tcMar>
            <w:vAlign w:val="bottom"/>
          </w:tcPr>
          <w:p w14:paraId="7C20870A" w14:textId="77777777" w:rsidR="00834A75" w:rsidRDefault="00834A75">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C20870B" w14:textId="77777777" w:rsidR="00834A75" w:rsidRDefault="00834A75">
            <w:pPr>
              <w:rPr>
                <w:rFonts w:ascii="宋体"/>
              </w:rPr>
            </w:pPr>
          </w:p>
        </w:tc>
      </w:tr>
      <w:tr w:rsidR="00834A75" w14:paraId="7C20870F" w14:textId="77777777">
        <w:tc>
          <w:tcPr>
            <w:tcW w:w="0" w:type="auto"/>
            <w:gridSpan w:val="3"/>
            <w:shd w:val="clear" w:color="auto" w:fill="auto"/>
            <w:tcMar>
              <w:top w:w="40" w:type="dxa"/>
              <w:left w:w="20" w:type="dxa"/>
              <w:bottom w:w="40" w:type="dxa"/>
              <w:right w:w="20" w:type="dxa"/>
            </w:tcMar>
            <w:vAlign w:val="bottom"/>
          </w:tcPr>
          <w:p w14:paraId="7C20870D" w14:textId="77777777" w:rsidR="00834A75" w:rsidRDefault="00A6708C">
            <w:pPr>
              <w:textAlignment w:val="bottom"/>
            </w:pPr>
            <w:r>
              <w:rPr>
                <w:rFonts w:ascii="sans-serif" w:eastAsia="sans-serif" w:hAnsi="sans-serif" w:cs="sans-serif"/>
                <w:b/>
                <w:bCs/>
                <w:color w:val="000000"/>
                <w:sz w:val="20"/>
                <w:szCs w:val="20"/>
              </w:rPr>
              <w:t>Other assets:</w:t>
            </w:r>
          </w:p>
        </w:tc>
        <w:tc>
          <w:tcPr>
            <w:tcW w:w="0" w:type="auto"/>
            <w:gridSpan w:val="9"/>
            <w:shd w:val="clear" w:color="auto" w:fill="auto"/>
            <w:tcMar>
              <w:top w:w="40" w:type="dxa"/>
              <w:left w:w="20" w:type="dxa"/>
              <w:bottom w:w="40" w:type="dxa"/>
              <w:right w:w="20" w:type="dxa"/>
            </w:tcMar>
            <w:vAlign w:val="bottom"/>
          </w:tcPr>
          <w:p w14:paraId="7C20870E" w14:textId="77777777" w:rsidR="00834A75" w:rsidRDefault="00A6708C">
            <w:pPr>
              <w:jc w:val="center"/>
              <w:textAlignment w:val="bottom"/>
            </w:pPr>
            <w:r>
              <w:rPr>
                <w:rFonts w:ascii="sans-serif" w:eastAsia="sans-serif" w:hAnsi="sans-serif" w:cs="sans-serif"/>
                <w:i/>
                <w:iCs/>
                <w:color w:val="000000"/>
                <w:sz w:val="20"/>
                <w:szCs w:val="20"/>
              </w:rPr>
              <w:t>(In millions)</w:t>
            </w:r>
          </w:p>
        </w:tc>
      </w:tr>
      <w:tr w:rsidR="00834A75" w14:paraId="7C208718" w14:textId="77777777">
        <w:tc>
          <w:tcPr>
            <w:tcW w:w="0" w:type="auto"/>
            <w:gridSpan w:val="3"/>
            <w:shd w:val="clear" w:color="auto" w:fill="E2EFD9"/>
            <w:tcMar>
              <w:top w:w="40" w:type="dxa"/>
              <w:left w:w="20" w:type="dxa"/>
              <w:bottom w:w="40" w:type="dxa"/>
              <w:right w:w="20" w:type="dxa"/>
            </w:tcMar>
            <w:vAlign w:val="bottom"/>
          </w:tcPr>
          <w:p w14:paraId="7C208710" w14:textId="77777777" w:rsidR="00834A75" w:rsidRDefault="00A6708C">
            <w:pPr>
              <w:textAlignment w:val="bottom"/>
            </w:pPr>
            <w:r>
              <w:rPr>
                <w:rFonts w:ascii="sans-serif" w:eastAsia="sans-serif" w:hAnsi="sans-serif" w:cs="sans-serif"/>
                <w:color w:val="000000"/>
                <w:sz w:val="20"/>
                <w:szCs w:val="20"/>
              </w:rPr>
              <w:t>Prepaid supply agreements</w:t>
            </w:r>
          </w:p>
        </w:tc>
        <w:tc>
          <w:tcPr>
            <w:tcW w:w="0" w:type="auto"/>
            <w:shd w:val="clear" w:color="auto" w:fill="E2EFD9"/>
            <w:tcMar>
              <w:top w:w="40" w:type="dxa"/>
              <w:left w:w="20" w:type="dxa"/>
              <w:bottom w:w="40" w:type="dxa"/>
              <w:right w:w="0" w:type="dxa"/>
            </w:tcMar>
            <w:vAlign w:val="bottom"/>
          </w:tcPr>
          <w:p w14:paraId="7C208711" w14:textId="77777777" w:rsidR="00834A75" w:rsidRDefault="00A6708C">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7C208712" w14:textId="77777777" w:rsidR="00834A75" w:rsidRDefault="00A6708C">
            <w:pPr>
              <w:jc w:val="right"/>
              <w:textAlignment w:val="bottom"/>
            </w:pPr>
            <w:r>
              <w:rPr>
                <w:rFonts w:ascii="sans-serif" w:eastAsia="sans-serif" w:hAnsi="sans-serif" w:cs="sans-serif"/>
                <w:color w:val="000000"/>
                <w:sz w:val="20"/>
                <w:szCs w:val="20"/>
              </w:rPr>
              <w:t>2,752 </w:t>
            </w:r>
          </w:p>
        </w:tc>
        <w:tc>
          <w:tcPr>
            <w:tcW w:w="0" w:type="auto"/>
            <w:shd w:val="clear" w:color="auto" w:fill="E2EFD9"/>
            <w:tcMar>
              <w:top w:w="40" w:type="dxa"/>
              <w:left w:w="0" w:type="dxa"/>
              <w:bottom w:w="40" w:type="dxa"/>
              <w:right w:w="20" w:type="dxa"/>
            </w:tcMar>
            <w:vAlign w:val="bottom"/>
          </w:tcPr>
          <w:p w14:paraId="7C208713" w14:textId="77777777" w:rsidR="00834A75" w:rsidRDefault="00834A75">
            <w:pPr>
              <w:jc w:val="right"/>
              <w:rPr>
                <w:rFonts w:ascii="宋体"/>
              </w:rPr>
            </w:pPr>
          </w:p>
        </w:tc>
        <w:tc>
          <w:tcPr>
            <w:tcW w:w="0" w:type="auto"/>
            <w:gridSpan w:val="3"/>
            <w:shd w:val="clear" w:color="auto" w:fill="E2EFD9"/>
            <w:tcMar>
              <w:top w:w="0" w:type="dxa"/>
              <w:left w:w="20" w:type="dxa"/>
              <w:bottom w:w="0" w:type="dxa"/>
              <w:right w:w="20" w:type="dxa"/>
            </w:tcMar>
            <w:vAlign w:val="bottom"/>
          </w:tcPr>
          <w:p w14:paraId="7C208714" w14:textId="77777777" w:rsidR="00834A75" w:rsidRDefault="00834A75">
            <w:pPr>
              <w:rPr>
                <w:rFonts w:ascii="宋体"/>
              </w:rPr>
            </w:pPr>
          </w:p>
        </w:tc>
        <w:tc>
          <w:tcPr>
            <w:tcW w:w="0" w:type="auto"/>
            <w:shd w:val="clear" w:color="auto" w:fill="E2EFD9"/>
            <w:tcMar>
              <w:top w:w="40" w:type="dxa"/>
              <w:left w:w="20" w:type="dxa"/>
              <w:bottom w:w="40" w:type="dxa"/>
              <w:right w:w="0" w:type="dxa"/>
            </w:tcMar>
            <w:vAlign w:val="bottom"/>
          </w:tcPr>
          <w:p w14:paraId="7C208715" w14:textId="77777777" w:rsidR="00834A75" w:rsidRDefault="00A6708C">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7C208716" w14:textId="77777777" w:rsidR="00834A75" w:rsidRDefault="00A6708C">
            <w:pPr>
              <w:jc w:val="right"/>
              <w:textAlignment w:val="bottom"/>
            </w:pPr>
            <w:r>
              <w:rPr>
                <w:rFonts w:ascii="sans-serif" w:eastAsia="sans-serif" w:hAnsi="sans-serif" w:cs="sans-serif"/>
                <w:color w:val="000000"/>
                <w:sz w:val="20"/>
                <w:szCs w:val="20"/>
              </w:rPr>
              <w:t>1,747 </w:t>
            </w:r>
          </w:p>
        </w:tc>
        <w:tc>
          <w:tcPr>
            <w:tcW w:w="0" w:type="auto"/>
            <w:shd w:val="clear" w:color="auto" w:fill="E2EFD9"/>
            <w:tcMar>
              <w:top w:w="40" w:type="dxa"/>
              <w:left w:w="0" w:type="dxa"/>
              <w:bottom w:w="40" w:type="dxa"/>
              <w:right w:w="20" w:type="dxa"/>
            </w:tcMar>
            <w:vAlign w:val="bottom"/>
          </w:tcPr>
          <w:p w14:paraId="7C208717" w14:textId="77777777" w:rsidR="00834A75" w:rsidRDefault="00834A75">
            <w:pPr>
              <w:jc w:val="right"/>
              <w:rPr>
                <w:rFonts w:ascii="宋体"/>
              </w:rPr>
            </w:pPr>
          </w:p>
        </w:tc>
      </w:tr>
      <w:tr w:rsidR="00834A75" w14:paraId="7C20871F" w14:textId="77777777">
        <w:tc>
          <w:tcPr>
            <w:tcW w:w="0" w:type="auto"/>
            <w:gridSpan w:val="3"/>
            <w:shd w:val="clear" w:color="auto" w:fill="FFFFFF"/>
            <w:tcMar>
              <w:top w:w="40" w:type="dxa"/>
              <w:left w:w="20" w:type="dxa"/>
              <w:bottom w:w="40" w:type="dxa"/>
              <w:right w:w="20" w:type="dxa"/>
            </w:tcMar>
            <w:vAlign w:val="bottom"/>
          </w:tcPr>
          <w:p w14:paraId="7C208719" w14:textId="77777777" w:rsidR="00834A75" w:rsidRDefault="00A6708C">
            <w:pPr>
              <w:textAlignment w:val="bottom"/>
            </w:pPr>
            <w:r>
              <w:rPr>
                <w:rFonts w:ascii="sans-serif" w:eastAsia="sans-serif" w:hAnsi="sans-serif" w:cs="sans-serif"/>
                <w:color w:val="000000"/>
                <w:sz w:val="20"/>
                <w:szCs w:val="20"/>
              </w:rPr>
              <w:t>Prepaid royalties</w:t>
            </w:r>
          </w:p>
        </w:tc>
        <w:tc>
          <w:tcPr>
            <w:tcW w:w="0" w:type="auto"/>
            <w:gridSpan w:val="2"/>
            <w:shd w:val="clear" w:color="auto" w:fill="FFFFFF"/>
            <w:tcMar>
              <w:top w:w="40" w:type="dxa"/>
              <w:left w:w="20" w:type="dxa"/>
              <w:bottom w:w="40" w:type="dxa"/>
              <w:right w:w="0" w:type="dxa"/>
            </w:tcMar>
            <w:vAlign w:val="bottom"/>
          </w:tcPr>
          <w:p w14:paraId="7C20871A" w14:textId="77777777" w:rsidR="00834A75" w:rsidRDefault="00A6708C">
            <w:pPr>
              <w:jc w:val="right"/>
              <w:textAlignment w:val="bottom"/>
            </w:pPr>
            <w:r>
              <w:rPr>
                <w:rFonts w:ascii="sans-serif" w:eastAsia="sans-serif" w:hAnsi="sans-serif" w:cs="sans-serif"/>
                <w:color w:val="000000"/>
                <w:sz w:val="20"/>
                <w:szCs w:val="20"/>
              </w:rPr>
              <w:t>405 </w:t>
            </w:r>
          </w:p>
        </w:tc>
        <w:tc>
          <w:tcPr>
            <w:tcW w:w="0" w:type="auto"/>
            <w:shd w:val="clear" w:color="auto" w:fill="FFFFFF"/>
            <w:tcMar>
              <w:top w:w="40" w:type="dxa"/>
              <w:left w:w="0" w:type="dxa"/>
              <w:bottom w:w="40" w:type="dxa"/>
              <w:right w:w="20" w:type="dxa"/>
            </w:tcMar>
            <w:vAlign w:val="bottom"/>
          </w:tcPr>
          <w:p w14:paraId="7C20871B" w14:textId="77777777" w:rsidR="00834A75" w:rsidRDefault="00834A75">
            <w:pPr>
              <w:jc w:val="right"/>
              <w:rPr>
                <w:rFonts w:ascii="宋体"/>
              </w:rPr>
            </w:pPr>
          </w:p>
        </w:tc>
        <w:tc>
          <w:tcPr>
            <w:tcW w:w="0" w:type="auto"/>
            <w:gridSpan w:val="3"/>
            <w:shd w:val="clear" w:color="auto" w:fill="FFFFFF"/>
            <w:tcMar>
              <w:top w:w="0" w:type="dxa"/>
              <w:left w:w="20" w:type="dxa"/>
              <w:bottom w:w="0" w:type="dxa"/>
              <w:right w:w="20" w:type="dxa"/>
            </w:tcMar>
            <w:vAlign w:val="bottom"/>
          </w:tcPr>
          <w:p w14:paraId="7C20871C" w14:textId="77777777" w:rsidR="00834A75" w:rsidRDefault="00834A75">
            <w:pPr>
              <w:rPr>
                <w:rFonts w:ascii="宋体"/>
              </w:rPr>
            </w:pPr>
          </w:p>
        </w:tc>
        <w:tc>
          <w:tcPr>
            <w:tcW w:w="0" w:type="auto"/>
            <w:gridSpan w:val="2"/>
            <w:shd w:val="clear" w:color="auto" w:fill="FFFFFF"/>
            <w:tcMar>
              <w:top w:w="40" w:type="dxa"/>
              <w:left w:w="20" w:type="dxa"/>
              <w:bottom w:w="40" w:type="dxa"/>
              <w:right w:w="0" w:type="dxa"/>
            </w:tcMar>
            <w:vAlign w:val="bottom"/>
          </w:tcPr>
          <w:p w14:paraId="7C20871D" w14:textId="77777777" w:rsidR="00834A75" w:rsidRDefault="00A6708C">
            <w:pPr>
              <w:jc w:val="right"/>
              <w:textAlignment w:val="bottom"/>
            </w:pPr>
            <w:r>
              <w:rPr>
                <w:rFonts w:ascii="sans-serif" w:eastAsia="sans-serif" w:hAnsi="sans-serif" w:cs="sans-serif"/>
                <w:color w:val="000000"/>
                <w:sz w:val="20"/>
                <w:szCs w:val="20"/>
              </w:rPr>
              <w:t>409 </w:t>
            </w:r>
          </w:p>
        </w:tc>
        <w:tc>
          <w:tcPr>
            <w:tcW w:w="0" w:type="auto"/>
            <w:shd w:val="clear" w:color="auto" w:fill="FFFFFF"/>
            <w:tcMar>
              <w:top w:w="40" w:type="dxa"/>
              <w:left w:w="0" w:type="dxa"/>
              <w:bottom w:w="40" w:type="dxa"/>
              <w:right w:w="20" w:type="dxa"/>
            </w:tcMar>
            <w:vAlign w:val="bottom"/>
          </w:tcPr>
          <w:p w14:paraId="7C20871E" w14:textId="77777777" w:rsidR="00834A75" w:rsidRDefault="00834A75">
            <w:pPr>
              <w:jc w:val="right"/>
              <w:rPr>
                <w:rFonts w:ascii="宋体"/>
              </w:rPr>
            </w:pPr>
          </w:p>
        </w:tc>
      </w:tr>
      <w:tr w:rsidR="00834A75" w14:paraId="7C208726" w14:textId="77777777">
        <w:tc>
          <w:tcPr>
            <w:tcW w:w="0" w:type="auto"/>
            <w:gridSpan w:val="3"/>
            <w:shd w:val="clear" w:color="auto" w:fill="E2EFD9"/>
            <w:tcMar>
              <w:top w:w="40" w:type="dxa"/>
              <w:left w:w="20" w:type="dxa"/>
              <w:bottom w:w="40" w:type="dxa"/>
              <w:right w:w="20" w:type="dxa"/>
            </w:tcMar>
            <w:vAlign w:val="bottom"/>
          </w:tcPr>
          <w:p w14:paraId="7C208720" w14:textId="77777777" w:rsidR="00834A75" w:rsidRDefault="00A6708C">
            <w:pPr>
              <w:textAlignment w:val="bottom"/>
            </w:pPr>
            <w:r>
              <w:rPr>
                <w:rFonts w:ascii="sans-serif" w:eastAsia="sans-serif" w:hAnsi="sans-serif" w:cs="sans-serif"/>
                <w:color w:val="000000"/>
                <w:sz w:val="20"/>
                <w:szCs w:val="20"/>
              </w:rPr>
              <w:t>Investment in non-affiliated entities</w:t>
            </w:r>
          </w:p>
        </w:tc>
        <w:tc>
          <w:tcPr>
            <w:tcW w:w="0" w:type="auto"/>
            <w:gridSpan w:val="2"/>
            <w:shd w:val="clear" w:color="auto" w:fill="E2EFD9"/>
            <w:tcMar>
              <w:top w:w="40" w:type="dxa"/>
              <w:left w:w="20" w:type="dxa"/>
              <w:bottom w:w="40" w:type="dxa"/>
              <w:right w:w="0" w:type="dxa"/>
            </w:tcMar>
            <w:vAlign w:val="bottom"/>
          </w:tcPr>
          <w:p w14:paraId="7C208721" w14:textId="77777777" w:rsidR="00834A75" w:rsidRDefault="00A6708C">
            <w:pPr>
              <w:jc w:val="right"/>
              <w:textAlignment w:val="bottom"/>
            </w:pPr>
            <w:r>
              <w:rPr>
                <w:rFonts w:ascii="sans-serif" w:eastAsia="sans-serif" w:hAnsi="sans-serif" w:cs="sans-serif"/>
                <w:color w:val="000000"/>
                <w:sz w:val="20"/>
                <w:szCs w:val="20"/>
              </w:rPr>
              <w:t>285 </w:t>
            </w:r>
          </w:p>
        </w:tc>
        <w:tc>
          <w:tcPr>
            <w:tcW w:w="0" w:type="auto"/>
            <w:shd w:val="clear" w:color="auto" w:fill="E2EFD9"/>
            <w:tcMar>
              <w:top w:w="40" w:type="dxa"/>
              <w:left w:w="0" w:type="dxa"/>
              <w:bottom w:w="40" w:type="dxa"/>
              <w:right w:w="20" w:type="dxa"/>
            </w:tcMar>
            <w:vAlign w:val="bottom"/>
          </w:tcPr>
          <w:p w14:paraId="7C208722" w14:textId="77777777" w:rsidR="00834A75" w:rsidRDefault="00834A75">
            <w:pPr>
              <w:jc w:val="right"/>
              <w:rPr>
                <w:rFonts w:ascii="宋体"/>
              </w:rPr>
            </w:pPr>
          </w:p>
        </w:tc>
        <w:tc>
          <w:tcPr>
            <w:tcW w:w="0" w:type="auto"/>
            <w:gridSpan w:val="3"/>
            <w:shd w:val="clear" w:color="auto" w:fill="E2EFD9"/>
            <w:tcMar>
              <w:top w:w="0" w:type="dxa"/>
              <w:left w:w="20" w:type="dxa"/>
              <w:bottom w:w="0" w:type="dxa"/>
              <w:right w:w="20" w:type="dxa"/>
            </w:tcMar>
            <w:vAlign w:val="bottom"/>
          </w:tcPr>
          <w:p w14:paraId="7C208723" w14:textId="77777777" w:rsidR="00834A75" w:rsidRDefault="00834A75">
            <w:pPr>
              <w:rPr>
                <w:rFonts w:ascii="宋体"/>
              </w:rPr>
            </w:pPr>
          </w:p>
        </w:tc>
        <w:tc>
          <w:tcPr>
            <w:tcW w:w="0" w:type="auto"/>
            <w:gridSpan w:val="2"/>
            <w:shd w:val="clear" w:color="auto" w:fill="E2EFD9"/>
            <w:tcMar>
              <w:top w:w="40" w:type="dxa"/>
              <w:left w:w="20" w:type="dxa"/>
              <w:bottom w:w="40" w:type="dxa"/>
              <w:right w:w="0" w:type="dxa"/>
            </w:tcMar>
            <w:vAlign w:val="bottom"/>
          </w:tcPr>
          <w:p w14:paraId="7C208724" w14:textId="77777777" w:rsidR="00834A75" w:rsidRDefault="00A6708C">
            <w:pPr>
              <w:jc w:val="right"/>
              <w:textAlignment w:val="bottom"/>
            </w:pPr>
            <w:r>
              <w:rPr>
                <w:rFonts w:ascii="sans-serif" w:eastAsia="sans-serif" w:hAnsi="sans-serif" w:cs="sans-serif"/>
                <w:color w:val="000000"/>
                <w:sz w:val="20"/>
                <w:szCs w:val="20"/>
              </w:rPr>
              <w:t>266 </w:t>
            </w:r>
          </w:p>
        </w:tc>
        <w:tc>
          <w:tcPr>
            <w:tcW w:w="0" w:type="auto"/>
            <w:shd w:val="clear" w:color="auto" w:fill="E2EFD9"/>
            <w:tcMar>
              <w:top w:w="40" w:type="dxa"/>
              <w:left w:w="0" w:type="dxa"/>
              <w:bottom w:w="40" w:type="dxa"/>
              <w:right w:w="20" w:type="dxa"/>
            </w:tcMar>
            <w:vAlign w:val="bottom"/>
          </w:tcPr>
          <w:p w14:paraId="7C208725" w14:textId="77777777" w:rsidR="00834A75" w:rsidRDefault="00834A75">
            <w:pPr>
              <w:jc w:val="right"/>
              <w:rPr>
                <w:rFonts w:ascii="宋体"/>
              </w:rPr>
            </w:pPr>
          </w:p>
        </w:tc>
      </w:tr>
      <w:tr w:rsidR="00834A75" w14:paraId="7C20872B" w14:textId="77777777">
        <w:trPr>
          <w:hidden/>
        </w:trPr>
        <w:tc>
          <w:tcPr>
            <w:tcW w:w="0" w:type="auto"/>
            <w:gridSpan w:val="3"/>
            <w:shd w:val="clear" w:color="auto" w:fill="auto"/>
            <w:vAlign w:val="bottom"/>
          </w:tcPr>
          <w:p w14:paraId="7C208727" w14:textId="77777777" w:rsidR="00834A75" w:rsidRDefault="00834A75">
            <w:pPr>
              <w:rPr>
                <w:rFonts w:ascii="宋体"/>
                <w:vanish/>
              </w:rPr>
            </w:pPr>
          </w:p>
        </w:tc>
        <w:tc>
          <w:tcPr>
            <w:tcW w:w="0" w:type="auto"/>
            <w:gridSpan w:val="3"/>
            <w:shd w:val="clear" w:color="auto" w:fill="auto"/>
            <w:vAlign w:val="bottom"/>
          </w:tcPr>
          <w:p w14:paraId="7C208728" w14:textId="77777777" w:rsidR="00834A75" w:rsidRDefault="00834A75">
            <w:pPr>
              <w:rPr>
                <w:rFonts w:ascii="宋体"/>
                <w:vanish/>
              </w:rPr>
            </w:pPr>
          </w:p>
        </w:tc>
        <w:tc>
          <w:tcPr>
            <w:tcW w:w="0" w:type="auto"/>
            <w:gridSpan w:val="3"/>
            <w:shd w:val="clear" w:color="auto" w:fill="auto"/>
            <w:vAlign w:val="bottom"/>
          </w:tcPr>
          <w:p w14:paraId="7C208729" w14:textId="77777777" w:rsidR="00834A75" w:rsidRDefault="00834A75">
            <w:pPr>
              <w:rPr>
                <w:rFonts w:ascii="宋体"/>
                <w:vanish/>
              </w:rPr>
            </w:pPr>
          </w:p>
        </w:tc>
        <w:tc>
          <w:tcPr>
            <w:tcW w:w="0" w:type="auto"/>
            <w:gridSpan w:val="3"/>
            <w:shd w:val="clear" w:color="auto" w:fill="auto"/>
            <w:vAlign w:val="bottom"/>
          </w:tcPr>
          <w:p w14:paraId="7C20872A" w14:textId="77777777" w:rsidR="00834A75" w:rsidRDefault="00834A75">
            <w:pPr>
              <w:rPr>
                <w:rFonts w:ascii="宋体"/>
                <w:vanish/>
              </w:rPr>
            </w:pPr>
          </w:p>
        </w:tc>
      </w:tr>
      <w:tr w:rsidR="00834A75" w14:paraId="7C208730" w14:textId="77777777">
        <w:trPr>
          <w:hidden/>
        </w:trPr>
        <w:tc>
          <w:tcPr>
            <w:tcW w:w="0" w:type="auto"/>
            <w:gridSpan w:val="3"/>
            <w:shd w:val="clear" w:color="auto" w:fill="auto"/>
            <w:vAlign w:val="bottom"/>
          </w:tcPr>
          <w:p w14:paraId="7C20872C" w14:textId="77777777" w:rsidR="00834A75" w:rsidRDefault="00834A75">
            <w:pPr>
              <w:rPr>
                <w:rFonts w:ascii="宋体"/>
                <w:vanish/>
              </w:rPr>
            </w:pPr>
          </w:p>
        </w:tc>
        <w:tc>
          <w:tcPr>
            <w:tcW w:w="0" w:type="auto"/>
            <w:gridSpan w:val="3"/>
            <w:shd w:val="clear" w:color="auto" w:fill="auto"/>
            <w:vAlign w:val="bottom"/>
          </w:tcPr>
          <w:p w14:paraId="7C20872D" w14:textId="77777777" w:rsidR="00834A75" w:rsidRDefault="00834A75">
            <w:pPr>
              <w:rPr>
                <w:rFonts w:ascii="宋体"/>
                <w:vanish/>
              </w:rPr>
            </w:pPr>
          </w:p>
        </w:tc>
        <w:tc>
          <w:tcPr>
            <w:tcW w:w="0" w:type="auto"/>
            <w:gridSpan w:val="3"/>
            <w:shd w:val="clear" w:color="auto" w:fill="auto"/>
            <w:vAlign w:val="bottom"/>
          </w:tcPr>
          <w:p w14:paraId="7C20872E" w14:textId="77777777" w:rsidR="00834A75" w:rsidRDefault="00834A75">
            <w:pPr>
              <w:rPr>
                <w:rFonts w:ascii="宋体"/>
                <w:vanish/>
              </w:rPr>
            </w:pPr>
          </w:p>
        </w:tc>
        <w:tc>
          <w:tcPr>
            <w:tcW w:w="0" w:type="auto"/>
            <w:gridSpan w:val="3"/>
            <w:shd w:val="clear" w:color="auto" w:fill="auto"/>
            <w:vAlign w:val="bottom"/>
          </w:tcPr>
          <w:p w14:paraId="7C20872F" w14:textId="77777777" w:rsidR="00834A75" w:rsidRDefault="00834A75">
            <w:pPr>
              <w:rPr>
                <w:rFonts w:ascii="宋体"/>
                <w:vanish/>
              </w:rPr>
            </w:pPr>
          </w:p>
        </w:tc>
      </w:tr>
      <w:tr w:rsidR="00834A75" w14:paraId="7C208737" w14:textId="77777777">
        <w:tc>
          <w:tcPr>
            <w:tcW w:w="0" w:type="auto"/>
            <w:gridSpan w:val="3"/>
            <w:shd w:val="clear" w:color="auto" w:fill="FFFFFF"/>
            <w:tcMar>
              <w:top w:w="40" w:type="dxa"/>
              <w:left w:w="20" w:type="dxa"/>
              <w:bottom w:w="40" w:type="dxa"/>
              <w:right w:w="20" w:type="dxa"/>
            </w:tcMar>
            <w:vAlign w:val="bottom"/>
          </w:tcPr>
          <w:p w14:paraId="7C208731" w14:textId="77777777" w:rsidR="00834A75" w:rsidRDefault="00A6708C">
            <w:pPr>
              <w:textAlignment w:val="bottom"/>
            </w:pPr>
            <w:r>
              <w:rPr>
                <w:rFonts w:ascii="sans-serif" w:eastAsia="sans-serif" w:hAnsi="sans-serif" w:cs="sans-serif"/>
                <w:color w:val="000000"/>
                <w:sz w:val="20"/>
                <w:szCs w:val="20"/>
              </w:rPr>
              <w:t>Advanced consideration for acquisition (1)</w:t>
            </w:r>
          </w:p>
        </w:tc>
        <w:tc>
          <w:tcPr>
            <w:tcW w:w="0" w:type="auto"/>
            <w:gridSpan w:val="2"/>
            <w:shd w:val="clear" w:color="auto" w:fill="FFFFFF"/>
            <w:tcMar>
              <w:top w:w="40" w:type="dxa"/>
              <w:left w:w="20" w:type="dxa"/>
              <w:bottom w:w="40" w:type="dxa"/>
              <w:right w:w="0" w:type="dxa"/>
            </w:tcMar>
            <w:vAlign w:val="bottom"/>
          </w:tcPr>
          <w:p w14:paraId="7C208732" w14:textId="77777777" w:rsidR="00834A75" w:rsidRDefault="00A6708C">
            <w:pPr>
              <w:jc w:val="right"/>
              <w:textAlignment w:val="bottom"/>
            </w:pPr>
            <w:r>
              <w:rPr>
                <w:rFonts w:ascii="sans-serif" w:eastAsia="sans-serif" w:hAnsi="sans-serif" w:cs="sans-serif"/>
                <w:color w:val="000000"/>
                <w:sz w:val="20"/>
                <w:szCs w:val="20"/>
              </w:rPr>
              <w:t>— </w:t>
            </w:r>
          </w:p>
        </w:tc>
        <w:tc>
          <w:tcPr>
            <w:tcW w:w="0" w:type="auto"/>
            <w:shd w:val="clear" w:color="auto" w:fill="FFFFFF"/>
            <w:tcMar>
              <w:top w:w="40" w:type="dxa"/>
              <w:left w:w="0" w:type="dxa"/>
              <w:bottom w:w="40" w:type="dxa"/>
              <w:right w:w="20" w:type="dxa"/>
            </w:tcMar>
            <w:vAlign w:val="bottom"/>
          </w:tcPr>
          <w:p w14:paraId="7C208733" w14:textId="77777777" w:rsidR="00834A75" w:rsidRDefault="00834A75">
            <w:pPr>
              <w:jc w:val="right"/>
              <w:rPr>
                <w:rFonts w:ascii="宋体"/>
              </w:rPr>
            </w:pPr>
          </w:p>
        </w:tc>
        <w:tc>
          <w:tcPr>
            <w:tcW w:w="0" w:type="auto"/>
            <w:gridSpan w:val="3"/>
            <w:shd w:val="clear" w:color="auto" w:fill="FFFFFF"/>
            <w:tcMar>
              <w:top w:w="0" w:type="dxa"/>
              <w:left w:w="20" w:type="dxa"/>
              <w:bottom w:w="0" w:type="dxa"/>
              <w:right w:w="20" w:type="dxa"/>
            </w:tcMar>
            <w:vAlign w:val="bottom"/>
          </w:tcPr>
          <w:p w14:paraId="7C208734" w14:textId="77777777" w:rsidR="00834A75" w:rsidRDefault="00834A75">
            <w:pPr>
              <w:rPr>
                <w:rFonts w:ascii="宋体"/>
              </w:rPr>
            </w:pPr>
          </w:p>
        </w:tc>
        <w:tc>
          <w:tcPr>
            <w:tcW w:w="0" w:type="auto"/>
            <w:gridSpan w:val="2"/>
            <w:shd w:val="clear" w:color="auto" w:fill="FFFFFF"/>
            <w:tcMar>
              <w:top w:w="40" w:type="dxa"/>
              <w:left w:w="20" w:type="dxa"/>
              <w:bottom w:w="40" w:type="dxa"/>
              <w:right w:w="0" w:type="dxa"/>
            </w:tcMar>
            <w:vAlign w:val="bottom"/>
          </w:tcPr>
          <w:p w14:paraId="7C208735" w14:textId="77777777" w:rsidR="00834A75" w:rsidRDefault="00A6708C">
            <w:pPr>
              <w:jc w:val="right"/>
              <w:textAlignment w:val="bottom"/>
            </w:pPr>
            <w:r>
              <w:rPr>
                <w:rFonts w:ascii="sans-serif" w:eastAsia="sans-serif" w:hAnsi="sans-serif" w:cs="sans-serif"/>
                <w:color w:val="000000"/>
                <w:sz w:val="20"/>
                <w:szCs w:val="20"/>
              </w:rPr>
              <w:t>1,353 </w:t>
            </w:r>
          </w:p>
        </w:tc>
        <w:tc>
          <w:tcPr>
            <w:tcW w:w="0" w:type="auto"/>
            <w:shd w:val="clear" w:color="auto" w:fill="FFFFFF"/>
            <w:tcMar>
              <w:top w:w="40" w:type="dxa"/>
              <w:left w:w="0" w:type="dxa"/>
              <w:bottom w:w="40" w:type="dxa"/>
              <w:right w:w="20" w:type="dxa"/>
            </w:tcMar>
            <w:vAlign w:val="bottom"/>
          </w:tcPr>
          <w:p w14:paraId="7C208736" w14:textId="77777777" w:rsidR="00834A75" w:rsidRDefault="00834A75">
            <w:pPr>
              <w:jc w:val="right"/>
              <w:rPr>
                <w:rFonts w:ascii="宋体"/>
              </w:rPr>
            </w:pPr>
          </w:p>
        </w:tc>
      </w:tr>
      <w:tr w:rsidR="00834A75" w14:paraId="7C20873E" w14:textId="77777777">
        <w:tc>
          <w:tcPr>
            <w:tcW w:w="0" w:type="auto"/>
            <w:gridSpan w:val="3"/>
            <w:shd w:val="clear" w:color="auto" w:fill="E2EFD9"/>
            <w:tcMar>
              <w:top w:w="40" w:type="dxa"/>
              <w:left w:w="20" w:type="dxa"/>
              <w:bottom w:w="40" w:type="dxa"/>
              <w:right w:w="20" w:type="dxa"/>
            </w:tcMar>
            <w:vAlign w:val="bottom"/>
          </w:tcPr>
          <w:p w14:paraId="7C208738" w14:textId="77777777" w:rsidR="00834A75" w:rsidRDefault="00A6708C">
            <w:pPr>
              <w:textAlignment w:val="bottom"/>
            </w:pPr>
            <w:r>
              <w:rPr>
                <w:rFonts w:ascii="sans-serif" w:eastAsia="sans-serif" w:hAnsi="sans-serif" w:cs="sans-serif"/>
                <w:color w:val="000000"/>
                <w:sz w:val="20"/>
                <w:szCs w:val="20"/>
              </w:rPr>
              <w:t>Other</w:t>
            </w:r>
          </w:p>
        </w:tc>
        <w:tc>
          <w:tcPr>
            <w:tcW w:w="0" w:type="auto"/>
            <w:gridSpan w:val="2"/>
            <w:shd w:val="clear" w:color="auto" w:fill="E2EFD9"/>
            <w:tcMar>
              <w:top w:w="40" w:type="dxa"/>
              <w:left w:w="20" w:type="dxa"/>
              <w:bottom w:w="40" w:type="dxa"/>
              <w:right w:w="0" w:type="dxa"/>
            </w:tcMar>
            <w:vAlign w:val="bottom"/>
          </w:tcPr>
          <w:p w14:paraId="7C208739" w14:textId="77777777" w:rsidR="00834A75" w:rsidRDefault="00A6708C">
            <w:pPr>
              <w:jc w:val="right"/>
              <w:textAlignment w:val="bottom"/>
            </w:pPr>
            <w:r>
              <w:rPr>
                <w:rFonts w:ascii="sans-serif" w:eastAsia="sans-serif" w:hAnsi="sans-serif" w:cs="sans-serif"/>
                <w:color w:val="000000"/>
                <w:sz w:val="20"/>
                <w:szCs w:val="20"/>
              </w:rPr>
              <w:t>63 </w:t>
            </w:r>
          </w:p>
        </w:tc>
        <w:tc>
          <w:tcPr>
            <w:tcW w:w="0" w:type="auto"/>
            <w:shd w:val="clear" w:color="auto" w:fill="E2EFD9"/>
            <w:tcMar>
              <w:top w:w="40" w:type="dxa"/>
              <w:left w:w="0" w:type="dxa"/>
              <w:bottom w:w="40" w:type="dxa"/>
              <w:right w:w="20" w:type="dxa"/>
            </w:tcMar>
            <w:vAlign w:val="bottom"/>
          </w:tcPr>
          <w:p w14:paraId="7C20873A" w14:textId="77777777" w:rsidR="00834A75" w:rsidRDefault="00834A75">
            <w:pPr>
              <w:jc w:val="right"/>
              <w:rPr>
                <w:rFonts w:ascii="宋体"/>
              </w:rPr>
            </w:pPr>
          </w:p>
        </w:tc>
        <w:tc>
          <w:tcPr>
            <w:tcW w:w="0" w:type="auto"/>
            <w:gridSpan w:val="3"/>
            <w:shd w:val="clear" w:color="auto" w:fill="E2EFD9"/>
            <w:tcMar>
              <w:top w:w="0" w:type="dxa"/>
              <w:left w:w="20" w:type="dxa"/>
              <w:bottom w:w="0" w:type="dxa"/>
              <w:right w:w="20" w:type="dxa"/>
            </w:tcMar>
            <w:vAlign w:val="bottom"/>
          </w:tcPr>
          <w:p w14:paraId="7C20873B" w14:textId="77777777" w:rsidR="00834A75" w:rsidRDefault="00834A75">
            <w:pPr>
              <w:rPr>
                <w:rFonts w:ascii="宋体"/>
              </w:rPr>
            </w:pPr>
          </w:p>
        </w:tc>
        <w:tc>
          <w:tcPr>
            <w:tcW w:w="0" w:type="auto"/>
            <w:gridSpan w:val="2"/>
            <w:shd w:val="clear" w:color="auto" w:fill="E2EFD9"/>
            <w:tcMar>
              <w:top w:w="40" w:type="dxa"/>
              <w:left w:w="20" w:type="dxa"/>
              <w:bottom w:w="40" w:type="dxa"/>
              <w:right w:w="0" w:type="dxa"/>
            </w:tcMar>
            <w:vAlign w:val="bottom"/>
          </w:tcPr>
          <w:p w14:paraId="7C20873C" w14:textId="77777777" w:rsidR="00834A75" w:rsidRDefault="00A6708C">
            <w:pPr>
              <w:jc w:val="right"/>
              <w:textAlignment w:val="bottom"/>
            </w:pPr>
            <w:r>
              <w:rPr>
                <w:rFonts w:ascii="sans-serif" w:eastAsia="sans-serif" w:hAnsi="sans-serif" w:cs="sans-serif"/>
                <w:color w:val="000000"/>
                <w:sz w:val="20"/>
                <w:szCs w:val="20"/>
              </w:rPr>
              <w:t>66 </w:t>
            </w:r>
          </w:p>
        </w:tc>
        <w:tc>
          <w:tcPr>
            <w:tcW w:w="0" w:type="auto"/>
            <w:shd w:val="clear" w:color="auto" w:fill="E2EFD9"/>
            <w:tcMar>
              <w:top w:w="40" w:type="dxa"/>
              <w:left w:w="0" w:type="dxa"/>
              <w:bottom w:w="40" w:type="dxa"/>
              <w:right w:w="20" w:type="dxa"/>
            </w:tcMar>
            <w:vAlign w:val="bottom"/>
          </w:tcPr>
          <w:p w14:paraId="7C20873D" w14:textId="77777777" w:rsidR="00834A75" w:rsidRDefault="00834A75">
            <w:pPr>
              <w:jc w:val="right"/>
              <w:rPr>
                <w:rFonts w:ascii="宋体"/>
              </w:rPr>
            </w:pPr>
          </w:p>
        </w:tc>
      </w:tr>
      <w:tr w:rsidR="00834A75" w14:paraId="7C208747" w14:textId="77777777">
        <w:tc>
          <w:tcPr>
            <w:tcW w:w="0" w:type="auto"/>
            <w:gridSpan w:val="3"/>
            <w:shd w:val="clear" w:color="auto" w:fill="FFFFFF"/>
            <w:tcMar>
              <w:top w:w="40" w:type="dxa"/>
              <w:left w:w="380" w:type="dxa"/>
              <w:bottom w:w="40" w:type="dxa"/>
              <w:right w:w="20" w:type="dxa"/>
            </w:tcMar>
            <w:vAlign w:val="bottom"/>
          </w:tcPr>
          <w:p w14:paraId="7C20873F" w14:textId="77777777" w:rsidR="00834A75" w:rsidRDefault="00A6708C">
            <w:pPr>
              <w:textAlignment w:val="bottom"/>
            </w:pPr>
            <w:r>
              <w:rPr>
                <w:rFonts w:ascii="sans-serif" w:eastAsia="sans-serif" w:hAnsi="sans-serif" w:cs="sans-serif"/>
                <w:color w:val="000000"/>
                <w:sz w:val="20"/>
                <w:szCs w:val="20"/>
              </w:rPr>
              <w:t>Total other assets</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C208740" w14:textId="77777777" w:rsidR="00834A75" w:rsidRDefault="00A6708C">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C208741" w14:textId="77777777" w:rsidR="00834A75" w:rsidRDefault="00A6708C">
            <w:pPr>
              <w:jc w:val="right"/>
              <w:textAlignment w:val="bottom"/>
            </w:pPr>
            <w:r>
              <w:rPr>
                <w:rFonts w:ascii="sans-serif" w:eastAsia="sans-serif" w:hAnsi="sans-serif" w:cs="sans-serif"/>
                <w:color w:val="000000"/>
                <w:sz w:val="20"/>
                <w:szCs w:val="20"/>
              </w:rPr>
              <w:t>3,505 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C208742" w14:textId="77777777" w:rsidR="00834A75" w:rsidRDefault="00834A75">
            <w:pPr>
              <w:jc w:val="right"/>
              <w:rPr>
                <w:rFonts w:ascii="宋体"/>
              </w:rPr>
            </w:pPr>
          </w:p>
        </w:tc>
        <w:tc>
          <w:tcPr>
            <w:tcW w:w="0" w:type="auto"/>
            <w:gridSpan w:val="3"/>
            <w:shd w:val="clear" w:color="auto" w:fill="FFFFFF"/>
            <w:tcMar>
              <w:top w:w="0" w:type="dxa"/>
              <w:left w:w="20" w:type="dxa"/>
              <w:bottom w:w="0" w:type="dxa"/>
              <w:right w:w="20" w:type="dxa"/>
            </w:tcMar>
            <w:vAlign w:val="bottom"/>
          </w:tcPr>
          <w:p w14:paraId="7C208743" w14:textId="77777777" w:rsidR="00834A75" w:rsidRDefault="00834A75">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C208744" w14:textId="77777777" w:rsidR="00834A75" w:rsidRDefault="00A6708C">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C208745" w14:textId="77777777" w:rsidR="00834A75" w:rsidRDefault="00A6708C">
            <w:pPr>
              <w:jc w:val="right"/>
              <w:textAlignment w:val="bottom"/>
            </w:pPr>
            <w:r>
              <w:rPr>
                <w:rFonts w:ascii="sans-serif" w:eastAsia="sans-serif" w:hAnsi="sans-serif" w:cs="sans-serif"/>
                <w:color w:val="000000"/>
                <w:sz w:val="20"/>
                <w:szCs w:val="20"/>
              </w:rPr>
              <w:t>3,841 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C208746" w14:textId="77777777" w:rsidR="00834A75" w:rsidRDefault="00834A75">
            <w:pPr>
              <w:jc w:val="right"/>
              <w:rPr>
                <w:rFonts w:ascii="宋体"/>
              </w:rPr>
            </w:pPr>
          </w:p>
        </w:tc>
      </w:tr>
    </w:tbl>
    <w:p w14:paraId="7C208748" w14:textId="77777777" w:rsidR="00834A75" w:rsidRDefault="00A6708C">
      <w:pPr>
        <w:spacing w:after="180"/>
        <w:ind w:hanging="360"/>
      </w:pPr>
      <w:r>
        <w:rPr>
          <w:rFonts w:ascii="sans-serif" w:eastAsia="sans-serif" w:hAnsi="sans-serif" w:cs="sans-serif"/>
          <w:color w:val="000000"/>
          <w:sz w:val="16"/>
          <w:szCs w:val="16"/>
        </w:rPr>
        <w:t xml:space="preserve">(1)    Refer to Note 2 - Business Combination for further details on the Arm acquisition. </w:t>
      </w:r>
    </w:p>
    <w:p w14:paraId="7C208749" w14:textId="77777777" w:rsidR="00834A75" w:rsidRDefault="00834A75"/>
    <w:tbl>
      <w:tblPr>
        <w:tblW w:w="4993" w:type="pct"/>
        <w:tblCellMar>
          <w:top w:w="15" w:type="dxa"/>
          <w:left w:w="15" w:type="dxa"/>
          <w:bottom w:w="15" w:type="dxa"/>
          <w:right w:w="15" w:type="dxa"/>
        </w:tblCellMar>
        <w:tblLook w:val="04A0" w:firstRow="1" w:lastRow="0" w:firstColumn="1" w:lastColumn="0" w:noHBand="0" w:noVBand="1"/>
      </w:tblPr>
      <w:tblGrid>
        <w:gridCol w:w="39"/>
        <w:gridCol w:w="5910"/>
        <w:gridCol w:w="38"/>
        <w:gridCol w:w="122"/>
        <w:gridCol w:w="974"/>
        <w:gridCol w:w="36"/>
        <w:gridCol w:w="36"/>
        <w:gridCol w:w="36"/>
        <w:gridCol w:w="36"/>
        <w:gridCol w:w="123"/>
        <w:gridCol w:w="938"/>
        <w:gridCol w:w="36"/>
      </w:tblGrid>
      <w:tr w:rsidR="00834A75" w14:paraId="7C208756" w14:textId="77777777">
        <w:tc>
          <w:tcPr>
            <w:tcW w:w="50" w:type="pct"/>
            <w:shd w:val="clear" w:color="auto" w:fill="auto"/>
            <w:vAlign w:val="bottom"/>
          </w:tcPr>
          <w:p w14:paraId="7C20874A" w14:textId="77777777" w:rsidR="00834A75" w:rsidRDefault="00834A75">
            <w:pPr>
              <w:rPr>
                <w:rFonts w:ascii="宋体"/>
              </w:rPr>
            </w:pPr>
          </w:p>
        </w:tc>
        <w:tc>
          <w:tcPr>
            <w:tcW w:w="3575" w:type="pct"/>
            <w:shd w:val="clear" w:color="auto" w:fill="auto"/>
            <w:vAlign w:val="bottom"/>
          </w:tcPr>
          <w:p w14:paraId="7C20874B" w14:textId="77777777" w:rsidR="00834A75" w:rsidRDefault="00834A75">
            <w:pPr>
              <w:rPr>
                <w:rFonts w:ascii="宋体"/>
              </w:rPr>
            </w:pPr>
          </w:p>
        </w:tc>
        <w:tc>
          <w:tcPr>
            <w:tcW w:w="5" w:type="pct"/>
            <w:shd w:val="clear" w:color="auto" w:fill="auto"/>
            <w:vAlign w:val="bottom"/>
          </w:tcPr>
          <w:p w14:paraId="7C20874C" w14:textId="77777777" w:rsidR="00834A75" w:rsidRDefault="00834A75">
            <w:pPr>
              <w:rPr>
                <w:rFonts w:ascii="宋体"/>
              </w:rPr>
            </w:pPr>
          </w:p>
        </w:tc>
        <w:tc>
          <w:tcPr>
            <w:tcW w:w="50" w:type="pct"/>
            <w:shd w:val="clear" w:color="auto" w:fill="auto"/>
            <w:vAlign w:val="bottom"/>
          </w:tcPr>
          <w:p w14:paraId="7C20874D" w14:textId="77777777" w:rsidR="00834A75" w:rsidRDefault="00834A75">
            <w:pPr>
              <w:rPr>
                <w:rFonts w:ascii="宋体"/>
              </w:rPr>
            </w:pPr>
          </w:p>
        </w:tc>
        <w:tc>
          <w:tcPr>
            <w:tcW w:w="611" w:type="pct"/>
            <w:shd w:val="clear" w:color="auto" w:fill="auto"/>
            <w:vAlign w:val="bottom"/>
          </w:tcPr>
          <w:p w14:paraId="7C20874E" w14:textId="77777777" w:rsidR="00834A75" w:rsidRDefault="00834A75">
            <w:pPr>
              <w:rPr>
                <w:rFonts w:ascii="宋体"/>
              </w:rPr>
            </w:pPr>
          </w:p>
        </w:tc>
        <w:tc>
          <w:tcPr>
            <w:tcW w:w="5" w:type="pct"/>
            <w:shd w:val="clear" w:color="auto" w:fill="auto"/>
            <w:vAlign w:val="bottom"/>
          </w:tcPr>
          <w:p w14:paraId="7C20874F" w14:textId="77777777" w:rsidR="00834A75" w:rsidRDefault="00834A75">
            <w:pPr>
              <w:rPr>
                <w:rFonts w:ascii="宋体"/>
              </w:rPr>
            </w:pPr>
          </w:p>
        </w:tc>
        <w:tc>
          <w:tcPr>
            <w:tcW w:w="5" w:type="pct"/>
            <w:shd w:val="clear" w:color="auto" w:fill="auto"/>
            <w:vAlign w:val="bottom"/>
          </w:tcPr>
          <w:p w14:paraId="7C208750" w14:textId="77777777" w:rsidR="00834A75" w:rsidRDefault="00834A75">
            <w:pPr>
              <w:rPr>
                <w:rFonts w:ascii="宋体"/>
              </w:rPr>
            </w:pPr>
          </w:p>
        </w:tc>
        <w:tc>
          <w:tcPr>
            <w:tcW w:w="26" w:type="pct"/>
            <w:shd w:val="clear" w:color="auto" w:fill="auto"/>
            <w:vAlign w:val="bottom"/>
          </w:tcPr>
          <w:p w14:paraId="7C208751" w14:textId="77777777" w:rsidR="00834A75" w:rsidRDefault="00834A75">
            <w:pPr>
              <w:rPr>
                <w:rFonts w:ascii="宋体"/>
              </w:rPr>
            </w:pPr>
          </w:p>
        </w:tc>
        <w:tc>
          <w:tcPr>
            <w:tcW w:w="5" w:type="pct"/>
            <w:shd w:val="clear" w:color="auto" w:fill="auto"/>
            <w:vAlign w:val="bottom"/>
          </w:tcPr>
          <w:p w14:paraId="7C208752" w14:textId="77777777" w:rsidR="00834A75" w:rsidRDefault="00834A75">
            <w:pPr>
              <w:rPr>
                <w:rFonts w:ascii="宋体"/>
              </w:rPr>
            </w:pPr>
          </w:p>
        </w:tc>
        <w:tc>
          <w:tcPr>
            <w:tcW w:w="50" w:type="pct"/>
            <w:shd w:val="clear" w:color="auto" w:fill="auto"/>
            <w:vAlign w:val="bottom"/>
          </w:tcPr>
          <w:p w14:paraId="7C208753" w14:textId="77777777" w:rsidR="00834A75" w:rsidRDefault="00834A75">
            <w:pPr>
              <w:rPr>
                <w:rFonts w:ascii="宋体"/>
              </w:rPr>
            </w:pPr>
          </w:p>
        </w:tc>
        <w:tc>
          <w:tcPr>
            <w:tcW w:w="611" w:type="pct"/>
            <w:shd w:val="clear" w:color="auto" w:fill="auto"/>
            <w:vAlign w:val="bottom"/>
          </w:tcPr>
          <w:p w14:paraId="7C208754" w14:textId="77777777" w:rsidR="00834A75" w:rsidRDefault="00834A75">
            <w:pPr>
              <w:rPr>
                <w:rFonts w:ascii="宋体"/>
              </w:rPr>
            </w:pPr>
          </w:p>
        </w:tc>
        <w:tc>
          <w:tcPr>
            <w:tcW w:w="5" w:type="pct"/>
            <w:shd w:val="clear" w:color="auto" w:fill="auto"/>
            <w:vAlign w:val="bottom"/>
          </w:tcPr>
          <w:p w14:paraId="7C208755" w14:textId="77777777" w:rsidR="00834A75" w:rsidRDefault="00834A75">
            <w:pPr>
              <w:rPr>
                <w:rFonts w:ascii="宋体"/>
              </w:rPr>
            </w:pPr>
          </w:p>
        </w:tc>
      </w:tr>
      <w:tr w:rsidR="00834A75" w14:paraId="7C20875B" w14:textId="77777777">
        <w:tc>
          <w:tcPr>
            <w:tcW w:w="0" w:type="auto"/>
            <w:gridSpan w:val="3"/>
            <w:shd w:val="clear" w:color="auto" w:fill="auto"/>
            <w:tcMar>
              <w:top w:w="0" w:type="dxa"/>
              <w:left w:w="20" w:type="dxa"/>
              <w:bottom w:w="0" w:type="dxa"/>
              <w:right w:w="20" w:type="dxa"/>
            </w:tcMar>
            <w:vAlign w:val="bottom"/>
          </w:tcPr>
          <w:p w14:paraId="7C208757" w14:textId="77777777" w:rsidR="00834A75" w:rsidRDefault="00834A75">
            <w:pPr>
              <w:rPr>
                <w:rFonts w:ascii="宋体"/>
              </w:rPr>
            </w:pPr>
          </w:p>
        </w:tc>
        <w:tc>
          <w:tcPr>
            <w:tcW w:w="0" w:type="auto"/>
            <w:gridSpan w:val="3"/>
            <w:shd w:val="clear" w:color="auto" w:fill="auto"/>
            <w:tcMar>
              <w:top w:w="40" w:type="dxa"/>
              <w:left w:w="20" w:type="dxa"/>
              <w:bottom w:w="40" w:type="dxa"/>
              <w:right w:w="20" w:type="dxa"/>
            </w:tcMar>
            <w:vAlign w:val="bottom"/>
          </w:tcPr>
          <w:p w14:paraId="7C208758" w14:textId="77777777" w:rsidR="00834A75" w:rsidRDefault="00A6708C">
            <w:pPr>
              <w:jc w:val="center"/>
              <w:textAlignment w:val="bottom"/>
            </w:pPr>
            <w:r>
              <w:rPr>
                <w:rFonts w:ascii="sans-serif" w:eastAsia="sans-serif" w:hAnsi="sans-serif" w:cs="sans-serif"/>
                <w:b/>
                <w:bCs/>
                <w:color w:val="000000"/>
                <w:sz w:val="20"/>
                <w:szCs w:val="20"/>
              </w:rPr>
              <w:t>May 1,</w:t>
            </w:r>
          </w:p>
        </w:tc>
        <w:tc>
          <w:tcPr>
            <w:tcW w:w="0" w:type="auto"/>
            <w:gridSpan w:val="3"/>
            <w:shd w:val="clear" w:color="auto" w:fill="auto"/>
            <w:tcMar>
              <w:top w:w="0" w:type="dxa"/>
              <w:left w:w="20" w:type="dxa"/>
              <w:bottom w:w="0" w:type="dxa"/>
              <w:right w:w="20" w:type="dxa"/>
            </w:tcMar>
            <w:vAlign w:val="bottom"/>
          </w:tcPr>
          <w:p w14:paraId="7C208759" w14:textId="77777777" w:rsidR="00834A75" w:rsidRDefault="00834A75">
            <w:pPr>
              <w:rPr>
                <w:rFonts w:ascii="宋体"/>
              </w:rPr>
            </w:pPr>
          </w:p>
        </w:tc>
        <w:tc>
          <w:tcPr>
            <w:tcW w:w="0" w:type="auto"/>
            <w:gridSpan w:val="3"/>
            <w:shd w:val="clear" w:color="auto" w:fill="auto"/>
            <w:tcMar>
              <w:top w:w="40" w:type="dxa"/>
              <w:left w:w="20" w:type="dxa"/>
              <w:bottom w:w="40" w:type="dxa"/>
              <w:right w:w="20" w:type="dxa"/>
            </w:tcMar>
            <w:vAlign w:val="bottom"/>
          </w:tcPr>
          <w:p w14:paraId="7C20875A" w14:textId="77777777" w:rsidR="00834A75" w:rsidRDefault="00A6708C">
            <w:pPr>
              <w:jc w:val="center"/>
              <w:textAlignment w:val="bottom"/>
            </w:pPr>
            <w:r>
              <w:rPr>
                <w:rFonts w:ascii="sans-serif" w:eastAsia="sans-serif" w:hAnsi="sans-serif" w:cs="sans-serif"/>
                <w:b/>
                <w:bCs/>
                <w:color w:val="000000"/>
                <w:sz w:val="20"/>
                <w:szCs w:val="20"/>
              </w:rPr>
              <w:t>January 30,</w:t>
            </w:r>
          </w:p>
        </w:tc>
      </w:tr>
      <w:tr w:rsidR="00834A75" w14:paraId="7C208760" w14:textId="77777777">
        <w:tc>
          <w:tcPr>
            <w:tcW w:w="0" w:type="auto"/>
            <w:gridSpan w:val="3"/>
            <w:shd w:val="clear" w:color="auto" w:fill="auto"/>
            <w:tcMar>
              <w:top w:w="40" w:type="dxa"/>
              <w:left w:w="20" w:type="dxa"/>
              <w:bottom w:w="40" w:type="dxa"/>
              <w:right w:w="20" w:type="dxa"/>
            </w:tcMar>
            <w:vAlign w:val="bottom"/>
          </w:tcPr>
          <w:p w14:paraId="7C20875C" w14:textId="77777777" w:rsidR="00834A75" w:rsidRDefault="00A6708C">
            <w:pPr>
              <w:textAlignment w:val="bottom"/>
            </w:pPr>
            <w:r>
              <w:rPr>
                <w:rFonts w:ascii="sans-serif" w:eastAsia="sans-serif" w:hAnsi="sans-serif" w:cs="sans-serif"/>
                <w:color w:val="000000"/>
                <w:sz w:val="20"/>
                <w:szCs w:val="20"/>
              </w:rPr>
              <w:t> </w:t>
            </w:r>
          </w:p>
        </w:tc>
        <w:tc>
          <w:tcPr>
            <w:tcW w:w="0" w:type="auto"/>
            <w:gridSpan w:val="3"/>
            <w:shd w:val="clear" w:color="auto" w:fill="auto"/>
            <w:tcMar>
              <w:top w:w="40" w:type="dxa"/>
              <w:left w:w="20" w:type="dxa"/>
              <w:bottom w:w="40" w:type="dxa"/>
              <w:right w:w="20" w:type="dxa"/>
            </w:tcMar>
            <w:vAlign w:val="bottom"/>
          </w:tcPr>
          <w:p w14:paraId="7C20875D" w14:textId="77777777" w:rsidR="00834A75" w:rsidRDefault="00A6708C">
            <w:pPr>
              <w:jc w:val="center"/>
              <w:textAlignment w:val="bottom"/>
            </w:pPr>
            <w:r>
              <w:rPr>
                <w:rFonts w:ascii="sans-serif" w:eastAsia="sans-serif" w:hAnsi="sans-serif" w:cs="sans-serif"/>
                <w:b/>
                <w:bCs/>
                <w:color w:val="000000"/>
                <w:sz w:val="20"/>
                <w:szCs w:val="20"/>
              </w:rPr>
              <w:t>2022</w:t>
            </w:r>
          </w:p>
        </w:tc>
        <w:tc>
          <w:tcPr>
            <w:tcW w:w="0" w:type="auto"/>
            <w:gridSpan w:val="3"/>
            <w:shd w:val="clear" w:color="auto" w:fill="auto"/>
            <w:tcMar>
              <w:top w:w="0" w:type="dxa"/>
              <w:left w:w="20" w:type="dxa"/>
              <w:bottom w:w="0" w:type="dxa"/>
              <w:right w:w="20" w:type="dxa"/>
            </w:tcMar>
            <w:vAlign w:val="bottom"/>
          </w:tcPr>
          <w:p w14:paraId="7C20875E" w14:textId="77777777" w:rsidR="00834A75" w:rsidRDefault="00834A75">
            <w:pPr>
              <w:rPr>
                <w:rFonts w:ascii="宋体"/>
              </w:rPr>
            </w:pPr>
          </w:p>
        </w:tc>
        <w:tc>
          <w:tcPr>
            <w:tcW w:w="0" w:type="auto"/>
            <w:gridSpan w:val="3"/>
            <w:shd w:val="clear" w:color="auto" w:fill="auto"/>
            <w:tcMar>
              <w:top w:w="40" w:type="dxa"/>
              <w:left w:w="20" w:type="dxa"/>
              <w:bottom w:w="40" w:type="dxa"/>
              <w:right w:w="20" w:type="dxa"/>
            </w:tcMar>
            <w:vAlign w:val="bottom"/>
          </w:tcPr>
          <w:p w14:paraId="7C20875F" w14:textId="77777777" w:rsidR="00834A75" w:rsidRDefault="00A6708C">
            <w:pPr>
              <w:jc w:val="center"/>
              <w:textAlignment w:val="bottom"/>
            </w:pPr>
            <w:r>
              <w:rPr>
                <w:rFonts w:ascii="sans-serif" w:eastAsia="sans-serif" w:hAnsi="sans-serif" w:cs="sans-serif"/>
                <w:b/>
                <w:bCs/>
                <w:color w:val="000000"/>
                <w:sz w:val="20"/>
                <w:szCs w:val="20"/>
              </w:rPr>
              <w:t>2022</w:t>
            </w:r>
          </w:p>
        </w:tc>
      </w:tr>
      <w:tr w:rsidR="00834A75" w14:paraId="7C208765" w14:textId="77777777">
        <w:trPr>
          <w:trHeight w:val="60"/>
        </w:trPr>
        <w:tc>
          <w:tcPr>
            <w:tcW w:w="0" w:type="auto"/>
            <w:gridSpan w:val="3"/>
            <w:shd w:val="clear" w:color="auto" w:fill="auto"/>
            <w:tcMar>
              <w:top w:w="0" w:type="dxa"/>
              <w:left w:w="20" w:type="dxa"/>
              <w:bottom w:w="0" w:type="dxa"/>
              <w:right w:w="20" w:type="dxa"/>
            </w:tcMar>
            <w:vAlign w:val="bottom"/>
          </w:tcPr>
          <w:p w14:paraId="7C208761" w14:textId="77777777" w:rsidR="00834A75" w:rsidRDefault="00834A75">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C208762" w14:textId="77777777" w:rsidR="00834A75" w:rsidRDefault="00834A75">
            <w:pPr>
              <w:rPr>
                <w:rFonts w:ascii="宋体"/>
              </w:rPr>
            </w:pPr>
          </w:p>
        </w:tc>
        <w:tc>
          <w:tcPr>
            <w:tcW w:w="0" w:type="auto"/>
            <w:gridSpan w:val="3"/>
            <w:shd w:val="clear" w:color="auto" w:fill="auto"/>
            <w:tcMar>
              <w:top w:w="0" w:type="dxa"/>
              <w:left w:w="20" w:type="dxa"/>
              <w:bottom w:w="0" w:type="dxa"/>
              <w:right w:w="20" w:type="dxa"/>
            </w:tcMar>
            <w:vAlign w:val="bottom"/>
          </w:tcPr>
          <w:p w14:paraId="7C208763" w14:textId="77777777" w:rsidR="00834A75" w:rsidRDefault="00834A75">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C208764" w14:textId="77777777" w:rsidR="00834A75" w:rsidRDefault="00834A75">
            <w:pPr>
              <w:rPr>
                <w:rFonts w:ascii="宋体"/>
              </w:rPr>
            </w:pPr>
          </w:p>
        </w:tc>
      </w:tr>
      <w:tr w:rsidR="00834A75" w14:paraId="7C208768" w14:textId="77777777">
        <w:tc>
          <w:tcPr>
            <w:tcW w:w="0" w:type="auto"/>
            <w:gridSpan w:val="3"/>
            <w:shd w:val="clear" w:color="auto" w:fill="auto"/>
            <w:tcMar>
              <w:top w:w="40" w:type="dxa"/>
              <w:left w:w="20" w:type="dxa"/>
              <w:bottom w:w="40" w:type="dxa"/>
              <w:right w:w="20" w:type="dxa"/>
            </w:tcMar>
            <w:vAlign w:val="bottom"/>
          </w:tcPr>
          <w:p w14:paraId="7C208766" w14:textId="77777777" w:rsidR="00834A75" w:rsidRDefault="00A6708C">
            <w:pPr>
              <w:textAlignment w:val="bottom"/>
            </w:pPr>
            <w:r>
              <w:rPr>
                <w:rFonts w:ascii="sans-serif" w:eastAsia="sans-serif" w:hAnsi="sans-serif" w:cs="sans-serif"/>
                <w:b/>
                <w:bCs/>
                <w:color w:val="000000"/>
                <w:sz w:val="20"/>
                <w:szCs w:val="20"/>
              </w:rPr>
              <w:t>Accrued and Other Current Liabilities:</w:t>
            </w:r>
          </w:p>
        </w:tc>
        <w:tc>
          <w:tcPr>
            <w:tcW w:w="0" w:type="auto"/>
            <w:gridSpan w:val="9"/>
            <w:shd w:val="clear" w:color="auto" w:fill="auto"/>
            <w:tcMar>
              <w:top w:w="40" w:type="dxa"/>
              <w:left w:w="20" w:type="dxa"/>
              <w:bottom w:w="40" w:type="dxa"/>
              <w:right w:w="20" w:type="dxa"/>
            </w:tcMar>
            <w:vAlign w:val="bottom"/>
          </w:tcPr>
          <w:p w14:paraId="7C208767" w14:textId="77777777" w:rsidR="00834A75" w:rsidRDefault="00A6708C">
            <w:pPr>
              <w:jc w:val="center"/>
              <w:textAlignment w:val="bottom"/>
            </w:pPr>
            <w:r>
              <w:rPr>
                <w:rFonts w:ascii="sans-serif" w:eastAsia="sans-serif" w:hAnsi="sans-serif" w:cs="sans-serif"/>
                <w:i/>
                <w:iCs/>
                <w:color w:val="000000"/>
                <w:sz w:val="20"/>
                <w:szCs w:val="20"/>
              </w:rPr>
              <w:t>(In millions)</w:t>
            </w:r>
          </w:p>
        </w:tc>
      </w:tr>
      <w:tr w:rsidR="00834A75" w14:paraId="7C208771" w14:textId="77777777">
        <w:tc>
          <w:tcPr>
            <w:tcW w:w="0" w:type="auto"/>
            <w:gridSpan w:val="3"/>
            <w:shd w:val="clear" w:color="auto" w:fill="E2EFD9"/>
            <w:tcMar>
              <w:top w:w="40" w:type="dxa"/>
              <w:left w:w="20" w:type="dxa"/>
              <w:bottom w:w="40" w:type="dxa"/>
              <w:right w:w="20" w:type="dxa"/>
            </w:tcMar>
            <w:vAlign w:val="bottom"/>
          </w:tcPr>
          <w:p w14:paraId="7C208769" w14:textId="77777777" w:rsidR="00834A75" w:rsidRDefault="00A6708C">
            <w:pPr>
              <w:textAlignment w:val="bottom"/>
            </w:pPr>
            <w:r>
              <w:rPr>
                <w:rFonts w:ascii="sans-serif" w:eastAsia="sans-serif" w:hAnsi="sans-serif" w:cs="sans-serif"/>
                <w:color w:val="000000"/>
                <w:sz w:val="20"/>
                <w:szCs w:val="20"/>
              </w:rPr>
              <w:t>Customer program accruals</w:t>
            </w:r>
          </w:p>
        </w:tc>
        <w:tc>
          <w:tcPr>
            <w:tcW w:w="0" w:type="auto"/>
            <w:shd w:val="clear" w:color="auto" w:fill="E2EFD9"/>
            <w:tcMar>
              <w:top w:w="40" w:type="dxa"/>
              <w:left w:w="20" w:type="dxa"/>
              <w:bottom w:w="40" w:type="dxa"/>
              <w:right w:w="0" w:type="dxa"/>
            </w:tcMar>
            <w:vAlign w:val="bottom"/>
          </w:tcPr>
          <w:p w14:paraId="7C20876A" w14:textId="77777777" w:rsidR="00834A75" w:rsidRDefault="00A6708C">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7C20876B" w14:textId="77777777" w:rsidR="00834A75" w:rsidRDefault="00A6708C">
            <w:pPr>
              <w:jc w:val="right"/>
              <w:textAlignment w:val="bottom"/>
            </w:pPr>
            <w:r>
              <w:rPr>
                <w:rFonts w:ascii="sans-serif" w:eastAsia="sans-serif" w:hAnsi="sans-serif" w:cs="sans-serif"/>
                <w:color w:val="000000"/>
                <w:sz w:val="20"/>
                <w:szCs w:val="20"/>
              </w:rPr>
              <w:t>1,088 </w:t>
            </w:r>
          </w:p>
        </w:tc>
        <w:tc>
          <w:tcPr>
            <w:tcW w:w="0" w:type="auto"/>
            <w:shd w:val="clear" w:color="auto" w:fill="E2EFD9"/>
            <w:tcMar>
              <w:top w:w="40" w:type="dxa"/>
              <w:left w:w="0" w:type="dxa"/>
              <w:bottom w:w="40" w:type="dxa"/>
              <w:right w:w="20" w:type="dxa"/>
            </w:tcMar>
            <w:vAlign w:val="bottom"/>
          </w:tcPr>
          <w:p w14:paraId="7C20876C" w14:textId="77777777" w:rsidR="00834A75" w:rsidRDefault="00834A75">
            <w:pPr>
              <w:jc w:val="right"/>
              <w:rPr>
                <w:rFonts w:ascii="宋体"/>
              </w:rPr>
            </w:pPr>
          </w:p>
        </w:tc>
        <w:tc>
          <w:tcPr>
            <w:tcW w:w="0" w:type="auto"/>
            <w:gridSpan w:val="3"/>
            <w:shd w:val="clear" w:color="auto" w:fill="E2EFD9"/>
            <w:tcMar>
              <w:top w:w="0" w:type="dxa"/>
              <w:left w:w="20" w:type="dxa"/>
              <w:bottom w:w="0" w:type="dxa"/>
              <w:right w:w="20" w:type="dxa"/>
            </w:tcMar>
            <w:vAlign w:val="bottom"/>
          </w:tcPr>
          <w:p w14:paraId="7C20876D" w14:textId="77777777" w:rsidR="00834A75" w:rsidRDefault="00834A75">
            <w:pPr>
              <w:rPr>
                <w:rFonts w:ascii="宋体"/>
              </w:rPr>
            </w:pPr>
          </w:p>
        </w:tc>
        <w:tc>
          <w:tcPr>
            <w:tcW w:w="0" w:type="auto"/>
            <w:shd w:val="clear" w:color="auto" w:fill="E2EFD9"/>
            <w:tcMar>
              <w:top w:w="40" w:type="dxa"/>
              <w:left w:w="20" w:type="dxa"/>
              <w:bottom w:w="40" w:type="dxa"/>
              <w:right w:w="0" w:type="dxa"/>
            </w:tcMar>
            <w:vAlign w:val="bottom"/>
          </w:tcPr>
          <w:p w14:paraId="7C20876E" w14:textId="77777777" w:rsidR="00834A75" w:rsidRDefault="00A6708C">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7C20876F" w14:textId="77777777" w:rsidR="00834A75" w:rsidRDefault="00A6708C">
            <w:pPr>
              <w:jc w:val="right"/>
              <w:textAlignment w:val="bottom"/>
            </w:pPr>
            <w:r>
              <w:rPr>
                <w:rFonts w:ascii="sans-serif" w:eastAsia="sans-serif" w:hAnsi="sans-serif" w:cs="sans-serif"/>
                <w:color w:val="000000"/>
                <w:sz w:val="20"/>
                <w:szCs w:val="20"/>
              </w:rPr>
              <w:t>1,000 </w:t>
            </w:r>
          </w:p>
        </w:tc>
        <w:tc>
          <w:tcPr>
            <w:tcW w:w="0" w:type="auto"/>
            <w:shd w:val="clear" w:color="auto" w:fill="E2EFD9"/>
            <w:tcMar>
              <w:top w:w="40" w:type="dxa"/>
              <w:left w:w="0" w:type="dxa"/>
              <w:bottom w:w="40" w:type="dxa"/>
              <w:right w:w="20" w:type="dxa"/>
            </w:tcMar>
            <w:vAlign w:val="bottom"/>
          </w:tcPr>
          <w:p w14:paraId="7C208770" w14:textId="77777777" w:rsidR="00834A75" w:rsidRDefault="00834A75">
            <w:pPr>
              <w:jc w:val="right"/>
              <w:rPr>
                <w:rFonts w:ascii="宋体"/>
              </w:rPr>
            </w:pPr>
          </w:p>
        </w:tc>
      </w:tr>
      <w:tr w:rsidR="00834A75" w14:paraId="7C208778" w14:textId="77777777">
        <w:tc>
          <w:tcPr>
            <w:tcW w:w="0" w:type="auto"/>
            <w:gridSpan w:val="3"/>
            <w:shd w:val="clear" w:color="auto" w:fill="FFFFFF"/>
            <w:tcMar>
              <w:top w:w="40" w:type="dxa"/>
              <w:left w:w="20" w:type="dxa"/>
              <w:bottom w:w="40" w:type="dxa"/>
              <w:right w:w="20" w:type="dxa"/>
            </w:tcMar>
            <w:vAlign w:val="bottom"/>
          </w:tcPr>
          <w:p w14:paraId="7C208772" w14:textId="77777777" w:rsidR="00834A75" w:rsidRDefault="00A6708C">
            <w:pPr>
              <w:textAlignment w:val="bottom"/>
            </w:pPr>
            <w:r>
              <w:rPr>
                <w:rFonts w:ascii="sans-serif" w:eastAsia="sans-serif" w:hAnsi="sans-serif" w:cs="sans-serif"/>
                <w:color w:val="000000"/>
                <w:sz w:val="20"/>
                <w:szCs w:val="20"/>
              </w:rPr>
              <w:t>Taxes payable</w:t>
            </w:r>
          </w:p>
        </w:tc>
        <w:tc>
          <w:tcPr>
            <w:tcW w:w="0" w:type="auto"/>
            <w:gridSpan w:val="2"/>
            <w:shd w:val="clear" w:color="auto" w:fill="FFFFFF"/>
            <w:tcMar>
              <w:top w:w="40" w:type="dxa"/>
              <w:left w:w="20" w:type="dxa"/>
              <w:bottom w:w="40" w:type="dxa"/>
              <w:right w:w="0" w:type="dxa"/>
            </w:tcMar>
            <w:vAlign w:val="bottom"/>
          </w:tcPr>
          <w:p w14:paraId="7C208773" w14:textId="77777777" w:rsidR="00834A75" w:rsidRDefault="00A6708C">
            <w:pPr>
              <w:jc w:val="right"/>
              <w:textAlignment w:val="bottom"/>
            </w:pPr>
            <w:r>
              <w:rPr>
                <w:rFonts w:ascii="sans-serif" w:eastAsia="sans-serif" w:hAnsi="sans-serif" w:cs="sans-serif"/>
                <w:color w:val="000000"/>
                <w:sz w:val="20"/>
                <w:szCs w:val="20"/>
              </w:rPr>
              <w:t>736 </w:t>
            </w:r>
          </w:p>
        </w:tc>
        <w:tc>
          <w:tcPr>
            <w:tcW w:w="0" w:type="auto"/>
            <w:shd w:val="clear" w:color="auto" w:fill="FFFFFF"/>
            <w:tcMar>
              <w:top w:w="40" w:type="dxa"/>
              <w:left w:w="0" w:type="dxa"/>
              <w:bottom w:w="40" w:type="dxa"/>
              <w:right w:w="20" w:type="dxa"/>
            </w:tcMar>
            <w:vAlign w:val="bottom"/>
          </w:tcPr>
          <w:p w14:paraId="7C208774" w14:textId="77777777" w:rsidR="00834A75" w:rsidRDefault="00834A75">
            <w:pPr>
              <w:jc w:val="right"/>
              <w:rPr>
                <w:rFonts w:ascii="宋体"/>
              </w:rPr>
            </w:pPr>
          </w:p>
        </w:tc>
        <w:tc>
          <w:tcPr>
            <w:tcW w:w="0" w:type="auto"/>
            <w:gridSpan w:val="3"/>
            <w:shd w:val="clear" w:color="auto" w:fill="FFFFFF"/>
            <w:tcMar>
              <w:top w:w="0" w:type="dxa"/>
              <w:left w:w="20" w:type="dxa"/>
              <w:bottom w:w="0" w:type="dxa"/>
              <w:right w:w="20" w:type="dxa"/>
            </w:tcMar>
            <w:vAlign w:val="bottom"/>
          </w:tcPr>
          <w:p w14:paraId="7C208775" w14:textId="77777777" w:rsidR="00834A75" w:rsidRDefault="00834A75">
            <w:pPr>
              <w:rPr>
                <w:rFonts w:ascii="宋体"/>
              </w:rPr>
            </w:pPr>
          </w:p>
        </w:tc>
        <w:tc>
          <w:tcPr>
            <w:tcW w:w="0" w:type="auto"/>
            <w:gridSpan w:val="2"/>
            <w:shd w:val="clear" w:color="auto" w:fill="FFFFFF"/>
            <w:tcMar>
              <w:top w:w="40" w:type="dxa"/>
              <w:left w:w="20" w:type="dxa"/>
              <w:bottom w:w="40" w:type="dxa"/>
              <w:right w:w="0" w:type="dxa"/>
            </w:tcMar>
            <w:vAlign w:val="bottom"/>
          </w:tcPr>
          <w:p w14:paraId="7C208776" w14:textId="77777777" w:rsidR="00834A75" w:rsidRDefault="00A6708C">
            <w:pPr>
              <w:jc w:val="right"/>
              <w:textAlignment w:val="bottom"/>
            </w:pPr>
            <w:r>
              <w:rPr>
                <w:rFonts w:ascii="sans-serif" w:eastAsia="sans-serif" w:hAnsi="sans-serif" w:cs="sans-serif"/>
                <w:color w:val="000000"/>
                <w:sz w:val="20"/>
                <w:szCs w:val="20"/>
              </w:rPr>
              <w:t>132 </w:t>
            </w:r>
          </w:p>
        </w:tc>
        <w:tc>
          <w:tcPr>
            <w:tcW w:w="0" w:type="auto"/>
            <w:shd w:val="clear" w:color="auto" w:fill="FFFFFF"/>
            <w:tcMar>
              <w:top w:w="40" w:type="dxa"/>
              <w:left w:w="0" w:type="dxa"/>
              <w:bottom w:w="40" w:type="dxa"/>
              <w:right w:w="20" w:type="dxa"/>
            </w:tcMar>
            <w:vAlign w:val="bottom"/>
          </w:tcPr>
          <w:p w14:paraId="7C208777" w14:textId="77777777" w:rsidR="00834A75" w:rsidRDefault="00834A75">
            <w:pPr>
              <w:jc w:val="right"/>
              <w:rPr>
                <w:rFonts w:ascii="宋体"/>
              </w:rPr>
            </w:pPr>
          </w:p>
        </w:tc>
      </w:tr>
      <w:tr w:rsidR="00834A75" w14:paraId="7C20877F" w14:textId="77777777">
        <w:tc>
          <w:tcPr>
            <w:tcW w:w="0" w:type="auto"/>
            <w:gridSpan w:val="3"/>
            <w:shd w:val="clear" w:color="auto" w:fill="E2EFD9"/>
            <w:tcMar>
              <w:top w:w="40" w:type="dxa"/>
              <w:left w:w="20" w:type="dxa"/>
              <w:bottom w:w="40" w:type="dxa"/>
              <w:right w:w="20" w:type="dxa"/>
            </w:tcMar>
            <w:vAlign w:val="bottom"/>
          </w:tcPr>
          <w:p w14:paraId="7C208779" w14:textId="77777777" w:rsidR="00834A75" w:rsidRDefault="00A6708C">
            <w:pPr>
              <w:textAlignment w:val="bottom"/>
            </w:pPr>
            <w:r>
              <w:rPr>
                <w:rFonts w:ascii="sans-serif" w:eastAsia="sans-serif" w:hAnsi="sans-serif" w:cs="sans-serif"/>
                <w:color w:val="000000"/>
                <w:sz w:val="20"/>
                <w:szCs w:val="20"/>
              </w:rPr>
              <w:t>Deferred revenue (1)</w:t>
            </w:r>
          </w:p>
        </w:tc>
        <w:tc>
          <w:tcPr>
            <w:tcW w:w="0" w:type="auto"/>
            <w:gridSpan w:val="2"/>
            <w:shd w:val="clear" w:color="auto" w:fill="E2EFD9"/>
            <w:tcMar>
              <w:top w:w="40" w:type="dxa"/>
              <w:left w:w="20" w:type="dxa"/>
              <w:bottom w:w="40" w:type="dxa"/>
              <w:right w:w="0" w:type="dxa"/>
            </w:tcMar>
            <w:vAlign w:val="bottom"/>
          </w:tcPr>
          <w:p w14:paraId="7C20877A" w14:textId="77777777" w:rsidR="00834A75" w:rsidRDefault="00A6708C">
            <w:pPr>
              <w:jc w:val="right"/>
              <w:textAlignment w:val="bottom"/>
            </w:pPr>
            <w:r>
              <w:rPr>
                <w:rFonts w:ascii="sans-serif" w:eastAsia="sans-serif" w:hAnsi="sans-serif" w:cs="sans-serif"/>
                <w:color w:val="000000"/>
                <w:sz w:val="20"/>
                <w:szCs w:val="20"/>
              </w:rPr>
              <w:t>334 </w:t>
            </w:r>
          </w:p>
        </w:tc>
        <w:tc>
          <w:tcPr>
            <w:tcW w:w="0" w:type="auto"/>
            <w:shd w:val="clear" w:color="auto" w:fill="E2EFD9"/>
            <w:tcMar>
              <w:top w:w="40" w:type="dxa"/>
              <w:left w:w="0" w:type="dxa"/>
              <w:bottom w:w="40" w:type="dxa"/>
              <w:right w:w="20" w:type="dxa"/>
            </w:tcMar>
            <w:vAlign w:val="bottom"/>
          </w:tcPr>
          <w:p w14:paraId="7C20877B" w14:textId="77777777" w:rsidR="00834A75" w:rsidRDefault="00834A75">
            <w:pPr>
              <w:jc w:val="right"/>
              <w:rPr>
                <w:rFonts w:ascii="宋体"/>
              </w:rPr>
            </w:pPr>
          </w:p>
        </w:tc>
        <w:tc>
          <w:tcPr>
            <w:tcW w:w="0" w:type="auto"/>
            <w:gridSpan w:val="3"/>
            <w:shd w:val="clear" w:color="auto" w:fill="E2EFD9"/>
            <w:tcMar>
              <w:top w:w="0" w:type="dxa"/>
              <w:left w:w="20" w:type="dxa"/>
              <w:bottom w:w="0" w:type="dxa"/>
              <w:right w:w="20" w:type="dxa"/>
            </w:tcMar>
            <w:vAlign w:val="bottom"/>
          </w:tcPr>
          <w:p w14:paraId="7C20877C" w14:textId="77777777" w:rsidR="00834A75" w:rsidRDefault="00834A75">
            <w:pPr>
              <w:rPr>
                <w:rFonts w:ascii="宋体"/>
              </w:rPr>
            </w:pPr>
          </w:p>
        </w:tc>
        <w:tc>
          <w:tcPr>
            <w:tcW w:w="0" w:type="auto"/>
            <w:gridSpan w:val="2"/>
            <w:shd w:val="clear" w:color="auto" w:fill="E2EFD9"/>
            <w:tcMar>
              <w:top w:w="40" w:type="dxa"/>
              <w:left w:w="20" w:type="dxa"/>
              <w:bottom w:w="40" w:type="dxa"/>
              <w:right w:w="0" w:type="dxa"/>
            </w:tcMar>
            <w:vAlign w:val="bottom"/>
          </w:tcPr>
          <w:p w14:paraId="7C20877D" w14:textId="77777777" w:rsidR="00834A75" w:rsidRDefault="00A6708C">
            <w:pPr>
              <w:jc w:val="right"/>
              <w:textAlignment w:val="bottom"/>
            </w:pPr>
            <w:r>
              <w:rPr>
                <w:rFonts w:ascii="sans-serif" w:eastAsia="sans-serif" w:hAnsi="sans-serif" w:cs="sans-serif"/>
                <w:color w:val="000000"/>
                <w:sz w:val="20"/>
                <w:szCs w:val="20"/>
              </w:rPr>
              <w:t>300 </w:t>
            </w:r>
          </w:p>
        </w:tc>
        <w:tc>
          <w:tcPr>
            <w:tcW w:w="0" w:type="auto"/>
            <w:shd w:val="clear" w:color="auto" w:fill="E2EFD9"/>
            <w:tcMar>
              <w:top w:w="40" w:type="dxa"/>
              <w:left w:w="0" w:type="dxa"/>
              <w:bottom w:w="40" w:type="dxa"/>
              <w:right w:w="20" w:type="dxa"/>
            </w:tcMar>
            <w:vAlign w:val="bottom"/>
          </w:tcPr>
          <w:p w14:paraId="7C20877E" w14:textId="77777777" w:rsidR="00834A75" w:rsidRDefault="00834A75">
            <w:pPr>
              <w:jc w:val="right"/>
              <w:rPr>
                <w:rFonts w:ascii="宋体"/>
              </w:rPr>
            </w:pPr>
          </w:p>
        </w:tc>
      </w:tr>
      <w:tr w:rsidR="00834A75" w14:paraId="7C208786" w14:textId="77777777">
        <w:tc>
          <w:tcPr>
            <w:tcW w:w="0" w:type="auto"/>
            <w:gridSpan w:val="3"/>
            <w:shd w:val="clear" w:color="auto" w:fill="FFFFFF"/>
            <w:tcMar>
              <w:top w:w="40" w:type="dxa"/>
              <w:left w:w="20" w:type="dxa"/>
              <w:bottom w:w="40" w:type="dxa"/>
              <w:right w:w="20" w:type="dxa"/>
            </w:tcMar>
            <w:vAlign w:val="bottom"/>
          </w:tcPr>
          <w:p w14:paraId="7C208780" w14:textId="77777777" w:rsidR="00834A75" w:rsidRDefault="00A6708C">
            <w:pPr>
              <w:textAlignment w:val="bottom"/>
            </w:pPr>
            <w:r>
              <w:rPr>
                <w:rFonts w:ascii="sans-serif" w:eastAsia="sans-serif" w:hAnsi="sans-serif" w:cs="sans-serif"/>
                <w:color w:val="000000"/>
                <w:sz w:val="20"/>
                <w:szCs w:val="20"/>
              </w:rPr>
              <w:t>Accrued payroll and related expenses</w:t>
            </w:r>
          </w:p>
        </w:tc>
        <w:tc>
          <w:tcPr>
            <w:tcW w:w="0" w:type="auto"/>
            <w:gridSpan w:val="2"/>
            <w:shd w:val="clear" w:color="auto" w:fill="FFFFFF"/>
            <w:tcMar>
              <w:top w:w="40" w:type="dxa"/>
              <w:left w:w="20" w:type="dxa"/>
              <w:bottom w:w="40" w:type="dxa"/>
              <w:right w:w="0" w:type="dxa"/>
            </w:tcMar>
            <w:vAlign w:val="bottom"/>
          </w:tcPr>
          <w:p w14:paraId="7C208781" w14:textId="77777777" w:rsidR="00834A75" w:rsidRDefault="00A6708C">
            <w:pPr>
              <w:jc w:val="right"/>
              <w:textAlignment w:val="bottom"/>
            </w:pPr>
            <w:r>
              <w:rPr>
                <w:rFonts w:ascii="sans-serif" w:eastAsia="sans-serif" w:hAnsi="sans-serif" w:cs="sans-serif"/>
                <w:color w:val="000000"/>
                <w:sz w:val="20"/>
                <w:szCs w:val="20"/>
              </w:rPr>
              <w:t>327 </w:t>
            </w:r>
          </w:p>
        </w:tc>
        <w:tc>
          <w:tcPr>
            <w:tcW w:w="0" w:type="auto"/>
            <w:shd w:val="clear" w:color="auto" w:fill="FFFFFF"/>
            <w:tcMar>
              <w:top w:w="40" w:type="dxa"/>
              <w:left w:w="0" w:type="dxa"/>
              <w:bottom w:w="40" w:type="dxa"/>
              <w:right w:w="20" w:type="dxa"/>
            </w:tcMar>
            <w:vAlign w:val="bottom"/>
          </w:tcPr>
          <w:p w14:paraId="7C208782" w14:textId="77777777" w:rsidR="00834A75" w:rsidRDefault="00834A75">
            <w:pPr>
              <w:jc w:val="right"/>
              <w:rPr>
                <w:rFonts w:ascii="宋体"/>
              </w:rPr>
            </w:pPr>
          </w:p>
        </w:tc>
        <w:tc>
          <w:tcPr>
            <w:tcW w:w="0" w:type="auto"/>
            <w:gridSpan w:val="3"/>
            <w:shd w:val="clear" w:color="auto" w:fill="FFFFFF"/>
            <w:tcMar>
              <w:top w:w="0" w:type="dxa"/>
              <w:left w:w="20" w:type="dxa"/>
              <w:bottom w:w="0" w:type="dxa"/>
              <w:right w:w="20" w:type="dxa"/>
            </w:tcMar>
            <w:vAlign w:val="bottom"/>
          </w:tcPr>
          <w:p w14:paraId="7C208783" w14:textId="77777777" w:rsidR="00834A75" w:rsidRDefault="00834A75">
            <w:pPr>
              <w:rPr>
                <w:rFonts w:ascii="宋体"/>
              </w:rPr>
            </w:pPr>
          </w:p>
        </w:tc>
        <w:tc>
          <w:tcPr>
            <w:tcW w:w="0" w:type="auto"/>
            <w:gridSpan w:val="2"/>
            <w:shd w:val="clear" w:color="auto" w:fill="FFFFFF"/>
            <w:tcMar>
              <w:top w:w="40" w:type="dxa"/>
              <w:left w:w="20" w:type="dxa"/>
              <w:bottom w:w="40" w:type="dxa"/>
              <w:right w:w="0" w:type="dxa"/>
            </w:tcMar>
            <w:vAlign w:val="bottom"/>
          </w:tcPr>
          <w:p w14:paraId="7C208784" w14:textId="77777777" w:rsidR="00834A75" w:rsidRDefault="00A6708C">
            <w:pPr>
              <w:jc w:val="right"/>
              <w:textAlignment w:val="bottom"/>
            </w:pPr>
            <w:r>
              <w:rPr>
                <w:rFonts w:ascii="sans-serif" w:eastAsia="sans-serif" w:hAnsi="sans-serif" w:cs="sans-serif"/>
                <w:color w:val="000000"/>
                <w:sz w:val="20"/>
                <w:szCs w:val="20"/>
              </w:rPr>
              <w:t>409 </w:t>
            </w:r>
          </w:p>
        </w:tc>
        <w:tc>
          <w:tcPr>
            <w:tcW w:w="0" w:type="auto"/>
            <w:shd w:val="clear" w:color="auto" w:fill="FFFFFF"/>
            <w:tcMar>
              <w:top w:w="40" w:type="dxa"/>
              <w:left w:w="0" w:type="dxa"/>
              <w:bottom w:w="40" w:type="dxa"/>
              <w:right w:w="20" w:type="dxa"/>
            </w:tcMar>
            <w:vAlign w:val="bottom"/>
          </w:tcPr>
          <w:p w14:paraId="7C208785" w14:textId="77777777" w:rsidR="00834A75" w:rsidRDefault="00834A75">
            <w:pPr>
              <w:jc w:val="right"/>
              <w:rPr>
                <w:rFonts w:ascii="宋体"/>
              </w:rPr>
            </w:pPr>
          </w:p>
        </w:tc>
      </w:tr>
      <w:tr w:rsidR="00834A75" w14:paraId="7C20878B" w14:textId="77777777">
        <w:trPr>
          <w:hidden/>
        </w:trPr>
        <w:tc>
          <w:tcPr>
            <w:tcW w:w="0" w:type="auto"/>
            <w:gridSpan w:val="3"/>
            <w:shd w:val="clear" w:color="auto" w:fill="auto"/>
            <w:vAlign w:val="bottom"/>
          </w:tcPr>
          <w:p w14:paraId="7C208787" w14:textId="77777777" w:rsidR="00834A75" w:rsidRDefault="00834A75">
            <w:pPr>
              <w:rPr>
                <w:rFonts w:ascii="宋体"/>
                <w:vanish/>
              </w:rPr>
            </w:pPr>
          </w:p>
        </w:tc>
        <w:tc>
          <w:tcPr>
            <w:tcW w:w="0" w:type="auto"/>
            <w:gridSpan w:val="3"/>
            <w:shd w:val="clear" w:color="auto" w:fill="auto"/>
            <w:vAlign w:val="bottom"/>
          </w:tcPr>
          <w:p w14:paraId="7C208788" w14:textId="77777777" w:rsidR="00834A75" w:rsidRDefault="00834A75">
            <w:pPr>
              <w:rPr>
                <w:rFonts w:ascii="宋体"/>
                <w:vanish/>
              </w:rPr>
            </w:pPr>
          </w:p>
        </w:tc>
        <w:tc>
          <w:tcPr>
            <w:tcW w:w="0" w:type="auto"/>
            <w:gridSpan w:val="3"/>
            <w:shd w:val="clear" w:color="auto" w:fill="auto"/>
            <w:vAlign w:val="bottom"/>
          </w:tcPr>
          <w:p w14:paraId="7C208789" w14:textId="77777777" w:rsidR="00834A75" w:rsidRDefault="00834A75">
            <w:pPr>
              <w:rPr>
                <w:rFonts w:ascii="宋体"/>
                <w:vanish/>
              </w:rPr>
            </w:pPr>
          </w:p>
        </w:tc>
        <w:tc>
          <w:tcPr>
            <w:tcW w:w="0" w:type="auto"/>
            <w:gridSpan w:val="3"/>
            <w:shd w:val="clear" w:color="auto" w:fill="auto"/>
            <w:vAlign w:val="bottom"/>
          </w:tcPr>
          <w:p w14:paraId="7C20878A" w14:textId="77777777" w:rsidR="00834A75" w:rsidRDefault="00834A75">
            <w:pPr>
              <w:rPr>
                <w:rFonts w:ascii="宋体"/>
                <w:vanish/>
              </w:rPr>
            </w:pPr>
          </w:p>
        </w:tc>
      </w:tr>
      <w:tr w:rsidR="00834A75" w14:paraId="7C208790" w14:textId="77777777">
        <w:trPr>
          <w:hidden/>
        </w:trPr>
        <w:tc>
          <w:tcPr>
            <w:tcW w:w="0" w:type="auto"/>
            <w:gridSpan w:val="3"/>
            <w:shd w:val="clear" w:color="auto" w:fill="auto"/>
            <w:vAlign w:val="bottom"/>
          </w:tcPr>
          <w:p w14:paraId="7C20878C" w14:textId="77777777" w:rsidR="00834A75" w:rsidRDefault="00834A75">
            <w:pPr>
              <w:rPr>
                <w:rFonts w:ascii="宋体"/>
                <w:vanish/>
              </w:rPr>
            </w:pPr>
          </w:p>
        </w:tc>
        <w:tc>
          <w:tcPr>
            <w:tcW w:w="0" w:type="auto"/>
            <w:gridSpan w:val="3"/>
            <w:shd w:val="clear" w:color="auto" w:fill="auto"/>
            <w:vAlign w:val="bottom"/>
          </w:tcPr>
          <w:p w14:paraId="7C20878D" w14:textId="77777777" w:rsidR="00834A75" w:rsidRDefault="00834A75">
            <w:pPr>
              <w:rPr>
                <w:rFonts w:ascii="宋体"/>
                <w:vanish/>
              </w:rPr>
            </w:pPr>
          </w:p>
        </w:tc>
        <w:tc>
          <w:tcPr>
            <w:tcW w:w="0" w:type="auto"/>
            <w:gridSpan w:val="3"/>
            <w:shd w:val="clear" w:color="auto" w:fill="auto"/>
            <w:vAlign w:val="bottom"/>
          </w:tcPr>
          <w:p w14:paraId="7C20878E" w14:textId="77777777" w:rsidR="00834A75" w:rsidRDefault="00834A75">
            <w:pPr>
              <w:rPr>
                <w:rFonts w:ascii="宋体"/>
                <w:vanish/>
              </w:rPr>
            </w:pPr>
          </w:p>
        </w:tc>
        <w:tc>
          <w:tcPr>
            <w:tcW w:w="0" w:type="auto"/>
            <w:gridSpan w:val="3"/>
            <w:shd w:val="clear" w:color="auto" w:fill="auto"/>
            <w:vAlign w:val="bottom"/>
          </w:tcPr>
          <w:p w14:paraId="7C20878F" w14:textId="77777777" w:rsidR="00834A75" w:rsidRDefault="00834A75">
            <w:pPr>
              <w:rPr>
                <w:rFonts w:ascii="宋体"/>
                <w:vanish/>
              </w:rPr>
            </w:pPr>
          </w:p>
        </w:tc>
      </w:tr>
      <w:tr w:rsidR="00834A75" w14:paraId="7C208795" w14:textId="77777777">
        <w:trPr>
          <w:hidden/>
        </w:trPr>
        <w:tc>
          <w:tcPr>
            <w:tcW w:w="0" w:type="auto"/>
            <w:gridSpan w:val="3"/>
            <w:shd w:val="clear" w:color="auto" w:fill="auto"/>
            <w:vAlign w:val="bottom"/>
          </w:tcPr>
          <w:p w14:paraId="7C208791" w14:textId="77777777" w:rsidR="00834A75" w:rsidRDefault="00834A75">
            <w:pPr>
              <w:rPr>
                <w:rFonts w:ascii="宋体"/>
                <w:vanish/>
              </w:rPr>
            </w:pPr>
          </w:p>
        </w:tc>
        <w:tc>
          <w:tcPr>
            <w:tcW w:w="0" w:type="auto"/>
            <w:gridSpan w:val="3"/>
            <w:shd w:val="clear" w:color="auto" w:fill="auto"/>
            <w:vAlign w:val="bottom"/>
          </w:tcPr>
          <w:p w14:paraId="7C208792" w14:textId="77777777" w:rsidR="00834A75" w:rsidRDefault="00834A75">
            <w:pPr>
              <w:rPr>
                <w:rFonts w:ascii="宋体"/>
                <w:vanish/>
              </w:rPr>
            </w:pPr>
          </w:p>
        </w:tc>
        <w:tc>
          <w:tcPr>
            <w:tcW w:w="0" w:type="auto"/>
            <w:gridSpan w:val="3"/>
            <w:shd w:val="clear" w:color="auto" w:fill="auto"/>
            <w:vAlign w:val="bottom"/>
          </w:tcPr>
          <w:p w14:paraId="7C208793" w14:textId="77777777" w:rsidR="00834A75" w:rsidRDefault="00834A75">
            <w:pPr>
              <w:rPr>
                <w:rFonts w:ascii="宋体"/>
                <w:vanish/>
              </w:rPr>
            </w:pPr>
          </w:p>
        </w:tc>
        <w:tc>
          <w:tcPr>
            <w:tcW w:w="0" w:type="auto"/>
            <w:gridSpan w:val="3"/>
            <w:shd w:val="clear" w:color="auto" w:fill="auto"/>
            <w:vAlign w:val="bottom"/>
          </w:tcPr>
          <w:p w14:paraId="7C208794" w14:textId="77777777" w:rsidR="00834A75" w:rsidRDefault="00834A75">
            <w:pPr>
              <w:rPr>
                <w:rFonts w:ascii="宋体"/>
                <w:vanish/>
              </w:rPr>
            </w:pPr>
          </w:p>
        </w:tc>
      </w:tr>
      <w:tr w:rsidR="00834A75" w14:paraId="7C20879A" w14:textId="77777777">
        <w:trPr>
          <w:hidden/>
        </w:trPr>
        <w:tc>
          <w:tcPr>
            <w:tcW w:w="0" w:type="auto"/>
            <w:gridSpan w:val="3"/>
            <w:shd w:val="clear" w:color="auto" w:fill="auto"/>
            <w:vAlign w:val="bottom"/>
          </w:tcPr>
          <w:p w14:paraId="7C208796" w14:textId="77777777" w:rsidR="00834A75" w:rsidRDefault="00834A75">
            <w:pPr>
              <w:rPr>
                <w:rFonts w:ascii="宋体"/>
                <w:vanish/>
              </w:rPr>
            </w:pPr>
          </w:p>
        </w:tc>
        <w:tc>
          <w:tcPr>
            <w:tcW w:w="0" w:type="auto"/>
            <w:gridSpan w:val="3"/>
            <w:shd w:val="clear" w:color="auto" w:fill="auto"/>
            <w:vAlign w:val="bottom"/>
          </w:tcPr>
          <w:p w14:paraId="7C208797" w14:textId="77777777" w:rsidR="00834A75" w:rsidRDefault="00834A75">
            <w:pPr>
              <w:rPr>
                <w:rFonts w:ascii="宋体"/>
                <w:vanish/>
              </w:rPr>
            </w:pPr>
          </w:p>
        </w:tc>
        <w:tc>
          <w:tcPr>
            <w:tcW w:w="0" w:type="auto"/>
            <w:gridSpan w:val="3"/>
            <w:shd w:val="clear" w:color="auto" w:fill="auto"/>
            <w:vAlign w:val="bottom"/>
          </w:tcPr>
          <w:p w14:paraId="7C208798" w14:textId="77777777" w:rsidR="00834A75" w:rsidRDefault="00834A75">
            <w:pPr>
              <w:rPr>
                <w:rFonts w:ascii="宋体"/>
                <w:vanish/>
              </w:rPr>
            </w:pPr>
          </w:p>
        </w:tc>
        <w:tc>
          <w:tcPr>
            <w:tcW w:w="0" w:type="auto"/>
            <w:gridSpan w:val="3"/>
            <w:shd w:val="clear" w:color="auto" w:fill="auto"/>
            <w:vAlign w:val="bottom"/>
          </w:tcPr>
          <w:p w14:paraId="7C208799" w14:textId="77777777" w:rsidR="00834A75" w:rsidRDefault="00834A75">
            <w:pPr>
              <w:rPr>
                <w:rFonts w:ascii="宋体"/>
                <w:vanish/>
              </w:rPr>
            </w:pPr>
          </w:p>
        </w:tc>
      </w:tr>
      <w:tr w:rsidR="00834A75" w14:paraId="7C20879F" w14:textId="77777777">
        <w:trPr>
          <w:hidden/>
        </w:trPr>
        <w:tc>
          <w:tcPr>
            <w:tcW w:w="0" w:type="auto"/>
            <w:gridSpan w:val="3"/>
            <w:shd w:val="clear" w:color="auto" w:fill="auto"/>
            <w:vAlign w:val="bottom"/>
          </w:tcPr>
          <w:p w14:paraId="7C20879B" w14:textId="77777777" w:rsidR="00834A75" w:rsidRDefault="00834A75">
            <w:pPr>
              <w:rPr>
                <w:rFonts w:ascii="宋体"/>
                <w:vanish/>
              </w:rPr>
            </w:pPr>
          </w:p>
        </w:tc>
        <w:tc>
          <w:tcPr>
            <w:tcW w:w="0" w:type="auto"/>
            <w:gridSpan w:val="3"/>
            <w:shd w:val="clear" w:color="auto" w:fill="auto"/>
            <w:vAlign w:val="bottom"/>
          </w:tcPr>
          <w:p w14:paraId="7C20879C" w14:textId="77777777" w:rsidR="00834A75" w:rsidRDefault="00834A75">
            <w:pPr>
              <w:rPr>
                <w:rFonts w:ascii="宋体"/>
                <w:vanish/>
              </w:rPr>
            </w:pPr>
          </w:p>
        </w:tc>
        <w:tc>
          <w:tcPr>
            <w:tcW w:w="0" w:type="auto"/>
            <w:gridSpan w:val="3"/>
            <w:shd w:val="clear" w:color="auto" w:fill="auto"/>
            <w:vAlign w:val="bottom"/>
          </w:tcPr>
          <w:p w14:paraId="7C20879D" w14:textId="77777777" w:rsidR="00834A75" w:rsidRDefault="00834A75">
            <w:pPr>
              <w:rPr>
                <w:rFonts w:ascii="宋体"/>
                <w:vanish/>
              </w:rPr>
            </w:pPr>
          </w:p>
        </w:tc>
        <w:tc>
          <w:tcPr>
            <w:tcW w:w="0" w:type="auto"/>
            <w:gridSpan w:val="3"/>
            <w:shd w:val="clear" w:color="auto" w:fill="auto"/>
            <w:vAlign w:val="bottom"/>
          </w:tcPr>
          <w:p w14:paraId="7C20879E" w14:textId="77777777" w:rsidR="00834A75" w:rsidRDefault="00834A75">
            <w:pPr>
              <w:rPr>
                <w:rFonts w:ascii="宋体"/>
                <w:vanish/>
              </w:rPr>
            </w:pPr>
          </w:p>
        </w:tc>
      </w:tr>
      <w:tr w:rsidR="00834A75" w14:paraId="7C2087A4" w14:textId="77777777">
        <w:trPr>
          <w:hidden/>
        </w:trPr>
        <w:tc>
          <w:tcPr>
            <w:tcW w:w="0" w:type="auto"/>
            <w:gridSpan w:val="3"/>
            <w:shd w:val="clear" w:color="auto" w:fill="auto"/>
            <w:vAlign w:val="bottom"/>
          </w:tcPr>
          <w:p w14:paraId="7C2087A0" w14:textId="77777777" w:rsidR="00834A75" w:rsidRDefault="00834A75">
            <w:pPr>
              <w:rPr>
                <w:rFonts w:ascii="宋体"/>
                <w:vanish/>
              </w:rPr>
            </w:pPr>
          </w:p>
        </w:tc>
        <w:tc>
          <w:tcPr>
            <w:tcW w:w="0" w:type="auto"/>
            <w:gridSpan w:val="3"/>
            <w:shd w:val="clear" w:color="auto" w:fill="auto"/>
            <w:vAlign w:val="bottom"/>
          </w:tcPr>
          <w:p w14:paraId="7C2087A1" w14:textId="77777777" w:rsidR="00834A75" w:rsidRDefault="00834A75">
            <w:pPr>
              <w:rPr>
                <w:rFonts w:ascii="宋体"/>
                <w:vanish/>
              </w:rPr>
            </w:pPr>
          </w:p>
        </w:tc>
        <w:tc>
          <w:tcPr>
            <w:tcW w:w="0" w:type="auto"/>
            <w:gridSpan w:val="3"/>
            <w:shd w:val="clear" w:color="auto" w:fill="auto"/>
            <w:vAlign w:val="bottom"/>
          </w:tcPr>
          <w:p w14:paraId="7C2087A2" w14:textId="77777777" w:rsidR="00834A75" w:rsidRDefault="00834A75">
            <w:pPr>
              <w:rPr>
                <w:rFonts w:ascii="宋体"/>
                <w:vanish/>
              </w:rPr>
            </w:pPr>
          </w:p>
        </w:tc>
        <w:tc>
          <w:tcPr>
            <w:tcW w:w="0" w:type="auto"/>
            <w:gridSpan w:val="3"/>
            <w:shd w:val="clear" w:color="auto" w:fill="auto"/>
            <w:vAlign w:val="bottom"/>
          </w:tcPr>
          <w:p w14:paraId="7C2087A3" w14:textId="77777777" w:rsidR="00834A75" w:rsidRDefault="00834A75">
            <w:pPr>
              <w:rPr>
                <w:rFonts w:ascii="宋体"/>
                <w:vanish/>
              </w:rPr>
            </w:pPr>
          </w:p>
        </w:tc>
      </w:tr>
      <w:tr w:rsidR="00834A75" w14:paraId="7C2087A9" w14:textId="77777777">
        <w:trPr>
          <w:hidden/>
        </w:trPr>
        <w:tc>
          <w:tcPr>
            <w:tcW w:w="0" w:type="auto"/>
            <w:gridSpan w:val="3"/>
            <w:shd w:val="clear" w:color="auto" w:fill="auto"/>
            <w:vAlign w:val="bottom"/>
          </w:tcPr>
          <w:p w14:paraId="7C2087A5" w14:textId="77777777" w:rsidR="00834A75" w:rsidRDefault="00834A75">
            <w:pPr>
              <w:rPr>
                <w:rFonts w:ascii="宋体"/>
                <w:vanish/>
              </w:rPr>
            </w:pPr>
          </w:p>
        </w:tc>
        <w:tc>
          <w:tcPr>
            <w:tcW w:w="0" w:type="auto"/>
            <w:gridSpan w:val="3"/>
            <w:shd w:val="clear" w:color="auto" w:fill="auto"/>
            <w:vAlign w:val="bottom"/>
          </w:tcPr>
          <w:p w14:paraId="7C2087A6" w14:textId="77777777" w:rsidR="00834A75" w:rsidRDefault="00834A75">
            <w:pPr>
              <w:rPr>
                <w:rFonts w:ascii="宋体"/>
                <w:vanish/>
              </w:rPr>
            </w:pPr>
          </w:p>
        </w:tc>
        <w:tc>
          <w:tcPr>
            <w:tcW w:w="0" w:type="auto"/>
            <w:gridSpan w:val="3"/>
            <w:shd w:val="clear" w:color="auto" w:fill="auto"/>
            <w:vAlign w:val="bottom"/>
          </w:tcPr>
          <w:p w14:paraId="7C2087A7" w14:textId="77777777" w:rsidR="00834A75" w:rsidRDefault="00834A75">
            <w:pPr>
              <w:rPr>
                <w:rFonts w:ascii="宋体"/>
                <w:vanish/>
              </w:rPr>
            </w:pPr>
          </w:p>
        </w:tc>
        <w:tc>
          <w:tcPr>
            <w:tcW w:w="0" w:type="auto"/>
            <w:gridSpan w:val="3"/>
            <w:shd w:val="clear" w:color="auto" w:fill="auto"/>
            <w:vAlign w:val="bottom"/>
          </w:tcPr>
          <w:p w14:paraId="7C2087A8" w14:textId="77777777" w:rsidR="00834A75" w:rsidRDefault="00834A75">
            <w:pPr>
              <w:rPr>
                <w:rFonts w:ascii="宋体"/>
                <w:vanish/>
              </w:rPr>
            </w:pPr>
          </w:p>
        </w:tc>
      </w:tr>
      <w:tr w:rsidR="00834A75" w14:paraId="7C2087AE" w14:textId="77777777">
        <w:trPr>
          <w:hidden/>
        </w:trPr>
        <w:tc>
          <w:tcPr>
            <w:tcW w:w="0" w:type="auto"/>
            <w:gridSpan w:val="3"/>
            <w:shd w:val="clear" w:color="auto" w:fill="auto"/>
            <w:vAlign w:val="bottom"/>
          </w:tcPr>
          <w:p w14:paraId="7C2087AA" w14:textId="77777777" w:rsidR="00834A75" w:rsidRDefault="00834A75">
            <w:pPr>
              <w:rPr>
                <w:rFonts w:ascii="宋体"/>
                <w:vanish/>
              </w:rPr>
            </w:pPr>
          </w:p>
        </w:tc>
        <w:tc>
          <w:tcPr>
            <w:tcW w:w="0" w:type="auto"/>
            <w:gridSpan w:val="3"/>
            <w:shd w:val="clear" w:color="auto" w:fill="auto"/>
            <w:vAlign w:val="bottom"/>
          </w:tcPr>
          <w:p w14:paraId="7C2087AB" w14:textId="77777777" w:rsidR="00834A75" w:rsidRDefault="00834A75">
            <w:pPr>
              <w:rPr>
                <w:rFonts w:ascii="宋体"/>
                <w:vanish/>
              </w:rPr>
            </w:pPr>
          </w:p>
        </w:tc>
        <w:tc>
          <w:tcPr>
            <w:tcW w:w="0" w:type="auto"/>
            <w:gridSpan w:val="3"/>
            <w:shd w:val="clear" w:color="auto" w:fill="auto"/>
            <w:vAlign w:val="bottom"/>
          </w:tcPr>
          <w:p w14:paraId="7C2087AC" w14:textId="77777777" w:rsidR="00834A75" w:rsidRDefault="00834A75">
            <w:pPr>
              <w:rPr>
                <w:rFonts w:ascii="宋体"/>
                <w:vanish/>
              </w:rPr>
            </w:pPr>
          </w:p>
        </w:tc>
        <w:tc>
          <w:tcPr>
            <w:tcW w:w="0" w:type="auto"/>
            <w:gridSpan w:val="3"/>
            <w:shd w:val="clear" w:color="auto" w:fill="auto"/>
            <w:vAlign w:val="bottom"/>
          </w:tcPr>
          <w:p w14:paraId="7C2087AD" w14:textId="77777777" w:rsidR="00834A75" w:rsidRDefault="00834A75">
            <w:pPr>
              <w:rPr>
                <w:rFonts w:ascii="宋体"/>
                <w:vanish/>
              </w:rPr>
            </w:pPr>
          </w:p>
        </w:tc>
      </w:tr>
      <w:tr w:rsidR="00834A75" w14:paraId="7C2087B3" w14:textId="77777777">
        <w:trPr>
          <w:hidden/>
        </w:trPr>
        <w:tc>
          <w:tcPr>
            <w:tcW w:w="0" w:type="auto"/>
            <w:gridSpan w:val="3"/>
            <w:shd w:val="clear" w:color="auto" w:fill="auto"/>
            <w:vAlign w:val="bottom"/>
          </w:tcPr>
          <w:p w14:paraId="7C2087AF" w14:textId="77777777" w:rsidR="00834A75" w:rsidRDefault="00834A75">
            <w:pPr>
              <w:rPr>
                <w:rFonts w:ascii="宋体"/>
                <w:vanish/>
              </w:rPr>
            </w:pPr>
          </w:p>
        </w:tc>
        <w:tc>
          <w:tcPr>
            <w:tcW w:w="0" w:type="auto"/>
            <w:gridSpan w:val="3"/>
            <w:shd w:val="clear" w:color="auto" w:fill="auto"/>
            <w:vAlign w:val="bottom"/>
          </w:tcPr>
          <w:p w14:paraId="7C2087B0" w14:textId="77777777" w:rsidR="00834A75" w:rsidRDefault="00834A75">
            <w:pPr>
              <w:rPr>
                <w:rFonts w:ascii="宋体"/>
                <w:vanish/>
              </w:rPr>
            </w:pPr>
          </w:p>
        </w:tc>
        <w:tc>
          <w:tcPr>
            <w:tcW w:w="0" w:type="auto"/>
            <w:gridSpan w:val="3"/>
            <w:shd w:val="clear" w:color="auto" w:fill="auto"/>
            <w:vAlign w:val="bottom"/>
          </w:tcPr>
          <w:p w14:paraId="7C2087B1" w14:textId="77777777" w:rsidR="00834A75" w:rsidRDefault="00834A75">
            <w:pPr>
              <w:rPr>
                <w:rFonts w:ascii="宋体"/>
                <w:vanish/>
              </w:rPr>
            </w:pPr>
          </w:p>
        </w:tc>
        <w:tc>
          <w:tcPr>
            <w:tcW w:w="0" w:type="auto"/>
            <w:gridSpan w:val="3"/>
            <w:shd w:val="clear" w:color="auto" w:fill="auto"/>
            <w:vAlign w:val="bottom"/>
          </w:tcPr>
          <w:p w14:paraId="7C2087B2" w14:textId="77777777" w:rsidR="00834A75" w:rsidRDefault="00834A75">
            <w:pPr>
              <w:rPr>
                <w:rFonts w:ascii="宋体"/>
                <w:vanish/>
              </w:rPr>
            </w:pPr>
          </w:p>
        </w:tc>
      </w:tr>
      <w:tr w:rsidR="00834A75" w14:paraId="7C2087BA" w14:textId="77777777">
        <w:tc>
          <w:tcPr>
            <w:tcW w:w="0" w:type="auto"/>
            <w:gridSpan w:val="3"/>
            <w:shd w:val="clear" w:color="auto" w:fill="E2EFD9"/>
            <w:tcMar>
              <w:top w:w="40" w:type="dxa"/>
              <w:left w:w="20" w:type="dxa"/>
              <w:bottom w:w="40" w:type="dxa"/>
              <w:right w:w="20" w:type="dxa"/>
            </w:tcMar>
            <w:vAlign w:val="bottom"/>
          </w:tcPr>
          <w:p w14:paraId="7C2087B4" w14:textId="77777777" w:rsidR="00834A75" w:rsidRDefault="00A6708C">
            <w:pPr>
              <w:textAlignment w:val="bottom"/>
            </w:pPr>
            <w:r>
              <w:rPr>
                <w:rFonts w:ascii="sans-serif" w:eastAsia="sans-serif" w:hAnsi="sans-serif" w:cs="sans-serif"/>
                <w:color w:val="000000"/>
                <w:sz w:val="20"/>
                <w:szCs w:val="20"/>
              </w:rPr>
              <w:t>Payables to brokers for unsettled investment trades</w:t>
            </w:r>
          </w:p>
        </w:tc>
        <w:tc>
          <w:tcPr>
            <w:tcW w:w="0" w:type="auto"/>
            <w:gridSpan w:val="2"/>
            <w:shd w:val="clear" w:color="auto" w:fill="E2EFD9"/>
            <w:tcMar>
              <w:top w:w="40" w:type="dxa"/>
              <w:left w:w="20" w:type="dxa"/>
              <w:bottom w:w="40" w:type="dxa"/>
              <w:right w:w="0" w:type="dxa"/>
            </w:tcMar>
            <w:vAlign w:val="bottom"/>
          </w:tcPr>
          <w:p w14:paraId="7C2087B5" w14:textId="77777777" w:rsidR="00834A75" w:rsidRDefault="00A6708C">
            <w:pPr>
              <w:jc w:val="right"/>
              <w:textAlignment w:val="bottom"/>
            </w:pPr>
            <w:r>
              <w:rPr>
                <w:rFonts w:ascii="sans-serif" w:eastAsia="sans-serif" w:hAnsi="sans-serif" w:cs="sans-serif"/>
                <w:color w:val="000000"/>
                <w:sz w:val="20"/>
                <w:szCs w:val="20"/>
              </w:rPr>
              <w:t>325 </w:t>
            </w:r>
          </w:p>
        </w:tc>
        <w:tc>
          <w:tcPr>
            <w:tcW w:w="0" w:type="auto"/>
            <w:shd w:val="clear" w:color="auto" w:fill="E2EFD9"/>
            <w:tcMar>
              <w:top w:w="40" w:type="dxa"/>
              <w:left w:w="0" w:type="dxa"/>
              <w:bottom w:w="40" w:type="dxa"/>
              <w:right w:w="20" w:type="dxa"/>
            </w:tcMar>
            <w:vAlign w:val="bottom"/>
          </w:tcPr>
          <w:p w14:paraId="7C2087B6" w14:textId="77777777" w:rsidR="00834A75" w:rsidRDefault="00834A75">
            <w:pPr>
              <w:jc w:val="right"/>
              <w:rPr>
                <w:rFonts w:ascii="宋体"/>
              </w:rPr>
            </w:pPr>
          </w:p>
        </w:tc>
        <w:tc>
          <w:tcPr>
            <w:tcW w:w="0" w:type="auto"/>
            <w:gridSpan w:val="3"/>
            <w:shd w:val="clear" w:color="auto" w:fill="E2EFD9"/>
            <w:tcMar>
              <w:top w:w="0" w:type="dxa"/>
              <w:left w:w="20" w:type="dxa"/>
              <w:bottom w:w="0" w:type="dxa"/>
              <w:right w:w="20" w:type="dxa"/>
            </w:tcMar>
            <w:vAlign w:val="bottom"/>
          </w:tcPr>
          <w:p w14:paraId="7C2087B7" w14:textId="77777777" w:rsidR="00834A75" w:rsidRDefault="00834A75">
            <w:pPr>
              <w:rPr>
                <w:rFonts w:ascii="宋体"/>
              </w:rPr>
            </w:pPr>
          </w:p>
        </w:tc>
        <w:tc>
          <w:tcPr>
            <w:tcW w:w="0" w:type="auto"/>
            <w:gridSpan w:val="2"/>
            <w:shd w:val="clear" w:color="auto" w:fill="E2EFD9"/>
            <w:tcMar>
              <w:top w:w="40" w:type="dxa"/>
              <w:left w:w="20" w:type="dxa"/>
              <w:bottom w:w="40" w:type="dxa"/>
              <w:right w:w="0" w:type="dxa"/>
            </w:tcMar>
            <w:vAlign w:val="bottom"/>
          </w:tcPr>
          <w:p w14:paraId="7C2087B8" w14:textId="77777777" w:rsidR="00834A75" w:rsidRDefault="00A6708C">
            <w:pPr>
              <w:jc w:val="right"/>
              <w:textAlignment w:val="bottom"/>
            </w:pPr>
            <w:r>
              <w:rPr>
                <w:rFonts w:ascii="sans-serif" w:eastAsia="sans-serif" w:hAnsi="sans-serif" w:cs="sans-serif"/>
                <w:color w:val="000000"/>
                <w:sz w:val="20"/>
                <w:szCs w:val="20"/>
              </w:rPr>
              <w:t>— </w:t>
            </w:r>
          </w:p>
        </w:tc>
        <w:tc>
          <w:tcPr>
            <w:tcW w:w="0" w:type="auto"/>
            <w:shd w:val="clear" w:color="auto" w:fill="E2EFD9"/>
            <w:tcMar>
              <w:top w:w="40" w:type="dxa"/>
              <w:left w:w="0" w:type="dxa"/>
              <w:bottom w:w="40" w:type="dxa"/>
              <w:right w:w="20" w:type="dxa"/>
            </w:tcMar>
            <w:vAlign w:val="bottom"/>
          </w:tcPr>
          <w:p w14:paraId="7C2087B9" w14:textId="77777777" w:rsidR="00834A75" w:rsidRDefault="00834A75">
            <w:pPr>
              <w:jc w:val="right"/>
              <w:rPr>
                <w:rFonts w:ascii="宋体"/>
              </w:rPr>
            </w:pPr>
          </w:p>
        </w:tc>
      </w:tr>
      <w:tr w:rsidR="00834A75" w14:paraId="7C2087C1" w14:textId="77777777">
        <w:tc>
          <w:tcPr>
            <w:tcW w:w="0" w:type="auto"/>
            <w:gridSpan w:val="3"/>
            <w:shd w:val="clear" w:color="auto" w:fill="FFFFFF"/>
            <w:tcMar>
              <w:top w:w="40" w:type="dxa"/>
              <w:left w:w="20" w:type="dxa"/>
              <w:bottom w:w="40" w:type="dxa"/>
              <w:right w:w="20" w:type="dxa"/>
            </w:tcMar>
            <w:vAlign w:val="bottom"/>
          </w:tcPr>
          <w:p w14:paraId="7C2087BB" w14:textId="77777777" w:rsidR="00834A75" w:rsidRDefault="00A6708C">
            <w:pPr>
              <w:textAlignment w:val="bottom"/>
            </w:pPr>
            <w:r>
              <w:rPr>
                <w:rFonts w:ascii="sans-serif" w:eastAsia="sans-serif" w:hAnsi="sans-serif" w:cs="sans-serif"/>
                <w:color w:val="000000"/>
                <w:sz w:val="20"/>
                <w:szCs w:val="20"/>
              </w:rPr>
              <w:t xml:space="preserve">Excess inventory purchase </w:t>
            </w:r>
            <w:r>
              <w:rPr>
                <w:rFonts w:ascii="sans-serif" w:eastAsia="sans-serif" w:hAnsi="sans-serif" w:cs="sans-serif"/>
                <w:color w:val="000000"/>
                <w:sz w:val="20"/>
                <w:szCs w:val="20"/>
              </w:rPr>
              <w:t>obligations</w:t>
            </w:r>
          </w:p>
        </w:tc>
        <w:tc>
          <w:tcPr>
            <w:tcW w:w="0" w:type="auto"/>
            <w:gridSpan w:val="2"/>
            <w:shd w:val="clear" w:color="auto" w:fill="FFFFFF"/>
            <w:tcMar>
              <w:top w:w="40" w:type="dxa"/>
              <w:left w:w="20" w:type="dxa"/>
              <w:bottom w:w="40" w:type="dxa"/>
              <w:right w:w="0" w:type="dxa"/>
            </w:tcMar>
            <w:vAlign w:val="bottom"/>
          </w:tcPr>
          <w:p w14:paraId="7C2087BC" w14:textId="77777777" w:rsidR="00834A75" w:rsidRDefault="00A6708C">
            <w:pPr>
              <w:jc w:val="right"/>
              <w:textAlignment w:val="bottom"/>
            </w:pPr>
            <w:r>
              <w:rPr>
                <w:rFonts w:ascii="sans-serif" w:eastAsia="sans-serif" w:hAnsi="sans-serif" w:cs="sans-serif"/>
                <w:color w:val="000000"/>
                <w:sz w:val="20"/>
                <w:szCs w:val="20"/>
              </w:rPr>
              <w:t>258 </w:t>
            </w:r>
          </w:p>
        </w:tc>
        <w:tc>
          <w:tcPr>
            <w:tcW w:w="0" w:type="auto"/>
            <w:shd w:val="clear" w:color="auto" w:fill="FFFFFF"/>
            <w:tcMar>
              <w:top w:w="40" w:type="dxa"/>
              <w:left w:w="0" w:type="dxa"/>
              <w:bottom w:w="40" w:type="dxa"/>
              <w:right w:w="20" w:type="dxa"/>
            </w:tcMar>
            <w:vAlign w:val="bottom"/>
          </w:tcPr>
          <w:p w14:paraId="7C2087BD" w14:textId="77777777" w:rsidR="00834A75" w:rsidRDefault="00834A75">
            <w:pPr>
              <w:jc w:val="right"/>
              <w:rPr>
                <w:rFonts w:ascii="宋体"/>
              </w:rPr>
            </w:pPr>
          </w:p>
        </w:tc>
        <w:tc>
          <w:tcPr>
            <w:tcW w:w="0" w:type="auto"/>
            <w:gridSpan w:val="3"/>
            <w:shd w:val="clear" w:color="auto" w:fill="FFFFFF"/>
            <w:tcMar>
              <w:top w:w="0" w:type="dxa"/>
              <w:left w:w="20" w:type="dxa"/>
              <w:bottom w:w="0" w:type="dxa"/>
              <w:right w:w="20" w:type="dxa"/>
            </w:tcMar>
            <w:vAlign w:val="bottom"/>
          </w:tcPr>
          <w:p w14:paraId="7C2087BE" w14:textId="77777777" w:rsidR="00834A75" w:rsidRDefault="00834A75">
            <w:pPr>
              <w:rPr>
                <w:rFonts w:ascii="宋体"/>
              </w:rPr>
            </w:pPr>
          </w:p>
        </w:tc>
        <w:tc>
          <w:tcPr>
            <w:tcW w:w="0" w:type="auto"/>
            <w:gridSpan w:val="2"/>
            <w:shd w:val="clear" w:color="auto" w:fill="FFFFFF"/>
            <w:tcMar>
              <w:top w:w="40" w:type="dxa"/>
              <w:left w:w="20" w:type="dxa"/>
              <w:bottom w:w="40" w:type="dxa"/>
              <w:right w:w="0" w:type="dxa"/>
            </w:tcMar>
            <w:vAlign w:val="bottom"/>
          </w:tcPr>
          <w:p w14:paraId="7C2087BF" w14:textId="77777777" w:rsidR="00834A75" w:rsidRDefault="00A6708C">
            <w:pPr>
              <w:jc w:val="right"/>
              <w:textAlignment w:val="bottom"/>
            </w:pPr>
            <w:r>
              <w:rPr>
                <w:rFonts w:ascii="sans-serif" w:eastAsia="sans-serif" w:hAnsi="sans-serif" w:cs="sans-serif"/>
                <w:color w:val="000000"/>
                <w:sz w:val="20"/>
                <w:szCs w:val="20"/>
              </w:rPr>
              <w:t>196 </w:t>
            </w:r>
          </w:p>
        </w:tc>
        <w:tc>
          <w:tcPr>
            <w:tcW w:w="0" w:type="auto"/>
            <w:shd w:val="clear" w:color="auto" w:fill="FFFFFF"/>
            <w:tcMar>
              <w:top w:w="40" w:type="dxa"/>
              <w:left w:w="0" w:type="dxa"/>
              <w:bottom w:w="40" w:type="dxa"/>
              <w:right w:w="20" w:type="dxa"/>
            </w:tcMar>
            <w:vAlign w:val="bottom"/>
          </w:tcPr>
          <w:p w14:paraId="7C2087C0" w14:textId="77777777" w:rsidR="00834A75" w:rsidRDefault="00834A75">
            <w:pPr>
              <w:jc w:val="right"/>
              <w:rPr>
                <w:rFonts w:ascii="宋体"/>
              </w:rPr>
            </w:pPr>
          </w:p>
        </w:tc>
      </w:tr>
      <w:tr w:rsidR="00834A75" w14:paraId="7C2087C6" w14:textId="77777777">
        <w:trPr>
          <w:hidden/>
        </w:trPr>
        <w:tc>
          <w:tcPr>
            <w:tcW w:w="0" w:type="auto"/>
            <w:gridSpan w:val="3"/>
            <w:shd w:val="clear" w:color="auto" w:fill="auto"/>
            <w:vAlign w:val="bottom"/>
          </w:tcPr>
          <w:p w14:paraId="7C2087C2" w14:textId="77777777" w:rsidR="00834A75" w:rsidRDefault="00834A75">
            <w:pPr>
              <w:rPr>
                <w:rFonts w:ascii="宋体"/>
                <w:vanish/>
              </w:rPr>
            </w:pPr>
          </w:p>
        </w:tc>
        <w:tc>
          <w:tcPr>
            <w:tcW w:w="0" w:type="auto"/>
            <w:gridSpan w:val="3"/>
            <w:shd w:val="clear" w:color="auto" w:fill="auto"/>
            <w:vAlign w:val="bottom"/>
          </w:tcPr>
          <w:p w14:paraId="7C2087C3" w14:textId="77777777" w:rsidR="00834A75" w:rsidRDefault="00834A75">
            <w:pPr>
              <w:rPr>
                <w:rFonts w:ascii="宋体"/>
                <w:vanish/>
              </w:rPr>
            </w:pPr>
          </w:p>
        </w:tc>
        <w:tc>
          <w:tcPr>
            <w:tcW w:w="0" w:type="auto"/>
            <w:gridSpan w:val="3"/>
            <w:shd w:val="clear" w:color="auto" w:fill="auto"/>
            <w:vAlign w:val="bottom"/>
          </w:tcPr>
          <w:p w14:paraId="7C2087C4" w14:textId="77777777" w:rsidR="00834A75" w:rsidRDefault="00834A75">
            <w:pPr>
              <w:rPr>
                <w:rFonts w:ascii="宋体"/>
                <w:vanish/>
              </w:rPr>
            </w:pPr>
          </w:p>
        </w:tc>
        <w:tc>
          <w:tcPr>
            <w:tcW w:w="0" w:type="auto"/>
            <w:gridSpan w:val="3"/>
            <w:shd w:val="clear" w:color="auto" w:fill="auto"/>
            <w:vAlign w:val="bottom"/>
          </w:tcPr>
          <w:p w14:paraId="7C2087C5" w14:textId="77777777" w:rsidR="00834A75" w:rsidRDefault="00834A75">
            <w:pPr>
              <w:rPr>
                <w:rFonts w:ascii="宋体"/>
                <w:vanish/>
              </w:rPr>
            </w:pPr>
          </w:p>
        </w:tc>
      </w:tr>
      <w:tr w:rsidR="00834A75" w14:paraId="7C2087CB" w14:textId="77777777">
        <w:trPr>
          <w:hidden/>
        </w:trPr>
        <w:tc>
          <w:tcPr>
            <w:tcW w:w="0" w:type="auto"/>
            <w:gridSpan w:val="3"/>
            <w:shd w:val="clear" w:color="auto" w:fill="auto"/>
            <w:vAlign w:val="bottom"/>
          </w:tcPr>
          <w:p w14:paraId="7C2087C7" w14:textId="77777777" w:rsidR="00834A75" w:rsidRDefault="00834A75">
            <w:pPr>
              <w:rPr>
                <w:rFonts w:ascii="宋体"/>
                <w:vanish/>
              </w:rPr>
            </w:pPr>
          </w:p>
        </w:tc>
        <w:tc>
          <w:tcPr>
            <w:tcW w:w="0" w:type="auto"/>
            <w:gridSpan w:val="3"/>
            <w:shd w:val="clear" w:color="auto" w:fill="auto"/>
            <w:vAlign w:val="bottom"/>
          </w:tcPr>
          <w:p w14:paraId="7C2087C8" w14:textId="77777777" w:rsidR="00834A75" w:rsidRDefault="00834A75">
            <w:pPr>
              <w:rPr>
                <w:rFonts w:ascii="宋体"/>
                <w:vanish/>
              </w:rPr>
            </w:pPr>
          </w:p>
        </w:tc>
        <w:tc>
          <w:tcPr>
            <w:tcW w:w="0" w:type="auto"/>
            <w:gridSpan w:val="3"/>
            <w:shd w:val="clear" w:color="auto" w:fill="auto"/>
            <w:vAlign w:val="bottom"/>
          </w:tcPr>
          <w:p w14:paraId="7C2087C9" w14:textId="77777777" w:rsidR="00834A75" w:rsidRDefault="00834A75">
            <w:pPr>
              <w:rPr>
                <w:rFonts w:ascii="宋体"/>
                <w:vanish/>
              </w:rPr>
            </w:pPr>
          </w:p>
        </w:tc>
        <w:tc>
          <w:tcPr>
            <w:tcW w:w="0" w:type="auto"/>
            <w:gridSpan w:val="3"/>
            <w:shd w:val="clear" w:color="auto" w:fill="auto"/>
            <w:vAlign w:val="bottom"/>
          </w:tcPr>
          <w:p w14:paraId="7C2087CA" w14:textId="77777777" w:rsidR="00834A75" w:rsidRDefault="00834A75">
            <w:pPr>
              <w:rPr>
                <w:rFonts w:ascii="宋体"/>
                <w:vanish/>
              </w:rPr>
            </w:pPr>
          </w:p>
        </w:tc>
      </w:tr>
      <w:tr w:rsidR="00834A75" w14:paraId="7C2087D0" w14:textId="77777777">
        <w:trPr>
          <w:hidden/>
        </w:trPr>
        <w:tc>
          <w:tcPr>
            <w:tcW w:w="0" w:type="auto"/>
            <w:gridSpan w:val="3"/>
            <w:shd w:val="clear" w:color="auto" w:fill="auto"/>
            <w:vAlign w:val="bottom"/>
          </w:tcPr>
          <w:p w14:paraId="7C2087CC" w14:textId="77777777" w:rsidR="00834A75" w:rsidRDefault="00834A75">
            <w:pPr>
              <w:rPr>
                <w:rFonts w:ascii="宋体"/>
                <w:vanish/>
              </w:rPr>
            </w:pPr>
          </w:p>
        </w:tc>
        <w:tc>
          <w:tcPr>
            <w:tcW w:w="0" w:type="auto"/>
            <w:gridSpan w:val="3"/>
            <w:shd w:val="clear" w:color="auto" w:fill="auto"/>
            <w:vAlign w:val="bottom"/>
          </w:tcPr>
          <w:p w14:paraId="7C2087CD" w14:textId="77777777" w:rsidR="00834A75" w:rsidRDefault="00834A75">
            <w:pPr>
              <w:rPr>
                <w:rFonts w:ascii="宋体"/>
                <w:vanish/>
              </w:rPr>
            </w:pPr>
          </w:p>
        </w:tc>
        <w:tc>
          <w:tcPr>
            <w:tcW w:w="0" w:type="auto"/>
            <w:gridSpan w:val="3"/>
            <w:shd w:val="clear" w:color="auto" w:fill="auto"/>
            <w:vAlign w:val="bottom"/>
          </w:tcPr>
          <w:p w14:paraId="7C2087CE" w14:textId="77777777" w:rsidR="00834A75" w:rsidRDefault="00834A75">
            <w:pPr>
              <w:rPr>
                <w:rFonts w:ascii="宋体"/>
                <w:vanish/>
              </w:rPr>
            </w:pPr>
          </w:p>
        </w:tc>
        <w:tc>
          <w:tcPr>
            <w:tcW w:w="0" w:type="auto"/>
            <w:gridSpan w:val="3"/>
            <w:shd w:val="clear" w:color="auto" w:fill="auto"/>
            <w:vAlign w:val="bottom"/>
          </w:tcPr>
          <w:p w14:paraId="7C2087CF" w14:textId="77777777" w:rsidR="00834A75" w:rsidRDefault="00834A75">
            <w:pPr>
              <w:rPr>
                <w:rFonts w:ascii="宋体"/>
                <w:vanish/>
              </w:rPr>
            </w:pPr>
          </w:p>
        </w:tc>
      </w:tr>
      <w:tr w:rsidR="00834A75" w14:paraId="7C2087D5" w14:textId="77777777">
        <w:trPr>
          <w:hidden/>
        </w:trPr>
        <w:tc>
          <w:tcPr>
            <w:tcW w:w="0" w:type="auto"/>
            <w:gridSpan w:val="3"/>
            <w:shd w:val="clear" w:color="auto" w:fill="auto"/>
            <w:vAlign w:val="bottom"/>
          </w:tcPr>
          <w:p w14:paraId="7C2087D1" w14:textId="77777777" w:rsidR="00834A75" w:rsidRDefault="00834A75">
            <w:pPr>
              <w:rPr>
                <w:rFonts w:ascii="宋体"/>
                <w:vanish/>
              </w:rPr>
            </w:pPr>
          </w:p>
        </w:tc>
        <w:tc>
          <w:tcPr>
            <w:tcW w:w="0" w:type="auto"/>
            <w:gridSpan w:val="3"/>
            <w:shd w:val="clear" w:color="auto" w:fill="auto"/>
            <w:vAlign w:val="bottom"/>
          </w:tcPr>
          <w:p w14:paraId="7C2087D2" w14:textId="77777777" w:rsidR="00834A75" w:rsidRDefault="00834A75">
            <w:pPr>
              <w:rPr>
                <w:rFonts w:ascii="宋体"/>
                <w:vanish/>
              </w:rPr>
            </w:pPr>
          </w:p>
        </w:tc>
        <w:tc>
          <w:tcPr>
            <w:tcW w:w="0" w:type="auto"/>
            <w:gridSpan w:val="3"/>
            <w:shd w:val="clear" w:color="auto" w:fill="auto"/>
            <w:vAlign w:val="bottom"/>
          </w:tcPr>
          <w:p w14:paraId="7C2087D3" w14:textId="77777777" w:rsidR="00834A75" w:rsidRDefault="00834A75">
            <w:pPr>
              <w:rPr>
                <w:rFonts w:ascii="宋体"/>
                <w:vanish/>
              </w:rPr>
            </w:pPr>
          </w:p>
        </w:tc>
        <w:tc>
          <w:tcPr>
            <w:tcW w:w="0" w:type="auto"/>
            <w:gridSpan w:val="3"/>
            <w:shd w:val="clear" w:color="auto" w:fill="auto"/>
            <w:vAlign w:val="bottom"/>
          </w:tcPr>
          <w:p w14:paraId="7C2087D4" w14:textId="77777777" w:rsidR="00834A75" w:rsidRDefault="00834A75">
            <w:pPr>
              <w:rPr>
                <w:rFonts w:ascii="宋体"/>
                <w:vanish/>
              </w:rPr>
            </w:pPr>
          </w:p>
        </w:tc>
      </w:tr>
      <w:tr w:rsidR="00834A75" w14:paraId="7C2087DC" w14:textId="77777777">
        <w:tc>
          <w:tcPr>
            <w:tcW w:w="0" w:type="auto"/>
            <w:gridSpan w:val="3"/>
            <w:shd w:val="clear" w:color="auto" w:fill="E2EFD9"/>
            <w:tcMar>
              <w:top w:w="40" w:type="dxa"/>
              <w:left w:w="20" w:type="dxa"/>
              <w:bottom w:w="40" w:type="dxa"/>
              <w:right w:w="20" w:type="dxa"/>
            </w:tcMar>
            <w:vAlign w:val="bottom"/>
          </w:tcPr>
          <w:p w14:paraId="7C2087D6" w14:textId="77777777" w:rsidR="00834A75" w:rsidRDefault="00A6708C">
            <w:pPr>
              <w:textAlignment w:val="bottom"/>
            </w:pPr>
            <w:r>
              <w:rPr>
                <w:rFonts w:ascii="sans-serif" w:eastAsia="sans-serif" w:hAnsi="sans-serif" w:cs="sans-serif"/>
                <w:color w:val="000000"/>
                <w:sz w:val="20"/>
                <w:szCs w:val="20"/>
              </w:rPr>
              <w:t>Other</w:t>
            </w:r>
          </w:p>
        </w:tc>
        <w:tc>
          <w:tcPr>
            <w:tcW w:w="0" w:type="auto"/>
            <w:gridSpan w:val="2"/>
            <w:shd w:val="clear" w:color="auto" w:fill="E2EFD9"/>
            <w:tcMar>
              <w:top w:w="40" w:type="dxa"/>
              <w:left w:w="20" w:type="dxa"/>
              <w:bottom w:w="40" w:type="dxa"/>
              <w:right w:w="0" w:type="dxa"/>
            </w:tcMar>
            <w:vAlign w:val="bottom"/>
          </w:tcPr>
          <w:p w14:paraId="7C2087D7" w14:textId="77777777" w:rsidR="00834A75" w:rsidRDefault="00A6708C">
            <w:pPr>
              <w:jc w:val="right"/>
              <w:textAlignment w:val="bottom"/>
            </w:pPr>
            <w:r>
              <w:rPr>
                <w:rFonts w:ascii="sans-serif" w:eastAsia="sans-serif" w:hAnsi="sans-serif" w:cs="sans-serif"/>
                <w:color w:val="000000"/>
                <w:sz w:val="20"/>
                <w:szCs w:val="20"/>
              </w:rPr>
              <w:t>495 </w:t>
            </w:r>
          </w:p>
        </w:tc>
        <w:tc>
          <w:tcPr>
            <w:tcW w:w="0" w:type="auto"/>
            <w:shd w:val="clear" w:color="auto" w:fill="E2EFD9"/>
            <w:tcMar>
              <w:top w:w="40" w:type="dxa"/>
              <w:left w:w="0" w:type="dxa"/>
              <w:bottom w:w="40" w:type="dxa"/>
              <w:right w:w="20" w:type="dxa"/>
            </w:tcMar>
            <w:vAlign w:val="bottom"/>
          </w:tcPr>
          <w:p w14:paraId="7C2087D8" w14:textId="77777777" w:rsidR="00834A75" w:rsidRDefault="00834A75">
            <w:pPr>
              <w:jc w:val="right"/>
              <w:rPr>
                <w:rFonts w:ascii="宋体"/>
              </w:rPr>
            </w:pPr>
          </w:p>
        </w:tc>
        <w:tc>
          <w:tcPr>
            <w:tcW w:w="0" w:type="auto"/>
            <w:gridSpan w:val="3"/>
            <w:shd w:val="clear" w:color="auto" w:fill="E2EFD9"/>
            <w:tcMar>
              <w:top w:w="0" w:type="dxa"/>
              <w:left w:w="20" w:type="dxa"/>
              <w:bottom w:w="0" w:type="dxa"/>
              <w:right w:w="20" w:type="dxa"/>
            </w:tcMar>
            <w:vAlign w:val="bottom"/>
          </w:tcPr>
          <w:p w14:paraId="7C2087D9" w14:textId="77777777" w:rsidR="00834A75" w:rsidRDefault="00834A75">
            <w:pPr>
              <w:rPr>
                <w:rFonts w:ascii="宋体"/>
              </w:rPr>
            </w:pPr>
          </w:p>
        </w:tc>
        <w:tc>
          <w:tcPr>
            <w:tcW w:w="0" w:type="auto"/>
            <w:gridSpan w:val="2"/>
            <w:shd w:val="clear" w:color="auto" w:fill="E2EFD9"/>
            <w:tcMar>
              <w:top w:w="40" w:type="dxa"/>
              <w:left w:w="20" w:type="dxa"/>
              <w:bottom w:w="40" w:type="dxa"/>
              <w:right w:w="0" w:type="dxa"/>
            </w:tcMar>
            <w:vAlign w:val="bottom"/>
          </w:tcPr>
          <w:p w14:paraId="7C2087DA" w14:textId="77777777" w:rsidR="00834A75" w:rsidRDefault="00A6708C">
            <w:pPr>
              <w:jc w:val="right"/>
              <w:textAlignment w:val="bottom"/>
            </w:pPr>
            <w:r>
              <w:rPr>
                <w:rFonts w:ascii="sans-serif" w:eastAsia="sans-serif" w:hAnsi="sans-serif" w:cs="sans-serif"/>
                <w:color w:val="000000"/>
                <w:sz w:val="20"/>
                <w:szCs w:val="20"/>
              </w:rPr>
              <w:t>515 </w:t>
            </w:r>
          </w:p>
        </w:tc>
        <w:tc>
          <w:tcPr>
            <w:tcW w:w="0" w:type="auto"/>
            <w:shd w:val="clear" w:color="auto" w:fill="E2EFD9"/>
            <w:tcMar>
              <w:top w:w="40" w:type="dxa"/>
              <w:left w:w="0" w:type="dxa"/>
              <w:bottom w:w="40" w:type="dxa"/>
              <w:right w:w="20" w:type="dxa"/>
            </w:tcMar>
            <w:vAlign w:val="bottom"/>
          </w:tcPr>
          <w:p w14:paraId="7C2087DB" w14:textId="77777777" w:rsidR="00834A75" w:rsidRDefault="00834A75">
            <w:pPr>
              <w:jc w:val="right"/>
              <w:rPr>
                <w:rFonts w:ascii="宋体"/>
              </w:rPr>
            </w:pPr>
          </w:p>
        </w:tc>
      </w:tr>
      <w:tr w:rsidR="00834A75" w14:paraId="7C2087E5" w14:textId="77777777">
        <w:tc>
          <w:tcPr>
            <w:tcW w:w="0" w:type="auto"/>
            <w:gridSpan w:val="3"/>
            <w:shd w:val="clear" w:color="auto" w:fill="FFFFFF"/>
            <w:tcMar>
              <w:top w:w="40" w:type="dxa"/>
              <w:left w:w="380" w:type="dxa"/>
              <w:bottom w:w="40" w:type="dxa"/>
              <w:right w:w="20" w:type="dxa"/>
            </w:tcMar>
            <w:vAlign w:val="bottom"/>
          </w:tcPr>
          <w:p w14:paraId="7C2087DD" w14:textId="77777777" w:rsidR="00834A75" w:rsidRDefault="00A6708C">
            <w:pPr>
              <w:textAlignment w:val="bottom"/>
            </w:pPr>
            <w:r>
              <w:rPr>
                <w:rFonts w:ascii="sans-serif" w:eastAsia="sans-serif" w:hAnsi="sans-serif" w:cs="sans-serif"/>
                <w:color w:val="000000"/>
                <w:sz w:val="20"/>
                <w:szCs w:val="20"/>
              </w:rPr>
              <w:t>Total accrued and other current liabilities</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C2087DE" w14:textId="77777777" w:rsidR="00834A75" w:rsidRDefault="00A6708C">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C2087DF" w14:textId="77777777" w:rsidR="00834A75" w:rsidRDefault="00A6708C">
            <w:pPr>
              <w:jc w:val="right"/>
              <w:textAlignment w:val="bottom"/>
            </w:pPr>
            <w:r>
              <w:rPr>
                <w:rFonts w:ascii="sans-serif" w:eastAsia="sans-serif" w:hAnsi="sans-serif" w:cs="sans-serif"/>
                <w:color w:val="000000"/>
                <w:sz w:val="20"/>
                <w:szCs w:val="20"/>
              </w:rPr>
              <w:t>3,563 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C2087E0" w14:textId="77777777" w:rsidR="00834A75" w:rsidRDefault="00834A75">
            <w:pPr>
              <w:jc w:val="right"/>
              <w:rPr>
                <w:rFonts w:ascii="宋体"/>
              </w:rPr>
            </w:pPr>
          </w:p>
        </w:tc>
        <w:tc>
          <w:tcPr>
            <w:tcW w:w="0" w:type="auto"/>
            <w:gridSpan w:val="3"/>
            <w:shd w:val="clear" w:color="auto" w:fill="FFFFFF"/>
            <w:tcMar>
              <w:top w:w="0" w:type="dxa"/>
              <w:left w:w="20" w:type="dxa"/>
              <w:bottom w:w="0" w:type="dxa"/>
              <w:right w:w="20" w:type="dxa"/>
            </w:tcMar>
            <w:vAlign w:val="bottom"/>
          </w:tcPr>
          <w:p w14:paraId="7C2087E1" w14:textId="77777777" w:rsidR="00834A75" w:rsidRDefault="00834A75">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C2087E2" w14:textId="77777777" w:rsidR="00834A75" w:rsidRDefault="00A6708C">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C2087E3" w14:textId="77777777" w:rsidR="00834A75" w:rsidRDefault="00A6708C">
            <w:pPr>
              <w:jc w:val="right"/>
              <w:textAlignment w:val="bottom"/>
            </w:pPr>
            <w:r>
              <w:rPr>
                <w:rFonts w:ascii="sans-serif" w:eastAsia="sans-serif" w:hAnsi="sans-serif" w:cs="sans-serif"/>
                <w:color w:val="000000"/>
                <w:sz w:val="20"/>
                <w:szCs w:val="20"/>
              </w:rPr>
              <w:t>2,552 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C2087E4" w14:textId="77777777" w:rsidR="00834A75" w:rsidRDefault="00834A75">
            <w:pPr>
              <w:jc w:val="right"/>
              <w:rPr>
                <w:rFonts w:ascii="宋体"/>
              </w:rPr>
            </w:pPr>
          </w:p>
        </w:tc>
      </w:tr>
    </w:tbl>
    <w:p w14:paraId="7C2087E6" w14:textId="77777777" w:rsidR="00834A75" w:rsidRDefault="00A6708C">
      <w:pPr>
        <w:spacing w:after="180"/>
        <w:ind w:hanging="360"/>
        <w:jc w:val="both"/>
      </w:pPr>
      <w:r>
        <w:rPr>
          <w:rFonts w:ascii="sans-serif" w:eastAsia="sans-serif" w:hAnsi="sans-serif" w:cs="sans-serif"/>
          <w:color w:val="000000"/>
          <w:sz w:val="16"/>
          <w:szCs w:val="16"/>
        </w:rPr>
        <w:t xml:space="preserve">(1)    Deferred revenue primarily includes customer advances and deferrals related to license and development </w:t>
      </w:r>
      <w:r>
        <w:rPr>
          <w:rFonts w:ascii="sans-serif" w:eastAsia="sans-serif" w:hAnsi="sans-serif" w:cs="sans-serif"/>
          <w:color w:val="000000"/>
          <w:sz w:val="16"/>
          <w:szCs w:val="16"/>
        </w:rPr>
        <w:t>arrangements, support for hardware and software, and cloud services.</w:t>
      </w:r>
    </w:p>
    <w:p w14:paraId="7C2087E7" w14:textId="77777777" w:rsidR="00834A75" w:rsidRDefault="00A6708C">
      <w:pPr>
        <w:spacing w:after="180"/>
        <w:jc w:val="center"/>
      </w:pPr>
      <w:r>
        <w:rPr>
          <w:rFonts w:ascii="sans-serif" w:eastAsia="sans-serif" w:hAnsi="sans-serif" w:cs="sans-serif"/>
          <w:color w:val="000000"/>
          <w:sz w:val="20"/>
          <w:szCs w:val="20"/>
        </w:rPr>
        <w:t>14</w:t>
      </w:r>
    </w:p>
    <w:p w14:paraId="7C2087E8" w14:textId="77777777" w:rsidR="00834A75" w:rsidRDefault="00A6708C">
      <w:r>
        <w:pict w14:anchorId="7C20935D">
          <v:rect id="_x0000_i1038" style="width:415.3pt;height:1.5pt" o:hralign="center" o:hrstd="t" o:hr="t" fillcolor="#a0a0a0" stroked="f"/>
        </w:pict>
      </w:r>
    </w:p>
    <w:p w14:paraId="7C2087E9" w14:textId="77777777" w:rsidR="00834A75" w:rsidRDefault="00A6708C">
      <w:pPr>
        <w:jc w:val="center"/>
      </w:pPr>
      <w:r>
        <w:rPr>
          <w:rFonts w:ascii="sans-serif" w:eastAsia="sans-serif" w:hAnsi="sans-serif" w:cs="sans-serif"/>
          <w:b/>
          <w:bCs/>
          <w:color w:val="000000"/>
          <w:sz w:val="20"/>
          <w:szCs w:val="20"/>
        </w:rPr>
        <w:t>NVIDIA CORPORATION AND SUBSIDIARIES</w:t>
      </w:r>
    </w:p>
    <w:p w14:paraId="7C2087EA" w14:textId="77777777" w:rsidR="00834A75" w:rsidRDefault="00A6708C">
      <w:pPr>
        <w:jc w:val="center"/>
      </w:pPr>
      <w:r>
        <w:rPr>
          <w:rFonts w:ascii="sans-serif" w:eastAsia="sans-serif" w:hAnsi="sans-serif" w:cs="sans-serif"/>
          <w:b/>
          <w:bCs/>
          <w:color w:val="000000"/>
          <w:sz w:val="20"/>
          <w:szCs w:val="20"/>
        </w:rPr>
        <w:t>NOTES TO CONDENSED CONSOLIDATED FINANCIAL STATEMENTS (Continued)</w:t>
      </w:r>
    </w:p>
    <w:p w14:paraId="7C2087EB" w14:textId="77777777" w:rsidR="00834A75" w:rsidRDefault="00A6708C">
      <w:pPr>
        <w:jc w:val="center"/>
      </w:pPr>
      <w:r>
        <w:rPr>
          <w:rFonts w:ascii="sans-serif" w:eastAsia="sans-serif" w:hAnsi="sans-serif" w:cs="sans-serif"/>
          <w:b/>
          <w:bCs/>
          <w:color w:val="000000"/>
          <w:sz w:val="20"/>
          <w:szCs w:val="20"/>
        </w:rPr>
        <w:t>(Unaudited)</w:t>
      </w:r>
    </w:p>
    <w:p w14:paraId="7C2087EC" w14:textId="77777777" w:rsidR="00834A75" w:rsidRDefault="00834A75">
      <w:pPr>
        <w:spacing w:after="180"/>
        <w:jc w:val="both"/>
      </w:pPr>
    </w:p>
    <w:p w14:paraId="7C2087ED" w14:textId="77777777" w:rsidR="00834A75" w:rsidRDefault="00834A75">
      <w:pPr>
        <w:spacing w:after="180"/>
        <w:jc w:val="both"/>
      </w:pPr>
    </w:p>
    <w:tbl>
      <w:tblPr>
        <w:tblW w:w="4993" w:type="pct"/>
        <w:tblCellMar>
          <w:top w:w="15" w:type="dxa"/>
          <w:left w:w="15" w:type="dxa"/>
          <w:bottom w:w="15" w:type="dxa"/>
          <w:right w:w="15" w:type="dxa"/>
        </w:tblCellMar>
        <w:tblLook w:val="04A0" w:firstRow="1" w:lastRow="0" w:firstColumn="1" w:lastColumn="0" w:noHBand="0" w:noVBand="1"/>
      </w:tblPr>
      <w:tblGrid>
        <w:gridCol w:w="40"/>
        <w:gridCol w:w="5910"/>
        <w:gridCol w:w="37"/>
        <w:gridCol w:w="122"/>
        <w:gridCol w:w="974"/>
        <w:gridCol w:w="36"/>
        <w:gridCol w:w="36"/>
        <w:gridCol w:w="36"/>
        <w:gridCol w:w="36"/>
        <w:gridCol w:w="123"/>
        <w:gridCol w:w="938"/>
        <w:gridCol w:w="36"/>
      </w:tblGrid>
      <w:tr w:rsidR="00834A75" w14:paraId="7C2087FA" w14:textId="77777777">
        <w:tc>
          <w:tcPr>
            <w:tcW w:w="50" w:type="pct"/>
            <w:shd w:val="clear" w:color="auto" w:fill="auto"/>
            <w:vAlign w:val="bottom"/>
          </w:tcPr>
          <w:p w14:paraId="7C2087EE" w14:textId="77777777" w:rsidR="00834A75" w:rsidRDefault="00834A75">
            <w:pPr>
              <w:rPr>
                <w:rFonts w:ascii="宋体"/>
              </w:rPr>
            </w:pPr>
          </w:p>
        </w:tc>
        <w:tc>
          <w:tcPr>
            <w:tcW w:w="3575" w:type="pct"/>
            <w:shd w:val="clear" w:color="auto" w:fill="auto"/>
            <w:vAlign w:val="bottom"/>
          </w:tcPr>
          <w:p w14:paraId="7C2087EF" w14:textId="77777777" w:rsidR="00834A75" w:rsidRDefault="00834A75">
            <w:pPr>
              <w:rPr>
                <w:rFonts w:ascii="宋体"/>
              </w:rPr>
            </w:pPr>
          </w:p>
        </w:tc>
        <w:tc>
          <w:tcPr>
            <w:tcW w:w="5" w:type="pct"/>
            <w:shd w:val="clear" w:color="auto" w:fill="auto"/>
            <w:vAlign w:val="bottom"/>
          </w:tcPr>
          <w:p w14:paraId="7C2087F0" w14:textId="77777777" w:rsidR="00834A75" w:rsidRDefault="00834A75">
            <w:pPr>
              <w:rPr>
                <w:rFonts w:ascii="宋体"/>
              </w:rPr>
            </w:pPr>
          </w:p>
        </w:tc>
        <w:tc>
          <w:tcPr>
            <w:tcW w:w="50" w:type="pct"/>
            <w:shd w:val="clear" w:color="auto" w:fill="auto"/>
            <w:vAlign w:val="bottom"/>
          </w:tcPr>
          <w:p w14:paraId="7C2087F1" w14:textId="77777777" w:rsidR="00834A75" w:rsidRDefault="00834A75">
            <w:pPr>
              <w:rPr>
                <w:rFonts w:ascii="宋体"/>
              </w:rPr>
            </w:pPr>
          </w:p>
        </w:tc>
        <w:tc>
          <w:tcPr>
            <w:tcW w:w="611" w:type="pct"/>
            <w:shd w:val="clear" w:color="auto" w:fill="auto"/>
            <w:vAlign w:val="bottom"/>
          </w:tcPr>
          <w:p w14:paraId="7C2087F2" w14:textId="77777777" w:rsidR="00834A75" w:rsidRDefault="00834A75">
            <w:pPr>
              <w:rPr>
                <w:rFonts w:ascii="宋体"/>
              </w:rPr>
            </w:pPr>
          </w:p>
        </w:tc>
        <w:tc>
          <w:tcPr>
            <w:tcW w:w="5" w:type="pct"/>
            <w:shd w:val="clear" w:color="auto" w:fill="auto"/>
            <w:vAlign w:val="bottom"/>
          </w:tcPr>
          <w:p w14:paraId="7C2087F3" w14:textId="77777777" w:rsidR="00834A75" w:rsidRDefault="00834A75">
            <w:pPr>
              <w:rPr>
                <w:rFonts w:ascii="宋体"/>
              </w:rPr>
            </w:pPr>
          </w:p>
        </w:tc>
        <w:tc>
          <w:tcPr>
            <w:tcW w:w="5" w:type="pct"/>
            <w:shd w:val="clear" w:color="auto" w:fill="auto"/>
            <w:vAlign w:val="bottom"/>
          </w:tcPr>
          <w:p w14:paraId="7C2087F4" w14:textId="77777777" w:rsidR="00834A75" w:rsidRDefault="00834A75">
            <w:pPr>
              <w:rPr>
                <w:rFonts w:ascii="宋体"/>
              </w:rPr>
            </w:pPr>
          </w:p>
        </w:tc>
        <w:tc>
          <w:tcPr>
            <w:tcW w:w="26" w:type="pct"/>
            <w:shd w:val="clear" w:color="auto" w:fill="auto"/>
            <w:vAlign w:val="bottom"/>
          </w:tcPr>
          <w:p w14:paraId="7C2087F5" w14:textId="77777777" w:rsidR="00834A75" w:rsidRDefault="00834A75">
            <w:pPr>
              <w:rPr>
                <w:rFonts w:ascii="宋体"/>
              </w:rPr>
            </w:pPr>
          </w:p>
        </w:tc>
        <w:tc>
          <w:tcPr>
            <w:tcW w:w="5" w:type="pct"/>
            <w:shd w:val="clear" w:color="auto" w:fill="auto"/>
            <w:vAlign w:val="bottom"/>
          </w:tcPr>
          <w:p w14:paraId="7C2087F6" w14:textId="77777777" w:rsidR="00834A75" w:rsidRDefault="00834A75">
            <w:pPr>
              <w:rPr>
                <w:rFonts w:ascii="宋体"/>
              </w:rPr>
            </w:pPr>
          </w:p>
        </w:tc>
        <w:tc>
          <w:tcPr>
            <w:tcW w:w="50" w:type="pct"/>
            <w:shd w:val="clear" w:color="auto" w:fill="auto"/>
            <w:vAlign w:val="bottom"/>
          </w:tcPr>
          <w:p w14:paraId="7C2087F7" w14:textId="77777777" w:rsidR="00834A75" w:rsidRDefault="00834A75">
            <w:pPr>
              <w:rPr>
                <w:rFonts w:ascii="宋体"/>
              </w:rPr>
            </w:pPr>
          </w:p>
        </w:tc>
        <w:tc>
          <w:tcPr>
            <w:tcW w:w="611" w:type="pct"/>
            <w:shd w:val="clear" w:color="auto" w:fill="auto"/>
            <w:vAlign w:val="bottom"/>
          </w:tcPr>
          <w:p w14:paraId="7C2087F8" w14:textId="77777777" w:rsidR="00834A75" w:rsidRDefault="00834A75">
            <w:pPr>
              <w:rPr>
                <w:rFonts w:ascii="宋体"/>
              </w:rPr>
            </w:pPr>
          </w:p>
        </w:tc>
        <w:tc>
          <w:tcPr>
            <w:tcW w:w="5" w:type="pct"/>
            <w:shd w:val="clear" w:color="auto" w:fill="auto"/>
            <w:vAlign w:val="bottom"/>
          </w:tcPr>
          <w:p w14:paraId="7C2087F9" w14:textId="77777777" w:rsidR="00834A75" w:rsidRDefault="00834A75">
            <w:pPr>
              <w:rPr>
                <w:rFonts w:ascii="宋体"/>
              </w:rPr>
            </w:pPr>
          </w:p>
        </w:tc>
      </w:tr>
      <w:tr w:rsidR="00834A75" w14:paraId="7C2087FF" w14:textId="77777777">
        <w:tc>
          <w:tcPr>
            <w:tcW w:w="0" w:type="auto"/>
            <w:gridSpan w:val="3"/>
            <w:shd w:val="clear" w:color="auto" w:fill="auto"/>
            <w:tcMar>
              <w:top w:w="0" w:type="dxa"/>
              <w:left w:w="20" w:type="dxa"/>
              <w:bottom w:w="0" w:type="dxa"/>
              <w:right w:w="20" w:type="dxa"/>
            </w:tcMar>
            <w:vAlign w:val="bottom"/>
          </w:tcPr>
          <w:p w14:paraId="7C2087FB" w14:textId="77777777" w:rsidR="00834A75" w:rsidRDefault="00834A75">
            <w:pPr>
              <w:rPr>
                <w:rFonts w:ascii="宋体"/>
              </w:rPr>
            </w:pPr>
          </w:p>
        </w:tc>
        <w:tc>
          <w:tcPr>
            <w:tcW w:w="0" w:type="auto"/>
            <w:gridSpan w:val="3"/>
            <w:shd w:val="clear" w:color="auto" w:fill="auto"/>
            <w:tcMar>
              <w:top w:w="40" w:type="dxa"/>
              <w:left w:w="20" w:type="dxa"/>
              <w:bottom w:w="40" w:type="dxa"/>
              <w:right w:w="20" w:type="dxa"/>
            </w:tcMar>
            <w:vAlign w:val="bottom"/>
          </w:tcPr>
          <w:p w14:paraId="7C2087FC" w14:textId="77777777" w:rsidR="00834A75" w:rsidRDefault="00A6708C">
            <w:pPr>
              <w:jc w:val="center"/>
              <w:textAlignment w:val="bottom"/>
            </w:pPr>
            <w:r>
              <w:rPr>
                <w:rFonts w:ascii="sans-serif" w:eastAsia="sans-serif" w:hAnsi="sans-serif" w:cs="sans-serif"/>
                <w:b/>
                <w:bCs/>
                <w:color w:val="000000"/>
                <w:sz w:val="20"/>
                <w:szCs w:val="20"/>
              </w:rPr>
              <w:t>May 1,</w:t>
            </w:r>
          </w:p>
        </w:tc>
        <w:tc>
          <w:tcPr>
            <w:tcW w:w="0" w:type="auto"/>
            <w:gridSpan w:val="3"/>
            <w:shd w:val="clear" w:color="auto" w:fill="auto"/>
            <w:tcMar>
              <w:top w:w="0" w:type="dxa"/>
              <w:left w:w="20" w:type="dxa"/>
              <w:bottom w:w="0" w:type="dxa"/>
              <w:right w:w="20" w:type="dxa"/>
            </w:tcMar>
            <w:vAlign w:val="bottom"/>
          </w:tcPr>
          <w:p w14:paraId="7C2087FD" w14:textId="77777777" w:rsidR="00834A75" w:rsidRDefault="00834A75">
            <w:pPr>
              <w:rPr>
                <w:rFonts w:ascii="宋体"/>
              </w:rPr>
            </w:pPr>
          </w:p>
        </w:tc>
        <w:tc>
          <w:tcPr>
            <w:tcW w:w="0" w:type="auto"/>
            <w:gridSpan w:val="3"/>
            <w:shd w:val="clear" w:color="auto" w:fill="auto"/>
            <w:tcMar>
              <w:top w:w="40" w:type="dxa"/>
              <w:left w:w="20" w:type="dxa"/>
              <w:bottom w:w="40" w:type="dxa"/>
              <w:right w:w="20" w:type="dxa"/>
            </w:tcMar>
            <w:vAlign w:val="bottom"/>
          </w:tcPr>
          <w:p w14:paraId="7C2087FE" w14:textId="77777777" w:rsidR="00834A75" w:rsidRDefault="00A6708C">
            <w:pPr>
              <w:jc w:val="center"/>
              <w:textAlignment w:val="bottom"/>
            </w:pPr>
            <w:r>
              <w:rPr>
                <w:rFonts w:ascii="sans-serif" w:eastAsia="sans-serif" w:hAnsi="sans-serif" w:cs="sans-serif"/>
                <w:b/>
                <w:bCs/>
                <w:color w:val="000000"/>
                <w:sz w:val="20"/>
                <w:szCs w:val="20"/>
              </w:rPr>
              <w:t>January 30,</w:t>
            </w:r>
          </w:p>
        </w:tc>
      </w:tr>
      <w:tr w:rsidR="00834A75" w14:paraId="7C208804" w14:textId="77777777">
        <w:tc>
          <w:tcPr>
            <w:tcW w:w="0" w:type="auto"/>
            <w:gridSpan w:val="3"/>
            <w:shd w:val="clear" w:color="auto" w:fill="auto"/>
            <w:tcMar>
              <w:top w:w="40" w:type="dxa"/>
              <w:left w:w="20" w:type="dxa"/>
              <w:bottom w:w="40" w:type="dxa"/>
              <w:right w:w="20" w:type="dxa"/>
            </w:tcMar>
            <w:vAlign w:val="bottom"/>
          </w:tcPr>
          <w:p w14:paraId="7C208800" w14:textId="77777777" w:rsidR="00834A75" w:rsidRDefault="00A6708C">
            <w:pPr>
              <w:textAlignment w:val="bottom"/>
            </w:pPr>
            <w:r>
              <w:rPr>
                <w:rFonts w:ascii="sans-serif" w:eastAsia="sans-serif" w:hAnsi="sans-serif" w:cs="sans-serif"/>
                <w:color w:val="000000"/>
                <w:sz w:val="20"/>
                <w:szCs w:val="20"/>
              </w:rPr>
              <w:t> </w:t>
            </w:r>
          </w:p>
        </w:tc>
        <w:tc>
          <w:tcPr>
            <w:tcW w:w="0" w:type="auto"/>
            <w:gridSpan w:val="3"/>
            <w:shd w:val="clear" w:color="auto" w:fill="auto"/>
            <w:tcMar>
              <w:top w:w="40" w:type="dxa"/>
              <w:left w:w="20" w:type="dxa"/>
              <w:bottom w:w="40" w:type="dxa"/>
              <w:right w:w="20" w:type="dxa"/>
            </w:tcMar>
            <w:vAlign w:val="bottom"/>
          </w:tcPr>
          <w:p w14:paraId="7C208801" w14:textId="77777777" w:rsidR="00834A75" w:rsidRDefault="00A6708C">
            <w:pPr>
              <w:jc w:val="center"/>
              <w:textAlignment w:val="bottom"/>
            </w:pPr>
            <w:r>
              <w:rPr>
                <w:rFonts w:ascii="sans-serif" w:eastAsia="sans-serif" w:hAnsi="sans-serif" w:cs="sans-serif"/>
                <w:b/>
                <w:bCs/>
                <w:color w:val="000000"/>
                <w:sz w:val="20"/>
                <w:szCs w:val="20"/>
              </w:rPr>
              <w:t>2022</w:t>
            </w:r>
          </w:p>
        </w:tc>
        <w:tc>
          <w:tcPr>
            <w:tcW w:w="0" w:type="auto"/>
            <w:gridSpan w:val="3"/>
            <w:shd w:val="clear" w:color="auto" w:fill="auto"/>
            <w:tcMar>
              <w:top w:w="0" w:type="dxa"/>
              <w:left w:w="20" w:type="dxa"/>
              <w:bottom w:w="0" w:type="dxa"/>
              <w:right w:w="20" w:type="dxa"/>
            </w:tcMar>
            <w:vAlign w:val="bottom"/>
          </w:tcPr>
          <w:p w14:paraId="7C208802" w14:textId="77777777" w:rsidR="00834A75" w:rsidRDefault="00834A75">
            <w:pPr>
              <w:rPr>
                <w:rFonts w:ascii="宋体"/>
              </w:rPr>
            </w:pPr>
          </w:p>
        </w:tc>
        <w:tc>
          <w:tcPr>
            <w:tcW w:w="0" w:type="auto"/>
            <w:gridSpan w:val="3"/>
            <w:shd w:val="clear" w:color="auto" w:fill="auto"/>
            <w:tcMar>
              <w:top w:w="40" w:type="dxa"/>
              <w:left w:w="20" w:type="dxa"/>
              <w:bottom w:w="40" w:type="dxa"/>
              <w:right w:w="20" w:type="dxa"/>
            </w:tcMar>
            <w:vAlign w:val="bottom"/>
          </w:tcPr>
          <w:p w14:paraId="7C208803" w14:textId="77777777" w:rsidR="00834A75" w:rsidRDefault="00A6708C">
            <w:pPr>
              <w:jc w:val="center"/>
              <w:textAlignment w:val="bottom"/>
            </w:pPr>
            <w:r>
              <w:rPr>
                <w:rFonts w:ascii="sans-serif" w:eastAsia="sans-serif" w:hAnsi="sans-serif" w:cs="sans-serif"/>
                <w:b/>
                <w:bCs/>
                <w:color w:val="000000"/>
                <w:sz w:val="20"/>
                <w:szCs w:val="20"/>
              </w:rPr>
              <w:t>2022</w:t>
            </w:r>
          </w:p>
        </w:tc>
      </w:tr>
      <w:tr w:rsidR="00834A75" w14:paraId="7C208809" w14:textId="77777777">
        <w:trPr>
          <w:trHeight w:val="60"/>
        </w:trPr>
        <w:tc>
          <w:tcPr>
            <w:tcW w:w="0" w:type="auto"/>
            <w:gridSpan w:val="3"/>
            <w:shd w:val="clear" w:color="auto" w:fill="auto"/>
            <w:tcMar>
              <w:top w:w="0" w:type="dxa"/>
              <w:left w:w="20" w:type="dxa"/>
              <w:bottom w:w="0" w:type="dxa"/>
              <w:right w:w="20" w:type="dxa"/>
            </w:tcMar>
            <w:vAlign w:val="bottom"/>
          </w:tcPr>
          <w:p w14:paraId="7C208805" w14:textId="77777777" w:rsidR="00834A75" w:rsidRDefault="00834A75">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C208806" w14:textId="77777777" w:rsidR="00834A75" w:rsidRDefault="00834A75">
            <w:pPr>
              <w:rPr>
                <w:rFonts w:ascii="宋体"/>
              </w:rPr>
            </w:pPr>
          </w:p>
        </w:tc>
        <w:tc>
          <w:tcPr>
            <w:tcW w:w="0" w:type="auto"/>
            <w:gridSpan w:val="3"/>
            <w:shd w:val="clear" w:color="auto" w:fill="auto"/>
            <w:tcMar>
              <w:top w:w="0" w:type="dxa"/>
              <w:left w:w="20" w:type="dxa"/>
              <w:bottom w:w="0" w:type="dxa"/>
              <w:right w:w="20" w:type="dxa"/>
            </w:tcMar>
            <w:vAlign w:val="bottom"/>
          </w:tcPr>
          <w:p w14:paraId="7C208807" w14:textId="77777777" w:rsidR="00834A75" w:rsidRDefault="00834A75">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C208808" w14:textId="77777777" w:rsidR="00834A75" w:rsidRDefault="00834A75">
            <w:pPr>
              <w:rPr>
                <w:rFonts w:ascii="宋体"/>
              </w:rPr>
            </w:pPr>
          </w:p>
        </w:tc>
      </w:tr>
      <w:tr w:rsidR="00834A75" w14:paraId="7C20880C" w14:textId="77777777">
        <w:tc>
          <w:tcPr>
            <w:tcW w:w="0" w:type="auto"/>
            <w:gridSpan w:val="3"/>
            <w:shd w:val="clear" w:color="auto" w:fill="auto"/>
            <w:tcMar>
              <w:top w:w="40" w:type="dxa"/>
              <w:left w:w="20" w:type="dxa"/>
              <w:bottom w:w="40" w:type="dxa"/>
              <w:right w:w="20" w:type="dxa"/>
            </w:tcMar>
            <w:vAlign w:val="bottom"/>
          </w:tcPr>
          <w:p w14:paraId="7C20880A" w14:textId="77777777" w:rsidR="00834A75" w:rsidRDefault="00A6708C">
            <w:pPr>
              <w:textAlignment w:val="bottom"/>
            </w:pPr>
            <w:r>
              <w:rPr>
                <w:rFonts w:ascii="sans-serif" w:eastAsia="sans-serif" w:hAnsi="sans-serif" w:cs="sans-serif"/>
                <w:b/>
                <w:bCs/>
                <w:color w:val="000000"/>
                <w:sz w:val="20"/>
                <w:szCs w:val="20"/>
              </w:rPr>
              <w:t xml:space="preserve">Other </w:t>
            </w:r>
            <w:r>
              <w:rPr>
                <w:rFonts w:ascii="sans-serif" w:eastAsia="sans-serif" w:hAnsi="sans-serif" w:cs="sans-serif"/>
                <w:b/>
                <w:bCs/>
                <w:color w:val="000000"/>
                <w:sz w:val="20"/>
                <w:szCs w:val="20"/>
              </w:rPr>
              <w:t>Long-Term Liabilities:</w:t>
            </w:r>
          </w:p>
        </w:tc>
        <w:tc>
          <w:tcPr>
            <w:tcW w:w="0" w:type="auto"/>
            <w:gridSpan w:val="9"/>
            <w:shd w:val="clear" w:color="auto" w:fill="auto"/>
            <w:tcMar>
              <w:top w:w="40" w:type="dxa"/>
              <w:left w:w="20" w:type="dxa"/>
              <w:bottom w:w="40" w:type="dxa"/>
              <w:right w:w="20" w:type="dxa"/>
            </w:tcMar>
            <w:vAlign w:val="bottom"/>
          </w:tcPr>
          <w:p w14:paraId="7C20880B" w14:textId="77777777" w:rsidR="00834A75" w:rsidRDefault="00A6708C">
            <w:pPr>
              <w:jc w:val="center"/>
              <w:textAlignment w:val="bottom"/>
            </w:pPr>
            <w:r>
              <w:rPr>
                <w:rFonts w:ascii="sans-serif" w:eastAsia="sans-serif" w:hAnsi="sans-serif" w:cs="sans-serif"/>
                <w:i/>
                <w:iCs/>
                <w:color w:val="000000"/>
                <w:sz w:val="20"/>
                <w:szCs w:val="20"/>
              </w:rPr>
              <w:t>(In millions)</w:t>
            </w:r>
          </w:p>
        </w:tc>
      </w:tr>
      <w:tr w:rsidR="00834A75" w14:paraId="7C208815" w14:textId="77777777">
        <w:tc>
          <w:tcPr>
            <w:tcW w:w="0" w:type="auto"/>
            <w:gridSpan w:val="3"/>
            <w:shd w:val="clear" w:color="auto" w:fill="E2EFD9"/>
            <w:tcMar>
              <w:top w:w="40" w:type="dxa"/>
              <w:left w:w="20" w:type="dxa"/>
              <w:bottom w:w="40" w:type="dxa"/>
              <w:right w:w="20" w:type="dxa"/>
            </w:tcMar>
            <w:vAlign w:val="bottom"/>
          </w:tcPr>
          <w:p w14:paraId="7C20880D" w14:textId="77777777" w:rsidR="00834A75" w:rsidRDefault="00A6708C">
            <w:pPr>
              <w:textAlignment w:val="bottom"/>
            </w:pPr>
            <w:r>
              <w:rPr>
                <w:rFonts w:ascii="sans-serif" w:eastAsia="sans-serif" w:hAnsi="sans-serif" w:cs="sans-serif"/>
                <w:color w:val="000000"/>
                <w:sz w:val="20"/>
                <w:szCs w:val="20"/>
              </w:rPr>
              <w:t>Income tax payable (1)</w:t>
            </w:r>
          </w:p>
        </w:tc>
        <w:tc>
          <w:tcPr>
            <w:tcW w:w="0" w:type="auto"/>
            <w:shd w:val="clear" w:color="auto" w:fill="E2EFD9"/>
            <w:tcMar>
              <w:top w:w="40" w:type="dxa"/>
              <w:left w:w="20" w:type="dxa"/>
              <w:bottom w:w="40" w:type="dxa"/>
              <w:right w:w="0" w:type="dxa"/>
            </w:tcMar>
            <w:vAlign w:val="bottom"/>
          </w:tcPr>
          <w:p w14:paraId="7C20880E" w14:textId="77777777" w:rsidR="00834A75" w:rsidRDefault="00A6708C">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7C20880F" w14:textId="77777777" w:rsidR="00834A75" w:rsidRDefault="00A6708C">
            <w:pPr>
              <w:jc w:val="right"/>
              <w:textAlignment w:val="bottom"/>
            </w:pPr>
            <w:r>
              <w:rPr>
                <w:rFonts w:ascii="sans-serif" w:eastAsia="sans-serif" w:hAnsi="sans-serif" w:cs="sans-serif"/>
                <w:color w:val="000000"/>
                <w:sz w:val="20"/>
                <w:szCs w:val="20"/>
              </w:rPr>
              <w:t>1,051 </w:t>
            </w:r>
          </w:p>
        </w:tc>
        <w:tc>
          <w:tcPr>
            <w:tcW w:w="0" w:type="auto"/>
            <w:shd w:val="clear" w:color="auto" w:fill="E2EFD9"/>
            <w:tcMar>
              <w:top w:w="40" w:type="dxa"/>
              <w:left w:w="0" w:type="dxa"/>
              <w:bottom w:w="40" w:type="dxa"/>
              <w:right w:w="20" w:type="dxa"/>
            </w:tcMar>
            <w:vAlign w:val="bottom"/>
          </w:tcPr>
          <w:p w14:paraId="7C208810" w14:textId="77777777" w:rsidR="00834A75" w:rsidRDefault="00834A75">
            <w:pPr>
              <w:jc w:val="right"/>
              <w:rPr>
                <w:rFonts w:ascii="宋体"/>
              </w:rPr>
            </w:pPr>
          </w:p>
        </w:tc>
        <w:tc>
          <w:tcPr>
            <w:tcW w:w="0" w:type="auto"/>
            <w:gridSpan w:val="3"/>
            <w:shd w:val="clear" w:color="auto" w:fill="E2EFD9"/>
            <w:tcMar>
              <w:top w:w="0" w:type="dxa"/>
              <w:left w:w="20" w:type="dxa"/>
              <w:bottom w:w="0" w:type="dxa"/>
              <w:right w:w="20" w:type="dxa"/>
            </w:tcMar>
            <w:vAlign w:val="bottom"/>
          </w:tcPr>
          <w:p w14:paraId="7C208811" w14:textId="77777777" w:rsidR="00834A75" w:rsidRDefault="00834A75">
            <w:pPr>
              <w:rPr>
                <w:rFonts w:ascii="宋体"/>
              </w:rPr>
            </w:pPr>
          </w:p>
        </w:tc>
        <w:tc>
          <w:tcPr>
            <w:tcW w:w="0" w:type="auto"/>
            <w:shd w:val="clear" w:color="auto" w:fill="E2EFD9"/>
            <w:tcMar>
              <w:top w:w="40" w:type="dxa"/>
              <w:left w:w="20" w:type="dxa"/>
              <w:bottom w:w="40" w:type="dxa"/>
              <w:right w:w="0" w:type="dxa"/>
            </w:tcMar>
            <w:vAlign w:val="bottom"/>
          </w:tcPr>
          <w:p w14:paraId="7C208812" w14:textId="77777777" w:rsidR="00834A75" w:rsidRDefault="00A6708C">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7C208813" w14:textId="77777777" w:rsidR="00834A75" w:rsidRDefault="00A6708C">
            <w:pPr>
              <w:jc w:val="right"/>
              <w:textAlignment w:val="bottom"/>
            </w:pPr>
            <w:r>
              <w:rPr>
                <w:rFonts w:ascii="sans-serif" w:eastAsia="sans-serif" w:hAnsi="sans-serif" w:cs="sans-serif"/>
                <w:color w:val="000000"/>
                <w:sz w:val="20"/>
                <w:szCs w:val="20"/>
              </w:rPr>
              <w:t>980 </w:t>
            </w:r>
          </w:p>
        </w:tc>
        <w:tc>
          <w:tcPr>
            <w:tcW w:w="0" w:type="auto"/>
            <w:shd w:val="clear" w:color="auto" w:fill="E2EFD9"/>
            <w:tcMar>
              <w:top w:w="40" w:type="dxa"/>
              <w:left w:w="0" w:type="dxa"/>
              <w:bottom w:w="40" w:type="dxa"/>
              <w:right w:w="20" w:type="dxa"/>
            </w:tcMar>
            <w:vAlign w:val="bottom"/>
          </w:tcPr>
          <w:p w14:paraId="7C208814" w14:textId="77777777" w:rsidR="00834A75" w:rsidRDefault="00834A75">
            <w:pPr>
              <w:jc w:val="right"/>
              <w:rPr>
                <w:rFonts w:ascii="宋体"/>
              </w:rPr>
            </w:pPr>
          </w:p>
        </w:tc>
      </w:tr>
      <w:tr w:rsidR="00834A75" w14:paraId="7C20881C" w14:textId="77777777">
        <w:tc>
          <w:tcPr>
            <w:tcW w:w="0" w:type="auto"/>
            <w:gridSpan w:val="3"/>
            <w:shd w:val="clear" w:color="auto" w:fill="FFFFFF"/>
            <w:tcMar>
              <w:top w:w="40" w:type="dxa"/>
              <w:left w:w="20" w:type="dxa"/>
              <w:bottom w:w="40" w:type="dxa"/>
              <w:right w:w="20" w:type="dxa"/>
            </w:tcMar>
            <w:vAlign w:val="bottom"/>
          </w:tcPr>
          <w:p w14:paraId="7C208816" w14:textId="77777777" w:rsidR="00834A75" w:rsidRDefault="00A6708C">
            <w:pPr>
              <w:textAlignment w:val="bottom"/>
            </w:pPr>
            <w:r>
              <w:rPr>
                <w:rFonts w:ascii="sans-serif" w:eastAsia="sans-serif" w:hAnsi="sans-serif" w:cs="sans-serif"/>
                <w:color w:val="000000"/>
                <w:sz w:val="20"/>
                <w:szCs w:val="20"/>
              </w:rPr>
              <w:t>Deferred income tax</w:t>
            </w:r>
          </w:p>
        </w:tc>
        <w:tc>
          <w:tcPr>
            <w:tcW w:w="0" w:type="auto"/>
            <w:gridSpan w:val="2"/>
            <w:shd w:val="clear" w:color="auto" w:fill="FFFFFF"/>
            <w:tcMar>
              <w:top w:w="40" w:type="dxa"/>
              <w:left w:w="20" w:type="dxa"/>
              <w:bottom w:w="40" w:type="dxa"/>
              <w:right w:w="0" w:type="dxa"/>
            </w:tcMar>
            <w:vAlign w:val="bottom"/>
          </w:tcPr>
          <w:p w14:paraId="7C208817" w14:textId="77777777" w:rsidR="00834A75" w:rsidRDefault="00A6708C">
            <w:pPr>
              <w:jc w:val="right"/>
              <w:textAlignment w:val="bottom"/>
            </w:pPr>
            <w:r>
              <w:rPr>
                <w:rFonts w:ascii="sans-serif" w:eastAsia="sans-serif" w:hAnsi="sans-serif" w:cs="sans-serif"/>
                <w:color w:val="000000"/>
                <w:sz w:val="20"/>
                <w:szCs w:val="20"/>
              </w:rPr>
              <w:t>257 </w:t>
            </w:r>
          </w:p>
        </w:tc>
        <w:tc>
          <w:tcPr>
            <w:tcW w:w="0" w:type="auto"/>
            <w:shd w:val="clear" w:color="auto" w:fill="FFFFFF"/>
            <w:tcMar>
              <w:top w:w="40" w:type="dxa"/>
              <w:left w:w="0" w:type="dxa"/>
              <w:bottom w:w="40" w:type="dxa"/>
              <w:right w:w="20" w:type="dxa"/>
            </w:tcMar>
            <w:vAlign w:val="bottom"/>
          </w:tcPr>
          <w:p w14:paraId="7C208818" w14:textId="77777777" w:rsidR="00834A75" w:rsidRDefault="00834A75">
            <w:pPr>
              <w:jc w:val="right"/>
              <w:rPr>
                <w:rFonts w:ascii="宋体"/>
              </w:rPr>
            </w:pPr>
          </w:p>
        </w:tc>
        <w:tc>
          <w:tcPr>
            <w:tcW w:w="0" w:type="auto"/>
            <w:gridSpan w:val="3"/>
            <w:shd w:val="clear" w:color="auto" w:fill="FFFFFF"/>
            <w:tcMar>
              <w:top w:w="0" w:type="dxa"/>
              <w:left w:w="20" w:type="dxa"/>
              <w:bottom w:w="0" w:type="dxa"/>
              <w:right w:w="20" w:type="dxa"/>
            </w:tcMar>
            <w:vAlign w:val="bottom"/>
          </w:tcPr>
          <w:p w14:paraId="7C208819" w14:textId="77777777" w:rsidR="00834A75" w:rsidRDefault="00834A75">
            <w:pPr>
              <w:rPr>
                <w:rFonts w:ascii="宋体"/>
              </w:rPr>
            </w:pPr>
          </w:p>
        </w:tc>
        <w:tc>
          <w:tcPr>
            <w:tcW w:w="0" w:type="auto"/>
            <w:gridSpan w:val="2"/>
            <w:shd w:val="clear" w:color="auto" w:fill="FFFFFF"/>
            <w:tcMar>
              <w:top w:w="40" w:type="dxa"/>
              <w:left w:w="20" w:type="dxa"/>
              <w:bottom w:w="40" w:type="dxa"/>
              <w:right w:w="0" w:type="dxa"/>
            </w:tcMar>
            <w:vAlign w:val="bottom"/>
          </w:tcPr>
          <w:p w14:paraId="7C20881A" w14:textId="77777777" w:rsidR="00834A75" w:rsidRDefault="00A6708C">
            <w:pPr>
              <w:jc w:val="right"/>
              <w:textAlignment w:val="bottom"/>
            </w:pPr>
            <w:r>
              <w:rPr>
                <w:rFonts w:ascii="sans-serif" w:eastAsia="sans-serif" w:hAnsi="sans-serif" w:cs="sans-serif"/>
                <w:color w:val="000000"/>
                <w:sz w:val="20"/>
                <w:szCs w:val="20"/>
              </w:rPr>
              <w:t>245 </w:t>
            </w:r>
          </w:p>
        </w:tc>
        <w:tc>
          <w:tcPr>
            <w:tcW w:w="0" w:type="auto"/>
            <w:shd w:val="clear" w:color="auto" w:fill="FFFFFF"/>
            <w:tcMar>
              <w:top w:w="40" w:type="dxa"/>
              <w:left w:w="0" w:type="dxa"/>
              <w:bottom w:w="40" w:type="dxa"/>
              <w:right w:w="20" w:type="dxa"/>
            </w:tcMar>
            <w:vAlign w:val="bottom"/>
          </w:tcPr>
          <w:p w14:paraId="7C20881B" w14:textId="77777777" w:rsidR="00834A75" w:rsidRDefault="00834A75">
            <w:pPr>
              <w:jc w:val="right"/>
              <w:rPr>
                <w:rFonts w:ascii="宋体"/>
              </w:rPr>
            </w:pPr>
          </w:p>
        </w:tc>
      </w:tr>
      <w:tr w:rsidR="00834A75" w14:paraId="7C208823" w14:textId="77777777">
        <w:tc>
          <w:tcPr>
            <w:tcW w:w="0" w:type="auto"/>
            <w:gridSpan w:val="3"/>
            <w:shd w:val="clear" w:color="auto" w:fill="E2EFD9"/>
            <w:tcMar>
              <w:top w:w="40" w:type="dxa"/>
              <w:left w:w="20" w:type="dxa"/>
              <w:bottom w:w="40" w:type="dxa"/>
              <w:right w:w="20" w:type="dxa"/>
            </w:tcMar>
            <w:vAlign w:val="bottom"/>
          </w:tcPr>
          <w:p w14:paraId="7C20881D" w14:textId="77777777" w:rsidR="00834A75" w:rsidRDefault="00A6708C">
            <w:pPr>
              <w:textAlignment w:val="bottom"/>
            </w:pPr>
            <w:r>
              <w:rPr>
                <w:rFonts w:ascii="sans-serif" w:eastAsia="sans-serif" w:hAnsi="sans-serif" w:cs="sans-serif"/>
                <w:color w:val="000000"/>
                <w:sz w:val="20"/>
                <w:szCs w:val="20"/>
              </w:rPr>
              <w:t>Deferred revenue (2)</w:t>
            </w:r>
          </w:p>
        </w:tc>
        <w:tc>
          <w:tcPr>
            <w:tcW w:w="0" w:type="auto"/>
            <w:gridSpan w:val="2"/>
            <w:shd w:val="clear" w:color="auto" w:fill="E2EFD9"/>
            <w:tcMar>
              <w:top w:w="40" w:type="dxa"/>
              <w:left w:w="20" w:type="dxa"/>
              <w:bottom w:w="40" w:type="dxa"/>
              <w:right w:w="0" w:type="dxa"/>
            </w:tcMar>
            <w:vAlign w:val="bottom"/>
          </w:tcPr>
          <w:p w14:paraId="7C20881E" w14:textId="77777777" w:rsidR="00834A75" w:rsidRDefault="00A6708C">
            <w:pPr>
              <w:jc w:val="right"/>
              <w:textAlignment w:val="bottom"/>
            </w:pPr>
            <w:r>
              <w:rPr>
                <w:rFonts w:ascii="sans-serif" w:eastAsia="sans-serif" w:hAnsi="sans-serif" w:cs="sans-serif"/>
                <w:color w:val="000000"/>
                <w:sz w:val="20"/>
                <w:szCs w:val="20"/>
              </w:rPr>
              <w:t>203 </w:t>
            </w:r>
          </w:p>
        </w:tc>
        <w:tc>
          <w:tcPr>
            <w:tcW w:w="0" w:type="auto"/>
            <w:shd w:val="clear" w:color="auto" w:fill="E2EFD9"/>
            <w:tcMar>
              <w:top w:w="40" w:type="dxa"/>
              <w:left w:w="0" w:type="dxa"/>
              <w:bottom w:w="40" w:type="dxa"/>
              <w:right w:w="20" w:type="dxa"/>
            </w:tcMar>
            <w:vAlign w:val="bottom"/>
          </w:tcPr>
          <w:p w14:paraId="7C20881F" w14:textId="77777777" w:rsidR="00834A75" w:rsidRDefault="00834A75">
            <w:pPr>
              <w:jc w:val="right"/>
              <w:rPr>
                <w:rFonts w:ascii="宋体"/>
              </w:rPr>
            </w:pPr>
          </w:p>
        </w:tc>
        <w:tc>
          <w:tcPr>
            <w:tcW w:w="0" w:type="auto"/>
            <w:gridSpan w:val="3"/>
            <w:shd w:val="clear" w:color="auto" w:fill="E2EFD9"/>
            <w:tcMar>
              <w:top w:w="0" w:type="dxa"/>
              <w:left w:w="20" w:type="dxa"/>
              <w:bottom w:w="0" w:type="dxa"/>
              <w:right w:w="20" w:type="dxa"/>
            </w:tcMar>
            <w:vAlign w:val="bottom"/>
          </w:tcPr>
          <w:p w14:paraId="7C208820" w14:textId="77777777" w:rsidR="00834A75" w:rsidRDefault="00834A75">
            <w:pPr>
              <w:rPr>
                <w:rFonts w:ascii="宋体"/>
              </w:rPr>
            </w:pPr>
          </w:p>
        </w:tc>
        <w:tc>
          <w:tcPr>
            <w:tcW w:w="0" w:type="auto"/>
            <w:gridSpan w:val="2"/>
            <w:shd w:val="clear" w:color="auto" w:fill="E2EFD9"/>
            <w:tcMar>
              <w:top w:w="40" w:type="dxa"/>
              <w:left w:w="20" w:type="dxa"/>
              <w:bottom w:w="40" w:type="dxa"/>
              <w:right w:w="0" w:type="dxa"/>
            </w:tcMar>
            <w:vAlign w:val="bottom"/>
          </w:tcPr>
          <w:p w14:paraId="7C208821" w14:textId="77777777" w:rsidR="00834A75" w:rsidRDefault="00A6708C">
            <w:pPr>
              <w:jc w:val="right"/>
              <w:textAlignment w:val="bottom"/>
            </w:pPr>
            <w:r>
              <w:rPr>
                <w:rFonts w:ascii="sans-serif" w:eastAsia="sans-serif" w:hAnsi="sans-serif" w:cs="sans-serif"/>
                <w:color w:val="000000"/>
                <w:sz w:val="20"/>
                <w:szCs w:val="20"/>
              </w:rPr>
              <w:t>202 </w:t>
            </w:r>
          </w:p>
        </w:tc>
        <w:tc>
          <w:tcPr>
            <w:tcW w:w="0" w:type="auto"/>
            <w:shd w:val="clear" w:color="auto" w:fill="E2EFD9"/>
            <w:tcMar>
              <w:top w:w="40" w:type="dxa"/>
              <w:left w:w="0" w:type="dxa"/>
              <w:bottom w:w="40" w:type="dxa"/>
              <w:right w:w="20" w:type="dxa"/>
            </w:tcMar>
            <w:vAlign w:val="bottom"/>
          </w:tcPr>
          <w:p w14:paraId="7C208822" w14:textId="77777777" w:rsidR="00834A75" w:rsidRDefault="00834A75">
            <w:pPr>
              <w:jc w:val="right"/>
              <w:rPr>
                <w:rFonts w:ascii="宋体"/>
              </w:rPr>
            </w:pPr>
          </w:p>
        </w:tc>
      </w:tr>
      <w:tr w:rsidR="00834A75" w14:paraId="7C208828" w14:textId="77777777">
        <w:trPr>
          <w:hidden/>
        </w:trPr>
        <w:tc>
          <w:tcPr>
            <w:tcW w:w="0" w:type="auto"/>
            <w:gridSpan w:val="3"/>
            <w:shd w:val="clear" w:color="auto" w:fill="auto"/>
            <w:vAlign w:val="bottom"/>
          </w:tcPr>
          <w:p w14:paraId="7C208824" w14:textId="77777777" w:rsidR="00834A75" w:rsidRDefault="00834A75">
            <w:pPr>
              <w:rPr>
                <w:rFonts w:ascii="宋体"/>
                <w:vanish/>
              </w:rPr>
            </w:pPr>
          </w:p>
        </w:tc>
        <w:tc>
          <w:tcPr>
            <w:tcW w:w="0" w:type="auto"/>
            <w:gridSpan w:val="3"/>
            <w:shd w:val="clear" w:color="auto" w:fill="auto"/>
            <w:vAlign w:val="bottom"/>
          </w:tcPr>
          <w:p w14:paraId="7C208825" w14:textId="77777777" w:rsidR="00834A75" w:rsidRDefault="00834A75">
            <w:pPr>
              <w:rPr>
                <w:rFonts w:ascii="宋体"/>
                <w:vanish/>
              </w:rPr>
            </w:pPr>
          </w:p>
        </w:tc>
        <w:tc>
          <w:tcPr>
            <w:tcW w:w="0" w:type="auto"/>
            <w:gridSpan w:val="3"/>
            <w:shd w:val="clear" w:color="auto" w:fill="auto"/>
            <w:vAlign w:val="bottom"/>
          </w:tcPr>
          <w:p w14:paraId="7C208826" w14:textId="77777777" w:rsidR="00834A75" w:rsidRDefault="00834A75">
            <w:pPr>
              <w:rPr>
                <w:rFonts w:ascii="宋体"/>
                <w:vanish/>
              </w:rPr>
            </w:pPr>
          </w:p>
        </w:tc>
        <w:tc>
          <w:tcPr>
            <w:tcW w:w="0" w:type="auto"/>
            <w:gridSpan w:val="3"/>
            <w:shd w:val="clear" w:color="auto" w:fill="auto"/>
            <w:vAlign w:val="bottom"/>
          </w:tcPr>
          <w:p w14:paraId="7C208827" w14:textId="77777777" w:rsidR="00834A75" w:rsidRDefault="00834A75">
            <w:pPr>
              <w:rPr>
                <w:rFonts w:ascii="宋体"/>
                <w:vanish/>
              </w:rPr>
            </w:pPr>
          </w:p>
        </w:tc>
      </w:tr>
      <w:tr w:rsidR="00834A75" w14:paraId="7C20882D" w14:textId="77777777">
        <w:trPr>
          <w:hidden/>
        </w:trPr>
        <w:tc>
          <w:tcPr>
            <w:tcW w:w="0" w:type="auto"/>
            <w:gridSpan w:val="3"/>
            <w:shd w:val="clear" w:color="auto" w:fill="auto"/>
            <w:vAlign w:val="bottom"/>
          </w:tcPr>
          <w:p w14:paraId="7C208829" w14:textId="77777777" w:rsidR="00834A75" w:rsidRDefault="00834A75">
            <w:pPr>
              <w:rPr>
                <w:rFonts w:ascii="宋体"/>
                <w:vanish/>
              </w:rPr>
            </w:pPr>
          </w:p>
        </w:tc>
        <w:tc>
          <w:tcPr>
            <w:tcW w:w="0" w:type="auto"/>
            <w:gridSpan w:val="3"/>
            <w:shd w:val="clear" w:color="auto" w:fill="auto"/>
            <w:vAlign w:val="bottom"/>
          </w:tcPr>
          <w:p w14:paraId="7C20882A" w14:textId="77777777" w:rsidR="00834A75" w:rsidRDefault="00834A75">
            <w:pPr>
              <w:rPr>
                <w:rFonts w:ascii="宋体"/>
                <w:vanish/>
              </w:rPr>
            </w:pPr>
          </w:p>
        </w:tc>
        <w:tc>
          <w:tcPr>
            <w:tcW w:w="0" w:type="auto"/>
            <w:gridSpan w:val="3"/>
            <w:shd w:val="clear" w:color="auto" w:fill="auto"/>
            <w:vAlign w:val="bottom"/>
          </w:tcPr>
          <w:p w14:paraId="7C20882B" w14:textId="77777777" w:rsidR="00834A75" w:rsidRDefault="00834A75">
            <w:pPr>
              <w:rPr>
                <w:rFonts w:ascii="宋体"/>
                <w:vanish/>
              </w:rPr>
            </w:pPr>
          </w:p>
        </w:tc>
        <w:tc>
          <w:tcPr>
            <w:tcW w:w="0" w:type="auto"/>
            <w:gridSpan w:val="3"/>
            <w:shd w:val="clear" w:color="auto" w:fill="auto"/>
            <w:vAlign w:val="bottom"/>
          </w:tcPr>
          <w:p w14:paraId="7C20882C" w14:textId="77777777" w:rsidR="00834A75" w:rsidRDefault="00834A75">
            <w:pPr>
              <w:rPr>
                <w:rFonts w:ascii="宋体"/>
                <w:vanish/>
              </w:rPr>
            </w:pPr>
          </w:p>
        </w:tc>
      </w:tr>
      <w:tr w:rsidR="00834A75" w14:paraId="7C208832" w14:textId="77777777">
        <w:trPr>
          <w:hidden/>
        </w:trPr>
        <w:tc>
          <w:tcPr>
            <w:tcW w:w="0" w:type="auto"/>
            <w:gridSpan w:val="3"/>
            <w:shd w:val="clear" w:color="auto" w:fill="auto"/>
            <w:vAlign w:val="bottom"/>
          </w:tcPr>
          <w:p w14:paraId="7C20882E" w14:textId="77777777" w:rsidR="00834A75" w:rsidRDefault="00834A75">
            <w:pPr>
              <w:rPr>
                <w:rFonts w:ascii="宋体"/>
                <w:vanish/>
              </w:rPr>
            </w:pPr>
          </w:p>
        </w:tc>
        <w:tc>
          <w:tcPr>
            <w:tcW w:w="0" w:type="auto"/>
            <w:gridSpan w:val="3"/>
            <w:shd w:val="clear" w:color="auto" w:fill="auto"/>
            <w:vAlign w:val="bottom"/>
          </w:tcPr>
          <w:p w14:paraId="7C20882F" w14:textId="77777777" w:rsidR="00834A75" w:rsidRDefault="00834A75">
            <w:pPr>
              <w:rPr>
                <w:rFonts w:ascii="宋体"/>
                <w:vanish/>
              </w:rPr>
            </w:pPr>
          </w:p>
        </w:tc>
        <w:tc>
          <w:tcPr>
            <w:tcW w:w="0" w:type="auto"/>
            <w:gridSpan w:val="3"/>
            <w:shd w:val="clear" w:color="auto" w:fill="auto"/>
            <w:vAlign w:val="bottom"/>
          </w:tcPr>
          <w:p w14:paraId="7C208830" w14:textId="77777777" w:rsidR="00834A75" w:rsidRDefault="00834A75">
            <w:pPr>
              <w:rPr>
                <w:rFonts w:ascii="宋体"/>
                <w:vanish/>
              </w:rPr>
            </w:pPr>
          </w:p>
        </w:tc>
        <w:tc>
          <w:tcPr>
            <w:tcW w:w="0" w:type="auto"/>
            <w:gridSpan w:val="3"/>
            <w:shd w:val="clear" w:color="auto" w:fill="auto"/>
            <w:vAlign w:val="bottom"/>
          </w:tcPr>
          <w:p w14:paraId="7C208831" w14:textId="77777777" w:rsidR="00834A75" w:rsidRDefault="00834A75">
            <w:pPr>
              <w:rPr>
                <w:rFonts w:ascii="宋体"/>
                <w:vanish/>
              </w:rPr>
            </w:pPr>
          </w:p>
        </w:tc>
      </w:tr>
      <w:tr w:rsidR="00834A75" w14:paraId="7C208839" w14:textId="77777777">
        <w:tc>
          <w:tcPr>
            <w:tcW w:w="0" w:type="auto"/>
            <w:gridSpan w:val="3"/>
            <w:shd w:val="clear" w:color="auto" w:fill="FFFFFF"/>
            <w:tcMar>
              <w:top w:w="40" w:type="dxa"/>
              <w:left w:w="20" w:type="dxa"/>
              <w:bottom w:w="40" w:type="dxa"/>
              <w:right w:w="20" w:type="dxa"/>
            </w:tcMar>
            <w:vAlign w:val="bottom"/>
          </w:tcPr>
          <w:p w14:paraId="7C208833" w14:textId="77777777" w:rsidR="00834A75" w:rsidRDefault="00A6708C">
            <w:pPr>
              <w:textAlignment w:val="bottom"/>
            </w:pPr>
            <w:r>
              <w:rPr>
                <w:rFonts w:ascii="sans-serif" w:eastAsia="sans-serif" w:hAnsi="sans-serif" w:cs="sans-serif"/>
                <w:color w:val="000000"/>
                <w:sz w:val="20"/>
                <w:szCs w:val="20"/>
              </w:rPr>
              <w:t>Other</w:t>
            </w:r>
          </w:p>
        </w:tc>
        <w:tc>
          <w:tcPr>
            <w:tcW w:w="0" w:type="auto"/>
            <w:gridSpan w:val="2"/>
            <w:shd w:val="clear" w:color="auto" w:fill="FFFFFF"/>
            <w:tcMar>
              <w:top w:w="40" w:type="dxa"/>
              <w:left w:w="20" w:type="dxa"/>
              <w:bottom w:w="40" w:type="dxa"/>
              <w:right w:w="0" w:type="dxa"/>
            </w:tcMar>
            <w:vAlign w:val="bottom"/>
          </w:tcPr>
          <w:p w14:paraId="7C208834" w14:textId="77777777" w:rsidR="00834A75" w:rsidRDefault="00A6708C">
            <w:pPr>
              <w:jc w:val="right"/>
              <w:textAlignment w:val="bottom"/>
            </w:pPr>
            <w:r>
              <w:rPr>
                <w:rFonts w:ascii="sans-serif" w:eastAsia="sans-serif" w:hAnsi="sans-serif" w:cs="sans-serif"/>
                <w:color w:val="000000"/>
                <w:sz w:val="20"/>
                <w:szCs w:val="20"/>
              </w:rPr>
              <w:t>120 </w:t>
            </w:r>
          </w:p>
        </w:tc>
        <w:tc>
          <w:tcPr>
            <w:tcW w:w="0" w:type="auto"/>
            <w:shd w:val="clear" w:color="auto" w:fill="FFFFFF"/>
            <w:tcMar>
              <w:top w:w="40" w:type="dxa"/>
              <w:left w:w="0" w:type="dxa"/>
              <w:bottom w:w="40" w:type="dxa"/>
              <w:right w:w="20" w:type="dxa"/>
            </w:tcMar>
            <w:vAlign w:val="bottom"/>
          </w:tcPr>
          <w:p w14:paraId="7C208835" w14:textId="77777777" w:rsidR="00834A75" w:rsidRDefault="00834A75">
            <w:pPr>
              <w:jc w:val="right"/>
              <w:rPr>
                <w:rFonts w:ascii="宋体"/>
              </w:rPr>
            </w:pPr>
          </w:p>
        </w:tc>
        <w:tc>
          <w:tcPr>
            <w:tcW w:w="0" w:type="auto"/>
            <w:gridSpan w:val="3"/>
            <w:shd w:val="clear" w:color="auto" w:fill="FFFFFF"/>
            <w:tcMar>
              <w:top w:w="0" w:type="dxa"/>
              <w:left w:w="20" w:type="dxa"/>
              <w:bottom w:w="0" w:type="dxa"/>
              <w:right w:w="20" w:type="dxa"/>
            </w:tcMar>
            <w:vAlign w:val="bottom"/>
          </w:tcPr>
          <w:p w14:paraId="7C208836" w14:textId="77777777" w:rsidR="00834A75" w:rsidRDefault="00834A75">
            <w:pPr>
              <w:rPr>
                <w:rFonts w:ascii="宋体"/>
              </w:rPr>
            </w:pPr>
          </w:p>
        </w:tc>
        <w:tc>
          <w:tcPr>
            <w:tcW w:w="0" w:type="auto"/>
            <w:gridSpan w:val="2"/>
            <w:shd w:val="clear" w:color="auto" w:fill="FFFFFF"/>
            <w:tcMar>
              <w:top w:w="40" w:type="dxa"/>
              <w:left w:w="20" w:type="dxa"/>
              <w:bottom w:w="40" w:type="dxa"/>
              <w:right w:w="0" w:type="dxa"/>
            </w:tcMar>
            <w:vAlign w:val="bottom"/>
          </w:tcPr>
          <w:p w14:paraId="7C208837" w14:textId="77777777" w:rsidR="00834A75" w:rsidRDefault="00A6708C">
            <w:pPr>
              <w:jc w:val="right"/>
              <w:textAlignment w:val="bottom"/>
            </w:pPr>
            <w:r>
              <w:rPr>
                <w:rFonts w:ascii="sans-serif" w:eastAsia="sans-serif" w:hAnsi="sans-serif" w:cs="sans-serif"/>
                <w:color w:val="000000"/>
                <w:sz w:val="20"/>
                <w:szCs w:val="20"/>
              </w:rPr>
              <w:t>126 </w:t>
            </w:r>
          </w:p>
        </w:tc>
        <w:tc>
          <w:tcPr>
            <w:tcW w:w="0" w:type="auto"/>
            <w:shd w:val="clear" w:color="auto" w:fill="FFFFFF"/>
            <w:tcMar>
              <w:top w:w="40" w:type="dxa"/>
              <w:left w:w="0" w:type="dxa"/>
              <w:bottom w:w="40" w:type="dxa"/>
              <w:right w:w="20" w:type="dxa"/>
            </w:tcMar>
            <w:vAlign w:val="bottom"/>
          </w:tcPr>
          <w:p w14:paraId="7C208838" w14:textId="77777777" w:rsidR="00834A75" w:rsidRDefault="00834A75">
            <w:pPr>
              <w:jc w:val="right"/>
              <w:rPr>
                <w:rFonts w:ascii="宋体"/>
              </w:rPr>
            </w:pPr>
          </w:p>
        </w:tc>
      </w:tr>
      <w:tr w:rsidR="00834A75" w14:paraId="7C208842" w14:textId="77777777">
        <w:tc>
          <w:tcPr>
            <w:tcW w:w="0" w:type="auto"/>
            <w:gridSpan w:val="3"/>
            <w:shd w:val="clear" w:color="auto" w:fill="E2EFD9"/>
            <w:tcMar>
              <w:top w:w="40" w:type="dxa"/>
              <w:left w:w="380" w:type="dxa"/>
              <w:bottom w:w="40" w:type="dxa"/>
              <w:right w:w="20" w:type="dxa"/>
            </w:tcMar>
            <w:vAlign w:val="bottom"/>
          </w:tcPr>
          <w:p w14:paraId="7C20883A" w14:textId="77777777" w:rsidR="00834A75" w:rsidRDefault="00A6708C">
            <w:pPr>
              <w:textAlignment w:val="bottom"/>
            </w:pPr>
            <w:r>
              <w:rPr>
                <w:rFonts w:ascii="sans-serif" w:eastAsia="sans-serif" w:hAnsi="sans-serif" w:cs="sans-serif"/>
                <w:color w:val="000000"/>
                <w:sz w:val="20"/>
                <w:szCs w:val="20"/>
              </w:rPr>
              <w:t>Total other long-term liabilities</w:t>
            </w:r>
          </w:p>
        </w:tc>
        <w:tc>
          <w:tcPr>
            <w:tcW w:w="0" w:type="auto"/>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7C20883B" w14:textId="77777777" w:rsidR="00834A75" w:rsidRDefault="00A6708C">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E2EFD9"/>
            <w:tcMar>
              <w:top w:w="40" w:type="dxa"/>
              <w:left w:w="0" w:type="dxa"/>
              <w:bottom w:w="40" w:type="dxa"/>
              <w:right w:w="0" w:type="dxa"/>
            </w:tcMar>
            <w:vAlign w:val="bottom"/>
          </w:tcPr>
          <w:p w14:paraId="7C20883C" w14:textId="77777777" w:rsidR="00834A75" w:rsidRDefault="00A6708C">
            <w:pPr>
              <w:jc w:val="right"/>
              <w:textAlignment w:val="bottom"/>
            </w:pPr>
            <w:r>
              <w:rPr>
                <w:rFonts w:ascii="sans-serif" w:eastAsia="sans-serif" w:hAnsi="sans-serif" w:cs="sans-serif"/>
                <w:color w:val="000000"/>
                <w:sz w:val="20"/>
                <w:szCs w:val="20"/>
              </w:rPr>
              <w:t>1,631 </w:t>
            </w:r>
          </w:p>
        </w:tc>
        <w:tc>
          <w:tcPr>
            <w:tcW w:w="0" w:type="auto"/>
            <w:tcBorders>
              <w:top w:val="single" w:sz="8" w:space="0" w:color="000000"/>
              <w:bottom w:val="double" w:sz="6" w:space="0" w:color="000000"/>
            </w:tcBorders>
            <w:shd w:val="clear" w:color="auto" w:fill="E2EFD9"/>
            <w:tcMar>
              <w:top w:w="40" w:type="dxa"/>
              <w:left w:w="0" w:type="dxa"/>
              <w:bottom w:w="40" w:type="dxa"/>
              <w:right w:w="20" w:type="dxa"/>
            </w:tcMar>
            <w:vAlign w:val="bottom"/>
          </w:tcPr>
          <w:p w14:paraId="7C20883D" w14:textId="77777777" w:rsidR="00834A75" w:rsidRDefault="00834A75">
            <w:pPr>
              <w:jc w:val="right"/>
              <w:rPr>
                <w:rFonts w:ascii="宋体"/>
              </w:rPr>
            </w:pPr>
          </w:p>
        </w:tc>
        <w:tc>
          <w:tcPr>
            <w:tcW w:w="0" w:type="auto"/>
            <w:gridSpan w:val="3"/>
            <w:shd w:val="clear" w:color="auto" w:fill="E2EFD9"/>
            <w:tcMar>
              <w:top w:w="0" w:type="dxa"/>
              <w:left w:w="20" w:type="dxa"/>
              <w:bottom w:w="0" w:type="dxa"/>
              <w:right w:w="20" w:type="dxa"/>
            </w:tcMar>
            <w:vAlign w:val="bottom"/>
          </w:tcPr>
          <w:p w14:paraId="7C20883E" w14:textId="77777777" w:rsidR="00834A75" w:rsidRDefault="00834A75">
            <w:pPr>
              <w:rPr>
                <w:rFonts w:ascii="宋体"/>
              </w:rPr>
            </w:pPr>
          </w:p>
        </w:tc>
        <w:tc>
          <w:tcPr>
            <w:tcW w:w="0" w:type="auto"/>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7C20883F" w14:textId="77777777" w:rsidR="00834A75" w:rsidRDefault="00A6708C">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E2EFD9"/>
            <w:tcMar>
              <w:top w:w="40" w:type="dxa"/>
              <w:left w:w="0" w:type="dxa"/>
              <w:bottom w:w="40" w:type="dxa"/>
              <w:right w:w="0" w:type="dxa"/>
            </w:tcMar>
            <w:vAlign w:val="bottom"/>
          </w:tcPr>
          <w:p w14:paraId="7C208840" w14:textId="77777777" w:rsidR="00834A75" w:rsidRDefault="00A6708C">
            <w:pPr>
              <w:jc w:val="right"/>
              <w:textAlignment w:val="bottom"/>
            </w:pPr>
            <w:r>
              <w:rPr>
                <w:rFonts w:ascii="sans-serif" w:eastAsia="sans-serif" w:hAnsi="sans-serif" w:cs="sans-serif"/>
                <w:color w:val="000000"/>
                <w:sz w:val="20"/>
                <w:szCs w:val="20"/>
              </w:rPr>
              <w:t>1,553 </w:t>
            </w:r>
          </w:p>
        </w:tc>
        <w:tc>
          <w:tcPr>
            <w:tcW w:w="0" w:type="auto"/>
            <w:tcBorders>
              <w:top w:val="single" w:sz="8" w:space="0" w:color="000000"/>
              <w:bottom w:val="double" w:sz="6" w:space="0" w:color="000000"/>
            </w:tcBorders>
            <w:shd w:val="clear" w:color="auto" w:fill="E2EFD9"/>
            <w:tcMar>
              <w:top w:w="40" w:type="dxa"/>
              <w:left w:w="0" w:type="dxa"/>
              <w:bottom w:w="40" w:type="dxa"/>
              <w:right w:w="20" w:type="dxa"/>
            </w:tcMar>
            <w:vAlign w:val="bottom"/>
          </w:tcPr>
          <w:p w14:paraId="7C208841" w14:textId="77777777" w:rsidR="00834A75" w:rsidRDefault="00834A75">
            <w:pPr>
              <w:jc w:val="right"/>
              <w:rPr>
                <w:rFonts w:ascii="宋体"/>
              </w:rPr>
            </w:pPr>
          </w:p>
        </w:tc>
      </w:tr>
    </w:tbl>
    <w:p w14:paraId="7C208843" w14:textId="77777777" w:rsidR="00834A75" w:rsidRDefault="00A6708C">
      <w:pPr>
        <w:ind w:hanging="360"/>
        <w:jc w:val="both"/>
      </w:pPr>
      <w:r>
        <w:rPr>
          <w:rFonts w:ascii="sans-serif" w:eastAsia="sans-serif" w:hAnsi="sans-serif" w:cs="sans-serif"/>
          <w:color w:val="000000"/>
          <w:sz w:val="16"/>
          <w:szCs w:val="16"/>
        </w:rPr>
        <w:t>(1)    As of May 1, 2022, income tax payable represents the long-term portion of the one-time transition tax payable of $251 million, unrecognized tax benefits of $733 million, and related interest and penalties of $67 million. As of January 30, 2022, inco</w:t>
      </w:r>
      <w:r>
        <w:rPr>
          <w:rFonts w:ascii="sans-serif" w:eastAsia="sans-serif" w:hAnsi="sans-serif" w:cs="sans-serif"/>
          <w:color w:val="000000"/>
          <w:sz w:val="16"/>
          <w:szCs w:val="16"/>
        </w:rPr>
        <w:t>me tax payable represents the long-term portion of the one-time transition tax payable of $251 million, unrecognized tax benefits of $670 million, and related interest and penalties of $59 million.</w:t>
      </w:r>
    </w:p>
    <w:p w14:paraId="7C208844" w14:textId="77777777" w:rsidR="00834A75" w:rsidRDefault="00A6708C">
      <w:pPr>
        <w:spacing w:after="60"/>
        <w:ind w:hanging="360"/>
        <w:jc w:val="both"/>
      </w:pPr>
      <w:r>
        <w:rPr>
          <w:rFonts w:ascii="sans-serif" w:eastAsia="sans-serif" w:hAnsi="sans-serif" w:cs="sans-serif"/>
          <w:color w:val="000000"/>
          <w:sz w:val="16"/>
          <w:szCs w:val="16"/>
        </w:rPr>
        <w:t xml:space="preserve">(2)    Deferred revenue primarily includes </w:t>
      </w:r>
      <w:r>
        <w:rPr>
          <w:rFonts w:ascii="sans-serif" w:eastAsia="sans-serif" w:hAnsi="sans-serif" w:cs="sans-serif"/>
          <w:color w:val="000000"/>
          <w:sz w:val="16"/>
          <w:szCs w:val="16"/>
        </w:rPr>
        <w:t>deferrals related to support for hardware and software.</w:t>
      </w:r>
    </w:p>
    <w:p w14:paraId="7C208845" w14:textId="77777777" w:rsidR="00834A75" w:rsidRDefault="00A6708C">
      <w:pPr>
        <w:spacing w:before="240" w:after="60"/>
        <w:jc w:val="both"/>
      </w:pPr>
      <w:r>
        <w:rPr>
          <w:rFonts w:ascii="sans-serif" w:eastAsia="sans-serif" w:hAnsi="sans-serif" w:cs="sans-serif"/>
          <w:b/>
          <w:bCs/>
          <w:color w:val="76B900"/>
          <w:sz w:val="20"/>
          <w:szCs w:val="20"/>
        </w:rPr>
        <w:t xml:space="preserve">Deferred Revenue </w:t>
      </w:r>
    </w:p>
    <w:p w14:paraId="7C208846" w14:textId="77777777" w:rsidR="00834A75" w:rsidRDefault="00A6708C">
      <w:pPr>
        <w:spacing w:after="180"/>
      </w:pPr>
      <w:r>
        <w:rPr>
          <w:rFonts w:ascii="sans-serif" w:eastAsia="sans-serif" w:hAnsi="sans-serif" w:cs="sans-serif"/>
          <w:color w:val="000000"/>
          <w:sz w:val="20"/>
          <w:szCs w:val="20"/>
        </w:rPr>
        <w:t>The following table shows the changes in deferred revenue during the first quarter of fiscal years 2023 and 2022:</w:t>
      </w:r>
    </w:p>
    <w:tbl>
      <w:tblPr>
        <w:tblW w:w="4993" w:type="pct"/>
        <w:tblCellMar>
          <w:top w:w="15" w:type="dxa"/>
          <w:left w:w="15" w:type="dxa"/>
          <w:bottom w:w="15" w:type="dxa"/>
          <w:right w:w="15" w:type="dxa"/>
        </w:tblCellMar>
        <w:tblLook w:val="04A0" w:firstRow="1" w:lastRow="0" w:firstColumn="1" w:lastColumn="0" w:noHBand="0" w:noVBand="1"/>
      </w:tblPr>
      <w:tblGrid>
        <w:gridCol w:w="40"/>
        <w:gridCol w:w="5910"/>
        <w:gridCol w:w="37"/>
        <w:gridCol w:w="122"/>
        <w:gridCol w:w="974"/>
        <w:gridCol w:w="36"/>
        <w:gridCol w:w="36"/>
        <w:gridCol w:w="36"/>
        <w:gridCol w:w="36"/>
        <w:gridCol w:w="122"/>
        <w:gridCol w:w="939"/>
        <w:gridCol w:w="36"/>
      </w:tblGrid>
      <w:tr w:rsidR="00834A75" w14:paraId="7C208853" w14:textId="77777777">
        <w:tc>
          <w:tcPr>
            <w:tcW w:w="50" w:type="pct"/>
            <w:shd w:val="clear" w:color="auto" w:fill="auto"/>
            <w:vAlign w:val="bottom"/>
          </w:tcPr>
          <w:p w14:paraId="7C208847" w14:textId="77777777" w:rsidR="00834A75" w:rsidRDefault="00834A75">
            <w:pPr>
              <w:rPr>
                <w:rFonts w:ascii="宋体"/>
              </w:rPr>
            </w:pPr>
          </w:p>
        </w:tc>
        <w:tc>
          <w:tcPr>
            <w:tcW w:w="3575" w:type="pct"/>
            <w:shd w:val="clear" w:color="auto" w:fill="auto"/>
            <w:vAlign w:val="bottom"/>
          </w:tcPr>
          <w:p w14:paraId="7C208848" w14:textId="77777777" w:rsidR="00834A75" w:rsidRDefault="00834A75">
            <w:pPr>
              <w:rPr>
                <w:rFonts w:ascii="宋体"/>
              </w:rPr>
            </w:pPr>
          </w:p>
        </w:tc>
        <w:tc>
          <w:tcPr>
            <w:tcW w:w="5" w:type="pct"/>
            <w:shd w:val="clear" w:color="auto" w:fill="auto"/>
            <w:vAlign w:val="bottom"/>
          </w:tcPr>
          <w:p w14:paraId="7C208849" w14:textId="77777777" w:rsidR="00834A75" w:rsidRDefault="00834A75">
            <w:pPr>
              <w:rPr>
                <w:rFonts w:ascii="宋体"/>
              </w:rPr>
            </w:pPr>
          </w:p>
        </w:tc>
        <w:tc>
          <w:tcPr>
            <w:tcW w:w="50" w:type="pct"/>
            <w:shd w:val="clear" w:color="auto" w:fill="auto"/>
            <w:vAlign w:val="bottom"/>
          </w:tcPr>
          <w:p w14:paraId="7C20884A" w14:textId="77777777" w:rsidR="00834A75" w:rsidRDefault="00834A75">
            <w:pPr>
              <w:rPr>
                <w:rFonts w:ascii="宋体"/>
              </w:rPr>
            </w:pPr>
          </w:p>
        </w:tc>
        <w:tc>
          <w:tcPr>
            <w:tcW w:w="611" w:type="pct"/>
            <w:shd w:val="clear" w:color="auto" w:fill="auto"/>
            <w:vAlign w:val="bottom"/>
          </w:tcPr>
          <w:p w14:paraId="7C20884B" w14:textId="77777777" w:rsidR="00834A75" w:rsidRDefault="00834A75">
            <w:pPr>
              <w:rPr>
                <w:rFonts w:ascii="宋体"/>
              </w:rPr>
            </w:pPr>
          </w:p>
        </w:tc>
        <w:tc>
          <w:tcPr>
            <w:tcW w:w="5" w:type="pct"/>
            <w:shd w:val="clear" w:color="auto" w:fill="auto"/>
            <w:vAlign w:val="bottom"/>
          </w:tcPr>
          <w:p w14:paraId="7C20884C" w14:textId="77777777" w:rsidR="00834A75" w:rsidRDefault="00834A75">
            <w:pPr>
              <w:rPr>
                <w:rFonts w:ascii="宋体"/>
              </w:rPr>
            </w:pPr>
          </w:p>
        </w:tc>
        <w:tc>
          <w:tcPr>
            <w:tcW w:w="5" w:type="pct"/>
            <w:shd w:val="clear" w:color="auto" w:fill="auto"/>
            <w:vAlign w:val="bottom"/>
          </w:tcPr>
          <w:p w14:paraId="7C20884D" w14:textId="77777777" w:rsidR="00834A75" w:rsidRDefault="00834A75">
            <w:pPr>
              <w:rPr>
                <w:rFonts w:ascii="宋体"/>
              </w:rPr>
            </w:pPr>
          </w:p>
        </w:tc>
        <w:tc>
          <w:tcPr>
            <w:tcW w:w="26" w:type="pct"/>
            <w:shd w:val="clear" w:color="auto" w:fill="auto"/>
            <w:vAlign w:val="bottom"/>
          </w:tcPr>
          <w:p w14:paraId="7C20884E" w14:textId="77777777" w:rsidR="00834A75" w:rsidRDefault="00834A75">
            <w:pPr>
              <w:rPr>
                <w:rFonts w:ascii="宋体"/>
              </w:rPr>
            </w:pPr>
          </w:p>
        </w:tc>
        <w:tc>
          <w:tcPr>
            <w:tcW w:w="5" w:type="pct"/>
            <w:shd w:val="clear" w:color="auto" w:fill="auto"/>
            <w:vAlign w:val="bottom"/>
          </w:tcPr>
          <w:p w14:paraId="7C20884F" w14:textId="77777777" w:rsidR="00834A75" w:rsidRDefault="00834A75">
            <w:pPr>
              <w:rPr>
                <w:rFonts w:ascii="宋体"/>
              </w:rPr>
            </w:pPr>
          </w:p>
        </w:tc>
        <w:tc>
          <w:tcPr>
            <w:tcW w:w="50" w:type="pct"/>
            <w:shd w:val="clear" w:color="auto" w:fill="auto"/>
            <w:vAlign w:val="bottom"/>
          </w:tcPr>
          <w:p w14:paraId="7C208850" w14:textId="77777777" w:rsidR="00834A75" w:rsidRDefault="00834A75">
            <w:pPr>
              <w:rPr>
                <w:rFonts w:ascii="宋体"/>
              </w:rPr>
            </w:pPr>
          </w:p>
        </w:tc>
        <w:tc>
          <w:tcPr>
            <w:tcW w:w="611" w:type="pct"/>
            <w:shd w:val="clear" w:color="auto" w:fill="auto"/>
            <w:vAlign w:val="bottom"/>
          </w:tcPr>
          <w:p w14:paraId="7C208851" w14:textId="77777777" w:rsidR="00834A75" w:rsidRDefault="00834A75">
            <w:pPr>
              <w:rPr>
                <w:rFonts w:ascii="宋体"/>
              </w:rPr>
            </w:pPr>
          </w:p>
        </w:tc>
        <w:tc>
          <w:tcPr>
            <w:tcW w:w="5" w:type="pct"/>
            <w:shd w:val="clear" w:color="auto" w:fill="auto"/>
            <w:vAlign w:val="bottom"/>
          </w:tcPr>
          <w:p w14:paraId="7C208852" w14:textId="77777777" w:rsidR="00834A75" w:rsidRDefault="00834A75">
            <w:pPr>
              <w:rPr>
                <w:rFonts w:ascii="宋体"/>
              </w:rPr>
            </w:pPr>
          </w:p>
        </w:tc>
      </w:tr>
      <w:tr w:rsidR="00834A75" w14:paraId="7C208858" w14:textId="77777777">
        <w:tc>
          <w:tcPr>
            <w:tcW w:w="0" w:type="auto"/>
            <w:gridSpan w:val="3"/>
            <w:shd w:val="clear" w:color="auto" w:fill="auto"/>
            <w:tcMar>
              <w:top w:w="0" w:type="dxa"/>
              <w:left w:w="20" w:type="dxa"/>
              <w:bottom w:w="0" w:type="dxa"/>
              <w:right w:w="20" w:type="dxa"/>
            </w:tcMar>
            <w:vAlign w:val="bottom"/>
          </w:tcPr>
          <w:p w14:paraId="7C208854" w14:textId="77777777" w:rsidR="00834A75" w:rsidRDefault="00834A75">
            <w:pPr>
              <w:rPr>
                <w:rFonts w:ascii="宋体"/>
              </w:rPr>
            </w:pPr>
          </w:p>
        </w:tc>
        <w:tc>
          <w:tcPr>
            <w:tcW w:w="0" w:type="auto"/>
            <w:gridSpan w:val="3"/>
            <w:shd w:val="clear" w:color="auto" w:fill="auto"/>
            <w:tcMar>
              <w:top w:w="40" w:type="dxa"/>
              <w:left w:w="20" w:type="dxa"/>
              <w:bottom w:w="40" w:type="dxa"/>
              <w:right w:w="20" w:type="dxa"/>
            </w:tcMar>
            <w:vAlign w:val="bottom"/>
          </w:tcPr>
          <w:p w14:paraId="7C208855" w14:textId="77777777" w:rsidR="00834A75" w:rsidRDefault="00A6708C">
            <w:pPr>
              <w:jc w:val="center"/>
              <w:textAlignment w:val="bottom"/>
            </w:pPr>
            <w:r>
              <w:rPr>
                <w:rFonts w:ascii="sans-serif" w:eastAsia="sans-serif" w:hAnsi="sans-serif" w:cs="sans-serif"/>
                <w:b/>
                <w:bCs/>
                <w:color w:val="000000"/>
                <w:sz w:val="20"/>
                <w:szCs w:val="20"/>
              </w:rPr>
              <w:t>May 1,</w:t>
            </w:r>
          </w:p>
        </w:tc>
        <w:tc>
          <w:tcPr>
            <w:tcW w:w="0" w:type="auto"/>
            <w:gridSpan w:val="3"/>
            <w:shd w:val="clear" w:color="auto" w:fill="auto"/>
            <w:tcMar>
              <w:top w:w="0" w:type="dxa"/>
              <w:left w:w="20" w:type="dxa"/>
              <w:bottom w:w="0" w:type="dxa"/>
              <w:right w:w="20" w:type="dxa"/>
            </w:tcMar>
            <w:vAlign w:val="bottom"/>
          </w:tcPr>
          <w:p w14:paraId="7C208856" w14:textId="77777777" w:rsidR="00834A75" w:rsidRDefault="00834A75">
            <w:pPr>
              <w:rPr>
                <w:rFonts w:ascii="宋体"/>
              </w:rPr>
            </w:pPr>
          </w:p>
        </w:tc>
        <w:tc>
          <w:tcPr>
            <w:tcW w:w="0" w:type="auto"/>
            <w:gridSpan w:val="3"/>
            <w:shd w:val="clear" w:color="auto" w:fill="auto"/>
            <w:tcMar>
              <w:top w:w="40" w:type="dxa"/>
              <w:left w:w="20" w:type="dxa"/>
              <w:bottom w:w="40" w:type="dxa"/>
              <w:right w:w="20" w:type="dxa"/>
            </w:tcMar>
            <w:vAlign w:val="bottom"/>
          </w:tcPr>
          <w:p w14:paraId="7C208857" w14:textId="77777777" w:rsidR="00834A75" w:rsidRDefault="00A6708C">
            <w:pPr>
              <w:jc w:val="center"/>
              <w:textAlignment w:val="bottom"/>
            </w:pPr>
            <w:r>
              <w:rPr>
                <w:rFonts w:ascii="sans-serif" w:eastAsia="sans-serif" w:hAnsi="sans-serif" w:cs="sans-serif"/>
                <w:b/>
                <w:bCs/>
                <w:color w:val="000000"/>
                <w:sz w:val="20"/>
                <w:szCs w:val="20"/>
              </w:rPr>
              <w:t>May 2,</w:t>
            </w:r>
          </w:p>
        </w:tc>
      </w:tr>
      <w:tr w:rsidR="00834A75" w14:paraId="7C20885D" w14:textId="77777777">
        <w:tc>
          <w:tcPr>
            <w:tcW w:w="0" w:type="auto"/>
            <w:gridSpan w:val="3"/>
            <w:shd w:val="clear" w:color="auto" w:fill="auto"/>
            <w:tcMar>
              <w:top w:w="40" w:type="dxa"/>
              <w:left w:w="20" w:type="dxa"/>
              <w:bottom w:w="40" w:type="dxa"/>
              <w:right w:w="20" w:type="dxa"/>
            </w:tcMar>
            <w:vAlign w:val="bottom"/>
          </w:tcPr>
          <w:p w14:paraId="7C208859" w14:textId="77777777" w:rsidR="00834A75" w:rsidRDefault="00A6708C">
            <w:pPr>
              <w:textAlignment w:val="bottom"/>
            </w:pPr>
            <w:r>
              <w:rPr>
                <w:rFonts w:ascii="sans-serif" w:eastAsia="sans-serif" w:hAnsi="sans-serif" w:cs="sans-serif"/>
                <w:color w:val="000000"/>
                <w:sz w:val="20"/>
                <w:szCs w:val="20"/>
              </w:rPr>
              <w:t> </w:t>
            </w:r>
          </w:p>
        </w:tc>
        <w:tc>
          <w:tcPr>
            <w:tcW w:w="0" w:type="auto"/>
            <w:gridSpan w:val="3"/>
            <w:shd w:val="clear" w:color="auto" w:fill="auto"/>
            <w:tcMar>
              <w:top w:w="40" w:type="dxa"/>
              <w:left w:w="20" w:type="dxa"/>
              <w:bottom w:w="40" w:type="dxa"/>
              <w:right w:w="20" w:type="dxa"/>
            </w:tcMar>
            <w:vAlign w:val="bottom"/>
          </w:tcPr>
          <w:p w14:paraId="7C20885A" w14:textId="77777777" w:rsidR="00834A75" w:rsidRDefault="00A6708C">
            <w:pPr>
              <w:jc w:val="center"/>
              <w:textAlignment w:val="bottom"/>
            </w:pPr>
            <w:r>
              <w:rPr>
                <w:rFonts w:ascii="sans-serif" w:eastAsia="sans-serif" w:hAnsi="sans-serif" w:cs="sans-serif"/>
                <w:b/>
                <w:bCs/>
                <w:color w:val="000000"/>
                <w:sz w:val="20"/>
                <w:szCs w:val="20"/>
              </w:rPr>
              <w:t>2022</w:t>
            </w:r>
          </w:p>
        </w:tc>
        <w:tc>
          <w:tcPr>
            <w:tcW w:w="0" w:type="auto"/>
            <w:gridSpan w:val="3"/>
            <w:shd w:val="clear" w:color="auto" w:fill="auto"/>
            <w:tcMar>
              <w:top w:w="0" w:type="dxa"/>
              <w:left w:w="20" w:type="dxa"/>
              <w:bottom w:w="0" w:type="dxa"/>
              <w:right w:w="20" w:type="dxa"/>
            </w:tcMar>
            <w:vAlign w:val="bottom"/>
          </w:tcPr>
          <w:p w14:paraId="7C20885B" w14:textId="77777777" w:rsidR="00834A75" w:rsidRDefault="00834A75">
            <w:pPr>
              <w:rPr>
                <w:rFonts w:ascii="宋体"/>
              </w:rPr>
            </w:pPr>
          </w:p>
        </w:tc>
        <w:tc>
          <w:tcPr>
            <w:tcW w:w="0" w:type="auto"/>
            <w:gridSpan w:val="3"/>
            <w:shd w:val="clear" w:color="auto" w:fill="auto"/>
            <w:tcMar>
              <w:top w:w="40" w:type="dxa"/>
              <w:left w:w="20" w:type="dxa"/>
              <w:bottom w:w="40" w:type="dxa"/>
              <w:right w:w="20" w:type="dxa"/>
            </w:tcMar>
            <w:vAlign w:val="bottom"/>
          </w:tcPr>
          <w:p w14:paraId="7C20885C" w14:textId="77777777" w:rsidR="00834A75" w:rsidRDefault="00A6708C">
            <w:pPr>
              <w:jc w:val="center"/>
              <w:textAlignment w:val="bottom"/>
            </w:pPr>
            <w:r>
              <w:rPr>
                <w:rFonts w:ascii="sans-serif" w:eastAsia="sans-serif" w:hAnsi="sans-serif" w:cs="sans-serif"/>
                <w:b/>
                <w:bCs/>
                <w:color w:val="000000"/>
                <w:sz w:val="20"/>
                <w:szCs w:val="20"/>
              </w:rPr>
              <w:t>2021</w:t>
            </w:r>
          </w:p>
        </w:tc>
      </w:tr>
      <w:tr w:rsidR="00834A75" w14:paraId="7C208862" w14:textId="77777777">
        <w:trPr>
          <w:trHeight w:val="60"/>
        </w:trPr>
        <w:tc>
          <w:tcPr>
            <w:tcW w:w="0" w:type="auto"/>
            <w:gridSpan w:val="3"/>
            <w:shd w:val="clear" w:color="auto" w:fill="auto"/>
            <w:tcMar>
              <w:top w:w="0" w:type="dxa"/>
              <w:left w:w="20" w:type="dxa"/>
              <w:bottom w:w="0" w:type="dxa"/>
              <w:right w:w="20" w:type="dxa"/>
            </w:tcMar>
            <w:vAlign w:val="bottom"/>
          </w:tcPr>
          <w:p w14:paraId="7C20885E" w14:textId="77777777" w:rsidR="00834A75" w:rsidRDefault="00834A75">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C20885F" w14:textId="77777777" w:rsidR="00834A75" w:rsidRDefault="00834A75">
            <w:pPr>
              <w:rPr>
                <w:rFonts w:ascii="宋体"/>
              </w:rPr>
            </w:pPr>
          </w:p>
        </w:tc>
        <w:tc>
          <w:tcPr>
            <w:tcW w:w="0" w:type="auto"/>
            <w:gridSpan w:val="3"/>
            <w:shd w:val="clear" w:color="auto" w:fill="auto"/>
            <w:tcMar>
              <w:top w:w="0" w:type="dxa"/>
              <w:left w:w="20" w:type="dxa"/>
              <w:bottom w:w="0" w:type="dxa"/>
              <w:right w:w="20" w:type="dxa"/>
            </w:tcMar>
            <w:vAlign w:val="bottom"/>
          </w:tcPr>
          <w:p w14:paraId="7C208860" w14:textId="77777777" w:rsidR="00834A75" w:rsidRDefault="00834A75">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C208861" w14:textId="77777777" w:rsidR="00834A75" w:rsidRDefault="00834A75">
            <w:pPr>
              <w:rPr>
                <w:rFonts w:ascii="宋体"/>
              </w:rPr>
            </w:pPr>
          </w:p>
        </w:tc>
      </w:tr>
      <w:tr w:rsidR="00834A75" w14:paraId="7C208865" w14:textId="77777777">
        <w:tc>
          <w:tcPr>
            <w:tcW w:w="0" w:type="auto"/>
            <w:gridSpan w:val="3"/>
            <w:shd w:val="clear" w:color="auto" w:fill="auto"/>
            <w:tcMar>
              <w:top w:w="0" w:type="dxa"/>
              <w:left w:w="20" w:type="dxa"/>
              <w:bottom w:w="0" w:type="dxa"/>
              <w:right w:w="20" w:type="dxa"/>
            </w:tcMar>
            <w:vAlign w:val="bottom"/>
          </w:tcPr>
          <w:p w14:paraId="7C208863" w14:textId="77777777" w:rsidR="00834A75" w:rsidRDefault="00834A75">
            <w:pPr>
              <w:rPr>
                <w:rFonts w:ascii="宋体"/>
              </w:rPr>
            </w:pPr>
          </w:p>
        </w:tc>
        <w:tc>
          <w:tcPr>
            <w:tcW w:w="0" w:type="auto"/>
            <w:gridSpan w:val="9"/>
            <w:shd w:val="clear" w:color="auto" w:fill="auto"/>
            <w:tcMar>
              <w:top w:w="40" w:type="dxa"/>
              <w:left w:w="20" w:type="dxa"/>
              <w:bottom w:w="40" w:type="dxa"/>
              <w:right w:w="20" w:type="dxa"/>
            </w:tcMar>
            <w:vAlign w:val="bottom"/>
          </w:tcPr>
          <w:p w14:paraId="7C208864" w14:textId="77777777" w:rsidR="00834A75" w:rsidRDefault="00A6708C">
            <w:pPr>
              <w:jc w:val="center"/>
              <w:textAlignment w:val="bottom"/>
            </w:pPr>
            <w:r>
              <w:rPr>
                <w:rFonts w:ascii="sans-serif" w:eastAsia="sans-serif" w:hAnsi="sans-serif" w:cs="sans-serif"/>
                <w:i/>
                <w:iCs/>
                <w:color w:val="000000"/>
                <w:sz w:val="20"/>
                <w:szCs w:val="20"/>
              </w:rPr>
              <w:t xml:space="preserve">(In </w:t>
            </w:r>
            <w:r>
              <w:rPr>
                <w:rFonts w:ascii="sans-serif" w:eastAsia="sans-serif" w:hAnsi="sans-serif" w:cs="sans-serif"/>
                <w:i/>
                <w:iCs/>
                <w:color w:val="000000"/>
                <w:sz w:val="20"/>
                <w:szCs w:val="20"/>
              </w:rPr>
              <w:t>millions)</w:t>
            </w:r>
          </w:p>
        </w:tc>
      </w:tr>
      <w:tr w:rsidR="00834A75" w14:paraId="7C20886E" w14:textId="77777777">
        <w:tc>
          <w:tcPr>
            <w:tcW w:w="0" w:type="auto"/>
            <w:gridSpan w:val="3"/>
            <w:shd w:val="clear" w:color="auto" w:fill="E2EFD9"/>
            <w:tcMar>
              <w:top w:w="40" w:type="dxa"/>
              <w:left w:w="20" w:type="dxa"/>
              <w:bottom w:w="40" w:type="dxa"/>
              <w:right w:w="20" w:type="dxa"/>
            </w:tcMar>
            <w:vAlign w:val="bottom"/>
          </w:tcPr>
          <w:p w14:paraId="7C208866" w14:textId="77777777" w:rsidR="00834A75" w:rsidRDefault="00A6708C">
            <w:pPr>
              <w:textAlignment w:val="bottom"/>
            </w:pPr>
            <w:r>
              <w:rPr>
                <w:rFonts w:ascii="sans-serif" w:eastAsia="sans-serif" w:hAnsi="sans-serif" w:cs="sans-serif"/>
                <w:color w:val="000000"/>
                <w:sz w:val="20"/>
                <w:szCs w:val="20"/>
              </w:rPr>
              <w:t>Balance at beginning of period</w:t>
            </w:r>
          </w:p>
        </w:tc>
        <w:tc>
          <w:tcPr>
            <w:tcW w:w="0" w:type="auto"/>
            <w:shd w:val="clear" w:color="auto" w:fill="E2EFD9"/>
            <w:tcMar>
              <w:top w:w="40" w:type="dxa"/>
              <w:left w:w="20" w:type="dxa"/>
              <w:bottom w:w="40" w:type="dxa"/>
              <w:right w:w="0" w:type="dxa"/>
            </w:tcMar>
            <w:vAlign w:val="bottom"/>
          </w:tcPr>
          <w:p w14:paraId="7C208867" w14:textId="77777777" w:rsidR="00834A75" w:rsidRDefault="00A6708C">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7C208868" w14:textId="77777777" w:rsidR="00834A75" w:rsidRDefault="00A6708C">
            <w:pPr>
              <w:jc w:val="right"/>
              <w:textAlignment w:val="bottom"/>
            </w:pPr>
            <w:r>
              <w:rPr>
                <w:rFonts w:ascii="sans-serif" w:eastAsia="sans-serif" w:hAnsi="sans-serif" w:cs="sans-serif"/>
                <w:color w:val="000000"/>
                <w:sz w:val="20"/>
                <w:szCs w:val="20"/>
              </w:rPr>
              <w:t>502 </w:t>
            </w:r>
          </w:p>
        </w:tc>
        <w:tc>
          <w:tcPr>
            <w:tcW w:w="0" w:type="auto"/>
            <w:shd w:val="clear" w:color="auto" w:fill="E2EFD9"/>
            <w:tcMar>
              <w:top w:w="40" w:type="dxa"/>
              <w:left w:w="0" w:type="dxa"/>
              <w:bottom w:w="40" w:type="dxa"/>
              <w:right w:w="20" w:type="dxa"/>
            </w:tcMar>
            <w:vAlign w:val="bottom"/>
          </w:tcPr>
          <w:p w14:paraId="7C208869" w14:textId="77777777" w:rsidR="00834A75" w:rsidRDefault="00834A75">
            <w:pPr>
              <w:jc w:val="right"/>
              <w:rPr>
                <w:rFonts w:ascii="宋体"/>
              </w:rPr>
            </w:pPr>
          </w:p>
        </w:tc>
        <w:tc>
          <w:tcPr>
            <w:tcW w:w="0" w:type="auto"/>
            <w:gridSpan w:val="3"/>
            <w:shd w:val="clear" w:color="auto" w:fill="E2EFD9"/>
            <w:tcMar>
              <w:top w:w="0" w:type="dxa"/>
              <w:left w:w="20" w:type="dxa"/>
              <w:bottom w:w="0" w:type="dxa"/>
              <w:right w:w="20" w:type="dxa"/>
            </w:tcMar>
            <w:vAlign w:val="bottom"/>
          </w:tcPr>
          <w:p w14:paraId="7C20886A" w14:textId="77777777" w:rsidR="00834A75" w:rsidRDefault="00834A75">
            <w:pPr>
              <w:rPr>
                <w:rFonts w:ascii="宋体"/>
              </w:rPr>
            </w:pPr>
          </w:p>
        </w:tc>
        <w:tc>
          <w:tcPr>
            <w:tcW w:w="0" w:type="auto"/>
            <w:shd w:val="clear" w:color="auto" w:fill="E2EFD9"/>
            <w:tcMar>
              <w:top w:w="40" w:type="dxa"/>
              <w:left w:w="20" w:type="dxa"/>
              <w:bottom w:w="40" w:type="dxa"/>
              <w:right w:w="0" w:type="dxa"/>
            </w:tcMar>
            <w:vAlign w:val="bottom"/>
          </w:tcPr>
          <w:p w14:paraId="7C20886B" w14:textId="77777777" w:rsidR="00834A75" w:rsidRDefault="00A6708C">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7C20886C" w14:textId="77777777" w:rsidR="00834A75" w:rsidRDefault="00A6708C">
            <w:pPr>
              <w:jc w:val="right"/>
              <w:textAlignment w:val="bottom"/>
            </w:pPr>
            <w:r>
              <w:rPr>
                <w:rFonts w:ascii="sans-serif" w:eastAsia="sans-serif" w:hAnsi="sans-serif" w:cs="sans-serif"/>
                <w:color w:val="000000"/>
                <w:sz w:val="20"/>
                <w:szCs w:val="20"/>
              </w:rPr>
              <w:t>451 </w:t>
            </w:r>
          </w:p>
        </w:tc>
        <w:tc>
          <w:tcPr>
            <w:tcW w:w="0" w:type="auto"/>
            <w:shd w:val="clear" w:color="auto" w:fill="E2EFD9"/>
            <w:tcMar>
              <w:top w:w="40" w:type="dxa"/>
              <w:left w:w="0" w:type="dxa"/>
              <w:bottom w:w="40" w:type="dxa"/>
              <w:right w:w="20" w:type="dxa"/>
            </w:tcMar>
            <w:vAlign w:val="bottom"/>
          </w:tcPr>
          <w:p w14:paraId="7C20886D" w14:textId="77777777" w:rsidR="00834A75" w:rsidRDefault="00834A75">
            <w:pPr>
              <w:jc w:val="right"/>
              <w:rPr>
                <w:rFonts w:ascii="宋体"/>
              </w:rPr>
            </w:pPr>
          </w:p>
        </w:tc>
      </w:tr>
      <w:tr w:rsidR="00834A75" w14:paraId="7C208875" w14:textId="77777777">
        <w:tc>
          <w:tcPr>
            <w:tcW w:w="0" w:type="auto"/>
            <w:gridSpan w:val="3"/>
            <w:shd w:val="clear" w:color="auto" w:fill="FFFFFF"/>
            <w:tcMar>
              <w:top w:w="40" w:type="dxa"/>
              <w:left w:w="20" w:type="dxa"/>
              <w:bottom w:w="40" w:type="dxa"/>
              <w:right w:w="20" w:type="dxa"/>
            </w:tcMar>
            <w:vAlign w:val="bottom"/>
          </w:tcPr>
          <w:p w14:paraId="7C20886F" w14:textId="77777777" w:rsidR="00834A75" w:rsidRDefault="00A6708C">
            <w:pPr>
              <w:textAlignment w:val="bottom"/>
            </w:pPr>
            <w:r>
              <w:rPr>
                <w:rFonts w:ascii="sans-serif" w:eastAsia="sans-serif" w:hAnsi="sans-serif" w:cs="sans-serif"/>
                <w:color w:val="000000"/>
                <w:sz w:val="20"/>
                <w:szCs w:val="20"/>
              </w:rPr>
              <w:t>Deferred revenue additions during the period</w:t>
            </w:r>
          </w:p>
        </w:tc>
        <w:tc>
          <w:tcPr>
            <w:tcW w:w="0" w:type="auto"/>
            <w:gridSpan w:val="2"/>
            <w:shd w:val="clear" w:color="auto" w:fill="FFFFFF"/>
            <w:tcMar>
              <w:top w:w="40" w:type="dxa"/>
              <w:left w:w="20" w:type="dxa"/>
              <w:bottom w:w="40" w:type="dxa"/>
              <w:right w:w="0" w:type="dxa"/>
            </w:tcMar>
            <w:vAlign w:val="bottom"/>
          </w:tcPr>
          <w:p w14:paraId="7C208870" w14:textId="77777777" w:rsidR="00834A75" w:rsidRDefault="00A6708C">
            <w:pPr>
              <w:jc w:val="right"/>
              <w:textAlignment w:val="bottom"/>
            </w:pPr>
            <w:r>
              <w:rPr>
                <w:rFonts w:ascii="sans-serif" w:eastAsia="sans-serif" w:hAnsi="sans-serif" w:cs="sans-serif"/>
                <w:color w:val="000000"/>
                <w:sz w:val="20"/>
                <w:szCs w:val="20"/>
              </w:rPr>
              <w:t>212 </w:t>
            </w:r>
          </w:p>
        </w:tc>
        <w:tc>
          <w:tcPr>
            <w:tcW w:w="0" w:type="auto"/>
            <w:shd w:val="clear" w:color="auto" w:fill="FFFFFF"/>
            <w:tcMar>
              <w:top w:w="40" w:type="dxa"/>
              <w:left w:w="0" w:type="dxa"/>
              <w:bottom w:w="40" w:type="dxa"/>
              <w:right w:w="20" w:type="dxa"/>
            </w:tcMar>
            <w:vAlign w:val="bottom"/>
          </w:tcPr>
          <w:p w14:paraId="7C208871" w14:textId="77777777" w:rsidR="00834A75" w:rsidRDefault="00834A75">
            <w:pPr>
              <w:jc w:val="right"/>
              <w:rPr>
                <w:rFonts w:ascii="宋体"/>
              </w:rPr>
            </w:pPr>
          </w:p>
        </w:tc>
        <w:tc>
          <w:tcPr>
            <w:tcW w:w="0" w:type="auto"/>
            <w:gridSpan w:val="3"/>
            <w:shd w:val="clear" w:color="auto" w:fill="FFFFFF"/>
            <w:tcMar>
              <w:top w:w="0" w:type="dxa"/>
              <w:left w:w="20" w:type="dxa"/>
              <w:bottom w:w="0" w:type="dxa"/>
              <w:right w:w="20" w:type="dxa"/>
            </w:tcMar>
            <w:vAlign w:val="bottom"/>
          </w:tcPr>
          <w:p w14:paraId="7C208872" w14:textId="77777777" w:rsidR="00834A75" w:rsidRDefault="00834A75">
            <w:pPr>
              <w:rPr>
                <w:rFonts w:ascii="宋体"/>
              </w:rPr>
            </w:pPr>
          </w:p>
        </w:tc>
        <w:tc>
          <w:tcPr>
            <w:tcW w:w="0" w:type="auto"/>
            <w:gridSpan w:val="2"/>
            <w:shd w:val="clear" w:color="auto" w:fill="FFFFFF"/>
            <w:tcMar>
              <w:top w:w="40" w:type="dxa"/>
              <w:left w:w="20" w:type="dxa"/>
              <w:bottom w:w="40" w:type="dxa"/>
              <w:right w:w="0" w:type="dxa"/>
            </w:tcMar>
            <w:vAlign w:val="bottom"/>
          </w:tcPr>
          <w:p w14:paraId="7C208873" w14:textId="77777777" w:rsidR="00834A75" w:rsidRDefault="00A6708C">
            <w:pPr>
              <w:jc w:val="right"/>
              <w:textAlignment w:val="bottom"/>
            </w:pPr>
            <w:r>
              <w:rPr>
                <w:rFonts w:ascii="sans-serif" w:eastAsia="sans-serif" w:hAnsi="sans-serif" w:cs="sans-serif"/>
                <w:color w:val="000000"/>
                <w:sz w:val="20"/>
                <w:szCs w:val="20"/>
              </w:rPr>
              <w:t>178 </w:t>
            </w:r>
          </w:p>
        </w:tc>
        <w:tc>
          <w:tcPr>
            <w:tcW w:w="0" w:type="auto"/>
            <w:shd w:val="clear" w:color="auto" w:fill="FFFFFF"/>
            <w:tcMar>
              <w:top w:w="40" w:type="dxa"/>
              <w:left w:w="0" w:type="dxa"/>
              <w:bottom w:w="40" w:type="dxa"/>
              <w:right w:w="20" w:type="dxa"/>
            </w:tcMar>
            <w:vAlign w:val="bottom"/>
          </w:tcPr>
          <w:p w14:paraId="7C208874" w14:textId="77777777" w:rsidR="00834A75" w:rsidRDefault="00834A75">
            <w:pPr>
              <w:jc w:val="right"/>
              <w:rPr>
                <w:rFonts w:ascii="宋体"/>
              </w:rPr>
            </w:pPr>
          </w:p>
        </w:tc>
      </w:tr>
      <w:tr w:rsidR="00834A75" w14:paraId="7C20887A" w14:textId="77777777">
        <w:trPr>
          <w:hidden/>
        </w:trPr>
        <w:tc>
          <w:tcPr>
            <w:tcW w:w="0" w:type="auto"/>
            <w:gridSpan w:val="3"/>
            <w:shd w:val="clear" w:color="auto" w:fill="auto"/>
            <w:vAlign w:val="bottom"/>
          </w:tcPr>
          <w:p w14:paraId="7C208876" w14:textId="77777777" w:rsidR="00834A75" w:rsidRDefault="00834A75">
            <w:pPr>
              <w:rPr>
                <w:rFonts w:ascii="宋体"/>
                <w:vanish/>
              </w:rPr>
            </w:pPr>
          </w:p>
        </w:tc>
        <w:tc>
          <w:tcPr>
            <w:tcW w:w="0" w:type="auto"/>
            <w:gridSpan w:val="3"/>
            <w:shd w:val="clear" w:color="auto" w:fill="auto"/>
            <w:vAlign w:val="bottom"/>
          </w:tcPr>
          <w:p w14:paraId="7C208877" w14:textId="77777777" w:rsidR="00834A75" w:rsidRDefault="00834A75">
            <w:pPr>
              <w:rPr>
                <w:rFonts w:ascii="宋体"/>
                <w:vanish/>
              </w:rPr>
            </w:pPr>
          </w:p>
        </w:tc>
        <w:tc>
          <w:tcPr>
            <w:tcW w:w="0" w:type="auto"/>
            <w:gridSpan w:val="3"/>
            <w:shd w:val="clear" w:color="auto" w:fill="auto"/>
            <w:vAlign w:val="bottom"/>
          </w:tcPr>
          <w:p w14:paraId="7C208878" w14:textId="77777777" w:rsidR="00834A75" w:rsidRDefault="00834A75">
            <w:pPr>
              <w:rPr>
                <w:rFonts w:ascii="宋体"/>
                <w:vanish/>
              </w:rPr>
            </w:pPr>
          </w:p>
        </w:tc>
        <w:tc>
          <w:tcPr>
            <w:tcW w:w="0" w:type="auto"/>
            <w:gridSpan w:val="3"/>
            <w:shd w:val="clear" w:color="auto" w:fill="auto"/>
            <w:vAlign w:val="bottom"/>
          </w:tcPr>
          <w:p w14:paraId="7C208879" w14:textId="77777777" w:rsidR="00834A75" w:rsidRDefault="00834A75">
            <w:pPr>
              <w:rPr>
                <w:rFonts w:ascii="宋体"/>
                <w:vanish/>
              </w:rPr>
            </w:pPr>
          </w:p>
        </w:tc>
      </w:tr>
      <w:tr w:rsidR="00834A75" w14:paraId="7C208881" w14:textId="77777777">
        <w:tc>
          <w:tcPr>
            <w:tcW w:w="0" w:type="auto"/>
            <w:gridSpan w:val="3"/>
            <w:shd w:val="clear" w:color="auto" w:fill="E2EFD9"/>
            <w:tcMar>
              <w:top w:w="40" w:type="dxa"/>
              <w:left w:w="20" w:type="dxa"/>
              <w:bottom w:w="40" w:type="dxa"/>
              <w:right w:w="20" w:type="dxa"/>
            </w:tcMar>
            <w:vAlign w:val="bottom"/>
          </w:tcPr>
          <w:p w14:paraId="7C20887B" w14:textId="77777777" w:rsidR="00834A75" w:rsidRDefault="00A6708C">
            <w:pPr>
              <w:textAlignment w:val="bottom"/>
            </w:pPr>
            <w:r>
              <w:rPr>
                <w:rFonts w:ascii="sans-serif" w:eastAsia="sans-serif" w:hAnsi="sans-serif" w:cs="sans-serif"/>
                <w:color w:val="000000"/>
                <w:sz w:val="20"/>
                <w:szCs w:val="20"/>
              </w:rPr>
              <w:t>Revenue recognized during the period</w:t>
            </w:r>
          </w:p>
        </w:tc>
        <w:tc>
          <w:tcPr>
            <w:tcW w:w="0" w:type="auto"/>
            <w:gridSpan w:val="2"/>
            <w:shd w:val="clear" w:color="auto" w:fill="E2EFD9"/>
            <w:tcMar>
              <w:top w:w="40" w:type="dxa"/>
              <w:left w:w="20" w:type="dxa"/>
              <w:bottom w:w="40" w:type="dxa"/>
              <w:right w:w="0" w:type="dxa"/>
            </w:tcMar>
            <w:vAlign w:val="bottom"/>
          </w:tcPr>
          <w:p w14:paraId="7C20887C" w14:textId="77777777" w:rsidR="00834A75" w:rsidRDefault="00A6708C">
            <w:pPr>
              <w:jc w:val="right"/>
              <w:textAlignment w:val="bottom"/>
            </w:pPr>
            <w:r>
              <w:rPr>
                <w:rFonts w:ascii="sans-serif" w:eastAsia="sans-serif" w:hAnsi="sans-serif" w:cs="sans-serif"/>
                <w:color w:val="000000"/>
                <w:sz w:val="20"/>
                <w:szCs w:val="20"/>
              </w:rPr>
              <w:t>(177)</w:t>
            </w:r>
          </w:p>
        </w:tc>
        <w:tc>
          <w:tcPr>
            <w:tcW w:w="0" w:type="auto"/>
            <w:shd w:val="clear" w:color="auto" w:fill="E2EFD9"/>
            <w:tcMar>
              <w:top w:w="40" w:type="dxa"/>
              <w:left w:w="0" w:type="dxa"/>
              <w:bottom w:w="40" w:type="dxa"/>
              <w:right w:w="20" w:type="dxa"/>
            </w:tcMar>
            <w:vAlign w:val="bottom"/>
          </w:tcPr>
          <w:p w14:paraId="7C20887D" w14:textId="77777777" w:rsidR="00834A75" w:rsidRDefault="00834A75">
            <w:pPr>
              <w:jc w:val="right"/>
              <w:rPr>
                <w:rFonts w:ascii="宋体"/>
              </w:rPr>
            </w:pPr>
          </w:p>
        </w:tc>
        <w:tc>
          <w:tcPr>
            <w:tcW w:w="0" w:type="auto"/>
            <w:gridSpan w:val="3"/>
            <w:shd w:val="clear" w:color="auto" w:fill="E2EFD9"/>
            <w:tcMar>
              <w:top w:w="0" w:type="dxa"/>
              <w:left w:w="20" w:type="dxa"/>
              <w:bottom w:w="0" w:type="dxa"/>
              <w:right w:w="20" w:type="dxa"/>
            </w:tcMar>
            <w:vAlign w:val="bottom"/>
          </w:tcPr>
          <w:p w14:paraId="7C20887E" w14:textId="77777777" w:rsidR="00834A75" w:rsidRDefault="00834A75">
            <w:pPr>
              <w:rPr>
                <w:rFonts w:ascii="宋体"/>
              </w:rPr>
            </w:pPr>
          </w:p>
        </w:tc>
        <w:tc>
          <w:tcPr>
            <w:tcW w:w="0" w:type="auto"/>
            <w:gridSpan w:val="2"/>
            <w:shd w:val="clear" w:color="auto" w:fill="E2EFD9"/>
            <w:tcMar>
              <w:top w:w="40" w:type="dxa"/>
              <w:left w:w="20" w:type="dxa"/>
              <w:bottom w:w="40" w:type="dxa"/>
              <w:right w:w="0" w:type="dxa"/>
            </w:tcMar>
            <w:vAlign w:val="bottom"/>
          </w:tcPr>
          <w:p w14:paraId="7C20887F" w14:textId="77777777" w:rsidR="00834A75" w:rsidRDefault="00A6708C">
            <w:pPr>
              <w:jc w:val="right"/>
              <w:textAlignment w:val="bottom"/>
            </w:pPr>
            <w:r>
              <w:rPr>
                <w:rFonts w:ascii="sans-serif" w:eastAsia="sans-serif" w:hAnsi="sans-serif" w:cs="sans-serif"/>
                <w:color w:val="000000"/>
                <w:sz w:val="20"/>
                <w:szCs w:val="20"/>
              </w:rPr>
              <w:t>(123)</w:t>
            </w:r>
          </w:p>
        </w:tc>
        <w:tc>
          <w:tcPr>
            <w:tcW w:w="0" w:type="auto"/>
            <w:shd w:val="clear" w:color="auto" w:fill="E2EFD9"/>
            <w:tcMar>
              <w:top w:w="40" w:type="dxa"/>
              <w:left w:w="0" w:type="dxa"/>
              <w:bottom w:w="40" w:type="dxa"/>
              <w:right w:w="20" w:type="dxa"/>
            </w:tcMar>
            <w:vAlign w:val="bottom"/>
          </w:tcPr>
          <w:p w14:paraId="7C208880" w14:textId="77777777" w:rsidR="00834A75" w:rsidRDefault="00834A75">
            <w:pPr>
              <w:jc w:val="right"/>
              <w:rPr>
                <w:rFonts w:ascii="宋体"/>
              </w:rPr>
            </w:pPr>
          </w:p>
        </w:tc>
      </w:tr>
      <w:tr w:rsidR="00834A75" w14:paraId="7C20888A" w14:textId="77777777">
        <w:tc>
          <w:tcPr>
            <w:tcW w:w="0" w:type="auto"/>
            <w:gridSpan w:val="3"/>
            <w:shd w:val="clear" w:color="auto" w:fill="FFFFFF"/>
            <w:tcMar>
              <w:top w:w="40" w:type="dxa"/>
              <w:left w:w="20" w:type="dxa"/>
              <w:bottom w:w="40" w:type="dxa"/>
              <w:right w:w="20" w:type="dxa"/>
            </w:tcMar>
            <w:vAlign w:val="bottom"/>
          </w:tcPr>
          <w:p w14:paraId="7C208882" w14:textId="77777777" w:rsidR="00834A75" w:rsidRDefault="00A6708C">
            <w:pPr>
              <w:textAlignment w:val="bottom"/>
            </w:pPr>
            <w:r>
              <w:rPr>
                <w:rFonts w:ascii="sans-serif" w:eastAsia="sans-serif" w:hAnsi="sans-serif" w:cs="sans-serif"/>
                <w:color w:val="000000"/>
                <w:sz w:val="20"/>
                <w:szCs w:val="20"/>
              </w:rPr>
              <w:t>Balance at end of period</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C208883" w14:textId="77777777" w:rsidR="00834A75" w:rsidRDefault="00A6708C">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C208884" w14:textId="77777777" w:rsidR="00834A75" w:rsidRDefault="00A6708C">
            <w:pPr>
              <w:jc w:val="right"/>
              <w:textAlignment w:val="bottom"/>
            </w:pPr>
            <w:r>
              <w:rPr>
                <w:rFonts w:ascii="sans-serif" w:eastAsia="sans-serif" w:hAnsi="sans-serif" w:cs="sans-serif"/>
                <w:color w:val="000000"/>
                <w:sz w:val="20"/>
                <w:szCs w:val="20"/>
              </w:rPr>
              <w:t>537 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C208885" w14:textId="77777777" w:rsidR="00834A75" w:rsidRDefault="00834A75">
            <w:pPr>
              <w:jc w:val="right"/>
              <w:rPr>
                <w:rFonts w:ascii="宋体"/>
              </w:rPr>
            </w:pPr>
          </w:p>
        </w:tc>
        <w:tc>
          <w:tcPr>
            <w:tcW w:w="0" w:type="auto"/>
            <w:gridSpan w:val="3"/>
            <w:shd w:val="clear" w:color="auto" w:fill="FFFFFF"/>
            <w:tcMar>
              <w:top w:w="0" w:type="dxa"/>
              <w:left w:w="20" w:type="dxa"/>
              <w:bottom w:w="0" w:type="dxa"/>
              <w:right w:w="20" w:type="dxa"/>
            </w:tcMar>
            <w:vAlign w:val="bottom"/>
          </w:tcPr>
          <w:p w14:paraId="7C208886" w14:textId="77777777" w:rsidR="00834A75" w:rsidRDefault="00834A75">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C208887" w14:textId="77777777" w:rsidR="00834A75" w:rsidRDefault="00A6708C">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C208888" w14:textId="77777777" w:rsidR="00834A75" w:rsidRDefault="00A6708C">
            <w:pPr>
              <w:jc w:val="right"/>
              <w:textAlignment w:val="bottom"/>
            </w:pPr>
            <w:r>
              <w:rPr>
                <w:rFonts w:ascii="sans-serif" w:eastAsia="sans-serif" w:hAnsi="sans-serif" w:cs="sans-serif"/>
                <w:color w:val="000000"/>
                <w:sz w:val="20"/>
                <w:szCs w:val="20"/>
              </w:rPr>
              <w:t>506 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C208889" w14:textId="77777777" w:rsidR="00834A75" w:rsidRDefault="00834A75">
            <w:pPr>
              <w:jc w:val="right"/>
              <w:rPr>
                <w:rFonts w:ascii="宋体"/>
              </w:rPr>
            </w:pPr>
          </w:p>
        </w:tc>
      </w:tr>
    </w:tbl>
    <w:p w14:paraId="7C20888B" w14:textId="77777777" w:rsidR="00834A75" w:rsidRDefault="00A6708C">
      <w:pPr>
        <w:spacing w:before="180" w:after="60"/>
        <w:jc w:val="both"/>
      </w:pPr>
      <w:r>
        <w:rPr>
          <w:rFonts w:ascii="sans-serif" w:eastAsia="sans-serif" w:hAnsi="sans-serif" w:cs="sans-serif"/>
          <w:color w:val="000000"/>
          <w:sz w:val="20"/>
          <w:szCs w:val="20"/>
        </w:rPr>
        <w:t xml:space="preserve">Revenue related to </w:t>
      </w:r>
      <w:r>
        <w:rPr>
          <w:rFonts w:ascii="sans-serif" w:eastAsia="sans-serif" w:hAnsi="sans-serif" w:cs="sans-serif"/>
          <w:color w:val="000000"/>
          <w:sz w:val="20"/>
          <w:szCs w:val="20"/>
        </w:rPr>
        <w:t>remaining performance obligations represents the contracted license and development arrangements and support for hardware and software. This includes deferred revenue currently recorded and amounts that will be invoiced in future periods. As of May 1, 2022</w:t>
      </w:r>
      <w:r>
        <w:rPr>
          <w:rFonts w:ascii="sans-serif" w:eastAsia="sans-serif" w:hAnsi="sans-serif" w:cs="sans-serif"/>
          <w:color w:val="000000"/>
          <w:sz w:val="20"/>
          <w:szCs w:val="20"/>
        </w:rPr>
        <w:t>, $652 million of revenue related to performance obligations had not been recognized, of which we expect to recognize approximately 47% over the next twelve months and the remainder thereafter. This excludes revenue related to performance obligations for c</w:t>
      </w:r>
      <w:r>
        <w:rPr>
          <w:rFonts w:ascii="sans-serif" w:eastAsia="sans-serif" w:hAnsi="sans-serif" w:cs="sans-serif"/>
          <w:color w:val="000000"/>
          <w:sz w:val="20"/>
          <w:szCs w:val="20"/>
        </w:rPr>
        <w:t>ontracts with a length of one year or less.</w:t>
      </w:r>
    </w:p>
    <w:p w14:paraId="7C20888C" w14:textId="77777777" w:rsidR="00834A75" w:rsidRDefault="00A6708C">
      <w:pPr>
        <w:spacing w:before="240" w:after="120"/>
        <w:jc w:val="both"/>
      </w:pPr>
      <w:r>
        <w:rPr>
          <w:rFonts w:ascii="sans-serif" w:eastAsia="sans-serif" w:hAnsi="sans-serif" w:cs="sans-serif"/>
          <w:b/>
          <w:bCs/>
          <w:color w:val="76B900"/>
          <w:sz w:val="22"/>
          <w:szCs w:val="22"/>
        </w:rPr>
        <w:t>Note 11 - Derivative Financial Instruments</w:t>
      </w:r>
    </w:p>
    <w:p w14:paraId="7C20888D" w14:textId="77777777" w:rsidR="00834A75" w:rsidRDefault="00A6708C">
      <w:pPr>
        <w:spacing w:after="180"/>
        <w:jc w:val="both"/>
      </w:pPr>
      <w:r>
        <w:rPr>
          <w:rFonts w:ascii="sans-serif" w:eastAsia="sans-serif" w:hAnsi="sans-serif" w:cs="sans-serif"/>
          <w:color w:val="000000"/>
          <w:sz w:val="20"/>
          <w:szCs w:val="20"/>
        </w:rPr>
        <w:t xml:space="preserve">We enter into foreign currency forward contracts to mitigate the impact of foreign currency exchange rate movements on our operating expenses. These contracts are </w:t>
      </w:r>
      <w:r>
        <w:rPr>
          <w:rFonts w:ascii="sans-serif" w:eastAsia="sans-serif" w:hAnsi="sans-serif" w:cs="sans-serif"/>
          <w:color w:val="000000"/>
          <w:sz w:val="20"/>
          <w:szCs w:val="20"/>
        </w:rPr>
        <w:t>designated as cash flow hedges for hedge accounting treatment. Gains or losses on the contracts are recorded in accumulated other comprehensive income or loss and reclassified to operating expense when the related operating expenses are recognized in earni</w:t>
      </w:r>
      <w:r>
        <w:rPr>
          <w:rFonts w:ascii="sans-serif" w:eastAsia="sans-serif" w:hAnsi="sans-serif" w:cs="sans-serif"/>
          <w:color w:val="000000"/>
          <w:sz w:val="20"/>
          <w:szCs w:val="20"/>
        </w:rPr>
        <w:t>ngs or ineffectiveness should occur. The fair value of the contracts was not significant as of May 1, 2022 and January 30, 2022.</w:t>
      </w:r>
    </w:p>
    <w:p w14:paraId="7C20888E" w14:textId="77777777" w:rsidR="00834A75" w:rsidRDefault="00A6708C">
      <w:pPr>
        <w:jc w:val="both"/>
      </w:pPr>
      <w:r>
        <w:rPr>
          <w:rFonts w:ascii="sans-serif" w:eastAsia="sans-serif" w:hAnsi="sans-serif" w:cs="sans-serif"/>
          <w:color w:val="000000"/>
          <w:sz w:val="20"/>
          <w:szCs w:val="20"/>
        </w:rPr>
        <w:t>We also enter into foreign currency forward contracts to mitigate the impact of foreign currency movements on monetary assets a</w:t>
      </w:r>
      <w:r>
        <w:rPr>
          <w:rFonts w:ascii="sans-serif" w:eastAsia="sans-serif" w:hAnsi="sans-serif" w:cs="sans-serif"/>
          <w:color w:val="000000"/>
          <w:sz w:val="20"/>
          <w:szCs w:val="20"/>
        </w:rPr>
        <w:t>nd liabilities that are denominated in currencies other than the U.S. dollar. These forward contracts were not designated for hedge accounting treatment. Therefore, the change in fair value of these contracts is recorded in other income or expense and offs</w:t>
      </w:r>
      <w:r>
        <w:rPr>
          <w:rFonts w:ascii="sans-serif" w:eastAsia="sans-serif" w:hAnsi="sans-serif" w:cs="sans-serif"/>
          <w:color w:val="000000"/>
          <w:sz w:val="20"/>
          <w:szCs w:val="20"/>
        </w:rPr>
        <w:t xml:space="preserve">ets the change in fair value of the hedged foreign currency denominated monetary assets and liabilities, which is also recorded in other income or expense. </w:t>
      </w:r>
    </w:p>
    <w:p w14:paraId="7C20888F" w14:textId="77777777" w:rsidR="00834A75" w:rsidRDefault="00834A75"/>
    <w:p w14:paraId="7C208890" w14:textId="77777777" w:rsidR="00834A75" w:rsidRDefault="00834A75">
      <w:pPr>
        <w:spacing w:after="180"/>
        <w:jc w:val="both"/>
      </w:pPr>
    </w:p>
    <w:p w14:paraId="7C208891" w14:textId="77777777" w:rsidR="00834A75" w:rsidRDefault="00A6708C">
      <w:pPr>
        <w:spacing w:after="180"/>
        <w:jc w:val="center"/>
      </w:pPr>
      <w:r>
        <w:rPr>
          <w:rFonts w:ascii="sans-serif" w:eastAsia="sans-serif" w:hAnsi="sans-serif" w:cs="sans-serif"/>
          <w:color w:val="000000"/>
          <w:sz w:val="20"/>
          <w:szCs w:val="20"/>
        </w:rPr>
        <w:t>15</w:t>
      </w:r>
    </w:p>
    <w:p w14:paraId="7C208892" w14:textId="77777777" w:rsidR="00834A75" w:rsidRDefault="00A6708C">
      <w:r>
        <w:pict w14:anchorId="7C20935E">
          <v:rect id="_x0000_i1039" style="width:415.3pt;height:1.5pt" o:hralign="center" o:hrstd="t" o:hr="t" fillcolor="#a0a0a0" stroked="f"/>
        </w:pict>
      </w:r>
    </w:p>
    <w:p w14:paraId="7C208893" w14:textId="77777777" w:rsidR="00834A75" w:rsidRDefault="00A6708C">
      <w:pPr>
        <w:jc w:val="center"/>
      </w:pPr>
      <w:r>
        <w:rPr>
          <w:rFonts w:ascii="sans-serif" w:eastAsia="sans-serif" w:hAnsi="sans-serif" w:cs="sans-serif"/>
          <w:b/>
          <w:bCs/>
          <w:color w:val="000000"/>
          <w:sz w:val="20"/>
          <w:szCs w:val="20"/>
        </w:rPr>
        <w:t>NVIDIA CORPORATION AND SUBSIDIARIES</w:t>
      </w:r>
    </w:p>
    <w:p w14:paraId="7C208894" w14:textId="77777777" w:rsidR="00834A75" w:rsidRDefault="00A6708C">
      <w:pPr>
        <w:jc w:val="center"/>
      </w:pPr>
      <w:r>
        <w:rPr>
          <w:rFonts w:ascii="sans-serif" w:eastAsia="sans-serif" w:hAnsi="sans-serif" w:cs="sans-serif"/>
          <w:b/>
          <w:bCs/>
          <w:color w:val="000000"/>
          <w:sz w:val="20"/>
          <w:szCs w:val="20"/>
        </w:rPr>
        <w:t>NOTES TO CONDENSED CONSOLIDATED FINANCIAL STATEMENTS (Co</w:t>
      </w:r>
      <w:r>
        <w:rPr>
          <w:rFonts w:ascii="sans-serif" w:eastAsia="sans-serif" w:hAnsi="sans-serif" w:cs="sans-serif"/>
          <w:b/>
          <w:bCs/>
          <w:color w:val="000000"/>
          <w:sz w:val="20"/>
          <w:szCs w:val="20"/>
        </w:rPr>
        <w:t>ntinued)</w:t>
      </w:r>
    </w:p>
    <w:p w14:paraId="7C208895" w14:textId="77777777" w:rsidR="00834A75" w:rsidRDefault="00A6708C">
      <w:pPr>
        <w:jc w:val="center"/>
      </w:pPr>
      <w:r>
        <w:rPr>
          <w:rFonts w:ascii="sans-serif" w:eastAsia="sans-serif" w:hAnsi="sans-serif" w:cs="sans-serif"/>
          <w:b/>
          <w:bCs/>
          <w:color w:val="000000"/>
          <w:sz w:val="20"/>
          <w:szCs w:val="20"/>
        </w:rPr>
        <w:t>(Unaudited)</w:t>
      </w:r>
    </w:p>
    <w:p w14:paraId="7C208896" w14:textId="77777777" w:rsidR="00834A75" w:rsidRDefault="00834A75">
      <w:pPr>
        <w:spacing w:after="180"/>
        <w:jc w:val="both"/>
      </w:pPr>
    </w:p>
    <w:p w14:paraId="7C208897" w14:textId="77777777" w:rsidR="00834A75" w:rsidRDefault="00834A75">
      <w:pPr>
        <w:spacing w:after="180"/>
        <w:jc w:val="both"/>
      </w:pPr>
    </w:p>
    <w:p w14:paraId="7C208898" w14:textId="77777777" w:rsidR="00834A75" w:rsidRDefault="00A6708C">
      <w:pPr>
        <w:spacing w:after="180"/>
        <w:jc w:val="both"/>
      </w:pPr>
      <w:r>
        <w:rPr>
          <w:rFonts w:ascii="sans-serif" w:eastAsia="sans-serif" w:hAnsi="sans-serif" w:cs="sans-serif"/>
          <w:color w:val="000000"/>
          <w:sz w:val="20"/>
          <w:szCs w:val="20"/>
        </w:rPr>
        <w:t>The table below presents the notional value of our foreign currency forward contracts outstanding as of May 1, 2022 and January 30, 2022:</w:t>
      </w:r>
    </w:p>
    <w:tbl>
      <w:tblPr>
        <w:tblW w:w="5000" w:type="pct"/>
        <w:tblCellMar>
          <w:top w:w="15" w:type="dxa"/>
          <w:left w:w="15" w:type="dxa"/>
          <w:bottom w:w="15" w:type="dxa"/>
          <w:right w:w="15" w:type="dxa"/>
        </w:tblCellMar>
        <w:tblLook w:val="04A0" w:firstRow="1" w:lastRow="0" w:firstColumn="1" w:lastColumn="0" w:noHBand="0" w:noVBand="1"/>
      </w:tblPr>
      <w:tblGrid>
        <w:gridCol w:w="40"/>
        <w:gridCol w:w="5655"/>
        <w:gridCol w:w="36"/>
        <w:gridCol w:w="122"/>
        <w:gridCol w:w="1082"/>
        <w:gridCol w:w="36"/>
        <w:gridCol w:w="36"/>
        <w:gridCol w:w="49"/>
        <w:gridCol w:w="36"/>
        <w:gridCol w:w="123"/>
        <w:gridCol w:w="1085"/>
        <w:gridCol w:w="36"/>
      </w:tblGrid>
      <w:tr w:rsidR="00834A75" w14:paraId="7C2088A5" w14:textId="77777777">
        <w:tc>
          <w:tcPr>
            <w:tcW w:w="50" w:type="pct"/>
            <w:shd w:val="clear" w:color="auto" w:fill="auto"/>
            <w:vAlign w:val="bottom"/>
          </w:tcPr>
          <w:p w14:paraId="7C208899" w14:textId="77777777" w:rsidR="00834A75" w:rsidRDefault="00834A75">
            <w:pPr>
              <w:rPr>
                <w:rFonts w:ascii="宋体"/>
              </w:rPr>
            </w:pPr>
          </w:p>
        </w:tc>
        <w:tc>
          <w:tcPr>
            <w:tcW w:w="3417" w:type="pct"/>
            <w:shd w:val="clear" w:color="auto" w:fill="auto"/>
            <w:vAlign w:val="bottom"/>
          </w:tcPr>
          <w:p w14:paraId="7C20889A" w14:textId="77777777" w:rsidR="00834A75" w:rsidRDefault="00834A75">
            <w:pPr>
              <w:rPr>
                <w:rFonts w:ascii="宋体"/>
              </w:rPr>
            </w:pPr>
          </w:p>
        </w:tc>
        <w:tc>
          <w:tcPr>
            <w:tcW w:w="5" w:type="pct"/>
            <w:shd w:val="clear" w:color="auto" w:fill="auto"/>
            <w:vAlign w:val="bottom"/>
          </w:tcPr>
          <w:p w14:paraId="7C20889B" w14:textId="77777777" w:rsidR="00834A75" w:rsidRDefault="00834A75">
            <w:pPr>
              <w:rPr>
                <w:rFonts w:ascii="宋体"/>
              </w:rPr>
            </w:pPr>
          </w:p>
        </w:tc>
        <w:tc>
          <w:tcPr>
            <w:tcW w:w="50" w:type="pct"/>
            <w:shd w:val="clear" w:color="auto" w:fill="auto"/>
            <w:vAlign w:val="bottom"/>
          </w:tcPr>
          <w:p w14:paraId="7C20889C" w14:textId="77777777" w:rsidR="00834A75" w:rsidRDefault="00834A75">
            <w:pPr>
              <w:rPr>
                <w:rFonts w:ascii="宋体"/>
              </w:rPr>
            </w:pPr>
          </w:p>
        </w:tc>
        <w:tc>
          <w:tcPr>
            <w:tcW w:w="675" w:type="pct"/>
            <w:shd w:val="clear" w:color="auto" w:fill="auto"/>
            <w:vAlign w:val="bottom"/>
          </w:tcPr>
          <w:p w14:paraId="7C20889D" w14:textId="77777777" w:rsidR="00834A75" w:rsidRDefault="00834A75">
            <w:pPr>
              <w:rPr>
                <w:rFonts w:ascii="宋体"/>
              </w:rPr>
            </w:pPr>
          </w:p>
        </w:tc>
        <w:tc>
          <w:tcPr>
            <w:tcW w:w="5" w:type="pct"/>
            <w:shd w:val="clear" w:color="auto" w:fill="auto"/>
            <w:vAlign w:val="bottom"/>
          </w:tcPr>
          <w:p w14:paraId="7C20889E" w14:textId="77777777" w:rsidR="00834A75" w:rsidRDefault="00834A75">
            <w:pPr>
              <w:rPr>
                <w:rFonts w:ascii="宋体"/>
              </w:rPr>
            </w:pPr>
          </w:p>
        </w:tc>
        <w:tc>
          <w:tcPr>
            <w:tcW w:w="5" w:type="pct"/>
            <w:shd w:val="clear" w:color="auto" w:fill="auto"/>
            <w:vAlign w:val="bottom"/>
          </w:tcPr>
          <w:p w14:paraId="7C20889F" w14:textId="77777777" w:rsidR="00834A75" w:rsidRDefault="00834A75">
            <w:pPr>
              <w:rPr>
                <w:rFonts w:ascii="宋体"/>
              </w:rPr>
            </w:pPr>
          </w:p>
        </w:tc>
        <w:tc>
          <w:tcPr>
            <w:tcW w:w="55" w:type="pct"/>
            <w:shd w:val="clear" w:color="auto" w:fill="auto"/>
            <w:vAlign w:val="bottom"/>
          </w:tcPr>
          <w:p w14:paraId="7C2088A0" w14:textId="77777777" w:rsidR="00834A75" w:rsidRDefault="00834A75">
            <w:pPr>
              <w:rPr>
                <w:rFonts w:ascii="宋体"/>
              </w:rPr>
            </w:pPr>
          </w:p>
        </w:tc>
        <w:tc>
          <w:tcPr>
            <w:tcW w:w="5" w:type="pct"/>
            <w:shd w:val="clear" w:color="auto" w:fill="auto"/>
            <w:vAlign w:val="bottom"/>
          </w:tcPr>
          <w:p w14:paraId="7C2088A1" w14:textId="77777777" w:rsidR="00834A75" w:rsidRDefault="00834A75">
            <w:pPr>
              <w:rPr>
                <w:rFonts w:ascii="宋体"/>
              </w:rPr>
            </w:pPr>
          </w:p>
        </w:tc>
        <w:tc>
          <w:tcPr>
            <w:tcW w:w="50" w:type="pct"/>
            <w:shd w:val="clear" w:color="auto" w:fill="auto"/>
            <w:vAlign w:val="bottom"/>
          </w:tcPr>
          <w:p w14:paraId="7C2088A2" w14:textId="77777777" w:rsidR="00834A75" w:rsidRDefault="00834A75">
            <w:pPr>
              <w:rPr>
                <w:rFonts w:ascii="宋体"/>
              </w:rPr>
            </w:pPr>
          </w:p>
        </w:tc>
        <w:tc>
          <w:tcPr>
            <w:tcW w:w="676" w:type="pct"/>
            <w:shd w:val="clear" w:color="auto" w:fill="auto"/>
            <w:vAlign w:val="bottom"/>
          </w:tcPr>
          <w:p w14:paraId="7C2088A3" w14:textId="77777777" w:rsidR="00834A75" w:rsidRDefault="00834A75">
            <w:pPr>
              <w:rPr>
                <w:rFonts w:ascii="宋体"/>
              </w:rPr>
            </w:pPr>
          </w:p>
        </w:tc>
        <w:tc>
          <w:tcPr>
            <w:tcW w:w="5" w:type="pct"/>
            <w:shd w:val="clear" w:color="auto" w:fill="auto"/>
            <w:vAlign w:val="bottom"/>
          </w:tcPr>
          <w:p w14:paraId="7C2088A4" w14:textId="77777777" w:rsidR="00834A75" w:rsidRDefault="00834A75">
            <w:pPr>
              <w:rPr>
                <w:rFonts w:ascii="宋体"/>
              </w:rPr>
            </w:pPr>
          </w:p>
        </w:tc>
      </w:tr>
      <w:tr w:rsidR="00834A75" w14:paraId="7C2088AA" w14:textId="77777777">
        <w:tc>
          <w:tcPr>
            <w:tcW w:w="0" w:type="auto"/>
            <w:gridSpan w:val="3"/>
            <w:shd w:val="clear" w:color="auto" w:fill="auto"/>
            <w:tcMar>
              <w:top w:w="40" w:type="dxa"/>
              <w:left w:w="20" w:type="dxa"/>
              <w:bottom w:w="40" w:type="dxa"/>
              <w:right w:w="20" w:type="dxa"/>
            </w:tcMar>
            <w:vAlign w:val="bottom"/>
          </w:tcPr>
          <w:p w14:paraId="7C2088A6" w14:textId="77777777" w:rsidR="00834A75" w:rsidRDefault="00A6708C">
            <w:pPr>
              <w:textAlignment w:val="bottom"/>
            </w:pPr>
            <w:r>
              <w:rPr>
                <w:rFonts w:ascii="sans-serif" w:eastAsia="sans-serif" w:hAnsi="sans-serif" w:cs="sans-serif"/>
                <w:color w:val="000000"/>
                <w:sz w:val="20"/>
                <w:szCs w:val="20"/>
              </w:rPr>
              <w:t> </w:t>
            </w:r>
          </w:p>
        </w:tc>
        <w:tc>
          <w:tcPr>
            <w:tcW w:w="0" w:type="auto"/>
            <w:gridSpan w:val="3"/>
            <w:shd w:val="clear" w:color="auto" w:fill="auto"/>
            <w:tcMar>
              <w:top w:w="40" w:type="dxa"/>
              <w:left w:w="20" w:type="dxa"/>
              <w:bottom w:w="40" w:type="dxa"/>
              <w:right w:w="20" w:type="dxa"/>
            </w:tcMar>
            <w:vAlign w:val="bottom"/>
          </w:tcPr>
          <w:p w14:paraId="7C2088A7" w14:textId="77777777" w:rsidR="00834A75" w:rsidRDefault="00A6708C">
            <w:pPr>
              <w:jc w:val="center"/>
              <w:textAlignment w:val="bottom"/>
            </w:pPr>
            <w:r>
              <w:rPr>
                <w:rFonts w:ascii="sans-serif" w:eastAsia="sans-serif" w:hAnsi="sans-serif" w:cs="sans-serif"/>
                <w:b/>
                <w:bCs/>
                <w:color w:val="000000"/>
                <w:sz w:val="20"/>
                <w:szCs w:val="20"/>
              </w:rPr>
              <w:t>May 1,</w:t>
            </w:r>
            <w:r>
              <w:rPr>
                <w:rFonts w:ascii="sans-serif" w:eastAsia="sans-serif" w:hAnsi="sans-serif" w:cs="sans-serif"/>
                <w:b/>
                <w:bCs/>
                <w:color w:val="000000"/>
                <w:sz w:val="20"/>
                <w:szCs w:val="20"/>
              </w:rPr>
              <w:br/>
              <w:t>2022</w:t>
            </w:r>
          </w:p>
        </w:tc>
        <w:tc>
          <w:tcPr>
            <w:tcW w:w="0" w:type="auto"/>
            <w:gridSpan w:val="3"/>
            <w:shd w:val="clear" w:color="auto" w:fill="auto"/>
            <w:tcMar>
              <w:top w:w="0" w:type="dxa"/>
              <w:left w:w="20" w:type="dxa"/>
              <w:bottom w:w="0" w:type="dxa"/>
              <w:right w:w="20" w:type="dxa"/>
            </w:tcMar>
            <w:vAlign w:val="bottom"/>
          </w:tcPr>
          <w:p w14:paraId="7C2088A8" w14:textId="77777777" w:rsidR="00834A75" w:rsidRDefault="00834A75">
            <w:pPr>
              <w:rPr>
                <w:rFonts w:ascii="宋体"/>
              </w:rPr>
            </w:pPr>
          </w:p>
        </w:tc>
        <w:tc>
          <w:tcPr>
            <w:tcW w:w="0" w:type="auto"/>
            <w:gridSpan w:val="3"/>
            <w:shd w:val="clear" w:color="auto" w:fill="auto"/>
            <w:tcMar>
              <w:top w:w="40" w:type="dxa"/>
              <w:left w:w="20" w:type="dxa"/>
              <w:bottom w:w="40" w:type="dxa"/>
              <w:right w:w="20" w:type="dxa"/>
            </w:tcMar>
            <w:vAlign w:val="bottom"/>
          </w:tcPr>
          <w:p w14:paraId="7C2088A9" w14:textId="77777777" w:rsidR="00834A75" w:rsidRDefault="00A6708C">
            <w:pPr>
              <w:jc w:val="center"/>
              <w:textAlignment w:val="bottom"/>
            </w:pPr>
            <w:r>
              <w:rPr>
                <w:rFonts w:ascii="sans-serif" w:eastAsia="sans-serif" w:hAnsi="sans-serif" w:cs="sans-serif"/>
                <w:b/>
                <w:bCs/>
                <w:color w:val="000000"/>
                <w:sz w:val="20"/>
                <w:szCs w:val="20"/>
              </w:rPr>
              <w:t>January 30,</w:t>
            </w:r>
            <w:r>
              <w:rPr>
                <w:rFonts w:ascii="sans-serif" w:eastAsia="sans-serif" w:hAnsi="sans-serif" w:cs="sans-serif"/>
                <w:b/>
                <w:bCs/>
                <w:color w:val="000000"/>
                <w:sz w:val="20"/>
                <w:szCs w:val="20"/>
              </w:rPr>
              <w:br/>
              <w:t>2022</w:t>
            </w:r>
          </w:p>
        </w:tc>
      </w:tr>
      <w:tr w:rsidR="00834A75" w14:paraId="7C2088AF" w14:textId="77777777">
        <w:trPr>
          <w:trHeight w:val="60"/>
        </w:trPr>
        <w:tc>
          <w:tcPr>
            <w:tcW w:w="0" w:type="auto"/>
            <w:gridSpan w:val="3"/>
            <w:shd w:val="clear" w:color="auto" w:fill="auto"/>
            <w:tcMar>
              <w:top w:w="0" w:type="dxa"/>
              <w:left w:w="20" w:type="dxa"/>
              <w:bottom w:w="0" w:type="dxa"/>
              <w:right w:w="20" w:type="dxa"/>
            </w:tcMar>
            <w:vAlign w:val="bottom"/>
          </w:tcPr>
          <w:p w14:paraId="7C2088AB" w14:textId="77777777" w:rsidR="00834A75" w:rsidRDefault="00834A75">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C2088AC" w14:textId="77777777" w:rsidR="00834A75" w:rsidRDefault="00834A75">
            <w:pPr>
              <w:rPr>
                <w:rFonts w:ascii="宋体"/>
              </w:rPr>
            </w:pPr>
          </w:p>
        </w:tc>
        <w:tc>
          <w:tcPr>
            <w:tcW w:w="0" w:type="auto"/>
            <w:gridSpan w:val="3"/>
            <w:shd w:val="clear" w:color="auto" w:fill="auto"/>
            <w:tcMar>
              <w:top w:w="0" w:type="dxa"/>
              <w:left w:w="20" w:type="dxa"/>
              <w:bottom w:w="0" w:type="dxa"/>
              <w:right w:w="20" w:type="dxa"/>
            </w:tcMar>
            <w:vAlign w:val="bottom"/>
          </w:tcPr>
          <w:p w14:paraId="7C2088AD" w14:textId="77777777" w:rsidR="00834A75" w:rsidRDefault="00834A75">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C2088AE" w14:textId="77777777" w:rsidR="00834A75" w:rsidRDefault="00834A75">
            <w:pPr>
              <w:rPr>
                <w:rFonts w:ascii="宋体"/>
              </w:rPr>
            </w:pPr>
          </w:p>
        </w:tc>
      </w:tr>
      <w:tr w:rsidR="00834A75" w14:paraId="7C2088B2" w14:textId="77777777">
        <w:tc>
          <w:tcPr>
            <w:tcW w:w="0" w:type="auto"/>
            <w:gridSpan w:val="3"/>
            <w:shd w:val="clear" w:color="auto" w:fill="auto"/>
            <w:tcMar>
              <w:top w:w="0" w:type="dxa"/>
              <w:left w:w="20" w:type="dxa"/>
              <w:bottom w:w="0" w:type="dxa"/>
              <w:right w:w="20" w:type="dxa"/>
            </w:tcMar>
            <w:vAlign w:val="bottom"/>
          </w:tcPr>
          <w:p w14:paraId="7C2088B0" w14:textId="77777777" w:rsidR="00834A75" w:rsidRDefault="00834A75">
            <w:pPr>
              <w:rPr>
                <w:rFonts w:ascii="宋体"/>
              </w:rPr>
            </w:pPr>
          </w:p>
        </w:tc>
        <w:tc>
          <w:tcPr>
            <w:tcW w:w="0" w:type="auto"/>
            <w:gridSpan w:val="9"/>
            <w:shd w:val="clear" w:color="auto" w:fill="auto"/>
            <w:tcMar>
              <w:top w:w="40" w:type="dxa"/>
              <w:left w:w="20" w:type="dxa"/>
              <w:bottom w:w="40" w:type="dxa"/>
              <w:right w:w="20" w:type="dxa"/>
            </w:tcMar>
            <w:vAlign w:val="bottom"/>
          </w:tcPr>
          <w:p w14:paraId="7C2088B1" w14:textId="77777777" w:rsidR="00834A75" w:rsidRDefault="00A6708C">
            <w:pPr>
              <w:jc w:val="center"/>
              <w:textAlignment w:val="bottom"/>
            </w:pPr>
            <w:r>
              <w:rPr>
                <w:rFonts w:ascii="sans-serif" w:eastAsia="sans-serif" w:hAnsi="sans-serif" w:cs="sans-serif"/>
                <w:i/>
                <w:iCs/>
                <w:color w:val="000000"/>
                <w:sz w:val="20"/>
                <w:szCs w:val="20"/>
              </w:rPr>
              <w:t>(In millions)</w:t>
            </w:r>
          </w:p>
        </w:tc>
      </w:tr>
      <w:tr w:rsidR="00834A75" w14:paraId="7C2088BB" w14:textId="77777777">
        <w:tc>
          <w:tcPr>
            <w:tcW w:w="0" w:type="auto"/>
            <w:gridSpan w:val="3"/>
            <w:shd w:val="clear" w:color="auto" w:fill="E2EFD9"/>
            <w:tcMar>
              <w:top w:w="40" w:type="dxa"/>
              <w:left w:w="20" w:type="dxa"/>
              <w:bottom w:w="40" w:type="dxa"/>
              <w:right w:w="20" w:type="dxa"/>
            </w:tcMar>
            <w:vAlign w:val="bottom"/>
          </w:tcPr>
          <w:p w14:paraId="7C2088B3" w14:textId="77777777" w:rsidR="00834A75" w:rsidRDefault="00A6708C">
            <w:pPr>
              <w:textAlignment w:val="bottom"/>
            </w:pPr>
            <w:r>
              <w:rPr>
                <w:rFonts w:ascii="sans-serif" w:eastAsia="sans-serif" w:hAnsi="sans-serif" w:cs="sans-serif"/>
                <w:color w:val="000000"/>
                <w:sz w:val="20"/>
                <w:szCs w:val="20"/>
              </w:rPr>
              <w:t xml:space="preserve">Designated as cash flow </w:t>
            </w:r>
            <w:r>
              <w:rPr>
                <w:rFonts w:ascii="sans-serif" w:eastAsia="sans-serif" w:hAnsi="sans-serif" w:cs="sans-serif"/>
                <w:color w:val="000000"/>
                <w:sz w:val="20"/>
                <w:szCs w:val="20"/>
              </w:rPr>
              <w:t>hedges</w:t>
            </w:r>
          </w:p>
        </w:tc>
        <w:tc>
          <w:tcPr>
            <w:tcW w:w="0" w:type="auto"/>
            <w:shd w:val="clear" w:color="auto" w:fill="E2EFD9"/>
            <w:tcMar>
              <w:top w:w="40" w:type="dxa"/>
              <w:left w:w="20" w:type="dxa"/>
              <w:bottom w:w="40" w:type="dxa"/>
              <w:right w:w="0" w:type="dxa"/>
            </w:tcMar>
            <w:vAlign w:val="bottom"/>
          </w:tcPr>
          <w:p w14:paraId="7C2088B4" w14:textId="77777777" w:rsidR="00834A75" w:rsidRDefault="00A6708C">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7C2088B5" w14:textId="77777777" w:rsidR="00834A75" w:rsidRDefault="00A6708C">
            <w:pPr>
              <w:jc w:val="right"/>
              <w:textAlignment w:val="bottom"/>
            </w:pPr>
            <w:r>
              <w:rPr>
                <w:rFonts w:ascii="sans-serif" w:eastAsia="sans-serif" w:hAnsi="sans-serif" w:cs="sans-serif"/>
                <w:color w:val="000000"/>
                <w:sz w:val="20"/>
                <w:szCs w:val="20"/>
              </w:rPr>
              <w:t>1,070 </w:t>
            </w:r>
          </w:p>
        </w:tc>
        <w:tc>
          <w:tcPr>
            <w:tcW w:w="0" w:type="auto"/>
            <w:shd w:val="clear" w:color="auto" w:fill="E2EFD9"/>
            <w:tcMar>
              <w:top w:w="40" w:type="dxa"/>
              <w:left w:w="0" w:type="dxa"/>
              <w:bottom w:w="40" w:type="dxa"/>
              <w:right w:w="20" w:type="dxa"/>
            </w:tcMar>
            <w:vAlign w:val="bottom"/>
          </w:tcPr>
          <w:p w14:paraId="7C2088B6" w14:textId="77777777" w:rsidR="00834A75" w:rsidRDefault="00834A75">
            <w:pPr>
              <w:jc w:val="right"/>
              <w:rPr>
                <w:rFonts w:ascii="宋体"/>
              </w:rPr>
            </w:pPr>
          </w:p>
        </w:tc>
        <w:tc>
          <w:tcPr>
            <w:tcW w:w="0" w:type="auto"/>
            <w:gridSpan w:val="3"/>
            <w:shd w:val="clear" w:color="auto" w:fill="E2EFD9"/>
            <w:tcMar>
              <w:top w:w="0" w:type="dxa"/>
              <w:left w:w="20" w:type="dxa"/>
              <w:bottom w:w="0" w:type="dxa"/>
              <w:right w:w="20" w:type="dxa"/>
            </w:tcMar>
            <w:vAlign w:val="bottom"/>
          </w:tcPr>
          <w:p w14:paraId="7C2088B7" w14:textId="77777777" w:rsidR="00834A75" w:rsidRDefault="00834A75">
            <w:pPr>
              <w:rPr>
                <w:rFonts w:ascii="宋体"/>
              </w:rPr>
            </w:pPr>
          </w:p>
        </w:tc>
        <w:tc>
          <w:tcPr>
            <w:tcW w:w="0" w:type="auto"/>
            <w:shd w:val="clear" w:color="auto" w:fill="E2EFD9"/>
            <w:tcMar>
              <w:top w:w="40" w:type="dxa"/>
              <w:left w:w="20" w:type="dxa"/>
              <w:bottom w:w="40" w:type="dxa"/>
              <w:right w:w="0" w:type="dxa"/>
            </w:tcMar>
            <w:vAlign w:val="bottom"/>
          </w:tcPr>
          <w:p w14:paraId="7C2088B8" w14:textId="77777777" w:rsidR="00834A75" w:rsidRDefault="00A6708C">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7C2088B9" w14:textId="77777777" w:rsidR="00834A75" w:rsidRDefault="00A6708C">
            <w:pPr>
              <w:jc w:val="right"/>
              <w:textAlignment w:val="bottom"/>
            </w:pPr>
            <w:r>
              <w:rPr>
                <w:rFonts w:ascii="sans-serif" w:eastAsia="sans-serif" w:hAnsi="sans-serif" w:cs="sans-serif"/>
                <w:color w:val="000000"/>
                <w:sz w:val="20"/>
                <w:szCs w:val="20"/>
              </w:rPr>
              <w:t>1,023 </w:t>
            </w:r>
          </w:p>
        </w:tc>
        <w:tc>
          <w:tcPr>
            <w:tcW w:w="0" w:type="auto"/>
            <w:shd w:val="clear" w:color="auto" w:fill="E2EFD9"/>
            <w:tcMar>
              <w:top w:w="40" w:type="dxa"/>
              <w:left w:w="0" w:type="dxa"/>
              <w:bottom w:w="40" w:type="dxa"/>
              <w:right w:w="20" w:type="dxa"/>
            </w:tcMar>
            <w:vAlign w:val="bottom"/>
          </w:tcPr>
          <w:p w14:paraId="7C2088BA" w14:textId="77777777" w:rsidR="00834A75" w:rsidRDefault="00834A75">
            <w:pPr>
              <w:jc w:val="right"/>
              <w:rPr>
                <w:rFonts w:ascii="宋体"/>
              </w:rPr>
            </w:pPr>
          </w:p>
        </w:tc>
      </w:tr>
      <w:tr w:rsidR="00834A75" w14:paraId="7C2088C4" w14:textId="77777777">
        <w:tc>
          <w:tcPr>
            <w:tcW w:w="0" w:type="auto"/>
            <w:gridSpan w:val="3"/>
            <w:shd w:val="clear" w:color="auto" w:fill="FFFFFF"/>
            <w:tcMar>
              <w:top w:w="40" w:type="dxa"/>
              <w:left w:w="20" w:type="dxa"/>
              <w:bottom w:w="40" w:type="dxa"/>
              <w:right w:w="20" w:type="dxa"/>
            </w:tcMar>
            <w:vAlign w:val="bottom"/>
          </w:tcPr>
          <w:p w14:paraId="7C2088BC" w14:textId="77777777" w:rsidR="00834A75" w:rsidRDefault="00A6708C">
            <w:pPr>
              <w:textAlignment w:val="bottom"/>
            </w:pPr>
            <w:r>
              <w:rPr>
                <w:rFonts w:ascii="sans-serif" w:eastAsia="sans-serif" w:hAnsi="sans-serif" w:cs="sans-serif"/>
                <w:color w:val="000000"/>
                <w:sz w:val="20"/>
                <w:szCs w:val="20"/>
              </w:rPr>
              <w:t>Not designated for hedge accounting</w:t>
            </w:r>
          </w:p>
        </w:tc>
        <w:tc>
          <w:tcPr>
            <w:tcW w:w="0" w:type="auto"/>
            <w:shd w:val="clear" w:color="auto" w:fill="FFFFFF"/>
            <w:tcMar>
              <w:top w:w="40" w:type="dxa"/>
              <w:left w:w="20" w:type="dxa"/>
              <w:bottom w:w="40" w:type="dxa"/>
              <w:right w:w="0" w:type="dxa"/>
            </w:tcMar>
            <w:vAlign w:val="bottom"/>
          </w:tcPr>
          <w:p w14:paraId="7C2088BD" w14:textId="77777777" w:rsidR="00834A75" w:rsidRDefault="00A6708C">
            <w:pPr>
              <w:textAlignment w:val="bottom"/>
            </w:pPr>
            <w:r>
              <w:rPr>
                <w:rFonts w:ascii="sans-serif" w:eastAsia="sans-serif" w:hAnsi="sans-serif" w:cs="sans-serif"/>
                <w:color w:val="000000"/>
                <w:sz w:val="20"/>
                <w:szCs w:val="20"/>
              </w:rPr>
              <w:t>$</w:t>
            </w:r>
          </w:p>
        </w:tc>
        <w:tc>
          <w:tcPr>
            <w:tcW w:w="0" w:type="auto"/>
            <w:shd w:val="clear" w:color="auto" w:fill="FFFFFF"/>
            <w:tcMar>
              <w:top w:w="40" w:type="dxa"/>
              <w:left w:w="0" w:type="dxa"/>
              <w:bottom w:w="40" w:type="dxa"/>
              <w:right w:w="0" w:type="dxa"/>
            </w:tcMar>
            <w:vAlign w:val="bottom"/>
          </w:tcPr>
          <w:p w14:paraId="7C2088BE" w14:textId="77777777" w:rsidR="00834A75" w:rsidRDefault="00A6708C">
            <w:pPr>
              <w:jc w:val="right"/>
              <w:textAlignment w:val="bottom"/>
            </w:pPr>
            <w:r>
              <w:rPr>
                <w:rFonts w:ascii="sans-serif" w:eastAsia="sans-serif" w:hAnsi="sans-serif" w:cs="sans-serif"/>
                <w:color w:val="000000"/>
                <w:sz w:val="20"/>
                <w:szCs w:val="20"/>
              </w:rPr>
              <w:t>382 </w:t>
            </w:r>
          </w:p>
        </w:tc>
        <w:tc>
          <w:tcPr>
            <w:tcW w:w="0" w:type="auto"/>
            <w:shd w:val="clear" w:color="auto" w:fill="FFFFFF"/>
            <w:tcMar>
              <w:top w:w="40" w:type="dxa"/>
              <w:left w:w="0" w:type="dxa"/>
              <w:bottom w:w="40" w:type="dxa"/>
              <w:right w:w="20" w:type="dxa"/>
            </w:tcMar>
            <w:vAlign w:val="bottom"/>
          </w:tcPr>
          <w:p w14:paraId="7C2088BF" w14:textId="77777777" w:rsidR="00834A75" w:rsidRDefault="00834A75">
            <w:pPr>
              <w:jc w:val="right"/>
              <w:rPr>
                <w:rFonts w:ascii="宋体"/>
              </w:rPr>
            </w:pPr>
          </w:p>
        </w:tc>
        <w:tc>
          <w:tcPr>
            <w:tcW w:w="0" w:type="auto"/>
            <w:gridSpan w:val="3"/>
            <w:shd w:val="clear" w:color="auto" w:fill="FFFFFF"/>
            <w:tcMar>
              <w:top w:w="0" w:type="dxa"/>
              <w:left w:w="20" w:type="dxa"/>
              <w:bottom w:w="0" w:type="dxa"/>
              <w:right w:w="20" w:type="dxa"/>
            </w:tcMar>
            <w:vAlign w:val="bottom"/>
          </w:tcPr>
          <w:p w14:paraId="7C2088C0" w14:textId="77777777" w:rsidR="00834A75" w:rsidRDefault="00834A75">
            <w:pPr>
              <w:rPr>
                <w:rFonts w:ascii="宋体"/>
              </w:rPr>
            </w:pPr>
          </w:p>
        </w:tc>
        <w:tc>
          <w:tcPr>
            <w:tcW w:w="0" w:type="auto"/>
            <w:shd w:val="clear" w:color="auto" w:fill="FFFFFF"/>
            <w:tcMar>
              <w:top w:w="40" w:type="dxa"/>
              <w:left w:w="20" w:type="dxa"/>
              <w:bottom w:w="40" w:type="dxa"/>
              <w:right w:w="0" w:type="dxa"/>
            </w:tcMar>
            <w:vAlign w:val="bottom"/>
          </w:tcPr>
          <w:p w14:paraId="7C2088C1" w14:textId="77777777" w:rsidR="00834A75" w:rsidRDefault="00A6708C">
            <w:pPr>
              <w:textAlignment w:val="bottom"/>
            </w:pPr>
            <w:r>
              <w:rPr>
                <w:rFonts w:ascii="sans-serif" w:eastAsia="sans-serif" w:hAnsi="sans-serif" w:cs="sans-serif"/>
                <w:color w:val="000000"/>
                <w:sz w:val="20"/>
                <w:szCs w:val="20"/>
              </w:rPr>
              <w:t>$</w:t>
            </w:r>
          </w:p>
        </w:tc>
        <w:tc>
          <w:tcPr>
            <w:tcW w:w="0" w:type="auto"/>
            <w:shd w:val="clear" w:color="auto" w:fill="FFFFFF"/>
            <w:tcMar>
              <w:top w:w="40" w:type="dxa"/>
              <w:left w:w="0" w:type="dxa"/>
              <w:bottom w:w="40" w:type="dxa"/>
              <w:right w:w="0" w:type="dxa"/>
            </w:tcMar>
            <w:vAlign w:val="bottom"/>
          </w:tcPr>
          <w:p w14:paraId="7C2088C2" w14:textId="77777777" w:rsidR="00834A75" w:rsidRDefault="00A6708C">
            <w:pPr>
              <w:jc w:val="right"/>
              <w:textAlignment w:val="bottom"/>
            </w:pPr>
            <w:r>
              <w:rPr>
                <w:rFonts w:ascii="sans-serif" w:eastAsia="sans-serif" w:hAnsi="sans-serif" w:cs="sans-serif"/>
                <w:color w:val="000000"/>
                <w:sz w:val="20"/>
                <w:szCs w:val="20"/>
              </w:rPr>
              <w:t>408 </w:t>
            </w:r>
          </w:p>
        </w:tc>
        <w:tc>
          <w:tcPr>
            <w:tcW w:w="0" w:type="auto"/>
            <w:shd w:val="clear" w:color="auto" w:fill="FFFFFF"/>
            <w:tcMar>
              <w:top w:w="40" w:type="dxa"/>
              <w:left w:w="0" w:type="dxa"/>
              <w:bottom w:w="40" w:type="dxa"/>
              <w:right w:w="20" w:type="dxa"/>
            </w:tcMar>
            <w:vAlign w:val="bottom"/>
          </w:tcPr>
          <w:p w14:paraId="7C2088C3" w14:textId="77777777" w:rsidR="00834A75" w:rsidRDefault="00834A75">
            <w:pPr>
              <w:jc w:val="right"/>
              <w:rPr>
                <w:rFonts w:ascii="宋体"/>
              </w:rPr>
            </w:pPr>
          </w:p>
        </w:tc>
      </w:tr>
    </w:tbl>
    <w:p w14:paraId="7C2088C5" w14:textId="77777777" w:rsidR="00834A75" w:rsidRDefault="00A6708C">
      <w:pPr>
        <w:spacing w:before="180" w:after="180"/>
        <w:jc w:val="both"/>
      </w:pPr>
      <w:r>
        <w:rPr>
          <w:rFonts w:ascii="sans-serif" w:eastAsia="sans-serif" w:hAnsi="sans-serif" w:cs="sans-serif"/>
          <w:color w:val="000000"/>
          <w:sz w:val="20"/>
          <w:szCs w:val="20"/>
        </w:rPr>
        <w:t xml:space="preserve">As of May 1, 2022, all designated foreign currency forward contracts mature within eighteen months. The expected realized gains and losses deferred into </w:t>
      </w:r>
      <w:r>
        <w:rPr>
          <w:rFonts w:ascii="sans-serif" w:eastAsia="sans-serif" w:hAnsi="sans-serif" w:cs="sans-serif"/>
          <w:color w:val="000000"/>
          <w:sz w:val="20"/>
          <w:szCs w:val="20"/>
        </w:rPr>
        <w:t>accumulated other comprehensive income or loss related to foreign currency forward contracts within the next twelve months was not significant.</w:t>
      </w:r>
    </w:p>
    <w:p w14:paraId="7C2088C6" w14:textId="77777777" w:rsidR="00834A75" w:rsidRDefault="00A6708C">
      <w:pPr>
        <w:spacing w:after="180"/>
        <w:jc w:val="both"/>
      </w:pPr>
      <w:r>
        <w:rPr>
          <w:rFonts w:ascii="sans-serif" w:eastAsia="sans-serif" w:hAnsi="sans-serif" w:cs="sans-serif"/>
          <w:color w:val="000000"/>
          <w:sz w:val="20"/>
          <w:szCs w:val="20"/>
        </w:rPr>
        <w:t>During the first quarter of fiscal years 2023 and 2022, the impact of derivative financial instruments designate</w:t>
      </w:r>
      <w:r>
        <w:rPr>
          <w:rFonts w:ascii="sans-serif" w:eastAsia="sans-serif" w:hAnsi="sans-serif" w:cs="sans-serif"/>
          <w:color w:val="000000"/>
          <w:sz w:val="20"/>
          <w:szCs w:val="20"/>
        </w:rPr>
        <w:t>d for hedge accounting treatment on other comprehensive income or loss was not significant.</w:t>
      </w:r>
    </w:p>
    <w:p w14:paraId="7C2088C7" w14:textId="77777777" w:rsidR="00834A75" w:rsidRDefault="00A6708C">
      <w:pPr>
        <w:spacing w:before="240" w:after="120"/>
        <w:jc w:val="both"/>
      </w:pPr>
      <w:r>
        <w:rPr>
          <w:rFonts w:ascii="sans-serif" w:eastAsia="sans-serif" w:hAnsi="sans-serif" w:cs="sans-serif"/>
          <w:b/>
          <w:bCs/>
          <w:color w:val="76B900"/>
          <w:sz w:val="22"/>
          <w:szCs w:val="22"/>
        </w:rPr>
        <w:t>Note 12 - Debt</w:t>
      </w:r>
    </w:p>
    <w:p w14:paraId="7C2088C8" w14:textId="77777777" w:rsidR="00834A75" w:rsidRDefault="00A6708C">
      <w:pPr>
        <w:spacing w:before="240" w:after="60"/>
        <w:jc w:val="both"/>
      </w:pPr>
      <w:r>
        <w:rPr>
          <w:rFonts w:ascii="sans-serif" w:eastAsia="sans-serif" w:hAnsi="sans-serif" w:cs="sans-serif"/>
          <w:b/>
          <w:bCs/>
          <w:color w:val="76B900"/>
          <w:sz w:val="20"/>
          <w:szCs w:val="20"/>
        </w:rPr>
        <w:t>Long-Term Debt</w:t>
      </w:r>
    </w:p>
    <w:p w14:paraId="7C2088C9" w14:textId="77777777" w:rsidR="00834A75" w:rsidRDefault="00A6708C">
      <w:pPr>
        <w:spacing w:after="180"/>
        <w:jc w:val="both"/>
      </w:pPr>
      <w:r>
        <w:rPr>
          <w:rFonts w:ascii="sans-serif" w:eastAsia="sans-serif" w:hAnsi="sans-serif" w:cs="sans-serif"/>
          <w:color w:val="000000"/>
          <w:sz w:val="20"/>
          <w:szCs w:val="20"/>
        </w:rPr>
        <w:t>The carrying values of our outstanding notes and their associated interest rates were as follows:</w:t>
      </w:r>
    </w:p>
    <w:tbl>
      <w:tblPr>
        <w:tblW w:w="5000" w:type="pct"/>
        <w:tblCellMar>
          <w:top w:w="15" w:type="dxa"/>
          <w:left w:w="15" w:type="dxa"/>
          <w:bottom w:w="15" w:type="dxa"/>
          <w:right w:w="15" w:type="dxa"/>
        </w:tblCellMar>
        <w:tblLook w:val="04A0" w:firstRow="1" w:lastRow="0" w:firstColumn="1" w:lastColumn="0" w:noHBand="0" w:noVBand="1"/>
      </w:tblPr>
      <w:tblGrid>
        <w:gridCol w:w="47"/>
        <w:gridCol w:w="3712"/>
        <w:gridCol w:w="37"/>
        <w:gridCol w:w="36"/>
        <w:gridCol w:w="36"/>
        <w:gridCol w:w="36"/>
        <w:gridCol w:w="66"/>
        <w:gridCol w:w="993"/>
        <w:gridCol w:w="36"/>
        <w:gridCol w:w="36"/>
        <w:gridCol w:w="36"/>
        <w:gridCol w:w="36"/>
        <w:gridCol w:w="62"/>
        <w:gridCol w:w="889"/>
        <w:gridCol w:w="36"/>
        <w:gridCol w:w="36"/>
        <w:gridCol w:w="36"/>
        <w:gridCol w:w="36"/>
        <w:gridCol w:w="122"/>
        <w:gridCol w:w="855"/>
        <w:gridCol w:w="36"/>
        <w:gridCol w:w="36"/>
        <w:gridCol w:w="36"/>
        <w:gridCol w:w="36"/>
        <w:gridCol w:w="122"/>
        <w:gridCol w:w="855"/>
        <w:gridCol w:w="36"/>
      </w:tblGrid>
      <w:tr w:rsidR="00834A75" w14:paraId="7C2088E5" w14:textId="77777777">
        <w:tc>
          <w:tcPr>
            <w:tcW w:w="50" w:type="pct"/>
            <w:shd w:val="clear" w:color="auto" w:fill="auto"/>
            <w:vAlign w:val="bottom"/>
          </w:tcPr>
          <w:p w14:paraId="7C2088CA" w14:textId="77777777" w:rsidR="00834A75" w:rsidRDefault="00834A75">
            <w:pPr>
              <w:rPr>
                <w:rFonts w:ascii="宋体"/>
              </w:rPr>
            </w:pPr>
          </w:p>
        </w:tc>
        <w:tc>
          <w:tcPr>
            <w:tcW w:w="2247" w:type="pct"/>
            <w:shd w:val="clear" w:color="auto" w:fill="auto"/>
            <w:vAlign w:val="bottom"/>
          </w:tcPr>
          <w:p w14:paraId="7C2088CB" w14:textId="77777777" w:rsidR="00834A75" w:rsidRDefault="00834A75">
            <w:pPr>
              <w:rPr>
                <w:rFonts w:ascii="宋体"/>
              </w:rPr>
            </w:pPr>
          </w:p>
        </w:tc>
        <w:tc>
          <w:tcPr>
            <w:tcW w:w="5" w:type="pct"/>
            <w:shd w:val="clear" w:color="auto" w:fill="auto"/>
            <w:vAlign w:val="bottom"/>
          </w:tcPr>
          <w:p w14:paraId="7C2088CC" w14:textId="77777777" w:rsidR="00834A75" w:rsidRDefault="00834A75">
            <w:pPr>
              <w:rPr>
                <w:rFonts w:ascii="宋体"/>
              </w:rPr>
            </w:pPr>
          </w:p>
        </w:tc>
        <w:tc>
          <w:tcPr>
            <w:tcW w:w="5" w:type="pct"/>
            <w:shd w:val="clear" w:color="auto" w:fill="auto"/>
            <w:vAlign w:val="bottom"/>
          </w:tcPr>
          <w:p w14:paraId="7C2088CD" w14:textId="77777777" w:rsidR="00834A75" w:rsidRDefault="00834A75">
            <w:pPr>
              <w:rPr>
                <w:rFonts w:ascii="宋体"/>
              </w:rPr>
            </w:pPr>
          </w:p>
        </w:tc>
        <w:tc>
          <w:tcPr>
            <w:tcW w:w="26" w:type="pct"/>
            <w:shd w:val="clear" w:color="auto" w:fill="auto"/>
            <w:vAlign w:val="bottom"/>
          </w:tcPr>
          <w:p w14:paraId="7C2088CE" w14:textId="77777777" w:rsidR="00834A75" w:rsidRDefault="00834A75">
            <w:pPr>
              <w:rPr>
                <w:rFonts w:ascii="宋体"/>
              </w:rPr>
            </w:pPr>
          </w:p>
        </w:tc>
        <w:tc>
          <w:tcPr>
            <w:tcW w:w="5" w:type="pct"/>
            <w:shd w:val="clear" w:color="auto" w:fill="auto"/>
            <w:vAlign w:val="bottom"/>
          </w:tcPr>
          <w:p w14:paraId="7C2088CF" w14:textId="77777777" w:rsidR="00834A75" w:rsidRDefault="00834A75">
            <w:pPr>
              <w:rPr>
                <w:rFonts w:ascii="宋体"/>
              </w:rPr>
            </w:pPr>
          </w:p>
        </w:tc>
        <w:tc>
          <w:tcPr>
            <w:tcW w:w="50" w:type="pct"/>
            <w:shd w:val="clear" w:color="auto" w:fill="auto"/>
            <w:vAlign w:val="bottom"/>
          </w:tcPr>
          <w:p w14:paraId="7C2088D0" w14:textId="77777777" w:rsidR="00834A75" w:rsidRDefault="00834A75">
            <w:pPr>
              <w:rPr>
                <w:rFonts w:ascii="宋体"/>
              </w:rPr>
            </w:pPr>
          </w:p>
        </w:tc>
        <w:tc>
          <w:tcPr>
            <w:tcW w:w="646" w:type="pct"/>
            <w:shd w:val="clear" w:color="auto" w:fill="auto"/>
            <w:vAlign w:val="bottom"/>
          </w:tcPr>
          <w:p w14:paraId="7C2088D1" w14:textId="77777777" w:rsidR="00834A75" w:rsidRDefault="00834A75">
            <w:pPr>
              <w:rPr>
                <w:rFonts w:ascii="宋体"/>
              </w:rPr>
            </w:pPr>
          </w:p>
        </w:tc>
        <w:tc>
          <w:tcPr>
            <w:tcW w:w="5" w:type="pct"/>
            <w:shd w:val="clear" w:color="auto" w:fill="auto"/>
            <w:vAlign w:val="bottom"/>
          </w:tcPr>
          <w:p w14:paraId="7C2088D2" w14:textId="77777777" w:rsidR="00834A75" w:rsidRDefault="00834A75">
            <w:pPr>
              <w:rPr>
                <w:rFonts w:ascii="宋体"/>
              </w:rPr>
            </w:pPr>
          </w:p>
        </w:tc>
        <w:tc>
          <w:tcPr>
            <w:tcW w:w="5" w:type="pct"/>
            <w:shd w:val="clear" w:color="auto" w:fill="auto"/>
            <w:vAlign w:val="bottom"/>
          </w:tcPr>
          <w:p w14:paraId="7C2088D3" w14:textId="77777777" w:rsidR="00834A75" w:rsidRDefault="00834A75">
            <w:pPr>
              <w:rPr>
                <w:rFonts w:ascii="宋体"/>
              </w:rPr>
            </w:pPr>
          </w:p>
        </w:tc>
        <w:tc>
          <w:tcPr>
            <w:tcW w:w="41" w:type="pct"/>
            <w:shd w:val="clear" w:color="auto" w:fill="auto"/>
            <w:vAlign w:val="bottom"/>
          </w:tcPr>
          <w:p w14:paraId="7C2088D4" w14:textId="77777777" w:rsidR="00834A75" w:rsidRDefault="00834A75">
            <w:pPr>
              <w:rPr>
                <w:rFonts w:ascii="宋体"/>
              </w:rPr>
            </w:pPr>
          </w:p>
        </w:tc>
        <w:tc>
          <w:tcPr>
            <w:tcW w:w="5" w:type="pct"/>
            <w:shd w:val="clear" w:color="auto" w:fill="auto"/>
            <w:vAlign w:val="bottom"/>
          </w:tcPr>
          <w:p w14:paraId="7C2088D5" w14:textId="77777777" w:rsidR="00834A75" w:rsidRDefault="00834A75">
            <w:pPr>
              <w:rPr>
                <w:rFonts w:ascii="宋体"/>
              </w:rPr>
            </w:pPr>
          </w:p>
        </w:tc>
        <w:tc>
          <w:tcPr>
            <w:tcW w:w="50" w:type="pct"/>
            <w:shd w:val="clear" w:color="auto" w:fill="auto"/>
            <w:vAlign w:val="bottom"/>
          </w:tcPr>
          <w:p w14:paraId="7C2088D6" w14:textId="77777777" w:rsidR="00834A75" w:rsidRDefault="00834A75">
            <w:pPr>
              <w:rPr>
                <w:rFonts w:ascii="宋体"/>
              </w:rPr>
            </w:pPr>
          </w:p>
        </w:tc>
        <w:tc>
          <w:tcPr>
            <w:tcW w:w="566" w:type="pct"/>
            <w:shd w:val="clear" w:color="auto" w:fill="auto"/>
            <w:vAlign w:val="bottom"/>
          </w:tcPr>
          <w:p w14:paraId="7C2088D7" w14:textId="77777777" w:rsidR="00834A75" w:rsidRDefault="00834A75">
            <w:pPr>
              <w:rPr>
                <w:rFonts w:ascii="宋体"/>
              </w:rPr>
            </w:pPr>
          </w:p>
        </w:tc>
        <w:tc>
          <w:tcPr>
            <w:tcW w:w="5" w:type="pct"/>
            <w:shd w:val="clear" w:color="auto" w:fill="auto"/>
            <w:vAlign w:val="bottom"/>
          </w:tcPr>
          <w:p w14:paraId="7C2088D8" w14:textId="77777777" w:rsidR="00834A75" w:rsidRDefault="00834A75">
            <w:pPr>
              <w:rPr>
                <w:rFonts w:ascii="宋体"/>
              </w:rPr>
            </w:pPr>
          </w:p>
        </w:tc>
        <w:tc>
          <w:tcPr>
            <w:tcW w:w="5" w:type="pct"/>
            <w:shd w:val="clear" w:color="auto" w:fill="auto"/>
            <w:vAlign w:val="bottom"/>
          </w:tcPr>
          <w:p w14:paraId="7C2088D9" w14:textId="77777777" w:rsidR="00834A75" w:rsidRDefault="00834A75">
            <w:pPr>
              <w:rPr>
                <w:rFonts w:ascii="宋体"/>
              </w:rPr>
            </w:pPr>
          </w:p>
        </w:tc>
        <w:tc>
          <w:tcPr>
            <w:tcW w:w="41" w:type="pct"/>
            <w:shd w:val="clear" w:color="auto" w:fill="auto"/>
            <w:vAlign w:val="bottom"/>
          </w:tcPr>
          <w:p w14:paraId="7C2088DA" w14:textId="77777777" w:rsidR="00834A75" w:rsidRDefault="00834A75">
            <w:pPr>
              <w:rPr>
                <w:rFonts w:ascii="宋体"/>
              </w:rPr>
            </w:pPr>
          </w:p>
        </w:tc>
        <w:tc>
          <w:tcPr>
            <w:tcW w:w="5" w:type="pct"/>
            <w:shd w:val="clear" w:color="auto" w:fill="auto"/>
            <w:vAlign w:val="bottom"/>
          </w:tcPr>
          <w:p w14:paraId="7C2088DB" w14:textId="77777777" w:rsidR="00834A75" w:rsidRDefault="00834A75">
            <w:pPr>
              <w:rPr>
                <w:rFonts w:ascii="宋体"/>
              </w:rPr>
            </w:pPr>
          </w:p>
        </w:tc>
        <w:tc>
          <w:tcPr>
            <w:tcW w:w="50" w:type="pct"/>
            <w:shd w:val="clear" w:color="auto" w:fill="auto"/>
            <w:vAlign w:val="bottom"/>
          </w:tcPr>
          <w:p w14:paraId="7C2088DC" w14:textId="77777777" w:rsidR="00834A75" w:rsidRDefault="00834A75">
            <w:pPr>
              <w:rPr>
                <w:rFonts w:ascii="宋体"/>
              </w:rPr>
            </w:pPr>
          </w:p>
        </w:tc>
        <w:tc>
          <w:tcPr>
            <w:tcW w:w="537" w:type="pct"/>
            <w:shd w:val="clear" w:color="auto" w:fill="auto"/>
            <w:vAlign w:val="bottom"/>
          </w:tcPr>
          <w:p w14:paraId="7C2088DD" w14:textId="77777777" w:rsidR="00834A75" w:rsidRDefault="00834A75">
            <w:pPr>
              <w:rPr>
                <w:rFonts w:ascii="宋体"/>
              </w:rPr>
            </w:pPr>
          </w:p>
        </w:tc>
        <w:tc>
          <w:tcPr>
            <w:tcW w:w="5" w:type="pct"/>
            <w:shd w:val="clear" w:color="auto" w:fill="auto"/>
            <w:vAlign w:val="bottom"/>
          </w:tcPr>
          <w:p w14:paraId="7C2088DE" w14:textId="77777777" w:rsidR="00834A75" w:rsidRDefault="00834A75">
            <w:pPr>
              <w:rPr>
                <w:rFonts w:ascii="宋体"/>
              </w:rPr>
            </w:pPr>
          </w:p>
        </w:tc>
        <w:tc>
          <w:tcPr>
            <w:tcW w:w="5" w:type="pct"/>
            <w:shd w:val="clear" w:color="auto" w:fill="auto"/>
            <w:vAlign w:val="bottom"/>
          </w:tcPr>
          <w:p w14:paraId="7C2088DF" w14:textId="77777777" w:rsidR="00834A75" w:rsidRDefault="00834A75">
            <w:pPr>
              <w:rPr>
                <w:rFonts w:ascii="宋体"/>
              </w:rPr>
            </w:pPr>
          </w:p>
        </w:tc>
        <w:tc>
          <w:tcPr>
            <w:tcW w:w="41" w:type="pct"/>
            <w:shd w:val="clear" w:color="auto" w:fill="auto"/>
            <w:vAlign w:val="bottom"/>
          </w:tcPr>
          <w:p w14:paraId="7C2088E0" w14:textId="77777777" w:rsidR="00834A75" w:rsidRDefault="00834A75">
            <w:pPr>
              <w:rPr>
                <w:rFonts w:ascii="宋体"/>
              </w:rPr>
            </w:pPr>
          </w:p>
        </w:tc>
        <w:tc>
          <w:tcPr>
            <w:tcW w:w="5" w:type="pct"/>
            <w:shd w:val="clear" w:color="auto" w:fill="auto"/>
            <w:vAlign w:val="bottom"/>
          </w:tcPr>
          <w:p w14:paraId="7C2088E1" w14:textId="77777777" w:rsidR="00834A75" w:rsidRDefault="00834A75">
            <w:pPr>
              <w:rPr>
                <w:rFonts w:ascii="宋体"/>
              </w:rPr>
            </w:pPr>
          </w:p>
        </w:tc>
        <w:tc>
          <w:tcPr>
            <w:tcW w:w="50" w:type="pct"/>
            <w:shd w:val="clear" w:color="auto" w:fill="auto"/>
            <w:vAlign w:val="bottom"/>
          </w:tcPr>
          <w:p w14:paraId="7C2088E2" w14:textId="77777777" w:rsidR="00834A75" w:rsidRDefault="00834A75">
            <w:pPr>
              <w:rPr>
                <w:rFonts w:ascii="宋体"/>
              </w:rPr>
            </w:pPr>
          </w:p>
        </w:tc>
        <w:tc>
          <w:tcPr>
            <w:tcW w:w="537" w:type="pct"/>
            <w:shd w:val="clear" w:color="auto" w:fill="auto"/>
            <w:vAlign w:val="bottom"/>
          </w:tcPr>
          <w:p w14:paraId="7C2088E3" w14:textId="77777777" w:rsidR="00834A75" w:rsidRDefault="00834A75">
            <w:pPr>
              <w:rPr>
                <w:rFonts w:ascii="宋体"/>
              </w:rPr>
            </w:pPr>
          </w:p>
        </w:tc>
        <w:tc>
          <w:tcPr>
            <w:tcW w:w="5" w:type="pct"/>
            <w:shd w:val="clear" w:color="auto" w:fill="auto"/>
            <w:vAlign w:val="bottom"/>
          </w:tcPr>
          <w:p w14:paraId="7C2088E4" w14:textId="77777777" w:rsidR="00834A75" w:rsidRDefault="00834A75">
            <w:pPr>
              <w:rPr>
                <w:rFonts w:ascii="宋体"/>
              </w:rPr>
            </w:pPr>
          </w:p>
        </w:tc>
      </w:tr>
      <w:tr w:rsidR="00834A75" w14:paraId="7C2088ED" w14:textId="77777777">
        <w:tc>
          <w:tcPr>
            <w:tcW w:w="0" w:type="auto"/>
            <w:gridSpan w:val="3"/>
            <w:shd w:val="clear" w:color="auto" w:fill="auto"/>
            <w:tcMar>
              <w:top w:w="0" w:type="dxa"/>
              <w:left w:w="20" w:type="dxa"/>
              <w:bottom w:w="0" w:type="dxa"/>
              <w:right w:w="20" w:type="dxa"/>
            </w:tcMar>
            <w:vAlign w:val="bottom"/>
          </w:tcPr>
          <w:p w14:paraId="7C2088E6" w14:textId="77777777" w:rsidR="00834A75" w:rsidRDefault="00834A75">
            <w:pPr>
              <w:rPr>
                <w:rFonts w:ascii="宋体"/>
              </w:rPr>
            </w:pPr>
          </w:p>
        </w:tc>
        <w:tc>
          <w:tcPr>
            <w:tcW w:w="0" w:type="auto"/>
            <w:gridSpan w:val="3"/>
            <w:shd w:val="clear" w:color="auto" w:fill="auto"/>
            <w:tcMar>
              <w:top w:w="0" w:type="dxa"/>
              <w:left w:w="20" w:type="dxa"/>
              <w:bottom w:w="0" w:type="dxa"/>
              <w:right w:w="20" w:type="dxa"/>
            </w:tcMar>
            <w:vAlign w:val="bottom"/>
          </w:tcPr>
          <w:p w14:paraId="7C2088E7" w14:textId="77777777" w:rsidR="00834A75" w:rsidRDefault="00834A75">
            <w:pPr>
              <w:rPr>
                <w:rFonts w:ascii="宋体"/>
              </w:rPr>
            </w:pPr>
          </w:p>
        </w:tc>
        <w:tc>
          <w:tcPr>
            <w:tcW w:w="0" w:type="auto"/>
            <w:gridSpan w:val="3"/>
            <w:shd w:val="clear" w:color="auto" w:fill="auto"/>
            <w:tcMar>
              <w:top w:w="0" w:type="dxa"/>
              <w:left w:w="20" w:type="dxa"/>
              <w:bottom w:w="0" w:type="dxa"/>
              <w:right w:w="20" w:type="dxa"/>
            </w:tcMar>
            <w:vAlign w:val="bottom"/>
          </w:tcPr>
          <w:p w14:paraId="7C2088E8" w14:textId="77777777" w:rsidR="00834A75" w:rsidRDefault="00834A75">
            <w:pPr>
              <w:rPr>
                <w:rFonts w:ascii="宋体"/>
              </w:rPr>
            </w:pPr>
          </w:p>
        </w:tc>
        <w:tc>
          <w:tcPr>
            <w:tcW w:w="0" w:type="auto"/>
            <w:gridSpan w:val="3"/>
            <w:shd w:val="clear" w:color="auto" w:fill="auto"/>
            <w:tcMar>
              <w:top w:w="0" w:type="dxa"/>
              <w:left w:w="20" w:type="dxa"/>
              <w:bottom w:w="0" w:type="dxa"/>
              <w:right w:w="20" w:type="dxa"/>
            </w:tcMar>
            <w:vAlign w:val="bottom"/>
          </w:tcPr>
          <w:p w14:paraId="7C2088E9" w14:textId="77777777" w:rsidR="00834A75" w:rsidRDefault="00834A75">
            <w:pPr>
              <w:rPr>
                <w:rFonts w:ascii="宋体"/>
              </w:rPr>
            </w:pPr>
          </w:p>
        </w:tc>
        <w:tc>
          <w:tcPr>
            <w:tcW w:w="0" w:type="auto"/>
            <w:gridSpan w:val="3"/>
            <w:shd w:val="clear" w:color="auto" w:fill="auto"/>
            <w:tcMar>
              <w:top w:w="0" w:type="dxa"/>
              <w:left w:w="20" w:type="dxa"/>
              <w:bottom w:w="0" w:type="dxa"/>
              <w:right w:w="20" w:type="dxa"/>
            </w:tcMar>
            <w:vAlign w:val="bottom"/>
          </w:tcPr>
          <w:p w14:paraId="7C2088EA" w14:textId="77777777" w:rsidR="00834A75" w:rsidRDefault="00834A75">
            <w:pPr>
              <w:rPr>
                <w:rFonts w:ascii="宋体"/>
              </w:rPr>
            </w:pPr>
          </w:p>
        </w:tc>
        <w:tc>
          <w:tcPr>
            <w:tcW w:w="0" w:type="auto"/>
            <w:gridSpan w:val="3"/>
            <w:shd w:val="clear" w:color="auto" w:fill="auto"/>
            <w:tcMar>
              <w:top w:w="0" w:type="dxa"/>
              <w:left w:w="20" w:type="dxa"/>
              <w:bottom w:w="0" w:type="dxa"/>
              <w:right w:w="20" w:type="dxa"/>
            </w:tcMar>
            <w:vAlign w:val="bottom"/>
          </w:tcPr>
          <w:p w14:paraId="7C2088EB" w14:textId="77777777" w:rsidR="00834A75" w:rsidRDefault="00834A75">
            <w:pPr>
              <w:rPr>
                <w:rFonts w:ascii="宋体"/>
              </w:rPr>
            </w:pPr>
          </w:p>
        </w:tc>
        <w:tc>
          <w:tcPr>
            <w:tcW w:w="0" w:type="auto"/>
            <w:gridSpan w:val="9"/>
            <w:shd w:val="clear" w:color="auto" w:fill="auto"/>
            <w:tcMar>
              <w:top w:w="40" w:type="dxa"/>
              <w:left w:w="20" w:type="dxa"/>
              <w:bottom w:w="40" w:type="dxa"/>
              <w:right w:w="20" w:type="dxa"/>
            </w:tcMar>
            <w:vAlign w:val="bottom"/>
          </w:tcPr>
          <w:p w14:paraId="7C2088EC" w14:textId="77777777" w:rsidR="00834A75" w:rsidRDefault="00A6708C">
            <w:pPr>
              <w:jc w:val="center"/>
              <w:textAlignment w:val="bottom"/>
            </w:pPr>
            <w:r>
              <w:rPr>
                <w:rFonts w:ascii="sans-serif" w:eastAsia="sans-serif" w:hAnsi="sans-serif" w:cs="sans-serif"/>
                <w:b/>
                <w:bCs/>
                <w:color w:val="000000"/>
                <w:sz w:val="20"/>
                <w:szCs w:val="20"/>
              </w:rPr>
              <w:t>Carrying Value at</w:t>
            </w:r>
          </w:p>
        </w:tc>
      </w:tr>
      <w:tr w:rsidR="00834A75" w14:paraId="7C2088F8" w14:textId="77777777">
        <w:tc>
          <w:tcPr>
            <w:tcW w:w="0" w:type="auto"/>
            <w:gridSpan w:val="3"/>
            <w:shd w:val="clear" w:color="auto" w:fill="auto"/>
            <w:tcMar>
              <w:top w:w="0" w:type="dxa"/>
              <w:left w:w="20" w:type="dxa"/>
              <w:bottom w:w="0" w:type="dxa"/>
              <w:right w:w="20" w:type="dxa"/>
            </w:tcMar>
            <w:vAlign w:val="bottom"/>
          </w:tcPr>
          <w:p w14:paraId="7C2088EE" w14:textId="77777777" w:rsidR="00834A75" w:rsidRDefault="00834A75">
            <w:pPr>
              <w:rPr>
                <w:rFonts w:ascii="宋体"/>
              </w:rPr>
            </w:pPr>
          </w:p>
        </w:tc>
        <w:tc>
          <w:tcPr>
            <w:tcW w:w="0" w:type="auto"/>
            <w:gridSpan w:val="3"/>
            <w:shd w:val="clear" w:color="auto" w:fill="auto"/>
            <w:tcMar>
              <w:top w:w="0" w:type="dxa"/>
              <w:left w:w="20" w:type="dxa"/>
              <w:bottom w:w="0" w:type="dxa"/>
              <w:right w:w="20" w:type="dxa"/>
            </w:tcMar>
            <w:vAlign w:val="bottom"/>
          </w:tcPr>
          <w:p w14:paraId="7C2088EF" w14:textId="77777777" w:rsidR="00834A75" w:rsidRDefault="00834A75">
            <w:pPr>
              <w:rPr>
                <w:rFonts w:ascii="宋体"/>
              </w:rPr>
            </w:pPr>
          </w:p>
        </w:tc>
        <w:tc>
          <w:tcPr>
            <w:tcW w:w="0" w:type="auto"/>
            <w:gridSpan w:val="3"/>
            <w:shd w:val="clear" w:color="auto" w:fill="auto"/>
            <w:tcMar>
              <w:top w:w="40" w:type="dxa"/>
              <w:left w:w="20" w:type="dxa"/>
              <w:bottom w:w="40" w:type="dxa"/>
              <w:right w:w="20" w:type="dxa"/>
            </w:tcMar>
            <w:vAlign w:val="bottom"/>
          </w:tcPr>
          <w:p w14:paraId="7C2088F0" w14:textId="77777777" w:rsidR="00834A75" w:rsidRDefault="00A6708C">
            <w:pPr>
              <w:jc w:val="center"/>
              <w:textAlignment w:val="bottom"/>
            </w:pPr>
            <w:r>
              <w:rPr>
                <w:rFonts w:ascii="sans-serif" w:eastAsia="sans-serif" w:hAnsi="sans-serif" w:cs="sans-serif"/>
                <w:b/>
                <w:bCs/>
                <w:color w:val="000000"/>
                <w:sz w:val="20"/>
                <w:szCs w:val="20"/>
              </w:rPr>
              <w:t>Expected</w:t>
            </w:r>
          </w:p>
          <w:p w14:paraId="7C2088F1" w14:textId="77777777" w:rsidR="00834A75" w:rsidRDefault="00A6708C">
            <w:pPr>
              <w:jc w:val="center"/>
              <w:textAlignment w:val="bottom"/>
            </w:pPr>
            <w:r>
              <w:rPr>
                <w:rFonts w:ascii="sans-serif" w:eastAsia="sans-serif" w:hAnsi="sans-serif" w:cs="sans-serif"/>
                <w:b/>
                <w:bCs/>
                <w:color w:val="000000"/>
                <w:sz w:val="20"/>
                <w:szCs w:val="20"/>
              </w:rPr>
              <w:t>Remaining Term (years)</w:t>
            </w:r>
          </w:p>
        </w:tc>
        <w:tc>
          <w:tcPr>
            <w:tcW w:w="0" w:type="auto"/>
            <w:gridSpan w:val="3"/>
            <w:shd w:val="clear" w:color="auto" w:fill="auto"/>
            <w:tcMar>
              <w:top w:w="0" w:type="dxa"/>
              <w:left w:w="20" w:type="dxa"/>
              <w:bottom w:w="0" w:type="dxa"/>
              <w:right w:w="20" w:type="dxa"/>
            </w:tcMar>
            <w:vAlign w:val="bottom"/>
          </w:tcPr>
          <w:p w14:paraId="7C2088F2" w14:textId="77777777" w:rsidR="00834A75" w:rsidRDefault="00834A75">
            <w:pPr>
              <w:rPr>
                <w:rFonts w:ascii="宋体"/>
              </w:rPr>
            </w:pPr>
          </w:p>
        </w:tc>
        <w:tc>
          <w:tcPr>
            <w:tcW w:w="0" w:type="auto"/>
            <w:gridSpan w:val="3"/>
            <w:shd w:val="clear" w:color="auto" w:fill="auto"/>
            <w:tcMar>
              <w:top w:w="40" w:type="dxa"/>
              <w:left w:w="20" w:type="dxa"/>
              <w:bottom w:w="40" w:type="dxa"/>
              <w:right w:w="20" w:type="dxa"/>
            </w:tcMar>
            <w:vAlign w:val="bottom"/>
          </w:tcPr>
          <w:p w14:paraId="7C2088F3" w14:textId="77777777" w:rsidR="00834A75" w:rsidRDefault="00A6708C">
            <w:pPr>
              <w:jc w:val="center"/>
              <w:textAlignment w:val="bottom"/>
            </w:pPr>
            <w:r>
              <w:rPr>
                <w:rFonts w:ascii="sans-serif" w:eastAsia="sans-serif" w:hAnsi="sans-serif" w:cs="sans-serif"/>
                <w:b/>
                <w:bCs/>
                <w:color w:val="000000"/>
                <w:sz w:val="20"/>
                <w:szCs w:val="20"/>
              </w:rPr>
              <w:t>Effective</w:t>
            </w:r>
            <w:r>
              <w:rPr>
                <w:rFonts w:ascii="sans-serif" w:eastAsia="sans-serif" w:hAnsi="sans-serif" w:cs="sans-serif"/>
                <w:b/>
                <w:bCs/>
                <w:color w:val="000000"/>
                <w:sz w:val="20"/>
                <w:szCs w:val="20"/>
              </w:rPr>
              <w:br/>
              <w:t>Interest Rate</w:t>
            </w:r>
          </w:p>
        </w:tc>
        <w:tc>
          <w:tcPr>
            <w:tcW w:w="0" w:type="auto"/>
            <w:gridSpan w:val="3"/>
            <w:shd w:val="clear" w:color="auto" w:fill="auto"/>
            <w:tcMar>
              <w:top w:w="0" w:type="dxa"/>
              <w:left w:w="20" w:type="dxa"/>
              <w:bottom w:w="0" w:type="dxa"/>
              <w:right w:w="20" w:type="dxa"/>
            </w:tcMar>
            <w:vAlign w:val="bottom"/>
          </w:tcPr>
          <w:p w14:paraId="7C2088F4" w14:textId="77777777" w:rsidR="00834A75" w:rsidRDefault="00834A75">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C2088F5" w14:textId="77777777" w:rsidR="00834A75" w:rsidRDefault="00A6708C">
            <w:pPr>
              <w:jc w:val="center"/>
              <w:textAlignment w:val="bottom"/>
            </w:pPr>
            <w:r>
              <w:rPr>
                <w:rFonts w:ascii="sans-serif" w:eastAsia="sans-serif" w:hAnsi="sans-serif" w:cs="sans-serif"/>
                <w:b/>
                <w:bCs/>
                <w:color w:val="000000"/>
                <w:sz w:val="20"/>
                <w:szCs w:val="20"/>
              </w:rPr>
              <w:t>May 1, 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C2088F6" w14:textId="77777777" w:rsidR="00834A75" w:rsidRDefault="00834A75">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C2088F7" w14:textId="77777777" w:rsidR="00834A75" w:rsidRDefault="00A6708C">
            <w:pPr>
              <w:jc w:val="center"/>
              <w:textAlignment w:val="bottom"/>
            </w:pPr>
            <w:r>
              <w:rPr>
                <w:rFonts w:ascii="sans-serif" w:eastAsia="sans-serif" w:hAnsi="sans-serif" w:cs="sans-serif"/>
                <w:b/>
                <w:bCs/>
                <w:color w:val="000000"/>
                <w:sz w:val="20"/>
                <w:szCs w:val="20"/>
              </w:rPr>
              <w:t>January 30, 2022</w:t>
            </w:r>
          </w:p>
        </w:tc>
      </w:tr>
      <w:tr w:rsidR="00834A75" w14:paraId="7C208902" w14:textId="77777777">
        <w:trPr>
          <w:trHeight w:val="60"/>
        </w:trPr>
        <w:tc>
          <w:tcPr>
            <w:tcW w:w="0" w:type="auto"/>
            <w:gridSpan w:val="3"/>
            <w:shd w:val="clear" w:color="auto" w:fill="auto"/>
            <w:tcMar>
              <w:top w:w="0" w:type="dxa"/>
              <w:left w:w="20" w:type="dxa"/>
              <w:bottom w:w="0" w:type="dxa"/>
              <w:right w:w="20" w:type="dxa"/>
            </w:tcMar>
            <w:vAlign w:val="bottom"/>
          </w:tcPr>
          <w:p w14:paraId="7C2088F9" w14:textId="77777777" w:rsidR="00834A75" w:rsidRDefault="00834A75">
            <w:pPr>
              <w:rPr>
                <w:rFonts w:ascii="宋体"/>
              </w:rPr>
            </w:pPr>
          </w:p>
        </w:tc>
        <w:tc>
          <w:tcPr>
            <w:tcW w:w="0" w:type="auto"/>
            <w:gridSpan w:val="3"/>
            <w:shd w:val="clear" w:color="auto" w:fill="auto"/>
            <w:tcMar>
              <w:top w:w="0" w:type="dxa"/>
              <w:left w:w="20" w:type="dxa"/>
              <w:bottom w:w="0" w:type="dxa"/>
              <w:right w:w="20" w:type="dxa"/>
            </w:tcMar>
            <w:vAlign w:val="bottom"/>
          </w:tcPr>
          <w:p w14:paraId="7C2088FA" w14:textId="77777777" w:rsidR="00834A75" w:rsidRDefault="00834A75">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C2088FB" w14:textId="77777777" w:rsidR="00834A75" w:rsidRDefault="00834A75">
            <w:pPr>
              <w:rPr>
                <w:rFonts w:ascii="宋体"/>
              </w:rPr>
            </w:pPr>
          </w:p>
        </w:tc>
        <w:tc>
          <w:tcPr>
            <w:tcW w:w="0" w:type="auto"/>
            <w:gridSpan w:val="3"/>
            <w:shd w:val="clear" w:color="auto" w:fill="auto"/>
            <w:tcMar>
              <w:top w:w="0" w:type="dxa"/>
              <w:left w:w="20" w:type="dxa"/>
              <w:bottom w:w="0" w:type="dxa"/>
              <w:right w:w="20" w:type="dxa"/>
            </w:tcMar>
            <w:vAlign w:val="bottom"/>
          </w:tcPr>
          <w:p w14:paraId="7C2088FC" w14:textId="77777777" w:rsidR="00834A75" w:rsidRDefault="00834A75">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C2088FD" w14:textId="77777777" w:rsidR="00834A75" w:rsidRDefault="00834A75">
            <w:pPr>
              <w:rPr>
                <w:rFonts w:ascii="宋体"/>
              </w:rPr>
            </w:pPr>
          </w:p>
        </w:tc>
        <w:tc>
          <w:tcPr>
            <w:tcW w:w="0" w:type="auto"/>
            <w:gridSpan w:val="3"/>
            <w:shd w:val="clear" w:color="auto" w:fill="auto"/>
            <w:tcMar>
              <w:top w:w="0" w:type="dxa"/>
              <w:left w:w="20" w:type="dxa"/>
              <w:bottom w:w="0" w:type="dxa"/>
              <w:right w:w="20" w:type="dxa"/>
            </w:tcMar>
            <w:vAlign w:val="bottom"/>
          </w:tcPr>
          <w:p w14:paraId="7C2088FE" w14:textId="77777777" w:rsidR="00834A75" w:rsidRDefault="00834A75">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C2088FF" w14:textId="77777777" w:rsidR="00834A75" w:rsidRDefault="00834A75">
            <w:pPr>
              <w:rPr>
                <w:rFonts w:ascii="宋体"/>
              </w:rPr>
            </w:pPr>
          </w:p>
        </w:tc>
        <w:tc>
          <w:tcPr>
            <w:tcW w:w="0" w:type="auto"/>
            <w:gridSpan w:val="3"/>
            <w:shd w:val="clear" w:color="auto" w:fill="auto"/>
            <w:tcMar>
              <w:top w:w="0" w:type="dxa"/>
              <w:left w:w="20" w:type="dxa"/>
              <w:bottom w:w="0" w:type="dxa"/>
              <w:right w:w="20" w:type="dxa"/>
            </w:tcMar>
            <w:vAlign w:val="bottom"/>
          </w:tcPr>
          <w:p w14:paraId="7C208900" w14:textId="77777777" w:rsidR="00834A75" w:rsidRDefault="00834A75">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C208901" w14:textId="77777777" w:rsidR="00834A75" w:rsidRDefault="00834A75">
            <w:pPr>
              <w:rPr>
                <w:rFonts w:ascii="宋体"/>
              </w:rPr>
            </w:pPr>
          </w:p>
        </w:tc>
      </w:tr>
      <w:tr w:rsidR="00834A75" w14:paraId="7C20890A" w14:textId="77777777">
        <w:tc>
          <w:tcPr>
            <w:tcW w:w="0" w:type="auto"/>
            <w:gridSpan w:val="3"/>
            <w:shd w:val="clear" w:color="auto" w:fill="auto"/>
            <w:tcMar>
              <w:top w:w="0" w:type="dxa"/>
              <w:left w:w="20" w:type="dxa"/>
              <w:bottom w:w="0" w:type="dxa"/>
              <w:right w:w="20" w:type="dxa"/>
            </w:tcMar>
            <w:vAlign w:val="bottom"/>
          </w:tcPr>
          <w:p w14:paraId="7C208903" w14:textId="77777777" w:rsidR="00834A75" w:rsidRDefault="00834A75">
            <w:pPr>
              <w:rPr>
                <w:rFonts w:ascii="宋体"/>
              </w:rPr>
            </w:pPr>
          </w:p>
        </w:tc>
        <w:tc>
          <w:tcPr>
            <w:tcW w:w="0" w:type="auto"/>
            <w:gridSpan w:val="3"/>
            <w:shd w:val="clear" w:color="auto" w:fill="auto"/>
            <w:tcMar>
              <w:top w:w="0" w:type="dxa"/>
              <w:left w:w="20" w:type="dxa"/>
              <w:bottom w:w="0" w:type="dxa"/>
              <w:right w:w="20" w:type="dxa"/>
            </w:tcMar>
            <w:vAlign w:val="bottom"/>
          </w:tcPr>
          <w:p w14:paraId="7C208904" w14:textId="77777777" w:rsidR="00834A75" w:rsidRDefault="00834A75">
            <w:pPr>
              <w:rPr>
                <w:rFonts w:ascii="宋体"/>
              </w:rPr>
            </w:pPr>
          </w:p>
        </w:tc>
        <w:tc>
          <w:tcPr>
            <w:tcW w:w="0" w:type="auto"/>
            <w:gridSpan w:val="3"/>
            <w:shd w:val="clear" w:color="auto" w:fill="auto"/>
            <w:tcMar>
              <w:top w:w="0" w:type="dxa"/>
              <w:left w:w="20" w:type="dxa"/>
              <w:bottom w:w="0" w:type="dxa"/>
              <w:right w:w="20" w:type="dxa"/>
            </w:tcMar>
            <w:vAlign w:val="bottom"/>
          </w:tcPr>
          <w:p w14:paraId="7C208905" w14:textId="77777777" w:rsidR="00834A75" w:rsidRDefault="00834A75">
            <w:pPr>
              <w:rPr>
                <w:rFonts w:ascii="宋体"/>
              </w:rPr>
            </w:pPr>
          </w:p>
        </w:tc>
        <w:tc>
          <w:tcPr>
            <w:tcW w:w="0" w:type="auto"/>
            <w:gridSpan w:val="3"/>
            <w:shd w:val="clear" w:color="auto" w:fill="auto"/>
            <w:tcMar>
              <w:top w:w="0" w:type="dxa"/>
              <w:left w:w="20" w:type="dxa"/>
              <w:bottom w:w="0" w:type="dxa"/>
              <w:right w:w="20" w:type="dxa"/>
            </w:tcMar>
            <w:vAlign w:val="bottom"/>
          </w:tcPr>
          <w:p w14:paraId="7C208906" w14:textId="77777777" w:rsidR="00834A75" w:rsidRDefault="00834A75">
            <w:pPr>
              <w:rPr>
                <w:rFonts w:ascii="宋体"/>
              </w:rPr>
            </w:pPr>
          </w:p>
        </w:tc>
        <w:tc>
          <w:tcPr>
            <w:tcW w:w="0" w:type="auto"/>
            <w:gridSpan w:val="3"/>
            <w:shd w:val="clear" w:color="auto" w:fill="auto"/>
            <w:tcMar>
              <w:top w:w="0" w:type="dxa"/>
              <w:left w:w="20" w:type="dxa"/>
              <w:bottom w:w="0" w:type="dxa"/>
              <w:right w:w="20" w:type="dxa"/>
            </w:tcMar>
            <w:vAlign w:val="bottom"/>
          </w:tcPr>
          <w:p w14:paraId="7C208907" w14:textId="77777777" w:rsidR="00834A75" w:rsidRDefault="00834A75">
            <w:pPr>
              <w:rPr>
                <w:rFonts w:ascii="宋体"/>
              </w:rPr>
            </w:pPr>
          </w:p>
        </w:tc>
        <w:tc>
          <w:tcPr>
            <w:tcW w:w="0" w:type="auto"/>
            <w:gridSpan w:val="3"/>
            <w:shd w:val="clear" w:color="auto" w:fill="auto"/>
            <w:tcMar>
              <w:top w:w="0" w:type="dxa"/>
              <w:left w:w="20" w:type="dxa"/>
              <w:bottom w:w="0" w:type="dxa"/>
              <w:right w:w="20" w:type="dxa"/>
            </w:tcMar>
            <w:vAlign w:val="bottom"/>
          </w:tcPr>
          <w:p w14:paraId="7C208908" w14:textId="77777777" w:rsidR="00834A75" w:rsidRDefault="00834A75">
            <w:pPr>
              <w:rPr>
                <w:rFonts w:ascii="宋体"/>
              </w:rPr>
            </w:pPr>
          </w:p>
        </w:tc>
        <w:tc>
          <w:tcPr>
            <w:tcW w:w="0" w:type="auto"/>
            <w:gridSpan w:val="9"/>
            <w:shd w:val="clear" w:color="auto" w:fill="auto"/>
            <w:tcMar>
              <w:top w:w="40" w:type="dxa"/>
              <w:left w:w="20" w:type="dxa"/>
              <w:bottom w:w="40" w:type="dxa"/>
              <w:right w:w="20" w:type="dxa"/>
            </w:tcMar>
            <w:vAlign w:val="bottom"/>
          </w:tcPr>
          <w:p w14:paraId="7C208909" w14:textId="77777777" w:rsidR="00834A75" w:rsidRDefault="00A6708C">
            <w:pPr>
              <w:jc w:val="center"/>
              <w:textAlignment w:val="bottom"/>
            </w:pPr>
            <w:r>
              <w:rPr>
                <w:rFonts w:ascii="sans-serif" w:eastAsia="sans-serif" w:hAnsi="sans-serif" w:cs="sans-serif"/>
                <w:i/>
                <w:iCs/>
                <w:color w:val="000000"/>
                <w:sz w:val="20"/>
                <w:szCs w:val="20"/>
              </w:rPr>
              <w:t>(In millions)</w:t>
            </w:r>
          </w:p>
        </w:tc>
      </w:tr>
      <w:tr w:rsidR="00834A75" w14:paraId="7C208914" w14:textId="77777777">
        <w:trPr>
          <w:hidden/>
        </w:trPr>
        <w:tc>
          <w:tcPr>
            <w:tcW w:w="0" w:type="auto"/>
            <w:gridSpan w:val="3"/>
            <w:shd w:val="clear" w:color="auto" w:fill="auto"/>
            <w:vAlign w:val="bottom"/>
          </w:tcPr>
          <w:p w14:paraId="7C20890B" w14:textId="77777777" w:rsidR="00834A75" w:rsidRDefault="00834A75">
            <w:pPr>
              <w:rPr>
                <w:rFonts w:ascii="宋体"/>
                <w:vanish/>
              </w:rPr>
            </w:pPr>
          </w:p>
        </w:tc>
        <w:tc>
          <w:tcPr>
            <w:tcW w:w="0" w:type="auto"/>
            <w:gridSpan w:val="3"/>
            <w:shd w:val="clear" w:color="auto" w:fill="auto"/>
            <w:vAlign w:val="bottom"/>
          </w:tcPr>
          <w:p w14:paraId="7C20890C" w14:textId="77777777" w:rsidR="00834A75" w:rsidRDefault="00834A75">
            <w:pPr>
              <w:rPr>
                <w:rFonts w:ascii="宋体"/>
                <w:vanish/>
              </w:rPr>
            </w:pPr>
          </w:p>
        </w:tc>
        <w:tc>
          <w:tcPr>
            <w:tcW w:w="0" w:type="auto"/>
            <w:gridSpan w:val="3"/>
            <w:shd w:val="clear" w:color="auto" w:fill="auto"/>
            <w:vAlign w:val="bottom"/>
          </w:tcPr>
          <w:p w14:paraId="7C20890D" w14:textId="77777777" w:rsidR="00834A75" w:rsidRDefault="00834A75">
            <w:pPr>
              <w:rPr>
                <w:rFonts w:ascii="宋体"/>
                <w:vanish/>
              </w:rPr>
            </w:pPr>
          </w:p>
        </w:tc>
        <w:tc>
          <w:tcPr>
            <w:tcW w:w="0" w:type="auto"/>
            <w:gridSpan w:val="3"/>
            <w:shd w:val="clear" w:color="auto" w:fill="auto"/>
            <w:vAlign w:val="bottom"/>
          </w:tcPr>
          <w:p w14:paraId="7C20890E" w14:textId="77777777" w:rsidR="00834A75" w:rsidRDefault="00834A75">
            <w:pPr>
              <w:rPr>
                <w:rFonts w:ascii="宋体"/>
                <w:vanish/>
              </w:rPr>
            </w:pPr>
          </w:p>
        </w:tc>
        <w:tc>
          <w:tcPr>
            <w:tcW w:w="0" w:type="auto"/>
            <w:gridSpan w:val="3"/>
            <w:shd w:val="clear" w:color="auto" w:fill="auto"/>
            <w:vAlign w:val="bottom"/>
          </w:tcPr>
          <w:p w14:paraId="7C20890F" w14:textId="77777777" w:rsidR="00834A75" w:rsidRDefault="00834A75">
            <w:pPr>
              <w:rPr>
                <w:rFonts w:ascii="宋体"/>
                <w:vanish/>
              </w:rPr>
            </w:pPr>
          </w:p>
        </w:tc>
        <w:tc>
          <w:tcPr>
            <w:tcW w:w="0" w:type="auto"/>
            <w:gridSpan w:val="3"/>
            <w:shd w:val="clear" w:color="auto" w:fill="auto"/>
            <w:vAlign w:val="bottom"/>
          </w:tcPr>
          <w:p w14:paraId="7C208910" w14:textId="77777777" w:rsidR="00834A75" w:rsidRDefault="00834A75">
            <w:pPr>
              <w:rPr>
                <w:rFonts w:ascii="宋体"/>
                <w:vanish/>
              </w:rPr>
            </w:pPr>
          </w:p>
        </w:tc>
        <w:tc>
          <w:tcPr>
            <w:tcW w:w="0" w:type="auto"/>
            <w:gridSpan w:val="3"/>
            <w:shd w:val="clear" w:color="auto" w:fill="auto"/>
            <w:vAlign w:val="bottom"/>
          </w:tcPr>
          <w:p w14:paraId="7C208911" w14:textId="77777777" w:rsidR="00834A75" w:rsidRDefault="00834A75">
            <w:pPr>
              <w:rPr>
                <w:rFonts w:ascii="宋体"/>
                <w:vanish/>
              </w:rPr>
            </w:pPr>
          </w:p>
        </w:tc>
        <w:tc>
          <w:tcPr>
            <w:tcW w:w="0" w:type="auto"/>
            <w:gridSpan w:val="3"/>
            <w:shd w:val="clear" w:color="auto" w:fill="auto"/>
            <w:vAlign w:val="bottom"/>
          </w:tcPr>
          <w:p w14:paraId="7C208912" w14:textId="77777777" w:rsidR="00834A75" w:rsidRDefault="00834A75">
            <w:pPr>
              <w:rPr>
                <w:rFonts w:ascii="宋体"/>
                <w:vanish/>
              </w:rPr>
            </w:pPr>
          </w:p>
        </w:tc>
        <w:tc>
          <w:tcPr>
            <w:tcW w:w="0" w:type="auto"/>
            <w:gridSpan w:val="3"/>
            <w:shd w:val="clear" w:color="auto" w:fill="auto"/>
            <w:vAlign w:val="bottom"/>
          </w:tcPr>
          <w:p w14:paraId="7C208913" w14:textId="77777777" w:rsidR="00834A75" w:rsidRDefault="00834A75">
            <w:pPr>
              <w:rPr>
                <w:rFonts w:ascii="宋体"/>
                <w:vanish/>
              </w:rPr>
            </w:pPr>
          </w:p>
        </w:tc>
      </w:tr>
      <w:tr w:rsidR="00834A75" w14:paraId="7C208922" w14:textId="77777777">
        <w:tc>
          <w:tcPr>
            <w:tcW w:w="0" w:type="auto"/>
            <w:gridSpan w:val="3"/>
            <w:shd w:val="clear" w:color="auto" w:fill="E2EFD9"/>
            <w:tcMar>
              <w:top w:w="40" w:type="dxa"/>
              <w:left w:w="20" w:type="dxa"/>
              <w:bottom w:w="40" w:type="dxa"/>
              <w:right w:w="20" w:type="dxa"/>
            </w:tcMar>
            <w:vAlign w:val="center"/>
          </w:tcPr>
          <w:p w14:paraId="7C208915" w14:textId="77777777" w:rsidR="00834A75" w:rsidRDefault="00A6708C">
            <w:pPr>
              <w:textAlignment w:val="center"/>
            </w:pPr>
            <w:r>
              <w:rPr>
                <w:rFonts w:ascii="sans-serif" w:eastAsia="sans-serif" w:hAnsi="sans-serif" w:cs="sans-serif"/>
                <w:color w:val="000000"/>
                <w:sz w:val="20"/>
                <w:szCs w:val="20"/>
              </w:rPr>
              <w:t>0.309% Notes Due 2023</w:t>
            </w:r>
          </w:p>
        </w:tc>
        <w:tc>
          <w:tcPr>
            <w:tcW w:w="0" w:type="auto"/>
            <w:gridSpan w:val="3"/>
            <w:shd w:val="clear" w:color="auto" w:fill="E2EFD9"/>
            <w:tcMar>
              <w:top w:w="0" w:type="dxa"/>
              <w:left w:w="20" w:type="dxa"/>
              <w:bottom w:w="0" w:type="dxa"/>
              <w:right w:w="20" w:type="dxa"/>
            </w:tcMar>
            <w:vAlign w:val="bottom"/>
          </w:tcPr>
          <w:p w14:paraId="7C208916" w14:textId="77777777" w:rsidR="00834A75" w:rsidRDefault="00834A75">
            <w:pPr>
              <w:rPr>
                <w:rFonts w:ascii="宋体"/>
              </w:rPr>
            </w:pPr>
          </w:p>
        </w:tc>
        <w:tc>
          <w:tcPr>
            <w:tcW w:w="0" w:type="auto"/>
            <w:gridSpan w:val="3"/>
            <w:shd w:val="clear" w:color="auto" w:fill="E2EFD9"/>
            <w:tcMar>
              <w:top w:w="40" w:type="dxa"/>
              <w:left w:w="20" w:type="dxa"/>
              <w:bottom w:w="40" w:type="dxa"/>
              <w:right w:w="20" w:type="dxa"/>
            </w:tcMar>
            <w:vAlign w:val="bottom"/>
          </w:tcPr>
          <w:p w14:paraId="7C208917" w14:textId="77777777" w:rsidR="00834A75" w:rsidRDefault="00A6708C">
            <w:pPr>
              <w:jc w:val="center"/>
              <w:textAlignment w:val="bottom"/>
            </w:pPr>
            <w:r>
              <w:rPr>
                <w:rFonts w:ascii="sans-serif" w:eastAsia="sans-serif" w:hAnsi="sans-serif" w:cs="sans-serif"/>
                <w:color w:val="000000"/>
                <w:sz w:val="20"/>
                <w:szCs w:val="20"/>
              </w:rPr>
              <w:t>1.1</w:t>
            </w:r>
          </w:p>
        </w:tc>
        <w:tc>
          <w:tcPr>
            <w:tcW w:w="0" w:type="auto"/>
            <w:gridSpan w:val="3"/>
            <w:shd w:val="clear" w:color="auto" w:fill="E2EFD9"/>
            <w:tcMar>
              <w:top w:w="0" w:type="dxa"/>
              <w:left w:w="20" w:type="dxa"/>
              <w:bottom w:w="0" w:type="dxa"/>
              <w:right w:w="20" w:type="dxa"/>
            </w:tcMar>
            <w:vAlign w:val="bottom"/>
          </w:tcPr>
          <w:p w14:paraId="7C208918" w14:textId="77777777" w:rsidR="00834A75" w:rsidRDefault="00834A75">
            <w:pPr>
              <w:rPr>
                <w:rFonts w:ascii="宋体"/>
              </w:rPr>
            </w:pPr>
          </w:p>
        </w:tc>
        <w:tc>
          <w:tcPr>
            <w:tcW w:w="0" w:type="auto"/>
            <w:gridSpan w:val="3"/>
            <w:shd w:val="clear" w:color="auto" w:fill="E2EFD9"/>
            <w:tcMar>
              <w:top w:w="40" w:type="dxa"/>
              <w:left w:w="20" w:type="dxa"/>
              <w:bottom w:w="40" w:type="dxa"/>
              <w:right w:w="20" w:type="dxa"/>
            </w:tcMar>
            <w:vAlign w:val="bottom"/>
          </w:tcPr>
          <w:p w14:paraId="7C208919" w14:textId="77777777" w:rsidR="00834A75" w:rsidRDefault="00A6708C">
            <w:pPr>
              <w:jc w:val="center"/>
              <w:textAlignment w:val="bottom"/>
            </w:pPr>
            <w:r>
              <w:rPr>
                <w:rFonts w:ascii="sans-serif" w:eastAsia="sans-serif" w:hAnsi="sans-serif" w:cs="sans-serif"/>
                <w:color w:val="000000"/>
                <w:sz w:val="20"/>
                <w:szCs w:val="20"/>
              </w:rPr>
              <w:t>0.41%</w:t>
            </w:r>
          </w:p>
        </w:tc>
        <w:tc>
          <w:tcPr>
            <w:tcW w:w="0" w:type="auto"/>
            <w:gridSpan w:val="3"/>
            <w:shd w:val="clear" w:color="auto" w:fill="E2EFD9"/>
            <w:tcMar>
              <w:top w:w="0" w:type="dxa"/>
              <w:left w:w="20" w:type="dxa"/>
              <w:bottom w:w="0" w:type="dxa"/>
              <w:right w:w="20" w:type="dxa"/>
            </w:tcMar>
            <w:vAlign w:val="bottom"/>
          </w:tcPr>
          <w:p w14:paraId="7C20891A" w14:textId="77777777" w:rsidR="00834A75" w:rsidRDefault="00834A75">
            <w:pPr>
              <w:rPr>
                <w:rFonts w:ascii="宋体"/>
              </w:rPr>
            </w:pPr>
          </w:p>
        </w:tc>
        <w:tc>
          <w:tcPr>
            <w:tcW w:w="0" w:type="auto"/>
            <w:shd w:val="clear" w:color="auto" w:fill="E2EFD9"/>
            <w:tcMar>
              <w:top w:w="40" w:type="dxa"/>
              <w:left w:w="20" w:type="dxa"/>
              <w:bottom w:w="40" w:type="dxa"/>
              <w:right w:w="0" w:type="dxa"/>
            </w:tcMar>
            <w:vAlign w:val="bottom"/>
          </w:tcPr>
          <w:p w14:paraId="7C20891B" w14:textId="77777777" w:rsidR="00834A75" w:rsidRDefault="00A6708C">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7C20891C" w14:textId="77777777" w:rsidR="00834A75" w:rsidRDefault="00A6708C">
            <w:pPr>
              <w:jc w:val="right"/>
              <w:textAlignment w:val="bottom"/>
            </w:pPr>
            <w:r>
              <w:rPr>
                <w:rFonts w:ascii="sans-serif" w:eastAsia="sans-serif" w:hAnsi="sans-serif" w:cs="sans-serif"/>
                <w:color w:val="000000"/>
                <w:sz w:val="20"/>
                <w:szCs w:val="20"/>
              </w:rPr>
              <w:t>1,250 </w:t>
            </w:r>
          </w:p>
        </w:tc>
        <w:tc>
          <w:tcPr>
            <w:tcW w:w="0" w:type="auto"/>
            <w:shd w:val="clear" w:color="auto" w:fill="E2EFD9"/>
            <w:tcMar>
              <w:top w:w="40" w:type="dxa"/>
              <w:left w:w="0" w:type="dxa"/>
              <w:bottom w:w="40" w:type="dxa"/>
              <w:right w:w="20" w:type="dxa"/>
            </w:tcMar>
            <w:vAlign w:val="bottom"/>
          </w:tcPr>
          <w:p w14:paraId="7C20891D" w14:textId="77777777" w:rsidR="00834A75" w:rsidRDefault="00834A75">
            <w:pPr>
              <w:jc w:val="right"/>
              <w:rPr>
                <w:rFonts w:ascii="宋体"/>
              </w:rPr>
            </w:pPr>
          </w:p>
        </w:tc>
        <w:tc>
          <w:tcPr>
            <w:tcW w:w="0" w:type="auto"/>
            <w:gridSpan w:val="3"/>
            <w:shd w:val="clear" w:color="auto" w:fill="E2EFD9"/>
            <w:tcMar>
              <w:top w:w="0" w:type="dxa"/>
              <w:left w:w="20" w:type="dxa"/>
              <w:bottom w:w="0" w:type="dxa"/>
              <w:right w:w="20" w:type="dxa"/>
            </w:tcMar>
            <w:vAlign w:val="bottom"/>
          </w:tcPr>
          <w:p w14:paraId="7C20891E" w14:textId="77777777" w:rsidR="00834A75" w:rsidRDefault="00834A75">
            <w:pPr>
              <w:rPr>
                <w:rFonts w:ascii="宋体"/>
              </w:rPr>
            </w:pPr>
          </w:p>
        </w:tc>
        <w:tc>
          <w:tcPr>
            <w:tcW w:w="0" w:type="auto"/>
            <w:shd w:val="clear" w:color="auto" w:fill="E2EFD9"/>
            <w:tcMar>
              <w:top w:w="40" w:type="dxa"/>
              <w:left w:w="20" w:type="dxa"/>
              <w:bottom w:w="40" w:type="dxa"/>
              <w:right w:w="0" w:type="dxa"/>
            </w:tcMar>
            <w:vAlign w:val="bottom"/>
          </w:tcPr>
          <w:p w14:paraId="7C20891F" w14:textId="77777777" w:rsidR="00834A75" w:rsidRDefault="00A6708C">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7C208920" w14:textId="77777777" w:rsidR="00834A75" w:rsidRDefault="00A6708C">
            <w:pPr>
              <w:jc w:val="right"/>
              <w:textAlignment w:val="bottom"/>
            </w:pPr>
            <w:r>
              <w:rPr>
                <w:rFonts w:ascii="sans-serif" w:eastAsia="sans-serif" w:hAnsi="sans-serif" w:cs="sans-serif"/>
                <w:color w:val="000000"/>
                <w:sz w:val="20"/>
                <w:szCs w:val="20"/>
              </w:rPr>
              <w:t>1,250 </w:t>
            </w:r>
          </w:p>
        </w:tc>
        <w:tc>
          <w:tcPr>
            <w:tcW w:w="0" w:type="auto"/>
            <w:shd w:val="clear" w:color="auto" w:fill="E2EFD9"/>
            <w:tcMar>
              <w:top w:w="40" w:type="dxa"/>
              <w:left w:w="0" w:type="dxa"/>
              <w:bottom w:w="40" w:type="dxa"/>
              <w:right w:w="20" w:type="dxa"/>
            </w:tcMar>
            <w:vAlign w:val="bottom"/>
          </w:tcPr>
          <w:p w14:paraId="7C208921" w14:textId="77777777" w:rsidR="00834A75" w:rsidRDefault="00834A75">
            <w:pPr>
              <w:jc w:val="right"/>
              <w:rPr>
                <w:rFonts w:ascii="宋体"/>
              </w:rPr>
            </w:pPr>
          </w:p>
        </w:tc>
      </w:tr>
      <w:tr w:rsidR="00834A75" w14:paraId="7C20892E" w14:textId="77777777">
        <w:tc>
          <w:tcPr>
            <w:tcW w:w="0" w:type="auto"/>
            <w:gridSpan w:val="3"/>
            <w:shd w:val="clear" w:color="auto" w:fill="FFFFFF"/>
            <w:tcMar>
              <w:top w:w="40" w:type="dxa"/>
              <w:left w:w="20" w:type="dxa"/>
              <w:bottom w:w="40" w:type="dxa"/>
              <w:right w:w="20" w:type="dxa"/>
            </w:tcMar>
            <w:vAlign w:val="center"/>
          </w:tcPr>
          <w:p w14:paraId="7C208923" w14:textId="77777777" w:rsidR="00834A75" w:rsidRDefault="00A6708C">
            <w:pPr>
              <w:textAlignment w:val="center"/>
            </w:pPr>
            <w:r>
              <w:rPr>
                <w:rFonts w:ascii="sans-serif" w:eastAsia="sans-serif" w:hAnsi="sans-serif" w:cs="sans-serif"/>
                <w:color w:val="000000"/>
                <w:sz w:val="20"/>
                <w:szCs w:val="20"/>
              </w:rPr>
              <w:t>0.584% Notes Due 2024</w:t>
            </w:r>
          </w:p>
        </w:tc>
        <w:tc>
          <w:tcPr>
            <w:tcW w:w="0" w:type="auto"/>
            <w:gridSpan w:val="3"/>
            <w:shd w:val="clear" w:color="auto" w:fill="FFFFFF"/>
            <w:tcMar>
              <w:top w:w="0" w:type="dxa"/>
              <w:left w:w="20" w:type="dxa"/>
              <w:bottom w:w="0" w:type="dxa"/>
              <w:right w:w="20" w:type="dxa"/>
            </w:tcMar>
            <w:vAlign w:val="bottom"/>
          </w:tcPr>
          <w:p w14:paraId="7C208924" w14:textId="77777777" w:rsidR="00834A75" w:rsidRDefault="00834A75">
            <w:pPr>
              <w:rPr>
                <w:rFonts w:ascii="宋体"/>
              </w:rPr>
            </w:pPr>
          </w:p>
        </w:tc>
        <w:tc>
          <w:tcPr>
            <w:tcW w:w="0" w:type="auto"/>
            <w:gridSpan w:val="3"/>
            <w:shd w:val="clear" w:color="auto" w:fill="FFFFFF"/>
            <w:tcMar>
              <w:top w:w="40" w:type="dxa"/>
              <w:left w:w="20" w:type="dxa"/>
              <w:bottom w:w="40" w:type="dxa"/>
              <w:right w:w="20" w:type="dxa"/>
            </w:tcMar>
            <w:vAlign w:val="bottom"/>
          </w:tcPr>
          <w:p w14:paraId="7C208925" w14:textId="77777777" w:rsidR="00834A75" w:rsidRDefault="00A6708C">
            <w:pPr>
              <w:jc w:val="center"/>
              <w:textAlignment w:val="bottom"/>
            </w:pPr>
            <w:r>
              <w:rPr>
                <w:rFonts w:ascii="sans-serif" w:eastAsia="sans-serif" w:hAnsi="sans-serif" w:cs="sans-serif"/>
                <w:color w:val="000000"/>
                <w:sz w:val="20"/>
                <w:szCs w:val="20"/>
              </w:rPr>
              <w:t>2.1</w:t>
            </w:r>
          </w:p>
        </w:tc>
        <w:tc>
          <w:tcPr>
            <w:tcW w:w="0" w:type="auto"/>
            <w:gridSpan w:val="3"/>
            <w:shd w:val="clear" w:color="auto" w:fill="FFFFFF"/>
            <w:tcMar>
              <w:top w:w="0" w:type="dxa"/>
              <w:left w:w="20" w:type="dxa"/>
              <w:bottom w:w="0" w:type="dxa"/>
              <w:right w:w="20" w:type="dxa"/>
            </w:tcMar>
            <w:vAlign w:val="bottom"/>
          </w:tcPr>
          <w:p w14:paraId="7C208926" w14:textId="77777777" w:rsidR="00834A75" w:rsidRDefault="00834A75">
            <w:pPr>
              <w:rPr>
                <w:rFonts w:ascii="宋体"/>
              </w:rPr>
            </w:pPr>
          </w:p>
        </w:tc>
        <w:tc>
          <w:tcPr>
            <w:tcW w:w="0" w:type="auto"/>
            <w:gridSpan w:val="3"/>
            <w:shd w:val="clear" w:color="auto" w:fill="FFFFFF"/>
            <w:tcMar>
              <w:top w:w="40" w:type="dxa"/>
              <w:left w:w="20" w:type="dxa"/>
              <w:bottom w:w="40" w:type="dxa"/>
              <w:right w:w="20" w:type="dxa"/>
            </w:tcMar>
            <w:vAlign w:val="bottom"/>
          </w:tcPr>
          <w:p w14:paraId="7C208927" w14:textId="77777777" w:rsidR="00834A75" w:rsidRDefault="00A6708C">
            <w:pPr>
              <w:jc w:val="center"/>
              <w:textAlignment w:val="bottom"/>
            </w:pPr>
            <w:r>
              <w:rPr>
                <w:rFonts w:ascii="sans-serif" w:eastAsia="sans-serif" w:hAnsi="sans-serif" w:cs="sans-serif"/>
                <w:color w:val="000000"/>
                <w:sz w:val="20"/>
                <w:szCs w:val="20"/>
              </w:rPr>
              <w:t>0.66%</w:t>
            </w:r>
          </w:p>
        </w:tc>
        <w:tc>
          <w:tcPr>
            <w:tcW w:w="0" w:type="auto"/>
            <w:gridSpan w:val="3"/>
            <w:shd w:val="clear" w:color="auto" w:fill="FFFFFF"/>
            <w:tcMar>
              <w:top w:w="0" w:type="dxa"/>
              <w:left w:w="20" w:type="dxa"/>
              <w:bottom w:w="0" w:type="dxa"/>
              <w:right w:w="20" w:type="dxa"/>
            </w:tcMar>
            <w:vAlign w:val="bottom"/>
          </w:tcPr>
          <w:p w14:paraId="7C208928" w14:textId="77777777" w:rsidR="00834A75" w:rsidRDefault="00834A75">
            <w:pPr>
              <w:rPr>
                <w:rFonts w:ascii="宋体"/>
              </w:rPr>
            </w:pPr>
          </w:p>
        </w:tc>
        <w:tc>
          <w:tcPr>
            <w:tcW w:w="0" w:type="auto"/>
            <w:gridSpan w:val="2"/>
            <w:shd w:val="clear" w:color="auto" w:fill="FFFFFF"/>
            <w:tcMar>
              <w:top w:w="40" w:type="dxa"/>
              <w:left w:w="20" w:type="dxa"/>
              <w:bottom w:w="40" w:type="dxa"/>
              <w:right w:w="0" w:type="dxa"/>
            </w:tcMar>
            <w:vAlign w:val="bottom"/>
          </w:tcPr>
          <w:p w14:paraId="7C208929" w14:textId="77777777" w:rsidR="00834A75" w:rsidRDefault="00A6708C">
            <w:pPr>
              <w:jc w:val="right"/>
              <w:textAlignment w:val="bottom"/>
            </w:pPr>
            <w:r>
              <w:rPr>
                <w:rFonts w:ascii="sans-serif" w:eastAsia="sans-serif" w:hAnsi="sans-serif" w:cs="sans-serif"/>
                <w:color w:val="000000"/>
                <w:sz w:val="20"/>
                <w:szCs w:val="20"/>
              </w:rPr>
              <w:t>1,250 </w:t>
            </w:r>
          </w:p>
        </w:tc>
        <w:tc>
          <w:tcPr>
            <w:tcW w:w="0" w:type="auto"/>
            <w:shd w:val="clear" w:color="auto" w:fill="FFFFFF"/>
            <w:tcMar>
              <w:top w:w="40" w:type="dxa"/>
              <w:left w:w="0" w:type="dxa"/>
              <w:bottom w:w="40" w:type="dxa"/>
              <w:right w:w="20" w:type="dxa"/>
            </w:tcMar>
            <w:vAlign w:val="bottom"/>
          </w:tcPr>
          <w:p w14:paraId="7C20892A" w14:textId="77777777" w:rsidR="00834A75" w:rsidRDefault="00834A75">
            <w:pPr>
              <w:jc w:val="right"/>
              <w:rPr>
                <w:rFonts w:ascii="宋体"/>
              </w:rPr>
            </w:pPr>
          </w:p>
        </w:tc>
        <w:tc>
          <w:tcPr>
            <w:tcW w:w="0" w:type="auto"/>
            <w:gridSpan w:val="3"/>
            <w:shd w:val="clear" w:color="auto" w:fill="FFFFFF"/>
            <w:tcMar>
              <w:top w:w="0" w:type="dxa"/>
              <w:left w:w="20" w:type="dxa"/>
              <w:bottom w:w="0" w:type="dxa"/>
              <w:right w:w="20" w:type="dxa"/>
            </w:tcMar>
            <w:vAlign w:val="bottom"/>
          </w:tcPr>
          <w:p w14:paraId="7C20892B" w14:textId="77777777" w:rsidR="00834A75" w:rsidRDefault="00834A75">
            <w:pPr>
              <w:rPr>
                <w:rFonts w:ascii="宋体"/>
              </w:rPr>
            </w:pPr>
          </w:p>
        </w:tc>
        <w:tc>
          <w:tcPr>
            <w:tcW w:w="0" w:type="auto"/>
            <w:gridSpan w:val="2"/>
            <w:shd w:val="clear" w:color="auto" w:fill="FFFFFF"/>
            <w:tcMar>
              <w:top w:w="40" w:type="dxa"/>
              <w:left w:w="20" w:type="dxa"/>
              <w:bottom w:w="40" w:type="dxa"/>
              <w:right w:w="0" w:type="dxa"/>
            </w:tcMar>
            <w:vAlign w:val="bottom"/>
          </w:tcPr>
          <w:p w14:paraId="7C20892C" w14:textId="77777777" w:rsidR="00834A75" w:rsidRDefault="00A6708C">
            <w:pPr>
              <w:jc w:val="right"/>
              <w:textAlignment w:val="bottom"/>
            </w:pPr>
            <w:r>
              <w:rPr>
                <w:rFonts w:ascii="sans-serif" w:eastAsia="sans-serif" w:hAnsi="sans-serif" w:cs="sans-serif"/>
                <w:color w:val="000000"/>
                <w:sz w:val="20"/>
                <w:szCs w:val="20"/>
              </w:rPr>
              <w:t>1,250 </w:t>
            </w:r>
          </w:p>
        </w:tc>
        <w:tc>
          <w:tcPr>
            <w:tcW w:w="0" w:type="auto"/>
            <w:shd w:val="clear" w:color="auto" w:fill="FFFFFF"/>
            <w:tcMar>
              <w:top w:w="40" w:type="dxa"/>
              <w:left w:w="0" w:type="dxa"/>
              <w:bottom w:w="40" w:type="dxa"/>
              <w:right w:w="20" w:type="dxa"/>
            </w:tcMar>
            <w:vAlign w:val="bottom"/>
          </w:tcPr>
          <w:p w14:paraId="7C20892D" w14:textId="77777777" w:rsidR="00834A75" w:rsidRDefault="00834A75">
            <w:pPr>
              <w:jc w:val="right"/>
              <w:rPr>
                <w:rFonts w:ascii="宋体"/>
              </w:rPr>
            </w:pPr>
          </w:p>
        </w:tc>
      </w:tr>
      <w:tr w:rsidR="00834A75" w14:paraId="7C20893A" w14:textId="77777777">
        <w:tc>
          <w:tcPr>
            <w:tcW w:w="0" w:type="auto"/>
            <w:gridSpan w:val="3"/>
            <w:shd w:val="clear" w:color="auto" w:fill="E2EFD9"/>
            <w:tcMar>
              <w:top w:w="40" w:type="dxa"/>
              <w:left w:w="20" w:type="dxa"/>
              <w:bottom w:w="40" w:type="dxa"/>
              <w:right w:w="20" w:type="dxa"/>
            </w:tcMar>
            <w:vAlign w:val="center"/>
          </w:tcPr>
          <w:p w14:paraId="7C20892F" w14:textId="77777777" w:rsidR="00834A75" w:rsidRDefault="00A6708C">
            <w:pPr>
              <w:textAlignment w:val="center"/>
            </w:pPr>
            <w:r>
              <w:rPr>
                <w:rFonts w:ascii="sans-serif" w:eastAsia="sans-serif" w:hAnsi="sans-serif" w:cs="sans-serif"/>
                <w:color w:val="000000"/>
                <w:sz w:val="20"/>
                <w:szCs w:val="20"/>
              </w:rPr>
              <w:t>3.20% Notes Due 2026</w:t>
            </w:r>
          </w:p>
        </w:tc>
        <w:tc>
          <w:tcPr>
            <w:tcW w:w="0" w:type="auto"/>
            <w:gridSpan w:val="3"/>
            <w:shd w:val="clear" w:color="auto" w:fill="E2EFD9"/>
            <w:tcMar>
              <w:top w:w="0" w:type="dxa"/>
              <w:left w:w="20" w:type="dxa"/>
              <w:bottom w:w="0" w:type="dxa"/>
              <w:right w:w="20" w:type="dxa"/>
            </w:tcMar>
            <w:vAlign w:val="bottom"/>
          </w:tcPr>
          <w:p w14:paraId="7C208930" w14:textId="77777777" w:rsidR="00834A75" w:rsidRDefault="00834A75">
            <w:pPr>
              <w:rPr>
                <w:rFonts w:ascii="宋体"/>
              </w:rPr>
            </w:pPr>
          </w:p>
        </w:tc>
        <w:tc>
          <w:tcPr>
            <w:tcW w:w="0" w:type="auto"/>
            <w:gridSpan w:val="3"/>
            <w:shd w:val="clear" w:color="auto" w:fill="E2EFD9"/>
            <w:tcMar>
              <w:top w:w="40" w:type="dxa"/>
              <w:left w:w="20" w:type="dxa"/>
              <w:bottom w:w="40" w:type="dxa"/>
              <w:right w:w="20" w:type="dxa"/>
            </w:tcMar>
            <w:vAlign w:val="bottom"/>
          </w:tcPr>
          <w:p w14:paraId="7C208931" w14:textId="77777777" w:rsidR="00834A75" w:rsidRDefault="00A6708C">
            <w:pPr>
              <w:jc w:val="center"/>
              <w:textAlignment w:val="bottom"/>
            </w:pPr>
            <w:r>
              <w:rPr>
                <w:rFonts w:ascii="sans-serif" w:eastAsia="sans-serif" w:hAnsi="sans-serif" w:cs="sans-serif"/>
                <w:color w:val="000000"/>
                <w:sz w:val="20"/>
                <w:szCs w:val="20"/>
              </w:rPr>
              <w:t>4.4</w:t>
            </w:r>
          </w:p>
        </w:tc>
        <w:tc>
          <w:tcPr>
            <w:tcW w:w="0" w:type="auto"/>
            <w:gridSpan w:val="3"/>
            <w:shd w:val="clear" w:color="auto" w:fill="E2EFD9"/>
            <w:tcMar>
              <w:top w:w="0" w:type="dxa"/>
              <w:left w:w="20" w:type="dxa"/>
              <w:bottom w:w="0" w:type="dxa"/>
              <w:right w:w="20" w:type="dxa"/>
            </w:tcMar>
            <w:vAlign w:val="bottom"/>
          </w:tcPr>
          <w:p w14:paraId="7C208932" w14:textId="77777777" w:rsidR="00834A75" w:rsidRDefault="00834A75">
            <w:pPr>
              <w:rPr>
                <w:rFonts w:ascii="宋体"/>
              </w:rPr>
            </w:pPr>
          </w:p>
        </w:tc>
        <w:tc>
          <w:tcPr>
            <w:tcW w:w="0" w:type="auto"/>
            <w:gridSpan w:val="3"/>
            <w:shd w:val="clear" w:color="auto" w:fill="E2EFD9"/>
            <w:tcMar>
              <w:top w:w="40" w:type="dxa"/>
              <w:left w:w="20" w:type="dxa"/>
              <w:bottom w:w="40" w:type="dxa"/>
              <w:right w:w="20" w:type="dxa"/>
            </w:tcMar>
            <w:vAlign w:val="bottom"/>
          </w:tcPr>
          <w:p w14:paraId="7C208933" w14:textId="77777777" w:rsidR="00834A75" w:rsidRDefault="00A6708C">
            <w:pPr>
              <w:jc w:val="center"/>
              <w:textAlignment w:val="bottom"/>
            </w:pPr>
            <w:r>
              <w:rPr>
                <w:rFonts w:ascii="sans-serif" w:eastAsia="sans-serif" w:hAnsi="sans-serif" w:cs="sans-serif"/>
                <w:color w:val="000000"/>
                <w:sz w:val="20"/>
                <w:szCs w:val="20"/>
              </w:rPr>
              <w:t>3.31%</w:t>
            </w:r>
          </w:p>
        </w:tc>
        <w:tc>
          <w:tcPr>
            <w:tcW w:w="0" w:type="auto"/>
            <w:gridSpan w:val="3"/>
            <w:shd w:val="clear" w:color="auto" w:fill="E2EFD9"/>
            <w:tcMar>
              <w:top w:w="0" w:type="dxa"/>
              <w:left w:w="20" w:type="dxa"/>
              <w:bottom w:w="0" w:type="dxa"/>
              <w:right w:w="20" w:type="dxa"/>
            </w:tcMar>
            <w:vAlign w:val="bottom"/>
          </w:tcPr>
          <w:p w14:paraId="7C208934" w14:textId="77777777" w:rsidR="00834A75" w:rsidRDefault="00834A75">
            <w:pPr>
              <w:rPr>
                <w:rFonts w:ascii="宋体"/>
              </w:rPr>
            </w:pPr>
          </w:p>
        </w:tc>
        <w:tc>
          <w:tcPr>
            <w:tcW w:w="0" w:type="auto"/>
            <w:gridSpan w:val="2"/>
            <w:shd w:val="clear" w:color="auto" w:fill="E2EFD9"/>
            <w:tcMar>
              <w:top w:w="40" w:type="dxa"/>
              <w:left w:w="20" w:type="dxa"/>
              <w:bottom w:w="40" w:type="dxa"/>
              <w:right w:w="0" w:type="dxa"/>
            </w:tcMar>
            <w:vAlign w:val="bottom"/>
          </w:tcPr>
          <w:p w14:paraId="7C208935" w14:textId="77777777" w:rsidR="00834A75" w:rsidRDefault="00A6708C">
            <w:pPr>
              <w:jc w:val="right"/>
              <w:textAlignment w:val="bottom"/>
            </w:pPr>
            <w:r>
              <w:rPr>
                <w:rFonts w:ascii="sans-serif" w:eastAsia="sans-serif" w:hAnsi="sans-serif" w:cs="sans-serif"/>
                <w:color w:val="000000"/>
                <w:sz w:val="20"/>
                <w:szCs w:val="20"/>
              </w:rPr>
              <w:t>1,000 </w:t>
            </w:r>
          </w:p>
        </w:tc>
        <w:tc>
          <w:tcPr>
            <w:tcW w:w="0" w:type="auto"/>
            <w:shd w:val="clear" w:color="auto" w:fill="E2EFD9"/>
            <w:tcMar>
              <w:top w:w="40" w:type="dxa"/>
              <w:left w:w="0" w:type="dxa"/>
              <w:bottom w:w="40" w:type="dxa"/>
              <w:right w:w="20" w:type="dxa"/>
            </w:tcMar>
            <w:vAlign w:val="bottom"/>
          </w:tcPr>
          <w:p w14:paraId="7C208936" w14:textId="77777777" w:rsidR="00834A75" w:rsidRDefault="00834A75">
            <w:pPr>
              <w:jc w:val="right"/>
              <w:rPr>
                <w:rFonts w:ascii="宋体"/>
              </w:rPr>
            </w:pPr>
          </w:p>
        </w:tc>
        <w:tc>
          <w:tcPr>
            <w:tcW w:w="0" w:type="auto"/>
            <w:gridSpan w:val="3"/>
            <w:shd w:val="clear" w:color="auto" w:fill="E2EFD9"/>
            <w:tcMar>
              <w:top w:w="0" w:type="dxa"/>
              <w:left w:w="20" w:type="dxa"/>
              <w:bottom w:w="0" w:type="dxa"/>
              <w:right w:w="20" w:type="dxa"/>
            </w:tcMar>
            <w:vAlign w:val="bottom"/>
          </w:tcPr>
          <w:p w14:paraId="7C208937" w14:textId="77777777" w:rsidR="00834A75" w:rsidRDefault="00834A75">
            <w:pPr>
              <w:rPr>
                <w:rFonts w:ascii="宋体"/>
              </w:rPr>
            </w:pPr>
          </w:p>
        </w:tc>
        <w:tc>
          <w:tcPr>
            <w:tcW w:w="0" w:type="auto"/>
            <w:gridSpan w:val="2"/>
            <w:shd w:val="clear" w:color="auto" w:fill="E2EFD9"/>
            <w:tcMar>
              <w:top w:w="40" w:type="dxa"/>
              <w:left w:w="20" w:type="dxa"/>
              <w:bottom w:w="40" w:type="dxa"/>
              <w:right w:w="0" w:type="dxa"/>
            </w:tcMar>
            <w:vAlign w:val="bottom"/>
          </w:tcPr>
          <w:p w14:paraId="7C208938" w14:textId="77777777" w:rsidR="00834A75" w:rsidRDefault="00A6708C">
            <w:pPr>
              <w:jc w:val="right"/>
              <w:textAlignment w:val="bottom"/>
            </w:pPr>
            <w:r>
              <w:rPr>
                <w:rFonts w:ascii="sans-serif" w:eastAsia="sans-serif" w:hAnsi="sans-serif" w:cs="sans-serif"/>
                <w:color w:val="000000"/>
                <w:sz w:val="20"/>
                <w:szCs w:val="20"/>
              </w:rPr>
              <w:t>1,000 </w:t>
            </w:r>
          </w:p>
        </w:tc>
        <w:tc>
          <w:tcPr>
            <w:tcW w:w="0" w:type="auto"/>
            <w:shd w:val="clear" w:color="auto" w:fill="E2EFD9"/>
            <w:tcMar>
              <w:top w:w="40" w:type="dxa"/>
              <w:left w:w="0" w:type="dxa"/>
              <w:bottom w:w="40" w:type="dxa"/>
              <w:right w:w="20" w:type="dxa"/>
            </w:tcMar>
            <w:vAlign w:val="bottom"/>
          </w:tcPr>
          <w:p w14:paraId="7C208939" w14:textId="77777777" w:rsidR="00834A75" w:rsidRDefault="00834A75">
            <w:pPr>
              <w:jc w:val="right"/>
              <w:rPr>
                <w:rFonts w:ascii="宋体"/>
              </w:rPr>
            </w:pPr>
          </w:p>
        </w:tc>
      </w:tr>
      <w:tr w:rsidR="00834A75" w14:paraId="7C208946" w14:textId="77777777">
        <w:tc>
          <w:tcPr>
            <w:tcW w:w="0" w:type="auto"/>
            <w:gridSpan w:val="3"/>
            <w:shd w:val="clear" w:color="auto" w:fill="FFFFFF"/>
            <w:tcMar>
              <w:top w:w="40" w:type="dxa"/>
              <w:left w:w="20" w:type="dxa"/>
              <w:bottom w:w="40" w:type="dxa"/>
              <w:right w:w="20" w:type="dxa"/>
            </w:tcMar>
            <w:vAlign w:val="center"/>
          </w:tcPr>
          <w:p w14:paraId="7C20893B" w14:textId="77777777" w:rsidR="00834A75" w:rsidRDefault="00A6708C">
            <w:pPr>
              <w:textAlignment w:val="center"/>
            </w:pPr>
            <w:r>
              <w:rPr>
                <w:rFonts w:ascii="sans-serif" w:eastAsia="sans-serif" w:hAnsi="sans-serif" w:cs="sans-serif"/>
                <w:color w:val="000000"/>
                <w:sz w:val="20"/>
                <w:szCs w:val="20"/>
              </w:rPr>
              <w:t>1.55% Notes</w:t>
            </w:r>
            <w:r>
              <w:rPr>
                <w:rFonts w:ascii="sans-serif" w:eastAsia="sans-serif" w:hAnsi="sans-serif" w:cs="sans-serif"/>
                <w:color w:val="000000"/>
                <w:sz w:val="20"/>
                <w:szCs w:val="20"/>
              </w:rPr>
              <w:t xml:space="preserve"> Due 2028</w:t>
            </w:r>
          </w:p>
        </w:tc>
        <w:tc>
          <w:tcPr>
            <w:tcW w:w="0" w:type="auto"/>
            <w:gridSpan w:val="3"/>
            <w:shd w:val="clear" w:color="auto" w:fill="FFFFFF"/>
            <w:tcMar>
              <w:top w:w="0" w:type="dxa"/>
              <w:left w:w="20" w:type="dxa"/>
              <w:bottom w:w="0" w:type="dxa"/>
              <w:right w:w="20" w:type="dxa"/>
            </w:tcMar>
            <w:vAlign w:val="bottom"/>
          </w:tcPr>
          <w:p w14:paraId="7C20893C" w14:textId="77777777" w:rsidR="00834A75" w:rsidRDefault="00834A75">
            <w:pPr>
              <w:rPr>
                <w:rFonts w:ascii="宋体"/>
              </w:rPr>
            </w:pPr>
          </w:p>
        </w:tc>
        <w:tc>
          <w:tcPr>
            <w:tcW w:w="0" w:type="auto"/>
            <w:gridSpan w:val="3"/>
            <w:shd w:val="clear" w:color="auto" w:fill="FFFFFF"/>
            <w:tcMar>
              <w:top w:w="40" w:type="dxa"/>
              <w:left w:w="20" w:type="dxa"/>
              <w:bottom w:w="40" w:type="dxa"/>
              <w:right w:w="20" w:type="dxa"/>
            </w:tcMar>
            <w:vAlign w:val="bottom"/>
          </w:tcPr>
          <w:p w14:paraId="7C20893D" w14:textId="77777777" w:rsidR="00834A75" w:rsidRDefault="00A6708C">
            <w:pPr>
              <w:jc w:val="center"/>
              <w:textAlignment w:val="bottom"/>
            </w:pPr>
            <w:r>
              <w:rPr>
                <w:rFonts w:ascii="sans-serif" w:eastAsia="sans-serif" w:hAnsi="sans-serif" w:cs="sans-serif"/>
                <w:color w:val="000000"/>
                <w:sz w:val="20"/>
                <w:szCs w:val="20"/>
              </w:rPr>
              <w:t>6.1</w:t>
            </w:r>
          </w:p>
        </w:tc>
        <w:tc>
          <w:tcPr>
            <w:tcW w:w="0" w:type="auto"/>
            <w:gridSpan w:val="3"/>
            <w:shd w:val="clear" w:color="auto" w:fill="FFFFFF"/>
            <w:tcMar>
              <w:top w:w="0" w:type="dxa"/>
              <w:left w:w="20" w:type="dxa"/>
              <w:bottom w:w="0" w:type="dxa"/>
              <w:right w:w="20" w:type="dxa"/>
            </w:tcMar>
            <w:vAlign w:val="bottom"/>
          </w:tcPr>
          <w:p w14:paraId="7C20893E" w14:textId="77777777" w:rsidR="00834A75" w:rsidRDefault="00834A75">
            <w:pPr>
              <w:rPr>
                <w:rFonts w:ascii="宋体"/>
              </w:rPr>
            </w:pPr>
          </w:p>
        </w:tc>
        <w:tc>
          <w:tcPr>
            <w:tcW w:w="0" w:type="auto"/>
            <w:gridSpan w:val="3"/>
            <w:shd w:val="clear" w:color="auto" w:fill="FFFFFF"/>
            <w:tcMar>
              <w:top w:w="40" w:type="dxa"/>
              <w:left w:w="20" w:type="dxa"/>
              <w:bottom w:w="40" w:type="dxa"/>
              <w:right w:w="20" w:type="dxa"/>
            </w:tcMar>
            <w:vAlign w:val="bottom"/>
          </w:tcPr>
          <w:p w14:paraId="7C20893F" w14:textId="77777777" w:rsidR="00834A75" w:rsidRDefault="00A6708C">
            <w:pPr>
              <w:jc w:val="center"/>
              <w:textAlignment w:val="bottom"/>
            </w:pPr>
            <w:r>
              <w:rPr>
                <w:rFonts w:ascii="sans-serif" w:eastAsia="sans-serif" w:hAnsi="sans-serif" w:cs="sans-serif"/>
                <w:color w:val="000000"/>
                <w:sz w:val="20"/>
                <w:szCs w:val="20"/>
              </w:rPr>
              <w:t>1.64%</w:t>
            </w:r>
          </w:p>
        </w:tc>
        <w:tc>
          <w:tcPr>
            <w:tcW w:w="0" w:type="auto"/>
            <w:gridSpan w:val="3"/>
            <w:shd w:val="clear" w:color="auto" w:fill="FFFFFF"/>
            <w:tcMar>
              <w:top w:w="0" w:type="dxa"/>
              <w:left w:w="20" w:type="dxa"/>
              <w:bottom w:w="0" w:type="dxa"/>
              <w:right w:w="20" w:type="dxa"/>
            </w:tcMar>
            <w:vAlign w:val="bottom"/>
          </w:tcPr>
          <w:p w14:paraId="7C208940" w14:textId="77777777" w:rsidR="00834A75" w:rsidRDefault="00834A75">
            <w:pPr>
              <w:rPr>
                <w:rFonts w:ascii="宋体"/>
              </w:rPr>
            </w:pPr>
          </w:p>
        </w:tc>
        <w:tc>
          <w:tcPr>
            <w:tcW w:w="0" w:type="auto"/>
            <w:gridSpan w:val="2"/>
            <w:shd w:val="clear" w:color="auto" w:fill="FFFFFF"/>
            <w:tcMar>
              <w:top w:w="40" w:type="dxa"/>
              <w:left w:w="20" w:type="dxa"/>
              <w:bottom w:w="40" w:type="dxa"/>
              <w:right w:w="0" w:type="dxa"/>
            </w:tcMar>
            <w:vAlign w:val="bottom"/>
          </w:tcPr>
          <w:p w14:paraId="7C208941" w14:textId="77777777" w:rsidR="00834A75" w:rsidRDefault="00A6708C">
            <w:pPr>
              <w:jc w:val="right"/>
              <w:textAlignment w:val="bottom"/>
            </w:pPr>
            <w:r>
              <w:rPr>
                <w:rFonts w:ascii="sans-serif" w:eastAsia="sans-serif" w:hAnsi="sans-serif" w:cs="sans-serif"/>
                <w:color w:val="000000"/>
                <w:sz w:val="20"/>
                <w:szCs w:val="20"/>
              </w:rPr>
              <w:t>1,250 </w:t>
            </w:r>
          </w:p>
        </w:tc>
        <w:tc>
          <w:tcPr>
            <w:tcW w:w="0" w:type="auto"/>
            <w:shd w:val="clear" w:color="auto" w:fill="FFFFFF"/>
            <w:tcMar>
              <w:top w:w="40" w:type="dxa"/>
              <w:left w:w="0" w:type="dxa"/>
              <w:bottom w:w="40" w:type="dxa"/>
              <w:right w:w="20" w:type="dxa"/>
            </w:tcMar>
            <w:vAlign w:val="bottom"/>
          </w:tcPr>
          <w:p w14:paraId="7C208942" w14:textId="77777777" w:rsidR="00834A75" w:rsidRDefault="00834A75">
            <w:pPr>
              <w:jc w:val="right"/>
              <w:rPr>
                <w:rFonts w:ascii="宋体"/>
              </w:rPr>
            </w:pPr>
          </w:p>
        </w:tc>
        <w:tc>
          <w:tcPr>
            <w:tcW w:w="0" w:type="auto"/>
            <w:gridSpan w:val="3"/>
            <w:shd w:val="clear" w:color="auto" w:fill="FFFFFF"/>
            <w:tcMar>
              <w:top w:w="0" w:type="dxa"/>
              <w:left w:w="20" w:type="dxa"/>
              <w:bottom w:w="0" w:type="dxa"/>
              <w:right w:w="20" w:type="dxa"/>
            </w:tcMar>
            <w:vAlign w:val="bottom"/>
          </w:tcPr>
          <w:p w14:paraId="7C208943" w14:textId="77777777" w:rsidR="00834A75" w:rsidRDefault="00834A75">
            <w:pPr>
              <w:rPr>
                <w:rFonts w:ascii="宋体"/>
              </w:rPr>
            </w:pPr>
          </w:p>
        </w:tc>
        <w:tc>
          <w:tcPr>
            <w:tcW w:w="0" w:type="auto"/>
            <w:gridSpan w:val="2"/>
            <w:shd w:val="clear" w:color="auto" w:fill="FFFFFF"/>
            <w:tcMar>
              <w:top w:w="40" w:type="dxa"/>
              <w:left w:w="20" w:type="dxa"/>
              <w:bottom w:w="40" w:type="dxa"/>
              <w:right w:w="0" w:type="dxa"/>
            </w:tcMar>
            <w:vAlign w:val="bottom"/>
          </w:tcPr>
          <w:p w14:paraId="7C208944" w14:textId="77777777" w:rsidR="00834A75" w:rsidRDefault="00A6708C">
            <w:pPr>
              <w:jc w:val="right"/>
              <w:textAlignment w:val="bottom"/>
            </w:pPr>
            <w:r>
              <w:rPr>
                <w:rFonts w:ascii="sans-serif" w:eastAsia="sans-serif" w:hAnsi="sans-serif" w:cs="sans-serif"/>
                <w:color w:val="000000"/>
                <w:sz w:val="20"/>
                <w:szCs w:val="20"/>
              </w:rPr>
              <w:t>1,250 </w:t>
            </w:r>
          </w:p>
        </w:tc>
        <w:tc>
          <w:tcPr>
            <w:tcW w:w="0" w:type="auto"/>
            <w:shd w:val="clear" w:color="auto" w:fill="FFFFFF"/>
            <w:tcMar>
              <w:top w:w="40" w:type="dxa"/>
              <w:left w:w="0" w:type="dxa"/>
              <w:bottom w:w="40" w:type="dxa"/>
              <w:right w:w="20" w:type="dxa"/>
            </w:tcMar>
            <w:vAlign w:val="bottom"/>
          </w:tcPr>
          <w:p w14:paraId="7C208945" w14:textId="77777777" w:rsidR="00834A75" w:rsidRDefault="00834A75">
            <w:pPr>
              <w:jc w:val="right"/>
              <w:rPr>
                <w:rFonts w:ascii="宋体"/>
              </w:rPr>
            </w:pPr>
          </w:p>
        </w:tc>
      </w:tr>
      <w:tr w:rsidR="00834A75" w14:paraId="7C208952" w14:textId="77777777">
        <w:tc>
          <w:tcPr>
            <w:tcW w:w="0" w:type="auto"/>
            <w:gridSpan w:val="3"/>
            <w:shd w:val="clear" w:color="auto" w:fill="E2EFD9"/>
            <w:tcMar>
              <w:top w:w="40" w:type="dxa"/>
              <w:left w:w="20" w:type="dxa"/>
              <w:bottom w:w="40" w:type="dxa"/>
              <w:right w:w="20" w:type="dxa"/>
            </w:tcMar>
            <w:vAlign w:val="center"/>
          </w:tcPr>
          <w:p w14:paraId="7C208947" w14:textId="77777777" w:rsidR="00834A75" w:rsidRDefault="00A6708C">
            <w:pPr>
              <w:textAlignment w:val="center"/>
            </w:pPr>
            <w:r>
              <w:rPr>
                <w:rFonts w:ascii="sans-serif" w:eastAsia="sans-serif" w:hAnsi="sans-serif" w:cs="sans-serif"/>
                <w:color w:val="000000"/>
                <w:sz w:val="20"/>
                <w:szCs w:val="20"/>
              </w:rPr>
              <w:t>2.85% Notes</w:t>
            </w:r>
            <w:r>
              <w:rPr>
                <w:rFonts w:ascii="sans-serif" w:eastAsia="sans-serif" w:hAnsi="sans-serif" w:cs="sans-serif"/>
                <w:color w:val="000000"/>
                <w:sz w:val="20"/>
                <w:szCs w:val="20"/>
              </w:rPr>
              <w:t xml:space="preserve"> Due 2030</w:t>
            </w:r>
          </w:p>
        </w:tc>
        <w:tc>
          <w:tcPr>
            <w:tcW w:w="0" w:type="auto"/>
            <w:gridSpan w:val="3"/>
            <w:shd w:val="clear" w:color="auto" w:fill="E2EFD9"/>
            <w:tcMar>
              <w:top w:w="0" w:type="dxa"/>
              <w:left w:w="20" w:type="dxa"/>
              <w:bottom w:w="0" w:type="dxa"/>
              <w:right w:w="20" w:type="dxa"/>
            </w:tcMar>
            <w:vAlign w:val="bottom"/>
          </w:tcPr>
          <w:p w14:paraId="7C208948" w14:textId="77777777" w:rsidR="00834A75" w:rsidRDefault="00834A75">
            <w:pPr>
              <w:rPr>
                <w:rFonts w:ascii="宋体"/>
              </w:rPr>
            </w:pPr>
          </w:p>
        </w:tc>
        <w:tc>
          <w:tcPr>
            <w:tcW w:w="0" w:type="auto"/>
            <w:gridSpan w:val="3"/>
            <w:shd w:val="clear" w:color="auto" w:fill="E2EFD9"/>
            <w:tcMar>
              <w:top w:w="40" w:type="dxa"/>
              <w:left w:w="20" w:type="dxa"/>
              <w:bottom w:w="40" w:type="dxa"/>
              <w:right w:w="20" w:type="dxa"/>
            </w:tcMar>
            <w:vAlign w:val="bottom"/>
          </w:tcPr>
          <w:p w14:paraId="7C208949" w14:textId="77777777" w:rsidR="00834A75" w:rsidRDefault="00A6708C">
            <w:pPr>
              <w:jc w:val="center"/>
              <w:textAlignment w:val="bottom"/>
            </w:pPr>
            <w:r>
              <w:rPr>
                <w:rFonts w:ascii="sans-serif" w:eastAsia="sans-serif" w:hAnsi="sans-serif" w:cs="sans-serif"/>
                <w:color w:val="000000"/>
                <w:sz w:val="20"/>
                <w:szCs w:val="20"/>
              </w:rPr>
              <w:t>7.9</w:t>
            </w:r>
          </w:p>
        </w:tc>
        <w:tc>
          <w:tcPr>
            <w:tcW w:w="0" w:type="auto"/>
            <w:gridSpan w:val="3"/>
            <w:shd w:val="clear" w:color="auto" w:fill="E2EFD9"/>
            <w:tcMar>
              <w:top w:w="0" w:type="dxa"/>
              <w:left w:w="20" w:type="dxa"/>
              <w:bottom w:w="0" w:type="dxa"/>
              <w:right w:w="20" w:type="dxa"/>
            </w:tcMar>
            <w:vAlign w:val="bottom"/>
          </w:tcPr>
          <w:p w14:paraId="7C20894A" w14:textId="77777777" w:rsidR="00834A75" w:rsidRDefault="00834A75">
            <w:pPr>
              <w:rPr>
                <w:rFonts w:ascii="宋体"/>
              </w:rPr>
            </w:pPr>
          </w:p>
        </w:tc>
        <w:tc>
          <w:tcPr>
            <w:tcW w:w="0" w:type="auto"/>
            <w:gridSpan w:val="3"/>
            <w:shd w:val="clear" w:color="auto" w:fill="E2EFD9"/>
            <w:tcMar>
              <w:top w:w="40" w:type="dxa"/>
              <w:left w:w="20" w:type="dxa"/>
              <w:bottom w:w="40" w:type="dxa"/>
              <w:right w:w="20" w:type="dxa"/>
            </w:tcMar>
            <w:vAlign w:val="bottom"/>
          </w:tcPr>
          <w:p w14:paraId="7C20894B" w14:textId="77777777" w:rsidR="00834A75" w:rsidRDefault="00A6708C">
            <w:pPr>
              <w:jc w:val="center"/>
              <w:textAlignment w:val="bottom"/>
            </w:pPr>
            <w:r>
              <w:rPr>
                <w:rFonts w:ascii="sans-serif" w:eastAsia="sans-serif" w:hAnsi="sans-serif" w:cs="sans-serif"/>
                <w:color w:val="000000"/>
                <w:sz w:val="20"/>
                <w:szCs w:val="20"/>
              </w:rPr>
              <w:t>2.93%</w:t>
            </w:r>
          </w:p>
        </w:tc>
        <w:tc>
          <w:tcPr>
            <w:tcW w:w="0" w:type="auto"/>
            <w:gridSpan w:val="3"/>
            <w:shd w:val="clear" w:color="auto" w:fill="E2EFD9"/>
            <w:tcMar>
              <w:top w:w="0" w:type="dxa"/>
              <w:left w:w="20" w:type="dxa"/>
              <w:bottom w:w="0" w:type="dxa"/>
              <w:right w:w="20" w:type="dxa"/>
            </w:tcMar>
            <w:vAlign w:val="bottom"/>
          </w:tcPr>
          <w:p w14:paraId="7C20894C" w14:textId="77777777" w:rsidR="00834A75" w:rsidRDefault="00834A75">
            <w:pPr>
              <w:rPr>
                <w:rFonts w:ascii="宋体"/>
              </w:rPr>
            </w:pPr>
          </w:p>
        </w:tc>
        <w:tc>
          <w:tcPr>
            <w:tcW w:w="0" w:type="auto"/>
            <w:gridSpan w:val="2"/>
            <w:shd w:val="clear" w:color="auto" w:fill="E2EFD9"/>
            <w:tcMar>
              <w:top w:w="40" w:type="dxa"/>
              <w:left w:w="20" w:type="dxa"/>
              <w:bottom w:w="40" w:type="dxa"/>
              <w:right w:w="0" w:type="dxa"/>
            </w:tcMar>
            <w:vAlign w:val="bottom"/>
          </w:tcPr>
          <w:p w14:paraId="7C20894D" w14:textId="77777777" w:rsidR="00834A75" w:rsidRDefault="00A6708C">
            <w:pPr>
              <w:jc w:val="right"/>
              <w:textAlignment w:val="bottom"/>
            </w:pPr>
            <w:r>
              <w:rPr>
                <w:rFonts w:ascii="sans-serif" w:eastAsia="sans-serif" w:hAnsi="sans-serif" w:cs="sans-serif"/>
                <w:color w:val="000000"/>
                <w:sz w:val="20"/>
                <w:szCs w:val="20"/>
              </w:rPr>
              <w:t>1,500 </w:t>
            </w:r>
          </w:p>
        </w:tc>
        <w:tc>
          <w:tcPr>
            <w:tcW w:w="0" w:type="auto"/>
            <w:shd w:val="clear" w:color="auto" w:fill="E2EFD9"/>
            <w:tcMar>
              <w:top w:w="40" w:type="dxa"/>
              <w:left w:w="0" w:type="dxa"/>
              <w:bottom w:w="40" w:type="dxa"/>
              <w:right w:w="20" w:type="dxa"/>
            </w:tcMar>
            <w:vAlign w:val="bottom"/>
          </w:tcPr>
          <w:p w14:paraId="7C20894E" w14:textId="77777777" w:rsidR="00834A75" w:rsidRDefault="00834A75">
            <w:pPr>
              <w:jc w:val="right"/>
              <w:rPr>
                <w:rFonts w:ascii="宋体"/>
              </w:rPr>
            </w:pPr>
          </w:p>
        </w:tc>
        <w:tc>
          <w:tcPr>
            <w:tcW w:w="0" w:type="auto"/>
            <w:gridSpan w:val="3"/>
            <w:shd w:val="clear" w:color="auto" w:fill="E2EFD9"/>
            <w:tcMar>
              <w:top w:w="0" w:type="dxa"/>
              <w:left w:w="20" w:type="dxa"/>
              <w:bottom w:w="0" w:type="dxa"/>
              <w:right w:w="20" w:type="dxa"/>
            </w:tcMar>
            <w:vAlign w:val="bottom"/>
          </w:tcPr>
          <w:p w14:paraId="7C20894F" w14:textId="77777777" w:rsidR="00834A75" w:rsidRDefault="00834A75">
            <w:pPr>
              <w:rPr>
                <w:rFonts w:ascii="宋体"/>
              </w:rPr>
            </w:pPr>
          </w:p>
        </w:tc>
        <w:tc>
          <w:tcPr>
            <w:tcW w:w="0" w:type="auto"/>
            <w:gridSpan w:val="2"/>
            <w:shd w:val="clear" w:color="auto" w:fill="E2EFD9"/>
            <w:tcMar>
              <w:top w:w="40" w:type="dxa"/>
              <w:left w:w="20" w:type="dxa"/>
              <w:bottom w:w="40" w:type="dxa"/>
              <w:right w:w="0" w:type="dxa"/>
            </w:tcMar>
            <w:vAlign w:val="bottom"/>
          </w:tcPr>
          <w:p w14:paraId="7C208950" w14:textId="77777777" w:rsidR="00834A75" w:rsidRDefault="00A6708C">
            <w:pPr>
              <w:jc w:val="right"/>
              <w:textAlignment w:val="bottom"/>
            </w:pPr>
            <w:r>
              <w:rPr>
                <w:rFonts w:ascii="sans-serif" w:eastAsia="sans-serif" w:hAnsi="sans-serif" w:cs="sans-serif"/>
                <w:color w:val="000000"/>
                <w:sz w:val="20"/>
                <w:szCs w:val="20"/>
              </w:rPr>
              <w:t>1,500 </w:t>
            </w:r>
          </w:p>
        </w:tc>
        <w:tc>
          <w:tcPr>
            <w:tcW w:w="0" w:type="auto"/>
            <w:shd w:val="clear" w:color="auto" w:fill="E2EFD9"/>
            <w:tcMar>
              <w:top w:w="40" w:type="dxa"/>
              <w:left w:w="0" w:type="dxa"/>
              <w:bottom w:w="40" w:type="dxa"/>
              <w:right w:w="20" w:type="dxa"/>
            </w:tcMar>
            <w:vAlign w:val="bottom"/>
          </w:tcPr>
          <w:p w14:paraId="7C208951" w14:textId="77777777" w:rsidR="00834A75" w:rsidRDefault="00834A75">
            <w:pPr>
              <w:jc w:val="right"/>
              <w:rPr>
                <w:rFonts w:ascii="宋体"/>
              </w:rPr>
            </w:pPr>
          </w:p>
        </w:tc>
      </w:tr>
      <w:tr w:rsidR="00834A75" w14:paraId="7C20895E" w14:textId="77777777">
        <w:tc>
          <w:tcPr>
            <w:tcW w:w="0" w:type="auto"/>
            <w:gridSpan w:val="3"/>
            <w:shd w:val="clear" w:color="auto" w:fill="FFFFFF"/>
            <w:tcMar>
              <w:top w:w="40" w:type="dxa"/>
              <w:left w:w="20" w:type="dxa"/>
              <w:bottom w:w="40" w:type="dxa"/>
              <w:right w:w="20" w:type="dxa"/>
            </w:tcMar>
            <w:vAlign w:val="center"/>
          </w:tcPr>
          <w:p w14:paraId="7C208953" w14:textId="77777777" w:rsidR="00834A75" w:rsidRDefault="00A6708C">
            <w:pPr>
              <w:textAlignment w:val="center"/>
            </w:pPr>
            <w:r>
              <w:rPr>
                <w:rFonts w:ascii="sans-serif" w:eastAsia="sans-serif" w:hAnsi="sans-serif" w:cs="sans-serif"/>
                <w:color w:val="000000"/>
                <w:sz w:val="20"/>
                <w:szCs w:val="20"/>
              </w:rPr>
              <w:t>2.00% Notes Due 2031</w:t>
            </w:r>
          </w:p>
        </w:tc>
        <w:tc>
          <w:tcPr>
            <w:tcW w:w="0" w:type="auto"/>
            <w:gridSpan w:val="3"/>
            <w:shd w:val="clear" w:color="auto" w:fill="FFFFFF"/>
            <w:tcMar>
              <w:top w:w="0" w:type="dxa"/>
              <w:left w:w="20" w:type="dxa"/>
              <w:bottom w:w="0" w:type="dxa"/>
              <w:right w:w="20" w:type="dxa"/>
            </w:tcMar>
            <w:vAlign w:val="bottom"/>
          </w:tcPr>
          <w:p w14:paraId="7C208954" w14:textId="77777777" w:rsidR="00834A75" w:rsidRDefault="00834A75">
            <w:pPr>
              <w:rPr>
                <w:rFonts w:ascii="宋体"/>
              </w:rPr>
            </w:pPr>
          </w:p>
        </w:tc>
        <w:tc>
          <w:tcPr>
            <w:tcW w:w="0" w:type="auto"/>
            <w:gridSpan w:val="3"/>
            <w:shd w:val="clear" w:color="auto" w:fill="FFFFFF"/>
            <w:tcMar>
              <w:top w:w="40" w:type="dxa"/>
              <w:left w:w="20" w:type="dxa"/>
              <w:bottom w:w="40" w:type="dxa"/>
              <w:right w:w="20" w:type="dxa"/>
            </w:tcMar>
            <w:vAlign w:val="bottom"/>
          </w:tcPr>
          <w:p w14:paraId="7C208955" w14:textId="77777777" w:rsidR="00834A75" w:rsidRDefault="00A6708C">
            <w:pPr>
              <w:jc w:val="center"/>
              <w:textAlignment w:val="bottom"/>
            </w:pPr>
            <w:r>
              <w:rPr>
                <w:rFonts w:ascii="sans-serif" w:eastAsia="sans-serif" w:hAnsi="sans-serif" w:cs="sans-serif"/>
                <w:color w:val="000000"/>
                <w:sz w:val="20"/>
                <w:szCs w:val="20"/>
              </w:rPr>
              <w:t>9.1</w:t>
            </w:r>
          </w:p>
        </w:tc>
        <w:tc>
          <w:tcPr>
            <w:tcW w:w="0" w:type="auto"/>
            <w:gridSpan w:val="3"/>
            <w:shd w:val="clear" w:color="auto" w:fill="FFFFFF"/>
            <w:tcMar>
              <w:top w:w="0" w:type="dxa"/>
              <w:left w:w="20" w:type="dxa"/>
              <w:bottom w:w="0" w:type="dxa"/>
              <w:right w:w="20" w:type="dxa"/>
            </w:tcMar>
            <w:vAlign w:val="bottom"/>
          </w:tcPr>
          <w:p w14:paraId="7C208956" w14:textId="77777777" w:rsidR="00834A75" w:rsidRDefault="00834A75">
            <w:pPr>
              <w:rPr>
                <w:rFonts w:ascii="宋体"/>
              </w:rPr>
            </w:pPr>
          </w:p>
        </w:tc>
        <w:tc>
          <w:tcPr>
            <w:tcW w:w="0" w:type="auto"/>
            <w:gridSpan w:val="3"/>
            <w:shd w:val="clear" w:color="auto" w:fill="FFFFFF"/>
            <w:tcMar>
              <w:top w:w="40" w:type="dxa"/>
              <w:left w:w="20" w:type="dxa"/>
              <w:bottom w:w="40" w:type="dxa"/>
              <w:right w:w="20" w:type="dxa"/>
            </w:tcMar>
            <w:vAlign w:val="bottom"/>
          </w:tcPr>
          <w:p w14:paraId="7C208957" w14:textId="77777777" w:rsidR="00834A75" w:rsidRDefault="00A6708C">
            <w:pPr>
              <w:jc w:val="center"/>
              <w:textAlignment w:val="bottom"/>
            </w:pPr>
            <w:r>
              <w:rPr>
                <w:rFonts w:ascii="sans-serif" w:eastAsia="sans-serif" w:hAnsi="sans-serif" w:cs="sans-serif"/>
                <w:color w:val="000000"/>
                <w:sz w:val="20"/>
                <w:szCs w:val="20"/>
              </w:rPr>
              <w:t>2.09%</w:t>
            </w:r>
          </w:p>
        </w:tc>
        <w:tc>
          <w:tcPr>
            <w:tcW w:w="0" w:type="auto"/>
            <w:gridSpan w:val="3"/>
            <w:shd w:val="clear" w:color="auto" w:fill="FFFFFF"/>
            <w:tcMar>
              <w:top w:w="0" w:type="dxa"/>
              <w:left w:w="20" w:type="dxa"/>
              <w:bottom w:w="0" w:type="dxa"/>
              <w:right w:w="20" w:type="dxa"/>
            </w:tcMar>
            <w:vAlign w:val="bottom"/>
          </w:tcPr>
          <w:p w14:paraId="7C208958" w14:textId="77777777" w:rsidR="00834A75" w:rsidRDefault="00834A75">
            <w:pPr>
              <w:rPr>
                <w:rFonts w:ascii="宋体"/>
              </w:rPr>
            </w:pPr>
          </w:p>
        </w:tc>
        <w:tc>
          <w:tcPr>
            <w:tcW w:w="0" w:type="auto"/>
            <w:gridSpan w:val="2"/>
            <w:shd w:val="clear" w:color="auto" w:fill="FFFFFF"/>
            <w:tcMar>
              <w:top w:w="40" w:type="dxa"/>
              <w:left w:w="20" w:type="dxa"/>
              <w:bottom w:w="40" w:type="dxa"/>
              <w:right w:w="0" w:type="dxa"/>
            </w:tcMar>
            <w:vAlign w:val="bottom"/>
          </w:tcPr>
          <w:p w14:paraId="7C208959" w14:textId="77777777" w:rsidR="00834A75" w:rsidRDefault="00A6708C">
            <w:pPr>
              <w:jc w:val="right"/>
              <w:textAlignment w:val="bottom"/>
            </w:pPr>
            <w:r>
              <w:rPr>
                <w:rFonts w:ascii="sans-serif" w:eastAsia="sans-serif" w:hAnsi="sans-serif" w:cs="sans-serif"/>
                <w:color w:val="000000"/>
                <w:sz w:val="20"/>
                <w:szCs w:val="20"/>
              </w:rPr>
              <w:t>1,250 </w:t>
            </w:r>
          </w:p>
        </w:tc>
        <w:tc>
          <w:tcPr>
            <w:tcW w:w="0" w:type="auto"/>
            <w:shd w:val="clear" w:color="auto" w:fill="FFFFFF"/>
            <w:tcMar>
              <w:top w:w="40" w:type="dxa"/>
              <w:left w:w="0" w:type="dxa"/>
              <w:bottom w:w="40" w:type="dxa"/>
              <w:right w:w="20" w:type="dxa"/>
            </w:tcMar>
            <w:vAlign w:val="bottom"/>
          </w:tcPr>
          <w:p w14:paraId="7C20895A" w14:textId="77777777" w:rsidR="00834A75" w:rsidRDefault="00834A75">
            <w:pPr>
              <w:jc w:val="right"/>
              <w:rPr>
                <w:rFonts w:ascii="宋体"/>
              </w:rPr>
            </w:pPr>
          </w:p>
        </w:tc>
        <w:tc>
          <w:tcPr>
            <w:tcW w:w="0" w:type="auto"/>
            <w:gridSpan w:val="3"/>
            <w:shd w:val="clear" w:color="auto" w:fill="FFFFFF"/>
            <w:tcMar>
              <w:top w:w="0" w:type="dxa"/>
              <w:left w:w="20" w:type="dxa"/>
              <w:bottom w:w="0" w:type="dxa"/>
              <w:right w:w="20" w:type="dxa"/>
            </w:tcMar>
            <w:vAlign w:val="bottom"/>
          </w:tcPr>
          <w:p w14:paraId="7C20895B" w14:textId="77777777" w:rsidR="00834A75" w:rsidRDefault="00834A75">
            <w:pPr>
              <w:rPr>
                <w:rFonts w:ascii="宋体"/>
              </w:rPr>
            </w:pPr>
          </w:p>
        </w:tc>
        <w:tc>
          <w:tcPr>
            <w:tcW w:w="0" w:type="auto"/>
            <w:gridSpan w:val="2"/>
            <w:shd w:val="clear" w:color="auto" w:fill="FFFFFF"/>
            <w:tcMar>
              <w:top w:w="40" w:type="dxa"/>
              <w:left w:w="20" w:type="dxa"/>
              <w:bottom w:w="40" w:type="dxa"/>
              <w:right w:w="0" w:type="dxa"/>
            </w:tcMar>
            <w:vAlign w:val="bottom"/>
          </w:tcPr>
          <w:p w14:paraId="7C20895C" w14:textId="77777777" w:rsidR="00834A75" w:rsidRDefault="00A6708C">
            <w:pPr>
              <w:jc w:val="right"/>
              <w:textAlignment w:val="bottom"/>
            </w:pPr>
            <w:r>
              <w:rPr>
                <w:rFonts w:ascii="sans-serif" w:eastAsia="sans-serif" w:hAnsi="sans-serif" w:cs="sans-serif"/>
                <w:color w:val="000000"/>
                <w:sz w:val="20"/>
                <w:szCs w:val="20"/>
              </w:rPr>
              <w:t>1,250 </w:t>
            </w:r>
          </w:p>
        </w:tc>
        <w:tc>
          <w:tcPr>
            <w:tcW w:w="0" w:type="auto"/>
            <w:shd w:val="clear" w:color="auto" w:fill="FFFFFF"/>
            <w:tcMar>
              <w:top w:w="40" w:type="dxa"/>
              <w:left w:w="0" w:type="dxa"/>
              <w:bottom w:w="40" w:type="dxa"/>
              <w:right w:w="20" w:type="dxa"/>
            </w:tcMar>
            <w:vAlign w:val="bottom"/>
          </w:tcPr>
          <w:p w14:paraId="7C20895D" w14:textId="77777777" w:rsidR="00834A75" w:rsidRDefault="00834A75">
            <w:pPr>
              <w:jc w:val="right"/>
              <w:rPr>
                <w:rFonts w:ascii="宋体"/>
              </w:rPr>
            </w:pPr>
          </w:p>
        </w:tc>
      </w:tr>
      <w:tr w:rsidR="00834A75" w14:paraId="7C20896A" w14:textId="77777777">
        <w:tc>
          <w:tcPr>
            <w:tcW w:w="0" w:type="auto"/>
            <w:gridSpan w:val="3"/>
            <w:shd w:val="clear" w:color="auto" w:fill="E2EFD9"/>
            <w:tcMar>
              <w:top w:w="40" w:type="dxa"/>
              <w:left w:w="20" w:type="dxa"/>
              <w:bottom w:w="40" w:type="dxa"/>
              <w:right w:w="20" w:type="dxa"/>
            </w:tcMar>
            <w:vAlign w:val="center"/>
          </w:tcPr>
          <w:p w14:paraId="7C20895F" w14:textId="77777777" w:rsidR="00834A75" w:rsidRDefault="00A6708C">
            <w:pPr>
              <w:textAlignment w:val="center"/>
            </w:pPr>
            <w:r>
              <w:rPr>
                <w:rFonts w:ascii="sans-serif" w:eastAsia="sans-serif" w:hAnsi="sans-serif" w:cs="sans-serif"/>
                <w:color w:val="000000"/>
                <w:sz w:val="20"/>
                <w:szCs w:val="20"/>
              </w:rPr>
              <w:t>3.50% Notes</w:t>
            </w:r>
            <w:r>
              <w:rPr>
                <w:rFonts w:ascii="sans-serif" w:eastAsia="sans-serif" w:hAnsi="sans-serif" w:cs="sans-serif"/>
                <w:color w:val="000000"/>
                <w:sz w:val="20"/>
                <w:szCs w:val="20"/>
              </w:rPr>
              <w:t xml:space="preserve"> Due 2040</w:t>
            </w:r>
          </w:p>
        </w:tc>
        <w:tc>
          <w:tcPr>
            <w:tcW w:w="0" w:type="auto"/>
            <w:gridSpan w:val="3"/>
            <w:shd w:val="clear" w:color="auto" w:fill="E2EFD9"/>
            <w:tcMar>
              <w:top w:w="0" w:type="dxa"/>
              <w:left w:w="20" w:type="dxa"/>
              <w:bottom w:w="0" w:type="dxa"/>
              <w:right w:w="20" w:type="dxa"/>
            </w:tcMar>
            <w:vAlign w:val="bottom"/>
          </w:tcPr>
          <w:p w14:paraId="7C208960" w14:textId="77777777" w:rsidR="00834A75" w:rsidRDefault="00834A75">
            <w:pPr>
              <w:rPr>
                <w:rFonts w:ascii="宋体"/>
              </w:rPr>
            </w:pPr>
          </w:p>
        </w:tc>
        <w:tc>
          <w:tcPr>
            <w:tcW w:w="0" w:type="auto"/>
            <w:gridSpan w:val="3"/>
            <w:shd w:val="clear" w:color="auto" w:fill="E2EFD9"/>
            <w:tcMar>
              <w:top w:w="40" w:type="dxa"/>
              <w:left w:w="20" w:type="dxa"/>
              <w:bottom w:w="40" w:type="dxa"/>
              <w:right w:w="20" w:type="dxa"/>
            </w:tcMar>
            <w:vAlign w:val="bottom"/>
          </w:tcPr>
          <w:p w14:paraId="7C208961" w14:textId="77777777" w:rsidR="00834A75" w:rsidRDefault="00A6708C">
            <w:pPr>
              <w:jc w:val="center"/>
              <w:textAlignment w:val="bottom"/>
            </w:pPr>
            <w:r>
              <w:rPr>
                <w:rFonts w:ascii="sans-serif" w:eastAsia="sans-serif" w:hAnsi="sans-serif" w:cs="sans-serif"/>
                <w:color w:val="000000"/>
                <w:sz w:val="20"/>
                <w:szCs w:val="20"/>
              </w:rPr>
              <w:t>17.9</w:t>
            </w:r>
          </w:p>
        </w:tc>
        <w:tc>
          <w:tcPr>
            <w:tcW w:w="0" w:type="auto"/>
            <w:gridSpan w:val="3"/>
            <w:shd w:val="clear" w:color="auto" w:fill="E2EFD9"/>
            <w:tcMar>
              <w:top w:w="0" w:type="dxa"/>
              <w:left w:w="20" w:type="dxa"/>
              <w:bottom w:w="0" w:type="dxa"/>
              <w:right w:w="20" w:type="dxa"/>
            </w:tcMar>
            <w:vAlign w:val="bottom"/>
          </w:tcPr>
          <w:p w14:paraId="7C208962" w14:textId="77777777" w:rsidR="00834A75" w:rsidRDefault="00834A75">
            <w:pPr>
              <w:rPr>
                <w:rFonts w:ascii="宋体"/>
              </w:rPr>
            </w:pPr>
          </w:p>
        </w:tc>
        <w:tc>
          <w:tcPr>
            <w:tcW w:w="0" w:type="auto"/>
            <w:gridSpan w:val="3"/>
            <w:shd w:val="clear" w:color="auto" w:fill="E2EFD9"/>
            <w:tcMar>
              <w:top w:w="40" w:type="dxa"/>
              <w:left w:w="20" w:type="dxa"/>
              <w:bottom w:w="40" w:type="dxa"/>
              <w:right w:w="20" w:type="dxa"/>
            </w:tcMar>
            <w:vAlign w:val="bottom"/>
          </w:tcPr>
          <w:p w14:paraId="7C208963" w14:textId="77777777" w:rsidR="00834A75" w:rsidRDefault="00A6708C">
            <w:pPr>
              <w:jc w:val="center"/>
              <w:textAlignment w:val="bottom"/>
            </w:pPr>
            <w:r>
              <w:rPr>
                <w:rFonts w:ascii="sans-serif" w:eastAsia="sans-serif" w:hAnsi="sans-serif" w:cs="sans-serif"/>
                <w:color w:val="000000"/>
                <w:sz w:val="20"/>
                <w:szCs w:val="20"/>
              </w:rPr>
              <w:t>3.54%</w:t>
            </w:r>
          </w:p>
        </w:tc>
        <w:tc>
          <w:tcPr>
            <w:tcW w:w="0" w:type="auto"/>
            <w:gridSpan w:val="3"/>
            <w:shd w:val="clear" w:color="auto" w:fill="E2EFD9"/>
            <w:tcMar>
              <w:top w:w="0" w:type="dxa"/>
              <w:left w:w="20" w:type="dxa"/>
              <w:bottom w:w="0" w:type="dxa"/>
              <w:right w:w="20" w:type="dxa"/>
            </w:tcMar>
            <w:vAlign w:val="bottom"/>
          </w:tcPr>
          <w:p w14:paraId="7C208964" w14:textId="77777777" w:rsidR="00834A75" w:rsidRDefault="00834A75">
            <w:pPr>
              <w:rPr>
                <w:rFonts w:ascii="宋体"/>
              </w:rPr>
            </w:pPr>
          </w:p>
        </w:tc>
        <w:tc>
          <w:tcPr>
            <w:tcW w:w="0" w:type="auto"/>
            <w:gridSpan w:val="2"/>
            <w:shd w:val="clear" w:color="auto" w:fill="E2EFD9"/>
            <w:tcMar>
              <w:top w:w="40" w:type="dxa"/>
              <w:left w:w="20" w:type="dxa"/>
              <w:bottom w:w="40" w:type="dxa"/>
              <w:right w:w="0" w:type="dxa"/>
            </w:tcMar>
            <w:vAlign w:val="bottom"/>
          </w:tcPr>
          <w:p w14:paraId="7C208965" w14:textId="77777777" w:rsidR="00834A75" w:rsidRDefault="00A6708C">
            <w:pPr>
              <w:jc w:val="right"/>
              <w:textAlignment w:val="bottom"/>
            </w:pPr>
            <w:r>
              <w:rPr>
                <w:rFonts w:ascii="sans-serif" w:eastAsia="sans-serif" w:hAnsi="sans-serif" w:cs="sans-serif"/>
                <w:color w:val="000000"/>
                <w:sz w:val="20"/>
                <w:szCs w:val="20"/>
              </w:rPr>
              <w:t>1,000 </w:t>
            </w:r>
          </w:p>
        </w:tc>
        <w:tc>
          <w:tcPr>
            <w:tcW w:w="0" w:type="auto"/>
            <w:shd w:val="clear" w:color="auto" w:fill="E2EFD9"/>
            <w:tcMar>
              <w:top w:w="40" w:type="dxa"/>
              <w:left w:w="0" w:type="dxa"/>
              <w:bottom w:w="40" w:type="dxa"/>
              <w:right w:w="20" w:type="dxa"/>
            </w:tcMar>
            <w:vAlign w:val="bottom"/>
          </w:tcPr>
          <w:p w14:paraId="7C208966" w14:textId="77777777" w:rsidR="00834A75" w:rsidRDefault="00834A75">
            <w:pPr>
              <w:jc w:val="right"/>
              <w:rPr>
                <w:rFonts w:ascii="宋体"/>
              </w:rPr>
            </w:pPr>
          </w:p>
        </w:tc>
        <w:tc>
          <w:tcPr>
            <w:tcW w:w="0" w:type="auto"/>
            <w:gridSpan w:val="3"/>
            <w:shd w:val="clear" w:color="auto" w:fill="E2EFD9"/>
            <w:tcMar>
              <w:top w:w="0" w:type="dxa"/>
              <w:left w:w="20" w:type="dxa"/>
              <w:bottom w:w="0" w:type="dxa"/>
              <w:right w:w="20" w:type="dxa"/>
            </w:tcMar>
            <w:vAlign w:val="bottom"/>
          </w:tcPr>
          <w:p w14:paraId="7C208967" w14:textId="77777777" w:rsidR="00834A75" w:rsidRDefault="00834A75">
            <w:pPr>
              <w:rPr>
                <w:rFonts w:ascii="宋体"/>
              </w:rPr>
            </w:pPr>
          </w:p>
        </w:tc>
        <w:tc>
          <w:tcPr>
            <w:tcW w:w="0" w:type="auto"/>
            <w:gridSpan w:val="2"/>
            <w:shd w:val="clear" w:color="auto" w:fill="E2EFD9"/>
            <w:tcMar>
              <w:top w:w="40" w:type="dxa"/>
              <w:left w:w="20" w:type="dxa"/>
              <w:bottom w:w="40" w:type="dxa"/>
              <w:right w:w="0" w:type="dxa"/>
            </w:tcMar>
            <w:vAlign w:val="bottom"/>
          </w:tcPr>
          <w:p w14:paraId="7C208968" w14:textId="77777777" w:rsidR="00834A75" w:rsidRDefault="00A6708C">
            <w:pPr>
              <w:jc w:val="right"/>
              <w:textAlignment w:val="bottom"/>
            </w:pPr>
            <w:r>
              <w:rPr>
                <w:rFonts w:ascii="sans-serif" w:eastAsia="sans-serif" w:hAnsi="sans-serif" w:cs="sans-serif"/>
                <w:color w:val="000000"/>
                <w:sz w:val="20"/>
                <w:szCs w:val="20"/>
              </w:rPr>
              <w:t>1,000 </w:t>
            </w:r>
          </w:p>
        </w:tc>
        <w:tc>
          <w:tcPr>
            <w:tcW w:w="0" w:type="auto"/>
            <w:shd w:val="clear" w:color="auto" w:fill="E2EFD9"/>
            <w:tcMar>
              <w:top w:w="40" w:type="dxa"/>
              <w:left w:w="0" w:type="dxa"/>
              <w:bottom w:w="40" w:type="dxa"/>
              <w:right w:w="20" w:type="dxa"/>
            </w:tcMar>
            <w:vAlign w:val="bottom"/>
          </w:tcPr>
          <w:p w14:paraId="7C208969" w14:textId="77777777" w:rsidR="00834A75" w:rsidRDefault="00834A75">
            <w:pPr>
              <w:jc w:val="right"/>
              <w:rPr>
                <w:rFonts w:ascii="宋体"/>
              </w:rPr>
            </w:pPr>
          </w:p>
        </w:tc>
      </w:tr>
      <w:tr w:rsidR="00834A75" w14:paraId="7C208976" w14:textId="77777777">
        <w:tc>
          <w:tcPr>
            <w:tcW w:w="0" w:type="auto"/>
            <w:gridSpan w:val="3"/>
            <w:shd w:val="clear" w:color="auto" w:fill="FFFFFF"/>
            <w:tcMar>
              <w:top w:w="40" w:type="dxa"/>
              <w:left w:w="20" w:type="dxa"/>
              <w:bottom w:w="40" w:type="dxa"/>
              <w:right w:w="20" w:type="dxa"/>
            </w:tcMar>
            <w:vAlign w:val="center"/>
          </w:tcPr>
          <w:p w14:paraId="7C20896B" w14:textId="77777777" w:rsidR="00834A75" w:rsidRDefault="00A6708C">
            <w:pPr>
              <w:textAlignment w:val="center"/>
            </w:pPr>
            <w:r>
              <w:rPr>
                <w:rFonts w:ascii="sans-serif" w:eastAsia="sans-serif" w:hAnsi="sans-serif" w:cs="sans-serif"/>
                <w:color w:val="000000"/>
                <w:sz w:val="20"/>
                <w:szCs w:val="20"/>
              </w:rPr>
              <w:t>3.50% Notes Due 2050</w:t>
            </w:r>
          </w:p>
        </w:tc>
        <w:tc>
          <w:tcPr>
            <w:tcW w:w="0" w:type="auto"/>
            <w:gridSpan w:val="3"/>
            <w:shd w:val="clear" w:color="auto" w:fill="FFFFFF"/>
            <w:tcMar>
              <w:top w:w="0" w:type="dxa"/>
              <w:left w:w="20" w:type="dxa"/>
              <w:bottom w:w="0" w:type="dxa"/>
              <w:right w:w="20" w:type="dxa"/>
            </w:tcMar>
            <w:vAlign w:val="bottom"/>
          </w:tcPr>
          <w:p w14:paraId="7C20896C" w14:textId="77777777" w:rsidR="00834A75" w:rsidRDefault="00834A75">
            <w:pPr>
              <w:rPr>
                <w:rFonts w:ascii="宋体"/>
              </w:rPr>
            </w:pPr>
          </w:p>
        </w:tc>
        <w:tc>
          <w:tcPr>
            <w:tcW w:w="0" w:type="auto"/>
            <w:gridSpan w:val="3"/>
            <w:shd w:val="clear" w:color="auto" w:fill="FFFFFF"/>
            <w:tcMar>
              <w:top w:w="40" w:type="dxa"/>
              <w:left w:w="20" w:type="dxa"/>
              <w:bottom w:w="40" w:type="dxa"/>
              <w:right w:w="20" w:type="dxa"/>
            </w:tcMar>
            <w:vAlign w:val="bottom"/>
          </w:tcPr>
          <w:p w14:paraId="7C20896D" w14:textId="77777777" w:rsidR="00834A75" w:rsidRDefault="00A6708C">
            <w:pPr>
              <w:jc w:val="center"/>
              <w:textAlignment w:val="bottom"/>
            </w:pPr>
            <w:r>
              <w:rPr>
                <w:rFonts w:ascii="sans-serif" w:eastAsia="sans-serif" w:hAnsi="sans-serif" w:cs="sans-serif"/>
                <w:color w:val="000000"/>
                <w:sz w:val="20"/>
                <w:szCs w:val="20"/>
              </w:rPr>
              <w:t>27.9</w:t>
            </w:r>
          </w:p>
        </w:tc>
        <w:tc>
          <w:tcPr>
            <w:tcW w:w="0" w:type="auto"/>
            <w:gridSpan w:val="3"/>
            <w:shd w:val="clear" w:color="auto" w:fill="FFFFFF"/>
            <w:tcMar>
              <w:top w:w="0" w:type="dxa"/>
              <w:left w:w="20" w:type="dxa"/>
              <w:bottom w:w="0" w:type="dxa"/>
              <w:right w:w="20" w:type="dxa"/>
            </w:tcMar>
            <w:vAlign w:val="bottom"/>
          </w:tcPr>
          <w:p w14:paraId="7C20896E" w14:textId="77777777" w:rsidR="00834A75" w:rsidRDefault="00834A75">
            <w:pPr>
              <w:rPr>
                <w:rFonts w:ascii="宋体"/>
              </w:rPr>
            </w:pPr>
          </w:p>
        </w:tc>
        <w:tc>
          <w:tcPr>
            <w:tcW w:w="0" w:type="auto"/>
            <w:gridSpan w:val="3"/>
            <w:shd w:val="clear" w:color="auto" w:fill="FFFFFF"/>
            <w:tcMar>
              <w:top w:w="40" w:type="dxa"/>
              <w:left w:w="20" w:type="dxa"/>
              <w:bottom w:w="40" w:type="dxa"/>
              <w:right w:w="20" w:type="dxa"/>
            </w:tcMar>
            <w:vAlign w:val="bottom"/>
          </w:tcPr>
          <w:p w14:paraId="7C20896F" w14:textId="77777777" w:rsidR="00834A75" w:rsidRDefault="00A6708C">
            <w:pPr>
              <w:jc w:val="center"/>
              <w:textAlignment w:val="bottom"/>
            </w:pPr>
            <w:r>
              <w:rPr>
                <w:rFonts w:ascii="sans-serif" w:eastAsia="sans-serif" w:hAnsi="sans-serif" w:cs="sans-serif"/>
                <w:color w:val="000000"/>
                <w:sz w:val="20"/>
                <w:szCs w:val="20"/>
              </w:rPr>
              <w:t>3.54%</w:t>
            </w:r>
          </w:p>
        </w:tc>
        <w:tc>
          <w:tcPr>
            <w:tcW w:w="0" w:type="auto"/>
            <w:gridSpan w:val="3"/>
            <w:shd w:val="clear" w:color="auto" w:fill="FFFFFF"/>
            <w:tcMar>
              <w:top w:w="0" w:type="dxa"/>
              <w:left w:w="20" w:type="dxa"/>
              <w:bottom w:w="0" w:type="dxa"/>
              <w:right w:w="20" w:type="dxa"/>
            </w:tcMar>
            <w:vAlign w:val="bottom"/>
          </w:tcPr>
          <w:p w14:paraId="7C208970" w14:textId="77777777" w:rsidR="00834A75" w:rsidRDefault="00834A75">
            <w:pPr>
              <w:rPr>
                <w:rFonts w:ascii="宋体"/>
              </w:rPr>
            </w:pPr>
          </w:p>
        </w:tc>
        <w:tc>
          <w:tcPr>
            <w:tcW w:w="0" w:type="auto"/>
            <w:gridSpan w:val="2"/>
            <w:shd w:val="clear" w:color="auto" w:fill="FFFFFF"/>
            <w:tcMar>
              <w:top w:w="40" w:type="dxa"/>
              <w:left w:w="20" w:type="dxa"/>
              <w:bottom w:w="40" w:type="dxa"/>
              <w:right w:w="0" w:type="dxa"/>
            </w:tcMar>
            <w:vAlign w:val="bottom"/>
          </w:tcPr>
          <w:p w14:paraId="7C208971" w14:textId="77777777" w:rsidR="00834A75" w:rsidRDefault="00A6708C">
            <w:pPr>
              <w:jc w:val="right"/>
              <w:textAlignment w:val="bottom"/>
            </w:pPr>
            <w:r>
              <w:rPr>
                <w:rFonts w:ascii="sans-serif" w:eastAsia="sans-serif" w:hAnsi="sans-serif" w:cs="sans-serif"/>
                <w:color w:val="000000"/>
                <w:sz w:val="20"/>
                <w:szCs w:val="20"/>
              </w:rPr>
              <w:t>2,000 </w:t>
            </w:r>
          </w:p>
        </w:tc>
        <w:tc>
          <w:tcPr>
            <w:tcW w:w="0" w:type="auto"/>
            <w:shd w:val="clear" w:color="auto" w:fill="FFFFFF"/>
            <w:tcMar>
              <w:top w:w="40" w:type="dxa"/>
              <w:left w:w="0" w:type="dxa"/>
              <w:bottom w:w="40" w:type="dxa"/>
              <w:right w:w="20" w:type="dxa"/>
            </w:tcMar>
            <w:vAlign w:val="bottom"/>
          </w:tcPr>
          <w:p w14:paraId="7C208972" w14:textId="77777777" w:rsidR="00834A75" w:rsidRDefault="00834A75">
            <w:pPr>
              <w:jc w:val="right"/>
              <w:rPr>
                <w:rFonts w:ascii="宋体"/>
              </w:rPr>
            </w:pPr>
          </w:p>
        </w:tc>
        <w:tc>
          <w:tcPr>
            <w:tcW w:w="0" w:type="auto"/>
            <w:gridSpan w:val="3"/>
            <w:shd w:val="clear" w:color="auto" w:fill="FFFFFF"/>
            <w:tcMar>
              <w:top w:w="0" w:type="dxa"/>
              <w:left w:w="20" w:type="dxa"/>
              <w:bottom w:w="0" w:type="dxa"/>
              <w:right w:w="20" w:type="dxa"/>
            </w:tcMar>
            <w:vAlign w:val="bottom"/>
          </w:tcPr>
          <w:p w14:paraId="7C208973" w14:textId="77777777" w:rsidR="00834A75" w:rsidRDefault="00834A75">
            <w:pPr>
              <w:rPr>
                <w:rFonts w:ascii="宋体"/>
              </w:rPr>
            </w:pPr>
          </w:p>
        </w:tc>
        <w:tc>
          <w:tcPr>
            <w:tcW w:w="0" w:type="auto"/>
            <w:gridSpan w:val="2"/>
            <w:shd w:val="clear" w:color="auto" w:fill="FFFFFF"/>
            <w:tcMar>
              <w:top w:w="40" w:type="dxa"/>
              <w:left w:w="20" w:type="dxa"/>
              <w:bottom w:w="40" w:type="dxa"/>
              <w:right w:w="0" w:type="dxa"/>
            </w:tcMar>
            <w:vAlign w:val="bottom"/>
          </w:tcPr>
          <w:p w14:paraId="7C208974" w14:textId="77777777" w:rsidR="00834A75" w:rsidRDefault="00A6708C">
            <w:pPr>
              <w:jc w:val="right"/>
              <w:textAlignment w:val="bottom"/>
            </w:pPr>
            <w:r>
              <w:rPr>
                <w:rFonts w:ascii="sans-serif" w:eastAsia="sans-serif" w:hAnsi="sans-serif" w:cs="sans-serif"/>
                <w:color w:val="000000"/>
                <w:sz w:val="20"/>
                <w:szCs w:val="20"/>
              </w:rPr>
              <w:t>2,000 </w:t>
            </w:r>
          </w:p>
        </w:tc>
        <w:tc>
          <w:tcPr>
            <w:tcW w:w="0" w:type="auto"/>
            <w:shd w:val="clear" w:color="auto" w:fill="FFFFFF"/>
            <w:tcMar>
              <w:top w:w="40" w:type="dxa"/>
              <w:left w:w="0" w:type="dxa"/>
              <w:bottom w:w="40" w:type="dxa"/>
              <w:right w:w="20" w:type="dxa"/>
            </w:tcMar>
            <w:vAlign w:val="bottom"/>
          </w:tcPr>
          <w:p w14:paraId="7C208975" w14:textId="77777777" w:rsidR="00834A75" w:rsidRDefault="00834A75">
            <w:pPr>
              <w:jc w:val="right"/>
              <w:rPr>
                <w:rFonts w:ascii="宋体"/>
              </w:rPr>
            </w:pPr>
          </w:p>
        </w:tc>
      </w:tr>
      <w:tr w:rsidR="00834A75" w14:paraId="7C208982" w14:textId="77777777">
        <w:tc>
          <w:tcPr>
            <w:tcW w:w="0" w:type="auto"/>
            <w:gridSpan w:val="3"/>
            <w:shd w:val="clear" w:color="auto" w:fill="E2EFD9"/>
            <w:tcMar>
              <w:top w:w="40" w:type="dxa"/>
              <w:left w:w="20" w:type="dxa"/>
              <w:bottom w:w="40" w:type="dxa"/>
              <w:right w:w="20" w:type="dxa"/>
            </w:tcMar>
            <w:vAlign w:val="center"/>
          </w:tcPr>
          <w:p w14:paraId="7C208977" w14:textId="77777777" w:rsidR="00834A75" w:rsidRDefault="00A6708C">
            <w:pPr>
              <w:textAlignment w:val="center"/>
            </w:pPr>
            <w:r>
              <w:rPr>
                <w:rFonts w:ascii="sans-serif" w:eastAsia="sans-serif" w:hAnsi="sans-serif" w:cs="sans-serif"/>
                <w:color w:val="000000"/>
                <w:sz w:val="20"/>
                <w:szCs w:val="20"/>
              </w:rPr>
              <w:t xml:space="preserve">3.70% </w:t>
            </w:r>
            <w:r>
              <w:rPr>
                <w:rFonts w:ascii="sans-serif" w:eastAsia="sans-serif" w:hAnsi="sans-serif" w:cs="sans-serif"/>
                <w:color w:val="000000"/>
                <w:sz w:val="20"/>
                <w:szCs w:val="20"/>
              </w:rPr>
              <w:t>Notes Due 2060</w:t>
            </w:r>
          </w:p>
        </w:tc>
        <w:tc>
          <w:tcPr>
            <w:tcW w:w="0" w:type="auto"/>
            <w:gridSpan w:val="3"/>
            <w:shd w:val="clear" w:color="auto" w:fill="E2EFD9"/>
            <w:tcMar>
              <w:top w:w="0" w:type="dxa"/>
              <w:left w:w="20" w:type="dxa"/>
              <w:bottom w:w="0" w:type="dxa"/>
              <w:right w:w="20" w:type="dxa"/>
            </w:tcMar>
            <w:vAlign w:val="bottom"/>
          </w:tcPr>
          <w:p w14:paraId="7C208978" w14:textId="77777777" w:rsidR="00834A75" w:rsidRDefault="00834A75">
            <w:pPr>
              <w:rPr>
                <w:rFonts w:ascii="宋体"/>
              </w:rPr>
            </w:pPr>
          </w:p>
        </w:tc>
        <w:tc>
          <w:tcPr>
            <w:tcW w:w="0" w:type="auto"/>
            <w:gridSpan w:val="3"/>
            <w:shd w:val="clear" w:color="auto" w:fill="E2EFD9"/>
            <w:tcMar>
              <w:top w:w="40" w:type="dxa"/>
              <w:left w:w="20" w:type="dxa"/>
              <w:bottom w:w="40" w:type="dxa"/>
              <w:right w:w="20" w:type="dxa"/>
            </w:tcMar>
            <w:vAlign w:val="bottom"/>
          </w:tcPr>
          <w:p w14:paraId="7C208979" w14:textId="77777777" w:rsidR="00834A75" w:rsidRDefault="00A6708C">
            <w:pPr>
              <w:jc w:val="center"/>
              <w:textAlignment w:val="bottom"/>
            </w:pPr>
            <w:r>
              <w:rPr>
                <w:rFonts w:ascii="sans-serif" w:eastAsia="sans-serif" w:hAnsi="sans-serif" w:cs="sans-serif"/>
                <w:color w:val="000000"/>
                <w:sz w:val="20"/>
                <w:szCs w:val="20"/>
              </w:rPr>
              <w:t>37.9</w:t>
            </w:r>
          </w:p>
        </w:tc>
        <w:tc>
          <w:tcPr>
            <w:tcW w:w="0" w:type="auto"/>
            <w:gridSpan w:val="3"/>
            <w:shd w:val="clear" w:color="auto" w:fill="E2EFD9"/>
            <w:tcMar>
              <w:top w:w="0" w:type="dxa"/>
              <w:left w:w="20" w:type="dxa"/>
              <w:bottom w:w="0" w:type="dxa"/>
              <w:right w:w="20" w:type="dxa"/>
            </w:tcMar>
            <w:vAlign w:val="bottom"/>
          </w:tcPr>
          <w:p w14:paraId="7C20897A" w14:textId="77777777" w:rsidR="00834A75" w:rsidRDefault="00834A75">
            <w:pPr>
              <w:rPr>
                <w:rFonts w:ascii="宋体"/>
              </w:rPr>
            </w:pPr>
          </w:p>
        </w:tc>
        <w:tc>
          <w:tcPr>
            <w:tcW w:w="0" w:type="auto"/>
            <w:gridSpan w:val="3"/>
            <w:shd w:val="clear" w:color="auto" w:fill="E2EFD9"/>
            <w:tcMar>
              <w:top w:w="40" w:type="dxa"/>
              <w:left w:w="20" w:type="dxa"/>
              <w:bottom w:w="40" w:type="dxa"/>
              <w:right w:w="20" w:type="dxa"/>
            </w:tcMar>
            <w:vAlign w:val="bottom"/>
          </w:tcPr>
          <w:p w14:paraId="7C20897B" w14:textId="77777777" w:rsidR="00834A75" w:rsidRDefault="00A6708C">
            <w:pPr>
              <w:jc w:val="center"/>
              <w:textAlignment w:val="bottom"/>
            </w:pPr>
            <w:r>
              <w:rPr>
                <w:rFonts w:ascii="sans-serif" w:eastAsia="sans-serif" w:hAnsi="sans-serif" w:cs="sans-serif"/>
                <w:color w:val="000000"/>
                <w:sz w:val="20"/>
                <w:szCs w:val="20"/>
              </w:rPr>
              <w:t>3.73%</w:t>
            </w:r>
          </w:p>
        </w:tc>
        <w:tc>
          <w:tcPr>
            <w:tcW w:w="0" w:type="auto"/>
            <w:gridSpan w:val="3"/>
            <w:shd w:val="clear" w:color="auto" w:fill="E2EFD9"/>
            <w:tcMar>
              <w:top w:w="0" w:type="dxa"/>
              <w:left w:w="20" w:type="dxa"/>
              <w:bottom w:w="0" w:type="dxa"/>
              <w:right w:w="20" w:type="dxa"/>
            </w:tcMar>
            <w:vAlign w:val="bottom"/>
          </w:tcPr>
          <w:p w14:paraId="7C20897C" w14:textId="77777777" w:rsidR="00834A75" w:rsidRDefault="00834A75">
            <w:pPr>
              <w:rPr>
                <w:rFonts w:ascii="宋体"/>
              </w:rPr>
            </w:pPr>
          </w:p>
        </w:tc>
        <w:tc>
          <w:tcPr>
            <w:tcW w:w="0" w:type="auto"/>
            <w:gridSpan w:val="2"/>
            <w:shd w:val="clear" w:color="auto" w:fill="E2EFD9"/>
            <w:tcMar>
              <w:top w:w="40" w:type="dxa"/>
              <w:left w:w="20" w:type="dxa"/>
              <w:bottom w:w="40" w:type="dxa"/>
              <w:right w:w="0" w:type="dxa"/>
            </w:tcMar>
            <w:vAlign w:val="bottom"/>
          </w:tcPr>
          <w:p w14:paraId="7C20897D" w14:textId="77777777" w:rsidR="00834A75" w:rsidRDefault="00A6708C">
            <w:pPr>
              <w:jc w:val="right"/>
              <w:textAlignment w:val="bottom"/>
            </w:pPr>
            <w:r>
              <w:rPr>
                <w:rFonts w:ascii="sans-serif" w:eastAsia="sans-serif" w:hAnsi="sans-serif" w:cs="sans-serif"/>
                <w:color w:val="000000"/>
                <w:sz w:val="20"/>
                <w:szCs w:val="20"/>
              </w:rPr>
              <w:t>500 </w:t>
            </w:r>
          </w:p>
        </w:tc>
        <w:tc>
          <w:tcPr>
            <w:tcW w:w="0" w:type="auto"/>
            <w:shd w:val="clear" w:color="auto" w:fill="E2EFD9"/>
            <w:tcMar>
              <w:top w:w="40" w:type="dxa"/>
              <w:left w:w="0" w:type="dxa"/>
              <w:bottom w:w="40" w:type="dxa"/>
              <w:right w:w="20" w:type="dxa"/>
            </w:tcMar>
            <w:vAlign w:val="bottom"/>
          </w:tcPr>
          <w:p w14:paraId="7C20897E" w14:textId="77777777" w:rsidR="00834A75" w:rsidRDefault="00834A75">
            <w:pPr>
              <w:jc w:val="right"/>
              <w:rPr>
                <w:rFonts w:ascii="宋体"/>
              </w:rPr>
            </w:pPr>
          </w:p>
        </w:tc>
        <w:tc>
          <w:tcPr>
            <w:tcW w:w="0" w:type="auto"/>
            <w:gridSpan w:val="3"/>
            <w:shd w:val="clear" w:color="auto" w:fill="E2EFD9"/>
            <w:tcMar>
              <w:top w:w="0" w:type="dxa"/>
              <w:left w:w="20" w:type="dxa"/>
              <w:bottom w:w="0" w:type="dxa"/>
              <w:right w:w="20" w:type="dxa"/>
            </w:tcMar>
            <w:vAlign w:val="bottom"/>
          </w:tcPr>
          <w:p w14:paraId="7C20897F" w14:textId="77777777" w:rsidR="00834A75" w:rsidRDefault="00834A75">
            <w:pPr>
              <w:rPr>
                <w:rFonts w:ascii="宋体"/>
              </w:rPr>
            </w:pPr>
          </w:p>
        </w:tc>
        <w:tc>
          <w:tcPr>
            <w:tcW w:w="0" w:type="auto"/>
            <w:gridSpan w:val="2"/>
            <w:shd w:val="clear" w:color="auto" w:fill="E2EFD9"/>
            <w:tcMar>
              <w:top w:w="40" w:type="dxa"/>
              <w:left w:w="20" w:type="dxa"/>
              <w:bottom w:w="40" w:type="dxa"/>
              <w:right w:w="0" w:type="dxa"/>
            </w:tcMar>
            <w:vAlign w:val="bottom"/>
          </w:tcPr>
          <w:p w14:paraId="7C208980" w14:textId="77777777" w:rsidR="00834A75" w:rsidRDefault="00A6708C">
            <w:pPr>
              <w:jc w:val="right"/>
              <w:textAlignment w:val="bottom"/>
            </w:pPr>
            <w:r>
              <w:rPr>
                <w:rFonts w:ascii="sans-serif" w:eastAsia="sans-serif" w:hAnsi="sans-serif" w:cs="sans-serif"/>
                <w:color w:val="000000"/>
                <w:sz w:val="20"/>
                <w:szCs w:val="20"/>
              </w:rPr>
              <w:t>500 </w:t>
            </w:r>
          </w:p>
        </w:tc>
        <w:tc>
          <w:tcPr>
            <w:tcW w:w="0" w:type="auto"/>
            <w:shd w:val="clear" w:color="auto" w:fill="E2EFD9"/>
            <w:tcMar>
              <w:top w:w="40" w:type="dxa"/>
              <w:left w:w="0" w:type="dxa"/>
              <w:bottom w:w="40" w:type="dxa"/>
              <w:right w:w="20" w:type="dxa"/>
            </w:tcMar>
            <w:vAlign w:val="bottom"/>
          </w:tcPr>
          <w:p w14:paraId="7C208981" w14:textId="77777777" w:rsidR="00834A75" w:rsidRDefault="00834A75">
            <w:pPr>
              <w:jc w:val="right"/>
              <w:rPr>
                <w:rFonts w:ascii="宋体"/>
              </w:rPr>
            </w:pPr>
          </w:p>
        </w:tc>
      </w:tr>
      <w:tr w:rsidR="00834A75" w14:paraId="7C20898E" w14:textId="77777777">
        <w:tc>
          <w:tcPr>
            <w:tcW w:w="0" w:type="auto"/>
            <w:gridSpan w:val="3"/>
            <w:shd w:val="clear" w:color="auto" w:fill="FFFFFF"/>
            <w:tcMar>
              <w:top w:w="40" w:type="dxa"/>
              <w:left w:w="20" w:type="dxa"/>
              <w:bottom w:w="40" w:type="dxa"/>
              <w:right w:w="20" w:type="dxa"/>
            </w:tcMar>
            <w:vAlign w:val="center"/>
          </w:tcPr>
          <w:p w14:paraId="7C208983" w14:textId="77777777" w:rsidR="00834A75" w:rsidRDefault="00A6708C">
            <w:pPr>
              <w:textAlignment w:val="center"/>
            </w:pPr>
            <w:r>
              <w:rPr>
                <w:rFonts w:ascii="sans-serif" w:eastAsia="sans-serif" w:hAnsi="sans-serif" w:cs="sans-serif"/>
                <w:color w:val="000000"/>
                <w:sz w:val="20"/>
                <w:szCs w:val="20"/>
              </w:rPr>
              <w:t>Unamortized</w:t>
            </w:r>
            <w:r>
              <w:rPr>
                <w:rFonts w:ascii="sans-serif" w:eastAsia="sans-serif" w:hAnsi="sans-serif" w:cs="sans-serif"/>
                <w:color w:val="000000"/>
                <w:sz w:val="20"/>
                <w:szCs w:val="20"/>
              </w:rPr>
              <w:t xml:space="preserve"> debt discount and issuance costs</w:t>
            </w:r>
          </w:p>
        </w:tc>
        <w:tc>
          <w:tcPr>
            <w:tcW w:w="0" w:type="auto"/>
            <w:gridSpan w:val="3"/>
            <w:shd w:val="clear" w:color="auto" w:fill="FFFFFF"/>
            <w:tcMar>
              <w:top w:w="0" w:type="dxa"/>
              <w:left w:w="20" w:type="dxa"/>
              <w:bottom w:w="0" w:type="dxa"/>
              <w:right w:w="20" w:type="dxa"/>
            </w:tcMar>
            <w:vAlign w:val="bottom"/>
          </w:tcPr>
          <w:p w14:paraId="7C208984" w14:textId="77777777" w:rsidR="00834A75" w:rsidRDefault="00834A75">
            <w:pPr>
              <w:rPr>
                <w:rFonts w:ascii="宋体"/>
              </w:rPr>
            </w:pPr>
          </w:p>
        </w:tc>
        <w:tc>
          <w:tcPr>
            <w:tcW w:w="0" w:type="auto"/>
            <w:gridSpan w:val="3"/>
            <w:shd w:val="clear" w:color="auto" w:fill="FFFFFF"/>
            <w:tcMar>
              <w:top w:w="0" w:type="dxa"/>
              <w:left w:w="20" w:type="dxa"/>
              <w:bottom w:w="0" w:type="dxa"/>
              <w:right w:w="20" w:type="dxa"/>
            </w:tcMar>
            <w:vAlign w:val="bottom"/>
          </w:tcPr>
          <w:p w14:paraId="7C208985" w14:textId="77777777" w:rsidR="00834A75" w:rsidRDefault="00834A75">
            <w:pPr>
              <w:rPr>
                <w:rFonts w:ascii="宋体"/>
              </w:rPr>
            </w:pPr>
          </w:p>
        </w:tc>
        <w:tc>
          <w:tcPr>
            <w:tcW w:w="0" w:type="auto"/>
            <w:gridSpan w:val="3"/>
            <w:shd w:val="clear" w:color="auto" w:fill="FFFFFF"/>
            <w:tcMar>
              <w:top w:w="0" w:type="dxa"/>
              <w:left w:w="20" w:type="dxa"/>
              <w:bottom w:w="0" w:type="dxa"/>
              <w:right w:w="20" w:type="dxa"/>
            </w:tcMar>
            <w:vAlign w:val="bottom"/>
          </w:tcPr>
          <w:p w14:paraId="7C208986" w14:textId="77777777" w:rsidR="00834A75" w:rsidRDefault="00834A75">
            <w:pPr>
              <w:rPr>
                <w:rFonts w:ascii="宋体"/>
              </w:rPr>
            </w:pPr>
          </w:p>
        </w:tc>
        <w:tc>
          <w:tcPr>
            <w:tcW w:w="0" w:type="auto"/>
            <w:gridSpan w:val="3"/>
            <w:shd w:val="clear" w:color="auto" w:fill="FFFFFF"/>
            <w:tcMar>
              <w:top w:w="0" w:type="dxa"/>
              <w:left w:w="20" w:type="dxa"/>
              <w:bottom w:w="0" w:type="dxa"/>
              <w:right w:w="20" w:type="dxa"/>
            </w:tcMar>
            <w:vAlign w:val="bottom"/>
          </w:tcPr>
          <w:p w14:paraId="7C208987" w14:textId="77777777" w:rsidR="00834A75" w:rsidRDefault="00834A75">
            <w:pPr>
              <w:rPr>
                <w:rFonts w:ascii="宋体"/>
              </w:rPr>
            </w:pPr>
          </w:p>
        </w:tc>
        <w:tc>
          <w:tcPr>
            <w:tcW w:w="0" w:type="auto"/>
            <w:gridSpan w:val="3"/>
            <w:shd w:val="clear" w:color="auto" w:fill="FFFFFF"/>
            <w:tcMar>
              <w:top w:w="0" w:type="dxa"/>
              <w:left w:w="20" w:type="dxa"/>
              <w:bottom w:w="0" w:type="dxa"/>
              <w:right w:w="20" w:type="dxa"/>
            </w:tcMar>
            <w:vAlign w:val="bottom"/>
          </w:tcPr>
          <w:p w14:paraId="7C208988" w14:textId="77777777" w:rsidR="00834A75" w:rsidRDefault="00834A75">
            <w:pPr>
              <w:rPr>
                <w:rFonts w:ascii="宋体"/>
              </w:rPr>
            </w:pPr>
          </w:p>
        </w:tc>
        <w:tc>
          <w:tcPr>
            <w:tcW w:w="0" w:type="auto"/>
            <w:gridSpan w:val="2"/>
            <w:shd w:val="clear" w:color="auto" w:fill="FFFFFF"/>
            <w:tcMar>
              <w:top w:w="40" w:type="dxa"/>
              <w:left w:w="20" w:type="dxa"/>
              <w:bottom w:w="40" w:type="dxa"/>
              <w:right w:w="0" w:type="dxa"/>
            </w:tcMar>
            <w:vAlign w:val="bottom"/>
          </w:tcPr>
          <w:p w14:paraId="7C208989" w14:textId="77777777" w:rsidR="00834A75" w:rsidRDefault="00A6708C">
            <w:pPr>
              <w:jc w:val="right"/>
              <w:textAlignment w:val="bottom"/>
            </w:pPr>
            <w:r>
              <w:rPr>
                <w:rFonts w:ascii="sans-serif" w:eastAsia="sans-serif" w:hAnsi="sans-serif" w:cs="sans-serif"/>
                <w:color w:val="000000"/>
                <w:sz w:val="20"/>
                <w:szCs w:val="20"/>
              </w:rPr>
              <w:t>(53)</w:t>
            </w:r>
          </w:p>
        </w:tc>
        <w:tc>
          <w:tcPr>
            <w:tcW w:w="0" w:type="auto"/>
            <w:shd w:val="clear" w:color="auto" w:fill="FFFFFF"/>
            <w:tcMar>
              <w:top w:w="40" w:type="dxa"/>
              <w:left w:w="0" w:type="dxa"/>
              <w:bottom w:w="40" w:type="dxa"/>
              <w:right w:w="20" w:type="dxa"/>
            </w:tcMar>
            <w:vAlign w:val="bottom"/>
          </w:tcPr>
          <w:p w14:paraId="7C20898A" w14:textId="77777777" w:rsidR="00834A75" w:rsidRDefault="00834A75">
            <w:pPr>
              <w:jc w:val="right"/>
              <w:rPr>
                <w:rFonts w:ascii="宋体"/>
              </w:rPr>
            </w:pPr>
          </w:p>
        </w:tc>
        <w:tc>
          <w:tcPr>
            <w:tcW w:w="0" w:type="auto"/>
            <w:gridSpan w:val="3"/>
            <w:shd w:val="clear" w:color="auto" w:fill="FFFFFF"/>
            <w:tcMar>
              <w:top w:w="0" w:type="dxa"/>
              <w:left w:w="20" w:type="dxa"/>
              <w:bottom w:w="0" w:type="dxa"/>
              <w:right w:w="20" w:type="dxa"/>
            </w:tcMar>
            <w:vAlign w:val="bottom"/>
          </w:tcPr>
          <w:p w14:paraId="7C20898B" w14:textId="77777777" w:rsidR="00834A75" w:rsidRDefault="00834A75">
            <w:pPr>
              <w:rPr>
                <w:rFonts w:ascii="宋体"/>
              </w:rPr>
            </w:pPr>
          </w:p>
        </w:tc>
        <w:tc>
          <w:tcPr>
            <w:tcW w:w="0" w:type="auto"/>
            <w:gridSpan w:val="2"/>
            <w:shd w:val="clear" w:color="auto" w:fill="FFFFFF"/>
            <w:tcMar>
              <w:top w:w="40" w:type="dxa"/>
              <w:left w:w="20" w:type="dxa"/>
              <w:bottom w:w="40" w:type="dxa"/>
              <w:right w:w="0" w:type="dxa"/>
            </w:tcMar>
            <w:vAlign w:val="bottom"/>
          </w:tcPr>
          <w:p w14:paraId="7C20898C" w14:textId="77777777" w:rsidR="00834A75" w:rsidRDefault="00A6708C">
            <w:pPr>
              <w:jc w:val="right"/>
              <w:textAlignment w:val="bottom"/>
            </w:pPr>
            <w:r>
              <w:rPr>
                <w:rFonts w:ascii="sans-serif" w:eastAsia="sans-serif" w:hAnsi="sans-serif" w:cs="sans-serif"/>
                <w:color w:val="000000"/>
                <w:sz w:val="20"/>
                <w:szCs w:val="20"/>
              </w:rPr>
              <w:t>(54)</w:t>
            </w:r>
          </w:p>
        </w:tc>
        <w:tc>
          <w:tcPr>
            <w:tcW w:w="0" w:type="auto"/>
            <w:shd w:val="clear" w:color="auto" w:fill="FFFFFF"/>
            <w:tcMar>
              <w:top w:w="40" w:type="dxa"/>
              <w:left w:w="0" w:type="dxa"/>
              <w:bottom w:w="40" w:type="dxa"/>
              <w:right w:w="20" w:type="dxa"/>
            </w:tcMar>
            <w:vAlign w:val="bottom"/>
          </w:tcPr>
          <w:p w14:paraId="7C20898D" w14:textId="77777777" w:rsidR="00834A75" w:rsidRDefault="00834A75">
            <w:pPr>
              <w:jc w:val="right"/>
              <w:rPr>
                <w:rFonts w:ascii="宋体"/>
              </w:rPr>
            </w:pPr>
          </w:p>
        </w:tc>
      </w:tr>
      <w:tr w:rsidR="00834A75" w14:paraId="7C20899C" w14:textId="77777777">
        <w:tc>
          <w:tcPr>
            <w:tcW w:w="0" w:type="auto"/>
            <w:gridSpan w:val="3"/>
            <w:shd w:val="clear" w:color="auto" w:fill="E2EFD9"/>
            <w:tcMar>
              <w:top w:w="40" w:type="dxa"/>
              <w:left w:w="140" w:type="dxa"/>
              <w:bottom w:w="40" w:type="dxa"/>
              <w:right w:w="20" w:type="dxa"/>
            </w:tcMar>
            <w:vAlign w:val="center"/>
          </w:tcPr>
          <w:p w14:paraId="7C20898F" w14:textId="77777777" w:rsidR="00834A75" w:rsidRDefault="00A6708C">
            <w:pPr>
              <w:textAlignment w:val="center"/>
            </w:pPr>
            <w:r>
              <w:rPr>
                <w:rFonts w:ascii="sans-serif" w:eastAsia="sans-serif" w:hAnsi="sans-serif" w:cs="sans-serif"/>
                <w:color w:val="000000"/>
                <w:sz w:val="20"/>
                <w:szCs w:val="20"/>
              </w:rPr>
              <w:t>Net carrying amount</w:t>
            </w:r>
          </w:p>
        </w:tc>
        <w:tc>
          <w:tcPr>
            <w:tcW w:w="0" w:type="auto"/>
            <w:gridSpan w:val="3"/>
            <w:shd w:val="clear" w:color="auto" w:fill="E2EFD9"/>
            <w:tcMar>
              <w:top w:w="0" w:type="dxa"/>
              <w:left w:w="20" w:type="dxa"/>
              <w:bottom w:w="0" w:type="dxa"/>
              <w:right w:w="20" w:type="dxa"/>
            </w:tcMar>
            <w:vAlign w:val="bottom"/>
          </w:tcPr>
          <w:p w14:paraId="7C208990" w14:textId="77777777" w:rsidR="00834A75" w:rsidRDefault="00834A75">
            <w:pPr>
              <w:rPr>
                <w:rFonts w:ascii="宋体"/>
              </w:rPr>
            </w:pPr>
          </w:p>
        </w:tc>
        <w:tc>
          <w:tcPr>
            <w:tcW w:w="0" w:type="auto"/>
            <w:gridSpan w:val="3"/>
            <w:shd w:val="clear" w:color="auto" w:fill="E2EFD9"/>
            <w:tcMar>
              <w:top w:w="0" w:type="dxa"/>
              <w:left w:w="20" w:type="dxa"/>
              <w:bottom w:w="0" w:type="dxa"/>
              <w:right w:w="20" w:type="dxa"/>
            </w:tcMar>
            <w:vAlign w:val="bottom"/>
          </w:tcPr>
          <w:p w14:paraId="7C208991" w14:textId="77777777" w:rsidR="00834A75" w:rsidRDefault="00834A75">
            <w:pPr>
              <w:rPr>
                <w:rFonts w:ascii="宋体"/>
              </w:rPr>
            </w:pPr>
          </w:p>
        </w:tc>
        <w:tc>
          <w:tcPr>
            <w:tcW w:w="0" w:type="auto"/>
            <w:gridSpan w:val="3"/>
            <w:shd w:val="clear" w:color="auto" w:fill="E2EFD9"/>
            <w:tcMar>
              <w:top w:w="0" w:type="dxa"/>
              <w:left w:w="20" w:type="dxa"/>
              <w:bottom w:w="0" w:type="dxa"/>
              <w:right w:w="20" w:type="dxa"/>
            </w:tcMar>
            <w:vAlign w:val="bottom"/>
          </w:tcPr>
          <w:p w14:paraId="7C208992" w14:textId="77777777" w:rsidR="00834A75" w:rsidRDefault="00834A75">
            <w:pPr>
              <w:rPr>
                <w:rFonts w:ascii="宋体"/>
              </w:rPr>
            </w:pPr>
          </w:p>
        </w:tc>
        <w:tc>
          <w:tcPr>
            <w:tcW w:w="0" w:type="auto"/>
            <w:gridSpan w:val="3"/>
            <w:shd w:val="clear" w:color="auto" w:fill="E2EFD9"/>
            <w:tcMar>
              <w:top w:w="0" w:type="dxa"/>
              <w:left w:w="20" w:type="dxa"/>
              <w:bottom w:w="0" w:type="dxa"/>
              <w:right w:w="20" w:type="dxa"/>
            </w:tcMar>
            <w:vAlign w:val="bottom"/>
          </w:tcPr>
          <w:p w14:paraId="7C208993" w14:textId="77777777" w:rsidR="00834A75" w:rsidRDefault="00834A75">
            <w:pPr>
              <w:rPr>
                <w:rFonts w:ascii="宋体"/>
              </w:rPr>
            </w:pPr>
          </w:p>
        </w:tc>
        <w:tc>
          <w:tcPr>
            <w:tcW w:w="0" w:type="auto"/>
            <w:gridSpan w:val="3"/>
            <w:shd w:val="clear" w:color="auto" w:fill="E2EFD9"/>
            <w:tcMar>
              <w:top w:w="0" w:type="dxa"/>
              <w:left w:w="20" w:type="dxa"/>
              <w:bottom w:w="0" w:type="dxa"/>
              <w:right w:w="20" w:type="dxa"/>
            </w:tcMar>
            <w:vAlign w:val="bottom"/>
          </w:tcPr>
          <w:p w14:paraId="7C208994" w14:textId="77777777" w:rsidR="00834A75" w:rsidRDefault="00834A75">
            <w:pPr>
              <w:rPr>
                <w:rFonts w:ascii="宋体"/>
              </w:rPr>
            </w:pPr>
          </w:p>
        </w:tc>
        <w:tc>
          <w:tcPr>
            <w:tcW w:w="0" w:type="auto"/>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7C208995" w14:textId="77777777" w:rsidR="00834A75" w:rsidRDefault="00A6708C">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E2EFD9"/>
            <w:tcMar>
              <w:top w:w="40" w:type="dxa"/>
              <w:left w:w="0" w:type="dxa"/>
              <w:bottom w:w="40" w:type="dxa"/>
              <w:right w:w="0" w:type="dxa"/>
            </w:tcMar>
            <w:vAlign w:val="bottom"/>
          </w:tcPr>
          <w:p w14:paraId="7C208996" w14:textId="77777777" w:rsidR="00834A75" w:rsidRDefault="00A6708C">
            <w:pPr>
              <w:jc w:val="right"/>
              <w:textAlignment w:val="bottom"/>
            </w:pPr>
            <w:r>
              <w:rPr>
                <w:rFonts w:ascii="sans-serif" w:eastAsia="sans-serif" w:hAnsi="sans-serif" w:cs="sans-serif"/>
                <w:color w:val="000000"/>
                <w:sz w:val="20"/>
                <w:szCs w:val="20"/>
              </w:rPr>
              <w:t>10,947 </w:t>
            </w:r>
          </w:p>
        </w:tc>
        <w:tc>
          <w:tcPr>
            <w:tcW w:w="0" w:type="auto"/>
            <w:tcBorders>
              <w:top w:val="single" w:sz="8" w:space="0" w:color="000000"/>
              <w:bottom w:val="double" w:sz="6" w:space="0" w:color="000000"/>
            </w:tcBorders>
            <w:shd w:val="clear" w:color="auto" w:fill="E2EFD9"/>
            <w:tcMar>
              <w:top w:w="40" w:type="dxa"/>
              <w:left w:w="0" w:type="dxa"/>
              <w:bottom w:w="40" w:type="dxa"/>
              <w:right w:w="20" w:type="dxa"/>
            </w:tcMar>
            <w:vAlign w:val="bottom"/>
          </w:tcPr>
          <w:p w14:paraId="7C208997" w14:textId="77777777" w:rsidR="00834A75" w:rsidRDefault="00834A75">
            <w:pPr>
              <w:jc w:val="right"/>
              <w:rPr>
                <w:rFonts w:ascii="宋体"/>
              </w:rPr>
            </w:pPr>
          </w:p>
        </w:tc>
        <w:tc>
          <w:tcPr>
            <w:tcW w:w="0" w:type="auto"/>
            <w:gridSpan w:val="3"/>
            <w:shd w:val="clear" w:color="auto" w:fill="E2EFD9"/>
            <w:tcMar>
              <w:top w:w="0" w:type="dxa"/>
              <w:left w:w="20" w:type="dxa"/>
              <w:bottom w:w="0" w:type="dxa"/>
              <w:right w:w="20" w:type="dxa"/>
            </w:tcMar>
            <w:vAlign w:val="bottom"/>
          </w:tcPr>
          <w:p w14:paraId="7C208998" w14:textId="77777777" w:rsidR="00834A75" w:rsidRDefault="00834A75">
            <w:pPr>
              <w:rPr>
                <w:rFonts w:ascii="宋体"/>
              </w:rPr>
            </w:pPr>
          </w:p>
        </w:tc>
        <w:tc>
          <w:tcPr>
            <w:tcW w:w="0" w:type="auto"/>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7C208999" w14:textId="77777777" w:rsidR="00834A75" w:rsidRDefault="00A6708C">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E2EFD9"/>
            <w:tcMar>
              <w:top w:w="40" w:type="dxa"/>
              <w:left w:w="0" w:type="dxa"/>
              <w:bottom w:w="40" w:type="dxa"/>
              <w:right w:w="0" w:type="dxa"/>
            </w:tcMar>
            <w:vAlign w:val="bottom"/>
          </w:tcPr>
          <w:p w14:paraId="7C20899A" w14:textId="77777777" w:rsidR="00834A75" w:rsidRDefault="00A6708C">
            <w:pPr>
              <w:jc w:val="right"/>
              <w:textAlignment w:val="bottom"/>
            </w:pPr>
            <w:r>
              <w:rPr>
                <w:rFonts w:ascii="sans-serif" w:eastAsia="sans-serif" w:hAnsi="sans-serif" w:cs="sans-serif"/>
                <w:color w:val="000000"/>
                <w:sz w:val="20"/>
                <w:szCs w:val="20"/>
              </w:rPr>
              <w:t>10,946 </w:t>
            </w:r>
          </w:p>
        </w:tc>
        <w:tc>
          <w:tcPr>
            <w:tcW w:w="0" w:type="auto"/>
            <w:tcBorders>
              <w:top w:val="single" w:sz="8" w:space="0" w:color="000000"/>
              <w:bottom w:val="double" w:sz="6" w:space="0" w:color="000000"/>
            </w:tcBorders>
            <w:shd w:val="clear" w:color="auto" w:fill="E2EFD9"/>
            <w:tcMar>
              <w:top w:w="40" w:type="dxa"/>
              <w:left w:w="0" w:type="dxa"/>
              <w:bottom w:w="40" w:type="dxa"/>
              <w:right w:w="20" w:type="dxa"/>
            </w:tcMar>
            <w:vAlign w:val="bottom"/>
          </w:tcPr>
          <w:p w14:paraId="7C20899B" w14:textId="77777777" w:rsidR="00834A75" w:rsidRDefault="00834A75">
            <w:pPr>
              <w:jc w:val="right"/>
              <w:rPr>
                <w:rFonts w:ascii="宋体"/>
              </w:rPr>
            </w:pPr>
          </w:p>
        </w:tc>
      </w:tr>
      <w:tr w:rsidR="00834A75" w14:paraId="7C2089A6" w14:textId="77777777">
        <w:trPr>
          <w:hidden/>
        </w:trPr>
        <w:tc>
          <w:tcPr>
            <w:tcW w:w="0" w:type="auto"/>
            <w:gridSpan w:val="3"/>
            <w:shd w:val="clear" w:color="auto" w:fill="auto"/>
            <w:vAlign w:val="bottom"/>
          </w:tcPr>
          <w:p w14:paraId="7C20899D" w14:textId="77777777" w:rsidR="00834A75" w:rsidRDefault="00834A75">
            <w:pPr>
              <w:rPr>
                <w:rFonts w:ascii="宋体"/>
                <w:vanish/>
              </w:rPr>
            </w:pPr>
          </w:p>
        </w:tc>
        <w:tc>
          <w:tcPr>
            <w:tcW w:w="0" w:type="auto"/>
            <w:gridSpan w:val="3"/>
            <w:shd w:val="clear" w:color="auto" w:fill="auto"/>
            <w:vAlign w:val="bottom"/>
          </w:tcPr>
          <w:p w14:paraId="7C20899E" w14:textId="77777777" w:rsidR="00834A75" w:rsidRDefault="00834A75">
            <w:pPr>
              <w:rPr>
                <w:rFonts w:ascii="宋体"/>
                <w:vanish/>
              </w:rPr>
            </w:pPr>
          </w:p>
        </w:tc>
        <w:tc>
          <w:tcPr>
            <w:tcW w:w="0" w:type="auto"/>
            <w:gridSpan w:val="3"/>
            <w:shd w:val="clear" w:color="auto" w:fill="auto"/>
            <w:vAlign w:val="bottom"/>
          </w:tcPr>
          <w:p w14:paraId="7C20899F" w14:textId="77777777" w:rsidR="00834A75" w:rsidRDefault="00834A75">
            <w:pPr>
              <w:rPr>
                <w:rFonts w:ascii="宋体"/>
                <w:vanish/>
              </w:rPr>
            </w:pPr>
          </w:p>
        </w:tc>
        <w:tc>
          <w:tcPr>
            <w:tcW w:w="0" w:type="auto"/>
            <w:gridSpan w:val="3"/>
            <w:shd w:val="clear" w:color="auto" w:fill="auto"/>
            <w:vAlign w:val="bottom"/>
          </w:tcPr>
          <w:p w14:paraId="7C2089A0" w14:textId="77777777" w:rsidR="00834A75" w:rsidRDefault="00834A75">
            <w:pPr>
              <w:rPr>
                <w:rFonts w:ascii="宋体"/>
                <w:vanish/>
              </w:rPr>
            </w:pPr>
          </w:p>
        </w:tc>
        <w:tc>
          <w:tcPr>
            <w:tcW w:w="0" w:type="auto"/>
            <w:gridSpan w:val="3"/>
            <w:shd w:val="clear" w:color="auto" w:fill="auto"/>
            <w:vAlign w:val="bottom"/>
          </w:tcPr>
          <w:p w14:paraId="7C2089A1" w14:textId="77777777" w:rsidR="00834A75" w:rsidRDefault="00834A75">
            <w:pPr>
              <w:rPr>
                <w:rFonts w:ascii="宋体"/>
                <w:vanish/>
              </w:rPr>
            </w:pPr>
          </w:p>
        </w:tc>
        <w:tc>
          <w:tcPr>
            <w:tcW w:w="0" w:type="auto"/>
            <w:gridSpan w:val="3"/>
            <w:shd w:val="clear" w:color="auto" w:fill="auto"/>
            <w:vAlign w:val="bottom"/>
          </w:tcPr>
          <w:p w14:paraId="7C2089A2" w14:textId="77777777" w:rsidR="00834A75" w:rsidRDefault="00834A75">
            <w:pPr>
              <w:rPr>
                <w:rFonts w:ascii="宋体"/>
                <w:vanish/>
              </w:rPr>
            </w:pPr>
          </w:p>
        </w:tc>
        <w:tc>
          <w:tcPr>
            <w:tcW w:w="0" w:type="auto"/>
            <w:gridSpan w:val="3"/>
            <w:shd w:val="clear" w:color="auto" w:fill="auto"/>
            <w:vAlign w:val="bottom"/>
          </w:tcPr>
          <w:p w14:paraId="7C2089A3" w14:textId="77777777" w:rsidR="00834A75" w:rsidRDefault="00834A75">
            <w:pPr>
              <w:rPr>
                <w:rFonts w:ascii="宋体"/>
                <w:vanish/>
              </w:rPr>
            </w:pPr>
          </w:p>
        </w:tc>
        <w:tc>
          <w:tcPr>
            <w:tcW w:w="0" w:type="auto"/>
            <w:gridSpan w:val="3"/>
            <w:shd w:val="clear" w:color="auto" w:fill="auto"/>
            <w:vAlign w:val="bottom"/>
          </w:tcPr>
          <w:p w14:paraId="7C2089A4" w14:textId="77777777" w:rsidR="00834A75" w:rsidRDefault="00834A75">
            <w:pPr>
              <w:rPr>
                <w:rFonts w:ascii="宋体"/>
                <w:vanish/>
              </w:rPr>
            </w:pPr>
          </w:p>
        </w:tc>
        <w:tc>
          <w:tcPr>
            <w:tcW w:w="0" w:type="auto"/>
            <w:gridSpan w:val="3"/>
            <w:shd w:val="clear" w:color="auto" w:fill="auto"/>
            <w:vAlign w:val="bottom"/>
          </w:tcPr>
          <w:p w14:paraId="7C2089A5" w14:textId="77777777" w:rsidR="00834A75" w:rsidRDefault="00834A75">
            <w:pPr>
              <w:rPr>
                <w:rFonts w:ascii="宋体"/>
                <w:vanish/>
              </w:rPr>
            </w:pPr>
          </w:p>
        </w:tc>
      </w:tr>
      <w:tr w:rsidR="00834A75" w14:paraId="7C2089B0" w14:textId="77777777">
        <w:trPr>
          <w:hidden/>
        </w:trPr>
        <w:tc>
          <w:tcPr>
            <w:tcW w:w="0" w:type="auto"/>
            <w:gridSpan w:val="3"/>
            <w:shd w:val="clear" w:color="auto" w:fill="auto"/>
            <w:vAlign w:val="bottom"/>
          </w:tcPr>
          <w:p w14:paraId="7C2089A7" w14:textId="77777777" w:rsidR="00834A75" w:rsidRDefault="00834A75">
            <w:pPr>
              <w:rPr>
                <w:rFonts w:ascii="宋体"/>
                <w:vanish/>
              </w:rPr>
            </w:pPr>
          </w:p>
        </w:tc>
        <w:tc>
          <w:tcPr>
            <w:tcW w:w="0" w:type="auto"/>
            <w:gridSpan w:val="3"/>
            <w:shd w:val="clear" w:color="auto" w:fill="auto"/>
            <w:vAlign w:val="bottom"/>
          </w:tcPr>
          <w:p w14:paraId="7C2089A8" w14:textId="77777777" w:rsidR="00834A75" w:rsidRDefault="00834A75">
            <w:pPr>
              <w:rPr>
                <w:rFonts w:ascii="宋体"/>
                <w:vanish/>
              </w:rPr>
            </w:pPr>
          </w:p>
        </w:tc>
        <w:tc>
          <w:tcPr>
            <w:tcW w:w="0" w:type="auto"/>
            <w:gridSpan w:val="3"/>
            <w:shd w:val="clear" w:color="auto" w:fill="auto"/>
            <w:vAlign w:val="bottom"/>
          </w:tcPr>
          <w:p w14:paraId="7C2089A9" w14:textId="77777777" w:rsidR="00834A75" w:rsidRDefault="00834A75">
            <w:pPr>
              <w:rPr>
                <w:rFonts w:ascii="宋体"/>
                <w:vanish/>
              </w:rPr>
            </w:pPr>
          </w:p>
        </w:tc>
        <w:tc>
          <w:tcPr>
            <w:tcW w:w="0" w:type="auto"/>
            <w:gridSpan w:val="3"/>
            <w:shd w:val="clear" w:color="auto" w:fill="auto"/>
            <w:vAlign w:val="bottom"/>
          </w:tcPr>
          <w:p w14:paraId="7C2089AA" w14:textId="77777777" w:rsidR="00834A75" w:rsidRDefault="00834A75">
            <w:pPr>
              <w:rPr>
                <w:rFonts w:ascii="宋体"/>
                <w:vanish/>
              </w:rPr>
            </w:pPr>
          </w:p>
        </w:tc>
        <w:tc>
          <w:tcPr>
            <w:tcW w:w="0" w:type="auto"/>
            <w:gridSpan w:val="3"/>
            <w:shd w:val="clear" w:color="auto" w:fill="auto"/>
            <w:vAlign w:val="bottom"/>
          </w:tcPr>
          <w:p w14:paraId="7C2089AB" w14:textId="77777777" w:rsidR="00834A75" w:rsidRDefault="00834A75">
            <w:pPr>
              <w:rPr>
                <w:rFonts w:ascii="宋体"/>
                <w:vanish/>
              </w:rPr>
            </w:pPr>
          </w:p>
        </w:tc>
        <w:tc>
          <w:tcPr>
            <w:tcW w:w="0" w:type="auto"/>
            <w:gridSpan w:val="3"/>
            <w:shd w:val="clear" w:color="auto" w:fill="auto"/>
            <w:vAlign w:val="bottom"/>
          </w:tcPr>
          <w:p w14:paraId="7C2089AC" w14:textId="77777777" w:rsidR="00834A75" w:rsidRDefault="00834A75">
            <w:pPr>
              <w:rPr>
                <w:rFonts w:ascii="宋体"/>
                <w:vanish/>
              </w:rPr>
            </w:pPr>
          </w:p>
        </w:tc>
        <w:tc>
          <w:tcPr>
            <w:tcW w:w="0" w:type="auto"/>
            <w:gridSpan w:val="3"/>
            <w:shd w:val="clear" w:color="auto" w:fill="auto"/>
            <w:vAlign w:val="bottom"/>
          </w:tcPr>
          <w:p w14:paraId="7C2089AD" w14:textId="77777777" w:rsidR="00834A75" w:rsidRDefault="00834A75">
            <w:pPr>
              <w:rPr>
                <w:rFonts w:ascii="宋体"/>
                <w:vanish/>
              </w:rPr>
            </w:pPr>
          </w:p>
        </w:tc>
        <w:tc>
          <w:tcPr>
            <w:tcW w:w="0" w:type="auto"/>
            <w:gridSpan w:val="3"/>
            <w:shd w:val="clear" w:color="auto" w:fill="auto"/>
            <w:vAlign w:val="bottom"/>
          </w:tcPr>
          <w:p w14:paraId="7C2089AE" w14:textId="77777777" w:rsidR="00834A75" w:rsidRDefault="00834A75">
            <w:pPr>
              <w:rPr>
                <w:rFonts w:ascii="宋体"/>
                <w:vanish/>
              </w:rPr>
            </w:pPr>
          </w:p>
        </w:tc>
        <w:tc>
          <w:tcPr>
            <w:tcW w:w="0" w:type="auto"/>
            <w:gridSpan w:val="3"/>
            <w:shd w:val="clear" w:color="auto" w:fill="auto"/>
            <w:vAlign w:val="bottom"/>
          </w:tcPr>
          <w:p w14:paraId="7C2089AF" w14:textId="77777777" w:rsidR="00834A75" w:rsidRDefault="00834A75">
            <w:pPr>
              <w:rPr>
                <w:rFonts w:ascii="宋体"/>
                <w:vanish/>
              </w:rPr>
            </w:pPr>
          </w:p>
        </w:tc>
      </w:tr>
    </w:tbl>
    <w:p w14:paraId="7C2089B1" w14:textId="77777777" w:rsidR="00834A75" w:rsidRDefault="00A6708C">
      <w:pPr>
        <w:spacing w:after="180"/>
        <w:jc w:val="both"/>
      </w:pPr>
      <w:r>
        <w:rPr>
          <w:rFonts w:ascii="sans-serif" w:eastAsia="sans-serif" w:hAnsi="sans-serif" w:cs="sans-serif"/>
          <w:color w:val="000000"/>
          <w:sz w:val="20"/>
          <w:szCs w:val="20"/>
        </w:rPr>
        <w:t>All our notes are unsecured senior obligations. All existing and future liabilities of our subsidiaries will be effectively senior to the notes. Our notes pay interest semi-annually. We may redeem each of our notes prior to maturity, subject to a make-whol</w:t>
      </w:r>
      <w:r>
        <w:rPr>
          <w:rFonts w:ascii="sans-serif" w:eastAsia="sans-serif" w:hAnsi="sans-serif" w:cs="sans-serif"/>
          <w:color w:val="000000"/>
          <w:sz w:val="20"/>
          <w:szCs w:val="20"/>
        </w:rPr>
        <w:t xml:space="preserve">e premium as defined in the applicable form of note. </w:t>
      </w:r>
    </w:p>
    <w:p w14:paraId="7C2089B2" w14:textId="77777777" w:rsidR="00834A75" w:rsidRDefault="00A6708C">
      <w:pPr>
        <w:ind w:hanging="360"/>
      </w:pPr>
      <w:r>
        <w:rPr>
          <w:rFonts w:ascii="sans-serif" w:eastAsia="sans-serif" w:hAnsi="sans-serif" w:cs="sans-serif"/>
          <w:color w:val="000000"/>
          <w:sz w:val="20"/>
          <w:szCs w:val="20"/>
        </w:rPr>
        <w:t xml:space="preserve">As of May 1, 2022, we have complied with the required covenants under the notes. </w:t>
      </w:r>
    </w:p>
    <w:p w14:paraId="7C2089B3" w14:textId="77777777" w:rsidR="00834A75" w:rsidRDefault="00A6708C">
      <w:pPr>
        <w:spacing w:before="240" w:after="60"/>
        <w:jc w:val="both"/>
      </w:pPr>
      <w:r>
        <w:rPr>
          <w:rFonts w:ascii="sans-serif" w:eastAsia="sans-serif" w:hAnsi="sans-serif" w:cs="sans-serif"/>
          <w:b/>
          <w:bCs/>
          <w:color w:val="76B900"/>
          <w:sz w:val="20"/>
          <w:szCs w:val="20"/>
        </w:rPr>
        <w:t>Commercial Paper</w:t>
      </w:r>
    </w:p>
    <w:p w14:paraId="7C2089B4" w14:textId="77777777" w:rsidR="00834A75" w:rsidRDefault="00A6708C">
      <w:pPr>
        <w:spacing w:before="240" w:after="60"/>
        <w:jc w:val="both"/>
      </w:pPr>
      <w:r>
        <w:rPr>
          <w:rFonts w:ascii="sans-serif" w:eastAsia="sans-serif" w:hAnsi="sans-serif" w:cs="sans-serif"/>
          <w:color w:val="000000"/>
          <w:sz w:val="20"/>
          <w:szCs w:val="20"/>
        </w:rPr>
        <w:t xml:space="preserve">We have a $575 million commercial paper program to support general corporate purposes. As of </w:t>
      </w:r>
      <w:r>
        <w:rPr>
          <w:rFonts w:ascii="sans-serif" w:eastAsia="sans-serif" w:hAnsi="sans-serif" w:cs="sans-serif"/>
          <w:color w:val="000000"/>
          <w:sz w:val="20"/>
          <w:szCs w:val="20"/>
        </w:rPr>
        <w:t>May 1, 2022, we had not issued any commercial paper.</w:t>
      </w:r>
    </w:p>
    <w:p w14:paraId="7C2089B5" w14:textId="77777777" w:rsidR="00834A75" w:rsidRDefault="00834A75">
      <w:pPr>
        <w:spacing w:before="240" w:after="120"/>
        <w:jc w:val="both"/>
      </w:pPr>
    </w:p>
    <w:p w14:paraId="7C2089B6" w14:textId="77777777" w:rsidR="00834A75" w:rsidRDefault="00A6708C">
      <w:pPr>
        <w:spacing w:after="180"/>
        <w:jc w:val="center"/>
      </w:pPr>
      <w:r>
        <w:rPr>
          <w:rFonts w:ascii="sans-serif" w:eastAsia="sans-serif" w:hAnsi="sans-serif" w:cs="sans-serif"/>
          <w:color w:val="000000"/>
          <w:sz w:val="20"/>
          <w:szCs w:val="20"/>
        </w:rPr>
        <w:t>16</w:t>
      </w:r>
    </w:p>
    <w:p w14:paraId="7C2089B7" w14:textId="77777777" w:rsidR="00834A75" w:rsidRDefault="00A6708C">
      <w:r>
        <w:pict w14:anchorId="7C20935F">
          <v:rect id="_x0000_i1040" style="width:415.3pt;height:1.5pt" o:hralign="center" o:hrstd="t" o:hr="t" fillcolor="#a0a0a0" stroked="f"/>
        </w:pict>
      </w:r>
    </w:p>
    <w:p w14:paraId="7C2089B8" w14:textId="77777777" w:rsidR="00834A75" w:rsidRDefault="00A6708C">
      <w:pPr>
        <w:jc w:val="center"/>
      </w:pPr>
      <w:r>
        <w:rPr>
          <w:rFonts w:ascii="sans-serif" w:eastAsia="sans-serif" w:hAnsi="sans-serif" w:cs="sans-serif"/>
          <w:b/>
          <w:bCs/>
          <w:color w:val="000000"/>
          <w:sz w:val="20"/>
          <w:szCs w:val="20"/>
        </w:rPr>
        <w:t>NVIDIA CORPORATION AND SUBSIDIARIES</w:t>
      </w:r>
    </w:p>
    <w:p w14:paraId="7C2089B9" w14:textId="77777777" w:rsidR="00834A75" w:rsidRDefault="00A6708C">
      <w:pPr>
        <w:jc w:val="center"/>
      </w:pPr>
      <w:r>
        <w:rPr>
          <w:rFonts w:ascii="sans-serif" w:eastAsia="sans-serif" w:hAnsi="sans-serif" w:cs="sans-serif"/>
          <w:b/>
          <w:bCs/>
          <w:color w:val="000000"/>
          <w:sz w:val="20"/>
          <w:szCs w:val="20"/>
        </w:rPr>
        <w:t>NOTES TO CONDENSED CONSOLIDATED FINANCIAL STATEMENTS (Continued)</w:t>
      </w:r>
    </w:p>
    <w:p w14:paraId="7C2089BA" w14:textId="77777777" w:rsidR="00834A75" w:rsidRDefault="00A6708C">
      <w:pPr>
        <w:jc w:val="center"/>
      </w:pPr>
      <w:r>
        <w:rPr>
          <w:rFonts w:ascii="sans-serif" w:eastAsia="sans-serif" w:hAnsi="sans-serif" w:cs="sans-serif"/>
          <w:b/>
          <w:bCs/>
          <w:color w:val="000000"/>
          <w:sz w:val="20"/>
          <w:szCs w:val="20"/>
        </w:rPr>
        <w:t>(Unaudited)</w:t>
      </w:r>
    </w:p>
    <w:p w14:paraId="7C2089BB" w14:textId="77777777" w:rsidR="00834A75" w:rsidRDefault="00834A75">
      <w:pPr>
        <w:spacing w:after="180"/>
        <w:jc w:val="both"/>
      </w:pPr>
    </w:p>
    <w:p w14:paraId="7C2089BC" w14:textId="77777777" w:rsidR="00834A75" w:rsidRDefault="00834A75">
      <w:pPr>
        <w:spacing w:after="180"/>
        <w:jc w:val="both"/>
      </w:pPr>
    </w:p>
    <w:p w14:paraId="7C2089BD" w14:textId="77777777" w:rsidR="00834A75" w:rsidRDefault="00A6708C">
      <w:pPr>
        <w:spacing w:before="240" w:after="120"/>
        <w:jc w:val="both"/>
      </w:pPr>
      <w:r>
        <w:rPr>
          <w:rFonts w:ascii="sans-serif" w:eastAsia="sans-serif" w:hAnsi="sans-serif" w:cs="sans-serif"/>
          <w:b/>
          <w:bCs/>
          <w:color w:val="76B900"/>
          <w:sz w:val="22"/>
          <w:szCs w:val="22"/>
        </w:rPr>
        <w:t>Note 13 - Commitments and Contingencies</w:t>
      </w:r>
    </w:p>
    <w:p w14:paraId="7C2089BE" w14:textId="77777777" w:rsidR="00834A75" w:rsidRDefault="00A6708C">
      <w:pPr>
        <w:spacing w:before="240" w:after="60"/>
        <w:jc w:val="both"/>
      </w:pPr>
      <w:r>
        <w:rPr>
          <w:rFonts w:ascii="sans-serif" w:eastAsia="sans-serif" w:hAnsi="sans-serif" w:cs="sans-serif"/>
          <w:b/>
          <w:bCs/>
          <w:color w:val="76B900"/>
          <w:sz w:val="20"/>
          <w:szCs w:val="20"/>
        </w:rPr>
        <w:t>Purchase Obligations</w:t>
      </w:r>
    </w:p>
    <w:p w14:paraId="7C2089BF" w14:textId="77777777" w:rsidR="00834A75" w:rsidRDefault="00A6708C">
      <w:pPr>
        <w:spacing w:after="180"/>
        <w:jc w:val="both"/>
      </w:pPr>
      <w:r>
        <w:rPr>
          <w:rFonts w:ascii="sans-serif" w:eastAsia="sans-serif" w:hAnsi="sans-serif" w:cs="sans-serif"/>
          <w:color w:val="000000"/>
          <w:sz w:val="20"/>
          <w:szCs w:val="20"/>
        </w:rPr>
        <w:t xml:space="preserve">Our purchase obligations primarily include our commitments to purchase components used to manufacture our products, including long-term supply agreements, certain software and technology licenses, other goods and services and long-lived assets. </w:t>
      </w:r>
    </w:p>
    <w:p w14:paraId="7C2089C0" w14:textId="77777777" w:rsidR="00834A75" w:rsidRDefault="00A6708C">
      <w:pPr>
        <w:spacing w:after="180"/>
        <w:jc w:val="both"/>
      </w:pPr>
      <w:r>
        <w:rPr>
          <w:rFonts w:ascii="sans-serif" w:eastAsia="sans-serif" w:hAnsi="sans-serif" w:cs="sans-serif"/>
          <w:color w:val="000000"/>
          <w:sz w:val="20"/>
          <w:szCs w:val="20"/>
        </w:rPr>
        <w:t>We have en</w:t>
      </w:r>
      <w:r>
        <w:rPr>
          <w:rFonts w:ascii="sans-serif" w:eastAsia="sans-serif" w:hAnsi="sans-serif" w:cs="sans-serif"/>
          <w:color w:val="000000"/>
          <w:sz w:val="20"/>
          <w:szCs w:val="20"/>
        </w:rPr>
        <w:t>tered into several long-term supply agreements, under which we have made advance payments and have $1.02 billion remaining unpaid. As of May 1, 2022, we had outstanding inventory purchase and long-term supply obligations totaling $9.59 billion, inclusive o</w:t>
      </w:r>
      <w:r>
        <w:rPr>
          <w:rFonts w:ascii="sans-serif" w:eastAsia="sans-serif" w:hAnsi="sans-serif" w:cs="sans-serif"/>
          <w:color w:val="000000"/>
          <w:sz w:val="20"/>
          <w:szCs w:val="20"/>
        </w:rPr>
        <w:t xml:space="preserve">f the $1.02 billion. We also had other purchase obligations totaling $1.85 billion. </w:t>
      </w:r>
    </w:p>
    <w:p w14:paraId="7C2089C1" w14:textId="77777777" w:rsidR="00834A75" w:rsidRDefault="00A6708C">
      <w:pPr>
        <w:jc w:val="both"/>
      </w:pPr>
      <w:r>
        <w:rPr>
          <w:rFonts w:ascii="sans-serif" w:eastAsia="sans-serif" w:hAnsi="sans-serif" w:cs="sans-serif"/>
          <w:color w:val="000000"/>
          <w:sz w:val="20"/>
          <w:szCs w:val="20"/>
        </w:rPr>
        <w:t xml:space="preserve">Total future unconditional purchase commitments as of May 1, 2022, are as follows: </w:t>
      </w:r>
    </w:p>
    <w:tbl>
      <w:tblPr>
        <w:tblW w:w="5000" w:type="pct"/>
        <w:tblCellMar>
          <w:top w:w="15" w:type="dxa"/>
          <w:left w:w="15" w:type="dxa"/>
          <w:bottom w:w="15" w:type="dxa"/>
          <w:right w:w="15" w:type="dxa"/>
        </w:tblCellMar>
        <w:tblLook w:val="04A0" w:firstRow="1" w:lastRow="0" w:firstColumn="1" w:lastColumn="0" w:noHBand="0" w:noVBand="1"/>
      </w:tblPr>
      <w:tblGrid>
        <w:gridCol w:w="51"/>
        <w:gridCol w:w="6653"/>
        <w:gridCol w:w="37"/>
        <w:gridCol w:w="123"/>
        <w:gridCol w:w="1436"/>
        <w:gridCol w:w="36"/>
      </w:tblGrid>
      <w:tr w:rsidR="00834A75" w14:paraId="7C2089C8" w14:textId="77777777">
        <w:tc>
          <w:tcPr>
            <w:tcW w:w="50" w:type="pct"/>
            <w:shd w:val="clear" w:color="auto" w:fill="auto"/>
            <w:vAlign w:val="bottom"/>
          </w:tcPr>
          <w:p w14:paraId="7C2089C2" w14:textId="77777777" w:rsidR="00834A75" w:rsidRDefault="00834A75">
            <w:pPr>
              <w:rPr>
                <w:rFonts w:ascii="宋体"/>
              </w:rPr>
            </w:pPr>
          </w:p>
        </w:tc>
        <w:tc>
          <w:tcPr>
            <w:tcW w:w="4009" w:type="pct"/>
            <w:shd w:val="clear" w:color="auto" w:fill="auto"/>
            <w:vAlign w:val="bottom"/>
          </w:tcPr>
          <w:p w14:paraId="7C2089C3" w14:textId="77777777" w:rsidR="00834A75" w:rsidRDefault="00834A75">
            <w:pPr>
              <w:rPr>
                <w:rFonts w:ascii="宋体"/>
              </w:rPr>
            </w:pPr>
          </w:p>
        </w:tc>
        <w:tc>
          <w:tcPr>
            <w:tcW w:w="5" w:type="pct"/>
            <w:shd w:val="clear" w:color="auto" w:fill="auto"/>
            <w:vAlign w:val="bottom"/>
          </w:tcPr>
          <w:p w14:paraId="7C2089C4" w14:textId="77777777" w:rsidR="00834A75" w:rsidRDefault="00834A75">
            <w:pPr>
              <w:rPr>
                <w:rFonts w:ascii="宋体"/>
              </w:rPr>
            </w:pPr>
          </w:p>
        </w:tc>
        <w:tc>
          <w:tcPr>
            <w:tcW w:w="50" w:type="pct"/>
            <w:shd w:val="clear" w:color="auto" w:fill="auto"/>
            <w:vAlign w:val="bottom"/>
          </w:tcPr>
          <w:p w14:paraId="7C2089C5" w14:textId="77777777" w:rsidR="00834A75" w:rsidRDefault="00834A75">
            <w:pPr>
              <w:rPr>
                <w:rFonts w:ascii="宋体"/>
              </w:rPr>
            </w:pPr>
          </w:p>
        </w:tc>
        <w:tc>
          <w:tcPr>
            <w:tcW w:w="880" w:type="pct"/>
            <w:shd w:val="clear" w:color="auto" w:fill="auto"/>
            <w:vAlign w:val="bottom"/>
          </w:tcPr>
          <w:p w14:paraId="7C2089C6" w14:textId="77777777" w:rsidR="00834A75" w:rsidRDefault="00834A75">
            <w:pPr>
              <w:rPr>
                <w:rFonts w:ascii="宋体"/>
              </w:rPr>
            </w:pPr>
          </w:p>
        </w:tc>
        <w:tc>
          <w:tcPr>
            <w:tcW w:w="5" w:type="pct"/>
            <w:shd w:val="clear" w:color="auto" w:fill="auto"/>
            <w:vAlign w:val="bottom"/>
          </w:tcPr>
          <w:p w14:paraId="7C2089C7" w14:textId="77777777" w:rsidR="00834A75" w:rsidRDefault="00834A75">
            <w:pPr>
              <w:rPr>
                <w:rFonts w:ascii="宋体"/>
              </w:rPr>
            </w:pPr>
          </w:p>
        </w:tc>
      </w:tr>
      <w:tr w:rsidR="00834A75" w14:paraId="7C2089CB" w14:textId="77777777">
        <w:tc>
          <w:tcPr>
            <w:tcW w:w="0" w:type="auto"/>
            <w:gridSpan w:val="3"/>
            <w:shd w:val="clear" w:color="auto" w:fill="auto"/>
            <w:tcMar>
              <w:top w:w="0" w:type="dxa"/>
              <w:left w:w="20" w:type="dxa"/>
              <w:bottom w:w="0" w:type="dxa"/>
              <w:right w:w="20" w:type="dxa"/>
            </w:tcMar>
            <w:vAlign w:val="bottom"/>
          </w:tcPr>
          <w:p w14:paraId="7C2089C9" w14:textId="77777777" w:rsidR="00834A75" w:rsidRDefault="00834A75">
            <w:pPr>
              <w:rPr>
                <w:rFonts w:ascii="宋体"/>
              </w:rPr>
            </w:pPr>
          </w:p>
        </w:tc>
        <w:tc>
          <w:tcPr>
            <w:tcW w:w="0" w:type="auto"/>
            <w:gridSpan w:val="3"/>
            <w:shd w:val="clear" w:color="auto" w:fill="FFFFFF"/>
            <w:tcMar>
              <w:top w:w="40" w:type="dxa"/>
              <w:left w:w="20" w:type="dxa"/>
              <w:bottom w:w="40" w:type="dxa"/>
              <w:right w:w="20" w:type="dxa"/>
            </w:tcMar>
            <w:vAlign w:val="bottom"/>
          </w:tcPr>
          <w:p w14:paraId="7C2089CA" w14:textId="77777777" w:rsidR="00834A75" w:rsidRDefault="00A6708C">
            <w:pPr>
              <w:jc w:val="center"/>
              <w:textAlignment w:val="bottom"/>
            </w:pPr>
            <w:r>
              <w:rPr>
                <w:rFonts w:ascii="sans-serif" w:eastAsia="sans-serif" w:hAnsi="sans-serif" w:cs="sans-serif"/>
                <w:b/>
                <w:bCs/>
                <w:color w:val="000000"/>
                <w:sz w:val="20"/>
                <w:szCs w:val="20"/>
              </w:rPr>
              <w:t>Commitments</w:t>
            </w:r>
          </w:p>
        </w:tc>
      </w:tr>
      <w:tr w:rsidR="00834A75" w14:paraId="7C2089CE" w14:textId="77777777">
        <w:tc>
          <w:tcPr>
            <w:tcW w:w="0" w:type="auto"/>
            <w:gridSpan w:val="3"/>
            <w:shd w:val="clear" w:color="auto" w:fill="auto"/>
            <w:tcMar>
              <w:top w:w="40" w:type="dxa"/>
              <w:left w:w="20" w:type="dxa"/>
              <w:bottom w:w="40" w:type="dxa"/>
              <w:right w:w="20" w:type="dxa"/>
            </w:tcMar>
            <w:vAlign w:val="bottom"/>
          </w:tcPr>
          <w:p w14:paraId="7C2089CC" w14:textId="77777777" w:rsidR="00834A75" w:rsidRDefault="00A6708C">
            <w:pPr>
              <w:textAlignment w:val="bottom"/>
            </w:pPr>
            <w:r>
              <w:rPr>
                <w:rFonts w:ascii="sans-serif" w:eastAsia="sans-serif" w:hAnsi="sans-serif" w:cs="sans-serif"/>
                <w:color w:val="000000"/>
                <w:sz w:val="20"/>
                <w:szCs w:val="20"/>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C2089CD" w14:textId="77777777" w:rsidR="00834A75" w:rsidRDefault="00A6708C">
            <w:pPr>
              <w:jc w:val="center"/>
              <w:textAlignment w:val="bottom"/>
            </w:pPr>
            <w:r>
              <w:rPr>
                <w:rFonts w:ascii="sans-serif" w:eastAsia="sans-serif" w:hAnsi="sans-serif" w:cs="sans-serif"/>
                <w:i/>
                <w:iCs/>
                <w:color w:val="000000"/>
                <w:sz w:val="20"/>
                <w:szCs w:val="20"/>
              </w:rPr>
              <w:t>(In millions)</w:t>
            </w:r>
          </w:p>
        </w:tc>
      </w:tr>
      <w:tr w:rsidR="00834A75" w14:paraId="7C2089D1" w14:textId="77777777">
        <w:tc>
          <w:tcPr>
            <w:tcW w:w="0" w:type="auto"/>
            <w:gridSpan w:val="3"/>
            <w:shd w:val="clear" w:color="auto" w:fill="E2EFD9"/>
            <w:tcMar>
              <w:top w:w="40" w:type="dxa"/>
              <w:left w:w="20" w:type="dxa"/>
              <w:bottom w:w="40" w:type="dxa"/>
              <w:right w:w="20" w:type="dxa"/>
            </w:tcMar>
            <w:vAlign w:val="bottom"/>
          </w:tcPr>
          <w:p w14:paraId="7C2089CF" w14:textId="77777777" w:rsidR="00834A75" w:rsidRDefault="00A6708C">
            <w:pPr>
              <w:textAlignment w:val="bottom"/>
            </w:pPr>
            <w:r>
              <w:rPr>
                <w:rFonts w:ascii="sans-serif" w:eastAsia="sans-serif" w:hAnsi="sans-serif" w:cs="sans-serif"/>
                <w:b/>
                <w:bCs/>
                <w:color w:val="000000"/>
                <w:sz w:val="20"/>
                <w:szCs w:val="20"/>
              </w:rPr>
              <w:t>Fiscal Year:</w:t>
            </w:r>
          </w:p>
        </w:tc>
        <w:tc>
          <w:tcPr>
            <w:tcW w:w="0" w:type="auto"/>
            <w:gridSpan w:val="3"/>
            <w:shd w:val="clear" w:color="auto" w:fill="E2EFD9"/>
            <w:tcMar>
              <w:top w:w="40" w:type="dxa"/>
              <w:left w:w="20" w:type="dxa"/>
              <w:bottom w:w="40" w:type="dxa"/>
              <w:right w:w="20" w:type="dxa"/>
            </w:tcMar>
            <w:vAlign w:val="bottom"/>
          </w:tcPr>
          <w:p w14:paraId="7C2089D0" w14:textId="77777777" w:rsidR="00834A75" w:rsidRDefault="00A6708C">
            <w:pPr>
              <w:textAlignment w:val="bottom"/>
            </w:pPr>
            <w:r>
              <w:rPr>
                <w:rFonts w:ascii="sans-serif" w:eastAsia="sans-serif" w:hAnsi="sans-serif" w:cs="sans-serif"/>
                <w:color w:val="000000"/>
                <w:sz w:val="20"/>
                <w:szCs w:val="20"/>
              </w:rPr>
              <w:t> </w:t>
            </w:r>
          </w:p>
        </w:tc>
      </w:tr>
      <w:tr w:rsidR="00834A75" w14:paraId="7C2089D6" w14:textId="77777777">
        <w:tc>
          <w:tcPr>
            <w:tcW w:w="0" w:type="auto"/>
            <w:gridSpan w:val="3"/>
            <w:shd w:val="clear" w:color="auto" w:fill="FFFFFF"/>
            <w:tcMar>
              <w:top w:w="40" w:type="dxa"/>
              <w:left w:w="20" w:type="dxa"/>
              <w:bottom w:w="40" w:type="dxa"/>
              <w:right w:w="20" w:type="dxa"/>
            </w:tcMar>
            <w:vAlign w:val="bottom"/>
          </w:tcPr>
          <w:p w14:paraId="7C2089D2" w14:textId="77777777" w:rsidR="00834A75" w:rsidRDefault="00A6708C">
            <w:pPr>
              <w:textAlignment w:val="bottom"/>
            </w:pPr>
            <w:r>
              <w:rPr>
                <w:rFonts w:ascii="sans-serif" w:eastAsia="sans-serif" w:hAnsi="sans-serif" w:cs="sans-serif"/>
                <w:color w:val="000000"/>
                <w:sz w:val="20"/>
                <w:szCs w:val="20"/>
              </w:rPr>
              <w:t xml:space="preserve">2023 (excluding first </w:t>
            </w:r>
            <w:r>
              <w:rPr>
                <w:rFonts w:ascii="sans-serif" w:eastAsia="sans-serif" w:hAnsi="sans-serif" w:cs="sans-serif"/>
                <w:color w:val="000000"/>
                <w:sz w:val="20"/>
                <w:szCs w:val="20"/>
              </w:rPr>
              <w:t>quarter of fiscal year 2023)</w:t>
            </w:r>
          </w:p>
        </w:tc>
        <w:tc>
          <w:tcPr>
            <w:tcW w:w="0" w:type="auto"/>
            <w:shd w:val="clear" w:color="auto" w:fill="FFFFFF"/>
            <w:tcMar>
              <w:top w:w="40" w:type="dxa"/>
              <w:left w:w="20" w:type="dxa"/>
              <w:bottom w:w="40" w:type="dxa"/>
              <w:right w:w="0" w:type="dxa"/>
            </w:tcMar>
            <w:vAlign w:val="bottom"/>
          </w:tcPr>
          <w:p w14:paraId="7C2089D3" w14:textId="77777777" w:rsidR="00834A75" w:rsidRDefault="00A6708C">
            <w:pPr>
              <w:textAlignment w:val="bottom"/>
            </w:pPr>
            <w:r>
              <w:rPr>
                <w:rFonts w:ascii="sans-serif" w:eastAsia="sans-serif" w:hAnsi="sans-serif" w:cs="sans-serif"/>
                <w:color w:val="000000"/>
                <w:sz w:val="20"/>
                <w:szCs w:val="20"/>
              </w:rPr>
              <w:t>$</w:t>
            </w:r>
          </w:p>
        </w:tc>
        <w:tc>
          <w:tcPr>
            <w:tcW w:w="0" w:type="auto"/>
            <w:shd w:val="clear" w:color="auto" w:fill="FFFFFF"/>
            <w:tcMar>
              <w:top w:w="40" w:type="dxa"/>
              <w:left w:w="0" w:type="dxa"/>
              <w:bottom w:w="40" w:type="dxa"/>
              <w:right w:w="0" w:type="dxa"/>
            </w:tcMar>
            <w:vAlign w:val="bottom"/>
          </w:tcPr>
          <w:p w14:paraId="7C2089D4" w14:textId="77777777" w:rsidR="00834A75" w:rsidRDefault="00A6708C">
            <w:pPr>
              <w:jc w:val="right"/>
              <w:textAlignment w:val="bottom"/>
            </w:pPr>
            <w:r>
              <w:rPr>
                <w:rFonts w:ascii="sans-serif" w:eastAsia="sans-serif" w:hAnsi="sans-serif" w:cs="sans-serif"/>
                <w:color w:val="000000"/>
                <w:sz w:val="20"/>
                <w:szCs w:val="20"/>
              </w:rPr>
              <w:t>8,344 </w:t>
            </w:r>
          </w:p>
        </w:tc>
        <w:tc>
          <w:tcPr>
            <w:tcW w:w="0" w:type="auto"/>
            <w:shd w:val="clear" w:color="auto" w:fill="FFFFFF"/>
            <w:tcMar>
              <w:top w:w="40" w:type="dxa"/>
              <w:left w:w="0" w:type="dxa"/>
              <w:bottom w:w="40" w:type="dxa"/>
              <w:right w:w="20" w:type="dxa"/>
            </w:tcMar>
            <w:vAlign w:val="bottom"/>
          </w:tcPr>
          <w:p w14:paraId="7C2089D5" w14:textId="77777777" w:rsidR="00834A75" w:rsidRDefault="00834A75">
            <w:pPr>
              <w:jc w:val="right"/>
              <w:rPr>
                <w:rFonts w:ascii="宋体"/>
              </w:rPr>
            </w:pPr>
          </w:p>
        </w:tc>
      </w:tr>
      <w:tr w:rsidR="00834A75" w14:paraId="7C2089DA" w14:textId="77777777">
        <w:tc>
          <w:tcPr>
            <w:tcW w:w="0" w:type="auto"/>
            <w:gridSpan w:val="3"/>
            <w:shd w:val="clear" w:color="auto" w:fill="E2EFD9"/>
            <w:tcMar>
              <w:top w:w="40" w:type="dxa"/>
              <w:left w:w="20" w:type="dxa"/>
              <w:bottom w:w="40" w:type="dxa"/>
              <w:right w:w="20" w:type="dxa"/>
            </w:tcMar>
            <w:vAlign w:val="bottom"/>
          </w:tcPr>
          <w:p w14:paraId="7C2089D7" w14:textId="77777777" w:rsidR="00834A75" w:rsidRDefault="00A6708C">
            <w:pPr>
              <w:textAlignment w:val="bottom"/>
            </w:pPr>
            <w:r>
              <w:rPr>
                <w:rFonts w:ascii="sans-serif" w:eastAsia="sans-serif" w:hAnsi="sans-serif" w:cs="sans-serif"/>
                <w:color w:val="000000"/>
                <w:sz w:val="20"/>
                <w:szCs w:val="20"/>
              </w:rPr>
              <w:t>2024</w:t>
            </w:r>
          </w:p>
        </w:tc>
        <w:tc>
          <w:tcPr>
            <w:tcW w:w="0" w:type="auto"/>
            <w:gridSpan w:val="2"/>
            <w:shd w:val="clear" w:color="auto" w:fill="E2EFD9"/>
            <w:tcMar>
              <w:top w:w="40" w:type="dxa"/>
              <w:left w:w="20" w:type="dxa"/>
              <w:bottom w:w="40" w:type="dxa"/>
              <w:right w:w="0" w:type="dxa"/>
            </w:tcMar>
            <w:vAlign w:val="bottom"/>
          </w:tcPr>
          <w:p w14:paraId="7C2089D8" w14:textId="77777777" w:rsidR="00834A75" w:rsidRDefault="00A6708C">
            <w:pPr>
              <w:jc w:val="right"/>
              <w:textAlignment w:val="bottom"/>
            </w:pPr>
            <w:r>
              <w:rPr>
                <w:rFonts w:ascii="sans-serif" w:eastAsia="sans-serif" w:hAnsi="sans-serif" w:cs="sans-serif"/>
                <w:color w:val="000000"/>
                <w:sz w:val="20"/>
                <w:szCs w:val="20"/>
              </w:rPr>
              <w:t>2,238 </w:t>
            </w:r>
          </w:p>
        </w:tc>
        <w:tc>
          <w:tcPr>
            <w:tcW w:w="0" w:type="auto"/>
            <w:shd w:val="clear" w:color="auto" w:fill="E2EFD9"/>
            <w:tcMar>
              <w:top w:w="40" w:type="dxa"/>
              <w:left w:w="0" w:type="dxa"/>
              <w:bottom w:w="40" w:type="dxa"/>
              <w:right w:w="20" w:type="dxa"/>
            </w:tcMar>
            <w:vAlign w:val="bottom"/>
          </w:tcPr>
          <w:p w14:paraId="7C2089D9" w14:textId="77777777" w:rsidR="00834A75" w:rsidRDefault="00834A75">
            <w:pPr>
              <w:jc w:val="right"/>
              <w:rPr>
                <w:rFonts w:ascii="宋体"/>
              </w:rPr>
            </w:pPr>
          </w:p>
        </w:tc>
      </w:tr>
      <w:tr w:rsidR="00834A75" w14:paraId="7C2089DE" w14:textId="77777777">
        <w:tc>
          <w:tcPr>
            <w:tcW w:w="0" w:type="auto"/>
            <w:gridSpan w:val="3"/>
            <w:shd w:val="clear" w:color="auto" w:fill="FFFFFF"/>
            <w:tcMar>
              <w:top w:w="40" w:type="dxa"/>
              <w:left w:w="20" w:type="dxa"/>
              <w:bottom w:w="40" w:type="dxa"/>
              <w:right w:w="20" w:type="dxa"/>
            </w:tcMar>
            <w:vAlign w:val="bottom"/>
          </w:tcPr>
          <w:p w14:paraId="7C2089DB" w14:textId="77777777" w:rsidR="00834A75" w:rsidRDefault="00A6708C">
            <w:pPr>
              <w:textAlignment w:val="bottom"/>
            </w:pPr>
            <w:r>
              <w:rPr>
                <w:rFonts w:ascii="sans-serif" w:eastAsia="sans-serif" w:hAnsi="sans-serif" w:cs="sans-serif"/>
                <w:color w:val="000000"/>
                <w:sz w:val="20"/>
                <w:szCs w:val="20"/>
              </w:rPr>
              <w:t>2025</w:t>
            </w:r>
          </w:p>
        </w:tc>
        <w:tc>
          <w:tcPr>
            <w:tcW w:w="0" w:type="auto"/>
            <w:gridSpan w:val="2"/>
            <w:shd w:val="clear" w:color="auto" w:fill="FFFFFF"/>
            <w:tcMar>
              <w:top w:w="40" w:type="dxa"/>
              <w:left w:w="20" w:type="dxa"/>
              <w:bottom w:w="40" w:type="dxa"/>
              <w:right w:w="0" w:type="dxa"/>
            </w:tcMar>
            <w:vAlign w:val="bottom"/>
          </w:tcPr>
          <w:p w14:paraId="7C2089DC" w14:textId="77777777" w:rsidR="00834A75" w:rsidRDefault="00A6708C">
            <w:pPr>
              <w:jc w:val="right"/>
              <w:textAlignment w:val="bottom"/>
            </w:pPr>
            <w:r>
              <w:rPr>
                <w:rFonts w:ascii="sans-serif" w:eastAsia="sans-serif" w:hAnsi="sans-serif" w:cs="sans-serif"/>
                <w:color w:val="000000"/>
                <w:sz w:val="20"/>
                <w:szCs w:val="20"/>
              </w:rPr>
              <w:t>406 </w:t>
            </w:r>
          </w:p>
        </w:tc>
        <w:tc>
          <w:tcPr>
            <w:tcW w:w="0" w:type="auto"/>
            <w:shd w:val="clear" w:color="auto" w:fill="FFFFFF"/>
            <w:tcMar>
              <w:top w:w="40" w:type="dxa"/>
              <w:left w:w="0" w:type="dxa"/>
              <w:bottom w:w="40" w:type="dxa"/>
              <w:right w:w="20" w:type="dxa"/>
            </w:tcMar>
            <w:vAlign w:val="bottom"/>
          </w:tcPr>
          <w:p w14:paraId="7C2089DD" w14:textId="77777777" w:rsidR="00834A75" w:rsidRDefault="00834A75">
            <w:pPr>
              <w:jc w:val="right"/>
              <w:rPr>
                <w:rFonts w:ascii="宋体"/>
              </w:rPr>
            </w:pPr>
          </w:p>
        </w:tc>
      </w:tr>
      <w:tr w:rsidR="00834A75" w14:paraId="7C2089E2" w14:textId="77777777">
        <w:tc>
          <w:tcPr>
            <w:tcW w:w="0" w:type="auto"/>
            <w:gridSpan w:val="3"/>
            <w:shd w:val="clear" w:color="auto" w:fill="E2EFD9"/>
            <w:tcMar>
              <w:top w:w="40" w:type="dxa"/>
              <w:left w:w="20" w:type="dxa"/>
              <w:bottom w:w="40" w:type="dxa"/>
              <w:right w:w="20" w:type="dxa"/>
            </w:tcMar>
            <w:vAlign w:val="bottom"/>
          </w:tcPr>
          <w:p w14:paraId="7C2089DF" w14:textId="77777777" w:rsidR="00834A75" w:rsidRDefault="00A6708C">
            <w:pPr>
              <w:textAlignment w:val="bottom"/>
            </w:pPr>
            <w:r>
              <w:rPr>
                <w:rFonts w:ascii="sans-serif" w:eastAsia="sans-serif" w:hAnsi="sans-serif" w:cs="sans-serif"/>
                <w:color w:val="000000"/>
                <w:sz w:val="20"/>
                <w:szCs w:val="20"/>
              </w:rPr>
              <w:t>2026</w:t>
            </w:r>
          </w:p>
        </w:tc>
        <w:tc>
          <w:tcPr>
            <w:tcW w:w="0" w:type="auto"/>
            <w:gridSpan w:val="2"/>
            <w:shd w:val="clear" w:color="auto" w:fill="E2EFD9"/>
            <w:tcMar>
              <w:top w:w="40" w:type="dxa"/>
              <w:left w:w="20" w:type="dxa"/>
              <w:bottom w:w="40" w:type="dxa"/>
              <w:right w:w="0" w:type="dxa"/>
            </w:tcMar>
            <w:vAlign w:val="bottom"/>
          </w:tcPr>
          <w:p w14:paraId="7C2089E0" w14:textId="77777777" w:rsidR="00834A75" w:rsidRDefault="00A6708C">
            <w:pPr>
              <w:jc w:val="right"/>
              <w:textAlignment w:val="bottom"/>
            </w:pPr>
            <w:r>
              <w:rPr>
                <w:rFonts w:ascii="sans-serif" w:eastAsia="sans-serif" w:hAnsi="sans-serif" w:cs="sans-serif"/>
                <w:color w:val="000000"/>
                <w:sz w:val="20"/>
                <w:szCs w:val="20"/>
              </w:rPr>
              <w:t>48 </w:t>
            </w:r>
          </w:p>
        </w:tc>
        <w:tc>
          <w:tcPr>
            <w:tcW w:w="0" w:type="auto"/>
            <w:shd w:val="clear" w:color="auto" w:fill="E2EFD9"/>
            <w:tcMar>
              <w:top w:w="40" w:type="dxa"/>
              <w:left w:w="0" w:type="dxa"/>
              <w:bottom w:w="40" w:type="dxa"/>
              <w:right w:w="20" w:type="dxa"/>
            </w:tcMar>
            <w:vAlign w:val="bottom"/>
          </w:tcPr>
          <w:p w14:paraId="7C2089E1" w14:textId="77777777" w:rsidR="00834A75" w:rsidRDefault="00834A75">
            <w:pPr>
              <w:jc w:val="right"/>
              <w:rPr>
                <w:rFonts w:ascii="宋体"/>
              </w:rPr>
            </w:pPr>
          </w:p>
        </w:tc>
      </w:tr>
      <w:tr w:rsidR="00834A75" w14:paraId="7C2089E6" w14:textId="77777777">
        <w:tc>
          <w:tcPr>
            <w:tcW w:w="0" w:type="auto"/>
            <w:gridSpan w:val="3"/>
            <w:shd w:val="clear" w:color="auto" w:fill="FFFFFF"/>
            <w:tcMar>
              <w:top w:w="40" w:type="dxa"/>
              <w:left w:w="20" w:type="dxa"/>
              <w:bottom w:w="40" w:type="dxa"/>
              <w:right w:w="20" w:type="dxa"/>
            </w:tcMar>
            <w:vAlign w:val="bottom"/>
          </w:tcPr>
          <w:p w14:paraId="7C2089E3" w14:textId="77777777" w:rsidR="00834A75" w:rsidRDefault="00A6708C">
            <w:pPr>
              <w:textAlignment w:val="bottom"/>
            </w:pPr>
            <w:r>
              <w:rPr>
                <w:rFonts w:ascii="sans-serif" w:eastAsia="sans-serif" w:hAnsi="sans-serif" w:cs="sans-serif"/>
                <w:color w:val="000000"/>
                <w:sz w:val="20"/>
                <w:szCs w:val="20"/>
              </w:rPr>
              <w:t>2027</w:t>
            </w:r>
          </w:p>
        </w:tc>
        <w:tc>
          <w:tcPr>
            <w:tcW w:w="0" w:type="auto"/>
            <w:gridSpan w:val="2"/>
            <w:shd w:val="clear" w:color="auto" w:fill="FFFFFF"/>
            <w:tcMar>
              <w:top w:w="40" w:type="dxa"/>
              <w:left w:w="20" w:type="dxa"/>
              <w:bottom w:w="40" w:type="dxa"/>
              <w:right w:w="0" w:type="dxa"/>
            </w:tcMar>
            <w:vAlign w:val="bottom"/>
          </w:tcPr>
          <w:p w14:paraId="7C2089E4" w14:textId="77777777" w:rsidR="00834A75" w:rsidRDefault="00A6708C">
            <w:pPr>
              <w:jc w:val="right"/>
              <w:textAlignment w:val="bottom"/>
            </w:pPr>
            <w:r>
              <w:rPr>
                <w:rFonts w:ascii="sans-serif" w:eastAsia="sans-serif" w:hAnsi="sans-serif" w:cs="sans-serif"/>
                <w:color w:val="000000"/>
                <w:sz w:val="20"/>
                <w:szCs w:val="20"/>
              </w:rPr>
              <w:t>70 </w:t>
            </w:r>
          </w:p>
        </w:tc>
        <w:tc>
          <w:tcPr>
            <w:tcW w:w="0" w:type="auto"/>
            <w:shd w:val="clear" w:color="auto" w:fill="FFFFFF"/>
            <w:tcMar>
              <w:top w:w="40" w:type="dxa"/>
              <w:left w:w="0" w:type="dxa"/>
              <w:bottom w:w="40" w:type="dxa"/>
              <w:right w:w="20" w:type="dxa"/>
            </w:tcMar>
            <w:vAlign w:val="bottom"/>
          </w:tcPr>
          <w:p w14:paraId="7C2089E5" w14:textId="77777777" w:rsidR="00834A75" w:rsidRDefault="00834A75">
            <w:pPr>
              <w:jc w:val="right"/>
              <w:rPr>
                <w:rFonts w:ascii="宋体"/>
              </w:rPr>
            </w:pPr>
          </w:p>
        </w:tc>
      </w:tr>
      <w:tr w:rsidR="00834A75" w14:paraId="7C2089EA" w14:textId="77777777">
        <w:tc>
          <w:tcPr>
            <w:tcW w:w="0" w:type="auto"/>
            <w:gridSpan w:val="3"/>
            <w:shd w:val="clear" w:color="auto" w:fill="E2EFD9"/>
            <w:tcMar>
              <w:top w:w="40" w:type="dxa"/>
              <w:left w:w="20" w:type="dxa"/>
              <w:bottom w:w="40" w:type="dxa"/>
              <w:right w:w="20" w:type="dxa"/>
            </w:tcMar>
            <w:vAlign w:val="bottom"/>
          </w:tcPr>
          <w:p w14:paraId="7C2089E7" w14:textId="77777777" w:rsidR="00834A75" w:rsidRDefault="00A6708C">
            <w:pPr>
              <w:textAlignment w:val="bottom"/>
            </w:pPr>
            <w:r>
              <w:rPr>
                <w:rFonts w:ascii="sans-serif" w:eastAsia="sans-serif" w:hAnsi="sans-serif" w:cs="sans-serif"/>
                <w:color w:val="000000"/>
                <w:sz w:val="20"/>
                <w:szCs w:val="20"/>
              </w:rPr>
              <w:t>2028 and thereafter</w:t>
            </w:r>
          </w:p>
        </w:tc>
        <w:tc>
          <w:tcPr>
            <w:tcW w:w="0" w:type="auto"/>
            <w:gridSpan w:val="2"/>
            <w:shd w:val="clear" w:color="auto" w:fill="E2EFD9"/>
            <w:tcMar>
              <w:top w:w="40" w:type="dxa"/>
              <w:left w:w="20" w:type="dxa"/>
              <w:bottom w:w="40" w:type="dxa"/>
              <w:right w:w="0" w:type="dxa"/>
            </w:tcMar>
            <w:vAlign w:val="bottom"/>
          </w:tcPr>
          <w:p w14:paraId="7C2089E8" w14:textId="77777777" w:rsidR="00834A75" w:rsidRDefault="00A6708C">
            <w:pPr>
              <w:jc w:val="right"/>
              <w:textAlignment w:val="bottom"/>
            </w:pPr>
            <w:r>
              <w:rPr>
                <w:rFonts w:ascii="sans-serif" w:eastAsia="sans-serif" w:hAnsi="sans-serif" w:cs="sans-serif"/>
                <w:color w:val="000000"/>
                <w:sz w:val="20"/>
                <w:szCs w:val="20"/>
              </w:rPr>
              <w:t>330 </w:t>
            </w:r>
          </w:p>
        </w:tc>
        <w:tc>
          <w:tcPr>
            <w:tcW w:w="0" w:type="auto"/>
            <w:shd w:val="clear" w:color="auto" w:fill="E2EFD9"/>
            <w:tcMar>
              <w:top w:w="40" w:type="dxa"/>
              <w:left w:w="0" w:type="dxa"/>
              <w:bottom w:w="40" w:type="dxa"/>
              <w:right w:w="20" w:type="dxa"/>
            </w:tcMar>
            <w:vAlign w:val="bottom"/>
          </w:tcPr>
          <w:p w14:paraId="7C2089E9" w14:textId="77777777" w:rsidR="00834A75" w:rsidRDefault="00834A75">
            <w:pPr>
              <w:jc w:val="right"/>
              <w:rPr>
                <w:rFonts w:ascii="宋体"/>
              </w:rPr>
            </w:pPr>
          </w:p>
        </w:tc>
      </w:tr>
      <w:tr w:rsidR="00834A75" w14:paraId="7C2089EF" w14:textId="77777777">
        <w:tc>
          <w:tcPr>
            <w:tcW w:w="0" w:type="auto"/>
            <w:gridSpan w:val="3"/>
            <w:shd w:val="clear" w:color="auto" w:fill="FFFFFF"/>
            <w:tcMar>
              <w:top w:w="40" w:type="dxa"/>
              <w:left w:w="245" w:type="dxa"/>
              <w:bottom w:w="40" w:type="dxa"/>
              <w:right w:w="20" w:type="dxa"/>
            </w:tcMar>
            <w:vAlign w:val="bottom"/>
          </w:tcPr>
          <w:p w14:paraId="7C2089EB" w14:textId="77777777" w:rsidR="00834A75" w:rsidRDefault="00A6708C">
            <w:pPr>
              <w:textAlignment w:val="bottom"/>
            </w:pPr>
            <w:r>
              <w:rPr>
                <w:rFonts w:ascii="sans-serif" w:eastAsia="sans-serif" w:hAnsi="sans-serif" w:cs="sans-serif"/>
                <w:color w:val="000000"/>
                <w:sz w:val="20"/>
                <w:szCs w:val="20"/>
              </w:rPr>
              <w:t>Total</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C2089EC" w14:textId="77777777" w:rsidR="00834A75" w:rsidRDefault="00A6708C">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C2089ED" w14:textId="77777777" w:rsidR="00834A75" w:rsidRDefault="00A6708C">
            <w:pPr>
              <w:jc w:val="right"/>
              <w:textAlignment w:val="bottom"/>
            </w:pPr>
            <w:r>
              <w:rPr>
                <w:rFonts w:ascii="sans-serif" w:eastAsia="sans-serif" w:hAnsi="sans-serif" w:cs="sans-serif"/>
                <w:color w:val="000000"/>
                <w:sz w:val="20"/>
                <w:szCs w:val="20"/>
              </w:rPr>
              <w:t>11,436 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C2089EE" w14:textId="77777777" w:rsidR="00834A75" w:rsidRDefault="00834A75">
            <w:pPr>
              <w:jc w:val="right"/>
              <w:rPr>
                <w:rFonts w:ascii="宋体"/>
              </w:rPr>
            </w:pPr>
          </w:p>
        </w:tc>
      </w:tr>
    </w:tbl>
    <w:p w14:paraId="7C2089F0" w14:textId="77777777" w:rsidR="00834A75" w:rsidRDefault="00A6708C">
      <w:pPr>
        <w:spacing w:before="240" w:after="60"/>
        <w:jc w:val="both"/>
      </w:pPr>
      <w:r>
        <w:rPr>
          <w:rFonts w:ascii="sans-serif" w:eastAsia="sans-serif" w:hAnsi="sans-serif" w:cs="sans-serif"/>
          <w:b/>
          <w:bCs/>
          <w:color w:val="76B900"/>
          <w:sz w:val="20"/>
          <w:szCs w:val="20"/>
        </w:rPr>
        <w:t>Accrual for Product Warranty Liabilities</w:t>
      </w:r>
    </w:p>
    <w:p w14:paraId="7C2089F1" w14:textId="77777777" w:rsidR="00834A75" w:rsidRDefault="00A6708C">
      <w:pPr>
        <w:spacing w:after="180"/>
        <w:jc w:val="both"/>
      </w:pPr>
      <w:r>
        <w:rPr>
          <w:rFonts w:ascii="sans-serif" w:eastAsia="sans-serif" w:hAnsi="sans-serif" w:cs="sans-serif"/>
          <w:color w:val="000000"/>
          <w:sz w:val="20"/>
          <w:szCs w:val="20"/>
        </w:rPr>
        <w:t xml:space="preserve">The estimated amount of product warranty liabilities was $55 million and $46 </w:t>
      </w:r>
      <w:r>
        <w:rPr>
          <w:rFonts w:ascii="sans-serif" w:eastAsia="sans-serif" w:hAnsi="sans-serif" w:cs="sans-serif"/>
          <w:color w:val="000000"/>
          <w:sz w:val="20"/>
          <w:szCs w:val="20"/>
        </w:rPr>
        <w:t>million as of May 1, 2022 and January 30, 2022, respectively, and the activities were not significant.</w:t>
      </w:r>
    </w:p>
    <w:p w14:paraId="7C2089F2" w14:textId="77777777" w:rsidR="00834A75" w:rsidRDefault="00A6708C">
      <w:pPr>
        <w:jc w:val="both"/>
      </w:pPr>
      <w:r>
        <w:rPr>
          <w:rFonts w:ascii="sans-serif" w:eastAsia="sans-serif" w:hAnsi="sans-serif" w:cs="sans-serif"/>
          <w:color w:val="000000"/>
          <w:sz w:val="20"/>
          <w:szCs w:val="20"/>
        </w:rPr>
        <w:t>With certain agreements that we have entered in the past, we have provided indemnities for matters such as tax, product, and employee liabilities. We hav</w:t>
      </w:r>
      <w:r>
        <w:rPr>
          <w:rFonts w:ascii="sans-serif" w:eastAsia="sans-serif" w:hAnsi="sans-serif" w:cs="sans-serif"/>
          <w:color w:val="000000"/>
          <w:sz w:val="20"/>
          <w:szCs w:val="20"/>
        </w:rPr>
        <w:t xml:space="preserve">e included intellectual property indemnification provisions in our technology related agreements with third parties. Maximum potential future payments cannot be estimated because many of these agreements do not have a maximum stated liability. We have not </w:t>
      </w:r>
      <w:r>
        <w:rPr>
          <w:rFonts w:ascii="sans-serif" w:eastAsia="sans-serif" w:hAnsi="sans-serif" w:cs="sans-serif"/>
          <w:color w:val="000000"/>
          <w:sz w:val="20"/>
          <w:szCs w:val="20"/>
        </w:rPr>
        <w:t>recorded any liability in our Condensed Consolidated Financial Statements for such indemnifications.</w:t>
      </w:r>
    </w:p>
    <w:p w14:paraId="7C2089F3" w14:textId="77777777" w:rsidR="00834A75" w:rsidRDefault="00A6708C">
      <w:pPr>
        <w:spacing w:before="240" w:after="60"/>
        <w:jc w:val="both"/>
      </w:pPr>
      <w:r>
        <w:rPr>
          <w:rFonts w:ascii="sans-serif" w:eastAsia="sans-serif" w:hAnsi="sans-serif" w:cs="sans-serif"/>
          <w:b/>
          <w:bCs/>
          <w:color w:val="76B900"/>
          <w:sz w:val="20"/>
          <w:szCs w:val="20"/>
        </w:rPr>
        <w:t>Litigation</w:t>
      </w:r>
    </w:p>
    <w:p w14:paraId="7C2089F4" w14:textId="77777777" w:rsidR="00834A75" w:rsidRDefault="00A6708C">
      <w:pPr>
        <w:spacing w:before="120" w:after="120"/>
        <w:jc w:val="both"/>
      </w:pPr>
      <w:r>
        <w:rPr>
          <w:rFonts w:ascii="sans-serif" w:eastAsia="sans-serif" w:hAnsi="sans-serif" w:cs="sans-serif"/>
          <w:b/>
          <w:bCs/>
          <w:color w:val="000000"/>
          <w:sz w:val="20"/>
          <w:szCs w:val="20"/>
        </w:rPr>
        <w:t>Securities Class Action and Derivative Lawsuits</w:t>
      </w:r>
    </w:p>
    <w:p w14:paraId="7C2089F5" w14:textId="77777777" w:rsidR="00834A75" w:rsidRDefault="00A6708C">
      <w:pPr>
        <w:spacing w:after="180"/>
        <w:jc w:val="both"/>
      </w:pPr>
      <w:r>
        <w:rPr>
          <w:rFonts w:ascii="sans-serif" w:eastAsia="sans-serif" w:hAnsi="sans-serif" w:cs="sans-serif"/>
          <w:color w:val="000000"/>
          <w:sz w:val="20"/>
          <w:szCs w:val="20"/>
        </w:rPr>
        <w:t>The plaintiffs in the putative securities class action lawsuit, captioned 4:18-cv-07669-HSG, ini</w:t>
      </w:r>
      <w:r>
        <w:rPr>
          <w:rFonts w:ascii="sans-serif" w:eastAsia="sans-serif" w:hAnsi="sans-serif" w:cs="sans-serif"/>
          <w:color w:val="000000"/>
          <w:sz w:val="20"/>
          <w:szCs w:val="20"/>
        </w:rPr>
        <w:t xml:space="preserve">tially filed on December 21, 2018 in the United States District Court for the Northern District of California, and titled </w:t>
      </w:r>
      <w:r>
        <w:rPr>
          <w:rFonts w:ascii="sans-serif" w:eastAsia="sans-serif" w:hAnsi="sans-serif" w:cs="sans-serif"/>
          <w:i/>
          <w:iCs/>
          <w:color w:val="000000"/>
          <w:sz w:val="20"/>
          <w:szCs w:val="20"/>
        </w:rPr>
        <w:t>In Re NVIDIA Corporation Securities Litigation</w:t>
      </w:r>
      <w:r>
        <w:rPr>
          <w:rFonts w:ascii="sans-serif" w:eastAsia="sans-serif" w:hAnsi="sans-serif" w:cs="sans-serif"/>
          <w:color w:val="000000"/>
          <w:sz w:val="20"/>
          <w:szCs w:val="20"/>
        </w:rPr>
        <w:t>, filed an amended complaint on May 13, 2020. The amended complaint asserted that NVIDIA</w:t>
      </w:r>
      <w:r>
        <w:rPr>
          <w:rFonts w:ascii="sans-serif" w:eastAsia="sans-serif" w:hAnsi="sans-serif" w:cs="sans-serif"/>
          <w:color w:val="000000"/>
          <w:sz w:val="20"/>
          <w:szCs w:val="20"/>
        </w:rPr>
        <w:t xml:space="preserve"> and certain NVIDIA executives violated Section 10(b) of the Securities Exchange Act of 1934, as amended, or the Exchange Act, and SEC Rule 10b-5, by making materially false or misleading statements related to channel inventory and the impact of cryptocurr</w:t>
      </w:r>
      <w:r>
        <w:rPr>
          <w:rFonts w:ascii="sans-serif" w:eastAsia="sans-serif" w:hAnsi="sans-serif" w:cs="sans-serif"/>
          <w:color w:val="000000"/>
          <w:sz w:val="20"/>
          <w:szCs w:val="20"/>
        </w:rPr>
        <w:t>ency mining on GPU demand between May 10, 2017 and November 14, 2018. Plaintiffs also alleged that the NVIDIA executives who they named as defendants violated Section 20(a) of the Exchange Act. Plaintiffs sought class certification, an award of unspecified</w:t>
      </w:r>
      <w:r>
        <w:rPr>
          <w:rFonts w:ascii="sans-serif" w:eastAsia="sans-serif" w:hAnsi="sans-serif" w:cs="sans-serif"/>
          <w:color w:val="000000"/>
          <w:sz w:val="20"/>
          <w:szCs w:val="20"/>
        </w:rPr>
        <w:t xml:space="preserve"> compensatory damages, an award of reasonable costs and expenses, including attorneys’ fees and expert fees, and further relief as the Court may deem just and proper. On March 2, 2021, the district court granted NVIDIA’s motion to dismiss the complaint wit</w:t>
      </w:r>
      <w:r>
        <w:rPr>
          <w:rFonts w:ascii="sans-serif" w:eastAsia="sans-serif" w:hAnsi="sans-serif" w:cs="sans-serif"/>
          <w:color w:val="000000"/>
          <w:sz w:val="20"/>
          <w:szCs w:val="20"/>
        </w:rPr>
        <w:t>hout leave to amend, entered judgment in favor of NVIDIA and closed the case. On March 30, 2021, plaintiffs filed an appeal from judgment in the United States Court of Appeals for the Ninth Circuit, case number 21-15604. Oral argument on the appeal was hel</w:t>
      </w:r>
      <w:r>
        <w:rPr>
          <w:rFonts w:ascii="sans-serif" w:eastAsia="sans-serif" w:hAnsi="sans-serif" w:cs="sans-serif"/>
          <w:color w:val="000000"/>
          <w:sz w:val="20"/>
          <w:szCs w:val="20"/>
        </w:rPr>
        <w:t xml:space="preserve">d on May 10, 2022. </w:t>
      </w:r>
    </w:p>
    <w:p w14:paraId="7C2089F6" w14:textId="77777777" w:rsidR="00834A75" w:rsidRDefault="00A6708C">
      <w:pPr>
        <w:spacing w:after="180"/>
        <w:jc w:val="center"/>
      </w:pPr>
      <w:r>
        <w:rPr>
          <w:rFonts w:ascii="sans-serif" w:eastAsia="sans-serif" w:hAnsi="sans-serif" w:cs="sans-serif"/>
          <w:color w:val="000000"/>
          <w:sz w:val="20"/>
          <w:szCs w:val="20"/>
        </w:rPr>
        <w:t>17</w:t>
      </w:r>
    </w:p>
    <w:p w14:paraId="7C2089F7" w14:textId="77777777" w:rsidR="00834A75" w:rsidRDefault="00A6708C">
      <w:r>
        <w:pict w14:anchorId="7C209360">
          <v:rect id="_x0000_i1041" style="width:415.3pt;height:1.5pt" o:hralign="center" o:hrstd="t" o:hr="t" fillcolor="#a0a0a0" stroked="f"/>
        </w:pict>
      </w:r>
    </w:p>
    <w:p w14:paraId="7C2089F8" w14:textId="77777777" w:rsidR="00834A75" w:rsidRDefault="00A6708C">
      <w:pPr>
        <w:jc w:val="center"/>
      </w:pPr>
      <w:r>
        <w:rPr>
          <w:rFonts w:ascii="sans-serif" w:eastAsia="sans-serif" w:hAnsi="sans-serif" w:cs="sans-serif"/>
          <w:b/>
          <w:bCs/>
          <w:color w:val="000000"/>
          <w:sz w:val="20"/>
          <w:szCs w:val="20"/>
        </w:rPr>
        <w:t>NVIDIA CORPORATION AND SUBSIDIARIES</w:t>
      </w:r>
    </w:p>
    <w:p w14:paraId="7C2089F9" w14:textId="77777777" w:rsidR="00834A75" w:rsidRDefault="00A6708C">
      <w:pPr>
        <w:jc w:val="center"/>
      </w:pPr>
      <w:r>
        <w:rPr>
          <w:rFonts w:ascii="sans-serif" w:eastAsia="sans-serif" w:hAnsi="sans-serif" w:cs="sans-serif"/>
          <w:b/>
          <w:bCs/>
          <w:color w:val="000000"/>
          <w:sz w:val="20"/>
          <w:szCs w:val="20"/>
        </w:rPr>
        <w:t>NOTES TO CONDENSED CONSOLIDATED FINANCIAL STATEMENTS (Continued)</w:t>
      </w:r>
    </w:p>
    <w:p w14:paraId="7C2089FA" w14:textId="77777777" w:rsidR="00834A75" w:rsidRDefault="00A6708C">
      <w:pPr>
        <w:jc w:val="center"/>
      </w:pPr>
      <w:r>
        <w:rPr>
          <w:rFonts w:ascii="sans-serif" w:eastAsia="sans-serif" w:hAnsi="sans-serif" w:cs="sans-serif"/>
          <w:b/>
          <w:bCs/>
          <w:color w:val="000000"/>
          <w:sz w:val="20"/>
          <w:szCs w:val="20"/>
        </w:rPr>
        <w:t>(Unaudited)</w:t>
      </w:r>
    </w:p>
    <w:p w14:paraId="7C2089FB" w14:textId="77777777" w:rsidR="00834A75" w:rsidRDefault="00834A75">
      <w:pPr>
        <w:spacing w:after="180"/>
        <w:jc w:val="both"/>
      </w:pPr>
    </w:p>
    <w:p w14:paraId="7C2089FC" w14:textId="77777777" w:rsidR="00834A75" w:rsidRDefault="00834A75">
      <w:pPr>
        <w:spacing w:after="180"/>
        <w:jc w:val="both"/>
      </w:pPr>
    </w:p>
    <w:p w14:paraId="7C2089FD" w14:textId="77777777" w:rsidR="00834A75" w:rsidRDefault="00A6708C">
      <w:pPr>
        <w:spacing w:after="180"/>
        <w:jc w:val="both"/>
      </w:pPr>
      <w:r>
        <w:rPr>
          <w:rFonts w:ascii="sans-serif" w:eastAsia="sans-serif" w:hAnsi="sans-serif" w:cs="sans-serif"/>
          <w:color w:val="000000"/>
          <w:sz w:val="20"/>
          <w:szCs w:val="20"/>
        </w:rPr>
        <w:t xml:space="preserve">The putative derivative lawsuit pending in the United States District Court for the Northern District of California, captioned 4:19-cv-00341-HSG, initially filed January 18, 2019 and titled </w:t>
      </w:r>
      <w:r>
        <w:rPr>
          <w:rFonts w:ascii="sans-serif" w:eastAsia="sans-serif" w:hAnsi="sans-serif" w:cs="sans-serif"/>
          <w:i/>
          <w:iCs/>
          <w:color w:val="000000"/>
          <w:sz w:val="20"/>
          <w:szCs w:val="20"/>
        </w:rPr>
        <w:t>In re NVIDIA Corporation Consolidated Derivative Litigation</w:t>
      </w:r>
      <w:r>
        <w:rPr>
          <w:rFonts w:ascii="sans-serif" w:eastAsia="sans-serif" w:hAnsi="sans-serif" w:cs="sans-serif"/>
          <w:color w:val="000000"/>
          <w:sz w:val="20"/>
          <w:szCs w:val="20"/>
        </w:rPr>
        <w:t>, was s</w:t>
      </w:r>
      <w:r>
        <w:rPr>
          <w:rFonts w:ascii="sans-serif" w:eastAsia="sans-serif" w:hAnsi="sans-serif" w:cs="sans-serif"/>
          <w:color w:val="000000"/>
          <w:sz w:val="20"/>
          <w:szCs w:val="20"/>
        </w:rPr>
        <w:t xml:space="preserve">tayed pending resolution of the plaintiffs’ appeal in the </w:t>
      </w:r>
      <w:r>
        <w:rPr>
          <w:rFonts w:ascii="sans-serif" w:eastAsia="sans-serif" w:hAnsi="sans-serif" w:cs="sans-serif"/>
          <w:i/>
          <w:iCs/>
          <w:color w:val="000000"/>
          <w:sz w:val="20"/>
          <w:szCs w:val="20"/>
        </w:rPr>
        <w:t>In Re NVIDIA Corporation Securities Litigation</w:t>
      </w:r>
      <w:r>
        <w:rPr>
          <w:rFonts w:ascii="sans-serif" w:eastAsia="sans-serif" w:hAnsi="sans-serif" w:cs="sans-serif"/>
          <w:color w:val="000000"/>
          <w:sz w:val="20"/>
          <w:szCs w:val="20"/>
        </w:rPr>
        <w:t xml:space="preserve"> action. On February 22, 2022, the court administratively closed the case, but stated that it would reopen the case once the appeal in the </w:t>
      </w:r>
      <w:r>
        <w:rPr>
          <w:rFonts w:ascii="sans-serif" w:eastAsia="sans-serif" w:hAnsi="sans-serif" w:cs="sans-serif"/>
          <w:i/>
          <w:iCs/>
          <w:color w:val="000000"/>
          <w:sz w:val="20"/>
          <w:szCs w:val="20"/>
        </w:rPr>
        <w:t xml:space="preserve">In Re NVIDIA </w:t>
      </w:r>
      <w:r>
        <w:rPr>
          <w:rFonts w:ascii="sans-serif" w:eastAsia="sans-serif" w:hAnsi="sans-serif" w:cs="sans-serif"/>
          <w:i/>
          <w:iCs/>
          <w:color w:val="000000"/>
          <w:sz w:val="20"/>
          <w:szCs w:val="20"/>
        </w:rPr>
        <w:t>Corporation Securities Litigation</w:t>
      </w:r>
      <w:r>
        <w:rPr>
          <w:rFonts w:ascii="sans-serif" w:eastAsia="sans-serif" w:hAnsi="sans-serif" w:cs="sans-serif"/>
          <w:color w:val="000000"/>
          <w:sz w:val="20"/>
          <w:szCs w:val="20"/>
        </w:rPr>
        <w:t xml:space="preserve"> action is resolved. The lawsuit asserts claims, purportedly on behalf of us, against certain officers and directors of the Company for breach of fiduciary duty, unjust enrichment, waste of corporate assets, and violations </w:t>
      </w:r>
      <w:r>
        <w:rPr>
          <w:rFonts w:ascii="sans-serif" w:eastAsia="sans-serif" w:hAnsi="sans-serif" w:cs="sans-serif"/>
          <w:color w:val="000000"/>
          <w:sz w:val="20"/>
          <w:szCs w:val="20"/>
        </w:rPr>
        <w:t>of Sections 14(a), 10(b), and 20(a) of the Exchange Act based on the dissemination of allegedly false and misleading statements related to channel inventory and the impact of cryptocurrency mining on GPU demand. The plaintiffs are seeking unspecified damag</w:t>
      </w:r>
      <w:r>
        <w:rPr>
          <w:rFonts w:ascii="sans-serif" w:eastAsia="sans-serif" w:hAnsi="sans-serif" w:cs="sans-serif"/>
          <w:color w:val="000000"/>
          <w:sz w:val="20"/>
          <w:szCs w:val="20"/>
        </w:rPr>
        <w:t>es and other relief, including reforms and improvements to NVIDIA’s corporate governance and internal procedures.</w:t>
      </w:r>
    </w:p>
    <w:p w14:paraId="7C2089FE" w14:textId="77777777" w:rsidR="00834A75" w:rsidRDefault="00A6708C">
      <w:pPr>
        <w:spacing w:after="180"/>
        <w:jc w:val="both"/>
      </w:pPr>
      <w:r>
        <w:rPr>
          <w:rFonts w:ascii="sans-serif" w:eastAsia="sans-serif" w:hAnsi="sans-serif" w:cs="sans-serif"/>
          <w:color w:val="000000"/>
          <w:sz w:val="20"/>
          <w:szCs w:val="20"/>
        </w:rPr>
        <w:t>The putative derivative actions initially filed September 24, 2019 and pending in the United States District Court for the District of Delawar</w:t>
      </w:r>
      <w:r>
        <w:rPr>
          <w:rFonts w:ascii="sans-serif" w:eastAsia="sans-serif" w:hAnsi="sans-serif" w:cs="sans-serif"/>
          <w:color w:val="000000"/>
          <w:sz w:val="20"/>
          <w:szCs w:val="20"/>
        </w:rPr>
        <w:t xml:space="preserve">e, </w:t>
      </w:r>
      <w:r>
        <w:rPr>
          <w:rFonts w:ascii="sans-serif" w:eastAsia="sans-serif" w:hAnsi="sans-serif" w:cs="sans-serif"/>
          <w:i/>
          <w:iCs/>
          <w:color w:val="000000"/>
          <w:sz w:val="20"/>
          <w:szCs w:val="20"/>
        </w:rPr>
        <w:t>Lipchitz v. Huang, et al.</w:t>
      </w:r>
      <w:r>
        <w:rPr>
          <w:rFonts w:ascii="sans-serif" w:eastAsia="sans-serif" w:hAnsi="sans-serif" w:cs="sans-serif"/>
          <w:color w:val="000000"/>
          <w:sz w:val="20"/>
          <w:szCs w:val="20"/>
        </w:rPr>
        <w:t xml:space="preserve"> (Case No. 1:19-cv-01795-UNA) and </w:t>
      </w:r>
      <w:r>
        <w:rPr>
          <w:rFonts w:ascii="sans-serif" w:eastAsia="sans-serif" w:hAnsi="sans-serif" w:cs="sans-serif"/>
          <w:i/>
          <w:iCs/>
          <w:color w:val="000000"/>
          <w:sz w:val="20"/>
          <w:szCs w:val="20"/>
        </w:rPr>
        <w:t xml:space="preserve">Nelson v. Huang, et. al. </w:t>
      </w:r>
      <w:r>
        <w:rPr>
          <w:rFonts w:ascii="sans-serif" w:eastAsia="sans-serif" w:hAnsi="sans-serif" w:cs="sans-serif"/>
          <w:color w:val="000000"/>
          <w:sz w:val="20"/>
          <w:szCs w:val="20"/>
        </w:rPr>
        <w:t xml:space="preserve">(Case No. 1:19-cv-01798- UNA), remain stayed pending resolution of the plaintiffs’ appeal in the </w:t>
      </w:r>
      <w:r>
        <w:rPr>
          <w:rFonts w:ascii="sans-serif" w:eastAsia="sans-serif" w:hAnsi="sans-serif" w:cs="sans-serif"/>
          <w:i/>
          <w:iCs/>
          <w:color w:val="000000"/>
          <w:sz w:val="20"/>
          <w:szCs w:val="20"/>
        </w:rPr>
        <w:t>In Re NVIDIA Corporation Securities Litigation</w:t>
      </w:r>
      <w:r>
        <w:rPr>
          <w:rFonts w:ascii="sans-serif" w:eastAsia="sans-serif" w:hAnsi="sans-serif" w:cs="sans-serif"/>
          <w:color w:val="000000"/>
          <w:sz w:val="20"/>
          <w:szCs w:val="20"/>
        </w:rPr>
        <w:t xml:space="preserve"> action. The lawsuits asse</w:t>
      </w:r>
      <w:r>
        <w:rPr>
          <w:rFonts w:ascii="sans-serif" w:eastAsia="sans-serif" w:hAnsi="sans-serif" w:cs="sans-serif"/>
          <w:color w:val="000000"/>
          <w:sz w:val="20"/>
          <w:szCs w:val="20"/>
        </w:rPr>
        <w:t>rt claims, purportedly on behalf of us, against certain officers and directors of the Company for breach of fiduciary duty, unjust enrichment, insider trading, misappropriation of information, corporate waste and violations of Sections 14(a), 10(b), and 20</w:t>
      </w:r>
      <w:r>
        <w:rPr>
          <w:rFonts w:ascii="sans-serif" w:eastAsia="sans-serif" w:hAnsi="sans-serif" w:cs="sans-serif"/>
          <w:color w:val="000000"/>
          <w:sz w:val="20"/>
          <w:szCs w:val="20"/>
        </w:rPr>
        <w:t>(a) of the Exchange Act based on the dissemination of allegedly false, and misleading statements related to channel inventory and the impact of cryptocurrency mining on GPU demand. The plaintiffs seek unspecified damages and other relief, including disgorg</w:t>
      </w:r>
      <w:r>
        <w:rPr>
          <w:rFonts w:ascii="sans-serif" w:eastAsia="sans-serif" w:hAnsi="sans-serif" w:cs="sans-serif"/>
          <w:color w:val="000000"/>
          <w:sz w:val="20"/>
          <w:szCs w:val="20"/>
        </w:rPr>
        <w:t>ement of profits from the sale of NVIDIA stock and unspecified corporate governance measures.</w:t>
      </w:r>
    </w:p>
    <w:p w14:paraId="7C2089FF" w14:textId="77777777" w:rsidR="00834A75" w:rsidRDefault="00A6708C">
      <w:pPr>
        <w:spacing w:before="120" w:after="120"/>
      </w:pPr>
      <w:r>
        <w:rPr>
          <w:rFonts w:ascii="sans-serif" w:eastAsia="sans-serif" w:hAnsi="sans-serif" w:cs="sans-serif"/>
          <w:b/>
          <w:bCs/>
          <w:color w:val="000000"/>
          <w:sz w:val="20"/>
          <w:szCs w:val="20"/>
        </w:rPr>
        <w:t>Settlement</w:t>
      </w:r>
    </w:p>
    <w:p w14:paraId="7C208A00" w14:textId="77777777" w:rsidR="00834A75" w:rsidRDefault="00A6708C">
      <w:pPr>
        <w:spacing w:after="180"/>
        <w:jc w:val="both"/>
      </w:pPr>
      <w:r>
        <w:rPr>
          <w:rFonts w:ascii="sans-serif" w:eastAsia="sans-serif" w:hAnsi="sans-serif" w:cs="sans-serif"/>
          <w:color w:val="000000"/>
          <w:sz w:val="20"/>
          <w:szCs w:val="20"/>
        </w:rPr>
        <w:t>In May 2022, NVIDIA entered into a settlement with the SEC relating to MD&amp;A disclosures in our Forms 10-Q for the second and third quarters of fiscal y</w:t>
      </w:r>
      <w:r>
        <w:rPr>
          <w:rFonts w:ascii="sans-serif" w:eastAsia="sans-serif" w:hAnsi="sans-serif" w:cs="sans-serif"/>
          <w:color w:val="000000"/>
          <w:sz w:val="20"/>
          <w:szCs w:val="20"/>
        </w:rPr>
        <w:t>ear 2018 concerning the impact of cryptocurrency mining on year-over-year growth in revenue for our gaming specialized market during those periods. As part of the settlement, without admitting or denying the findings in the administrative order issued by t</w:t>
      </w:r>
      <w:r>
        <w:rPr>
          <w:rFonts w:ascii="sans-serif" w:eastAsia="sans-serif" w:hAnsi="sans-serif" w:cs="sans-serif"/>
          <w:color w:val="000000"/>
          <w:sz w:val="20"/>
          <w:szCs w:val="20"/>
        </w:rPr>
        <w:t>he SEC, NVIDIA agreed to cease-and-desist from violating certain federal securities laws and paid a $5.5 million civil penalty.</w:t>
      </w:r>
    </w:p>
    <w:p w14:paraId="7C208A01" w14:textId="77777777" w:rsidR="00834A75" w:rsidRDefault="00A6708C">
      <w:pPr>
        <w:spacing w:before="120" w:after="120"/>
      </w:pPr>
      <w:r>
        <w:rPr>
          <w:rFonts w:ascii="sans-serif" w:eastAsia="sans-serif" w:hAnsi="sans-serif" w:cs="sans-serif"/>
          <w:b/>
          <w:bCs/>
          <w:color w:val="000000"/>
          <w:sz w:val="20"/>
          <w:szCs w:val="20"/>
        </w:rPr>
        <w:t>Accounting for Loss Contingencies</w:t>
      </w:r>
    </w:p>
    <w:p w14:paraId="7C208A02" w14:textId="77777777" w:rsidR="00834A75" w:rsidRDefault="00A6708C">
      <w:pPr>
        <w:spacing w:after="180"/>
        <w:jc w:val="both"/>
      </w:pPr>
      <w:r>
        <w:rPr>
          <w:rFonts w:ascii="sans-serif" w:eastAsia="sans-serif" w:hAnsi="sans-serif" w:cs="sans-serif"/>
          <w:color w:val="000000"/>
          <w:sz w:val="20"/>
          <w:szCs w:val="20"/>
        </w:rPr>
        <w:t>As of May 1, 2022, we have not recorded any accrual for contingent liabilities associated with</w:t>
      </w:r>
      <w:r>
        <w:rPr>
          <w:rFonts w:ascii="sans-serif" w:eastAsia="sans-serif" w:hAnsi="sans-serif" w:cs="sans-serif"/>
          <w:color w:val="000000"/>
          <w:sz w:val="20"/>
          <w:szCs w:val="20"/>
        </w:rPr>
        <w:t xml:space="preserve"> the legal proceedings described above based on our belief that liabilities, while possible, are not probable. Further, except as specifically described above, any possible loss or range of loss in these matters cannot be reasonably estimated at this time.</w:t>
      </w:r>
      <w:r>
        <w:rPr>
          <w:rFonts w:ascii="sans-serif" w:eastAsia="sans-serif" w:hAnsi="sans-serif" w:cs="sans-serif"/>
          <w:color w:val="000000"/>
          <w:sz w:val="20"/>
          <w:szCs w:val="20"/>
        </w:rPr>
        <w:t xml:space="preserve"> We are engaged in legal actions not described above arising in the ordinary course of business and, while there can be no assurance of favorable outcomes, we believe that the ultimate outcome of these actions will not have a material adverse effect on our</w:t>
      </w:r>
      <w:r>
        <w:rPr>
          <w:rFonts w:ascii="sans-serif" w:eastAsia="sans-serif" w:hAnsi="sans-serif" w:cs="sans-serif"/>
          <w:color w:val="000000"/>
          <w:sz w:val="20"/>
          <w:szCs w:val="20"/>
        </w:rPr>
        <w:t xml:space="preserve"> operating results, liquidity or financial position.</w:t>
      </w:r>
    </w:p>
    <w:p w14:paraId="7C208A03" w14:textId="77777777" w:rsidR="00834A75" w:rsidRDefault="00A6708C">
      <w:pPr>
        <w:spacing w:before="240" w:after="120"/>
        <w:jc w:val="both"/>
      </w:pPr>
      <w:r>
        <w:rPr>
          <w:rFonts w:ascii="sans-serif" w:eastAsia="sans-serif" w:hAnsi="sans-serif" w:cs="sans-serif"/>
          <w:b/>
          <w:bCs/>
          <w:color w:val="76B900"/>
          <w:sz w:val="22"/>
          <w:szCs w:val="22"/>
        </w:rPr>
        <w:t>Note 14 - Shareholders’ Equity</w:t>
      </w:r>
      <w:r>
        <w:rPr>
          <w:rFonts w:ascii="sans-serif" w:eastAsia="sans-serif" w:hAnsi="sans-serif" w:cs="sans-serif"/>
          <w:color w:val="000000"/>
          <w:sz w:val="20"/>
          <w:szCs w:val="20"/>
        </w:rPr>
        <w:t> </w:t>
      </w:r>
    </w:p>
    <w:p w14:paraId="7C208A04" w14:textId="77777777" w:rsidR="00834A75" w:rsidRDefault="00A6708C">
      <w:pPr>
        <w:spacing w:before="240" w:after="60"/>
        <w:jc w:val="both"/>
      </w:pPr>
      <w:r>
        <w:rPr>
          <w:rFonts w:ascii="sans-serif" w:eastAsia="sans-serif" w:hAnsi="sans-serif" w:cs="sans-serif"/>
          <w:b/>
          <w:bCs/>
          <w:color w:val="76B900"/>
          <w:sz w:val="20"/>
          <w:szCs w:val="20"/>
        </w:rPr>
        <w:t>Capital Return Program </w:t>
      </w:r>
    </w:p>
    <w:p w14:paraId="7C208A05" w14:textId="77777777" w:rsidR="00834A75" w:rsidRDefault="00A6708C">
      <w:pPr>
        <w:spacing w:after="180"/>
        <w:jc w:val="both"/>
      </w:pPr>
      <w:r>
        <w:rPr>
          <w:rFonts w:ascii="sans-serif" w:eastAsia="sans-serif" w:hAnsi="sans-serif" w:cs="sans-serif"/>
          <w:color w:val="000000"/>
          <w:sz w:val="20"/>
          <w:szCs w:val="20"/>
        </w:rPr>
        <w:t>Beginning August 2004, our Board of Directors authorized us to repurchase our stock.</w:t>
      </w:r>
    </w:p>
    <w:p w14:paraId="7C208A06" w14:textId="77777777" w:rsidR="00834A75" w:rsidRDefault="00A6708C">
      <w:pPr>
        <w:spacing w:after="180"/>
        <w:jc w:val="both"/>
      </w:pPr>
      <w:r>
        <w:rPr>
          <w:rFonts w:ascii="sans-serif" w:eastAsia="sans-serif" w:hAnsi="sans-serif" w:cs="sans-serif"/>
          <w:color w:val="000000"/>
          <w:sz w:val="20"/>
          <w:szCs w:val="20"/>
        </w:rPr>
        <w:t xml:space="preserve">During the first quarter of fiscal year 2023, we </w:t>
      </w:r>
      <w:r>
        <w:rPr>
          <w:rFonts w:ascii="sans-serif" w:eastAsia="sans-serif" w:hAnsi="sans-serif" w:cs="sans-serif"/>
          <w:color w:val="000000"/>
          <w:sz w:val="20"/>
          <w:szCs w:val="20"/>
        </w:rPr>
        <w:t>repurchased a total of 8.6 million shares for $2.00 billion. Through May 1, 2022, we have repurchased an aggregate of 1.05 billion shares under our share repurchase program for a total cost of $9.08 billion. On May 23, 2022, our Board of Directors increase</w:t>
      </w:r>
      <w:r>
        <w:rPr>
          <w:rFonts w:ascii="sans-serif" w:eastAsia="sans-serif" w:hAnsi="sans-serif" w:cs="sans-serif"/>
          <w:color w:val="000000"/>
          <w:sz w:val="20"/>
          <w:szCs w:val="20"/>
        </w:rPr>
        <w:t>d and extended our share repurchase program to repurchase additional common stock up to a total of $15 billion through December 2023.</w:t>
      </w:r>
    </w:p>
    <w:p w14:paraId="7C208A07" w14:textId="77777777" w:rsidR="00834A75" w:rsidRDefault="00A6708C">
      <w:pPr>
        <w:spacing w:after="180"/>
        <w:jc w:val="both"/>
      </w:pPr>
      <w:r>
        <w:rPr>
          <w:rFonts w:ascii="sans-serif" w:eastAsia="sans-serif" w:hAnsi="sans-serif" w:cs="sans-serif"/>
          <w:color w:val="000000"/>
          <w:sz w:val="20"/>
          <w:szCs w:val="20"/>
        </w:rPr>
        <w:t>During the first quarter of fiscal years 2023 and 2022, we paid $100 million and $99 million in cash dividends to our shar</w:t>
      </w:r>
      <w:r>
        <w:rPr>
          <w:rFonts w:ascii="sans-serif" w:eastAsia="sans-serif" w:hAnsi="sans-serif" w:cs="sans-serif"/>
          <w:color w:val="000000"/>
          <w:sz w:val="20"/>
          <w:szCs w:val="20"/>
        </w:rPr>
        <w:t>eholders, respectively.</w:t>
      </w:r>
    </w:p>
    <w:p w14:paraId="7C208A08" w14:textId="77777777" w:rsidR="00834A75" w:rsidRDefault="00A6708C">
      <w:pPr>
        <w:spacing w:before="240" w:after="120"/>
        <w:jc w:val="both"/>
      </w:pPr>
      <w:r>
        <w:rPr>
          <w:rFonts w:ascii="sans-serif" w:eastAsia="sans-serif" w:hAnsi="sans-serif" w:cs="sans-serif"/>
          <w:b/>
          <w:bCs/>
          <w:color w:val="76B900"/>
          <w:sz w:val="22"/>
          <w:szCs w:val="22"/>
        </w:rPr>
        <w:t>Note 15 - Segment Information</w:t>
      </w:r>
    </w:p>
    <w:p w14:paraId="7C208A09" w14:textId="77777777" w:rsidR="00834A75" w:rsidRDefault="00A6708C">
      <w:pPr>
        <w:spacing w:after="180"/>
        <w:jc w:val="both"/>
      </w:pPr>
      <w:r>
        <w:rPr>
          <w:rFonts w:ascii="sans-serif" w:eastAsia="sans-serif" w:hAnsi="sans-serif" w:cs="sans-serif"/>
          <w:color w:val="000000"/>
          <w:sz w:val="20"/>
          <w:szCs w:val="20"/>
        </w:rPr>
        <w:t>Our Chief Executive Officer, who is considered to be our chief operating decision maker, or CODM, reviews financial information presented on an operating segment basis for purposes of making decisions a</w:t>
      </w:r>
      <w:r>
        <w:rPr>
          <w:rFonts w:ascii="sans-serif" w:eastAsia="sans-serif" w:hAnsi="sans-serif" w:cs="sans-serif"/>
          <w:color w:val="000000"/>
          <w:sz w:val="20"/>
          <w:szCs w:val="20"/>
        </w:rPr>
        <w:t>nd assessing financial performance.</w:t>
      </w:r>
    </w:p>
    <w:p w14:paraId="7C208A0A" w14:textId="77777777" w:rsidR="00834A75" w:rsidRDefault="00A6708C">
      <w:pPr>
        <w:spacing w:after="180"/>
        <w:jc w:val="both"/>
      </w:pPr>
      <w:r>
        <w:rPr>
          <w:rFonts w:ascii="sans-serif" w:eastAsia="sans-serif" w:hAnsi="sans-serif" w:cs="sans-serif"/>
          <w:color w:val="000000"/>
          <w:sz w:val="20"/>
          <w:szCs w:val="20"/>
        </w:rPr>
        <w:t xml:space="preserve">Our Graphics segment includes GeForce GPUs for gaming and PCs, the GeForce NOW game streaming service and related infrastructure, and solutions for gaming platforms; Quadro/NVIDIA RTX GPUs for enterprise workstation </w:t>
      </w:r>
    </w:p>
    <w:p w14:paraId="7C208A0B" w14:textId="77777777" w:rsidR="00834A75" w:rsidRDefault="00A6708C">
      <w:pPr>
        <w:spacing w:after="180"/>
        <w:jc w:val="center"/>
      </w:pPr>
      <w:r>
        <w:rPr>
          <w:rFonts w:ascii="sans-serif" w:eastAsia="sans-serif" w:hAnsi="sans-serif" w:cs="sans-serif"/>
          <w:color w:val="000000"/>
          <w:sz w:val="20"/>
          <w:szCs w:val="20"/>
        </w:rPr>
        <w:t>18</w:t>
      </w:r>
    </w:p>
    <w:p w14:paraId="7C208A0C" w14:textId="77777777" w:rsidR="00834A75" w:rsidRDefault="00A6708C">
      <w:r>
        <w:pict w14:anchorId="7C209361">
          <v:rect id="_x0000_i1042" style="width:415.3pt;height:1.5pt" o:hralign="center" o:hrstd="t" o:hr="t" fillcolor="#a0a0a0" stroked="f"/>
        </w:pict>
      </w:r>
    </w:p>
    <w:p w14:paraId="7C208A0D" w14:textId="77777777" w:rsidR="00834A75" w:rsidRDefault="00A6708C">
      <w:pPr>
        <w:jc w:val="center"/>
      </w:pPr>
      <w:r>
        <w:rPr>
          <w:rFonts w:ascii="sans-serif" w:eastAsia="sans-serif" w:hAnsi="sans-serif" w:cs="sans-serif"/>
          <w:b/>
          <w:bCs/>
          <w:color w:val="000000"/>
          <w:sz w:val="20"/>
          <w:szCs w:val="20"/>
        </w:rPr>
        <w:t>NVIDIA CORPORATION AND SUBSIDIARIES</w:t>
      </w:r>
    </w:p>
    <w:p w14:paraId="7C208A0E" w14:textId="77777777" w:rsidR="00834A75" w:rsidRDefault="00A6708C">
      <w:pPr>
        <w:jc w:val="center"/>
      </w:pPr>
      <w:r>
        <w:rPr>
          <w:rFonts w:ascii="sans-serif" w:eastAsia="sans-serif" w:hAnsi="sans-serif" w:cs="sans-serif"/>
          <w:b/>
          <w:bCs/>
          <w:color w:val="000000"/>
          <w:sz w:val="20"/>
          <w:szCs w:val="20"/>
        </w:rPr>
        <w:t>NOTES TO CONDENSED CONSOLIDATED FINANCIAL STATEMENTS (Continued)</w:t>
      </w:r>
    </w:p>
    <w:p w14:paraId="7C208A0F" w14:textId="77777777" w:rsidR="00834A75" w:rsidRDefault="00A6708C">
      <w:pPr>
        <w:jc w:val="center"/>
      </w:pPr>
      <w:r>
        <w:rPr>
          <w:rFonts w:ascii="sans-serif" w:eastAsia="sans-serif" w:hAnsi="sans-serif" w:cs="sans-serif"/>
          <w:b/>
          <w:bCs/>
          <w:color w:val="000000"/>
          <w:sz w:val="20"/>
          <w:szCs w:val="20"/>
        </w:rPr>
        <w:t>(Unaudited)</w:t>
      </w:r>
    </w:p>
    <w:p w14:paraId="7C208A10" w14:textId="77777777" w:rsidR="00834A75" w:rsidRDefault="00834A75">
      <w:pPr>
        <w:spacing w:after="180"/>
        <w:jc w:val="both"/>
      </w:pPr>
    </w:p>
    <w:p w14:paraId="7C208A11" w14:textId="77777777" w:rsidR="00834A75" w:rsidRDefault="00834A75">
      <w:pPr>
        <w:spacing w:after="180"/>
        <w:jc w:val="both"/>
      </w:pPr>
    </w:p>
    <w:p w14:paraId="7C208A12" w14:textId="77777777" w:rsidR="00834A75" w:rsidRDefault="00A6708C">
      <w:pPr>
        <w:spacing w:after="180"/>
        <w:jc w:val="both"/>
      </w:pPr>
      <w:r>
        <w:rPr>
          <w:rFonts w:ascii="sans-serif" w:eastAsia="sans-serif" w:hAnsi="sans-serif" w:cs="sans-serif"/>
          <w:color w:val="000000"/>
          <w:sz w:val="20"/>
          <w:szCs w:val="20"/>
        </w:rPr>
        <w:t xml:space="preserve">graphics; vGPU software for cloud-based visual and virtual computing; automotive platforms for infotainment systems; and Omniverse software for building 3D designs and virtual worlds. </w:t>
      </w:r>
    </w:p>
    <w:p w14:paraId="7C208A13" w14:textId="77777777" w:rsidR="00834A75" w:rsidRDefault="00A6708C">
      <w:pPr>
        <w:spacing w:after="180"/>
        <w:jc w:val="both"/>
      </w:pPr>
      <w:r>
        <w:rPr>
          <w:rFonts w:ascii="sans-serif" w:eastAsia="sans-serif" w:hAnsi="sans-serif" w:cs="sans-serif"/>
          <w:color w:val="000000"/>
          <w:sz w:val="20"/>
          <w:szCs w:val="20"/>
        </w:rPr>
        <w:t>Our Compute &amp; Networking segment includes Data Center platforms and sys</w:t>
      </w:r>
      <w:r>
        <w:rPr>
          <w:rFonts w:ascii="sans-serif" w:eastAsia="sans-serif" w:hAnsi="sans-serif" w:cs="sans-serif"/>
          <w:color w:val="000000"/>
          <w:sz w:val="20"/>
          <w:szCs w:val="20"/>
        </w:rPr>
        <w:t>tems for artificial intelligence, or AI, high-performance computing, and accelerated computing; Mellanox networking and interconnect solutions; automotive AI Cockpit, autonomous driving development agreements, and autonomous vehicle solutions; cryptocurren</w:t>
      </w:r>
      <w:r>
        <w:rPr>
          <w:rFonts w:ascii="sans-serif" w:eastAsia="sans-serif" w:hAnsi="sans-serif" w:cs="sans-serif"/>
          <w:color w:val="000000"/>
          <w:sz w:val="20"/>
          <w:szCs w:val="20"/>
        </w:rPr>
        <w:t>cy mining processors, or CMP; Jetson for robotics and other embedded platforms; and NVIDIA AI Enterprise and other software.</w:t>
      </w:r>
    </w:p>
    <w:p w14:paraId="7C208A14" w14:textId="77777777" w:rsidR="00834A75" w:rsidRDefault="00A6708C">
      <w:pPr>
        <w:spacing w:after="180"/>
        <w:jc w:val="both"/>
      </w:pPr>
      <w:r>
        <w:rPr>
          <w:rFonts w:ascii="sans-serif" w:eastAsia="sans-serif" w:hAnsi="sans-serif" w:cs="sans-serif"/>
          <w:color w:val="000000"/>
          <w:sz w:val="20"/>
          <w:szCs w:val="20"/>
        </w:rPr>
        <w:t>Operating results by segment include costs or expenses that are directly attributable to each segment, and costs or expenses that a</w:t>
      </w:r>
      <w:r>
        <w:rPr>
          <w:rFonts w:ascii="sans-serif" w:eastAsia="sans-serif" w:hAnsi="sans-serif" w:cs="sans-serif"/>
          <w:color w:val="000000"/>
          <w:sz w:val="20"/>
          <w:szCs w:val="20"/>
        </w:rPr>
        <w:t>re leveraged across our unified architecture and therefore allocated between our two segments.</w:t>
      </w:r>
    </w:p>
    <w:p w14:paraId="7C208A15" w14:textId="77777777" w:rsidR="00834A75" w:rsidRDefault="00A6708C">
      <w:pPr>
        <w:spacing w:after="180"/>
        <w:jc w:val="both"/>
      </w:pPr>
      <w:r>
        <w:rPr>
          <w:rFonts w:ascii="sans-serif" w:eastAsia="sans-serif" w:hAnsi="sans-serif" w:cs="sans-serif"/>
          <w:color w:val="000000"/>
          <w:sz w:val="20"/>
          <w:szCs w:val="20"/>
        </w:rPr>
        <w:t>The “All Other” category includes the expenses that our CODM does not assign to either Graphics or Compute &amp; Networking for purposes of making operating decision</w:t>
      </w:r>
      <w:r>
        <w:rPr>
          <w:rFonts w:ascii="sans-serif" w:eastAsia="sans-serif" w:hAnsi="sans-serif" w:cs="sans-serif"/>
          <w:color w:val="000000"/>
          <w:sz w:val="20"/>
          <w:szCs w:val="20"/>
        </w:rPr>
        <w:t>s or assessing financial performance. The expenses include stock-based compensation expense, corporate infrastructure and support costs, acquisition-related costs, IP-related costs, and other non-recurring charges and benefits that our CODM deems to be ent</w:t>
      </w:r>
      <w:r>
        <w:rPr>
          <w:rFonts w:ascii="sans-serif" w:eastAsia="sans-serif" w:hAnsi="sans-serif" w:cs="sans-serif"/>
          <w:color w:val="000000"/>
          <w:sz w:val="20"/>
          <w:szCs w:val="20"/>
        </w:rPr>
        <w:t xml:space="preserve">erprise in nature. </w:t>
      </w:r>
    </w:p>
    <w:p w14:paraId="7C208A16" w14:textId="77777777" w:rsidR="00834A75" w:rsidRDefault="00A6708C">
      <w:pPr>
        <w:spacing w:after="180"/>
        <w:jc w:val="both"/>
      </w:pPr>
      <w:r>
        <w:rPr>
          <w:rFonts w:ascii="sans-serif" w:eastAsia="sans-serif" w:hAnsi="sans-serif" w:cs="sans-serif"/>
          <w:color w:val="000000"/>
          <w:sz w:val="20"/>
          <w:szCs w:val="20"/>
        </w:rPr>
        <w:t>Our CODM does not review any information regarding total assets on a reportable segment basis. Depreciation and amortization expense directly attributable to each reportable segment is included in operating results for each segment. How</w:t>
      </w:r>
      <w:r>
        <w:rPr>
          <w:rFonts w:ascii="sans-serif" w:eastAsia="sans-serif" w:hAnsi="sans-serif" w:cs="sans-serif"/>
          <w:color w:val="000000"/>
          <w:sz w:val="20"/>
          <w:szCs w:val="20"/>
        </w:rPr>
        <w:t>ever, the CODM does not evaluate depreciation and amortization expense by operating segment and, therefore, it is not separately presented. There is no intersegment revenue. The accounting policies for segment reporting are the same as for our consolidated</w:t>
      </w:r>
      <w:r>
        <w:rPr>
          <w:rFonts w:ascii="sans-serif" w:eastAsia="sans-serif" w:hAnsi="sans-serif" w:cs="sans-serif"/>
          <w:color w:val="000000"/>
          <w:sz w:val="20"/>
          <w:szCs w:val="20"/>
        </w:rPr>
        <w:t xml:space="preserve"> financial statements. The table below presents details of our reportable segments and the “All Other” category.</w:t>
      </w:r>
    </w:p>
    <w:tbl>
      <w:tblPr>
        <w:tblW w:w="5000" w:type="pct"/>
        <w:tblCellMar>
          <w:top w:w="15" w:type="dxa"/>
          <w:left w:w="15" w:type="dxa"/>
          <w:bottom w:w="15" w:type="dxa"/>
          <w:right w:w="15" w:type="dxa"/>
        </w:tblCellMar>
        <w:tblLook w:val="04A0" w:firstRow="1" w:lastRow="0" w:firstColumn="1" w:lastColumn="0" w:noHBand="0" w:noVBand="1"/>
      </w:tblPr>
      <w:tblGrid>
        <w:gridCol w:w="39"/>
        <w:gridCol w:w="3532"/>
        <w:gridCol w:w="38"/>
        <w:gridCol w:w="123"/>
        <w:gridCol w:w="940"/>
        <w:gridCol w:w="36"/>
        <w:gridCol w:w="36"/>
        <w:gridCol w:w="36"/>
        <w:gridCol w:w="36"/>
        <w:gridCol w:w="123"/>
        <w:gridCol w:w="933"/>
        <w:gridCol w:w="36"/>
        <w:gridCol w:w="36"/>
        <w:gridCol w:w="36"/>
        <w:gridCol w:w="36"/>
        <w:gridCol w:w="122"/>
        <w:gridCol w:w="858"/>
        <w:gridCol w:w="36"/>
        <w:gridCol w:w="36"/>
        <w:gridCol w:w="36"/>
        <w:gridCol w:w="36"/>
        <w:gridCol w:w="123"/>
        <w:gridCol w:w="1037"/>
        <w:gridCol w:w="36"/>
      </w:tblGrid>
      <w:tr w:rsidR="00834A75" w14:paraId="7C208A2F" w14:textId="77777777">
        <w:tc>
          <w:tcPr>
            <w:tcW w:w="50" w:type="pct"/>
            <w:shd w:val="clear" w:color="auto" w:fill="auto"/>
            <w:vAlign w:val="bottom"/>
          </w:tcPr>
          <w:p w14:paraId="7C208A17" w14:textId="77777777" w:rsidR="00834A75" w:rsidRDefault="00834A75">
            <w:pPr>
              <w:rPr>
                <w:rFonts w:ascii="宋体"/>
              </w:rPr>
            </w:pPr>
          </w:p>
        </w:tc>
        <w:tc>
          <w:tcPr>
            <w:tcW w:w="2174" w:type="pct"/>
            <w:shd w:val="clear" w:color="auto" w:fill="auto"/>
            <w:vAlign w:val="bottom"/>
          </w:tcPr>
          <w:p w14:paraId="7C208A18" w14:textId="77777777" w:rsidR="00834A75" w:rsidRDefault="00834A75">
            <w:pPr>
              <w:rPr>
                <w:rFonts w:ascii="宋体"/>
              </w:rPr>
            </w:pPr>
          </w:p>
        </w:tc>
        <w:tc>
          <w:tcPr>
            <w:tcW w:w="5" w:type="pct"/>
            <w:shd w:val="clear" w:color="auto" w:fill="auto"/>
            <w:vAlign w:val="bottom"/>
          </w:tcPr>
          <w:p w14:paraId="7C208A19" w14:textId="77777777" w:rsidR="00834A75" w:rsidRDefault="00834A75">
            <w:pPr>
              <w:rPr>
                <w:rFonts w:ascii="宋体"/>
              </w:rPr>
            </w:pPr>
          </w:p>
        </w:tc>
        <w:tc>
          <w:tcPr>
            <w:tcW w:w="50" w:type="pct"/>
            <w:shd w:val="clear" w:color="auto" w:fill="auto"/>
            <w:vAlign w:val="bottom"/>
          </w:tcPr>
          <w:p w14:paraId="7C208A1A" w14:textId="77777777" w:rsidR="00834A75" w:rsidRDefault="00834A75">
            <w:pPr>
              <w:rPr>
                <w:rFonts w:ascii="宋体"/>
              </w:rPr>
            </w:pPr>
          </w:p>
        </w:tc>
        <w:tc>
          <w:tcPr>
            <w:tcW w:w="610" w:type="pct"/>
            <w:shd w:val="clear" w:color="auto" w:fill="auto"/>
            <w:vAlign w:val="bottom"/>
          </w:tcPr>
          <w:p w14:paraId="7C208A1B" w14:textId="77777777" w:rsidR="00834A75" w:rsidRDefault="00834A75">
            <w:pPr>
              <w:rPr>
                <w:rFonts w:ascii="宋体"/>
              </w:rPr>
            </w:pPr>
          </w:p>
        </w:tc>
        <w:tc>
          <w:tcPr>
            <w:tcW w:w="5" w:type="pct"/>
            <w:shd w:val="clear" w:color="auto" w:fill="auto"/>
            <w:vAlign w:val="bottom"/>
          </w:tcPr>
          <w:p w14:paraId="7C208A1C" w14:textId="77777777" w:rsidR="00834A75" w:rsidRDefault="00834A75">
            <w:pPr>
              <w:rPr>
                <w:rFonts w:ascii="宋体"/>
              </w:rPr>
            </w:pPr>
          </w:p>
        </w:tc>
        <w:tc>
          <w:tcPr>
            <w:tcW w:w="5" w:type="pct"/>
            <w:shd w:val="clear" w:color="auto" w:fill="auto"/>
            <w:vAlign w:val="bottom"/>
          </w:tcPr>
          <w:p w14:paraId="7C208A1D" w14:textId="77777777" w:rsidR="00834A75" w:rsidRDefault="00834A75">
            <w:pPr>
              <w:rPr>
                <w:rFonts w:ascii="宋体"/>
              </w:rPr>
            </w:pPr>
          </w:p>
        </w:tc>
        <w:tc>
          <w:tcPr>
            <w:tcW w:w="26" w:type="pct"/>
            <w:shd w:val="clear" w:color="auto" w:fill="auto"/>
            <w:vAlign w:val="bottom"/>
          </w:tcPr>
          <w:p w14:paraId="7C208A1E" w14:textId="77777777" w:rsidR="00834A75" w:rsidRDefault="00834A75">
            <w:pPr>
              <w:rPr>
                <w:rFonts w:ascii="宋体"/>
              </w:rPr>
            </w:pPr>
          </w:p>
        </w:tc>
        <w:tc>
          <w:tcPr>
            <w:tcW w:w="5" w:type="pct"/>
            <w:shd w:val="clear" w:color="auto" w:fill="auto"/>
            <w:vAlign w:val="bottom"/>
          </w:tcPr>
          <w:p w14:paraId="7C208A1F" w14:textId="77777777" w:rsidR="00834A75" w:rsidRDefault="00834A75">
            <w:pPr>
              <w:rPr>
                <w:rFonts w:ascii="宋体"/>
              </w:rPr>
            </w:pPr>
          </w:p>
        </w:tc>
        <w:tc>
          <w:tcPr>
            <w:tcW w:w="50" w:type="pct"/>
            <w:shd w:val="clear" w:color="auto" w:fill="auto"/>
            <w:vAlign w:val="bottom"/>
          </w:tcPr>
          <w:p w14:paraId="7C208A20" w14:textId="77777777" w:rsidR="00834A75" w:rsidRDefault="00834A75">
            <w:pPr>
              <w:rPr>
                <w:rFonts w:ascii="宋体"/>
              </w:rPr>
            </w:pPr>
          </w:p>
        </w:tc>
        <w:tc>
          <w:tcPr>
            <w:tcW w:w="610" w:type="pct"/>
            <w:shd w:val="clear" w:color="auto" w:fill="auto"/>
            <w:vAlign w:val="bottom"/>
          </w:tcPr>
          <w:p w14:paraId="7C208A21" w14:textId="77777777" w:rsidR="00834A75" w:rsidRDefault="00834A75">
            <w:pPr>
              <w:rPr>
                <w:rFonts w:ascii="宋体"/>
              </w:rPr>
            </w:pPr>
          </w:p>
        </w:tc>
        <w:tc>
          <w:tcPr>
            <w:tcW w:w="5" w:type="pct"/>
            <w:shd w:val="clear" w:color="auto" w:fill="auto"/>
            <w:vAlign w:val="bottom"/>
          </w:tcPr>
          <w:p w14:paraId="7C208A22" w14:textId="77777777" w:rsidR="00834A75" w:rsidRDefault="00834A75">
            <w:pPr>
              <w:rPr>
                <w:rFonts w:ascii="宋体"/>
              </w:rPr>
            </w:pPr>
          </w:p>
        </w:tc>
        <w:tc>
          <w:tcPr>
            <w:tcW w:w="5" w:type="pct"/>
            <w:shd w:val="clear" w:color="auto" w:fill="auto"/>
            <w:vAlign w:val="bottom"/>
          </w:tcPr>
          <w:p w14:paraId="7C208A23" w14:textId="77777777" w:rsidR="00834A75" w:rsidRDefault="00834A75">
            <w:pPr>
              <w:rPr>
                <w:rFonts w:ascii="宋体"/>
              </w:rPr>
            </w:pPr>
          </w:p>
        </w:tc>
        <w:tc>
          <w:tcPr>
            <w:tcW w:w="26" w:type="pct"/>
            <w:shd w:val="clear" w:color="auto" w:fill="auto"/>
            <w:vAlign w:val="bottom"/>
          </w:tcPr>
          <w:p w14:paraId="7C208A24" w14:textId="77777777" w:rsidR="00834A75" w:rsidRDefault="00834A75">
            <w:pPr>
              <w:rPr>
                <w:rFonts w:ascii="宋体"/>
              </w:rPr>
            </w:pPr>
          </w:p>
        </w:tc>
        <w:tc>
          <w:tcPr>
            <w:tcW w:w="5" w:type="pct"/>
            <w:shd w:val="clear" w:color="auto" w:fill="auto"/>
            <w:vAlign w:val="bottom"/>
          </w:tcPr>
          <w:p w14:paraId="7C208A25" w14:textId="77777777" w:rsidR="00834A75" w:rsidRDefault="00834A75">
            <w:pPr>
              <w:rPr>
                <w:rFonts w:ascii="宋体"/>
              </w:rPr>
            </w:pPr>
          </w:p>
        </w:tc>
        <w:tc>
          <w:tcPr>
            <w:tcW w:w="50" w:type="pct"/>
            <w:shd w:val="clear" w:color="auto" w:fill="auto"/>
            <w:vAlign w:val="bottom"/>
          </w:tcPr>
          <w:p w14:paraId="7C208A26" w14:textId="77777777" w:rsidR="00834A75" w:rsidRDefault="00834A75">
            <w:pPr>
              <w:rPr>
                <w:rFonts w:ascii="宋体"/>
              </w:rPr>
            </w:pPr>
          </w:p>
        </w:tc>
        <w:tc>
          <w:tcPr>
            <w:tcW w:w="610" w:type="pct"/>
            <w:shd w:val="clear" w:color="auto" w:fill="auto"/>
            <w:vAlign w:val="bottom"/>
          </w:tcPr>
          <w:p w14:paraId="7C208A27" w14:textId="77777777" w:rsidR="00834A75" w:rsidRDefault="00834A75">
            <w:pPr>
              <w:rPr>
                <w:rFonts w:ascii="宋体"/>
              </w:rPr>
            </w:pPr>
          </w:p>
        </w:tc>
        <w:tc>
          <w:tcPr>
            <w:tcW w:w="5" w:type="pct"/>
            <w:shd w:val="clear" w:color="auto" w:fill="auto"/>
            <w:vAlign w:val="bottom"/>
          </w:tcPr>
          <w:p w14:paraId="7C208A28" w14:textId="77777777" w:rsidR="00834A75" w:rsidRDefault="00834A75">
            <w:pPr>
              <w:rPr>
                <w:rFonts w:ascii="宋体"/>
              </w:rPr>
            </w:pPr>
          </w:p>
        </w:tc>
        <w:tc>
          <w:tcPr>
            <w:tcW w:w="5" w:type="pct"/>
            <w:shd w:val="clear" w:color="auto" w:fill="auto"/>
            <w:vAlign w:val="bottom"/>
          </w:tcPr>
          <w:p w14:paraId="7C208A29" w14:textId="77777777" w:rsidR="00834A75" w:rsidRDefault="00834A75">
            <w:pPr>
              <w:rPr>
                <w:rFonts w:ascii="宋体"/>
              </w:rPr>
            </w:pPr>
          </w:p>
        </w:tc>
        <w:tc>
          <w:tcPr>
            <w:tcW w:w="26" w:type="pct"/>
            <w:shd w:val="clear" w:color="auto" w:fill="auto"/>
            <w:vAlign w:val="bottom"/>
          </w:tcPr>
          <w:p w14:paraId="7C208A2A" w14:textId="77777777" w:rsidR="00834A75" w:rsidRDefault="00834A75">
            <w:pPr>
              <w:rPr>
                <w:rFonts w:ascii="宋体"/>
              </w:rPr>
            </w:pPr>
          </w:p>
        </w:tc>
        <w:tc>
          <w:tcPr>
            <w:tcW w:w="5" w:type="pct"/>
            <w:shd w:val="clear" w:color="auto" w:fill="auto"/>
            <w:vAlign w:val="bottom"/>
          </w:tcPr>
          <w:p w14:paraId="7C208A2B" w14:textId="77777777" w:rsidR="00834A75" w:rsidRDefault="00834A75">
            <w:pPr>
              <w:rPr>
                <w:rFonts w:ascii="宋体"/>
              </w:rPr>
            </w:pPr>
          </w:p>
        </w:tc>
        <w:tc>
          <w:tcPr>
            <w:tcW w:w="50" w:type="pct"/>
            <w:shd w:val="clear" w:color="auto" w:fill="auto"/>
            <w:vAlign w:val="bottom"/>
          </w:tcPr>
          <w:p w14:paraId="7C208A2C" w14:textId="77777777" w:rsidR="00834A75" w:rsidRDefault="00834A75">
            <w:pPr>
              <w:rPr>
                <w:rFonts w:ascii="宋体"/>
              </w:rPr>
            </w:pPr>
          </w:p>
        </w:tc>
        <w:tc>
          <w:tcPr>
            <w:tcW w:w="610" w:type="pct"/>
            <w:shd w:val="clear" w:color="auto" w:fill="auto"/>
            <w:vAlign w:val="bottom"/>
          </w:tcPr>
          <w:p w14:paraId="7C208A2D" w14:textId="77777777" w:rsidR="00834A75" w:rsidRDefault="00834A75">
            <w:pPr>
              <w:rPr>
                <w:rFonts w:ascii="宋体"/>
              </w:rPr>
            </w:pPr>
          </w:p>
        </w:tc>
        <w:tc>
          <w:tcPr>
            <w:tcW w:w="5" w:type="pct"/>
            <w:shd w:val="clear" w:color="auto" w:fill="auto"/>
            <w:vAlign w:val="bottom"/>
          </w:tcPr>
          <w:p w14:paraId="7C208A2E" w14:textId="77777777" w:rsidR="00834A75" w:rsidRDefault="00834A75">
            <w:pPr>
              <w:rPr>
                <w:rFonts w:ascii="宋体"/>
              </w:rPr>
            </w:pPr>
          </w:p>
        </w:tc>
      </w:tr>
      <w:tr w:rsidR="00834A75" w14:paraId="7C208A38" w14:textId="77777777">
        <w:tc>
          <w:tcPr>
            <w:tcW w:w="0" w:type="auto"/>
            <w:gridSpan w:val="3"/>
            <w:shd w:val="clear" w:color="auto" w:fill="auto"/>
            <w:tcMar>
              <w:top w:w="40" w:type="dxa"/>
              <w:left w:w="20" w:type="dxa"/>
              <w:bottom w:w="40" w:type="dxa"/>
              <w:right w:w="20" w:type="dxa"/>
            </w:tcMar>
            <w:vAlign w:val="bottom"/>
          </w:tcPr>
          <w:p w14:paraId="7C208A30" w14:textId="77777777" w:rsidR="00834A75" w:rsidRDefault="00A6708C">
            <w:pPr>
              <w:textAlignment w:val="bottom"/>
            </w:pPr>
            <w:r>
              <w:rPr>
                <w:rFonts w:ascii="sans-serif" w:eastAsia="sans-serif" w:hAnsi="sans-serif" w:cs="sans-serif"/>
                <w:color w:val="000000"/>
                <w:sz w:val="20"/>
                <w:szCs w:val="20"/>
              </w:rPr>
              <w:t> </w:t>
            </w:r>
          </w:p>
        </w:tc>
        <w:tc>
          <w:tcPr>
            <w:tcW w:w="0" w:type="auto"/>
            <w:gridSpan w:val="3"/>
            <w:shd w:val="clear" w:color="auto" w:fill="auto"/>
            <w:tcMar>
              <w:top w:w="40" w:type="dxa"/>
              <w:left w:w="20" w:type="dxa"/>
              <w:bottom w:w="40" w:type="dxa"/>
              <w:right w:w="20" w:type="dxa"/>
            </w:tcMar>
            <w:vAlign w:val="bottom"/>
          </w:tcPr>
          <w:p w14:paraId="7C208A31" w14:textId="77777777" w:rsidR="00834A75" w:rsidRDefault="00A6708C">
            <w:pPr>
              <w:jc w:val="center"/>
              <w:textAlignment w:val="bottom"/>
            </w:pPr>
            <w:r>
              <w:rPr>
                <w:rFonts w:ascii="sans-serif" w:eastAsia="sans-serif" w:hAnsi="sans-serif" w:cs="sans-serif"/>
                <w:b/>
                <w:bCs/>
                <w:color w:val="000000"/>
                <w:sz w:val="20"/>
                <w:szCs w:val="20"/>
              </w:rPr>
              <w:t>Graphics</w:t>
            </w:r>
          </w:p>
        </w:tc>
        <w:tc>
          <w:tcPr>
            <w:tcW w:w="0" w:type="auto"/>
            <w:gridSpan w:val="3"/>
            <w:shd w:val="clear" w:color="auto" w:fill="auto"/>
            <w:tcMar>
              <w:top w:w="0" w:type="dxa"/>
              <w:left w:w="20" w:type="dxa"/>
              <w:bottom w:w="0" w:type="dxa"/>
              <w:right w:w="20" w:type="dxa"/>
            </w:tcMar>
            <w:vAlign w:val="bottom"/>
          </w:tcPr>
          <w:p w14:paraId="7C208A32" w14:textId="77777777" w:rsidR="00834A75" w:rsidRDefault="00834A75">
            <w:pPr>
              <w:rPr>
                <w:rFonts w:ascii="宋体"/>
              </w:rPr>
            </w:pPr>
          </w:p>
        </w:tc>
        <w:tc>
          <w:tcPr>
            <w:tcW w:w="0" w:type="auto"/>
            <w:gridSpan w:val="3"/>
            <w:shd w:val="clear" w:color="auto" w:fill="auto"/>
            <w:tcMar>
              <w:top w:w="40" w:type="dxa"/>
              <w:left w:w="20" w:type="dxa"/>
              <w:bottom w:w="40" w:type="dxa"/>
              <w:right w:w="20" w:type="dxa"/>
            </w:tcMar>
            <w:vAlign w:val="bottom"/>
          </w:tcPr>
          <w:p w14:paraId="7C208A33" w14:textId="77777777" w:rsidR="00834A75" w:rsidRDefault="00A6708C">
            <w:pPr>
              <w:jc w:val="center"/>
              <w:textAlignment w:val="bottom"/>
            </w:pPr>
            <w:r>
              <w:rPr>
                <w:rFonts w:ascii="sans-serif" w:eastAsia="sans-serif" w:hAnsi="sans-serif" w:cs="sans-serif"/>
                <w:b/>
                <w:bCs/>
                <w:color w:val="000000"/>
                <w:sz w:val="20"/>
                <w:szCs w:val="20"/>
              </w:rPr>
              <w:t>Compute &amp; Networking</w:t>
            </w:r>
          </w:p>
        </w:tc>
        <w:tc>
          <w:tcPr>
            <w:tcW w:w="0" w:type="auto"/>
            <w:gridSpan w:val="3"/>
            <w:shd w:val="clear" w:color="auto" w:fill="auto"/>
            <w:tcMar>
              <w:top w:w="0" w:type="dxa"/>
              <w:left w:w="20" w:type="dxa"/>
              <w:bottom w:w="0" w:type="dxa"/>
              <w:right w:w="20" w:type="dxa"/>
            </w:tcMar>
            <w:vAlign w:val="bottom"/>
          </w:tcPr>
          <w:p w14:paraId="7C208A34" w14:textId="77777777" w:rsidR="00834A75" w:rsidRDefault="00834A75">
            <w:pPr>
              <w:rPr>
                <w:rFonts w:ascii="宋体"/>
              </w:rPr>
            </w:pPr>
          </w:p>
        </w:tc>
        <w:tc>
          <w:tcPr>
            <w:tcW w:w="0" w:type="auto"/>
            <w:gridSpan w:val="3"/>
            <w:shd w:val="clear" w:color="auto" w:fill="auto"/>
            <w:tcMar>
              <w:top w:w="40" w:type="dxa"/>
              <w:left w:w="20" w:type="dxa"/>
              <w:bottom w:w="40" w:type="dxa"/>
              <w:right w:w="20" w:type="dxa"/>
            </w:tcMar>
            <w:vAlign w:val="bottom"/>
          </w:tcPr>
          <w:p w14:paraId="7C208A35" w14:textId="77777777" w:rsidR="00834A75" w:rsidRDefault="00A6708C">
            <w:pPr>
              <w:jc w:val="center"/>
              <w:textAlignment w:val="bottom"/>
            </w:pPr>
            <w:r>
              <w:rPr>
                <w:rFonts w:ascii="sans-serif" w:eastAsia="sans-serif" w:hAnsi="sans-serif" w:cs="sans-serif"/>
                <w:b/>
                <w:bCs/>
                <w:color w:val="000000"/>
                <w:sz w:val="20"/>
                <w:szCs w:val="20"/>
              </w:rPr>
              <w:t>All Other</w:t>
            </w:r>
          </w:p>
        </w:tc>
        <w:tc>
          <w:tcPr>
            <w:tcW w:w="0" w:type="auto"/>
            <w:gridSpan w:val="3"/>
            <w:shd w:val="clear" w:color="auto" w:fill="auto"/>
            <w:tcMar>
              <w:top w:w="0" w:type="dxa"/>
              <w:left w:w="20" w:type="dxa"/>
              <w:bottom w:w="0" w:type="dxa"/>
              <w:right w:w="20" w:type="dxa"/>
            </w:tcMar>
            <w:vAlign w:val="bottom"/>
          </w:tcPr>
          <w:p w14:paraId="7C208A36" w14:textId="77777777" w:rsidR="00834A75" w:rsidRDefault="00834A75">
            <w:pPr>
              <w:rPr>
                <w:rFonts w:ascii="宋体"/>
              </w:rPr>
            </w:pPr>
          </w:p>
        </w:tc>
        <w:tc>
          <w:tcPr>
            <w:tcW w:w="0" w:type="auto"/>
            <w:gridSpan w:val="3"/>
            <w:shd w:val="clear" w:color="auto" w:fill="auto"/>
            <w:tcMar>
              <w:top w:w="40" w:type="dxa"/>
              <w:left w:w="20" w:type="dxa"/>
              <w:bottom w:w="40" w:type="dxa"/>
              <w:right w:w="20" w:type="dxa"/>
            </w:tcMar>
            <w:vAlign w:val="bottom"/>
          </w:tcPr>
          <w:p w14:paraId="7C208A37" w14:textId="77777777" w:rsidR="00834A75" w:rsidRDefault="00A6708C">
            <w:pPr>
              <w:jc w:val="center"/>
              <w:textAlignment w:val="bottom"/>
            </w:pPr>
            <w:r>
              <w:rPr>
                <w:rFonts w:ascii="sans-serif" w:eastAsia="sans-serif" w:hAnsi="sans-serif" w:cs="sans-serif"/>
                <w:b/>
                <w:bCs/>
                <w:color w:val="000000"/>
                <w:sz w:val="20"/>
                <w:szCs w:val="20"/>
              </w:rPr>
              <w:t>Consolidated</w:t>
            </w:r>
          </w:p>
        </w:tc>
      </w:tr>
      <w:tr w:rsidR="00834A75" w14:paraId="7C208A41" w14:textId="77777777">
        <w:trPr>
          <w:trHeight w:val="60"/>
        </w:trPr>
        <w:tc>
          <w:tcPr>
            <w:tcW w:w="0" w:type="auto"/>
            <w:gridSpan w:val="3"/>
            <w:shd w:val="clear" w:color="auto" w:fill="auto"/>
            <w:tcMar>
              <w:top w:w="0" w:type="dxa"/>
              <w:left w:w="20" w:type="dxa"/>
              <w:bottom w:w="0" w:type="dxa"/>
              <w:right w:w="20" w:type="dxa"/>
            </w:tcMar>
            <w:vAlign w:val="bottom"/>
          </w:tcPr>
          <w:p w14:paraId="7C208A39" w14:textId="77777777" w:rsidR="00834A75" w:rsidRDefault="00834A75">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C208A3A" w14:textId="77777777" w:rsidR="00834A75" w:rsidRDefault="00834A75">
            <w:pPr>
              <w:rPr>
                <w:rFonts w:ascii="宋体"/>
              </w:rPr>
            </w:pPr>
          </w:p>
        </w:tc>
        <w:tc>
          <w:tcPr>
            <w:tcW w:w="0" w:type="auto"/>
            <w:gridSpan w:val="3"/>
            <w:shd w:val="clear" w:color="auto" w:fill="auto"/>
            <w:tcMar>
              <w:top w:w="0" w:type="dxa"/>
              <w:left w:w="20" w:type="dxa"/>
              <w:bottom w:w="0" w:type="dxa"/>
              <w:right w:w="20" w:type="dxa"/>
            </w:tcMar>
            <w:vAlign w:val="bottom"/>
          </w:tcPr>
          <w:p w14:paraId="7C208A3B" w14:textId="77777777" w:rsidR="00834A75" w:rsidRDefault="00834A75">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C208A3C" w14:textId="77777777" w:rsidR="00834A75" w:rsidRDefault="00834A75">
            <w:pPr>
              <w:rPr>
                <w:rFonts w:ascii="宋体"/>
              </w:rPr>
            </w:pPr>
          </w:p>
        </w:tc>
        <w:tc>
          <w:tcPr>
            <w:tcW w:w="0" w:type="auto"/>
            <w:gridSpan w:val="3"/>
            <w:shd w:val="clear" w:color="auto" w:fill="auto"/>
            <w:tcMar>
              <w:top w:w="0" w:type="dxa"/>
              <w:left w:w="20" w:type="dxa"/>
              <w:bottom w:w="0" w:type="dxa"/>
              <w:right w:w="20" w:type="dxa"/>
            </w:tcMar>
            <w:vAlign w:val="bottom"/>
          </w:tcPr>
          <w:p w14:paraId="7C208A3D" w14:textId="77777777" w:rsidR="00834A75" w:rsidRDefault="00834A75">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C208A3E" w14:textId="77777777" w:rsidR="00834A75" w:rsidRDefault="00834A75">
            <w:pPr>
              <w:rPr>
                <w:rFonts w:ascii="宋体"/>
              </w:rPr>
            </w:pPr>
          </w:p>
        </w:tc>
        <w:tc>
          <w:tcPr>
            <w:tcW w:w="0" w:type="auto"/>
            <w:gridSpan w:val="3"/>
            <w:shd w:val="clear" w:color="auto" w:fill="auto"/>
            <w:tcMar>
              <w:top w:w="0" w:type="dxa"/>
              <w:left w:w="20" w:type="dxa"/>
              <w:bottom w:w="0" w:type="dxa"/>
              <w:right w:w="20" w:type="dxa"/>
            </w:tcMar>
            <w:vAlign w:val="bottom"/>
          </w:tcPr>
          <w:p w14:paraId="7C208A3F" w14:textId="77777777" w:rsidR="00834A75" w:rsidRDefault="00834A75">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C208A40" w14:textId="77777777" w:rsidR="00834A75" w:rsidRDefault="00834A75">
            <w:pPr>
              <w:rPr>
                <w:rFonts w:ascii="宋体"/>
              </w:rPr>
            </w:pPr>
          </w:p>
        </w:tc>
      </w:tr>
      <w:tr w:rsidR="00834A75" w14:paraId="7C208A44" w14:textId="77777777">
        <w:tc>
          <w:tcPr>
            <w:tcW w:w="0" w:type="auto"/>
            <w:gridSpan w:val="3"/>
            <w:shd w:val="clear" w:color="auto" w:fill="auto"/>
            <w:tcMar>
              <w:top w:w="40" w:type="dxa"/>
              <w:left w:w="20" w:type="dxa"/>
              <w:bottom w:w="40" w:type="dxa"/>
              <w:right w:w="20" w:type="dxa"/>
            </w:tcMar>
            <w:vAlign w:val="bottom"/>
          </w:tcPr>
          <w:p w14:paraId="7C208A42" w14:textId="77777777" w:rsidR="00834A75" w:rsidRDefault="00A6708C">
            <w:pPr>
              <w:textAlignment w:val="bottom"/>
            </w:pPr>
            <w:r>
              <w:rPr>
                <w:rFonts w:ascii="sans-serif" w:eastAsia="sans-serif" w:hAnsi="sans-serif" w:cs="sans-serif"/>
                <w:color w:val="000000"/>
                <w:sz w:val="20"/>
                <w:szCs w:val="20"/>
              </w:rPr>
              <w:t> </w:t>
            </w:r>
          </w:p>
        </w:tc>
        <w:tc>
          <w:tcPr>
            <w:tcW w:w="0" w:type="auto"/>
            <w:gridSpan w:val="21"/>
            <w:shd w:val="clear" w:color="auto" w:fill="auto"/>
            <w:tcMar>
              <w:top w:w="40" w:type="dxa"/>
              <w:left w:w="20" w:type="dxa"/>
              <w:bottom w:w="40" w:type="dxa"/>
              <w:right w:w="20" w:type="dxa"/>
            </w:tcMar>
            <w:vAlign w:val="bottom"/>
          </w:tcPr>
          <w:p w14:paraId="7C208A43" w14:textId="77777777" w:rsidR="00834A75" w:rsidRDefault="00A6708C">
            <w:pPr>
              <w:jc w:val="center"/>
              <w:textAlignment w:val="bottom"/>
            </w:pPr>
            <w:r>
              <w:rPr>
                <w:rFonts w:ascii="sans-serif" w:eastAsia="sans-serif" w:hAnsi="sans-serif" w:cs="sans-serif"/>
                <w:i/>
                <w:iCs/>
                <w:color w:val="000000"/>
                <w:sz w:val="20"/>
                <w:szCs w:val="20"/>
              </w:rPr>
              <w:t>(In millions)</w:t>
            </w:r>
          </w:p>
        </w:tc>
      </w:tr>
      <w:tr w:rsidR="00834A75" w14:paraId="7C208A4D" w14:textId="77777777">
        <w:tc>
          <w:tcPr>
            <w:tcW w:w="0" w:type="auto"/>
            <w:gridSpan w:val="3"/>
            <w:shd w:val="clear" w:color="auto" w:fill="E2EFD9"/>
            <w:tcMar>
              <w:top w:w="40" w:type="dxa"/>
              <w:left w:w="20" w:type="dxa"/>
              <w:bottom w:w="40" w:type="dxa"/>
              <w:right w:w="20" w:type="dxa"/>
            </w:tcMar>
            <w:vAlign w:val="bottom"/>
          </w:tcPr>
          <w:p w14:paraId="7C208A45" w14:textId="77777777" w:rsidR="00834A75" w:rsidRDefault="00A6708C">
            <w:pPr>
              <w:textAlignment w:val="bottom"/>
            </w:pPr>
            <w:r>
              <w:rPr>
                <w:rFonts w:ascii="sans-serif" w:eastAsia="sans-serif" w:hAnsi="sans-serif" w:cs="sans-serif"/>
                <w:b/>
                <w:bCs/>
                <w:color w:val="000000"/>
                <w:sz w:val="20"/>
                <w:szCs w:val="20"/>
              </w:rPr>
              <w:t>Three Months Ended May 1, 2022</w:t>
            </w:r>
          </w:p>
        </w:tc>
        <w:tc>
          <w:tcPr>
            <w:tcW w:w="0" w:type="auto"/>
            <w:gridSpan w:val="3"/>
            <w:shd w:val="clear" w:color="auto" w:fill="E2EFD9"/>
            <w:tcMar>
              <w:top w:w="40" w:type="dxa"/>
              <w:left w:w="20" w:type="dxa"/>
              <w:bottom w:w="40" w:type="dxa"/>
              <w:right w:w="20" w:type="dxa"/>
            </w:tcMar>
            <w:vAlign w:val="bottom"/>
          </w:tcPr>
          <w:p w14:paraId="7C208A46" w14:textId="77777777" w:rsidR="00834A75" w:rsidRDefault="00A6708C">
            <w:pPr>
              <w:textAlignment w:val="bottom"/>
            </w:pPr>
            <w:r>
              <w:rPr>
                <w:rFonts w:ascii="sans-serif" w:eastAsia="sans-serif" w:hAnsi="sans-serif" w:cs="sans-serif"/>
                <w:color w:val="000000"/>
                <w:sz w:val="20"/>
                <w:szCs w:val="20"/>
              </w:rPr>
              <w:t> </w:t>
            </w:r>
          </w:p>
        </w:tc>
        <w:tc>
          <w:tcPr>
            <w:tcW w:w="0" w:type="auto"/>
            <w:gridSpan w:val="3"/>
            <w:shd w:val="clear" w:color="auto" w:fill="E2EFD9"/>
            <w:tcMar>
              <w:top w:w="0" w:type="dxa"/>
              <w:left w:w="20" w:type="dxa"/>
              <w:bottom w:w="0" w:type="dxa"/>
              <w:right w:w="20" w:type="dxa"/>
            </w:tcMar>
            <w:vAlign w:val="bottom"/>
          </w:tcPr>
          <w:p w14:paraId="7C208A47" w14:textId="77777777" w:rsidR="00834A75" w:rsidRDefault="00834A75">
            <w:pPr>
              <w:rPr>
                <w:rFonts w:ascii="宋体"/>
              </w:rPr>
            </w:pPr>
          </w:p>
        </w:tc>
        <w:tc>
          <w:tcPr>
            <w:tcW w:w="0" w:type="auto"/>
            <w:gridSpan w:val="3"/>
            <w:shd w:val="clear" w:color="auto" w:fill="E2EFD9"/>
            <w:tcMar>
              <w:top w:w="40" w:type="dxa"/>
              <w:left w:w="20" w:type="dxa"/>
              <w:bottom w:w="40" w:type="dxa"/>
              <w:right w:w="20" w:type="dxa"/>
            </w:tcMar>
            <w:vAlign w:val="bottom"/>
          </w:tcPr>
          <w:p w14:paraId="7C208A48" w14:textId="77777777" w:rsidR="00834A75" w:rsidRDefault="00A6708C">
            <w:pPr>
              <w:textAlignment w:val="bottom"/>
            </w:pPr>
            <w:r>
              <w:rPr>
                <w:rFonts w:ascii="sans-serif" w:eastAsia="sans-serif" w:hAnsi="sans-serif" w:cs="sans-serif"/>
                <w:color w:val="000000"/>
                <w:sz w:val="20"/>
                <w:szCs w:val="20"/>
              </w:rPr>
              <w:t> </w:t>
            </w:r>
          </w:p>
        </w:tc>
        <w:tc>
          <w:tcPr>
            <w:tcW w:w="0" w:type="auto"/>
            <w:gridSpan w:val="3"/>
            <w:shd w:val="clear" w:color="auto" w:fill="E2EFD9"/>
            <w:tcMar>
              <w:top w:w="0" w:type="dxa"/>
              <w:left w:w="20" w:type="dxa"/>
              <w:bottom w:w="0" w:type="dxa"/>
              <w:right w:w="20" w:type="dxa"/>
            </w:tcMar>
            <w:vAlign w:val="bottom"/>
          </w:tcPr>
          <w:p w14:paraId="7C208A49" w14:textId="77777777" w:rsidR="00834A75" w:rsidRDefault="00834A75">
            <w:pPr>
              <w:rPr>
                <w:rFonts w:ascii="宋体"/>
              </w:rPr>
            </w:pPr>
          </w:p>
        </w:tc>
        <w:tc>
          <w:tcPr>
            <w:tcW w:w="0" w:type="auto"/>
            <w:gridSpan w:val="3"/>
            <w:shd w:val="clear" w:color="auto" w:fill="E2EFD9"/>
            <w:tcMar>
              <w:top w:w="40" w:type="dxa"/>
              <w:left w:w="20" w:type="dxa"/>
              <w:bottom w:w="40" w:type="dxa"/>
              <w:right w:w="20" w:type="dxa"/>
            </w:tcMar>
            <w:vAlign w:val="bottom"/>
          </w:tcPr>
          <w:p w14:paraId="7C208A4A" w14:textId="77777777" w:rsidR="00834A75" w:rsidRDefault="00A6708C">
            <w:pPr>
              <w:textAlignment w:val="bottom"/>
            </w:pPr>
            <w:r>
              <w:rPr>
                <w:rFonts w:ascii="sans-serif" w:eastAsia="sans-serif" w:hAnsi="sans-serif" w:cs="sans-serif"/>
                <w:color w:val="000000"/>
                <w:sz w:val="20"/>
                <w:szCs w:val="20"/>
              </w:rPr>
              <w:t> </w:t>
            </w:r>
          </w:p>
        </w:tc>
        <w:tc>
          <w:tcPr>
            <w:tcW w:w="0" w:type="auto"/>
            <w:gridSpan w:val="3"/>
            <w:shd w:val="clear" w:color="auto" w:fill="E2EFD9"/>
            <w:tcMar>
              <w:top w:w="0" w:type="dxa"/>
              <w:left w:w="20" w:type="dxa"/>
              <w:bottom w:w="0" w:type="dxa"/>
              <w:right w:w="20" w:type="dxa"/>
            </w:tcMar>
            <w:vAlign w:val="bottom"/>
          </w:tcPr>
          <w:p w14:paraId="7C208A4B" w14:textId="77777777" w:rsidR="00834A75" w:rsidRDefault="00834A75">
            <w:pPr>
              <w:rPr>
                <w:rFonts w:ascii="宋体"/>
              </w:rPr>
            </w:pPr>
          </w:p>
        </w:tc>
        <w:tc>
          <w:tcPr>
            <w:tcW w:w="0" w:type="auto"/>
            <w:gridSpan w:val="3"/>
            <w:shd w:val="clear" w:color="auto" w:fill="E2EFD9"/>
            <w:tcMar>
              <w:top w:w="40" w:type="dxa"/>
              <w:left w:w="20" w:type="dxa"/>
              <w:bottom w:w="40" w:type="dxa"/>
              <w:right w:w="20" w:type="dxa"/>
            </w:tcMar>
            <w:vAlign w:val="bottom"/>
          </w:tcPr>
          <w:p w14:paraId="7C208A4C" w14:textId="77777777" w:rsidR="00834A75" w:rsidRDefault="00A6708C">
            <w:pPr>
              <w:textAlignment w:val="bottom"/>
            </w:pPr>
            <w:r>
              <w:rPr>
                <w:rFonts w:ascii="sans-serif" w:eastAsia="sans-serif" w:hAnsi="sans-serif" w:cs="sans-serif"/>
                <w:color w:val="000000"/>
                <w:sz w:val="20"/>
                <w:szCs w:val="20"/>
              </w:rPr>
              <w:t> </w:t>
            </w:r>
          </w:p>
        </w:tc>
      </w:tr>
      <w:tr w:rsidR="00834A75" w14:paraId="7C208A5E" w14:textId="77777777">
        <w:tc>
          <w:tcPr>
            <w:tcW w:w="0" w:type="auto"/>
            <w:gridSpan w:val="3"/>
            <w:shd w:val="clear" w:color="auto" w:fill="FFFFFF"/>
            <w:tcMar>
              <w:top w:w="40" w:type="dxa"/>
              <w:left w:w="20" w:type="dxa"/>
              <w:bottom w:w="40" w:type="dxa"/>
              <w:right w:w="20" w:type="dxa"/>
            </w:tcMar>
            <w:vAlign w:val="bottom"/>
          </w:tcPr>
          <w:p w14:paraId="7C208A4E" w14:textId="77777777" w:rsidR="00834A75" w:rsidRDefault="00A6708C">
            <w:pPr>
              <w:textAlignment w:val="bottom"/>
            </w:pPr>
            <w:r>
              <w:rPr>
                <w:rFonts w:ascii="sans-serif" w:eastAsia="sans-serif" w:hAnsi="sans-serif" w:cs="sans-serif"/>
                <w:color w:val="000000"/>
                <w:sz w:val="20"/>
                <w:szCs w:val="20"/>
              </w:rPr>
              <w:t>Revenue</w:t>
            </w:r>
          </w:p>
        </w:tc>
        <w:tc>
          <w:tcPr>
            <w:tcW w:w="0" w:type="auto"/>
            <w:shd w:val="clear" w:color="auto" w:fill="FFFFFF"/>
            <w:tcMar>
              <w:top w:w="40" w:type="dxa"/>
              <w:left w:w="20" w:type="dxa"/>
              <w:bottom w:w="40" w:type="dxa"/>
              <w:right w:w="0" w:type="dxa"/>
            </w:tcMar>
            <w:vAlign w:val="bottom"/>
          </w:tcPr>
          <w:p w14:paraId="7C208A4F" w14:textId="77777777" w:rsidR="00834A75" w:rsidRDefault="00A6708C">
            <w:pPr>
              <w:textAlignment w:val="bottom"/>
            </w:pPr>
            <w:r>
              <w:rPr>
                <w:rFonts w:ascii="sans-serif" w:eastAsia="sans-serif" w:hAnsi="sans-serif" w:cs="sans-serif"/>
                <w:color w:val="000000"/>
                <w:sz w:val="20"/>
                <w:szCs w:val="20"/>
              </w:rPr>
              <w:t>$</w:t>
            </w:r>
          </w:p>
        </w:tc>
        <w:tc>
          <w:tcPr>
            <w:tcW w:w="0" w:type="auto"/>
            <w:shd w:val="clear" w:color="auto" w:fill="FFFFFF"/>
            <w:tcMar>
              <w:top w:w="40" w:type="dxa"/>
              <w:left w:w="0" w:type="dxa"/>
              <w:bottom w:w="40" w:type="dxa"/>
              <w:right w:w="0" w:type="dxa"/>
            </w:tcMar>
            <w:vAlign w:val="bottom"/>
          </w:tcPr>
          <w:p w14:paraId="7C208A50" w14:textId="77777777" w:rsidR="00834A75" w:rsidRDefault="00A6708C">
            <w:pPr>
              <w:jc w:val="right"/>
              <w:textAlignment w:val="bottom"/>
            </w:pPr>
            <w:r>
              <w:rPr>
                <w:rFonts w:ascii="sans-serif" w:eastAsia="sans-serif" w:hAnsi="sans-serif" w:cs="sans-serif"/>
                <w:color w:val="000000"/>
                <w:sz w:val="20"/>
                <w:szCs w:val="20"/>
              </w:rPr>
              <w:t>4,616 </w:t>
            </w:r>
          </w:p>
        </w:tc>
        <w:tc>
          <w:tcPr>
            <w:tcW w:w="0" w:type="auto"/>
            <w:shd w:val="clear" w:color="auto" w:fill="FFFFFF"/>
            <w:tcMar>
              <w:top w:w="40" w:type="dxa"/>
              <w:left w:w="0" w:type="dxa"/>
              <w:bottom w:w="40" w:type="dxa"/>
              <w:right w:w="20" w:type="dxa"/>
            </w:tcMar>
            <w:vAlign w:val="bottom"/>
          </w:tcPr>
          <w:p w14:paraId="7C208A51" w14:textId="77777777" w:rsidR="00834A75" w:rsidRDefault="00834A75">
            <w:pPr>
              <w:jc w:val="right"/>
              <w:rPr>
                <w:rFonts w:ascii="宋体"/>
              </w:rPr>
            </w:pPr>
          </w:p>
        </w:tc>
        <w:tc>
          <w:tcPr>
            <w:tcW w:w="0" w:type="auto"/>
            <w:gridSpan w:val="3"/>
            <w:shd w:val="clear" w:color="auto" w:fill="FFFFFF"/>
            <w:tcMar>
              <w:top w:w="0" w:type="dxa"/>
              <w:left w:w="20" w:type="dxa"/>
              <w:bottom w:w="0" w:type="dxa"/>
              <w:right w:w="20" w:type="dxa"/>
            </w:tcMar>
            <w:vAlign w:val="bottom"/>
          </w:tcPr>
          <w:p w14:paraId="7C208A52" w14:textId="77777777" w:rsidR="00834A75" w:rsidRDefault="00834A75">
            <w:pPr>
              <w:rPr>
                <w:rFonts w:ascii="宋体"/>
              </w:rPr>
            </w:pPr>
          </w:p>
        </w:tc>
        <w:tc>
          <w:tcPr>
            <w:tcW w:w="0" w:type="auto"/>
            <w:shd w:val="clear" w:color="auto" w:fill="FFFFFF"/>
            <w:tcMar>
              <w:top w:w="40" w:type="dxa"/>
              <w:left w:w="20" w:type="dxa"/>
              <w:bottom w:w="40" w:type="dxa"/>
              <w:right w:w="0" w:type="dxa"/>
            </w:tcMar>
            <w:vAlign w:val="bottom"/>
          </w:tcPr>
          <w:p w14:paraId="7C208A53" w14:textId="77777777" w:rsidR="00834A75" w:rsidRDefault="00A6708C">
            <w:pPr>
              <w:textAlignment w:val="bottom"/>
            </w:pPr>
            <w:r>
              <w:rPr>
                <w:rFonts w:ascii="sans-serif" w:eastAsia="sans-serif" w:hAnsi="sans-serif" w:cs="sans-serif"/>
                <w:color w:val="000000"/>
                <w:sz w:val="20"/>
                <w:szCs w:val="20"/>
              </w:rPr>
              <w:t>$</w:t>
            </w:r>
          </w:p>
        </w:tc>
        <w:tc>
          <w:tcPr>
            <w:tcW w:w="0" w:type="auto"/>
            <w:shd w:val="clear" w:color="auto" w:fill="FFFFFF"/>
            <w:tcMar>
              <w:top w:w="40" w:type="dxa"/>
              <w:left w:w="0" w:type="dxa"/>
              <w:bottom w:w="40" w:type="dxa"/>
              <w:right w:w="0" w:type="dxa"/>
            </w:tcMar>
            <w:vAlign w:val="bottom"/>
          </w:tcPr>
          <w:p w14:paraId="7C208A54" w14:textId="77777777" w:rsidR="00834A75" w:rsidRDefault="00A6708C">
            <w:pPr>
              <w:jc w:val="right"/>
              <w:textAlignment w:val="bottom"/>
            </w:pPr>
            <w:r>
              <w:rPr>
                <w:rFonts w:ascii="sans-serif" w:eastAsia="sans-serif" w:hAnsi="sans-serif" w:cs="sans-serif"/>
                <w:color w:val="000000"/>
                <w:sz w:val="20"/>
                <w:szCs w:val="20"/>
              </w:rPr>
              <w:t>3,672 </w:t>
            </w:r>
          </w:p>
        </w:tc>
        <w:tc>
          <w:tcPr>
            <w:tcW w:w="0" w:type="auto"/>
            <w:shd w:val="clear" w:color="auto" w:fill="FFFFFF"/>
            <w:tcMar>
              <w:top w:w="40" w:type="dxa"/>
              <w:left w:w="0" w:type="dxa"/>
              <w:bottom w:w="40" w:type="dxa"/>
              <w:right w:w="20" w:type="dxa"/>
            </w:tcMar>
            <w:vAlign w:val="bottom"/>
          </w:tcPr>
          <w:p w14:paraId="7C208A55" w14:textId="77777777" w:rsidR="00834A75" w:rsidRDefault="00834A75">
            <w:pPr>
              <w:jc w:val="right"/>
              <w:rPr>
                <w:rFonts w:ascii="宋体"/>
              </w:rPr>
            </w:pPr>
          </w:p>
        </w:tc>
        <w:tc>
          <w:tcPr>
            <w:tcW w:w="0" w:type="auto"/>
            <w:gridSpan w:val="3"/>
            <w:shd w:val="clear" w:color="auto" w:fill="FFFFFF"/>
            <w:tcMar>
              <w:top w:w="0" w:type="dxa"/>
              <w:left w:w="20" w:type="dxa"/>
              <w:bottom w:w="0" w:type="dxa"/>
              <w:right w:w="20" w:type="dxa"/>
            </w:tcMar>
            <w:vAlign w:val="bottom"/>
          </w:tcPr>
          <w:p w14:paraId="7C208A56" w14:textId="77777777" w:rsidR="00834A75" w:rsidRDefault="00834A75">
            <w:pPr>
              <w:rPr>
                <w:rFonts w:ascii="宋体"/>
              </w:rPr>
            </w:pPr>
          </w:p>
        </w:tc>
        <w:tc>
          <w:tcPr>
            <w:tcW w:w="0" w:type="auto"/>
            <w:shd w:val="clear" w:color="auto" w:fill="FFFFFF"/>
            <w:tcMar>
              <w:top w:w="40" w:type="dxa"/>
              <w:left w:w="20" w:type="dxa"/>
              <w:bottom w:w="40" w:type="dxa"/>
              <w:right w:w="0" w:type="dxa"/>
            </w:tcMar>
            <w:vAlign w:val="bottom"/>
          </w:tcPr>
          <w:p w14:paraId="7C208A57" w14:textId="77777777" w:rsidR="00834A75" w:rsidRDefault="00A6708C">
            <w:pPr>
              <w:textAlignment w:val="bottom"/>
            </w:pPr>
            <w:r>
              <w:rPr>
                <w:rFonts w:ascii="sans-serif" w:eastAsia="sans-serif" w:hAnsi="sans-serif" w:cs="sans-serif"/>
                <w:color w:val="000000"/>
                <w:sz w:val="20"/>
                <w:szCs w:val="20"/>
              </w:rPr>
              <w:t>$</w:t>
            </w:r>
          </w:p>
        </w:tc>
        <w:tc>
          <w:tcPr>
            <w:tcW w:w="0" w:type="auto"/>
            <w:shd w:val="clear" w:color="auto" w:fill="FFFFFF"/>
            <w:tcMar>
              <w:top w:w="40" w:type="dxa"/>
              <w:left w:w="0" w:type="dxa"/>
              <w:bottom w:w="40" w:type="dxa"/>
              <w:right w:w="0" w:type="dxa"/>
            </w:tcMar>
            <w:vAlign w:val="bottom"/>
          </w:tcPr>
          <w:p w14:paraId="7C208A58" w14:textId="77777777" w:rsidR="00834A75" w:rsidRDefault="00A6708C">
            <w:pPr>
              <w:jc w:val="right"/>
              <w:textAlignment w:val="bottom"/>
            </w:pPr>
            <w:r>
              <w:rPr>
                <w:rFonts w:ascii="sans-serif" w:eastAsia="sans-serif" w:hAnsi="sans-serif" w:cs="sans-serif"/>
                <w:color w:val="000000"/>
                <w:sz w:val="20"/>
                <w:szCs w:val="20"/>
              </w:rPr>
              <w:t>— </w:t>
            </w:r>
          </w:p>
        </w:tc>
        <w:tc>
          <w:tcPr>
            <w:tcW w:w="0" w:type="auto"/>
            <w:shd w:val="clear" w:color="auto" w:fill="FFFFFF"/>
            <w:tcMar>
              <w:top w:w="40" w:type="dxa"/>
              <w:left w:w="0" w:type="dxa"/>
              <w:bottom w:w="40" w:type="dxa"/>
              <w:right w:w="20" w:type="dxa"/>
            </w:tcMar>
            <w:vAlign w:val="bottom"/>
          </w:tcPr>
          <w:p w14:paraId="7C208A59" w14:textId="77777777" w:rsidR="00834A75" w:rsidRDefault="00834A75">
            <w:pPr>
              <w:jc w:val="right"/>
              <w:rPr>
                <w:rFonts w:ascii="宋体"/>
              </w:rPr>
            </w:pPr>
          </w:p>
        </w:tc>
        <w:tc>
          <w:tcPr>
            <w:tcW w:w="0" w:type="auto"/>
            <w:gridSpan w:val="3"/>
            <w:shd w:val="clear" w:color="auto" w:fill="FFFFFF"/>
            <w:tcMar>
              <w:top w:w="0" w:type="dxa"/>
              <w:left w:w="20" w:type="dxa"/>
              <w:bottom w:w="0" w:type="dxa"/>
              <w:right w:w="20" w:type="dxa"/>
            </w:tcMar>
            <w:vAlign w:val="bottom"/>
          </w:tcPr>
          <w:p w14:paraId="7C208A5A" w14:textId="77777777" w:rsidR="00834A75" w:rsidRDefault="00834A75">
            <w:pPr>
              <w:rPr>
                <w:rFonts w:ascii="宋体"/>
              </w:rPr>
            </w:pPr>
          </w:p>
        </w:tc>
        <w:tc>
          <w:tcPr>
            <w:tcW w:w="0" w:type="auto"/>
            <w:shd w:val="clear" w:color="auto" w:fill="FFFFFF"/>
            <w:tcMar>
              <w:top w:w="40" w:type="dxa"/>
              <w:left w:w="20" w:type="dxa"/>
              <w:bottom w:w="40" w:type="dxa"/>
              <w:right w:w="0" w:type="dxa"/>
            </w:tcMar>
            <w:vAlign w:val="bottom"/>
          </w:tcPr>
          <w:p w14:paraId="7C208A5B" w14:textId="77777777" w:rsidR="00834A75" w:rsidRDefault="00A6708C">
            <w:pPr>
              <w:textAlignment w:val="bottom"/>
            </w:pPr>
            <w:r>
              <w:rPr>
                <w:rFonts w:ascii="sans-serif" w:eastAsia="sans-serif" w:hAnsi="sans-serif" w:cs="sans-serif"/>
                <w:color w:val="000000"/>
                <w:sz w:val="20"/>
                <w:szCs w:val="20"/>
              </w:rPr>
              <w:t>$</w:t>
            </w:r>
          </w:p>
        </w:tc>
        <w:tc>
          <w:tcPr>
            <w:tcW w:w="0" w:type="auto"/>
            <w:shd w:val="clear" w:color="auto" w:fill="FFFFFF"/>
            <w:tcMar>
              <w:top w:w="40" w:type="dxa"/>
              <w:left w:w="0" w:type="dxa"/>
              <w:bottom w:w="40" w:type="dxa"/>
              <w:right w:w="0" w:type="dxa"/>
            </w:tcMar>
            <w:vAlign w:val="bottom"/>
          </w:tcPr>
          <w:p w14:paraId="7C208A5C" w14:textId="77777777" w:rsidR="00834A75" w:rsidRDefault="00A6708C">
            <w:pPr>
              <w:jc w:val="right"/>
              <w:textAlignment w:val="bottom"/>
            </w:pPr>
            <w:r>
              <w:rPr>
                <w:rFonts w:ascii="sans-serif" w:eastAsia="sans-serif" w:hAnsi="sans-serif" w:cs="sans-serif"/>
                <w:color w:val="000000"/>
                <w:sz w:val="20"/>
                <w:szCs w:val="20"/>
              </w:rPr>
              <w:t>8,288 </w:t>
            </w:r>
          </w:p>
        </w:tc>
        <w:tc>
          <w:tcPr>
            <w:tcW w:w="0" w:type="auto"/>
            <w:shd w:val="clear" w:color="auto" w:fill="FFFFFF"/>
            <w:tcMar>
              <w:top w:w="40" w:type="dxa"/>
              <w:left w:w="0" w:type="dxa"/>
              <w:bottom w:w="40" w:type="dxa"/>
              <w:right w:w="20" w:type="dxa"/>
            </w:tcMar>
            <w:vAlign w:val="bottom"/>
          </w:tcPr>
          <w:p w14:paraId="7C208A5D" w14:textId="77777777" w:rsidR="00834A75" w:rsidRDefault="00834A75">
            <w:pPr>
              <w:jc w:val="right"/>
              <w:rPr>
                <w:rFonts w:ascii="宋体"/>
              </w:rPr>
            </w:pPr>
          </w:p>
        </w:tc>
      </w:tr>
      <w:tr w:rsidR="00834A75" w14:paraId="7C208A67" w14:textId="77777777">
        <w:trPr>
          <w:hidden/>
        </w:trPr>
        <w:tc>
          <w:tcPr>
            <w:tcW w:w="0" w:type="auto"/>
            <w:gridSpan w:val="3"/>
            <w:shd w:val="clear" w:color="auto" w:fill="auto"/>
            <w:vAlign w:val="bottom"/>
          </w:tcPr>
          <w:p w14:paraId="7C208A5F" w14:textId="77777777" w:rsidR="00834A75" w:rsidRDefault="00834A75">
            <w:pPr>
              <w:rPr>
                <w:rFonts w:ascii="宋体"/>
                <w:vanish/>
              </w:rPr>
            </w:pPr>
          </w:p>
        </w:tc>
        <w:tc>
          <w:tcPr>
            <w:tcW w:w="0" w:type="auto"/>
            <w:gridSpan w:val="3"/>
            <w:shd w:val="clear" w:color="auto" w:fill="auto"/>
            <w:vAlign w:val="bottom"/>
          </w:tcPr>
          <w:p w14:paraId="7C208A60" w14:textId="77777777" w:rsidR="00834A75" w:rsidRDefault="00834A75">
            <w:pPr>
              <w:rPr>
                <w:rFonts w:ascii="宋体"/>
                <w:vanish/>
              </w:rPr>
            </w:pPr>
          </w:p>
        </w:tc>
        <w:tc>
          <w:tcPr>
            <w:tcW w:w="0" w:type="auto"/>
            <w:gridSpan w:val="3"/>
            <w:shd w:val="clear" w:color="auto" w:fill="auto"/>
            <w:vAlign w:val="bottom"/>
          </w:tcPr>
          <w:p w14:paraId="7C208A61" w14:textId="77777777" w:rsidR="00834A75" w:rsidRDefault="00834A75">
            <w:pPr>
              <w:rPr>
                <w:rFonts w:ascii="宋体"/>
                <w:vanish/>
              </w:rPr>
            </w:pPr>
          </w:p>
        </w:tc>
        <w:tc>
          <w:tcPr>
            <w:tcW w:w="0" w:type="auto"/>
            <w:gridSpan w:val="3"/>
            <w:shd w:val="clear" w:color="auto" w:fill="auto"/>
            <w:vAlign w:val="bottom"/>
          </w:tcPr>
          <w:p w14:paraId="7C208A62" w14:textId="77777777" w:rsidR="00834A75" w:rsidRDefault="00834A75">
            <w:pPr>
              <w:rPr>
                <w:rFonts w:ascii="宋体"/>
                <w:vanish/>
              </w:rPr>
            </w:pPr>
          </w:p>
        </w:tc>
        <w:tc>
          <w:tcPr>
            <w:tcW w:w="0" w:type="auto"/>
            <w:gridSpan w:val="3"/>
            <w:shd w:val="clear" w:color="auto" w:fill="auto"/>
            <w:vAlign w:val="bottom"/>
          </w:tcPr>
          <w:p w14:paraId="7C208A63" w14:textId="77777777" w:rsidR="00834A75" w:rsidRDefault="00834A75">
            <w:pPr>
              <w:rPr>
                <w:rFonts w:ascii="宋体"/>
                <w:vanish/>
              </w:rPr>
            </w:pPr>
          </w:p>
        </w:tc>
        <w:tc>
          <w:tcPr>
            <w:tcW w:w="0" w:type="auto"/>
            <w:gridSpan w:val="3"/>
            <w:shd w:val="clear" w:color="auto" w:fill="auto"/>
            <w:vAlign w:val="bottom"/>
          </w:tcPr>
          <w:p w14:paraId="7C208A64" w14:textId="77777777" w:rsidR="00834A75" w:rsidRDefault="00834A75">
            <w:pPr>
              <w:rPr>
                <w:rFonts w:ascii="宋体"/>
                <w:vanish/>
              </w:rPr>
            </w:pPr>
          </w:p>
        </w:tc>
        <w:tc>
          <w:tcPr>
            <w:tcW w:w="0" w:type="auto"/>
            <w:gridSpan w:val="3"/>
            <w:shd w:val="clear" w:color="auto" w:fill="auto"/>
            <w:vAlign w:val="bottom"/>
          </w:tcPr>
          <w:p w14:paraId="7C208A65" w14:textId="77777777" w:rsidR="00834A75" w:rsidRDefault="00834A75">
            <w:pPr>
              <w:rPr>
                <w:rFonts w:ascii="宋体"/>
                <w:vanish/>
              </w:rPr>
            </w:pPr>
          </w:p>
        </w:tc>
        <w:tc>
          <w:tcPr>
            <w:tcW w:w="0" w:type="auto"/>
            <w:gridSpan w:val="3"/>
            <w:shd w:val="clear" w:color="auto" w:fill="auto"/>
            <w:vAlign w:val="bottom"/>
          </w:tcPr>
          <w:p w14:paraId="7C208A66" w14:textId="77777777" w:rsidR="00834A75" w:rsidRDefault="00834A75">
            <w:pPr>
              <w:rPr>
                <w:rFonts w:ascii="宋体"/>
                <w:vanish/>
              </w:rPr>
            </w:pPr>
          </w:p>
        </w:tc>
      </w:tr>
      <w:tr w:rsidR="00834A75" w14:paraId="7C208A78" w14:textId="77777777">
        <w:tc>
          <w:tcPr>
            <w:tcW w:w="0" w:type="auto"/>
            <w:gridSpan w:val="3"/>
            <w:shd w:val="clear" w:color="auto" w:fill="E2EFD9"/>
            <w:tcMar>
              <w:top w:w="40" w:type="dxa"/>
              <w:left w:w="20" w:type="dxa"/>
              <w:bottom w:w="40" w:type="dxa"/>
              <w:right w:w="20" w:type="dxa"/>
            </w:tcMar>
            <w:vAlign w:val="bottom"/>
          </w:tcPr>
          <w:p w14:paraId="7C208A68" w14:textId="77777777" w:rsidR="00834A75" w:rsidRDefault="00A6708C">
            <w:pPr>
              <w:textAlignment w:val="bottom"/>
            </w:pPr>
            <w:r>
              <w:rPr>
                <w:rFonts w:ascii="sans-serif" w:eastAsia="sans-serif" w:hAnsi="sans-serif" w:cs="sans-serif"/>
                <w:color w:val="000000"/>
                <w:sz w:val="20"/>
                <w:szCs w:val="20"/>
              </w:rPr>
              <w:t>Operating income (loss)</w:t>
            </w:r>
          </w:p>
        </w:tc>
        <w:tc>
          <w:tcPr>
            <w:tcW w:w="0" w:type="auto"/>
            <w:shd w:val="clear" w:color="auto" w:fill="E2EFD9"/>
            <w:tcMar>
              <w:top w:w="40" w:type="dxa"/>
              <w:left w:w="20" w:type="dxa"/>
              <w:bottom w:w="40" w:type="dxa"/>
              <w:right w:w="0" w:type="dxa"/>
            </w:tcMar>
            <w:vAlign w:val="bottom"/>
          </w:tcPr>
          <w:p w14:paraId="7C208A69" w14:textId="77777777" w:rsidR="00834A75" w:rsidRDefault="00A6708C">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7C208A6A" w14:textId="77777777" w:rsidR="00834A75" w:rsidRDefault="00A6708C">
            <w:pPr>
              <w:jc w:val="right"/>
              <w:textAlignment w:val="bottom"/>
            </w:pPr>
            <w:r>
              <w:rPr>
                <w:rFonts w:ascii="sans-serif" w:eastAsia="sans-serif" w:hAnsi="sans-serif" w:cs="sans-serif"/>
                <w:color w:val="000000"/>
                <w:sz w:val="20"/>
                <w:szCs w:val="20"/>
              </w:rPr>
              <w:t>2,476 </w:t>
            </w:r>
          </w:p>
        </w:tc>
        <w:tc>
          <w:tcPr>
            <w:tcW w:w="0" w:type="auto"/>
            <w:shd w:val="clear" w:color="auto" w:fill="E2EFD9"/>
            <w:tcMar>
              <w:top w:w="40" w:type="dxa"/>
              <w:left w:w="0" w:type="dxa"/>
              <w:bottom w:w="40" w:type="dxa"/>
              <w:right w:w="20" w:type="dxa"/>
            </w:tcMar>
            <w:vAlign w:val="bottom"/>
          </w:tcPr>
          <w:p w14:paraId="7C208A6B" w14:textId="77777777" w:rsidR="00834A75" w:rsidRDefault="00834A75">
            <w:pPr>
              <w:jc w:val="right"/>
              <w:rPr>
                <w:rFonts w:ascii="宋体"/>
              </w:rPr>
            </w:pPr>
          </w:p>
        </w:tc>
        <w:tc>
          <w:tcPr>
            <w:tcW w:w="0" w:type="auto"/>
            <w:gridSpan w:val="3"/>
            <w:shd w:val="clear" w:color="auto" w:fill="E2EFD9"/>
            <w:tcMar>
              <w:top w:w="0" w:type="dxa"/>
              <w:left w:w="20" w:type="dxa"/>
              <w:bottom w:w="0" w:type="dxa"/>
              <w:right w:w="20" w:type="dxa"/>
            </w:tcMar>
            <w:vAlign w:val="bottom"/>
          </w:tcPr>
          <w:p w14:paraId="7C208A6C" w14:textId="77777777" w:rsidR="00834A75" w:rsidRDefault="00834A75">
            <w:pPr>
              <w:rPr>
                <w:rFonts w:ascii="宋体"/>
              </w:rPr>
            </w:pPr>
          </w:p>
        </w:tc>
        <w:tc>
          <w:tcPr>
            <w:tcW w:w="0" w:type="auto"/>
            <w:shd w:val="clear" w:color="auto" w:fill="E2EFD9"/>
            <w:tcMar>
              <w:top w:w="40" w:type="dxa"/>
              <w:left w:w="20" w:type="dxa"/>
              <w:bottom w:w="40" w:type="dxa"/>
              <w:right w:w="0" w:type="dxa"/>
            </w:tcMar>
            <w:vAlign w:val="bottom"/>
          </w:tcPr>
          <w:p w14:paraId="7C208A6D" w14:textId="77777777" w:rsidR="00834A75" w:rsidRDefault="00A6708C">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7C208A6E" w14:textId="77777777" w:rsidR="00834A75" w:rsidRDefault="00A6708C">
            <w:pPr>
              <w:jc w:val="right"/>
              <w:textAlignment w:val="bottom"/>
            </w:pPr>
            <w:r>
              <w:rPr>
                <w:rFonts w:ascii="sans-serif" w:eastAsia="sans-serif" w:hAnsi="sans-serif" w:cs="sans-serif"/>
                <w:color w:val="000000"/>
                <w:sz w:val="20"/>
                <w:szCs w:val="20"/>
              </w:rPr>
              <w:t>1,606 </w:t>
            </w:r>
          </w:p>
        </w:tc>
        <w:tc>
          <w:tcPr>
            <w:tcW w:w="0" w:type="auto"/>
            <w:shd w:val="clear" w:color="auto" w:fill="E2EFD9"/>
            <w:tcMar>
              <w:top w:w="40" w:type="dxa"/>
              <w:left w:w="0" w:type="dxa"/>
              <w:bottom w:w="40" w:type="dxa"/>
              <w:right w:w="20" w:type="dxa"/>
            </w:tcMar>
            <w:vAlign w:val="bottom"/>
          </w:tcPr>
          <w:p w14:paraId="7C208A6F" w14:textId="77777777" w:rsidR="00834A75" w:rsidRDefault="00834A75">
            <w:pPr>
              <w:jc w:val="right"/>
              <w:rPr>
                <w:rFonts w:ascii="宋体"/>
              </w:rPr>
            </w:pPr>
          </w:p>
        </w:tc>
        <w:tc>
          <w:tcPr>
            <w:tcW w:w="0" w:type="auto"/>
            <w:gridSpan w:val="3"/>
            <w:shd w:val="clear" w:color="auto" w:fill="E2EFD9"/>
            <w:tcMar>
              <w:top w:w="0" w:type="dxa"/>
              <w:left w:w="20" w:type="dxa"/>
              <w:bottom w:w="0" w:type="dxa"/>
              <w:right w:w="20" w:type="dxa"/>
            </w:tcMar>
            <w:vAlign w:val="bottom"/>
          </w:tcPr>
          <w:p w14:paraId="7C208A70" w14:textId="77777777" w:rsidR="00834A75" w:rsidRDefault="00834A75">
            <w:pPr>
              <w:rPr>
                <w:rFonts w:ascii="宋体"/>
              </w:rPr>
            </w:pPr>
          </w:p>
        </w:tc>
        <w:tc>
          <w:tcPr>
            <w:tcW w:w="0" w:type="auto"/>
            <w:shd w:val="clear" w:color="auto" w:fill="E2EFD9"/>
            <w:tcMar>
              <w:top w:w="40" w:type="dxa"/>
              <w:left w:w="20" w:type="dxa"/>
              <w:bottom w:w="40" w:type="dxa"/>
              <w:right w:w="0" w:type="dxa"/>
            </w:tcMar>
            <w:vAlign w:val="bottom"/>
          </w:tcPr>
          <w:p w14:paraId="7C208A71" w14:textId="77777777" w:rsidR="00834A75" w:rsidRDefault="00A6708C">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7C208A72" w14:textId="77777777" w:rsidR="00834A75" w:rsidRDefault="00A6708C">
            <w:pPr>
              <w:jc w:val="right"/>
              <w:textAlignment w:val="bottom"/>
            </w:pPr>
            <w:r>
              <w:rPr>
                <w:rFonts w:ascii="sans-serif" w:eastAsia="sans-serif" w:hAnsi="sans-serif" w:cs="sans-serif"/>
                <w:color w:val="000000"/>
                <w:sz w:val="20"/>
                <w:szCs w:val="20"/>
              </w:rPr>
              <w:t>(2,214)</w:t>
            </w:r>
          </w:p>
        </w:tc>
        <w:tc>
          <w:tcPr>
            <w:tcW w:w="0" w:type="auto"/>
            <w:shd w:val="clear" w:color="auto" w:fill="E2EFD9"/>
            <w:tcMar>
              <w:top w:w="40" w:type="dxa"/>
              <w:left w:w="0" w:type="dxa"/>
              <w:bottom w:w="40" w:type="dxa"/>
              <w:right w:w="20" w:type="dxa"/>
            </w:tcMar>
            <w:vAlign w:val="bottom"/>
          </w:tcPr>
          <w:p w14:paraId="7C208A73" w14:textId="77777777" w:rsidR="00834A75" w:rsidRDefault="00834A75">
            <w:pPr>
              <w:jc w:val="right"/>
              <w:rPr>
                <w:rFonts w:ascii="宋体"/>
              </w:rPr>
            </w:pPr>
          </w:p>
        </w:tc>
        <w:tc>
          <w:tcPr>
            <w:tcW w:w="0" w:type="auto"/>
            <w:gridSpan w:val="3"/>
            <w:shd w:val="clear" w:color="auto" w:fill="E2EFD9"/>
            <w:tcMar>
              <w:top w:w="0" w:type="dxa"/>
              <w:left w:w="20" w:type="dxa"/>
              <w:bottom w:w="0" w:type="dxa"/>
              <w:right w:w="20" w:type="dxa"/>
            </w:tcMar>
            <w:vAlign w:val="bottom"/>
          </w:tcPr>
          <w:p w14:paraId="7C208A74" w14:textId="77777777" w:rsidR="00834A75" w:rsidRDefault="00834A75">
            <w:pPr>
              <w:rPr>
                <w:rFonts w:ascii="宋体"/>
              </w:rPr>
            </w:pPr>
          </w:p>
        </w:tc>
        <w:tc>
          <w:tcPr>
            <w:tcW w:w="0" w:type="auto"/>
            <w:shd w:val="clear" w:color="auto" w:fill="E2EFD9"/>
            <w:tcMar>
              <w:top w:w="40" w:type="dxa"/>
              <w:left w:w="20" w:type="dxa"/>
              <w:bottom w:w="40" w:type="dxa"/>
              <w:right w:w="0" w:type="dxa"/>
            </w:tcMar>
            <w:vAlign w:val="bottom"/>
          </w:tcPr>
          <w:p w14:paraId="7C208A75" w14:textId="77777777" w:rsidR="00834A75" w:rsidRDefault="00A6708C">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7C208A76" w14:textId="77777777" w:rsidR="00834A75" w:rsidRDefault="00A6708C">
            <w:pPr>
              <w:jc w:val="right"/>
              <w:textAlignment w:val="bottom"/>
            </w:pPr>
            <w:r>
              <w:rPr>
                <w:rFonts w:ascii="sans-serif" w:eastAsia="sans-serif" w:hAnsi="sans-serif" w:cs="sans-serif"/>
                <w:color w:val="000000"/>
                <w:sz w:val="20"/>
                <w:szCs w:val="20"/>
              </w:rPr>
              <w:t>1,868 </w:t>
            </w:r>
          </w:p>
        </w:tc>
        <w:tc>
          <w:tcPr>
            <w:tcW w:w="0" w:type="auto"/>
            <w:shd w:val="clear" w:color="auto" w:fill="E2EFD9"/>
            <w:tcMar>
              <w:top w:w="40" w:type="dxa"/>
              <w:left w:w="0" w:type="dxa"/>
              <w:bottom w:w="40" w:type="dxa"/>
              <w:right w:w="20" w:type="dxa"/>
            </w:tcMar>
            <w:vAlign w:val="bottom"/>
          </w:tcPr>
          <w:p w14:paraId="7C208A77" w14:textId="77777777" w:rsidR="00834A75" w:rsidRDefault="00834A75">
            <w:pPr>
              <w:jc w:val="right"/>
              <w:rPr>
                <w:rFonts w:ascii="宋体"/>
              </w:rPr>
            </w:pPr>
          </w:p>
        </w:tc>
      </w:tr>
      <w:tr w:rsidR="00834A75" w14:paraId="7C208A81" w14:textId="77777777">
        <w:trPr>
          <w:trHeight w:val="300"/>
        </w:trPr>
        <w:tc>
          <w:tcPr>
            <w:tcW w:w="0" w:type="auto"/>
            <w:gridSpan w:val="3"/>
            <w:shd w:val="clear" w:color="auto" w:fill="FFFFFF"/>
            <w:tcMar>
              <w:top w:w="0" w:type="dxa"/>
              <w:left w:w="20" w:type="dxa"/>
              <w:bottom w:w="0" w:type="dxa"/>
              <w:right w:w="20" w:type="dxa"/>
            </w:tcMar>
            <w:vAlign w:val="bottom"/>
          </w:tcPr>
          <w:p w14:paraId="7C208A79" w14:textId="77777777" w:rsidR="00834A75" w:rsidRDefault="00834A75">
            <w:pPr>
              <w:rPr>
                <w:rFonts w:ascii="宋体"/>
              </w:rPr>
            </w:pPr>
          </w:p>
        </w:tc>
        <w:tc>
          <w:tcPr>
            <w:tcW w:w="0" w:type="auto"/>
            <w:gridSpan w:val="3"/>
            <w:shd w:val="clear" w:color="auto" w:fill="FFFFFF"/>
            <w:tcMar>
              <w:top w:w="0" w:type="dxa"/>
              <w:left w:w="20" w:type="dxa"/>
              <w:bottom w:w="0" w:type="dxa"/>
              <w:right w:w="20" w:type="dxa"/>
            </w:tcMar>
            <w:vAlign w:val="bottom"/>
          </w:tcPr>
          <w:p w14:paraId="7C208A7A" w14:textId="77777777" w:rsidR="00834A75" w:rsidRDefault="00834A75">
            <w:pPr>
              <w:rPr>
                <w:rFonts w:ascii="宋体"/>
              </w:rPr>
            </w:pPr>
          </w:p>
        </w:tc>
        <w:tc>
          <w:tcPr>
            <w:tcW w:w="0" w:type="auto"/>
            <w:gridSpan w:val="3"/>
            <w:shd w:val="clear" w:color="auto" w:fill="FFFFFF"/>
            <w:tcMar>
              <w:top w:w="0" w:type="dxa"/>
              <w:left w:w="20" w:type="dxa"/>
              <w:bottom w:w="0" w:type="dxa"/>
              <w:right w:w="20" w:type="dxa"/>
            </w:tcMar>
            <w:vAlign w:val="bottom"/>
          </w:tcPr>
          <w:p w14:paraId="7C208A7B" w14:textId="77777777" w:rsidR="00834A75" w:rsidRDefault="00834A75">
            <w:pPr>
              <w:rPr>
                <w:rFonts w:ascii="宋体"/>
              </w:rPr>
            </w:pPr>
          </w:p>
        </w:tc>
        <w:tc>
          <w:tcPr>
            <w:tcW w:w="0" w:type="auto"/>
            <w:gridSpan w:val="3"/>
            <w:shd w:val="clear" w:color="auto" w:fill="FFFFFF"/>
            <w:tcMar>
              <w:top w:w="0" w:type="dxa"/>
              <w:left w:w="20" w:type="dxa"/>
              <w:bottom w:w="0" w:type="dxa"/>
              <w:right w:w="20" w:type="dxa"/>
            </w:tcMar>
            <w:vAlign w:val="bottom"/>
          </w:tcPr>
          <w:p w14:paraId="7C208A7C" w14:textId="77777777" w:rsidR="00834A75" w:rsidRDefault="00834A75">
            <w:pPr>
              <w:rPr>
                <w:rFonts w:ascii="宋体"/>
              </w:rPr>
            </w:pPr>
          </w:p>
        </w:tc>
        <w:tc>
          <w:tcPr>
            <w:tcW w:w="0" w:type="auto"/>
            <w:gridSpan w:val="3"/>
            <w:shd w:val="clear" w:color="auto" w:fill="FFFFFF"/>
            <w:tcMar>
              <w:top w:w="0" w:type="dxa"/>
              <w:left w:w="20" w:type="dxa"/>
              <w:bottom w:w="0" w:type="dxa"/>
              <w:right w:w="20" w:type="dxa"/>
            </w:tcMar>
            <w:vAlign w:val="bottom"/>
          </w:tcPr>
          <w:p w14:paraId="7C208A7D" w14:textId="77777777" w:rsidR="00834A75" w:rsidRDefault="00834A75">
            <w:pPr>
              <w:rPr>
                <w:rFonts w:ascii="宋体"/>
              </w:rPr>
            </w:pPr>
          </w:p>
        </w:tc>
        <w:tc>
          <w:tcPr>
            <w:tcW w:w="0" w:type="auto"/>
            <w:gridSpan w:val="3"/>
            <w:shd w:val="clear" w:color="auto" w:fill="FFFFFF"/>
            <w:tcMar>
              <w:top w:w="0" w:type="dxa"/>
              <w:left w:w="20" w:type="dxa"/>
              <w:bottom w:w="0" w:type="dxa"/>
              <w:right w:w="20" w:type="dxa"/>
            </w:tcMar>
            <w:vAlign w:val="bottom"/>
          </w:tcPr>
          <w:p w14:paraId="7C208A7E" w14:textId="77777777" w:rsidR="00834A75" w:rsidRDefault="00834A75">
            <w:pPr>
              <w:rPr>
                <w:rFonts w:ascii="宋体"/>
              </w:rPr>
            </w:pPr>
          </w:p>
        </w:tc>
        <w:tc>
          <w:tcPr>
            <w:tcW w:w="0" w:type="auto"/>
            <w:gridSpan w:val="3"/>
            <w:shd w:val="clear" w:color="auto" w:fill="FFFFFF"/>
            <w:tcMar>
              <w:top w:w="0" w:type="dxa"/>
              <w:left w:w="20" w:type="dxa"/>
              <w:bottom w:w="0" w:type="dxa"/>
              <w:right w:w="20" w:type="dxa"/>
            </w:tcMar>
            <w:vAlign w:val="bottom"/>
          </w:tcPr>
          <w:p w14:paraId="7C208A7F" w14:textId="77777777" w:rsidR="00834A75" w:rsidRDefault="00834A75">
            <w:pPr>
              <w:rPr>
                <w:rFonts w:ascii="宋体"/>
              </w:rPr>
            </w:pPr>
          </w:p>
        </w:tc>
        <w:tc>
          <w:tcPr>
            <w:tcW w:w="0" w:type="auto"/>
            <w:gridSpan w:val="3"/>
            <w:shd w:val="clear" w:color="auto" w:fill="FFFFFF"/>
            <w:tcMar>
              <w:top w:w="0" w:type="dxa"/>
              <w:left w:w="20" w:type="dxa"/>
              <w:bottom w:w="0" w:type="dxa"/>
              <w:right w:w="20" w:type="dxa"/>
            </w:tcMar>
            <w:vAlign w:val="bottom"/>
          </w:tcPr>
          <w:p w14:paraId="7C208A80" w14:textId="77777777" w:rsidR="00834A75" w:rsidRDefault="00834A75">
            <w:pPr>
              <w:rPr>
                <w:rFonts w:ascii="宋体"/>
              </w:rPr>
            </w:pPr>
          </w:p>
        </w:tc>
      </w:tr>
      <w:tr w:rsidR="00834A75" w14:paraId="7C208A8A" w14:textId="77777777">
        <w:tc>
          <w:tcPr>
            <w:tcW w:w="0" w:type="auto"/>
            <w:gridSpan w:val="3"/>
            <w:shd w:val="clear" w:color="auto" w:fill="E2EFD9"/>
            <w:tcMar>
              <w:top w:w="40" w:type="dxa"/>
              <w:left w:w="20" w:type="dxa"/>
              <w:bottom w:w="40" w:type="dxa"/>
              <w:right w:w="20" w:type="dxa"/>
            </w:tcMar>
            <w:vAlign w:val="bottom"/>
          </w:tcPr>
          <w:p w14:paraId="7C208A82" w14:textId="77777777" w:rsidR="00834A75" w:rsidRDefault="00A6708C">
            <w:pPr>
              <w:textAlignment w:val="bottom"/>
            </w:pPr>
            <w:r>
              <w:rPr>
                <w:rFonts w:ascii="sans-serif" w:eastAsia="sans-serif" w:hAnsi="sans-serif" w:cs="sans-serif"/>
                <w:b/>
                <w:bCs/>
                <w:color w:val="000000"/>
                <w:sz w:val="20"/>
                <w:szCs w:val="20"/>
              </w:rPr>
              <w:t>Three Months Ended May 2, 2021</w:t>
            </w:r>
          </w:p>
        </w:tc>
        <w:tc>
          <w:tcPr>
            <w:tcW w:w="0" w:type="auto"/>
            <w:gridSpan w:val="3"/>
            <w:shd w:val="clear" w:color="auto" w:fill="E2EFD9"/>
            <w:tcMar>
              <w:top w:w="40" w:type="dxa"/>
              <w:left w:w="20" w:type="dxa"/>
              <w:bottom w:w="40" w:type="dxa"/>
              <w:right w:w="20" w:type="dxa"/>
            </w:tcMar>
            <w:vAlign w:val="bottom"/>
          </w:tcPr>
          <w:p w14:paraId="7C208A83" w14:textId="77777777" w:rsidR="00834A75" w:rsidRDefault="00A6708C">
            <w:pPr>
              <w:jc w:val="right"/>
              <w:textAlignment w:val="bottom"/>
            </w:pPr>
            <w:r>
              <w:rPr>
                <w:rFonts w:ascii="sans-serif" w:eastAsia="sans-serif" w:hAnsi="sans-serif" w:cs="sans-serif"/>
                <w:color w:val="000000"/>
                <w:sz w:val="20"/>
                <w:szCs w:val="20"/>
              </w:rPr>
              <w:t> </w:t>
            </w:r>
          </w:p>
        </w:tc>
        <w:tc>
          <w:tcPr>
            <w:tcW w:w="0" w:type="auto"/>
            <w:gridSpan w:val="3"/>
            <w:shd w:val="clear" w:color="auto" w:fill="E2EFD9"/>
            <w:tcMar>
              <w:top w:w="0" w:type="dxa"/>
              <w:left w:w="20" w:type="dxa"/>
              <w:bottom w:w="0" w:type="dxa"/>
              <w:right w:w="20" w:type="dxa"/>
            </w:tcMar>
            <w:vAlign w:val="bottom"/>
          </w:tcPr>
          <w:p w14:paraId="7C208A84" w14:textId="77777777" w:rsidR="00834A75" w:rsidRDefault="00834A75">
            <w:pPr>
              <w:rPr>
                <w:rFonts w:ascii="宋体"/>
              </w:rPr>
            </w:pPr>
          </w:p>
        </w:tc>
        <w:tc>
          <w:tcPr>
            <w:tcW w:w="0" w:type="auto"/>
            <w:gridSpan w:val="3"/>
            <w:shd w:val="clear" w:color="auto" w:fill="E2EFD9"/>
            <w:tcMar>
              <w:top w:w="40" w:type="dxa"/>
              <w:left w:w="20" w:type="dxa"/>
              <w:bottom w:w="40" w:type="dxa"/>
              <w:right w:w="20" w:type="dxa"/>
            </w:tcMar>
            <w:vAlign w:val="bottom"/>
          </w:tcPr>
          <w:p w14:paraId="7C208A85" w14:textId="77777777" w:rsidR="00834A75" w:rsidRDefault="00A6708C">
            <w:pPr>
              <w:jc w:val="right"/>
              <w:textAlignment w:val="bottom"/>
            </w:pPr>
            <w:r>
              <w:rPr>
                <w:rFonts w:ascii="sans-serif" w:eastAsia="sans-serif" w:hAnsi="sans-serif" w:cs="sans-serif"/>
                <w:color w:val="000000"/>
                <w:sz w:val="20"/>
                <w:szCs w:val="20"/>
              </w:rPr>
              <w:t> </w:t>
            </w:r>
          </w:p>
        </w:tc>
        <w:tc>
          <w:tcPr>
            <w:tcW w:w="0" w:type="auto"/>
            <w:gridSpan w:val="3"/>
            <w:shd w:val="clear" w:color="auto" w:fill="E2EFD9"/>
            <w:tcMar>
              <w:top w:w="0" w:type="dxa"/>
              <w:left w:w="20" w:type="dxa"/>
              <w:bottom w:w="0" w:type="dxa"/>
              <w:right w:w="20" w:type="dxa"/>
            </w:tcMar>
            <w:vAlign w:val="bottom"/>
          </w:tcPr>
          <w:p w14:paraId="7C208A86" w14:textId="77777777" w:rsidR="00834A75" w:rsidRDefault="00834A75">
            <w:pPr>
              <w:rPr>
                <w:rFonts w:ascii="宋体"/>
              </w:rPr>
            </w:pPr>
          </w:p>
        </w:tc>
        <w:tc>
          <w:tcPr>
            <w:tcW w:w="0" w:type="auto"/>
            <w:gridSpan w:val="3"/>
            <w:shd w:val="clear" w:color="auto" w:fill="E2EFD9"/>
            <w:tcMar>
              <w:top w:w="40" w:type="dxa"/>
              <w:left w:w="20" w:type="dxa"/>
              <w:bottom w:w="40" w:type="dxa"/>
              <w:right w:w="20" w:type="dxa"/>
            </w:tcMar>
            <w:vAlign w:val="bottom"/>
          </w:tcPr>
          <w:p w14:paraId="7C208A87" w14:textId="77777777" w:rsidR="00834A75" w:rsidRDefault="00A6708C">
            <w:pPr>
              <w:jc w:val="right"/>
              <w:textAlignment w:val="bottom"/>
            </w:pPr>
            <w:r>
              <w:rPr>
                <w:rFonts w:ascii="sans-serif" w:eastAsia="sans-serif" w:hAnsi="sans-serif" w:cs="sans-serif"/>
                <w:color w:val="000000"/>
                <w:sz w:val="20"/>
                <w:szCs w:val="20"/>
              </w:rPr>
              <w:t> </w:t>
            </w:r>
          </w:p>
        </w:tc>
        <w:tc>
          <w:tcPr>
            <w:tcW w:w="0" w:type="auto"/>
            <w:gridSpan w:val="3"/>
            <w:shd w:val="clear" w:color="auto" w:fill="E2EFD9"/>
            <w:tcMar>
              <w:top w:w="0" w:type="dxa"/>
              <w:left w:w="20" w:type="dxa"/>
              <w:bottom w:w="0" w:type="dxa"/>
              <w:right w:w="20" w:type="dxa"/>
            </w:tcMar>
            <w:vAlign w:val="bottom"/>
          </w:tcPr>
          <w:p w14:paraId="7C208A88" w14:textId="77777777" w:rsidR="00834A75" w:rsidRDefault="00834A75">
            <w:pPr>
              <w:rPr>
                <w:rFonts w:ascii="宋体"/>
              </w:rPr>
            </w:pPr>
          </w:p>
        </w:tc>
        <w:tc>
          <w:tcPr>
            <w:tcW w:w="0" w:type="auto"/>
            <w:gridSpan w:val="3"/>
            <w:shd w:val="clear" w:color="auto" w:fill="E2EFD9"/>
            <w:tcMar>
              <w:top w:w="40" w:type="dxa"/>
              <w:left w:w="20" w:type="dxa"/>
              <w:bottom w:w="40" w:type="dxa"/>
              <w:right w:w="20" w:type="dxa"/>
            </w:tcMar>
            <w:vAlign w:val="bottom"/>
          </w:tcPr>
          <w:p w14:paraId="7C208A89" w14:textId="77777777" w:rsidR="00834A75" w:rsidRDefault="00A6708C">
            <w:pPr>
              <w:jc w:val="right"/>
              <w:textAlignment w:val="bottom"/>
            </w:pPr>
            <w:r>
              <w:rPr>
                <w:rFonts w:ascii="sans-serif" w:eastAsia="sans-serif" w:hAnsi="sans-serif" w:cs="sans-serif"/>
                <w:color w:val="000000"/>
                <w:sz w:val="20"/>
                <w:szCs w:val="20"/>
              </w:rPr>
              <w:t> </w:t>
            </w:r>
          </w:p>
        </w:tc>
      </w:tr>
      <w:tr w:rsidR="00834A75" w14:paraId="7C208A9B" w14:textId="77777777">
        <w:tc>
          <w:tcPr>
            <w:tcW w:w="0" w:type="auto"/>
            <w:gridSpan w:val="3"/>
            <w:shd w:val="clear" w:color="auto" w:fill="FFFFFF"/>
            <w:tcMar>
              <w:top w:w="40" w:type="dxa"/>
              <w:left w:w="20" w:type="dxa"/>
              <w:bottom w:w="40" w:type="dxa"/>
              <w:right w:w="20" w:type="dxa"/>
            </w:tcMar>
            <w:vAlign w:val="bottom"/>
          </w:tcPr>
          <w:p w14:paraId="7C208A8B" w14:textId="77777777" w:rsidR="00834A75" w:rsidRDefault="00A6708C">
            <w:pPr>
              <w:textAlignment w:val="bottom"/>
            </w:pPr>
            <w:r>
              <w:rPr>
                <w:rFonts w:ascii="sans-serif" w:eastAsia="sans-serif" w:hAnsi="sans-serif" w:cs="sans-serif"/>
                <w:color w:val="000000"/>
                <w:sz w:val="20"/>
                <w:szCs w:val="20"/>
              </w:rPr>
              <w:t>Revenue</w:t>
            </w:r>
          </w:p>
        </w:tc>
        <w:tc>
          <w:tcPr>
            <w:tcW w:w="0" w:type="auto"/>
            <w:shd w:val="clear" w:color="auto" w:fill="FFFFFF"/>
            <w:tcMar>
              <w:top w:w="40" w:type="dxa"/>
              <w:left w:w="20" w:type="dxa"/>
              <w:bottom w:w="40" w:type="dxa"/>
              <w:right w:w="0" w:type="dxa"/>
            </w:tcMar>
            <w:vAlign w:val="bottom"/>
          </w:tcPr>
          <w:p w14:paraId="7C208A8C" w14:textId="77777777" w:rsidR="00834A75" w:rsidRDefault="00A6708C">
            <w:pPr>
              <w:textAlignment w:val="bottom"/>
            </w:pPr>
            <w:r>
              <w:rPr>
                <w:rFonts w:ascii="sans-serif" w:eastAsia="sans-serif" w:hAnsi="sans-serif" w:cs="sans-serif"/>
                <w:color w:val="000000"/>
                <w:sz w:val="20"/>
                <w:szCs w:val="20"/>
              </w:rPr>
              <w:t>$</w:t>
            </w:r>
          </w:p>
        </w:tc>
        <w:tc>
          <w:tcPr>
            <w:tcW w:w="0" w:type="auto"/>
            <w:shd w:val="clear" w:color="auto" w:fill="FFFFFF"/>
            <w:tcMar>
              <w:top w:w="40" w:type="dxa"/>
              <w:left w:w="0" w:type="dxa"/>
              <w:bottom w:w="40" w:type="dxa"/>
              <w:right w:w="0" w:type="dxa"/>
            </w:tcMar>
            <w:vAlign w:val="bottom"/>
          </w:tcPr>
          <w:p w14:paraId="7C208A8D" w14:textId="77777777" w:rsidR="00834A75" w:rsidRDefault="00A6708C">
            <w:pPr>
              <w:jc w:val="right"/>
              <w:textAlignment w:val="bottom"/>
            </w:pPr>
            <w:r>
              <w:rPr>
                <w:rFonts w:ascii="sans-serif" w:eastAsia="sans-serif" w:hAnsi="sans-serif" w:cs="sans-serif"/>
                <w:color w:val="000000"/>
                <w:sz w:val="20"/>
                <w:szCs w:val="20"/>
              </w:rPr>
              <w:t>3,451 </w:t>
            </w:r>
          </w:p>
        </w:tc>
        <w:tc>
          <w:tcPr>
            <w:tcW w:w="0" w:type="auto"/>
            <w:shd w:val="clear" w:color="auto" w:fill="FFFFFF"/>
            <w:tcMar>
              <w:top w:w="40" w:type="dxa"/>
              <w:left w:w="0" w:type="dxa"/>
              <w:bottom w:w="40" w:type="dxa"/>
              <w:right w:w="20" w:type="dxa"/>
            </w:tcMar>
            <w:vAlign w:val="bottom"/>
          </w:tcPr>
          <w:p w14:paraId="7C208A8E" w14:textId="77777777" w:rsidR="00834A75" w:rsidRDefault="00834A75">
            <w:pPr>
              <w:jc w:val="right"/>
              <w:rPr>
                <w:rFonts w:ascii="宋体"/>
              </w:rPr>
            </w:pPr>
          </w:p>
        </w:tc>
        <w:tc>
          <w:tcPr>
            <w:tcW w:w="0" w:type="auto"/>
            <w:gridSpan w:val="3"/>
            <w:shd w:val="clear" w:color="auto" w:fill="FFFFFF"/>
            <w:tcMar>
              <w:top w:w="0" w:type="dxa"/>
              <w:left w:w="20" w:type="dxa"/>
              <w:bottom w:w="0" w:type="dxa"/>
              <w:right w:w="20" w:type="dxa"/>
            </w:tcMar>
            <w:vAlign w:val="bottom"/>
          </w:tcPr>
          <w:p w14:paraId="7C208A8F" w14:textId="77777777" w:rsidR="00834A75" w:rsidRDefault="00834A75">
            <w:pPr>
              <w:rPr>
                <w:rFonts w:ascii="宋体"/>
              </w:rPr>
            </w:pPr>
          </w:p>
        </w:tc>
        <w:tc>
          <w:tcPr>
            <w:tcW w:w="0" w:type="auto"/>
            <w:shd w:val="clear" w:color="auto" w:fill="FFFFFF"/>
            <w:tcMar>
              <w:top w:w="40" w:type="dxa"/>
              <w:left w:w="20" w:type="dxa"/>
              <w:bottom w:w="40" w:type="dxa"/>
              <w:right w:w="0" w:type="dxa"/>
            </w:tcMar>
            <w:vAlign w:val="bottom"/>
          </w:tcPr>
          <w:p w14:paraId="7C208A90" w14:textId="77777777" w:rsidR="00834A75" w:rsidRDefault="00A6708C">
            <w:pPr>
              <w:textAlignment w:val="bottom"/>
            </w:pPr>
            <w:r>
              <w:rPr>
                <w:rFonts w:ascii="sans-serif" w:eastAsia="sans-serif" w:hAnsi="sans-serif" w:cs="sans-serif"/>
                <w:color w:val="000000"/>
                <w:sz w:val="20"/>
                <w:szCs w:val="20"/>
              </w:rPr>
              <w:t>$</w:t>
            </w:r>
          </w:p>
        </w:tc>
        <w:tc>
          <w:tcPr>
            <w:tcW w:w="0" w:type="auto"/>
            <w:shd w:val="clear" w:color="auto" w:fill="FFFFFF"/>
            <w:tcMar>
              <w:top w:w="40" w:type="dxa"/>
              <w:left w:w="0" w:type="dxa"/>
              <w:bottom w:w="40" w:type="dxa"/>
              <w:right w:w="0" w:type="dxa"/>
            </w:tcMar>
            <w:vAlign w:val="bottom"/>
          </w:tcPr>
          <w:p w14:paraId="7C208A91" w14:textId="77777777" w:rsidR="00834A75" w:rsidRDefault="00A6708C">
            <w:pPr>
              <w:jc w:val="right"/>
              <w:textAlignment w:val="bottom"/>
            </w:pPr>
            <w:r>
              <w:rPr>
                <w:rFonts w:ascii="sans-serif" w:eastAsia="sans-serif" w:hAnsi="sans-serif" w:cs="sans-serif"/>
                <w:color w:val="000000"/>
                <w:sz w:val="20"/>
                <w:szCs w:val="20"/>
              </w:rPr>
              <w:t>2,210 </w:t>
            </w:r>
          </w:p>
        </w:tc>
        <w:tc>
          <w:tcPr>
            <w:tcW w:w="0" w:type="auto"/>
            <w:shd w:val="clear" w:color="auto" w:fill="FFFFFF"/>
            <w:tcMar>
              <w:top w:w="40" w:type="dxa"/>
              <w:left w:w="0" w:type="dxa"/>
              <w:bottom w:w="40" w:type="dxa"/>
              <w:right w:w="20" w:type="dxa"/>
            </w:tcMar>
            <w:vAlign w:val="bottom"/>
          </w:tcPr>
          <w:p w14:paraId="7C208A92" w14:textId="77777777" w:rsidR="00834A75" w:rsidRDefault="00834A75">
            <w:pPr>
              <w:jc w:val="right"/>
              <w:rPr>
                <w:rFonts w:ascii="宋体"/>
              </w:rPr>
            </w:pPr>
          </w:p>
        </w:tc>
        <w:tc>
          <w:tcPr>
            <w:tcW w:w="0" w:type="auto"/>
            <w:gridSpan w:val="3"/>
            <w:shd w:val="clear" w:color="auto" w:fill="FFFFFF"/>
            <w:tcMar>
              <w:top w:w="0" w:type="dxa"/>
              <w:left w:w="20" w:type="dxa"/>
              <w:bottom w:w="0" w:type="dxa"/>
              <w:right w:w="20" w:type="dxa"/>
            </w:tcMar>
            <w:vAlign w:val="bottom"/>
          </w:tcPr>
          <w:p w14:paraId="7C208A93" w14:textId="77777777" w:rsidR="00834A75" w:rsidRDefault="00834A75">
            <w:pPr>
              <w:rPr>
                <w:rFonts w:ascii="宋体"/>
              </w:rPr>
            </w:pPr>
          </w:p>
        </w:tc>
        <w:tc>
          <w:tcPr>
            <w:tcW w:w="0" w:type="auto"/>
            <w:shd w:val="clear" w:color="auto" w:fill="FFFFFF"/>
            <w:tcMar>
              <w:top w:w="40" w:type="dxa"/>
              <w:left w:w="20" w:type="dxa"/>
              <w:bottom w:w="40" w:type="dxa"/>
              <w:right w:w="0" w:type="dxa"/>
            </w:tcMar>
            <w:vAlign w:val="bottom"/>
          </w:tcPr>
          <w:p w14:paraId="7C208A94" w14:textId="77777777" w:rsidR="00834A75" w:rsidRDefault="00A6708C">
            <w:pPr>
              <w:textAlignment w:val="bottom"/>
            </w:pPr>
            <w:r>
              <w:rPr>
                <w:rFonts w:ascii="sans-serif" w:eastAsia="sans-serif" w:hAnsi="sans-serif" w:cs="sans-serif"/>
                <w:color w:val="000000"/>
                <w:sz w:val="20"/>
                <w:szCs w:val="20"/>
              </w:rPr>
              <w:t>$</w:t>
            </w:r>
          </w:p>
        </w:tc>
        <w:tc>
          <w:tcPr>
            <w:tcW w:w="0" w:type="auto"/>
            <w:shd w:val="clear" w:color="auto" w:fill="FFFFFF"/>
            <w:tcMar>
              <w:top w:w="40" w:type="dxa"/>
              <w:left w:w="0" w:type="dxa"/>
              <w:bottom w:w="40" w:type="dxa"/>
              <w:right w:w="0" w:type="dxa"/>
            </w:tcMar>
            <w:vAlign w:val="bottom"/>
          </w:tcPr>
          <w:p w14:paraId="7C208A95" w14:textId="77777777" w:rsidR="00834A75" w:rsidRDefault="00A6708C">
            <w:pPr>
              <w:jc w:val="right"/>
              <w:textAlignment w:val="bottom"/>
            </w:pPr>
            <w:r>
              <w:rPr>
                <w:rFonts w:ascii="sans-serif" w:eastAsia="sans-serif" w:hAnsi="sans-serif" w:cs="sans-serif"/>
                <w:color w:val="000000"/>
                <w:sz w:val="20"/>
                <w:szCs w:val="20"/>
              </w:rPr>
              <w:t>— </w:t>
            </w:r>
          </w:p>
        </w:tc>
        <w:tc>
          <w:tcPr>
            <w:tcW w:w="0" w:type="auto"/>
            <w:shd w:val="clear" w:color="auto" w:fill="FFFFFF"/>
            <w:tcMar>
              <w:top w:w="40" w:type="dxa"/>
              <w:left w:w="0" w:type="dxa"/>
              <w:bottom w:w="40" w:type="dxa"/>
              <w:right w:w="20" w:type="dxa"/>
            </w:tcMar>
            <w:vAlign w:val="bottom"/>
          </w:tcPr>
          <w:p w14:paraId="7C208A96" w14:textId="77777777" w:rsidR="00834A75" w:rsidRDefault="00834A75">
            <w:pPr>
              <w:jc w:val="right"/>
              <w:rPr>
                <w:rFonts w:ascii="宋体"/>
              </w:rPr>
            </w:pPr>
          </w:p>
        </w:tc>
        <w:tc>
          <w:tcPr>
            <w:tcW w:w="0" w:type="auto"/>
            <w:gridSpan w:val="3"/>
            <w:shd w:val="clear" w:color="auto" w:fill="FFFFFF"/>
            <w:tcMar>
              <w:top w:w="0" w:type="dxa"/>
              <w:left w:w="20" w:type="dxa"/>
              <w:bottom w:w="0" w:type="dxa"/>
              <w:right w:w="20" w:type="dxa"/>
            </w:tcMar>
            <w:vAlign w:val="bottom"/>
          </w:tcPr>
          <w:p w14:paraId="7C208A97" w14:textId="77777777" w:rsidR="00834A75" w:rsidRDefault="00834A75">
            <w:pPr>
              <w:rPr>
                <w:rFonts w:ascii="宋体"/>
              </w:rPr>
            </w:pPr>
          </w:p>
        </w:tc>
        <w:tc>
          <w:tcPr>
            <w:tcW w:w="0" w:type="auto"/>
            <w:shd w:val="clear" w:color="auto" w:fill="FFFFFF"/>
            <w:tcMar>
              <w:top w:w="40" w:type="dxa"/>
              <w:left w:w="20" w:type="dxa"/>
              <w:bottom w:w="40" w:type="dxa"/>
              <w:right w:w="0" w:type="dxa"/>
            </w:tcMar>
            <w:vAlign w:val="bottom"/>
          </w:tcPr>
          <w:p w14:paraId="7C208A98" w14:textId="77777777" w:rsidR="00834A75" w:rsidRDefault="00A6708C">
            <w:pPr>
              <w:textAlignment w:val="bottom"/>
            </w:pPr>
            <w:r>
              <w:rPr>
                <w:rFonts w:ascii="sans-serif" w:eastAsia="sans-serif" w:hAnsi="sans-serif" w:cs="sans-serif"/>
                <w:color w:val="000000"/>
                <w:sz w:val="20"/>
                <w:szCs w:val="20"/>
              </w:rPr>
              <w:t>$</w:t>
            </w:r>
          </w:p>
        </w:tc>
        <w:tc>
          <w:tcPr>
            <w:tcW w:w="0" w:type="auto"/>
            <w:shd w:val="clear" w:color="auto" w:fill="FFFFFF"/>
            <w:tcMar>
              <w:top w:w="40" w:type="dxa"/>
              <w:left w:w="0" w:type="dxa"/>
              <w:bottom w:w="40" w:type="dxa"/>
              <w:right w:w="0" w:type="dxa"/>
            </w:tcMar>
            <w:vAlign w:val="bottom"/>
          </w:tcPr>
          <w:p w14:paraId="7C208A99" w14:textId="77777777" w:rsidR="00834A75" w:rsidRDefault="00A6708C">
            <w:pPr>
              <w:jc w:val="right"/>
              <w:textAlignment w:val="bottom"/>
            </w:pPr>
            <w:r>
              <w:rPr>
                <w:rFonts w:ascii="sans-serif" w:eastAsia="sans-serif" w:hAnsi="sans-serif" w:cs="sans-serif"/>
                <w:color w:val="000000"/>
                <w:sz w:val="20"/>
                <w:szCs w:val="20"/>
              </w:rPr>
              <w:t>5,661 </w:t>
            </w:r>
          </w:p>
        </w:tc>
        <w:tc>
          <w:tcPr>
            <w:tcW w:w="0" w:type="auto"/>
            <w:shd w:val="clear" w:color="auto" w:fill="FFFFFF"/>
            <w:tcMar>
              <w:top w:w="40" w:type="dxa"/>
              <w:left w:w="0" w:type="dxa"/>
              <w:bottom w:w="40" w:type="dxa"/>
              <w:right w:w="20" w:type="dxa"/>
            </w:tcMar>
            <w:vAlign w:val="bottom"/>
          </w:tcPr>
          <w:p w14:paraId="7C208A9A" w14:textId="77777777" w:rsidR="00834A75" w:rsidRDefault="00834A75">
            <w:pPr>
              <w:jc w:val="right"/>
              <w:rPr>
                <w:rFonts w:ascii="宋体"/>
              </w:rPr>
            </w:pPr>
          </w:p>
        </w:tc>
      </w:tr>
      <w:tr w:rsidR="00834A75" w14:paraId="7C208AA4" w14:textId="77777777">
        <w:trPr>
          <w:hidden/>
        </w:trPr>
        <w:tc>
          <w:tcPr>
            <w:tcW w:w="0" w:type="auto"/>
            <w:gridSpan w:val="3"/>
            <w:shd w:val="clear" w:color="auto" w:fill="auto"/>
            <w:vAlign w:val="bottom"/>
          </w:tcPr>
          <w:p w14:paraId="7C208A9C" w14:textId="77777777" w:rsidR="00834A75" w:rsidRDefault="00834A75">
            <w:pPr>
              <w:rPr>
                <w:rFonts w:ascii="宋体"/>
                <w:vanish/>
              </w:rPr>
            </w:pPr>
          </w:p>
        </w:tc>
        <w:tc>
          <w:tcPr>
            <w:tcW w:w="0" w:type="auto"/>
            <w:gridSpan w:val="3"/>
            <w:shd w:val="clear" w:color="auto" w:fill="auto"/>
            <w:vAlign w:val="bottom"/>
          </w:tcPr>
          <w:p w14:paraId="7C208A9D" w14:textId="77777777" w:rsidR="00834A75" w:rsidRDefault="00834A75">
            <w:pPr>
              <w:rPr>
                <w:rFonts w:ascii="宋体"/>
                <w:vanish/>
              </w:rPr>
            </w:pPr>
          </w:p>
        </w:tc>
        <w:tc>
          <w:tcPr>
            <w:tcW w:w="0" w:type="auto"/>
            <w:gridSpan w:val="3"/>
            <w:shd w:val="clear" w:color="auto" w:fill="auto"/>
            <w:vAlign w:val="bottom"/>
          </w:tcPr>
          <w:p w14:paraId="7C208A9E" w14:textId="77777777" w:rsidR="00834A75" w:rsidRDefault="00834A75">
            <w:pPr>
              <w:rPr>
                <w:rFonts w:ascii="宋体"/>
                <w:vanish/>
              </w:rPr>
            </w:pPr>
          </w:p>
        </w:tc>
        <w:tc>
          <w:tcPr>
            <w:tcW w:w="0" w:type="auto"/>
            <w:gridSpan w:val="3"/>
            <w:shd w:val="clear" w:color="auto" w:fill="auto"/>
            <w:vAlign w:val="bottom"/>
          </w:tcPr>
          <w:p w14:paraId="7C208A9F" w14:textId="77777777" w:rsidR="00834A75" w:rsidRDefault="00834A75">
            <w:pPr>
              <w:rPr>
                <w:rFonts w:ascii="宋体"/>
                <w:vanish/>
              </w:rPr>
            </w:pPr>
          </w:p>
        </w:tc>
        <w:tc>
          <w:tcPr>
            <w:tcW w:w="0" w:type="auto"/>
            <w:gridSpan w:val="3"/>
            <w:shd w:val="clear" w:color="auto" w:fill="auto"/>
            <w:vAlign w:val="bottom"/>
          </w:tcPr>
          <w:p w14:paraId="7C208AA0" w14:textId="77777777" w:rsidR="00834A75" w:rsidRDefault="00834A75">
            <w:pPr>
              <w:rPr>
                <w:rFonts w:ascii="宋体"/>
                <w:vanish/>
              </w:rPr>
            </w:pPr>
          </w:p>
        </w:tc>
        <w:tc>
          <w:tcPr>
            <w:tcW w:w="0" w:type="auto"/>
            <w:gridSpan w:val="3"/>
            <w:shd w:val="clear" w:color="auto" w:fill="auto"/>
            <w:vAlign w:val="bottom"/>
          </w:tcPr>
          <w:p w14:paraId="7C208AA1" w14:textId="77777777" w:rsidR="00834A75" w:rsidRDefault="00834A75">
            <w:pPr>
              <w:rPr>
                <w:rFonts w:ascii="宋体"/>
                <w:vanish/>
              </w:rPr>
            </w:pPr>
          </w:p>
        </w:tc>
        <w:tc>
          <w:tcPr>
            <w:tcW w:w="0" w:type="auto"/>
            <w:gridSpan w:val="3"/>
            <w:shd w:val="clear" w:color="auto" w:fill="auto"/>
            <w:vAlign w:val="bottom"/>
          </w:tcPr>
          <w:p w14:paraId="7C208AA2" w14:textId="77777777" w:rsidR="00834A75" w:rsidRDefault="00834A75">
            <w:pPr>
              <w:rPr>
                <w:rFonts w:ascii="宋体"/>
                <w:vanish/>
              </w:rPr>
            </w:pPr>
          </w:p>
        </w:tc>
        <w:tc>
          <w:tcPr>
            <w:tcW w:w="0" w:type="auto"/>
            <w:gridSpan w:val="3"/>
            <w:shd w:val="clear" w:color="auto" w:fill="auto"/>
            <w:vAlign w:val="bottom"/>
          </w:tcPr>
          <w:p w14:paraId="7C208AA3" w14:textId="77777777" w:rsidR="00834A75" w:rsidRDefault="00834A75">
            <w:pPr>
              <w:rPr>
                <w:rFonts w:ascii="宋体"/>
                <w:vanish/>
              </w:rPr>
            </w:pPr>
          </w:p>
        </w:tc>
      </w:tr>
      <w:tr w:rsidR="00834A75" w14:paraId="7C208AB5" w14:textId="77777777">
        <w:tc>
          <w:tcPr>
            <w:tcW w:w="0" w:type="auto"/>
            <w:gridSpan w:val="3"/>
            <w:shd w:val="clear" w:color="auto" w:fill="E2EFD9"/>
            <w:tcMar>
              <w:top w:w="40" w:type="dxa"/>
              <w:left w:w="20" w:type="dxa"/>
              <w:bottom w:w="40" w:type="dxa"/>
              <w:right w:w="20" w:type="dxa"/>
            </w:tcMar>
            <w:vAlign w:val="bottom"/>
          </w:tcPr>
          <w:p w14:paraId="7C208AA5" w14:textId="77777777" w:rsidR="00834A75" w:rsidRDefault="00A6708C">
            <w:pPr>
              <w:textAlignment w:val="bottom"/>
            </w:pPr>
            <w:r>
              <w:rPr>
                <w:rFonts w:ascii="sans-serif" w:eastAsia="sans-serif" w:hAnsi="sans-serif" w:cs="sans-serif"/>
                <w:color w:val="000000"/>
                <w:sz w:val="20"/>
                <w:szCs w:val="20"/>
              </w:rPr>
              <w:t>Operating income (loss)</w:t>
            </w:r>
          </w:p>
        </w:tc>
        <w:tc>
          <w:tcPr>
            <w:tcW w:w="0" w:type="auto"/>
            <w:shd w:val="clear" w:color="auto" w:fill="E2EFD9"/>
            <w:tcMar>
              <w:top w:w="40" w:type="dxa"/>
              <w:left w:w="20" w:type="dxa"/>
              <w:bottom w:w="40" w:type="dxa"/>
              <w:right w:w="0" w:type="dxa"/>
            </w:tcMar>
            <w:vAlign w:val="bottom"/>
          </w:tcPr>
          <w:p w14:paraId="7C208AA6" w14:textId="77777777" w:rsidR="00834A75" w:rsidRDefault="00A6708C">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7C208AA7" w14:textId="77777777" w:rsidR="00834A75" w:rsidRDefault="00A6708C">
            <w:pPr>
              <w:jc w:val="right"/>
              <w:textAlignment w:val="bottom"/>
            </w:pPr>
            <w:r>
              <w:rPr>
                <w:rFonts w:ascii="sans-serif" w:eastAsia="sans-serif" w:hAnsi="sans-serif" w:cs="sans-serif"/>
                <w:color w:val="000000"/>
                <w:sz w:val="20"/>
                <w:szCs w:val="20"/>
              </w:rPr>
              <w:t>1,786 </w:t>
            </w:r>
          </w:p>
        </w:tc>
        <w:tc>
          <w:tcPr>
            <w:tcW w:w="0" w:type="auto"/>
            <w:shd w:val="clear" w:color="auto" w:fill="E2EFD9"/>
            <w:tcMar>
              <w:top w:w="40" w:type="dxa"/>
              <w:left w:w="0" w:type="dxa"/>
              <w:bottom w:w="40" w:type="dxa"/>
              <w:right w:w="20" w:type="dxa"/>
            </w:tcMar>
            <w:vAlign w:val="bottom"/>
          </w:tcPr>
          <w:p w14:paraId="7C208AA8" w14:textId="77777777" w:rsidR="00834A75" w:rsidRDefault="00834A75">
            <w:pPr>
              <w:jc w:val="right"/>
              <w:rPr>
                <w:rFonts w:ascii="宋体"/>
              </w:rPr>
            </w:pPr>
          </w:p>
        </w:tc>
        <w:tc>
          <w:tcPr>
            <w:tcW w:w="0" w:type="auto"/>
            <w:gridSpan w:val="3"/>
            <w:shd w:val="clear" w:color="auto" w:fill="E2EFD9"/>
            <w:tcMar>
              <w:top w:w="0" w:type="dxa"/>
              <w:left w:w="20" w:type="dxa"/>
              <w:bottom w:w="0" w:type="dxa"/>
              <w:right w:w="20" w:type="dxa"/>
            </w:tcMar>
            <w:vAlign w:val="bottom"/>
          </w:tcPr>
          <w:p w14:paraId="7C208AA9" w14:textId="77777777" w:rsidR="00834A75" w:rsidRDefault="00834A75">
            <w:pPr>
              <w:rPr>
                <w:rFonts w:ascii="宋体"/>
              </w:rPr>
            </w:pPr>
          </w:p>
        </w:tc>
        <w:tc>
          <w:tcPr>
            <w:tcW w:w="0" w:type="auto"/>
            <w:shd w:val="clear" w:color="auto" w:fill="E2EFD9"/>
            <w:tcMar>
              <w:top w:w="40" w:type="dxa"/>
              <w:left w:w="20" w:type="dxa"/>
              <w:bottom w:w="40" w:type="dxa"/>
              <w:right w:w="0" w:type="dxa"/>
            </w:tcMar>
            <w:vAlign w:val="bottom"/>
          </w:tcPr>
          <w:p w14:paraId="7C208AAA" w14:textId="77777777" w:rsidR="00834A75" w:rsidRDefault="00A6708C">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7C208AAB" w14:textId="77777777" w:rsidR="00834A75" w:rsidRDefault="00A6708C">
            <w:pPr>
              <w:jc w:val="right"/>
              <w:textAlignment w:val="bottom"/>
            </w:pPr>
            <w:r>
              <w:rPr>
                <w:rFonts w:ascii="sans-serif" w:eastAsia="sans-serif" w:hAnsi="sans-serif" w:cs="sans-serif"/>
                <w:color w:val="000000"/>
                <w:sz w:val="20"/>
                <w:szCs w:val="20"/>
              </w:rPr>
              <w:t>861 </w:t>
            </w:r>
          </w:p>
        </w:tc>
        <w:tc>
          <w:tcPr>
            <w:tcW w:w="0" w:type="auto"/>
            <w:shd w:val="clear" w:color="auto" w:fill="E2EFD9"/>
            <w:tcMar>
              <w:top w:w="40" w:type="dxa"/>
              <w:left w:w="0" w:type="dxa"/>
              <w:bottom w:w="40" w:type="dxa"/>
              <w:right w:w="20" w:type="dxa"/>
            </w:tcMar>
            <w:vAlign w:val="bottom"/>
          </w:tcPr>
          <w:p w14:paraId="7C208AAC" w14:textId="77777777" w:rsidR="00834A75" w:rsidRDefault="00834A75">
            <w:pPr>
              <w:jc w:val="right"/>
              <w:rPr>
                <w:rFonts w:ascii="宋体"/>
              </w:rPr>
            </w:pPr>
          </w:p>
        </w:tc>
        <w:tc>
          <w:tcPr>
            <w:tcW w:w="0" w:type="auto"/>
            <w:gridSpan w:val="3"/>
            <w:shd w:val="clear" w:color="auto" w:fill="E2EFD9"/>
            <w:tcMar>
              <w:top w:w="0" w:type="dxa"/>
              <w:left w:w="20" w:type="dxa"/>
              <w:bottom w:w="0" w:type="dxa"/>
              <w:right w:w="20" w:type="dxa"/>
            </w:tcMar>
            <w:vAlign w:val="bottom"/>
          </w:tcPr>
          <w:p w14:paraId="7C208AAD" w14:textId="77777777" w:rsidR="00834A75" w:rsidRDefault="00834A75">
            <w:pPr>
              <w:rPr>
                <w:rFonts w:ascii="宋体"/>
              </w:rPr>
            </w:pPr>
          </w:p>
        </w:tc>
        <w:tc>
          <w:tcPr>
            <w:tcW w:w="0" w:type="auto"/>
            <w:shd w:val="clear" w:color="auto" w:fill="E2EFD9"/>
            <w:tcMar>
              <w:top w:w="40" w:type="dxa"/>
              <w:left w:w="20" w:type="dxa"/>
              <w:bottom w:w="40" w:type="dxa"/>
              <w:right w:w="0" w:type="dxa"/>
            </w:tcMar>
            <w:vAlign w:val="bottom"/>
          </w:tcPr>
          <w:p w14:paraId="7C208AAE" w14:textId="77777777" w:rsidR="00834A75" w:rsidRDefault="00A6708C">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7C208AAF" w14:textId="77777777" w:rsidR="00834A75" w:rsidRDefault="00A6708C">
            <w:pPr>
              <w:jc w:val="right"/>
              <w:textAlignment w:val="bottom"/>
            </w:pPr>
            <w:r>
              <w:rPr>
                <w:rFonts w:ascii="sans-serif" w:eastAsia="sans-serif" w:hAnsi="sans-serif" w:cs="sans-serif"/>
                <w:color w:val="000000"/>
                <w:sz w:val="20"/>
                <w:szCs w:val="20"/>
              </w:rPr>
              <w:t>(691)</w:t>
            </w:r>
          </w:p>
        </w:tc>
        <w:tc>
          <w:tcPr>
            <w:tcW w:w="0" w:type="auto"/>
            <w:shd w:val="clear" w:color="auto" w:fill="E2EFD9"/>
            <w:tcMar>
              <w:top w:w="40" w:type="dxa"/>
              <w:left w:w="0" w:type="dxa"/>
              <w:bottom w:w="40" w:type="dxa"/>
              <w:right w:w="20" w:type="dxa"/>
            </w:tcMar>
            <w:vAlign w:val="bottom"/>
          </w:tcPr>
          <w:p w14:paraId="7C208AB0" w14:textId="77777777" w:rsidR="00834A75" w:rsidRDefault="00834A75">
            <w:pPr>
              <w:jc w:val="right"/>
              <w:rPr>
                <w:rFonts w:ascii="宋体"/>
              </w:rPr>
            </w:pPr>
          </w:p>
        </w:tc>
        <w:tc>
          <w:tcPr>
            <w:tcW w:w="0" w:type="auto"/>
            <w:gridSpan w:val="3"/>
            <w:shd w:val="clear" w:color="auto" w:fill="E2EFD9"/>
            <w:tcMar>
              <w:top w:w="0" w:type="dxa"/>
              <w:left w:w="20" w:type="dxa"/>
              <w:bottom w:w="0" w:type="dxa"/>
              <w:right w:w="20" w:type="dxa"/>
            </w:tcMar>
            <w:vAlign w:val="bottom"/>
          </w:tcPr>
          <w:p w14:paraId="7C208AB1" w14:textId="77777777" w:rsidR="00834A75" w:rsidRDefault="00834A75">
            <w:pPr>
              <w:rPr>
                <w:rFonts w:ascii="宋体"/>
              </w:rPr>
            </w:pPr>
          </w:p>
        </w:tc>
        <w:tc>
          <w:tcPr>
            <w:tcW w:w="0" w:type="auto"/>
            <w:shd w:val="clear" w:color="auto" w:fill="E2EFD9"/>
            <w:tcMar>
              <w:top w:w="40" w:type="dxa"/>
              <w:left w:w="20" w:type="dxa"/>
              <w:bottom w:w="40" w:type="dxa"/>
              <w:right w:w="0" w:type="dxa"/>
            </w:tcMar>
            <w:vAlign w:val="bottom"/>
          </w:tcPr>
          <w:p w14:paraId="7C208AB2" w14:textId="77777777" w:rsidR="00834A75" w:rsidRDefault="00A6708C">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7C208AB3" w14:textId="77777777" w:rsidR="00834A75" w:rsidRDefault="00A6708C">
            <w:pPr>
              <w:jc w:val="right"/>
              <w:textAlignment w:val="bottom"/>
            </w:pPr>
            <w:r>
              <w:rPr>
                <w:rFonts w:ascii="sans-serif" w:eastAsia="sans-serif" w:hAnsi="sans-serif" w:cs="sans-serif"/>
                <w:color w:val="000000"/>
                <w:sz w:val="20"/>
                <w:szCs w:val="20"/>
              </w:rPr>
              <w:t>1,956 </w:t>
            </w:r>
          </w:p>
        </w:tc>
        <w:tc>
          <w:tcPr>
            <w:tcW w:w="0" w:type="auto"/>
            <w:shd w:val="clear" w:color="auto" w:fill="E2EFD9"/>
            <w:tcMar>
              <w:top w:w="40" w:type="dxa"/>
              <w:left w:w="0" w:type="dxa"/>
              <w:bottom w:w="40" w:type="dxa"/>
              <w:right w:w="20" w:type="dxa"/>
            </w:tcMar>
            <w:vAlign w:val="bottom"/>
          </w:tcPr>
          <w:p w14:paraId="7C208AB4" w14:textId="77777777" w:rsidR="00834A75" w:rsidRDefault="00834A75">
            <w:pPr>
              <w:jc w:val="right"/>
              <w:rPr>
                <w:rFonts w:ascii="宋体"/>
              </w:rPr>
            </w:pPr>
          </w:p>
        </w:tc>
      </w:tr>
      <w:tr w:rsidR="00834A75" w14:paraId="7C208ABE" w14:textId="77777777">
        <w:trPr>
          <w:hidden/>
        </w:trPr>
        <w:tc>
          <w:tcPr>
            <w:tcW w:w="0" w:type="auto"/>
            <w:gridSpan w:val="3"/>
            <w:shd w:val="clear" w:color="auto" w:fill="auto"/>
            <w:vAlign w:val="bottom"/>
          </w:tcPr>
          <w:p w14:paraId="7C208AB6" w14:textId="77777777" w:rsidR="00834A75" w:rsidRDefault="00834A75">
            <w:pPr>
              <w:rPr>
                <w:rFonts w:ascii="宋体"/>
                <w:vanish/>
              </w:rPr>
            </w:pPr>
          </w:p>
        </w:tc>
        <w:tc>
          <w:tcPr>
            <w:tcW w:w="0" w:type="auto"/>
            <w:gridSpan w:val="3"/>
            <w:shd w:val="clear" w:color="auto" w:fill="auto"/>
            <w:vAlign w:val="bottom"/>
          </w:tcPr>
          <w:p w14:paraId="7C208AB7" w14:textId="77777777" w:rsidR="00834A75" w:rsidRDefault="00834A75">
            <w:pPr>
              <w:rPr>
                <w:rFonts w:ascii="宋体"/>
                <w:vanish/>
              </w:rPr>
            </w:pPr>
          </w:p>
        </w:tc>
        <w:tc>
          <w:tcPr>
            <w:tcW w:w="0" w:type="auto"/>
            <w:gridSpan w:val="3"/>
            <w:shd w:val="clear" w:color="auto" w:fill="auto"/>
            <w:vAlign w:val="bottom"/>
          </w:tcPr>
          <w:p w14:paraId="7C208AB8" w14:textId="77777777" w:rsidR="00834A75" w:rsidRDefault="00834A75">
            <w:pPr>
              <w:rPr>
                <w:rFonts w:ascii="宋体"/>
                <w:vanish/>
              </w:rPr>
            </w:pPr>
          </w:p>
        </w:tc>
        <w:tc>
          <w:tcPr>
            <w:tcW w:w="0" w:type="auto"/>
            <w:gridSpan w:val="3"/>
            <w:shd w:val="clear" w:color="auto" w:fill="auto"/>
            <w:vAlign w:val="bottom"/>
          </w:tcPr>
          <w:p w14:paraId="7C208AB9" w14:textId="77777777" w:rsidR="00834A75" w:rsidRDefault="00834A75">
            <w:pPr>
              <w:rPr>
                <w:rFonts w:ascii="宋体"/>
                <w:vanish/>
              </w:rPr>
            </w:pPr>
          </w:p>
        </w:tc>
        <w:tc>
          <w:tcPr>
            <w:tcW w:w="0" w:type="auto"/>
            <w:gridSpan w:val="3"/>
            <w:shd w:val="clear" w:color="auto" w:fill="auto"/>
            <w:vAlign w:val="bottom"/>
          </w:tcPr>
          <w:p w14:paraId="7C208ABA" w14:textId="77777777" w:rsidR="00834A75" w:rsidRDefault="00834A75">
            <w:pPr>
              <w:rPr>
                <w:rFonts w:ascii="宋体"/>
                <w:vanish/>
              </w:rPr>
            </w:pPr>
          </w:p>
        </w:tc>
        <w:tc>
          <w:tcPr>
            <w:tcW w:w="0" w:type="auto"/>
            <w:gridSpan w:val="3"/>
            <w:shd w:val="clear" w:color="auto" w:fill="auto"/>
            <w:vAlign w:val="bottom"/>
          </w:tcPr>
          <w:p w14:paraId="7C208ABB" w14:textId="77777777" w:rsidR="00834A75" w:rsidRDefault="00834A75">
            <w:pPr>
              <w:rPr>
                <w:rFonts w:ascii="宋体"/>
                <w:vanish/>
              </w:rPr>
            </w:pPr>
          </w:p>
        </w:tc>
        <w:tc>
          <w:tcPr>
            <w:tcW w:w="0" w:type="auto"/>
            <w:gridSpan w:val="3"/>
            <w:shd w:val="clear" w:color="auto" w:fill="auto"/>
            <w:vAlign w:val="bottom"/>
          </w:tcPr>
          <w:p w14:paraId="7C208ABC" w14:textId="77777777" w:rsidR="00834A75" w:rsidRDefault="00834A75">
            <w:pPr>
              <w:rPr>
                <w:rFonts w:ascii="宋体"/>
                <w:vanish/>
              </w:rPr>
            </w:pPr>
          </w:p>
        </w:tc>
        <w:tc>
          <w:tcPr>
            <w:tcW w:w="0" w:type="auto"/>
            <w:gridSpan w:val="3"/>
            <w:shd w:val="clear" w:color="auto" w:fill="auto"/>
            <w:vAlign w:val="bottom"/>
          </w:tcPr>
          <w:p w14:paraId="7C208ABD" w14:textId="77777777" w:rsidR="00834A75" w:rsidRDefault="00834A75">
            <w:pPr>
              <w:rPr>
                <w:rFonts w:ascii="宋体"/>
                <w:vanish/>
              </w:rPr>
            </w:pPr>
          </w:p>
        </w:tc>
      </w:tr>
      <w:tr w:rsidR="00834A75" w14:paraId="7C208AC7" w14:textId="77777777">
        <w:trPr>
          <w:hidden/>
        </w:trPr>
        <w:tc>
          <w:tcPr>
            <w:tcW w:w="0" w:type="auto"/>
            <w:gridSpan w:val="3"/>
            <w:shd w:val="clear" w:color="auto" w:fill="auto"/>
            <w:vAlign w:val="bottom"/>
          </w:tcPr>
          <w:p w14:paraId="7C208ABF" w14:textId="77777777" w:rsidR="00834A75" w:rsidRDefault="00834A75">
            <w:pPr>
              <w:rPr>
                <w:rFonts w:ascii="宋体"/>
                <w:vanish/>
              </w:rPr>
            </w:pPr>
          </w:p>
        </w:tc>
        <w:tc>
          <w:tcPr>
            <w:tcW w:w="0" w:type="auto"/>
            <w:gridSpan w:val="3"/>
            <w:shd w:val="clear" w:color="auto" w:fill="auto"/>
            <w:vAlign w:val="bottom"/>
          </w:tcPr>
          <w:p w14:paraId="7C208AC0" w14:textId="77777777" w:rsidR="00834A75" w:rsidRDefault="00834A75">
            <w:pPr>
              <w:rPr>
                <w:rFonts w:ascii="宋体"/>
                <w:vanish/>
              </w:rPr>
            </w:pPr>
          </w:p>
        </w:tc>
        <w:tc>
          <w:tcPr>
            <w:tcW w:w="0" w:type="auto"/>
            <w:gridSpan w:val="3"/>
            <w:shd w:val="clear" w:color="auto" w:fill="auto"/>
            <w:vAlign w:val="bottom"/>
          </w:tcPr>
          <w:p w14:paraId="7C208AC1" w14:textId="77777777" w:rsidR="00834A75" w:rsidRDefault="00834A75">
            <w:pPr>
              <w:rPr>
                <w:rFonts w:ascii="宋体"/>
                <w:vanish/>
              </w:rPr>
            </w:pPr>
          </w:p>
        </w:tc>
        <w:tc>
          <w:tcPr>
            <w:tcW w:w="0" w:type="auto"/>
            <w:gridSpan w:val="3"/>
            <w:shd w:val="clear" w:color="auto" w:fill="auto"/>
            <w:vAlign w:val="bottom"/>
          </w:tcPr>
          <w:p w14:paraId="7C208AC2" w14:textId="77777777" w:rsidR="00834A75" w:rsidRDefault="00834A75">
            <w:pPr>
              <w:rPr>
                <w:rFonts w:ascii="宋体"/>
                <w:vanish/>
              </w:rPr>
            </w:pPr>
          </w:p>
        </w:tc>
        <w:tc>
          <w:tcPr>
            <w:tcW w:w="0" w:type="auto"/>
            <w:gridSpan w:val="3"/>
            <w:shd w:val="clear" w:color="auto" w:fill="auto"/>
            <w:vAlign w:val="bottom"/>
          </w:tcPr>
          <w:p w14:paraId="7C208AC3" w14:textId="77777777" w:rsidR="00834A75" w:rsidRDefault="00834A75">
            <w:pPr>
              <w:rPr>
                <w:rFonts w:ascii="宋体"/>
                <w:vanish/>
              </w:rPr>
            </w:pPr>
          </w:p>
        </w:tc>
        <w:tc>
          <w:tcPr>
            <w:tcW w:w="0" w:type="auto"/>
            <w:gridSpan w:val="3"/>
            <w:shd w:val="clear" w:color="auto" w:fill="auto"/>
            <w:vAlign w:val="bottom"/>
          </w:tcPr>
          <w:p w14:paraId="7C208AC4" w14:textId="77777777" w:rsidR="00834A75" w:rsidRDefault="00834A75">
            <w:pPr>
              <w:rPr>
                <w:rFonts w:ascii="宋体"/>
                <w:vanish/>
              </w:rPr>
            </w:pPr>
          </w:p>
        </w:tc>
        <w:tc>
          <w:tcPr>
            <w:tcW w:w="0" w:type="auto"/>
            <w:gridSpan w:val="3"/>
            <w:shd w:val="clear" w:color="auto" w:fill="auto"/>
            <w:vAlign w:val="bottom"/>
          </w:tcPr>
          <w:p w14:paraId="7C208AC5" w14:textId="77777777" w:rsidR="00834A75" w:rsidRDefault="00834A75">
            <w:pPr>
              <w:rPr>
                <w:rFonts w:ascii="宋体"/>
                <w:vanish/>
              </w:rPr>
            </w:pPr>
          </w:p>
        </w:tc>
        <w:tc>
          <w:tcPr>
            <w:tcW w:w="0" w:type="auto"/>
            <w:gridSpan w:val="3"/>
            <w:shd w:val="clear" w:color="auto" w:fill="auto"/>
            <w:vAlign w:val="bottom"/>
          </w:tcPr>
          <w:p w14:paraId="7C208AC6" w14:textId="77777777" w:rsidR="00834A75" w:rsidRDefault="00834A75">
            <w:pPr>
              <w:rPr>
                <w:rFonts w:ascii="宋体"/>
                <w:vanish/>
              </w:rPr>
            </w:pPr>
          </w:p>
        </w:tc>
      </w:tr>
      <w:tr w:rsidR="00834A75" w14:paraId="7C208AD0" w14:textId="77777777">
        <w:trPr>
          <w:hidden/>
        </w:trPr>
        <w:tc>
          <w:tcPr>
            <w:tcW w:w="0" w:type="auto"/>
            <w:gridSpan w:val="3"/>
            <w:shd w:val="clear" w:color="auto" w:fill="auto"/>
            <w:vAlign w:val="bottom"/>
          </w:tcPr>
          <w:p w14:paraId="7C208AC8" w14:textId="77777777" w:rsidR="00834A75" w:rsidRDefault="00834A75">
            <w:pPr>
              <w:rPr>
                <w:rFonts w:ascii="宋体"/>
                <w:vanish/>
              </w:rPr>
            </w:pPr>
          </w:p>
        </w:tc>
        <w:tc>
          <w:tcPr>
            <w:tcW w:w="0" w:type="auto"/>
            <w:gridSpan w:val="3"/>
            <w:shd w:val="clear" w:color="auto" w:fill="auto"/>
            <w:vAlign w:val="bottom"/>
          </w:tcPr>
          <w:p w14:paraId="7C208AC9" w14:textId="77777777" w:rsidR="00834A75" w:rsidRDefault="00834A75">
            <w:pPr>
              <w:rPr>
                <w:rFonts w:ascii="宋体"/>
                <w:vanish/>
              </w:rPr>
            </w:pPr>
          </w:p>
        </w:tc>
        <w:tc>
          <w:tcPr>
            <w:tcW w:w="0" w:type="auto"/>
            <w:gridSpan w:val="3"/>
            <w:shd w:val="clear" w:color="auto" w:fill="auto"/>
            <w:vAlign w:val="bottom"/>
          </w:tcPr>
          <w:p w14:paraId="7C208ACA" w14:textId="77777777" w:rsidR="00834A75" w:rsidRDefault="00834A75">
            <w:pPr>
              <w:rPr>
                <w:rFonts w:ascii="宋体"/>
                <w:vanish/>
              </w:rPr>
            </w:pPr>
          </w:p>
        </w:tc>
        <w:tc>
          <w:tcPr>
            <w:tcW w:w="0" w:type="auto"/>
            <w:gridSpan w:val="3"/>
            <w:shd w:val="clear" w:color="auto" w:fill="auto"/>
            <w:vAlign w:val="bottom"/>
          </w:tcPr>
          <w:p w14:paraId="7C208ACB" w14:textId="77777777" w:rsidR="00834A75" w:rsidRDefault="00834A75">
            <w:pPr>
              <w:rPr>
                <w:rFonts w:ascii="宋体"/>
                <w:vanish/>
              </w:rPr>
            </w:pPr>
          </w:p>
        </w:tc>
        <w:tc>
          <w:tcPr>
            <w:tcW w:w="0" w:type="auto"/>
            <w:gridSpan w:val="3"/>
            <w:shd w:val="clear" w:color="auto" w:fill="auto"/>
            <w:vAlign w:val="bottom"/>
          </w:tcPr>
          <w:p w14:paraId="7C208ACC" w14:textId="77777777" w:rsidR="00834A75" w:rsidRDefault="00834A75">
            <w:pPr>
              <w:rPr>
                <w:rFonts w:ascii="宋体"/>
                <w:vanish/>
              </w:rPr>
            </w:pPr>
          </w:p>
        </w:tc>
        <w:tc>
          <w:tcPr>
            <w:tcW w:w="0" w:type="auto"/>
            <w:gridSpan w:val="3"/>
            <w:shd w:val="clear" w:color="auto" w:fill="auto"/>
            <w:vAlign w:val="bottom"/>
          </w:tcPr>
          <w:p w14:paraId="7C208ACD" w14:textId="77777777" w:rsidR="00834A75" w:rsidRDefault="00834A75">
            <w:pPr>
              <w:rPr>
                <w:rFonts w:ascii="宋体"/>
                <w:vanish/>
              </w:rPr>
            </w:pPr>
          </w:p>
        </w:tc>
        <w:tc>
          <w:tcPr>
            <w:tcW w:w="0" w:type="auto"/>
            <w:gridSpan w:val="3"/>
            <w:shd w:val="clear" w:color="auto" w:fill="auto"/>
            <w:vAlign w:val="bottom"/>
          </w:tcPr>
          <w:p w14:paraId="7C208ACE" w14:textId="77777777" w:rsidR="00834A75" w:rsidRDefault="00834A75">
            <w:pPr>
              <w:rPr>
                <w:rFonts w:ascii="宋体"/>
                <w:vanish/>
              </w:rPr>
            </w:pPr>
          </w:p>
        </w:tc>
        <w:tc>
          <w:tcPr>
            <w:tcW w:w="0" w:type="auto"/>
            <w:gridSpan w:val="3"/>
            <w:shd w:val="clear" w:color="auto" w:fill="auto"/>
            <w:vAlign w:val="bottom"/>
          </w:tcPr>
          <w:p w14:paraId="7C208ACF" w14:textId="77777777" w:rsidR="00834A75" w:rsidRDefault="00834A75">
            <w:pPr>
              <w:rPr>
                <w:rFonts w:ascii="宋体"/>
                <w:vanish/>
              </w:rPr>
            </w:pPr>
          </w:p>
        </w:tc>
      </w:tr>
      <w:tr w:rsidR="00834A75" w14:paraId="7C208AD9" w14:textId="77777777">
        <w:trPr>
          <w:hidden/>
        </w:trPr>
        <w:tc>
          <w:tcPr>
            <w:tcW w:w="0" w:type="auto"/>
            <w:gridSpan w:val="3"/>
            <w:shd w:val="clear" w:color="auto" w:fill="auto"/>
            <w:vAlign w:val="bottom"/>
          </w:tcPr>
          <w:p w14:paraId="7C208AD1" w14:textId="77777777" w:rsidR="00834A75" w:rsidRDefault="00834A75">
            <w:pPr>
              <w:rPr>
                <w:rFonts w:ascii="宋体"/>
                <w:vanish/>
              </w:rPr>
            </w:pPr>
          </w:p>
        </w:tc>
        <w:tc>
          <w:tcPr>
            <w:tcW w:w="0" w:type="auto"/>
            <w:gridSpan w:val="3"/>
            <w:shd w:val="clear" w:color="auto" w:fill="auto"/>
            <w:vAlign w:val="bottom"/>
          </w:tcPr>
          <w:p w14:paraId="7C208AD2" w14:textId="77777777" w:rsidR="00834A75" w:rsidRDefault="00834A75">
            <w:pPr>
              <w:rPr>
                <w:rFonts w:ascii="宋体"/>
                <w:vanish/>
              </w:rPr>
            </w:pPr>
          </w:p>
        </w:tc>
        <w:tc>
          <w:tcPr>
            <w:tcW w:w="0" w:type="auto"/>
            <w:gridSpan w:val="3"/>
            <w:shd w:val="clear" w:color="auto" w:fill="auto"/>
            <w:vAlign w:val="bottom"/>
          </w:tcPr>
          <w:p w14:paraId="7C208AD3" w14:textId="77777777" w:rsidR="00834A75" w:rsidRDefault="00834A75">
            <w:pPr>
              <w:rPr>
                <w:rFonts w:ascii="宋体"/>
                <w:vanish/>
              </w:rPr>
            </w:pPr>
          </w:p>
        </w:tc>
        <w:tc>
          <w:tcPr>
            <w:tcW w:w="0" w:type="auto"/>
            <w:gridSpan w:val="3"/>
            <w:shd w:val="clear" w:color="auto" w:fill="auto"/>
            <w:vAlign w:val="bottom"/>
          </w:tcPr>
          <w:p w14:paraId="7C208AD4" w14:textId="77777777" w:rsidR="00834A75" w:rsidRDefault="00834A75">
            <w:pPr>
              <w:rPr>
                <w:rFonts w:ascii="宋体"/>
                <w:vanish/>
              </w:rPr>
            </w:pPr>
          </w:p>
        </w:tc>
        <w:tc>
          <w:tcPr>
            <w:tcW w:w="0" w:type="auto"/>
            <w:gridSpan w:val="3"/>
            <w:shd w:val="clear" w:color="auto" w:fill="auto"/>
            <w:vAlign w:val="bottom"/>
          </w:tcPr>
          <w:p w14:paraId="7C208AD5" w14:textId="77777777" w:rsidR="00834A75" w:rsidRDefault="00834A75">
            <w:pPr>
              <w:rPr>
                <w:rFonts w:ascii="宋体"/>
                <w:vanish/>
              </w:rPr>
            </w:pPr>
          </w:p>
        </w:tc>
        <w:tc>
          <w:tcPr>
            <w:tcW w:w="0" w:type="auto"/>
            <w:gridSpan w:val="3"/>
            <w:shd w:val="clear" w:color="auto" w:fill="auto"/>
            <w:vAlign w:val="bottom"/>
          </w:tcPr>
          <w:p w14:paraId="7C208AD6" w14:textId="77777777" w:rsidR="00834A75" w:rsidRDefault="00834A75">
            <w:pPr>
              <w:rPr>
                <w:rFonts w:ascii="宋体"/>
                <w:vanish/>
              </w:rPr>
            </w:pPr>
          </w:p>
        </w:tc>
        <w:tc>
          <w:tcPr>
            <w:tcW w:w="0" w:type="auto"/>
            <w:gridSpan w:val="3"/>
            <w:shd w:val="clear" w:color="auto" w:fill="auto"/>
            <w:vAlign w:val="bottom"/>
          </w:tcPr>
          <w:p w14:paraId="7C208AD7" w14:textId="77777777" w:rsidR="00834A75" w:rsidRDefault="00834A75">
            <w:pPr>
              <w:rPr>
                <w:rFonts w:ascii="宋体"/>
                <w:vanish/>
              </w:rPr>
            </w:pPr>
          </w:p>
        </w:tc>
        <w:tc>
          <w:tcPr>
            <w:tcW w:w="0" w:type="auto"/>
            <w:gridSpan w:val="3"/>
            <w:shd w:val="clear" w:color="auto" w:fill="auto"/>
            <w:vAlign w:val="bottom"/>
          </w:tcPr>
          <w:p w14:paraId="7C208AD8" w14:textId="77777777" w:rsidR="00834A75" w:rsidRDefault="00834A75">
            <w:pPr>
              <w:rPr>
                <w:rFonts w:ascii="宋体"/>
                <w:vanish/>
              </w:rPr>
            </w:pPr>
          </w:p>
        </w:tc>
      </w:tr>
      <w:tr w:rsidR="00834A75" w14:paraId="7C208AE2" w14:textId="77777777">
        <w:trPr>
          <w:hidden/>
        </w:trPr>
        <w:tc>
          <w:tcPr>
            <w:tcW w:w="0" w:type="auto"/>
            <w:gridSpan w:val="3"/>
            <w:shd w:val="clear" w:color="auto" w:fill="auto"/>
            <w:vAlign w:val="bottom"/>
          </w:tcPr>
          <w:p w14:paraId="7C208ADA" w14:textId="77777777" w:rsidR="00834A75" w:rsidRDefault="00834A75">
            <w:pPr>
              <w:rPr>
                <w:rFonts w:ascii="宋体"/>
                <w:vanish/>
              </w:rPr>
            </w:pPr>
          </w:p>
        </w:tc>
        <w:tc>
          <w:tcPr>
            <w:tcW w:w="0" w:type="auto"/>
            <w:gridSpan w:val="3"/>
            <w:shd w:val="clear" w:color="auto" w:fill="auto"/>
            <w:vAlign w:val="bottom"/>
          </w:tcPr>
          <w:p w14:paraId="7C208ADB" w14:textId="77777777" w:rsidR="00834A75" w:rsidRDefault="00834A75">
            <w:pPr>
              <w:rPr>
                <w:rFonts w:ascii="宋体"/>
                <w:vanish/>
              </w:rPr>
            </w:pPr>
          </w:p>
        </w:tc>
        <w:tc>
          <w:tcPr>
            <w:tcW w:w="0" w:type="auto"/>
            <w:gridSpan w:val="3"/>
            <w:shd w:val="clear" w:color="auto" w:fill="auto"/>
            <w:vAlign w:val="bottom"/>
          </w:tcPr>
          <w:p w14:paraId="7C208ADC" w14:textId="77777777" w:rsidR="00834A75" w:rsidRDefault="00834A75">
            <w:pPr>
              <w:rPr>
                <w:rFonts w:ascii="宋体"/>
                <w:vanish/>
              </w:rPr>
            </w:pPr>
          </w:p>
        </w:tc>
        <w:tc>
          <w:tcPr>
            <w:tcW w:w="0" w:type="auto"/>
            <w:gridSpan w:val="3"/>
            <w:shd w:val="clear" w:color="auto" w:fill="auto"/>
            <w:vAlign w:val="bottom"/>
          </w:tcPr>
          <w:p w14:paraId="7C208ADD" w14:textId="77777777" w:rsidR="00834A75" w:rsidRDefault="00834A75">
            <w:pPr>
              <w:rPr>
                <w:rFonts w:ascii="宋体"/>
                <w:vanish/>
              </w:rPr>
            </w:pPr>
          </w:p>
        </w:tc>
        <w:tc>
          <w:tcPr>
            <w:tcW w:w="0" w:type="auto"/>
            <w:gridSpan w:val="3"/>
            <w:shd w:val="clear" w:color="auto" w:fill="auto"/>
            <w:vAlign w:val="bottom"/>
          </w:tcPr>
          <w:p w14:paraId="7C208ADE" w14:textId="77777777" w:rsidR="00834A75" w:rsidRDefault="00834A75">
            <w:pPr>
              <w:rPr>
                <w:rFonts w:ascii="宋体"/>
                <w:vanish/>
              </w:rPr>
            </w:pPr>
          </w:p>
        </w:tc>
        <w:tc>
          <w:tcPr>
            <w:tcW w:w="0" w:type="auto"/>
            <w:gridSpan w:val="3"/>
            <w:shd w:val="clear" w:color="auto" w:fill="auto"/>
            <w:vAlign w:val="bottom"/>
          </w:tcPr>
          <w:p w14:paraId="7C208ADF" w14:textId="77777777" w:rsidR="00834A75" w:rsidRDefault="00834A75">
            <w:pPr>
              <w:rPr>
                <w:rFonts w:ascii="宋体"/>
                <w:vanish/>
              </w:rPr>
            </w:pPr>
          </w:p>
        </w:tc>
        <w:tc>
          <w:tcPr>
            <w:tcW w:w="0" w:type="auto"/>
            <w:gridSpan w:val="3"/>
            <w:shd w:val="clear" w:color="auto" w:fill="auto"/>
            <w:vAlign w:val="bottom"/>
          </w:tcPr>
          <w:p w14:paraId="7C208AE0" w14:textId="77777777" w:rsidR="00834A75" w:rsidRDefault="00834A75">
            <w:pPr>
              <w:rPr>
                <w:rFonts w:ascii="宋体"/>
                <w:vanish/>
              </w:rPr>
            </w:pPr>
          </w:p>
        </w:tc>
        <w:tc>
          <w:tcPr>
            <w:tcW w:w="0" w:type="auto"/>
            <w:gridSpan w:val="3"/>
            <w:shd w:val="clear" w:color="auto" w:fill="auto"/>
            <w:vAlign w:val="bottom"/>
          </w:tcPr>
          <w:p w14:paraId="7C208AE1" w14:textId="77777777" w:rsidR="00834A75" w:rsidRDefault="00834A75">
            <w:pPr>
              <w:rPr>
                <w:rFonts w:ascii="宋体"/>
                <w:vanish/>
              </w:rPr>
            </w:pPr>
          </w:p>
        </w:tc>
      </w:tr>
      <w:tr w:rsidR="00834A75" w14:paraId="7C208AEB" w14:textId="77777777">
        <w:trPr>
          <w:hidden/>
        </w:trPr>
        <w:tc>
          <w:tcPr>
            <w:tcW w:w="0" w:type="auto"/>
            <w:gridSpan w:val="3"/>
            <w:shd w:val="clear" w:color="auto" w:fill="auto"/>
            <w:vAlign w:val="bottom"/>
          </w:tcPr>
          <w:p w14:paraId="7C208AE3" w14:textId="77777777" w:rsidR="00834A75" w:rsidRDefault="00834A75">
            <w:pPr>
              <w:rPr>
                <w:rFonts w:ascii="宋体"/>
                <w:vanish/>
              </w:rPr>
            </w:pPr>
          </w:p>
        </w:tc>
        <w:tc>
          <w:tcPr>
            <w:tcW w:w="0" w:type="auto"/>
            <w:gridSpan w:val="3"/>
            <w:shd w:val="clear" w:color="auto" w:fill="auto"/>
            <w:vAlign w:val="bottom"/>
          </w:tcPr>
          <w:p w14:paraId="7C208AE4" w14:textId="77777777" w:rsidR="00834A75" w:rsidRDefault="00834A75">
            <w:pPr>
              <w:rPr>
                <w:rFonts w:ascii="宋体"/>
                <w:vanish/>
              </w:rPr>
            </w:pPr>
          </w:p>
        </w:tc>
        <w:tc>
          <w:tcPr>
            <w:tcW w:w="0" w:type="auto"/>
            <w:gridSpan w:val="3"/>
            <w:shd w:val="clear" w:color="auto" w:fill="auto"/>
            <w:vAlign w:val="bottom"/>
          </w:tcPr>
          <w:p w14:paraId="7C208AE5" w14:textId="77777777" w:rsidR="00834A75" w:rsidRDefault="00834A75">
            <w:pPr>
              <w:rPr>
                <w:rFonts w:ascii="宋体"/>
                <w:vanish/>
              </w:rPr>
            </w:pPr>
          </w:p>
        </w:tc>
        <w:tc>
          <w:tcPr>
            <w:tcW w:w="0" w:type="auto"/>
            <w:gridSpan w:val="3"/>
            <w:shd w:val="clear" w:color="auto" w:fill="auto"/>
            <w:vAlign w:val="bottom"/>
          </w:tcPr>
          <w:p w14:paraId="7C208AE6" w14:textId="77777777" w:rsidR="00834A75" w:rsidRDefault="00834A75">
            <w:pPr>
              <w:rPr>
                <w:rFonts w:ascii="宋体"/>
                <w:vanish/>
              </w:rPr>
            </w:pPr>
          </w:p>
        </w:tc>
        <w:tc>
          <w:tcPr>
            <w:tcW w:w="0" w:type="auto"/>
            <w:gridSpan w:val="3"/>
            <w:shd w:val="clear" w:color="auto" w:fill="auto"/>
            <w:vAlign w:val="bottom"/>
          </w:tcPr>
          <w:p w14:paraId="7C208AE7" w14:textId="77777777" w:rsidR="00834A75" w:rsidRDefault="00834A75">
            <w:pPr>
              <w:rPr>
                <w:rFonts w:ascii="宋体"/>
                <w:vanish/>
              </w:rPr>
            </w:pPr>
          </w:p>
        </w:tc>
        <w:tc>
          <w:tcPr>
            <w:tcW w:w="0" w:type="auto"/>
            <w:gridSpan w:val="3"/>
            <w:shd w:val="clear" w:color="auto" w:fill="auto"/>
            <w:vAlign w:val="bottom"/>
          </w:tcPr>
          <w:p w14:paraId="7C208AE8" w14:textId="77777777" w:rsidR="00834A75" w:rsidRDefault="00834A75">
            <w:pPr>
              <w:rPr>
                <w:rFonts w:ascii="宋体"/>
                <w:vanish/>
              </w:rPr>
            </w:pPr>
          </w:p>
        </w:tc>
        <w:tc>
          <w:tcPr>
            <w:tcW w:w="0" w:type="auto"/>
            <w:gridSpan w:val="3"/>
            <w:shd w:val="clear" w:color="auto" w:fill="auto"/>
            <w:vAlign w:val="bottom"/>
          </w:tcPr>
          <w:p w14:paraId="7C208AE9" w14:textId="77777777" w:rsidR="00834A75" w:rsidRDefault="00834A75">
            <w:pPr>
              <w:rPr>
                <w:rFonts w:ascii="宋体"/>
                <w:vanish/>
              </w:rPr>
            </w:pPr>
          </w:p>
        </w:tc>
        <w:tc>
          <w:tcPr>
            <w:tcW w:w="0" w:type="auto"/>
            <w:gridSpan w:val="3"/>
            <w:shd w:val="clear" w:color="auto" w:fill="auto"/>
            <w:vAlign w:val="bottom"/>
          </w:tcPr>
          <w:p w14:paraId="7C208AEA" w14:textId="77777777" w:rsidR="00834A75" w:rsidRDefault="00834A75">
            <w:pPr>
              <w:rPr>
                <w:rFonts w:ascii="宋体"/>
                <w:vanish/>
              </w:rPr>
            </w:pPr>
          </w:p>
        </w:tc>
      </w:tr>
      <w:tr w:rsidR="00834A75" w14:paraId="7C208AF4" w14:textId="77777777">
        <w:trPr>
          <w:hidden/>
        </w:trPr>
        <w:tc>
          <w:tcPr>
            <w:tcW w:w="0" w:type="auto"/>
            <w:gridSpan w:val="3"/>
            <w:shd w:val="clear" w:color="auto" w:fill="auto"/>
            <w:vAlign w:val="bottom"/>
          </w:tcPr>
          <w:p w14:paraId="7C208AEC" w14:textId="77777777" w:rsidR="00834A75" w:rsidRDefault="00834A75">
            <w:pPr>
              <w:rPr>
                <w:rFonts w:ascii="宋体"/>
                <w:vanish/>
              </w:rPr>
            </w:pPr>
          </w:p>
        </w:tc>
        <w:tc>
          <w:tcPr>
            <w:tcW w:w="0" w:type="auto"/>
            <w:gridSpan w:val="3"/>
            <w:shd w:val="clear" w:color="auto" w:fill="auto"/>
            <w:vAlign w:val="bottom"/>
          </w:tcPr>
          <w:p w14:paraId="7C208AED" w14:textId="77777777" w:rsidR="00834A75" w:rsidRDefault="00834A75">
            <w:pPr>
              <w:rPr>
                <w:rFonts w:ascii="宋体"/>
                <w:vanish/>
              </w:rPr>
            </w:pPr>
          </w:p>
        </w:tc>
        <w:tc>
          <w:tcPr>
            <w:tcW w:w="0" w:type="auto"/>
            <w:gridSpan w:val="3"/>
            <w:shd w:val="clear" w:color="auto" w:fill="auto"/>
            <w:vAlign w:val="bottom"/>
          </w:tcPr>
          <w:p w14:paraId="7C208AEE" w14:textId="77777777" w:rsidR="00834A75" w:rsidRDefault="00834A75">
            <w:pPr>
              <w:rPr>
                <w:rFonts w:ascii="宋体"/>
                <w:vanish/>
              </w:rPr>
            </w:pPr>
          </w:p>
        </w:tc>
        <w:tc>
          <w:tcPr>
            <w:tcW w:w="0" w:type="auto"/>
            <w:gridSpan w:val="3"/>
            <w:shd w:val="clear" w:color="auto" w:fill="auto"/>
            <w:vAlign w:val="bottom"/>
          </w:tcPr>
          <w:p w14:paraId="7C208AEF" w14:textId="77777777" w:rsidR="00834A75" w:rsidRDefault="00834A75">
            <w:pPr>
              <w:rPr>
                <w:rFonts w:ascii="宋体"/>
                <w:vanish/>
              </w:rPr>
            </w:pPr>
          </w:p>
        </w:tc>
        <w:tc>
          <w:tcPr>
            <w:tcW w:w="0" w:type="auto"/>
            <w:gridSpan w:val="3"/>
            <w:shd w:val="clear" w:color="auto" w:fill="auto"/>
            <w:vAlign w:val="bottom"/>
          </w:tcPr>
          <w:p w14:paraId="7C208AF0" w14:textId="77777777" w:rsidR="00834A75" w:rsidRDefault="00834A75">
            <w:pPr>
              <w:rPr>
                <w:rFonts w:ascii="宋体"/>
                <w:vanish/>
              </w:rPr>
            </w:pPr>
          </w:p>
        </w:tc>
        <w:tc>
          <w:tcPr>
            <w:tcW w:w="0" w:type="auto"/>
            <w:gridSpan w:val="3"/>
            <w:shd w:val="clear" w:color="auto" w:fill="auto"/>
            <w:vAlign w:val="bottom"/>
          </w:tcPr>
          <w:p w14:paraId="7C208AF1" w14:textId="77777777" w:rsidR="00834A75" w:rsidRDefault="00834A75">
            <w:pPr>
              <w:rPr>
                <w:rFonts w:ascii="宋体"/>
                <w:vanish/>
              </w:rPr>
            </w:pPr>
          </w:p>
        </w:tc>
        <w:tc>
          <w:tcPr>
            <w:tcW w:w="0" w:type="auto"/>
            <w:gridSpan w:val="3"/>
            <w:shd w:val="clear" w:color="auto" w:fill="auto"/>
            <w:vAlign w:val="bottom"/>
          </w:tcPr>
          <w:p w14:paraId="7C208AF2" w14:textId="77777777" w:rsidR="00834A75" w:rsidRDefault="00834A75">
            <w:pPr>
              <w:rPr>
                <w:rFonts w:ascii="宋体"/>
                <w:vanish/>
              </w:rPr>
            </w:pPr>
          </w:p>
        </w:tc>
        <w:tc>
          <w:tcPr>
            <w:tcW w:w="0" w:type="auto"/>
            <w:gridSpan w:val="3"/>
            <w:shd w:val="clear" w:color="auto" w:fill="auto"/>
            <w:vAlign w:val="bottom"/>
          </w:tcPr>
          <w:p w14:paraId="7C208AF3" w14:textId="77777777" w:rsidR="00834A75" w:rsidRDefault="00834A75">
            <w:pPr>
              <w:rPr>
                <w:rFonts w:ascii="宋体"/>
                <w:vanish/>
              </w:rPr>
            </w:pPr>
          </w:p>
        </w:tc>
      </w:tr>
      <w:tr w:rsidR="00834A75" w14:paraId="7C208AFD" w14:textId="77777777">
        <w:trPr>
          <w:hidden/>
        </w:trPr>
        <w:tc>
          <w:tcPr>
            <w:tcW w:w="0" w:type="auto"/>
            <w:gridSpan w:val="3"/>
            <w:shd w:val="clear" w:color="auto" w:fill="auto"/>
            <w:vAlign w:val="bottom"/>
          </w:tcPr>
          <w:p w14:paraId="7C208AF5" w14:textId="77777777" w:rsidR="00834A75" w:rsidRDefault="00834A75">
            <w:pPr>
              <w:rPr>
                <w:rFonts w:ascii="宋体"/>
                <w:vanish/>
              </w:rPr>
            </w:pPr>
          </w:p>
        </w:tc>
        <w:tc>
          <w:tcPr>
            <w:tcW w:w="0" w:type="auto"/>
            <w:gridSpan w:val="3"/>
            <w:shd w:val="clear" w:color="auto" w:fill="auto"/>
            <w:vAlign w:val="bottom"/>
          </w:tcPr>
          <w:p w14:paraId="7C208AF6" w14:textId="77777777" w:rsidR="00834A75" w:rsidRDefault="00834A75">
            <w:pPr>
              <w:rPr>
                <w:rFonts w:ascii="宋体"/>
                <w:vanish/>
              </w:rPr>
            </w:pPr>
          </w:p>
        </w:tc>
        <w:tc>
          <w:tcPr>
            <w:tcW w:w="0" w:type="auto"/>
            <w:gridSpan w:val="3"/>
            <w:shd w:val="clear" w:color="auto" w:fill="auto"/>
            <w:vAlign w:val="bottom"/>
          </w:tcPr>
          <w:p w14:paraId="7C208AF7" w14:textId="77777777" w:rsidR="00834A75" w:rsidRDefault="00834A75">
            <w:pPr>
              <w:rPr>
                <w:rFonts w:ascii="宋体"/>
                <w:vanish/>
              </w:rPr>
            </w:pPr>
          </w:p>
        </w:tc>
        <w:tc>
          <w:tcPr>
            <w:tcW w:w="0" w:type="auto"/>
            <w:gridSpan w:val="3"/>
            <w:shd w:val="clear" w:color="auto" w:fill="auto"/>
            <w:vAlign w:val="bottom"/>
          </w:tcPr>
          <w:p w14:paraId="7C208AF8" w14:textId="77777777" w:rsidR="00834A75" w:rsidRDefault="00834A75">
            <w:pPr>
              <w:rPr>
                <w:rFonts w:ascii="宋体"/>
                <w:vanish/>
              </w:rPr>
            </w:pPr>
          </w:p>
        </w:tc>
        <w:tc>
          <w:tcPr>
            <w:tcW w:w="0" w:type="auto"/>
            <w:gridSpan w:val="3"/>
            <w:shd w:val="clear" w:color="auto" w:fill="auto"/>
            <w:vAlign w:val="bottom"/>
          </w:tcPr>
          <w:p w14:paraId="7C208AF9" w14:textId="77777777" w:rsidR="00834A75" w:rsidRDefault="00834A75">
            <w:pPr>
              <w:rPr>
                <w:rFonts w:ascii="宋体"/>
                <w:vanish/>
              </w:rPr>
            </w:pPr>
          </w:p>
        </w:tc>
        <w:tc>
          <w:tcPr>
            <w:tcW w:w="0" w:type="auto"/>
            <w:gridSpan w:val="3"/>
            <w:shd w:val="clear" w:color="auto" w:fill="auto"/>
            <w:vAlign w:val="bottom"/>
          </w:tcPr>
          <w:p w14:paraId="7C208AFA" w14:textId="77777777" w:rsidR="00834A75" w:rsidRDefault="00834A75">
            <w:pPr>
              <w:rPr>
                <w:rFonts w:ascii="宋体"/>
                <w:vanish/>
              </w:rPr>
            </w:pPr>
          </w:p>
        </w:tc>
        <w:tc>
          <w:tcPr>
            <w:tcW w:w="0" w:type="auto"/>
            <w:gridSpan w:val="3"/>
            <w:shd w:val="clear" w:color="auto" w:fill="auto"/>
            <w:vAlign w:val="bottom"/>
          </w:tcPr>
          <w:p w14:paraId="7C208AFB" w14:textId="77777777" w:rsidR="00834A75" w:rsidRDefault="00834A75">
            <w:pPr>
              <w:rPr>
                <w:rFonts w:ascii="宋体"/>
                <w:vanish/>
              </w:rPr>
            </w:pPr>
          </w:p>
        </w:tc>
        <w:tc>
          <w:tcPr>
            <w:tcW w:w="0" w:type="auto"/>
            <w:gridSpan w:val="3"/>
            <w:shd w:val="clear" w:color="auto" w:fill="auto"/>
            <w:vAlign w:val="bottom"/>
          </w:tcPr>
          <w:p w14:paraId="7C208AFC" w14:textId="77777777" w:rsidR="00834A75" w:rsidRDefault="00834A75">
            <w:pPr>
              <w:rPr>
                <w:rFonts w:ascii="宋体"/>
                <w:vanish/>
              </w:rPr>
            </w:pPr>
          </w:p>
        </w:tc>
      </w:tr>
      <w:tr w:rsidR="00834A75" w14:paraId="7C208B06" w14:textId="77777777">
        <w:trPr>
          <w:hidden/>
        </w:trPr>
        <w:tc>
          <w:tcPr>
            <w:tcW w:w="0" w:type="auto"/>
            <w:gridSpan w:val="3"/>
            <w:shd w:val="clear" w:color="auto" w:fill="auto"/>
            <w:vAlign w:val="bottom"/>
          </w:tcPr>
          <w:p w14:paraId="7C208AFE" w14:textId="77777777" w:rsidR="00834A75" w:rsidRDefault="00834A75">
            <w:pPr>
              <w:rPr>
                <w:rFonts w:ascii="宋体"/>
                <w:vanish/>
              </w:rPr>
            </w:pPr>
          </w:p>
        </w:tc>
        <w:tc>
          <w:tcPr>
            <w:tcW w:w="0" w:type="auto"/>
            <w:gridSpan w:val="3"/>
            <w:shd w:val="clear" w:color="auto" w:fill="auto"/>
            <w:vAlign w:val="bottom"/>
          </w:tcPr>
          <w:p w14:paraId="7C208AFF" w14:textId="77777777" w:rsidR="00834A75" w:rsidRDefault="00834A75">
            <w:pPr>
              <w:rPr>
                <w:rFonts w:ascii="宋体"/>
                <w:vanish/>
              </w:rPr>
            </w:pPr>
          </w:p>
        </w:tc>
        <w:tc>
          <w:tcPr>
            <w:tcW w:w="0" w:type="auto"/>
            <w:gridSpan w:val="3"/>
            <w:shd w:val="clear" w:color="auto" w:fill="auto"/>
            <w:vAlign w:val="bottom"/>
          </w:tcPr>
          <w:p w14:paraId="7C208B00" w14:textId="77777777" w:rsidR="00834A75" w:rsidRDefault="00834A75">
            <w:pPr>
              <w:rPr>
                <w:rFonts w:ascii="宋体"/>
                <w:vanish/>
              </w:rPr>
            </w:pPr>
          </w:p>
        </w:tc>
        <w:tc>
          <w:tcPr>
            <w:tcW w:w="0" w:type="auto"/>
            <w:gridSpan w:val="3"/>
            <w:shd w:val="clear" w:color="auto" w:fill="auto"/>
            <w:vAlign w:val="bottom"/>
          </w:tcPr>
          <w:p w14:paraId="7C208B01" w14:textId="77777777" w:rsidR="00834A75" w:rsidRDefault="00834A75">
            <w:pPr>
              <w:rPr>
                <w:rFonts w:ascii="宋体"/>
                <w:vanish/>
              </w:rPr>
            </w:pPr>
          </w:p>
        </w:tc>
        <w:tc>
          <w:tcPr>
            <w:tcW w:w="0" w:type="auto"/>
            <w:gridSpan w:val="3"/>
            <w:shd w:val="clear" w:color="auto" w:fill="auto"/>
            <w:vAlign w:val="bottom"/>
          </w:tcPr>
          <w:p w14:paraId="7C208B02" w14:textId="77777777" w:rsidR="00834A75" w:rsidRDefault="00834A75">
            <w:pPr>
              <w:rPr>
                <w:rFonts w:ascii="宋体"/>
                <w:vanish/>
              </w:rPr>
            </w:pPr>
          </w:p>
        </w:tc>
        <w:tc>
          <w:tcPr>
            <w:tcW w:w="0" w:type="auto"/>
            <w:gridSpan w:val="3"/>
            <w:shd w:val="clear" w:color="auto" w:fill="auto"/>
            <w:vAlign w:val="bottom"/>
          </w:tcPr>
          <w:p w14:paraId="7C208B03" w14:textId="77777777" w:rsidR="00834A75" w:rsidRDefault="00834A75">
            <w:pPr>
              <w:rPr>
                <w:rFonts w:ascii="宋体"/>
                <w:vanish/>
              </w:rPr>
            </w:pPr>
          </w:p>
        </w:tc>
        <w:tc>
          <w:tcPr>
            <w:tcW w:w="0" w:type="auto"/>
            <w:gridSpan w:val="3"/>
            <w:shd w:val="clear" w:color="auto" w:fill="auto"/>
            <w:vAlign w:val="bottom"/>
          </w:tcPr>
          <w:p w14:paraId="7C208B04" w14:textId="77777777" w:rsidR="00834A75" w:rsidRDefault="00834A75">
            <w:pPr>
              <w:rPr>
                <w:rFonts w:ascii="宋体"/>
                <w:vanish/>
              </w:rPr>
            </w:pPr>
          </w:p>
        </w:tc>
        <w:tc>
          <w:tcPr>
            <w:tcW w:w="0" w:type="auto"/>
            <w:gridSpan w:val="3"/>
            <w:shd w:val="clear" w:color="auto" w:fill="auto"/>
            <w:vAlign w:val="bottom"/>
          </w:tcPr>
          <w:p w14:paraId="7C208B05" w14:textId="77777777" w:rsidR="00834A75" w:rsidRDefault="00834A75">
            <w:pPr>
              <w:rPr>
                <w:rFonts w:ascii="宋体"/>
                <w:vanish/>
              </w:rPr>
            </w:pPr>
          </w:p>
        </w:tc>
      </w:tr>
      <w:tr w:rsidR="00834A75" w14:paraId="7C208B0F" w14:textId="77777777">
        <w:trPr>
          <w:hidden/>
        </w:trPr>
        <w:tc>
          <w:tcPr>
            <w:tcW w:w="0" w:type="auto"/>
            <w:gridSpan w:val="3"/>
            <w:shd w:val="clear" w:color="auto" w:fill="auto"/>
            <w:vAlign w:val="bottom"/>
          </w:tcPr>
          <w:p w14:paraId="7C208B07" w14:textId="77777777" w:rsidR="00834A75" w:rsidRDefault="00834A75">
            <w:pPr>
              <w:rPr>
                <w:rFonts w:ascii="宋体"/>
                <w:vanish/>
              </w:rPr>
            </w:pPr>
          </w:p>
        </w:tc>
        <w:tc>
          <w:tcPr>
            <w:tcW w:w="0" w:type="auto"/>
            <w:gridSpan w:val="3"/>
            <w:shd w:val="clear" w:color="auto" w:fill="auto"/>
            <w:vAlign w:val="bottom"/>
          </w:tcPr>
          <w:p w14:paraId="7C208B08" w14:textId="77777777" w:rsidR="00834A75" w:rsidRDefault="00834A75">
            <w:pPr>
              <w:rPr>
                <w:rFonts w:ascii="宋体"/>
                <w:vanish/>
              </w:rPr>
            </w:pPr>
          </w:p>
        </w:tc>
        <w:tc>
          <w:tcPr>
            <w:tcW w:w="0" w:type="auto"/>
            <w:gridSpan w:val="3"/>
            <w:shd w:val="clear" w:color="auto" w:fill="auto"/>
            <w:vAlign w:val="bottom"/>
          </w:tcPr>
          <w:p w14:paraId="7C208B09" w14:textId="77777777" w:rsidR="00834A75" w:rsidRDefault="00834A75">
            <w:pPr>
              <w:rPr>
                <w:rFonts w:ascii="宋体"/>
                <w:vanish/>
              </w:rPr>
            </w:pPr>
          </w:p>
        </w:tc>
        <w:tc>
          <w:tcPr>
            <w:tcW w:w="0" w:type="auto"/>
            <w:gridSpan w:val="3"/>
            <w:shd w:val="clear" w:color="auto" w:fill="auto"/>
            <w:vAlign w:val="bottom"/>
          </w:tcPr>
          <w:p w14:paraId="7C208B0A" w14:textId="77777777" w:rsidR="00834A75" w:rsidRDefault="00834A75">
            <w:pPr>
              <w:rPr>
                <w:rFonts w:ascii="宋体"/>
                <w:vanish/>
              </w:rPr>
            </w:pPr>
          </w:p>
        </w:tc>
        <w:tc>
          <w:tcPr>
            <w:tcW w:w="0" w:type="auto"/>
            <w:gridSpan w:val="3"/>
            <w:shd w:val="clear" w:color="auto" w:fill="auto"/>
            <w:vAlign w:val="bottom"/>
          </w:tcPr>
          <w:p w14:paraId="7C208B0B" w14:textId="77777777" w:rsidR="00834A75" w:rsidRDefault="00834A75">
            <w:pPr>
              <w:rPr>
                <w:rFonts w:ascii="宋体"/>
                <w:vanish/>
              </w:rPr>
            </w:pPr>
          </w:p>
        </w:tc>
        <w:tc>
          <w:tcPr>
            <w:tcW w:w="0" w:type="auto"/>
            <w:gridSpan w:val="3"/>
            <w:shd w:val="clear" w:color="auto" w:fill="auto"/>
            <w:vAlign w:val="bottom"/>
          </w:tcPr>
          <w:p w14:paraId="7C208B0C" w14:textId="77777777" w:rsidR="00834A75" w:rsidRDefault="00834A75">
            <w:pPr>
              <w:rPr>
                <w:rFonts w:ascii="宋体"/>
                <w:vanish/>
              </w:rPr>
            </w:pPr>
          </w:p>
        </w:tc>
        <w:tc>
          <w:tcPr>
            <w:tcW w:w="0" w:type="auto"/>
            <w:gridSpan w:val="3"/>
            <w:shd w:val="clear" w:color="auto" w:fill="auto"/>
            <w:vAlign w:val="bottom"/>
          </w:tcPr>
          <w:p w14:paraId="7C208B0D" w14:textId="77777777" w:rsidR="00834A75" w:rsidRDefault="00834A75">
            <w:pPr>
              <w:rPr>
                <w:rFonts w:ascii="宋体"/>
                <w:vanish/>
              </w:rPr>
            </w:pPr>
          </w:p>
        </w:tc>
        <w:tc>
          <w:tcPr>
            <w:tcW w:w="0" w:type="auto"/>
            <w:gridSpan w:val="3"/>
            <w:shd w:val="clear" w:color="auto" w:fill="auto"/>
            <w:vAlign w:val="bottom"/>
          </w:tcPr>
          <w:p w14:paraId="7C208B0E" w14:textId="77777777" w:rsidR="00834A75" w:rsidRDefault="00834A75">
            <w:pPr>
              <w:rPr>
                <w:rFonts w:ascii="宋体"/>
                <w:vanish/>
              </w:rPr>
            </w:pPr>
          </w:p>
        </w:tc>
      </w:tr>
    </w:tbl>
    <w:p w14:paraId="7C208B10" w14:textId="77777777" w:rsidR="00834A75" w:rsidRDefault="00834A75">
      <w:pPr>
        <w:rPr>
          <w:vanish/>
        </w:rPr>
      </w:pPr>
    </w:p>
    <w:tbl>
      <w:tblPr>
        <w:tblW w:w="5000" w:type="pct"/>
        <w:jc w:val="center"/>
        <w:tblCellMar>
          <w:top w:w="15" w:type="dxa"/>
          <w:left w:w="15" w:type="dxa"/>
          <w:bottom w:w="15" w:type="dxa"/>
          <w:right w:w="15" w:type="dxa"/>
        </w:tblCellMar>
        <w:tblLook w:val="04A0" w:firstRow="1" w:lastRow="0" w:firstColumn="1" w:lastColumn="0" w:noHBand="0" w:noVBand="1"/>
      </w:tblPr>
      <w:tblGrid>
        <w:gridCol w:w="39"/>
        <w:gridCol w:w="5604"/>
        <w:gridCol w:w="38"/>
        <w:gridCol w:w="122"/>
        <w:gridCol w:w="919"/>
        <w:gridCol w:w="36"/>
        <w:gridCol w:w="36"/>
        <w:gridCol w:w="36"/>
        <w:gridCol w:w="36"/>
        <w:gridCol w:w="122"/>
        <w:gridCol w:w="880"/>
        <w:gridCol w:w="36"/>
        <w:gridCol w:w="36"/>
        <w:gridCol w:w="36"/>
        <w:gridCol w:w="36"/>
        <w:gridCol w:w="36"/>
        <w:gridCol w:w="36"/>
        <w:gridCol w:w="36"/>
        <w:gridCol w:w="36"/>
        <w:gridCol w:w="36"/>
        <w:gridCol w:w="36"/>
        <w:gridCol w:w="36"/>
        <w:gridCol w:w="36"/>
        <w:gridCol w:w="36"/>
      </w:tblGrid>
      <w:tr w:rsidR="00834A75" w14:paraId="7C208B21" w14:textId="77777777">
        <w:trPr>
          <w:jc w:val="center"/>
        </w:trPr>
        <w:tc>
          <w:tcPr>
            <w:tcW w:w="50" w:type="pct"/>
            <w:shd w:val="clear" w:color="auto" w:fill="auto"/>
            <w:vAlign w:val="bottom"/>
          </w:tcPr>
          <w:p w14:paraId="7C208B11" w14:textId="77777777" w:rsidR="00834A75" w:rsidRDefault="00834A75">
            <w:pPr>
              <w:rPr>
                <w:rFonts w:ascii="宋体"/>
              </w:rPr>
            </w:pPr>
          </w:p>
        </w:tc>
        <w:tc>
          <w:tcPr>
            <w:tcW w:w="3578" w:type="pct"/>
            <w:shd w:val="clear" w:color="auto" w:fill="auto"/>
            <w:vAlign w:val="bottom"/>
          </w:tcPr>
          <w:p w14:paraId="7C208B12" w14:textId="77777777" w:rsidR="00834A75" w:rsidRDefault="00834A75">
            <w:pPr>
              <w:rPr>
                <w:rFonts w:ascii="宋体"/>
              </w:rPr>
            </w:pPr>
          </w:p>
        </w:tc>
        <w:tc>
          <w:tcPr>
            <w:tcW w:w="5" w:type="pct"/>
            <w:shd w:val="clear" w:color="auto" w:fill="auto"/>
            <w:vAlign w:val="bottom"/>
          </w:tcPr>
          <w:p w14:paraId="7C208B13" w14:textId="77777777" w:rsidR="00834A75" w:rsidRDefault="00834A75">
            <w:pPr>
              <w:rPr>
                <w:rFonts w:ascii="宋体"/>
              </w:rPr>
            </w:pPr>
          </w:p>
        </w:tc>
        <w:tc>
          <w:tcPr>
            <w:tcW w:w="50" w:type="pct"/>
            <w:shd w:val="clear" w:color="auto" w:fill="auto"/>
            <w:vAlign w:val="bottom"/>
          </w:tcPr>
          <w:p w14:paraId="7C208B14" w14:textId="77777777" w:rsidR="00834A75" w:rsidRDefault="00834A75">
            <w:pPr>
              <w:rPr>
                <w:rFonts w:ascii="宋体"/>
              </w:rPr>
            </w:pPr>
          </w:p>
        </w:tc>
        <w:tc>
          <w:tcPr>
            <w:tcW w:w="610" w:type="pct"/>
            <w:shd w:val="clear" w:color="auto" w:fill="auto"/>
            <w:vAlign w:val="bottom"/>
          </w:tcPr>
          <w:p w14:paraId="7C208B15" w14:textId="77777777" w:rsidR="00834A75" w:rsidRDefault="00834A75">
            <w:pPr>
              <w:rPr>
                <w:rFonts w:ascii="宋体"/>
              </w:rPr>
            </w:pPr>
          </w:p>
        </w:tc>
        <w:tc>
          <w:tcPr>
            <w:tcW w:w="5" w:type="pct"/>
            <w:shd w:val="clear" w:color="auto" w:fill="auto"/>
            <w:vAlign w:val="bottom"/>
          </w:tcPr>
          <w:p w14:paraId="7C208B16" w14:textId="77777777" w:rsidR="00834A75" w:rsidRDefault="00834A75">
            <w:pPr>
              <w:rPr>
                <w:rFonts w:ascii="宋体"/>
              </w:rPr>
            </w:pPr>
          </w:p>
        </w:tc>
        <w:tc>
          <w:tcPr>
            <w:tcW w:w="5" w:type="pct"/>
            <w:shd w:val="clear" w:color="auto" w:fill="auto"/>
            <w:vAlign w:val="bottom"/>
          </w:tcPr>
          <w:p w14:paraId="7C208B17" w14:textId="77777777" w:rsidR="00834A75" w:rsidRDefault="00834A75">
            <w:pPr>
              <w:rPr>
                <w:rFonts w:ascii="宋体"/>
              </w:rPr>
            </w:pPr>
          </w:p>
        </w:tc>
        <w:tc>
          <w:tcPr>
            <w:tcW w:w="26" w:type="pct"/>
            <w:shd w:val="clear" w:color="auto" w:fill="auto"/>
            <w:vAlign w:val="bottom"/>
          </w:tcPr>
          <w:p w14:paraId="7C208B18" w14:textId="77777777" w:rsidR="00834A75" w:rsidRDefault="00834A75">
            <w:pPr>
              <w:rPr>
                <w:rFonts w:ascii="宋体"/>
              </w:rPr>
            </w:pPr>
          </w:p>
        </w:tc>
        <w:tc>
          <w:tcPr>
            <w:tcW w:w="5" w:type="pct"/>
            <w:shd w:val="clear" w:color="auto" w:fill="auto"/>
            <w:vAlign w:val="bottom"/>
          </w:tcPr>
          <w:p w14:paraId="7C208B19" w14:textId="77777777" w:rsidR="00834A75" w:rsidRDefault="00834A75">
            <w:pPr>
              <w:rPr>
                <w:rFonts w:ascii="宋体"/>
              </w:rPr>
            </w:pPr>
          </w:p>
        </w:tc>
        <w:tc>
          <w:tcPr>
            <w:tcW w:w="50" w:type="pct"/>
            <w:shd w:val="clear" w:color="auto" w:fill="auto"/>
            <w:vAlign w:val="bottom"/>
          </w:tcPr>
          <w:p w14:paraId="7C208B1A" w14:textId="77777777" w:rsidR="00834A75" w:rsidRDefault="00834A75">
            <w:pPr>
              <w:rPr>
                <w:rFonts w:ascii="宋体"/>
              </w:rPr>
            </w:pPr>
          </w:p>
        </w:tc>
        <w:tc>
          <w:tcPr>
            <w:tcW w:w="610" w:type="pct"/>
            <w:shd w:val="clear" w:color="auto" w:fill="auto"/>
            <w:vAlign w:val="bottom"/>
          </w:tcPr>
          <w:p w14:paraId="7C208B1B" w14:textId="77777777" w:rsidR="00834A75" w:rsidRDefault="00834A75">
            <w:pPr>
              <w:rPr>
                <w:rFonts w:ascii="宋体"/>
              </w:rPr>
            </w:pPr>
          </w:p>
        </w:tc>
        <w:tc>
          <w:tcPr>
            <w:tcW w:w="5" w:type="pct"/>
            <w:shd w:val="clear" w:color="auto" w:fill="auto"/>
            <w:vAlign w:val="bottom"/>
          </w:tcPr>
          <w:p w14:paraId="7C208B1C" w14:textId="77777777" w:rsidR="00834A75" w:rsidRDefault="00834A75">
            <w:pPr>
              <w:rPr>
                <w:rFonts w:ascii="宋体"/>
              </w:rPr>
            </w:pPr>
          </w:p>
        </w:tc>
        <w:tc>
          <w:tcPr>
            <w:tcW w:w="0" w:type="auto"/>
            <w:gridSpan w:val="3"/>
            <w:shd w:val="clear" w:color="auto" w:fill="auto"/>
            <w:vAlign w:val="bottom"/>
          </w:tcPr>
          <w:p w14:paraId="7C208B1D" w14:textId="77777777" w:rsidR="00834A75" w:rsidRDefault="00834A75">
            <w:pPr>
              <w:rPr>
                <w:rFonts w:ascii="宋体"/>
                <w:vanish/>
              </w:rPr>
            </w:pPr>
          </w:p>
        </w:tc>
        <w:tc>
          <w:tcPr>
            <w:tcW w:w="0" w:type="auto"/>
            <w:gridSpan w:val="3"/>
            <w:shd w:val="clear" w:color="auto" w:fill="auto"/>
            <w:vAlign w:val="bottom"/>
          </w:tcPr>
          <w:p w14:paraId="7C208B1E" w14:textId="77777777" w:rsidR="00834A75" w:rsidRDefault="00834A75">
            <w:pPr>
              <w:rPr>
                <w:rFonts w:ascii="宋体"/>
                <w:vanish/>
              </w:rPr>
            </w:pPr>
          </w:p>
        </w:tc>
        <w:tc>
          <w:tcPr>
            <w:tcW w:w="0" w:type="auto"/>
            <w:gridSpan w:val="3"/>
            <w:shd w:val="clear" w:color="auto" w:fill="auto"/>
            <w:vAlign w:val="bottom"/>
          </w:tcPr>
          <w:p w14:paraId="7C208B1F" w14:textId="77777777" w:rsidR="00834A75" w:rsidRDefault="00834A75">
            <w:pPr>
              <w:rPr>
                <w:rFonts w:ascii="宋体"/>
                <w:vanish/>
              </w:rPr>
            </w:pPr>
          </w:p>
        </w:tc>
        <w:tc>
          <w:tcPr>
            <w:tcW w:w="0" w:type="auto"/>
            <w:gridSpan w:val="3"/>
            <w:shd w:val="clear" w:color="auto" w:fill="auto"/>
            <w:vAlign w:val="bottom"/>
          </w:tcPr>
          <w:p w14:paraId="7C208B20" w14:textId="77777777" w:rsidR="00834A75" w:rsidRDefault="00834A75">
            <w:pPr>
              <w:rPr>
                <w:rFonts w:ascii="宋体"/>
                <w:vanish/>
              </w:rPr>
            </w:pPr>
          </w:p>
        </w:tc>
      </w:tr>
      <w:tr w:rsidR="00834A75" w14:paraId="7C208B2C" w14:textId="77777777">
        <w:trPr>
          <w:jc w:val="center"/>
        </w:trPr>
        <w:tc>
          <w:tcPr>
            <w:tcW w:w="0" w:type="auto"/>
            <w:gridSpan w:val="3"/>
            <w:shd w:val="clear" w:color="auto" w:fill="auto"/>
            <w:tcMar>
              <w:top w:w="0" w:type="dxa"/>
              <w:left w:w="20" w:type="dxa"/>
              <w:bottom w:w="0" w:type="dxa"/>
              <w:right w:w="20" w:type="dxa"/>
            </w:tcMar>
            <w:vAlign w:val="bottom"/>
          </w:tcPr>
          <w:p w14:paraId="7C208B22" w14:textId="77777777" w:rsidR="00834A75" w:rsidRDefault="00834A75">
            <w:pPr>
              <w:rPr>
                <w:rFonts w:ascii="宋体"/>
              </w:rPr>
            </w:pPr>
          </w:p>
        </w:tc>
        <w:tc>
          <w:tcPr>
            <w:tcW w:w="0" w:type="auto"/>
            <w:gridSpan w:val="9"/>
            <w:shd w:val="clear" w:color="auto" w:fill="auto"/>
            <w:tcMar>
              <w:top w:w="40" w:type="dxa"/>
              <w:left w:w="20" w:type="dxa"/>
              <w:bottom w:w="40" w:type="dxa"/>
              <w:right w:w="20" w:type="dxa"/>
            </w:tcMar>
            <w:vAlign w:val="bottom"/>
          </w:tcPr>
          <w:p w14:paraId="7C208B23" w14:textId="77777777" w:rsidR="00834A75" w:rsidRDefault="00A6708C">
            <w:pPr>
              <w:jc w:val="center"/>
              <w:textAlignment w:val="bottom"/>
            </w:pPr>
            <w:r>
              <w:rPr>
                <w:rFonts w:ascii="sans-serif" w:eastAsia="sans-serif" w:hAnsi="sans-serif" w:cs="sans-serif"/>
                <w:b/>
                <w:bCs/>
                <w:color w:val="000000"/>
                <w:sz w:val="20"/>
                <w:szCs w:val="20"/>
              </w:rPr>
              <w:t>Three Months Ended</w:t>
            </w:r>
          </w:p>
        </w:tc>
        <w:tc>
          <w:tcPr>
            <w:tcW w:w="0" w:type="auto"/>
            <w:gridSpan w:val="3"/>
            <w:shd w:val="clear" w:color="auto" w:fill="auto"/>
            <w:vAlign w:val="bottom"/>
          </w:tcPr>
          <w:p w14:paraId="7C208B24" w14:textId="77777777" w:rsidR="00834A75" w:rsidRDefault="00834A75">
            <w:pPr>
              <w:rPr>
                <w:rFonts w:ascii="宋体"/>
                <w:vanish/>
              </w:rPr>
            </w:pPr>
          </w:p>
        </w:tc>
        <w:tc>
          <w:tcPr>
            <w:tcW w:w="0" w:type="auto"/>
            <w:gridSpan w:val="3"/>
            <w:shd w:val="clear" w:color="auto" w:fill="auto"/>
            <w:vAlign w:val="bottom"/>
          </w:tcPr>
          <w:p w14:paraId="7C208B25" w14:textId="77777777" w:rsidR="00834A75" w:rsidRDefault="00834A75">
            <w:pPr>
              <w:rPr>
                <w:rFonts w:ascii="宋体"/>
                <w:vanish/>
              </w:rPr>
            </w:pPr>
          </w:p>
        </w:tc>
        <w:tc>
          <w:tcPr>
            <w:tcW w:w="0" w:type="auto"/>
            <w:shd w:val="clear" w:color="auto" w:fill="auto"/>
            <w:vAlign w:val="bottom"/>
          </w:tcPr>
          <w:p w14:paraId="7C208B26" w14:textId="77777777" w:rsidR="00834A75" w:rsidRDefault="00834A75">
            <w:pPr>
              <w:rPr>
                <w:rFonts w:ascii="宋体"/>
              </w:rPr>
            </w:pPr>
          </w:p>
        </w:tc>
        <w:tc>
          <w:tcPr>
            <w:tcW w:w="0" w:type="auto"/>
            <w:shd w:val="clear" w:color="auto" w:fill="auto"/>
            <w:vAlign w:val="bottom"/>
          </w:tcPr>
          <w:p w14:paraId="7C208B27" w14:textId="77777777" w:rsidR="00834A75" w:rsidRDefault="00834A75">
            <w:pPr>
              <w:rPr>
                <w:rFonts w:ascii="宋体"/>
              </w:rPr>
            </w:pPr>
          </w:p>
        </w:tc>
        <w:tc>
          <w:tcPr>
            <w:tcW w:w="0" w:type="auto"/>
            <w:shd w:val="clear" w:color="auto" w:fill="auto"/>
            <w:vAlign w:val="bottom"/>
          </w:tcPr>
          <w:p w14:paraId="7C208B28" w14:textId="77777777" w:rsidR="00834A75" w:rsidRDefault="00834A75">
            <w:pPr>
              <w:rPr>
                <w:rFonts w:ascii="宋体"/>
              </w:rPr>
            </w:pPr>
          </w:p>
        </w:tc>
        <w:tc>
          <w:tcPr>
            <w:tcW w:w="0" w:type="auto"/>
            <w:shd w:val="clear" w:color="auto" w:fill="auto"/>
            <w:vAlign w:val="bottom"/>
          </w:tcPr>
          <w:p w14:paraId="7C208B29" w14:textId="77777777" w:rsidR="00834A75" w:rsidRDefault="00834A75">
            <w:pPr>
              <w:rPr>
                <w:rFonts w:ascii="宋体"/>
              </w:rPr>
            </w:pPr>
          </w:p>
        </w:tc>
        <w:tc>
          <w:tcPr>
            <w:tcW w:w="0" w:type="auto"/>
            <w:shd w:val="clear" w:color="auto" w:fill="auto"/>
            <w:vAlign w:val="bottom"/>
          </w:tcPr>
          <w:p w14:paraId="7C208B2A" w14:textId="77777777" w:rsidR="00834A75" w:rsidRDefault="00834A75">
            <w:pPr>
              <w:rPr>
                <w:rFonts w:ascii="宋体"/>
              </w:rPr>
            </w:pPr>
          </w:p>
        </w:tc>
        <w:tc>
          <w:tcPr>
            <w:tcW w:w="0" w:type="auto"/>
            <w:shd w:val="clear" w:color="auto" w:fill="auto"/>
            <w:vAlign w:val="bottom"/>
          </w:tcPr>
          <w:p w14:paraId="7C208B2B" w14:textId="77777777" w:rsidR="00834A75" w:rsidRDefault="00834A75">
            <w:pPr>
              <w:rPr>
                <w:rFonts w:ascii="宋体"/>
              </w:rPr>
            </w:pPr>
          </w:p>
        </w:tc>
      </w:tr>
      <w:tr w:rsidR="00834A75" w14:paraId="7C208B35" w14:textId="77777777">
        <w:trPr>
          <w:jc w:val="center"/>
        </w:trPr>
        <w:tc>
          <w:tcPr>
            <w:tcW w:w="0" w:type="auto"/>
            <w:gridSpan w:val="3"/>
            <w:shd w:val="clear" w:color="auto" w:fill="auto"/>
            <w:tcMar>
              <w:top w:w="0" w:type="dxa"/>
              <w:left w:w="20" w:type="dxa"/>
              <w:bottom w:w="0" w:type="dxa"/>
              <w:right w:w="20" w:type="dxa"/>
            </w:tcMar>
            <w:vAlign w:val="bottom"/>
          </w:tcPr>
          <w:p w14:paraId="7C208B2D" w14:textId="77777777" w:rsidR="00834A75" w:rsidRDefault="00834A75">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C208B2E" w14:textId="77777777" w:rsidR="00834A75" w:rsidRDefault="00A6708C">
            <w:pPr>
              <w:jc w:val="center"/>
              <w:textAlignment w:val="bottom"/>
            </w:pPr>
            <w:r>
              <w:rPr>
                <w:rFonts w:ascii="sans-serif" w:eastAsia="sans-serif" w:hAnsi="sans-serif" w:cs="sans-serif"/>
                <w:b/>
                <w:bCs/>
                <w:color w:val="000000"/>
                <w:sz w:val="20"/>
                <w:szCs w:val="20"/>
              </w:rPr>
              <w:t>May 1,</w:t>
            </w:r>
            <w:r>
              <w:rPr>
                <w:rFonts w:ascii="sans-serif" w:eastAsia="sans-serif" w:hAnsi="sans-serif" w:cs="sans-serif"/>
                <w:b/>
                <w:bCs/>
                <w:color w:val="000000"/>
                <w:sz w:val="20"/>
                <w:szCs w:val="20"/>
              </w:rPr>
              <w:b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C208B2F" w14:textId="77777777" w:rsidR="00834A75" w:rsidRDefault="00834A75">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C208B30" w14:textId="77777777" w:rsidR="00834A75" w:rsidRDefault="00A6708C">
            <w:pPr>
              <w:jc w:val="center"/>
              <w:textAlignment w:val="bottom"/>
            </w:pPr>
            <w:r>
              <w:rPr>
                <w:rFonts w:ascii="sans-serif" w:eastAsia="sans-serif" w:hAnsi="sans-serif" w:cs="sans-serif"/>
                <w:b/>
                <w:bCs/>
                <w:color w:val="000000"/>
                <w:sz w:val="20"/>
                <w:szCs w:val="20"/>
              </w:rPr>
              <w:t>May 2,</w:t>
            </w:r>
            <w:r>
              <w:rPr>
                <w:rFonts w:ascii="sans-serif" w:eastAsia="sans-serif" w:hAnsi="sans-serif" w:cs="sans-serif"/>
                <w:b/>
                <w:bCs/>
                <w:color w:val="000000"/>
                <w:sz w:val="20"/>
                <w:szCs w:val="20"/>
              </w:rPr>
              <w:br/>
              <w:t>2021</w:t>
            </w:r>
          </w:p>
        </w:tc>
        <w:tc>
          <w:tcPr>
            <w:tcW w:w="0" w:type="auto"/>
            <w:gridSpan w:val="3"/>
            <w:shd w:val="clear" w:color="auto" w:fill="auto"/>
            <w:vAlign w:val="bottom"/>
          </w:tcPr>
          <w:p w14:paraId="7C208B31" w14:textId="77777777" w:rsidR="00834A75" w:rsidRDefault="00834A75">
            <w:pPr>
              <w:rPr>
                <w:rFonts w:ascii="宋体"/>
                <w:vanish/>
              </w:rPr>
            </w:pPr>
          </w:p>
        </w:tc>
        <w:tc>
          <w:tcPr>
            <w:tcW w:w="0" w:type="auto"/>
            <w:gridSpan w:val="3"/>
            <w:shd w:val="clear" w:color="auto" w:fill="auto"/>
            <w:vAlign w:val="bottom"/>
          </w:tcPr>
          <w:p w14:paraId="7C208B32" w14:textId="77777777" w:rsidR="00834A75" w:rsidRDefault="00834A75">
            <w:pPr>
              <w:rPr>
                <w:rFonts w:ascii="宋体"/>
                <w:vanish/>
              </w:rPr>
            </w:pPr>
          </w:p>
        </w:tc>
        <w:tc>
          <w:tcPr>
            <w:tcW w:w="0" w:type="auto"/>
            <w:gridSpan w:val="3"/>
            <w:shd w:val="clear" w:color="auto" w:fill="auto"/>
            <w:vAlign w:val="bottom"/>
          </w:tcPr>
          <w:p w14:paraId="7C208B33" w14:textId="77777777" w:rsidR="00834A75" w:rsidRDefault="00834A75">
            <w:pPr>
              <w:rPr>
                <w:rFonts w:ascii="宋体"/>
                <w:vanish/>
              </w:rPr>
            </w:pPr>
          </w:p>
        </w:tc>
        <w:tc>
          <w:tcPr>
            <w:tcW w:w="0" w:type="auto"/>
            <w:gridSpan w:val="3"/>
            <w:shd w:val="clear" w:color="auto" w:fill="auto"/>
            <w:vAlign w:val="bottom"/>
          </w:tcPr>
          <w:p w14:paraId="7C208B34" w14:textId="77777777" w:rsidR="00834A75" w:rsidRDefault="00834A75">
            <w:pPr>
              <w:rPr>
                <w:rFonts w:ascii="宋体"/>
                <w:vanish/>
              </w:rPr>
            </w:pPr>
          </w:p>
        </w:tc>
      </w:tr>
      <w:tr w:rsidR="00834A75" w14:paraId="7C208B3E" w14:textId="77777777">
        <w:trPr>
          <w:trHeight w:val="60"/>
          <w:jc w:val="center"/>
        </w:trPr>
        <w:tc>
          <w:tcPr>
            <w:tcW w:w="0" w:type="auto"/>
            <w:gridSpan w:val="3"/>
            <w:shd w:val="clear" w:color="auto" w:fill="auto"/>
            <w:tcMar>
              <w:top w:w="0" w:type="dxa"/>
              <w:left w:w="20" w:type="dxa"/>
              <w:bottom w:w="0" w:type="dxa"/>
              <w:right w:w="20" w:type="dxa"/>
            </w:tcMar>
            <w:vAlign w:val="bottom"/>
          </w:tcPr>
          <w:p w14:paraId="7C208B36" w14:textId="77777777" w:rsidR="00834A75" w:rsidRDefault="00834A75">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C208B37" w14:textId="77777777" w:rsidR="00834A75" w:rsidRDefault="00834A75">
            <w:pPr>
              <w:rPr>
                <w:rFonts w:ascii="宋体"/>
              </w:rPr>
            </w:pPr>
          </w:p>
        </w:tc>
        <w:tc>
          <w:tcPr>
            <w:tcW w:w="0" w:type="auto"/>
            <w:gridSpan w:val="3"/>
            <w:shd w:val="clear" w:color="auto" w:fill="auto"/>
            <w:tcMar>
              <w:top w:w="0" w:type="dxa"/>
              <w:left w:w="20" w:type="dxa"/>
              <w:bottom w:w="0" w:type="dxa"/>
              <w:right w:w="20" w:type="dxa"/>
            </w:tcMar>
            <w:vAlign w:val="bottom"/>
          </w:tcPr>
          <w:p w14:paraId="7C208B38" w14:textId="77777777" w:rsidR="00834A75" w:rsidRDefault="00834A75">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C208B39" w14:textId="77777777" w:rsidR="00834A75" w:rsidRDefault="00834A75">
            <w:pPr>
              <w:rPr>
                <w:rFonts w:ascii="宋体"/>
              </w:rPr>
            </w:pPr>
          </w:p>
        </w:tc>
        <w:tc>
          <w:tcPr>
            <w:tcW w:w="0" w:type="auto"/>
            <w:gridSpan w:val="3"/>
            <w:shd w:val="clear" w:color="auto" w:fill="auto"/>
            <w:vAlign w:val="bottom"/>
          </w:tcPr>
          <w:p w14:paraId="7C208B3A" w14:textId="77777777" w:rsidR="00834A75" w:rsidRDefault="00834A75">
            <w:pPr>
              <w:rPr>
                <w:rFonts w:ascii="宋体"/>
                <w:vanish/>
              </w:rPr>
            </w:pPr>
          </w:p>
        </w:tc>
        <w:tc>
          <w:tcPr>
            <w:tcW w:w="0" w:type="auto"/>
            <w:gridSpan w:val="3"/>
            <w:shd w:val="clear" w:color="auto" w:fill="auto"/>
            <w:vAlign w:val="bottom"/>
          </w:tcPr>
          <w:p w14:paraId="7C208B3B" w14:textId="77777777" w:rsidR="00834A75" w:rsidRDefault="00834A75">
            <w:pPr>
              <w:rPr>
                <w:rFonts w:ascii="宋体"/>
                <w:vanish/>
              </w:rPr>
            </w:pPr>
          </w:p>
        </w:tc>
        <w:tc>
          <w:tcPr>
            <w:tcW w:w="0" w:type="auto"/>
            <w:gridSpan w:val="3"/>
            <w:shd w:val="clear" w:color="auto" w:fill="auto"/>
            <w:vAlign w:val="bottom"/>
          </w:tcPr>
          <w:p w14:paraId="7C208B3C" w14:textId="77777777" w:rsidR="00834A75" w:rsidRDefault="00834A75">
            <w:pPr>
              <w:rPr>
                <w:rFonts w:ascii="宋体"/>
                <w:vanish/>
              </w:rPr>
            </w:pPr>
          </w:p>
        </w:tc>
        <w:tc>
          <w:tcPr>
            <w:tcW w:w="0" w:type="auto"/>
            <w:gridSpan w:val="3"/>
            <w:shd w:val="clear" w:color="auto" w:fill="auto"/>
            <w:vAlign w:val="bottom"/>
          </w:tcPr>
          <w:p w14:paraId="7C208B3D" w14:textId="77777777" w:rsidR="00834A75" w:rsidRDefault="00834A75">
            <w:pPr>
              <w:rPr>
                <w:rFonts w:ascii="宋体"/>
                <w:vanish/>
              </w:rPr>
            </w:pPr>
          </w:p>
        </w:tc>
      </w:tr>
      <w:tr w:rsidR="00834A75" w14:paraId="7C208B4D" w14:textId="77777777">
        <w:trPr>
          <w:jc w:val="center"/>
        </w:trPr>
        <w:tc>
          <w:tcPr>
            <w:tcW w:w="0" w:type="auto"/>
            <w:gridSpan w:val="3"/>
            <w:shd w:val="clear" w:color="auto" w:fill="auto"/>
            <w:tcMar>
              <w:top w:w="0" w:type="dxa"/>
              <w:left w:w="20" w:type="dxa"/>
              <w:bottom w:w="0" w:type="dxa"/>
              <w:right w:w="20" w:type="dxa"/>
            </w:tcMar>
            <w:vAlign w:val="bottom"/>
          </w:tcPr>
          <w:p w14:paraId="7C208B3F" w14:textId="77777777" w:rsidR="00834A75" w:rsidRDefault="00834A75">
            <w:pPr>
              <w:rPr>
                <w:rFonts w:ascii="宋体"/>
              </w:rPr>
            </w:pPr>
          </w:p>
        </w:tc>
        <w:tc>
          <w:tcPr>
            <w:tcW w:w="0" w:type="auto"/>
            <w:gridSpan w:val="9"/>
            <w:shd w:val="clear" w:color="auto" w:fill="auto"/>
            <w:tcMar>
              <w:top w:w="40" w:type="dxa"/>
              <w:left w:w="20" w:type="dxa"/>
              <w:bottom w:w="40" w:type="dxa"/>
              <w:right w:w="20" w:type="dxa"/>
            </w:tcMar>
            <w:vAlign w:val="bottom"/>
          </w:tcPr>
          <w:p w14:paraId="7C208B40" w14:textId="77777777" w:rsidR="00834A75" w:rsidRDefault="00A6708C">
            <w:pPr>
              <w:jc w:val="center"/>
              <w:textAlignment w:val="bottom"/>
            </w:pPr>
            <w:r>
              <w:rPr>
                <w:rFonts w:ascii="sans-serif" w:eastAsia="sans-serif" w:hAnsi="sans-serif" w:cs="sans-serif"/>
                <w:i/>
                <w:iCs/>
                <w:color w:val="000000"/>
                <w:sz w:val="20"/>
                <w:szCs w:val="20"/>
              </w:rPr>
              <w:t>(In millions)</w:t>
            </w:r>
          </w:p>
        </w:tc>
        <w:tc>
          <w:tcPr>
            <w:tcW w:w="0" w:type="auto"/>
            <w:shd w:val="clear" w:color="auto" w:fill="auto"/>
            <w:vAlign w:val="bottom"/>
          </w:tcPr>
          <w:p w14:paraId="7C208B41" w14:textId="77777777" w:rsidR="00834A75" w:rsidRDefault="00834A75">
            <w:pPr>
              <w:rPr>
                <w:rFonts w:ascii="宋体"/>
              </w:rPr>
            </w:pPr>
          </w:p>
        </w:tc>
        <w:tc>
          <w:tcPr>
            <w:tcW w:w="0" w:type="auto"/>
            <w:shd w:val="clear" w:color="auto" w:fill="auto"/>
            <w:vAlign w:val="bottom"/>
          </w:tcPr>
          <w:p w14:paraId="7C208B42" w14:textId="77777777" w:rsidR="00834A75" w:rsidRDefault="00834A75">
            <w:pPr>
              <w:rPr>
                <w:rFonts w:ascii="宋体"/>
              </w:rPr>
            </w:pPr>
          </w:p>
        </w:tc>
        <w:tc>
          <w:tcPr>
            <w:tcW w:w="0" w:type="auto"/>
            <w:shd w:val="clear" w:color="auto" w:fill="auto"/>
            <w:vAlign w:val="bottom"/>
          </w:tcPr>
          <w:p w14:paraId="7C208B43" w14:textId="77777777" w:rsidR="00834A75" w:rsidRDefault="00834A75">
            <w:pPr>
              <w:rPr>
                <w:rFonts w:ascii="宋体"/>
              </w:rPr>
            </w:pPr>
          </w:p>
        </w:tc>
        <w:tc>
          <w:tcPr>
            <w:tcW w:w="0" w:type="auto"/>
            <w:shd w:val="clear" w:color="auto" w:fill="auto"/>
            <w:vAlign w:val="bottom"/>
          </w:tcPr>
          <w:p w14:paraId="7C208B44" w14:textId="77777777" w:rsidR="00834A75" w:rsidRDefault="00834A75">
            <w:pPr>
              <w:rPr>
                <w:rFonts w:ascii="宋体"/>
              </w:rPr>
            </w:pPr>
          </w:p>
        </w:tc>
        <w:tc>
          <w:tcPr>
            <w:tcW w:w="0" w:type="auto"/>
            <w:shd w:val="clear" w:color="auto" w:fill="auto"/>
            <w:vAlign w:val="bottom"/>
          </w:tcPr>
          <w:p w14:paraId="7C208B45" w14:textId="77777777" w:rsidR="00834A75" w:rsidRDefault="00834A75">
            <w:pPr>
              <w:rPr>
                <w:rFonts w:ascii="宋体"/>
              </w:rPr>
            </w:pPr>
          </w:p>
        </w:tc>
        <w:tc>
          <w:tcPr>
            <w:tcW w:w="0" w:type="auto"/>
            <w:shd w:val="clear" w:color="auto" w:fill="auto"/>
            <w:vAlign w:val="bottom"/>
          </w:tcPr>
          <w:p w14:paraId="7C208B46" w14:textId="77777777" w:rsidR="00834A75" w:rsidRDefault="00834A75">
            <w:pPr>
              <w:rPr>
                <w:rFonts w:ascii="宋体"/>
              </w:rPr>
            </w:pPr>
          </w:p>
        </w:tc>
        <w:tc>
          <w:tcPr>
            <w:tcW w:w="0" w:type="auto"/>
            <w:shd w:val="clear" w:color="auto" w:fill="auto"/>
            <w:vAlign w:val="bottom"/>
          </w:tcPr>
          <w:p w14:paraId="7C208B47" w14:textId="77777777" w:rsidR="00834A75" w:rsidRDefault="00834A75">
            <w:pPr>
              <w:rPr>
                <w:rFonts w:ascii="宋体"/>
              </w:rPr>
            </w:pPr>
          </w:p>
        </w:tc>
        <w:tc>
          <w:tcPr>
            <w:tcW w:w="0" w:type="auto"/>
            <w:shd w:val="clear" w:color="auto" w:fill="auto"/>
            <w:vAlign w:val="bottom"/>
          </w:tcPr>
          <w:p w14:paraId="7C208B48" w14:textId="77777777" w:rsidR="00834A75" w:rsidRDefault="00834A75">
            <w:pPr>
              <w:rPr>
                <w:rFonts w:ascii="宋体"/>
              </w:rPr>
            </w:pPr>
          </w:p>
        </w:tc>
        <w:tc>
          <w:tcPr>
            <w:tcW w:w="0" w:type="auto"/>
            <w:shd w:val="clear" w:color="auto" w:fill="auto"/>
            <w:vAlign w:val="bottom"/>
          </w:tcPr>
          <w:p w14:paraId="7C208B49" w14:textId="77777777" w:rsidR="00834A75" w:rsidRDefault="00834A75">
            <w:pPr>
              <w:rPr>
                <w:rFonts w:ascii="宋体"/>
              </w:rPr>
            </w:pPr>
          </w:p>
        </w:tc>
        <w:tc>
          <w:tcPr>
            <w:tcW w:w="0" w:type="auto"/>
            <w:shd w:val="clear" w:color="auto" w:fill="auto"/>
            <w:vAlign w:val="bottom"/>
          </w:tcPr>
          <w:p w14:paraId="7C208B4A" w14:textId="77777777" w:rsidR="00834A75" w:rsidRDefault="00834A75">
            <w:pPr>
              <w:rPr>
                <w:rFonts w:ascii="宋体"/>
              </w:rPr>
            </w:pPr>
          </w:p>
        </w:tc>
        <w:tc>
          <w:tcPr>
            <w:tcW w:w="0" w:type="auto"/>
            <w:shd w:val="clear" w:color="auto" w:fill="auto"/>
            <w:vAlign w:val="bottom"/>
          </w:tcPr>
          <w:p w14:paraId="7C208B4B" w14:textId="77777777" w:rsidR="00834A75" w:rsidRDefault="00834A75">
            <w:pPr>
              <w:rPr>
                <w:rFonts w:ascii="宋体"/>
              </w:rPr>
            </w:pPr>
          </w:p>
        </w:tc>
        <w:tc>
          <w:tcPr>
            <w:tcW w:w="0" w:type="auto"/>
            <w:shd w:val="clear" w:color="auto" w:fill="auto"/>
            <w:vAlign w:val="bottom"/>
          </w:tcPr>
          <w:p w14:paraId="7C208B4C" w14:textId="77777777" w:rsidR="00834A75" w:rsidRDefault="00834A75">
            <w:pPr>
              <w:rPr>
                <w:rFonts w:ascii="宋体"/>
              </w:rPr>
            </w:pPr>
          </w:p>
        </w:tc>
      </w:tr>
      <w:tr w:rsidR="00834A75" w14:paraId="7C208B56" w14:textId="77777777">
        <w:trPr>
          <w:jc w:val="center"/>
        </w:trPr>
        <w:tc>
          <w:tcPr>
            <w:tcW w:w="0" w:type="auto"/>
            <w:gridSpan w:val="3"/>
            <w:shd w:val="clear" w:color="auto" w:fill="auto"/>
            <w:tcMar>
              <w:top w:w="40" w:type="dxa"/>
              <w:left w:w="20" w:type="dxa"/>
              <w:bottom w:w="40" w:type="dxa"/>
              <w:right w:w="20" w:type="dxa"/>
            </w:tcMar>
            <w:vAlign w:val="bottom"/>
          </w:tcPr>
          <w:p w14:paraId="7C208B4E" w14:textId="77777777" w:rsidR="00834A75" w:rsidRDefault="00A6708C">
            <w:pPr>
              <w:textAlignment w:val="bottom"/>
            </w:pPr>
            <w:r>
              <w:rPr>
                <w:rFonts w:ascii="sans-serif" w:eastAsia="sans-serif" w:hAnsi="sans-serif" w:cs="sans-serif"/>
                <w:b/>
                <w:bCs/>
                <w:color w:val="000000"/>
                <w:sz w:val="20"/>
                <w:szCs w:val="20"/>
              </w:rPr>
              <w:t>Reconciling items included in "All Other" category:</w:t>
            </w:r>
          </w:p>
        </w:tc>
        <w:tc>
          <w:tcPr>
            <w:tcW w:w="0" w:type="auto"/>
            <w:gridSpan w:val="3"/>
            <w:shd w:val="clear" w:color="auto" w:fill="auto"/>
            <w:tcMar>
              <w:top w:w="0" w:type="dxa"/>
              <w:left w:w="20" w:type="dxa"/>
              <w:bottom w:w="0" w:type="dxa"/>
              <w:right w:w="20" w:type="dxa"/>
            </w:tcMar>
            <w:vAlign w:val="bottom"/>
          </w:tcPr>
          <w:p w14:paraId="7C208B4F" w14:textId="77777777" w:rsidR="00834A75" w:rsidRDefault="00834A75">
            <w:pPr>
              <w:rPr>
                <w:rFonts w:ascii="宋体"/>
              </w:rPr>
            </w:pPr>
          </w:p>
        </w:tc>
        <w:tc>
          <w:tcPr>
            <w:tcW w:w="0" w:type="auto"/>
            <w:gridSpan w:val="3"/>
            <w:shd w:val="clear" w:color="auto" w:fill="auto"/>
            <w:tcMar>
              <w:top w:w="0" w:type="dxa"/>
              <w:left w:w="20" w:type="dxa"/>
              <w:bottom w:w="0" w:type="dxa"/>
              <w:right w:w="20" w:type="dxa"/>
            </w:tcMar>
            <w:vAlign w:val="bottom"/>
          </w:tcPr>
          <w:p w14:paraId="7C208B50" w14:textId="77777777" w:rsidR="00834A75" w:rsidRDefault="00834A75">
            <w:pPr>
              <w:rPr>
                <w:rFonts w:ascii="宋体"/>
              </w:rPr>
            </w:pPr>
          </w:p>
        </w:tc>
        <w:tc>
          <w:tcPr>
            <w:tcW w:w="0" w:type="auto"/>
            <w:gridSpan w:val="3"/>
            <w:shd w:val="clear" w:color="auto" w:fill="auto"/>
            <w:tcMar>
              <w:top w:w="0" w:type="dxa"/>
              <w:left w:w="20" w:type="dxa"/>
              <w:bottom w:w="0" w:type="dxa"/>
              <w:right w:w="20" w:type="dxa"/>
            </w:tcMar>
            <w:vAlign w:val="bottom"/>
          </w:tcPr>
          <w:p w14:paraId="7C208B51" w14:textId="77777777" w:rsidR="00834A75" w:rsidRDefault="00834A75">
            <w:pPr>
              <w:rPr>
                <w:rFonts w:ascii="宋体"/>
              </w:rPr>
            </w:pPr>
          </w:p>
        </w:tc>
        <w:tc>
          <w:tcPr>
            <w:tcW w:w="0" w:type="auto"/>
            <w:gridSpan w:val="3"/>
            <w:shd w:val="clear" w:color="auto" w:fill="auto"/>
            <w:vAlign w:val="bottom"/>
          </w:tcPr>
          <w:p w14:paraId="7C208B52" w14:textId="77777777" w:rsidR="00834A75" w:rsidRDefault="00834A75">
            <w:pPr>
              <w:rPr>
                <w:rFonts w:ascii="宋体"/>
                <w:vanish/>
              </w:rPr>
            </w:pPr>
          </w:p>
        </w:tc>
        <w:tc>
          <w:tcPr>
            <w:tcW w:w="0" w:type="auto"/>
            <w:gridSpan w:val="3"/>
            <w:shd w:val="clear" w:color="auto" w:fill="auto"/>
            <w:vAlign w:val="bottom"/>
          </w:tcPr>
          <w:p w14:paraId="7C208B53" w14:textId="77777777" w:rsidR="00834A75" w:rsidRDefault="00834A75">
            <w:pPr>
              <w:rPr>
                <w:rFonts w:ascii="宋体"/>
                <w:vanish/>
              </w:rPr>
            </w:pPr>
          </w:p>
        </w:tc>
        <w:tc>
          <w:tcPr>
            <w:tcW w:w="0" w:type="auto"/>
            <w:gridSpan w:val="3"/>
            <w:shd w:val="clear" w:color="auto" w:fill="auto"/>
            <w:vAlign w:val="bottom"/>
          </w:tcPr>
          <w:p w14:paraId="7C208B54" w14:textId="77777777" w:rsidR="00834A75" w:rsidRDefault="00834A75">
            <w:pPr>
              <w:rPr>
                <w:rFonts w:ascii="宋体"/>
                <w:vanish/>
              </w:rPr>
            </w:pPr>
          </w:p>
        </w:tc>
        <w:tc>
          <w:tcPr>
            <w:tcW w:w="0" w:type="auto"/>
            <w:gridSpan w:val="3"/>
            <w:shd w:val="clear" w:color="auto" w:fill="auto"/>
            <w:vAlign w:val="bottom"/>
          </w:tcPr>
          <w:p w14:paraId="7C208B55" w14:textId="77777777" w:rsidR="00834A75" w:rsidRDefault="00834A75">
            <w:pPr>
              <w:rPr>
                <w:rFonts w:ascii="宋体"/>
                <w:vanish/>
              </w:rPr>
            </w:pPr>
          </w:p>
        </w:tc>
      </w:tr>
      <w:tr w:rsidR="00834A75" w14:paraId="7C208B5F" w14:textId="77777777">
        <w:trPr>
          <w:jc w:val="center"/>
          <w:hidden/>
        </w:trPr>
        <w:tc>
          <w:tcPr>
            <w:tcW w:w="0" w:type="auto"/>
            <w:gridSpan w:val="3"/>
            <w:shd w:val="clear" w:color="auto" w:fill="auto"/>
            <w:vAlign w:val="bottom"/>
          </w:tcPr>
          <w:p w14:paraId="7C208B57" w14:textId="77777777" w:rsidR="00834A75" w:rsidRDefault="00834A75">
            <w:pPr>
              <w:rPr>
                <w:rFonts w:ascii="宋体"/>
                <w:vanish/>
              </w:rPr>
            </w:pPr>
          </w:p>
        </w:tc>
        <w:tc>
          <w:tcPr>
            <w:tcW w:w="0" w:type="auto"/>
            <w:gridSpan w:val="3"/>
            <w:shd w:val="clear" w:color="auto" w:fill="auto"/>
            <w:vAlign w:val="bottom"/>
          </w:tcPr>
          <w:p w14:paraId="7C208B58" w14:textId="77777777" w:rsidR="00834A75" w:rsidRDefault="00834A75">
            <w:pPr>
              <w:rPr>
                <w:rFonts w:ascii="宋体"/>
                <w:vanish/>
              </w:rPr>
            </w:pPr>
          </w:p>
        </w:tc>
        <w:tc>
          <w:tcPr>
            <w:tcW w:w="0" w:type="auto"/>
            <w:gridSpan w:val="3"/>
            <w:shd w:val="clear" w:color="auto" w:fill="auto"/>
            <w:vAlign w:val="bottom"/>
          </w:tcPr>
          <w:p w14:paraId="7C208B59" w14:textId="77777777" w:rsidR="00834A75" w:rsidRDefault="00834A75">
            <w:pPr>
              <w:rPr>
                <w:rFonts w:ascii="宋体"/>
                <w:vanish/>
              </w:rPr>
            </w:pPr>
          </w:p>
        </w:tc>
        <w:tc>
          <w:tcPr>
            <w:tcW w:w="0" w:type="auto"/>
            <w:gridSpan w:val="3"/>
            <w:shd w:val="clear" w:color="auto" w:fill="auto"/>
            <w:vAlign w:val="bottom"/>
          </w:tcPr>
          <w:p w14:paraId="7C208B5A" w14:textId="77777777" w:rsidR="00834A75" w:rsidRDefault="00834A75">
            <w:pPr>
              <w:rPr>
                <w:rFonts w:ascii="宋体"/>
                <w:vanish/>
              </w:rPr>
            </w:pPr>
          </w:p>
        </w:tc>
        <w:tc>
          <w:tcPr>
            <w:tcW w:w="0" w:type="auto"/>
            <w:gridSpan w:val="3"/>
            <w:shd w:val="clear" w:color="auto" w:fill="auto"/>
            <w:vAlign w:val="bottom"/>
          </w:tcPr>
          <w:p w14:paraId="7C208B5B" w14:textId="77777777" w:rsidR="00834A75" w:rsidRDefault="00834A75">
            <w:pPr>
              <w:rPr>
                <w:rFonts w:ascii="宋体"/>
                <w:vanish/>
              </w:rPr>
            </w:pPr>
          </w:p>
        </w:tc>
        <w:tc>
          <w:tcPr>
            <w:tcW w:w="0" w:type="auto"/>
            <w:gridSpan w:val="3"/>
            <w:shd w:val="clear" w:color="auto" w:fill="auto"/>
            <w:vAlign w:val="bottom"/>
          </w:tcPr>
          <w:p w14:paraId="7C208B5C" w14:textId="77777777" w:rsidR="00834A75" w:rsidRDefault="00834A75">
            <w:pPr>
              <w:rPr>
                <w:rFonts w:ascii="宋体"/>
                <w:vanish/>
              </w:rPr>
            </w:pPr>
          </w:p>
        </w:tc>
        <w:tc>
          <w:tcPr>
            <w:tcW w:w="0" w:type="auto"/>
            <w:gridSpan w:val="3"/>
            <w:shd w:val="clear" w:color="auto" w:fill="auto"/>
            <w:vAlign w:val="bottom"/>
          </w:tcPr>
          <w:p w14:paraId="7C208B5D" w14:textId="77777777" w:rsidR="00834A75" w:rsidRDefault="00834A75">
            <w:pPr>
              <w:rPr>
                <w:rFonts w:ascii="宋体"/>
                <w:vanish/>
              </w:rPr>
            </w:pPr>
          </w:p>
        </w:tc>
        <w:tc>
          <w:tcPr>
            <w:tcW w:w="0" w:type="auto"/>
            <w:gridSpan w:val="3"/>
            <w:shd w:val="clear" w:color="auto" w:fill="auto"/>
            <w:vAlign w:val="bottom"/>
          </w:tcPr>
          <w:p w14:paraId="7C208B5E" w14:textId="77777777" w:rsidR="00834A75" w:rsidRDefault="00834A75">
            <w:pPr>
              <w:rPr>
                <w:rFonts w:ascii="宋体"/>
                <w:vanish/>
              </w:rPr>
            </w:pPr>
          </w:p>
        </w:tc>
      </w:tr>
      <w:tr w:rsidR="00834A75" w14:paraId="7C208B6C" w14:textId="77777777">
        <w:trPr>
          <w:jc w:val="center"/>
        </w:trPr>
        <w:tc>
          <w:tcPr>
            <w:tcW w:w="0" w:type="auto"/>
            <w:gridSpan w:val="3"/>
            <w:shd w:val="clear" w:color="auto" w:fill="E2EFD9"/>
            <w:tcMar>
              <w:top w:w="40" w:type="dxa"/>
              <w:left w:w="20" w:type="dxa"/>
              <w:bottom w:w="40" w:type="dxa"/>
              <w:right w:w="20" w:type="dxa"/>
            </w:tcMar>
            <w:vAlign w:val="bottom"/>
          </w:tcPr>
          <w:p w14:paraId="7C208B60" w14:textId="77777777" w:rsidR="00834A75" w:rsidRDefault="00A6708C">
            <w:pPr>
              <w:textAlignment w:val="bottom"/>
            </w:pPr>
            <w:r>
              <w:rPr>
                <w:rFonts w:ascii="sans-serif" w:eastAsia="sans-serif" w:hAnsi="sans-serif" w:cs="sans-serif"/>
                <w:color w:val="000000"/>
                <w:sz w:val="20"/>
                <w:szCs w:val="20"/>
              </w:rPr>
              <w:t>Acquisition termination cost</w:t>
            </w:r>
          </w:p>
        </w:tc>
        <w:tc>
          <w:tcPr>
            <w:tcW w:w="0" w:type="auto"/>
            <w:shd w:val="clear" w:color="auto" w:fill="E2EFD9"/>
            <w:tcMar>
              <w:top w:w="40" w:type="dxa"/>
              <w:left w:w="20" w:type="dxa"/>
              <w:bottom w:w="40" w:type="dxa"/>
              <w:right w:w="0" w:type="dxa"/>
            </w:tcMar>
            <w:vAlign w:val="bottom"/>
          </w:tcPr>
          <w:p w14:paraId="7C208B61" w14:textId="77777777" w:rsidR="00834A75" w:rsidRDefault="00A6708C">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7C208B62" w14:textId="77777777" w:rsidR="00834A75" w:rsidRDefault="00A6708C">
            <w:pPr>
              <w:jc w:val="right"/>
              <w:textAlignment w:val="bottom"/>
            </w:pPr>
            <w:r>
              <w:rPr>
                <w:rFonts w:ascii="sans-serif" w:eastAsia="sans-serif" w:hAnsi="sans-serif" w:cs="sans-serif"/>
                <w:color w:val="000000"/>
                <w:sz w:val="20"/>
                <w:szCs w:val="20"/>
              </w:rPr>
              <w:t>(1,353)</w:t>
            </w:r>
          </w:p>
        </w:tc>
        <w:tc>
          <w:tcPr>
            <w:tcW w:w="0" w:type="auto"/>
            <w:shd w:val="clear" w:color="auto" w:fill="E2EFD9"/>
            <w:tcMar>
              <w:top w:w="40" w:type="dxa"/>
              <w:left w:w="0" w:type="dxa"/>
              <w:bottom w:w="40" w:type="dxa"/>
              <w:right w:w="20" w:type="dxa"/>
            </w:tcMar>
            <w:vAlign w:val="bottom"/>
          </w:tcPr>
          <w:p w14:paraId="7C208B63" w14:textId="77777777" w:rsidR="00834A75" w:rsidRDefault="00834A75">
            <w:pPr>
              <w:jc w:val="right"/>
              <w:rPr>
                <w:rFonts w:ascii="宋体"/>
              </w:rPr>
            </w:pPr>
          </w:p>
        </w:tc>
        <w:tc>
          <w:tcPr>
            <w:tcW w:w="0" w:type="auto"/>
            <w:gridSpan w:val="3"/>
            <w:shd w:val="clear" w:color="auto" w:fill="E2EFD9"/>
            <w:tcMar>
              <w:top w:w="0" w:type="dxa"/>
              <w:left w:w="20" w:type="dxa"/>
              <w:bottom w:w="0" w:type="dxa"/>
              <w:right w:w="20" w:type="dxa"/>
            </w:tcMar>
            <w:vAlign w:val="bottom"/>
          </w:tcPr>
          <w:p w14:paraId="7C208B64" w14:textId="77777777" w:rsidR="00834A75" w:rsidRDefault="00834A75">
            <w:pPr>
              <w:rPr>
                <w:rFonts w:ascii="宋体"/>
              </w:rPr>
            </w:pPr>
          </w:p>
        </w:tc>
        <w:tc>
          <w:tcPr>
            <w:tcW w:w="0" w:type="auto"/>
            <w:shd w:val="clear" w:color="auto" w:fill="E2EFD9"/>
            <w:tcMar>
              <w:top w:w="40" w:type="dxa"/>
              <w:left w:w="20" w:type="dxa"/>
              <w:bottom w:w="40" w:type="dxa"/>
              <w:right w:w="0" w:type="dxa"/>
            </w:tcMar>
            <w:vAlign w:val="bottom"/>
          </w:tcPr>
          <w:p w14:paraId="7C208B65" w14:textId="77777777" w:rsidR="00834A75" w:rsidRDefault="00A6708C">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7C208B66" w14:textId="77777777" w:rsidR="00834A75" w:rsidRDefault="00A6708C">
            <w:pPr>
              <w:jc w:val="right"/>
              <w:textAlignment w:val="bottom"/>
            </w:pPr>
            <w:r>
              <w:rPr>
                <w:rFonts w:ascii="sans-serif" w:eastAsia="sans-serif" w:hAnsi="sans-serif" w:cs="sans-serif"/>
                <w:color w:val="000000"/>
                <w:sz w:val="20"/>
                <w:szCs w:val="20"/>
              </w:rPr>
              <w:t>— </w:t>
            </w:r>
          </w:p>
        </w:tc>
        <w:tc>
          <w:tcPr>
            <w:tcW w:w="0" w:type="auto"/>
            <w:shd w:val="clear" w:color="auto" w:fill="E2EFD9"/>
            <w:tcMar>
              <w:top w:w="40" w:type="dxa"/>
              <w:left w:w="0" w:type="dxa"/>
              <w:bottom w:w="40" w:type="dxa"/>
              <w:right w:w="20" w:type="dxa"/>
            </w:tcMar>
            <w:vAlign w:val="bottom"/>
          </w:tcPr>
          <w:p w14:paraId="7C208B67" w14:textId="77777777" w:rsidR="00834A75" w:rsidRDefault="00834A75">
            <w:pPr>
              <w:jc w:val="right"/>
              <w:rPr>
                <w:rFonts w:ascii="宋体"/>
              </w:rPr>
            </w:pPr>
          </w:p>
        </w:tc>
        <w:tc>
          <w:tcPr>
            <w:tcW w:w="0" w:type="auto"/>
            <w:gridSpan w:val="3"/>
            <w:shd w:val="clear" w:color="auto" w:fill="auto"/>
            <w:vAlign w:val="bottom"/>
          </w:tcPr>
          <w:p w14:paraId="7C208B68" w14:textId="77777777" w:rsidR="00834A75" w:rsidRDefault="00834A75">
            <w:pPr>
              <w:rPr>
                <w:rFonts w:ascii="宋体"/>
                <w:vanish/>
              </w:rPr>
            </w:pPr>
          </w:p>
        </w:tc>
        <w:tc>
          <w:tcPr>
            <w:tcW w:w="0" w:type="auto"/>
            <w:gridSpan w:val="3"/>
            <w:shd w:val="clear" w:color="auto" w:fill="auto"/>
            <w:vAlign w:val="bottom"/>
          </w:tcPr>
          <w:p w14:paraId="7C208B69" w14:textId="77777777" w:rsidR="00834A75" w:rsidRDefault="00834A75">
            <w:pPr>
              <w:rPr>
                <w:rFonts w:ascii="宋体"/>
                <w:vanish/>
              </w:rPr>
            </w:pPr>
          </w:p>
        </w:tc>
        <w:tc>
          <w:tcPr>
            <w:tcW w:w="0" w:type="auto"/>
            <w:gridSpan w:val="3"/>
            <w:shd w:val="clear" w:color="auto" w:fill="auto"/>
            <w:vAlign w:val="bottom"/>
          </w:tcPr>
          <w:p w14:paraId="7C208B6A" w14:textId="77777777" w:rsidR="00834A75" w:rsidRDefault="00834A75">
            <w:pPr>
              <w:rPr>
                <w:rFonts w:ascii="宋体"/>
                <w:vanish/>
              </w:rPr>
            </w:pPr>
          </w:p>
        </w:tc>
        <w:tc>
          <w:tcPr>
            <w:tcW w:w="0" w:type="auto"/>
            <w:gridSpan w:val="3"/>
            <w:shd w:val="clear" w:color="auto" w:fill="auto"/>
            <w:vAlign w:val="bottom"/>
          </w:tcPr>
          <w:p w14:paraId="7C208B6B" w14:textId="77777777" w:rsidR="00834A75" w:rsidRDefault="00834A75">
            <w:pPr>
              <w:rPr>
                <w:rFonts w:ascii="宋体"/>
                <w:vanish/>
              </w:rPr>
            </w:pPr>
          </w:p>
        </w:tc>
      </w:tr>
      <w:tr w:rsidR="00834A75" w14:paraId="7C208B77" w14:textId="77777777">
        <w:trPr>
          <w:jc w:val="center"/>
        </w:trPr>
        <w:tc>
          <w:tcPr>
            <w:tcW w:w="0" w:type="auto"/>
            <w:gridSpan w:val="3"/>
            <w:shd w:val="clear" w:color="auto" w:fill="FFFFFF"/>
            <w:tcMar>
              <w:top w:w="40" w:type="dxa"/>
              <w:left w:w="20" w:type="dxa"/>
              <w:bottom w:w="40" w:type="dxa"/>
              <w:right w:w="20" w:type="dxa"/>
            </w:tcMar>
            <w:vAlign w:val="bottom"/>
          </w:tcPr>
          <w:p w14:paraId="7C208B6D" w14:textId="77777777" w:rsidR="00834A75" w:rsidRDefault="00A6708C">
            <w:pPr>
              <w:textAlignment w:val="bottom"/>
            </w:pPr>
            <w:r>
              <w:rPr>
                <w:rFonts w:ascii="sans-serif" w:eastAsia="sans-serif" w:hAnsi="sans-serif" w:cs="sans-serif"/>
                <w:color w:val="000000"/>
                <w:sz w:val="20"/>
                <w:szCs w:val="20"/>
              </w:rPr>
              <w:t>Stock-based compensation expense</w:t>
            </w:r>
          </w:p>
        </w:tc>
        <w:tc>
          <w:tcPr>
            <w:tcW w:w="0" w:type="auto"/>
            <w:gridSpan w:val="2"/>
            <w:shd w:val="clear" w:color="auto" w:fill="FFFFFF"/>
            <w:tcMar>
              <w:top w:w="40" w:type="dxa"/>
              <w:left w:w="20" w:type="dxa"/>
              <w:bottom w:w="40" w:type="dxa"/>
              <w:right w:w="0" w:type="dxa"/>
            </w:tcMar>
            <w:vAlign w:val="bottom"/>
          </w:tcPr>
          <w:p w14:paraId="7C208B6E" w14:textId="77777777" w:rsidR="00834A75" w:rsidRDefault="00A6708C">
            <w:pPr>
              <w:jc w:val="right"/>
              <w:textAlignment w:val="bottom"/>
            </w:pPr>
            <w:r>
              <w:rPr>
                <w:rFonts w:ascii="sans-serif" w:eastAsia="sans-serif" w:hAnsi="sans-serif" w:cs="sans-serif"/>
                <w:color w:val="000000"/>
                <w:sz w:val="20"/>
                <w:szCs w:val="20"/>
              </w:rPr>
              <w:t>(578)</w:t>
            </w:r>
          </w:p>
        </w:tc>
        <w:tc>
          <w:tcPr>
            <w:tcW w:w="0" w:type="auto"/>
            <w:shd w:val="clear" w:color="auto" w:fill="FFFFFF"/>
            <w:tcMar>
              <w:top w:w="40" w:type="dxa"/>
              <w:left w:w="0" w:type="dxa"/>
              <w:bottom w:w="40" w:type="dxa"/>
              <w:right w:w="20" w:type="dxa"/>
            </w:tcMar>
            <w:vAlign w:val="bottom"/>
          </w:tcPr>
          <w:p w14:paraId="7C208B6F" w14:textId="77777777" w:rsidR="00834A75" w:rsidRDefault="00834A75">
            <w:pPr>
              <w:jc w:val="right"/>
              <w:rPr>
                <w:rFonts w:ascii="宋体"/>
              </w:rPr>
            </w:pPr>
          </w:p>
        </w:tc>
        <w:tc>
          <w:tcPr>
            <w:tcW w:w="0" w:type="auto"/>
            <w:gridSpan w:val="3"/>
            <w:shd w:val="clear" w:color="auto" w:fill="FFFFFF"/>
            <w:tcMar>
              <w:top w:w="0" w:type="dxa"/>
              <w:left w:w="20" w:type="dxa"/>
              <w:bottom w:w="0" w:type="dxa"/>
              <w:right w:w="20" w:type="dxa"/>
            </w:tcMar>
            <w:vAlign w:val="bottom"/>
          </w:tcPr>
          <w:p w14:paraId="7C208B70" w14:textId="77777777" w:rsidR="00834A75" w:rsidRDefault="00834A75">
            <w:pPr>
              <w:rPr>
                <w:rFonts w:ascii="宋体"/>
              </w:rPr>
            </w:pPr>
          </w:p>
        </w:tc>
        <w:tc>
          <w:tcPr>
            <w:tcW w:w="0" w:type="auto"/>
            <w:gridSpan w:val="2"/>
            <w:shd w:val="clear" w:color="auto" w:fill="FFFFFF"/>
            <w:tcMar>
              <w:top w:w="40" w:type="dxa"/>
              <w:left w:w="20" w:type="dxa"/>
              <w:bottom w:w="40" w:type="dxa"/>
              <w:right w:w="0" w:type="dxa"/>
            </w:tcMar>
            <w:vAlign w:val="bottom"/>
          </w:tcPr>
          <w:p w14:paraId="7C208B71" w14:textId="77777777" w:rsidR="00834A75" w:rsidRDefault="00A6708C">
            <w:pPr>
              <w:jc w:val="right"/>
              <w:textAlignment w:val="bottom"/>
            </w:pPr>
            <w:r>
              <w:rPr>
                <w:rFonts w:ascii="sans-serif" w:eastAsia="sans-serif" w:hAnsi="sans-serif" w:cs="sans-serif"/>
                <w:color w:val="000000"/>
                <w:sz w:val="20"/>
                <w:szCs w:val="20"/>
              </w:rPr>
              <w:t>(429)</w:t>
            </w:r>
          </w:p>
        </w:tc>
        <w:tc>
          <w:tcPr>
            <w:tcW w:w="0" w:type="auto"/>
            <w:shd w:val="clear" w:color="auto" w:fill="FFFFFF"/>
            <w:tcMar>
              <w:top w:w="40" w:type="dxa"/>
              <w:left w:w="0" w:type="dxa"/>
              <w:bottom w:w="40" w:type="dxa"/>
              <w:right w:w="20" w:type="dxa"/>
            </w:tcMar>
            <w:vAlign w:val="bottom"/>
          </w:tcPr>
          <w:p w14:paraId="7C208B72" w14:textId="77777777" w:rsidR="00834A75" w:rsidRDefault="00834A75">
            <w:pPr>
              <w:jc w:val="right"/>
              <w:rPr>
                <w:rFonts w:ascii="宋体"/>
              </w:rPr>
            </w:pPr>
          </w:p>
        </w:tc>
        <w:tc>
          <w:tcPr>
            <w:tcW w:w="0" w:type="auto"/>
            <w:gridSpan w:val="3"/>
            <w:shd w:val="clear" w:color="auto" w:fill="auto"/>
            <w:vAlign w:val="bottom"/>
          </w:tcPr>
          <w:p w14:paraId="7C208B73" w14:textId="77777777" w:rsidR="00834A75" w:rsidRDefault="00834A75">
            <w:pPr>
              <w:rPr>
                <w:rFonts w:ascii="宋体"/>
                <w:vanish/>
              </w:rPr>
            </w:pPr>
          </w:p>
        </w:tc>
        <w:tc>
          <w:tcPr>
            <w:tcW w:w="0" w:type="auto"/>
            <w:gridSpan w:val="3"/>
            <w:shd w:val="clear" w:color="auto" w:fill="auto"/>
            <w:vAlign w:val="bottom"/>
          </w:tcPr>
          <w:p w14:paraId="7C208B74" w14:textId="77777777" w:rsidR="00834A75" w:rsidRDefault="00834A75">
            <w:pPr>
              <w:rPr>
                <w:rFonts w:ascii="宋体"/>
                <w:vanish/>
              </w:rPr>
            </w:pPr>
          </w:p>
        </w:tc>
        <w:tc>
          <w:tcPr>
            <w:tcW w:w="0" w:type="auto"/>
            <w:gridSpan w:val="3"/>
            <w:shd w:val="clear" w:color="auto" w:fill="auto"/>
            <w:vAlign w:val="bottom"/>
          </w:tcPr>
          <w:p w14:paraId="7C208B75" w14:textId="77777777" w:rsidR="00834A75" w:rsidRDefault="00834A75">
            <w:pPr>
              <w:rPr>
                <w:rFonts w:ascii="宋体"/>
                <w:vanish/>
              </w:rPr>
            </w:pPr>
          </w:p>
        </w:tc>
        <w:tc>
          <w:tcPr>
            <w:tcW w:w="0" w:type="auto"/>
            <w:gridSpan w:val="3"/>
            <w:shd w:val="clear" w:color="auto" w:fill="auto"/>
            <w:vAlign w:val="bottom"/>
          </w:tcPr>
          <w:p w14:paraId="7C208B76" w14:textId="77777777" w:rsidR="00834A75" w:rsidRDefault="00834A75">
            <w:pPr>
              <w:rPr>
                <w:rFonts w:ascii="宋体"/>
                <w:vanish/>
              </w:rPr>
            </w:pPr>
          </w:p>
        </w:tc>
      </w:tr>
      <w:tr w:rsidR="00834A75" w14:paraId="7C208B82" w14:textId="77777777">
        <w:trPr>
          <w:jc w:val="center"/>
        </w:trPr>
        <w:tc>
          <w:tcPr>
            <w:tcW w:w="0" w:type="auto"/>
            <w:gridSpan w:val="3"/>
            <w:shd w:val="clear" w:color="auto" w:fill="E2EFD9"/>
            <w:tcMar>
              <w:top w:w="40" w:type="dxa"/>
              <w:left w:w="20" w:type="dxa"/>
              <w:bottom w:w="40" w:type="dxa"/>
              <w:right w:w="20" w:type="dxa"/>
            </w:tcMar>
            <w:vAlign w:val="bottom"/>
          </w:tcPr>
          <w:p w14:paraId="7C208B78" w14:textId="77777777" w:rsidR="00834A75" w:rsidRDefault="00A6708C">
            <w:pPr>
              <w:textAlignment w:val="bottom"/>
            </w:pPr>
            <w:r>
              <w:rPr>
                <w:rFonts w:ascii="sans-serif" w:eastAsia="sans-serif" w:hAnsi="sans-serif" w:cs="sans-serif"/>
                <w:color w:val="000000"/>
                <w:sz w:val="20"/>
                <w:szCs w:val="20"/>
              </w:rPr>
              <w:t>Acquisition-related and other costs</w:t>
            </w:r>
          </w:p>
        </w:tc>
        <w:tc>
          <w:tcPr>
            <w:tcW w:w="0" w:type="auto"/>
            <w:gridSpan w:val="2"/>
            <w:shd w:val="clear" w:color="auto" w:fill="E2EFD9"/>
            <w:tcMar>
              <w:top w:w="40" w:type="dxa"/>
              <w:left w:w="20" w:type="dxa"/>
              <w:bottom w:w="40" w:type="dxa"/>
              <w:right w:w="0" w:type="dxa"/>
            </w:tcMar>
            <w:vAlign w:val="bottom"/>
          </w:tcPr>
          <w:p w14:paraId="7C208B79" w14:textId="77777777" w:rsidR="00834A75" w:rsidRDefault="00A6708C">
            <w:pPr>
              <w:jc w:val="right"/>
              <w:textAlignment w:val="bottom"/>
            </w:pPr>
            <w:r>
              <w:rPr>
                <w:rFonts w:ascii="sans-serif" w:eastAsia="sans-serif" w:hAnsi="sans-serif" w:cs="sans-serif"/>
                <w:color w:val="000000"/>
                <w:sz w:val="20"/>
                <w:szCs w:val="20"/>
              </w:rPr>
              <w:t>(149)</w:t>
            </w:r>
          </w:p>
        </w:tc>
        <w:tc>
          <w:tcPr>
            <w:tcW w:w="0" w:type="auto"/>
            <w:shd w:val="clear" w:color="auto" w:fill="E2EFD9"/>
            <w:tcMar>
              <w:top w:w="40" w:type="dxa"/>
              <w:left w:w="0" w:type="dxa"/>
              <w:bottom w:w="40" w:type="dxa"/>
              <w:right w:w="20" w:type="dxa"/>
            </w:tcMar>
            <w:vAlign w:val="bottom"/>
          </w:tcPr>
          <w:p w14:paraId="7C208B7A" w14:textId="77777777" w:rsidR="00834A75" w:rsidRDefault="00834A75">
            <w:pPr>
              <w:jc w:val="right"/>
              <w:rPr>
                <w:rFonts w:ascii="宋体"/>
              </w:rPr>
            </w:pPr>
          </w:p>
        </w:tc>
        <w:tc>
          <w:tcPr>
            <w:tcW w:w="0" w:type="auto"/>
            <w:gridSpan w:val="3"/>
            <w:shd w:val="clear" w:color="auto" w:fill="E2EFD9"/>
            <w:tcMar>
              <w:top w:w="0" w:type="dxa"/>
              <w:left w:w="20" w:type="dxa"/>
              <w:bottom w:w="0" w:type="dxa"/>
              <w:right w:w="20" w:type="dxa"/>
            </w:tcMar>
            <w:vAlign w:val="bottom"/>
          </w:tcPr>
          <w:p w14:paraId="7C208B7B" w14:textId="77777777" w:rsidR="00834A75" w:rsidRDefault="00834A75">
            <w:pPr>
              <w:rPr>
                <w:rFonts w:ascii="宋体"/>
              </w:rPr>
            </w:pPr>
          </w:p>
        </w:tc>
        <w:tc>
          <w:tcPr>
            <w:tcW w:w="0" w:type="auto"/>
            <w:gridSpan w:val="2"/>
            <w:shd w:val="clear" w:color="auto" w:fill="E2EFD9"/>
            <w:tcMar>
              <w:top w:w="40" w:type="dxa"/>
              <w:left w:w="20" w:type="dxa"/>
              <w:bottom w:w="40" w:type="dxa"/>
              <w:right w:w="0" w:type="dxa"/>
            </w:tcMar>
            <w:vAlign w:val="bottom"/>
          </w:tcPr>
          <w:p w14:paraId="7C208B7C" w14:textId="77777777" w:rsidR="00834A75" w:rsidRDefault="00A6708C">
            <w:pPr>
              <w:jc w:val="right"/>
              <w:textAlignment w:val="bottom"/>
            </w:pPr>
            <w:r>
              <w:rPr>
                <w:rFonts w:ascii="sans-serif" w:eastAsia="sans-serif" w:hAnsi="sans-serif" w:cs="sans-serif"/>
                <w:color w:val="000000"/>
                <w:sz w:val="20"/>
                <w:szCs w:val="20"/>
              </w:rPr>
              <w:t>(167)</w:t>
            </w:r>
          </w:p>
        </w:tc>
        <w:tc>
          <w:tcPr>
            <w:tcW w:w="0" w:type="auto"/>
            <w:shd w:val="clear" w:color="auto" w:fill="E2EFD9"/>
            <w:tcMar>
              <w:top w:w="40" w:type="dxa"/>
              <w:left w:w="0" w:type="dxa"/>
              <w:bottom w:w="40" w:type="dxa"/>
              <w:right w:w="20" w:type="dxa"/>
            </w:tcMar>
            <w:vAlign w:val="bottom"/>
          </w:tcPr>
          <w:p w14:paraId="7C208B7D" w14:textId="77777777" w:rsidR="00834A75" w:rsidRDefault="00834A75">
            <w:pPr>
              <w:jc w:val="right"/>
              <w:rPr>
                <w:rFonts w:ascii="宋体"/>
              </w:rPr>
            </w:pPr>
          </w:p>
        </w:tc>
        <w:tc>
          <w:tcPr>
            <w:tcW w:w="0" w:type="auto"/>
            <w:gridSpan w:val="3"/>
            <w:shd w:val="clear" w:color="auto" w:fill="auto"/>
            <w:vAlign w:val="bottom"/>
          </w:tcPr>
          <w:p w14:paraId="7C208B7E" w14:textId="77777777" w:rsidR="00834A75" w:rsidRDefault="00834A75">
            <w:pPr>
              <w:rPr>
                <w:rFonts w:ascii="宋体"/>
                <w:vanish/>
              </w:rPr>
            </w:pPr>
          </w:p>
        </w:tc>
        <w:tc>
          <w:tcPr>
            <w:tcW w:w="0" w:type="auto"/>
            <w:gridSpan w:val="3"/>
            <w:shd w:val="clear" w:color="auto" w:fill="auto"/>
            <w:vAlign w:val="bottom"/>
          </w:tcPr>
          <w:p w14:paraId="7C208B7F" w14:textId="77777777" w:rsidR="00834A75" w:rsidRDefault="00834A75">
            <w:pPr>
              <w:rPr>
                <w:rFonts w:ascii="宋体"/>
                <w:vanish/>
              </w:rPr>
            </w:pPr>
          </w:p>
        </w:tc>
        <w:tc>
          <w:tcPr>
            <w:tcW w:w="0" w:type="auto"/>
            <w:gridSpan w:val="3"/>
            <w:shd w:val="clear" w:color="auto" w:fill="auto"/>
            <w:vAlign w:val="bottom"/>
          </w:tcPr>
          <w:p w14:paraId="7C208B80" w14:textId="77777777" w:rsidR="00834A75" w:rsidRDefault="00834A75">
            <w:pPr>
              <w:rPr>
                <w:rFonts w:ascii="宋体"/>
                <w:vanish/>
              </w:rPr>
            </w:pPr>
          </w:p>
        </w:tc>
        <w:tc>
          <w:tcPr>
            <w:tcW w:w="0" w:type="auto"/>
            <w:gridSpan w:val="3"/>
            <w:shd w:val="clear" w:color="auto" w:fill="auto"/>
            <w:vAlign w:val="bottom"/>
          </w:tcPr>
          <w:p w14:paraId="7C208B81" w14:textId="77777777" w:rsidR="00834A75" w:rsidRDefault="00834A75">
            <w:pPr>
              <w:rPr>
                <w:rFonts w:ascii="宋体"/>
                <w:vanish/>
              </w:rPr>
            </w:pPr>
          </w:p>
        </w:tc>
      </w:tr>
      <w:tr w:rsidR="00834A75" w14:paraId="7C208B8D" w14:textId="77777777">
        <w:trPr>
          <w:jc w:val="center"/>
        </w:trPr>
        <w:tc>
          <w:tcPr>
            <w:tcW w:w="0" w:type="auto"/>
            <w:gridSpan w:val="3"/>
            <w:shd w:val="clear" w:color="auto" w:fill="FFFFFF"/>
            <w:tcMar>
              <w:top w:w="40" w:type="dxa"/>
              <w:left w:w="20" w:type="dxa"/>
              <w:bottom w:w="40" w:type="dxa"/>
              <w:right w:w="20" w:type="dxa"/>
            </w:tcMar>
            <w:vAlign w:val="bottom"/>
          </w:tcPr>
          <w:p w14:paraId="7C208B83" w14:textId="77777777" w:rsidR="00834A75" w:rsidRDefault="00A6708C">
            <w:pPr>
              <w:textAlignment w:val="bottom"/>
            </w:pPr>
            <w:r>
              <w:rPr>
                <w:rFonts w:ascii="sans-serif" w:eastAsia="sans-serif" w:hAnsi="sans-serif" w:cs="sans-serif"/>
                <w:color w:val="000000"/>
                <w:sz w:val="20"/>
                <w:szCs w:val="20"/>
              </w:rPr>
              <w:t xml:space="preserve">Unallocated cost of revenue and operating expenses </w:t>
            </w:r>
          </w:p>
        </w:tc>
        <w:tc>
          <w:tcPr>
            <w:tcW w:w="0" w:type="auto"/>
            <w:gridSpan w:val="2"/>
            <w:shd w:val="clear" w:color="auto" w:fill="FFFFFF"/>
            <w:tcMar>
              <w:top w:w="40" w:type="dxa"/>
              <w:left w:w="20" w:type="dxa"/>
              <w:bottom w:w="40" w:type="dxa"/>
              <w:right w:w="0" w:type="dxa"/>
            </w:tcMar>
            <w:vAlign w:val="bottom"/>
          </w:tcPr>
          <w:p w14:paraId="7C208B84" w14:textId="77777777" w:rsidR="00834A75" w:rsidRDefault="00A6708C">
            <w:pPr>
              <w:jc w:val="right"/>
              <w:textAlignment w:val="bottom"/>
            </w:pPr>
            <w:r>
              <w:rPr>
                <w:rFonts w:ascii="sans-serif" w:eastAsia="sans-serif" w:hAnsi="sans-serif" w:cs="sans-serif"/>
                <w:color w:val="000000"/>
                <w:sz w:val="20"/>
                <w:szCs w:val="20"/>
              </w:rPr>
              <w:t>(127)</w:t>
            </w:r>
          </w:p>
        </w:tc>
        <w:tc>
          <w:tcPr>
            <w:tcW w:w="0" w:type="auto"/>
            <w:shd w:val="clear" w:color="auto" w:fill="FFFFFF"/>
            <w:tcMar>
              <w:top w:w="40" w:type="dxa"/>
              <w:left w:w="0" w:type="dxa"/>
              <w:bottom w:w="40" w:type="dxa"/>
              <w:right w:w="20" w:type="dxa"/>
            </w:tcMar>
            <w:vAlign w:val="bottom"/>
          </w:tcPr>
          <w:p w14:paraId="7C208B85" w14:textId="77777777" w:rsidR="00834A75" w:rsidRDefault="00834A75">
            <w:pPr>
              <w:jc w:val="right"/>
              <w:rPr>
                <w:rFonts w:ascii="宋体"/>
              </w:rPr>
            </w:pPr>
          </w:p>
        </w:tc>
        <w:tc>
          <w:tcPr>
            <w:tcW w:w="0" w:type="auto"/>
            <w:gridSpan w:val="3"/>
            <w:shd w:val="clear" w:color="auto" w:fill="FFFFFF"/>
            <w:tcMar>
              <w:top w:w="0" w:type="dxa"/>
              <w:left w:w="20" w:type="dxa"/>
              <w:bottom w:w="0" w:type="dxa"/>
              <w:right w:w="20" w:type="dxa"/>
            </w:tcMar>
            <w:vAlign w:val="bottom"/>
          </w:tcPr>
          <w:p w14:paraId="7C208B86" w14:textId="77777777" w:rsidR="00834A75" w:rsidRDefault="00834A75">
            <w:pPr>
              <w:rPr>
                <w:rFonts w:ascii="宋体"/>
              </w:rPr>
            </w:pPr>
          </w:p>
        </w:tc>
        <w:tc>
          <w:tcPr>
            <w:tcW w:w="0" w:type="auto"/>
            <w:gridSpan w:val="2"/>
            <w:shd w:val="clear" w:color="auto" w:fill="FFFFFF"/>
            <w:tcMar>
              <w:top w:w="40" w:type="dxa"/>
              <w:left w:w="20" w:type="dxa"/>
              <w:bottom w:w="40" w:type="dxa"/>
              <w:right w:w="0" w:type="dxa"/>
            </w:tcMar>
            <w:vAlign w:val="bottom"/>
          </w:tcPr>
          <w:p w14:paraId="7C208B87" w14:textId="77777777" w:rsidR="00834A75" w:rsidRDefault="00A6708C">
            <w:pPr>
              <w:jc w:val="right"/>
              <w:textAlignment w:val="bottom"/>
            </w:pPr>
            <w:r>
              <w:rPr>
                <w:rFonts w:ascii="sans-serif" w:eastAsia="sans-serif" w:hAnsi="sans-serif" w:cs="sans-serif"/>
                <w:color w:val="000000"/>
                <w:sz w:val="20"/>
                <w:szCs w:val="20"/>
              </w:rPr>
              <w:t>(90)</w:t>
            </w:r>
          </w:p>
        </w:tc>
        <w:tc>
          <w:tcPr>
            <w:tcW w:w="0" w:type="auto"/>
            <w:shd w:val="clear" w:color="auto" w:fill="FFFFFF"/>
            <w:tcMar>
              <w:top w:w="40" w:type="dxa"/>
              <w:left w:w="0" w:type="dxa"/>
              <w:bottom w:w="40" w:type="dxa"/>
              <w:right w:w="20" w:type="dxa"/>
            </w:tcMar>
            <w:vAlign w:val="bottom"/>
          </w:tcPr>
          <w:p w14:paraId="7C208B88" w14:textId="77777777" w:rsidR="00834A75" w:rsidRDefault="00834A75">
            <w:pPr>
              <w:jc w:val="right"/>
              <w:rPr>
                <w:rFonts w:ascii="宋体"/>
              </w:rPr>
            </w:pPr>
          </w:p>
        </w:tc>
        <w:tc>
          <w:tcPr>
            <w:tcW w:w="0" w:type="auto"/>
            <w:gridSpan w:val="3"/>
            <w:shd w:val="clear" w:color="auto" w:fill="auto"/>
            <w:vAlign w:val="bottom"/>
          </w:tcPr>
          <w:p w14:paraId="7C208B89" w14:textId="77777777" w:rsidR="00834A75" w:rsidRDefault="00834A75">
            <w:pPr>
              <w:rPr>
                <w:rFonts w:ascii="宋体"/>
                <w:vanish/>
              </w:rPr>
            </w:pPr>
          </w:p>
        </w:tc>
        <w:tc>
          <w:tcPr>
            <w:tcW w:w="0" w:type="auto"/>
            <w:gridSpan w:val="3"/>
            <w:shd w:val="clear" w:color="auto" w:fill="auto"/>
            <w:vAlign w:val="bottom"/>
          </w:tcPr>
          <w:p w14:paraId="7C208B8A" w14:textId="77777777" w:rsidR="00834A75" w:rsidRDefault="00834A75">
            <w:pPr>
              <w:rPr>
                <w:rFonts w:ascii="宋体"/>
                <w:vanish/>
              </w:rPr>
            </w:pPr>
          </w:p>
        </w:tc>
        <w:tc>
          <w:tcPr>
            <w:tcW w:w="0" w:type="auto"/>
            <w:gridSpan w:val="3"/>
            <w:shd w:val="clear" w:color="auto" w:fill="auto"/>
            <w:vAlign w:val="bottom"/>
          </w:tcPr>
          <w:p w14:paraId="7C208B8B" w14:textId="77777777" w:rsidR="00834A75" w:rsidRDefault="00834A75">
            <w:pPr>
              <w:rPr>
                <w:rFonts w:ascii="宋体"/>
                <w:vanish/>
              </w:rPr>
            </w:pPr>
          </w:p>
        </w:tc>
        <w:tc>
          <w:tcPr>
            <w:tcW w:w="0" w:type="auto"/>
            <w:gridSpan w:val="3"/>
            <w:shd w:val="clear" w:color="auto" w:fill="auto"/>
            <w:vAlign w:val="bottom"/>
          </w:tcPr>
          <w:p w14:paraId="7C208B8C" w14:textId="77777777" w:rsidR="00834A75" w:rsidRDefault="00834A75">
            <w:pPr>
              <w:rPr>
                <w:rFonts w:ascii="宋体"/>
                <w:vanish/>
              </w:rPr>
            </w:pPr>
          </w:p>
        </w:tc>
      </w:tr>
      <w:tr w:rsidR="00834A75" w14:paraId="7C208B98" w14:textId="77777777">
        <w:trPr>
          <w:jc w:val="center"/>
        </w:trPr>
        <w:tc>
          <w:tcPr>
            <w:tcW w:w="0" w:type="auto"/>
            <w:gridSpan w:val="3"/>
            <w:shd w:val="clear" w:color="auto" w:fill="E2EFD9"/>
            <w:tcMar>
              <w:top w:w="40" w:type="dxa"/>
              <w:left w:w="20" w:type="dxa"/>
              <w:bottom w:w="40" w:type="dxa"/>
              <w:right w:w="20" w:type="dxa"/>
            </w:tcMar>
            <w:vAlign w:val="bottom"/>
          </w:tcPr>
          <w:p w14:paraId="7C208B8E" w14:textId="77777777" w:rsidR="00834A75" w:rsidRDefault="00A6708C">
            <w:pPr>
              <w:textAlignment w:val="bottom"/>
            </w:pPr>
            <w:r>
              <w:rPr>
                <w:rFonts w:ascii="sans-serif" w:eastAsia="sans-serif" w:hAnsi="sans-serif" w:cs="sans-serif"/>
                <w:color w:val="000000"/>
                <w:sz w:val="20"/>
                <w:szCs w:val="20"/>
              </w:rPr>
              <w:t>IP-related and legal settlement costs</w:t>
            </w:r>
          </w:p>
        </w:tc>
        <w:tc>
          <w:tcPr>
            <w:tcW w:w="0" w:type="auto"/>
            <w:gridSpan w:val="2"/>
            <w:shd w:val="clear" w:color="auto" w:fill="E2EFD9"/>
            <w:tcMar>
              <w:top w:w="40" w:type="dxa"/>
              <w:left w:w="20" w:type="dxa"/>
              <w:bottom w:w="40" w:type="dxa"/>
              <w:right w:w="0" w:type="dxa"/>
            </w:tcMar>
            <w:vAlign w:val="bottom"/>
          </w:tcPr>
          <w:p w14:paraId="7C208B8F" w14:textId="77777777" w:rsidR="00834A75" w:rsidRDefault="00A6708C">
            <w:pPr>
              <w:jc w:val="right"/>
              <w:textAlignment w:val="bottom"/>
            </w:pPr>
            <w:r>
              <w:rPr>
                <w:rFonts w:ascii="sans-serif" w:eastAsia="sans-serif" w:hAnsi="sans-serif" w:cs="sans-serif"/>
                <w:color w:val="000000"/>
                <w:sz w:val="20"/>
                <w:szCs w:val="20"/>
              </w:rPr>
              <w:t>(7)</w:t>
            </w:r>
          </w:p>
        </w:tc>
        <w:tc>
          <w:tcPr>
            <w:tcW w:w="0" w:type="auto"/>
            <w:shd w:val="clear" w:color="auto" w:fill="E2EFD9"/>
            <w:tcMar>
              <w:top w:w="40" w:type="dxa"/>
              <w:left w:w="0" w:type="dxa"/>
              <w:bottom w:w="40" w:type="dxa"/>
              <w:right w:w="20" w:type="dxa"/>
            </w:tcMar>
            <w:vAlign w:val="bottom"/>
          </w:tcPr>
          <w:p w14:paraId="7C208B90" w14:textId="77777777" w:rsidR="00834A75" w:rsidRDefault="00834A75">
            <w:pPr>
              <w:jc w:val="right"/>
              <w:rPr>
                <w:rFonts w:ascii="宋体"/>
              </w:rPr>
            </w:pPr>
          </w:p>
        </w:tc>
        <w:tc>
          <w:tcPr>
            <w:tcW w:w="0" w:type="auto"/>
            <w:gridSpan w:val="3"/>
            <w:shd w:val="clear" w:color="auto" w:fill="E2EFD9"/>
            <w:tcMar>
              <w:top w:w="0" w:type="dxa"/>
              <w:left w:w="20" w:type="dxa"/>
              <w:bottom w:w="0" w:type="dxa"/>
              <w:right w:w="20" w:type="dxa"/>
            </w:tcMar>
            <w:vAlign w:val="bottom"/>
          </w:tcPr>
          <w:p w14:paraId="7C208B91" w14:textId="77777777" w:rsidR="00834A75" w:rsidRDefault="00834A75">
            <w:pPr>
              <w:rPr>
                <w:rFonts w:ascii="宋体"/>
              </w:rPr>
            </w:pPr>
          </w:p>
        </w:tc>
        <w:tc>
          <w:tcPr>
            <w:tcW w:w="0" w:type="auto"/>
            <w:gridSpan w:val="2"/>
            <w:shd w:val="clear" w:color="auto" w:fill="E2EFD9"/>
            <w:tcMar>
              <w:top w:w="40" w:type="dxa"/>
              <w:left w:w="20" w:type="dxa"/>
              <w:bottom w:w="40" w:type="dxa"/>
              <w:right w:w="0" w:type="dxa"/>
            </w:tcMar>
            <w:vAlign w:val="bottom"/>
          </w:tcPr>
          <w:p w14:paraId="7C208B92" w14:textId="77777777" w:rsidR="00834A75" w:rsidRDefault="00A6708C">
            <w:pPr>
              <w:jc w:val="right"/>
              <w:textAlignment w:val="bottom"/>
            </w:pPr>
            <w:r>
              <w:rPr>
                <w:rFonts w:ascii="sans-serif" w:eastAsia="sans-serif" w:hAnsi="sans-serif" w:cs="sans-serif"/>
                <w:color w:val="000000"/>
                <w:sz w:val="20"/>
                <w:szCs w:val="20"/>
              </w:rPr>
              <w:t>(5)</w:t>
            </w:r>
          </w:p>
        </w:tc>
        <w:tc>
          <w:tcPr>
            <w:tcW w:w="0" w:type="auto"/>
            <w:shd w:val="clear" w:color="auto" w:fill="E2EFD9"/>
            <w:tcMar>
              <w:top w:w="40" w:type="dxa"/>
              <w:left w:w="0" w:type="dxa"/>
              <w:bottom w:w="40" w:type="dxa"/>
              <w:right w:w="20" w:type="dxa"/>
            </w:tcMar>
            <w:vAlign w:val="bottom"/>
          </w:tcPr>
          <w:p w14:paraId="7C208B93" w14:textId="77777777" w:rsidR="00834A75" w:rsidRDefault="00834A75">
            <w:pPr>
              <w:jc w:val="right"/>
              <w:rPr>
                <w:rFonts w:ascii="宋体"/>
              </w:rPr>
            </w:pPr>
          </w:p>
        </w:tc>
        <w:tc>
          <w:tcPr>
            <w:tcW w:w="0" w:type="auto"/>
            <w:gridSpan w:val="3"/>
            <w:shd w:val="clear" w:color="auto" w:fill="auto"/>
            <w:vAlign w:val="bottom"/>
          </w:tcPr>
          <w:p w14:paraId="7C208B94" w14:textId="77777777" w:rsidR="00834A75" w:rsidRDefault="00834A75">
            <w:pPr>
              <w:rPr>
                <w:rFonts w:ascii="宋体"/>
                <w:vanish/>
              </w:rPr>
            </w:pPr>
          </w:p>
        </w:tc>
        <w:tc>
          <w:tcPr>
            <w:tcW w:w="0" w:type="auto"/>
            <w:gridSpan w:val="3"/>
            <w:shd w:val="clear" w:color="auto" w:fill="auto"/>
            <w:vAlign w:val="bottom"/>
          </w:tcPr>
          <w:p w14:paraId="7C208B95" w14:textId="77777777" w:rsidR="00834A75" w:rsidRDefault="00834A75">
            <w:pPr>
              <w:rPr>
                <w:rFonts w:ascii="宋体"/>
                <w:vanish/>
              </w:rPr>
            </w:pPr>
          </w:p>
        </w:tc>
        <w:tc>
          <w:tcPr>
            <w:tcW w:w="0" w:type="auto"/>
            <w:gridSpan w:val="3"/>
            <w:shd w:val="clear" w:color="auto" w:fill="auto"/>
            <w:vAlign w:val="bottom"/>
          </w:tcPr>
          <w:p w14:paraId="7C208B96" w14:textId="77777777" w:rsidR="00834A75" w:rsidRDefault="00834A75">
            <w:pPr>
              <w:rPr>
                <w:rFonts w:ascii="宋体"/>
                <w:vanish/>
              </w:rPr>
            </w:pPr>
          </w:p>
        </w:tc>
        <w:tc>
          <w:tcPr>
            <w:tcW w:w="0" w:type="auto"/>
            <w:gridSpan w:val="3"/>
            <w:shd w:val="clear" w:color="auto" w:fill="auto"/>
            <w:vAlign w:val="bottom"/>
          </w:tcPr>
          <w:p w14:paraId="7C208B97" w14:textId="77777777" w:rsidR="00834A75" w:rsidRDefault="00834A75">
            <w:pPr>
              <w:rPr>
                <w:rFonts w:ascii="宋体"/>
                <w:vanish/>
              </w:rPr>
            </w:pPr>
          </w:p>
        </w:tc>
      </w:tr>
      <w:tr w:rsidR="00834A75" w14:paraId="7C208BA1" w14:textId="77777777">
        <w:trPr>
          <w:jc w:val="center"/>
          <w:hidden/>
        </w:trPr>
        <w:tc>
          <w:tcPr>
            <w:tcW w:w="0" w:type="auto"/>
            <w:gridSpan w:val="3"/>
            <w:shd w:val="clear" w:color="auto" w:fill="auto"/>
            <w:vAlign w:val="bottom"/>
          </w:tcPr>
          <w:p w14:paraId="7C208B99" w14:textId="77777777" w:rsidR="00834A75" w:rsidRDefault="00834A75">
            <w:pPr>
              <w:rPr>
                <w:rFonts w:ascii="宋体"/>
                <w:vanish/>
              </w:rPr>
            </w:pPr>
          </w:p>
        </w:tc>
        <w:tc>
          <w:tcPr>
            <w:tcW w:w="0" w:type="auto"/>
            <w:gridSpan w:val="3"/>
            <w:shd w:val="clear" w:color="auto" w:fill="auto"/>
            <w:vAlign w:val="bottom"/>
          </w:tcPr>
          <w:p w14:paraId="7C208B9A" w14:textId="77777777" w:rsidR="00834A75" w:rsidRDefault="00834A75">
            <w:pPr>
              <w:rPr>
                <w:rFonts w:ascii="宋体"/>
                <w:vanish/>
              </w:rPr>
            </w:pPr>
          </w:p>
        </w:tc>
        <w:tc>
          <w:tcPr>
            <w:tcW w:w="0" w:type="auto"/>
            <w:gridSpan w:val="3"/>
            <w:shd w:val="clear" w:color="auto" w:fill="auto"/>
            <w:vAlign w:val="bottom"/>
          </w:tcPr>
          <w:p w14:paraId="7C208B9B" w14:textId="77777777" w:rsidR="00834A75" w:rsidRDefault="00834A75">
            <w:pPr>
              <w:rPr>
                <w:rFonts w:ascii="宋体"/>
                <w:vanish/>
              </w:rPr>
            </w:pPr>
          </w:p>
        </w:tc>
        <w:tc>
          <w:tcPr>
            <w:tcW w:w="0" w:type="auto"/>
            <w:gridSpan w:val="3"/>
            <w:shd w:val="clear" w:color="auto" w:fill="auto"/>
            <w:vAlign w:val="bottom"/>
          </w:tcPr>
          <w:p w14:paraId="7C208B9C" w14:textId="77777777" w:rsidR="00834A75" w:rsidRDefault="00834A75">
            <w:pPr>
              <w:rPr>
                <w:rFonts w:ascii="宋体"/>
                <w:vanish/>
              </w:rPr>
            </w:pPr>
          </w:p>
        </w:tc>
        <w:tc>
          <w:tcPr>
            <w:tcW w:w="0" w:type="auto"/>
            <w:gridSpan w:val="3"/>
            <w:shd w:val="clear" w:color="auto" w:fill="auto"/>
            <w:vAlign w:val="bottom"/>
          </w:tcPr>
          <w:p w14:paraId="7C208B9D" w14:textId="77777777" w:rsidR="00834A75" w:rsidRDefault="00834A75">
            <w:pPr>
              <w:rPr>
                <w:rFonts w:ascii="宋体"/>
                <w:vanish/>
              </w:rPr>
            </w:pPr>
          </w:p>
        </w:tc>
        <w:tc>
          <w:tcPr>
            <w:tcW w:w="0" w:type="auto"/>
            <w:gridSpan w:val="3"/>
            <w:shd w:val="clear" w:color="auto" w:fill="auto"/>
            <w:vAlign w:val="bottom"/>
          </w:tcPr>
          <w:p w14:paraId="7C208B9E" w14:textId="77777777" w:rsidR="00834A75" w:rsidRDefault="00834A75">
            <w:pPr>
              <w:rPr>
                <w:rFonts w:ascii="宋体"/>
                <w:vanish/>
              </w:rPr>
            </w:pPr>
          </w:p>
        </w:tc>
        <w:tc>
          <w:tcPr>
            <w:tcW w:w="0" w:type="auto"/>
            <w:gridSpan w:val="3"/>
            <w:shd w:val="clear" w:color="auto" w:fill="auto"/>
            <w:vAlign w:val="bottom"/>
          </w:tcPr>
          <w:p w14:paraId="7C208B9F" w14:textId="77777777" w:rsidR="00834A75" w:rsidRDefault="00834A75">
            <w:pPr>
              <w:rPr>
                <w:rFonts w:ascii="宋体"/>
                <w:vanish/>
              </w:rPr>
            </w:pPr>
          </w:p>
        </w:tc>
        <w:tc>
          <w:tcPr>
            <w:tcW w:w="0" w:type="auto"/>
            <w:gridSpan w:val="3"/>
            <w:shd w:val="clear" w:color="auto" w:fill="auto"/>
            <w:vAlign w:val="bottom"/>
          </w:tcPr>
          <w:p w14:paraId="7C208BA0" w14:textId="77777777" w:rsidR="00834A75" w:rsidRDefault="00834A75">
            <w:pPr>
              <w:rPr>
                <w:rFonts w:ascii="宋体"/>
                <w:vanish/>
              </w:rPr>
            </w:pPr>
          </w:p>
        </w:tc>
      </w:tr>
      <w:tr w:rsidR="00834A75" w14:paraId="7C208BAA" w14:textId="77777777">
        <w:trPr>
          <w:jc w:val="center"/>
          <w:hidden/>
        </w:trPr>
        <w:tc>
          <w:tcPr>
            <w:tcW w:w="0" w:type="auto"/>
            <w:gridSpan w:val="3"/>
            <w:shd w:val="clear" w:color="auto" w:fill="auto"/>
            <w:vAlign w:val="bottom"/>
          </w:tcPr>
          <w:p w14:paraId="7C208BA2" w14:textId="77777777" w:rsidR="00834A75" w:rsidRDefault="00834A75">
            <w:pPr>
              <w:rPr>
                <w:rFonts w:ascii="宋体"/>
                <w:vanish/>
              </w:rPr>
            </w:pPr>
          </w:p>
        </w:tc>
        <w:tc>
          <w:tcPr>
            <w:tcW w:w="0" w:type="auto"/>
            <w:gridSpan w:val="3"/>
            <w:shd w:val="clear" w:color="auto" w:fill="auto"/>
            <w:vAlign w:val="bottom"/>
          </w:tcPr>
          <w:p w14:paraId="7C208BA3" w14:textId="77777777" w:rsidR="00834A75" w:rsidRDefault="00834A75">
            <w:pPr>
              <w:rPr>
                <w:rFonts w:ascii="宋体"/>
                <w:vanish/>
              </w:rPr>
            </w:pPr>
          </w:p>
        </w:tc>
        <w:tc>
          <w:tcPr>
            <w:tcW w:w="0" w:type="auto"/>
            <w:gridSpan w:val="3"/>
            <w:shd w:val="clear" w:color="auto" w:fill="auto"/>
            <w:vAlign w:val="bottom"/>
          </w:tcPr>
          <w:p w14:paraId="7C208BA4" w14:textId="77777777" w:rsidR="00834A75" w:rsidRDefault="00834A75">
            <w:pPr>
              <w:rPr>
                <w:rFonts w:ascii="宋体"/>
                <w:vanish/>
              </w:rPr>
            </w:pPr>
          </w:p>
        </w:tc>
        <w:tc>
          <w:tcPr>
            <w:tcW w:w="0" w:type="auto"/>
            <w:gridSpan w:val="3"/>
            <w:shd w:val="clear" w:color="auto" w:fill="auto"/>
            <w:vAlign w:val="bottom"/>
          </w:tcPr>
          <w:p w14:paraId="7C208BA5" w14:textId="77777777" w:rsidR="00834A75" w:rsidRDefault="00834A75">
            <w:pPr>
              <w:rPr>
                <w:rFonts w:ascii="宋体"/>
                <w:vanish/>
              </w:rPr>
            </w:pPr>
          </w:p>
        </w:tc>
        <w:tc>
          <w:tcPr>
            <w:tcW w:w="0" w:type="auto"/>
            <w:gridSpan w:val="3"/>
            <w:shd w:val="clear" w:color="auto" w:fill="auto"/>
            <w:vAlign w:val="bottom"/>
          </w:tcPr>
          <w:p w14:paraId="7C208BA6" w14:textId="77777777" w:rsidR="00834A75" w:rsidRDefault="00834A75">
            <w:pPr>
              <w:rPr>
                <w:rFonts w:ascii="宋体"/>
                <w:vanish/>
              </w:rPr>
            </w:pPr>
          </w:p>
        </w:tc>
        <w:tc>
          <w:tcPr>
            <w:tcW w:w="0" w:type="auto"/>
            <w:gridSpan w:val="3"/>
            <w:shd w:val="clear" w:color="auto" w:fill="auto"/>
            <w:vAlign w:val="bottom"/>
          </w:tcPr>
          <w:p w14:paraId="7C208BA7" w14:textId="77777777" w:rsidR="00834A75" w:rsidRDefault="00834A75">
            <w:pPr>
              <w:rPr>
                <w:rFonts w:ascii="宋体"/>
                <w:vanish/>
              </w:rPr>
            </w:pPr>
          </w:p>
        </w:tc>
        <w:tc>
          <w:tcPr>
            <w:tcW w:w="0" w:type="auto"/>
            <w:gridSpan w:val="3"/>
            <w:shd w:val="clear" w:color="auto" w:fill="auto"/>
            <w:vAlign w:val="bottom"/>
          </w:tcPr>
          <w:p w14:paraId="7C208BA8" w14:textId="77777777" w:rsidR="00834A75" w:rsidRDefault="00834A75">
            <w:pPr>
              <w:rPr>
                <w:rFonts w:ascii="宋体"/>
                <w:vanish/>
              </w:rPr>
            </w:pPr>
          </w:p>
        </w:tc>
        <w:tc>
          <w:tcPr>
            <w:tcW w:w="0" w:type="auto"/>
            <w:gridSpan w:val="3"/>
            <w:shd w:val="clear" w:color="auto" w:fill="auto"/>
            <w:vAlign w:val="bottom"/>
          </w:tcPr>
          <w:p w14:paraId="7C208BA9" w14:textId="77777777" w:rsidR="00834A75" w:rsidRDefault="00834A75">
            <w:pPr>
              <w:rPr>
                <w:rFonts w:ascii="宋体"/>
                <w:vanish/>
              </w:rPr>
            </w:pPr>
          </w:p>
        </w:tc>
      </w:tr>
      <w:tr w:rsidR="00834A75" w14:paraId="7C208BB7" w14:textId="77777777">
        <w:trPr>
          <w:jc w:val="center"/>
        </w:trPr>
        <w:tc>
          <w:tcPr>
            <w:tcW w:w="0" w:type="auto"/>
            <w:gridSpan w:val="3"/>
            <w:shd w:val="clear" w:color="auto" w:fill="FFFFFF"/>
            <w:tcMar>
              <w:top w:w="40" w:type="dxa"/>
              <w:left w:w="20" w:type="dxa"/>
              <w:bottom w:w="40" w:type="dxa"/>
              <w:right w:w="20" w:type="dxa"/>
            </w:tcMar>
            <w:vAlign w:val="bottom"/>
          </w:tcPr>
          <w:p w14:paraId="7C208BAB" w14:textId="77777777" w:rsidR="00834A75" w:rsidRDefault="00A6708C">
            <w:pPr>
              <w:textAlignment w:val="bottom"/>
            </w:pPr>
            <w:r>
              <w:rPr>
                <w:rFonts w:ascii="sans-serif" w:eastAsia="sans-serif" w:hAnsi="sans-serif" w:cs="sans-serif"/>
                <w:color w:val="000000"/>
                <w:sz w:val="20"/>
                <w:szCs w:val="20"/>
              </w:rPr>
              <w:t>Total</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C208BAC" w14:textId="77777777" w:rsidR="00834A75" w:rsidRDefault="00A6708C">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C208BAD" w14:textId="77777777" w:rsidR="00834A75" w:rsidRDefault="00A6708C">
            <w:pPr>
              <w:jc w:val="right"/>
              <w:textAlignment w:val="bottom"/>
            </w:pPr>
            <w:r>
              <w:rPr>
                <w:rFonts w:ascii="sans-serif" w:eastAsia="sans-serif" w:hAnsi="sans-serif" w:cs="sans-serif"/>
                <w:color w:val="000000"/>
                <w:sz w:val="20"/>
                <w:szCs w:val="20"/>
              </w:rPr>
              <w:t>(2,214)</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C208BAE" w14:textId="77777777" w:rsidR="00834A75" w:rsidRDefault="00834A75">
            <w:pPr>
              <w:jc w:val="right"/>
              <w:rPr>
                <w:rFonts w:ascii="宋体"/>
              </w:rPr>
            </w:pPr>
          </w:p>
        </w:tc>
        <w:tc>
          <w:tcPr>
            <w:tcW w:w="0" w:type="auto"/>
            <w:gridSpan w:val="3"/>
            <w:shd w:val="clear" w:color="auto" w:fill="FFFFFF"/>
            <w:tcMar>
              <w:top w:w="0" w:type="dxa"/>
              <w:left w:w="20" w:type="dxa"/>
              <w:bottom w:w="0" w:type="dxa"/>
              <w:right w:w="20" w:type="dxa"/>
            </w:tcMar>
            <w:vAlign w:val="bottom"/>
          </w:tcPr>
          <w:p w14:paraId="7C208BAF" w14:textId="77777777" w:rsidR="00834A75" w:rsidRDefault="00834A75">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C208BB0" w14:textId="77777777" w:rsidR="00834A75" w:rsidRDefault="00A6708C">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C208BB1" w14:textId="77777777" w:rsidR="00834A75" w:rsidRDefault="00A6708C">
            <w:pPr>
              <w:jc w:val="right"/>
              <w:textAlignment w:val="bottom"/>
            </w:pPr>
            <w:r>
              <w:rPr>
                <w:rFonts w:ascii="sans-serif" w:eastAsia="sans-serif" w:hAnsi="sans-serif" w:cs="sans-serif"/>
                <w:color w:val="000000"/>
                <w:sz w:val="20"/>
                <w:szCs w:val="20"/>
              </w:rPr>
              <w:t>(691)</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C208BB2" w14:textId="77777777" w:rsidR="00834A75" w:rsidRDefault="00834A75">
            <w:pPr>
              <w:jc w:val="right"/>
              <w:rPr>
                <w:rFonts w:ascii="宋体"/>
              </w:rPr>
            </w:pPr>
          </w:p>
        </w:tc>
        <w:tc>
          <w:tcPr>
            <w:tcW w:w="0" w:type="auto"/>
            <w:gridSpan w:val="3"/>
            <w:shd w:val="clear" w:color="auto" w:fill="auto"/>
            <w:vAlign w:val="bottom"/>
          </w:tcPr>
          <w:p w14:paraId="7C208BB3" w14:textId="77777777" w:rsidR="00834A75" w:rsidRDefault="00834A75">
            <w:pPr>
              <w:rPr>
                <w:rFonts w:ascii="宋体"/>
                <w:vanish/>
              </w:rPr>
            </w:pPr>
          </w:p>
        </w:tc>
        <w:tc>
          <w:tcPr>
            <w:tcW w:w="0" w:type="auto"/>
            <w:gridSpan w:val="3"/>
            <w:shd w:val="clear" w:color="auto" w:fill="auto"/>
            <w:vAlign w:val="bottom"/>
          </w:tcPr>
          <w:p w14:paraId="7C208BB4" w14:textId="77777777" w:rsidR="00834A75" w:rsidRDefault="00834A75">
            <w:pPr>
              <w:rPr>
                <w:rFonts w:ascii="宋体"/>
                <w:vanish/>
              </w:rPr>
            </w:pPr>
          </w:p>
        </w:tc>
        <w:tc>
          <w:tcPr>
            <w:tcW w:w="0" w:type="auto"/>
            <w:gridSpan w:val="3"/>
            <w:shd w:val="clear" w:color="auto" w:fill="auto"/>
            <w:vAlign w:val="bottom"/>
          </w:tcPr>
          <w:p w14:paraId="7C208BB5" w14:textId="77777777" w:rsidR="00834A75" w:rsidRDefault="00834A75">
            <w:pPr>
              <w:rPr>
                <w:rFonts w:ascii="宋体"/>
                <w:vanish/>
              </w:rPr>
            </w:pPr>
          </w:p>
        </w:tc>
        <w:tc>
          <w:tcPr>
            <w:tcW w:w="0" w:type="auto"/>
            <w:gridSpan w:val="3"/>
            <w:shd w:val="clear" w:color="auto" w:fill="auto"/>
            <w:vAlign w:val="bottom"/>
          </w:tcPr>
          <w:p w14:paraId="7C208BB6" w14:textId="77777777" w:rsidR="00834A75" w:rsidRDefault="00834A75">
            <w:pPr>
              <w:rPr>
                <w:rFonts w:ascii="宋体"/>
                <w:vanish/>
              </w:rPr>
            </w:pPr>
          </w:p>
        </w:tc>
      </w:tr>
    </w:tbl>
    <w:p w14:paraId="7C208BB8" w14:textId="77777777" w:rsidR="00834A75" w:rsidRDefault="00A6708C">
      <w:pPr>
        <w:spacing w:before="180"/>
        <w:jc w:val="both"/>
      </w:pPr>
      <w:r>
        <w:rPr>
          <w:rFonts w:ascii="sans-serif" w:eastAsia="sans-serif" w:hAnsi="sans-serif" w:cs="sans-serif"/>
          <w:color w:val="000000"/>
          <w:sz w:val="20"/>
          <w:szCs w:val="20"/>
        </w:rPr>
        <w:t>Revenue by geographic region is allocated to individual countries based on the location to which the products are initially billed even if our customers’ revenue is attributable to end customers that are located in a different location. The following table</w:t>
      </w:r>
      <w:r>
        <w:rPr>
          <w:rFonts w:ascii="sans-serif" w:eastAsia="sans-serif" w:hAnsi="sans-serif" w:cs="sans-serif"/>
          <w:color w:val="000000"/>
          <w:sz w:val="20"/>
          <w:szCs w:val="20"/>
        </w:rPr>
        <w:t xml:space="preserve"> summarizes information pertaining to our revenue from customers based on the invoicing address by geographic regions: </w:t>
      </w:r>
    </w:p>
    <w:p w14:paraId="7C208BB9" w14:textId="77777777" w:rsidR="00834A75" w:rsidRDefault="00A6708C">
      <w:pPr>
        <w:spacing w:after="180"/>
        <w:jc w:val="center"/>
      </w:pPr>
      <w:r>
        <w:rPr>
          <w:rFonts w:ascii="sans-serif" w:eastAsia="sans-serif" w:hAnsi="sans-serif" w:cs="sans-serif"/>
          <w:color w:val="000000"/>
          <w:sz w:val="20"/>
          <w:szCs w:val="20"/>
        </w:rPr>
        <w:t>19</w:t>
      </w:r>
    </w:p>
    <w:p w14:paraId="7C208BBA" w14:textId="77777777" w:rsidR="00834A75" w:rsidRDefault="00A6708C">
      <w:r>
        <w:pict w14:anchorId="7C209362">
          <v:rect id="_x0000_i1043" style="width:415.3pt;height:1.5pt" o:hralign="center" o:hrstd="t" o:hr="t" fillcolor="#a0a0a0" stroked="f"/>
        </w:pict>
      </w:r>
    </w:p>
    <w:p w14:paraId="7C208BBB" w14:textId="77777777" w:rsidR="00834A75" w:rsidRDefault="00A6708C">
      <w:pPr>
        <w:jc w:val="center"/>
      </w:pPr>
      <w:r>
        <w:rPr>
          <w:rFonts w:ascii="sans-serif" w:eastAsia="sans-serif" w:hAnsi="sans-serif" w:cs="sans-serif"/>
          <w:b/>
          <w:bCs/>
          <w:color w:val="000000"/>
          <w:sz w:val="20"/>
          <w:szCs w:val="20"/>
        </w:rPr>
        <w:t>NVIDIA CORPORATION AND SUBSIDIARIES</w:t>
      </w:r>
    </w:p>
    <w:p w14:paraId="7C208BBC" w14:textId="77777777" w:rsidR="00834A75" w:rsidRDefault="00A6708C">
      <w:pPr>
        <w:jc w:val="center"/>
      </w:pPr>
      <w:r>
        <w:rPr>
          <w:rFonts w:ascii="sans-serif" w:eastAsia="sans-serif" w:hAnsi="sans-serif" w:cs="sans-serif"/>
          <w:b/>
          <w:bCs/>
          <w:color w:val="000000"/>
          <w:sz w:val="20"/>
          <w:szCs w:val="20"/>
        </w:rPr>
        <w:t>NOTES TO CONDENSED CONSOLIDATED FINANCIAL STATEMENTS (Continued)</w:t>
      </w:r>
    </w:p>
    <w:p w14:paraId="7C208BBD" w14:textId="77777777" w:rsidR="00834A75" w:rsidRDefault="00A6708C">
      <w:pPr>
        <w:jc w:val="center"/>
      </w:pPr>
      <w:r>
        <w:rPr>
          <w:rFonts w:ascii="sans-serif" w:eastAsia="sans-serif" w:hAnsi="sans-serif" w:cs="sans-serif"/>
          <w:b/>
          <w:bCs/>
          <w:color w:val="000000"/>
          <w:sz w:val="20"/>
          <w:szCs w:val="20"/>
        </w:rPr>
        <w:t>(Unaudited)</w:t>
      </w:r>
    </w:p>
    <w:p w14:paraId="7C208BBE" w14:textId="77777777" w:rsidR="00834A75" w:rsidRDefault="00834A75">
      <w:pPr>
        <w:spacing w:after="180"/>
        <w:jc w:val="both"/>
      </w:pPr>
    </w:p>
    <w:p w14:paraId="7C208BBF" w14:textId="77777777" w:rsidR="00834A75" w:rsidRDefault="00834A75">
      <w:pPr>
        <w:spacing w:after="180"/>
        <w:jc w:val="both"/>
      </w:pPr>
    </w:p>
    <w:tbl>
      <w:tblPr>
        <w:tblW w:w="5000" w:type="pct"/>
        <w:tblCellMar>
          <w:top w:w="15" w:type="dxa"/>
          <w:left w:w="15" w:type="dxa"/>
          <w:bottom w:w="15" w:type="dxa"/>
          <w:right w:w="15" w:type="dxa"/>
        </w:tblCellMar>
        <w:tblLook w:val="04A0" w:firstRow="1" w:lastRow="0" w:firstColumn="1" w:lastColumn="0" w:noHBand="0" w:noVBand="1"/>
      </w:tblPr>
      <w:tblGrid>
        <w:gridCol w:w="38"/>
        <w:gridCol w:w="5605"/>
        <w:gridCol w:w="36"/>
        <w:gridCol w:w="122"/>
        <w:gridCol w:w="920"/>
        <w:gridCol w:w="36"/>
        <w:gridCol w:w="36"/>
        <w:gridCol w:w="36"/>
        <w:gridCol w:w="36"/>
        <w:gridCol w:w="122"/>
        <w:gridCol w:w="881"/>
        <w:gridCol w:w="36"/>
        <w:gridCol w:w="36"/>
        <w:gridCol w:w="36"/>
        <w:gridCol w:w="36"/>
        <w:gridCol w:w="36"/>
        <w:gridCol w:w="36"/>
        <w:gridCol w:w="36"/>
        <w:gridCol w:w="36"/>
        <w:gridCol w:w="36"/>
        <w:gridCol w:w="36"/>
        <w:gridCol w:w="36"/>
        <w:gridCol w:w="36"/>
        <w:gridCol w:w="36"/>
      </w:tblGrid>
      <w:tr w:rsidR="00834A75" w14:paraId="7C208BD0" w14:textId="77777777">
        <w:tc>
          <w:tcPr>
            <w:tcW w:w="50" w:type="pct"/>
            <w:shd w:val="clear" w:color="auto" w:fill="auto"/>
            <w:vAlign w:val="bottom"/>
          </w:tcPr>
          <w:p w14:paraId="7C208BC0" w14:textId="77777777" w:rsidR="00834A75" w:rsidRDefault="00834A75">
            <w:pPr>
              <w:rPr>
                <w:rFonts w:ascii="宋体"/>
              </w:rPr>
            </w:pPr>
          </w:p>
        </w:tc>
        <w:tc>
          <w:tcPr>
            <w:tcW w:w="3578" w:type="pct"/>
            <w:shd w:val="clear" w:color="auto" w:fill="auto"/>
            <w:vAlign w:val="bottom"/>
          </w:tcPr>
          <w:p w14:paraId="7C208BC1" w14:textId="77777777" w:rsidR="00834A75" w:rsidRDefault="00834A75">
            <w:pPr>
              <w:rPr>
                <w:rFonts w:ascii="宋体"/>
              </w:rPr>
            </w:pPr>
          </w:p>
        </w:tc>
        <w:tc>
          <w:tcPr>
            <w:tcW w:w="5" w:type="pct"/>
            <w:shd w:val="clear" w:color="auto" w:fill="auto"/>
            <w:vAlign w:val="bottom"/>
          </w:tcPr>
          <w:p w14:paraId="7C208BC2" w14:textId="77777777" w:rsidR="00834A75" w:rsidRDefault="00834A75">
            <w:pPr>
              <w:rPr>
                <w:rFonts w:ascii="宋体"/>
              </w:rPr>
            </w:pPr>
          </w:p>
        </w:tc>
        <w:tc>
          <w:tcPr>
            <w:tcW w:w="50" w:type="pct"/>
            <w:shd w:val="clear" w:color="auto" w:fill="auto"/>
            <w:vAlign w:val="bottom"/>
          </w:tcPr>
          <w:p w14:paraId="7C208BC3" w14:textId="77777777" w:rsidR="00834A75" w:rsidRDefault="00834A75">
            <w:pPr>
              <w:rPr>
                <w:rFonts w:ascii="宋体"/>
              </w:rPr>
            </w:pPr>
          </w:p>
        </w:tc>
        <w:tc>
          <w:tcPr>
            <w:tcW w:w="610" w:type="pct"/>
            <w:shd w:val="clear" w:color="auto" w:fill="auto"/>
            <w:vAlign w:val="bottom"/>
          </w:tcPr>
          <w:p w14:paraId="7C208BC4" w14:textId="77777777" w:rsidR="00834A75" w:rsidRDefault="00834A75">
            <w:pPr>
              <w:rPr>
                <w:rFonts w:ascii="宋体"/>
              </w:rPr>
            </w:pPr>
          </w:p>
        </w:tc>
        <w:tc>
          <w:tcPr>
            <w:tcW w:w="5" w:type="pct"/>
            <w:shd w:val="clear" w:color="auto" w:fill="auto"/>
            <w:vAlign w:val="bottom"/>
          </w:tcPr>
          <w:p w14:paraId="7C208BC5" w14:textId="77777777" w:rsidR="00834A75" w:rsidRDefault="00834A75">
            <w:pPr>
              <w:rPr>
                <w:rFonts w:ascii="宋体"/>
              </w:rPr>
            </w:pPr>
          </w:p>
        </w:tc>
        <w:tc>
          <w:tcPr>
            <w:tcW w:w="5" w:type="pct"/>
            <w:shd w:val="clear" w:color="auto" w:fill="auto"/>
            <w:vAlign w:val="bottom"/>
          </w:tcPr>
          <w:p w14:paraId="7C208BC6" w14:textId="77777777" w:rsidR="00834A75" w:rsidRDefault="00834A75">
            <w:pPr>
              <w:rPr>
                <w:rFonts w:ascii="宋体"/>
              </w:rPr>
            </w:pPr>
          </w:p>
        </w:tc>
        <w:tc>
          <w:tcPr>
            <w:tcW w:w="26" w:type="pct"/>
            <w:shd w:val="clear" w:color="auto" w:fill="auto"/>
            <w:vAlign w:val="bottom"/>
          </w:tcPr>
          <w:p w14:paraId="7C208BC7" w14:textId="77777777" w:rsidR="00834A75" w:rsidRDefault="00834A75">
            <w:pPr>
              <w:rPr>
                <w:rFonts w:ascii="宋体"/>
              </w:rPr>
            </w:pPr>
          </w:p>
        </w:tc>
        <w:tc>
          <w:tcPr>
            <w:tcW w:w="5" w:type="pct"/>
            <w:shd w:val="clear" w:color="auto" w:fill="auto"/>
            <w:vAlign w:val="bottom"/>
          </w:tcPr>
          <w:p w14:paraId="7C208BC8" w14:textId="77777777" w:rsidR="00834A75" w:rsidRDefault="00834A75">
            <w:pPr>
              <w:rPr>
                <w:rFonts w:ascii="宋体"/>
              </w:rPr>
            </w:pPr>
          </w:p>
        </w:tc>
        <w:tc>
          <w:tcPr>
            <w:tcW w:w="50" w:type="pct"/>
            <w:shd w:val="clear" w:color="auto" w:fill="auto"/>
            <w:vAlign w:val="bottom"/>
          </w:tcPr>
          <w:p w14:paraId="7C208BC9" w14:textId="77777777" w:rsidR="00834A75" w:rsidRDefault="00834A75">
            <w:pPr>
              <w:rPr>
                <w:rFonts w:ascii="宋体"/>
              </w:rPr>
            </w:pPr>
          </w:p>
        </w:tc>
        <w:tc>
          <w:tcPr>
            <w:tcW w:w="610" w:type="pct"/>
            <w:shd w:val="clear" w:color="auto" w:fill="auto"/>
            <w:vAlign w:val="bottom"/>
          </w:tcPr>
          <w:p w14:paraId="7C208BCA" w14:textId="77777777" w:rsidR="00834A75" w:rsidRDefault="00834A75">
            <w:pPr>
              <w:rPr>
                <w:rFonts w:ascii="宋体"/>
              </w:rPr>
            </w:pPr>
          </w:p>
        </w:tc>
        <w:tc>
          <w:tcPr>
            <w:tcW w:w="5" w:type="pct"/>
            <w:shd w:val="clear" w:color="auto" w:fill="auto"/>
            <w:vAlign w:val="bottom"/>
          </w:tcPr>
          <w:p w14:paraId="7C208BCB" w14:textId="77777777" w:rsidR="00834A75" w:rsidRDefault="00834A75">
            <w:pPr>
              <w:rPr>
                <w:rFonts w:ascii="宋体"/>
              </w:rPr>
            </w:pPr>
          </w:p>
        </w:tc>
        <w:tc>
          <w:tcPr>
            <w:tcW w:w="0" w:type="auto"/>
            <w:gridSpan w:val="3"/>
            <w:shd w:val="clear" w:color="auto" w:fill="auto"/>
            <w:vAlign w:val="bottom"/>
          </w:tcPr>
          <w:p w14:paraId="7C208BCC" w14:textId="77777777" w:rsidR="00834A75" w:rsidRDefault="00834A75">
            <w:pPr>
              <w:rPr>
                <w:rFonts w:ascii="宋体"/>
                <w:vanish/>
              </w:rPr>
            </w:pPr>
          </w:p>
        </w:tc>
        <w:tc>
          <w:tcPr>
            <w:tcW w:w="0" w:type="auto"/>
            <w:gridSpan w:val="3"/>
            <w:shd w:val="clear" w:color="auto" w:fill="auto"/>
            <w:vAlign w:val="bottom"/>
          </w:tcPr>
          <w:p w14:paraId="7C208BCD" w14:textId="77777777" w:rsidR="00834A75" w:rsidRDefault="00834A75">
            <w:pPr>
              <w:rPr>
                <w:rFonts w:ascii="宋体"/>
                <w:vanish/>
              </w:rPr>
            </w:pPr>
          </w:p>
        </w:tc>
        <w:tc>
          <w:tcPr>
            <w:tcW w:w="0" w:type="auto"/>
            <w:gridSpan w:val="3"/>
            <w:shd w:val="clear" w:color="auto" w:fill="auto"/>
            <w:vAlign w:val="bottom"/>
          </w:tcPr>
          <w:p w14:paraId="7C208BCE" w14:textId="77777777" w:rsidR="00834A75" w:rsidRDefault="00834A75">
            <w:pPr>
              <w:rPr>
                <w:rFonts w:ascii="宋体"/>
                <w:vanish/>
              </w:rPr>
            </w:pPr>
          </w:p>
        </w:tc>
        <w:tc>
          <w:tcPr>
            <w:tcW w:w="0" w:type="auto"/>
            <w:gridSpan w:val="3"/>
            <w:shd w:val="clear" w:color="auto" w:fill="auto"/>
            <w:vAlign w:val="bottom"/>
          </w:tcPr>
          <w:p w14:paraId="7C208BCF" w14:textId="77777777" w:rsidR="00834A75" w:rsidRDefault="00834A75">
            <w:pPr>
              <w:rPr>
                <w:rFonts w:ascii="宋体"/>
                <w:vanish/>
              </w:rPr>
            </w:pPr>
          </w:p>
        </w:tc>
      </w:tr>
      <w:tr w:rsidR="00834A75" w14:paraId="7C208BDB" w14:textId="77777777">
        <w:tc>
          <w:tcPr>
            <w:tcW w:w="0" w:type="auto"/>
            <w:gridSpan w:val="3"/>
            <w:shd w:val="clear" w:color="auto" w:fill="auto"/>
            <w:tcMar>
              <w:top w:w="40" w:type="dxa"/>
              <w:left w:w="20" w:type="dxa"/>
              <w:bottom w:w="40" w:type="dxa"/>
              <w:right w:w="20" w:type="dxa"/>
            </w:tcMar>
            <w:vAlign w:val="bottom"/>
          </w:tcPr>
          <w:p w14:paraId="7C208BD1" w14:textId="77777777" w:rsidR="00834A75" w:rsidRDefault="00A6708C">
            <w:pPr>
              <w:textAlignment w:val="bottom"/>
            </w:pPr>
            <w:r>
              <w:rPr>
                <w:rFonts w:ascii="sans-serif" w:eastAsia="sans-serif" w:hAnsi="sans-serif" w:cs="sans-serif"/>
                <w:color w:val="000000"/>
                <w:sz w:val="20"/>
                <w:szCs w:val="20"/>
              </w:rPr>
              <w:t> </w:t>
            </w:r>
          </w:p>
        </w:tc>
        <w:tc>
          <w:tcPr>
            <w:tcW w:w="0" w:type="auto"/>
            <w:gridSpan w:val="9"/>
            <w:shd w:val="clear" w:color="auto" w:fill="auto"/>
            <w:tcMar>
              <w:top w:w="40" w:type="dxa"/>
              <w:left w:w="20" w:type="dxa"/>
              <w:bottom w:w="40" w:type="dxa"/>
              <w:right w:w="20" w:type="dxa"/>
            </w:tcMar>
            <w:vAlign w:val="bottom"/>
          </w:tcPr>
          <w:p w14:paraId="7C208BD2" w14:textId="77777777" w:rsidR="00834A75" w:rsidRDefault="00A6708C">
            <w:pPr>
              <w:jc w:val="center"/>
              <w:textAlignment w:val="bottom"/>
            </w:pPr>
            <w:r>
              <w:rPr>
                <w:rFonts w:ascii="sans-serif" w:eastAsia="sans-serif" w:hAnsi="sans-serif" w:cs="sans-serif"/>
                <w:b/>
                <w:bCs/>
                <w:color w:val="000000"/>
                <w:sz w:val="20"/>
                <w:szCs w:val="20"/>
              </w:rPr>
              <w:t>Three Months Ended</w:t>
            </w:r>
          </w:p>
        </w:tc>
        <w:tc>
          <w:tcPr>
            <w:tcW w:w="0" w:type="auto"/>
            <w:gridSpan w:val="3"/>
            <w:shd w:val="clear" w:color="auto" w:fill="auto"/>
            <w:vAlign w:val="bottom"/>
          </w:tcPr>
          <w:p w14:paraId="7C208BD3" w14:textId="77777777" w:rsidR="00834A75" w:rsidRDefault="00834A75">
            <w:pPr>
              <w:rPr>
                <w:rFonts w:ascii="宋体"/>
                <w:vanish/>
              </w:rPr>
            </w:pPr>
          </w:p>
        </w:tc>
        <w:tc>
          <w:tcPr>
            <w:tcW w:w="0" w:type="auto"/>
            <w:gridSpan w:val="3"/>
            <w:shd w:val="clear" w:color="auto" w:fill="auto"/>
            <w:vAlign w:val="bottom"/>
          </w:tcPr>
          <w:p w14:paraId="7C208BD4" w14:textId="77777777" w:rsidR="00834A75" w:rsidRDefault="00834A75">
            <w:pPr>
              <w:rPr>
                <w:rFonts w:ascii="宋体"/>
                <w:vanish/>
              </w:rPr>
            </w:pPr>
          </w:p>
        </w:tc>
        <w:tc>
          <w:tcPr>
            <w:tcW w:w="0" w:type="auto"/>
            <w:shd w:val="clear" w:color="auto" w:fill="auto"/>
            <w:vAlign w:val="bottom"/>
          </w:tcPr>
          <w:p w14:paraId="7C208BD5" w14:textId="77777777" w:rsidR="00834A75" w:rsidRDefault="00834A75">
            <w:pPr>
              <w:rPr>
                <w:rFonts w:ascii="宋体"/>
              </w:rPr>
            </w:pPr>
          </w:p>
        </w:tc>
        <w:tc>
          <w:tcPr>
            <w:tcW w:w="0" w:type="auto"/>
            <w:shd w:val="clear" w:color="auto" w:fill="auto"/>
            <w:vAlign w:val="bottom"/>
          </w:tcPr>
          <w:p w14:paraId="7C208BD6" w14:textId="77777777" w:rsidR="00834A75" w:rsidRDefault="00834A75">
            <w:pPr>
              <w:rPr>
                <w:rFonts w:ascii="宋体"/>
              </w:rPr>
            </w:pPr>
          </w:p>
        </w:tc>
        <w:tc>
          <w:tcPr>
            <w:tcW w:w="0" w:type="auto"/>
            <w:shd w:val="clear" w:color="auto" w:fill="auto"/>
            <w:vAlign w:val="bottom"/>
          </w:tcPr>
          <w:p w14:paraId="7C208BD7" w14:textId="77777777" w:rsidR="00834A75" w:rsidRDefault="00834A75">
            <w:pPr>
              <w:rPr>
                <w:rFonts w:ascii="宋体"/>
              </w:rPr>
            </w:pPr>
          </w:p>
        </w:tc>
        <w:tc>
          <w:tcPr>
            <w:tcW w:w="0" w:type="auto"/>
            <w:shd w:val="clear" w:color="auto" w:fill="auto"/>
            <w:vAlign w:val="bottom"/>
          </w:tcPr>
          <w:p w14:paraId="7C208BD8" w14:textId="77777777" w:rsidR="00834A75" w:rsidRDefault="00834A75">
            <w:pPr>
              <w:rPr>
                <w:rFonts w:ascii="宋体"/>
              </w:rPr>
            </w:pPr>
          </w:p>
        </w:tc>
        <w:tc>
          <w:tcPr>
            <w:tcW w:w="0" w:type="auto"/>
            <w:shd w:val="clear" w:color="auto" w:fill="auto"/>
            <w:vAlign w:val="bottom"/>
          </w:tcPr>
          <w:p w14:paraId="7C208BD9" w14:textId="77777777" w:rsidR="00834A75" w:rsidRDefault="00834A75">
            <w:pPr>
              <w:rPr>
                <w:rFonts w:ascii="宋体"/>
              </w:rPr>
            </w:pPr>
          </w:p>
        </w:tc>
        <w:tc>
          <w:tcPr>
            <w:tcW w:w="0" w:type="auto"/>
            <w:shd w:val="clear" w:color="auto" w:fill="auto"/>
            <w:vAlign w:val="bottom"/>
          </w:tcPr>
          <w:p w14:paraId="7C208BDA" w14:textId="77777777" w:rsidR="00834A75" w:rsidRDefault="00834A75">
            <w:pPr>
              <w:rPr>
                <w:rFonts w:ascii="宋体"/>
              </w:rPr>
            </w:pPr>
          </w:p>
        </w:tc>
      </w:tr>
      <w:tr w:rsidR="00834A75" w14:paraId="7C208BE4" w14:textId="77777777">
        <w:tc>
          <w:tcPr>
            <w:tcW w:w="0" w:type="auto"/>
            <w:gridSpan w:val="3"/>
            <w:shd w:val="clear" w:color="auto" w:fill="auto"/>
            <w:tcMar>
              <w:top w:w="0" w:type="dxa"/>
              <w:left w:w="20" w:type="dxa"/>
              <w:bottom w:w="0" w:type="dxa"/>
              <w:right w:w="20" w:type="dxa"/>
            </w:tcMar>
            <w:vAlign w:val="bottom"/>
          </w:tcPr>
          <w:p w14:paraId="7C208BDC" w14:textId="77777777" w:rsidR="00834A75" w:rsidRDefault="00834A75">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C208BDD" w14:textId="77777777" w:rsidR="00834A75" w:rsidRDefault="00A6708C">
            <w:pPr>
              <w:jc w:val="center"/>
              <w:textAlignment w:val="bottom"/>
            </w:pPr>
            <w:r>
              <w:rPr>
                <w:rFonts w:ascii="sans-serif" w:eastAsia="sans-serif" w:hAnsi="sans-serif" w:cs="sans-serif"/>
                <w:b/>
                <w:bCs/>
                <w:color w:val="000000"/>
                <w:sz w:val="20"/>
                <w:szCs w:val="20"/>
              </w:rPr>
              <w:t>May 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C208BDE" w14:textId="77777777" w:rsidR="00834A75" w:rsidRDefault="00834A75">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C208BDF" w14:textId="77777777" w:rsidR="00834A75" w:rsidRDefault="00A6708C">
            <w:pPr>
              <w:jc w:val="center"/>
              <w:textAlignment w:val="bottom"/>
            </w:pPr>
            <w:r>
              <w:rPr>
                <w:rFonts w:ascii="sans-serif" w:eastAsia="sans-serif" w:hAnsi="sans-serif" w:cs="sans-serif"/>
                <w:b/>
                <w:bCs/>
                <w:color w:val="000000"/>
                <w:sz w:val="20"/>
                <w:szCs w:val="20"/>
              </w:rPr>
              <w:t>May 2,</w:t>
            </w:r>
          </w:p>
        </w:tc>
        <w:tc>
          <w:tcPr>
            <w:tcW w:w="0" w:type="auto"/>
            <w:gridSpan w:val="3"/>
            <w:shd w:val="clear" w:color="auto" w:fill="auto"/>
            <w:vAlign w:val="bottom"/>
          </w:tcPr>
          <w:p w14:paraId="7C208BE0" w14:textId="77777777" w:rsidR="00834A75" w:rsidRDefault="00834A75">
            <w:pPr>
              <w:rPr>
                <w:rFonts w:ascii="宋体"/>
                <w:vanish/>
              </w:rPr>
            </w:pPr>
          </w:p>
        </w:tc>
        <w:tc>
          <w:tcPr>
            <w:tcW w:w="0" w:type="auto"/>
            <w:gridSpan w:val="3"/>
            <w:shd w:val="clear" w:color="auto" w:fill="auto"/>
            <w:vAlign w:val="bottom"/>
          </w:tcPr>
          <w:p w14:paraId="7C208BE1" w14:textId="77777777" w:rsidR="00834A75" w:rsidRDefault="00834A75">
            <w:pPr>
              <w:rPr>
                <w:rFonts w:ascii="宋体"/>
                <w:vanish/>
              </w:rPr>
            </w:pPr>
          </w:p>
        </w:tc>
        <w:tc>
          <w:tcPr>
            <w:tcW w:w="0" w:type="auto"/>
            <w:gridSpan w:val="3"/>
            <w:shd w:val="clear" w:color="auto" w:fill="auto"/>
            <w:vAlign w:val="bottom"/>
          </w:tcPr>
          <w:p w14:paraId="7C208BE2" w14:textId="77777777" w:rsidR="00834A75" w:rsidRDefault="00834A75">
            <w:pPr>
              <w:rPr>
                <w:rFonts w:ascii="宋体"/>
                <w:vanish/>
              </w:rPr>
            </w:pPr>
          </w:p>
        </w:tc>
        <w:tc>
          <w:tcPr>
            <w:tcW w:w="0" w:type="auto"/>
            <w:gridSpan w:val="3"/>
            <w:shd w:val="clear" w:color="auto" w:fill="auto"/>
            <w:vAlign w:val="bottom"/>
          </w:tcPr>
          <w:p w14:paraId="7C208BE3" w14:textId="77777777" w:rsidR="00834A75" w:rsidRDefault="00834A75">
            <w:pPr>
              <w:rPr>
                <w:rFonts w:ascii="宋体"/>
                <w:vanish/>
              </w:rPr>
            </w:pPr>
          </w:p>
        </w:tc>
      </w:tr>
      <w:tr w:rsidR="00834A75" w14:paraId="7C208BED" w14:textId="77777777">
        <w:tc>
          <w:tcPr>
            <w:tcW w:w="0" w:type="auto"/>
            <w:gridSpan w:val="3"/>
            <w:shd w:val="clear" w:color="auto" w:fill="auto"/>
            <w:tcMar>
              <w:top w:w="40" w:type="dxa"/>
              <w:left w:w="20" w:type="dxa"/>
              <w:bottom w:w="40" w:type="dxa"/>
              <w:right w:w="20" w:type="dxa"/>
            </w:tcMar>
            <w:vAlign w:val="bottom"/>
          </w:tcPr>
          <w:p w14:paraId="7C208BE5" w14:textId="77777777" w:rsidR="00834A75" w:rsidRDefault="00A6708C">
            <w:pPr>
              <w:textAlignment w:val="bottom"/>
            </w:pPr>
            <w:r>
              <w:rPr>
                <w:rFonts w:ascii="sans-serif" w:eastAsia="sans-serif" w:hAnsi="sans-serif" w:cs="sans-serif"/>
                <w:color w:val="000000"/>
                <w:sz w:val="20"/>
                <w:szCs w:val="20"/>
              </w:rPr>
              <w:t> </w:t>
            </w:r>
          </w:p>
        </w:tc>
        <w:tc>
          <w:tcPr>
            <w:tcW w:w="0" w:type="auto"/>
            <w:gridSpan w:val="3"/>
            <w:shd w:val="clear" w:color="auto" w:fill="auto"/>
            <w:tcMar>
              <w:top w:w="40" w:type="dxa"/>
              <w:left w:w="20" w:type="dxa"/>
              <w:bottom w:w="40" w:type="dxa"/>
              <w:right w:w="20" w:type="dxa"/>
            </w:tcMar>
            <w:vAlign w:val="bottom"/>
          </w:tcPr>
          <w:p w14:paraId="7C208BE6" w14:textId="77777777" w:rsidR="00834A75" w:rsidRDefault="00A6708C">
            <w:pPr>
              <w:jc w:val="center"/>
              <w:textAlignment w:val="bottom"/>
            </w:pPr>
            <w:r>
              <w:rPr>
                <w:rFonts w:ascii="sans-serif" w:eastAsia="sans-serif" w:hAnsi="sans-serif" w:cs="sans-serif"/>
                <w:b/>
                <w:bCs/>
                <w:color w:val="000000"/>
                <w:sz w:val="20"/>
                <w:szCs w:val="20"/>
              </w:rPr>
              <w:t>2022</w:t>
            </w:r>
          </w:p>
        </w:tc>
        <w:tc>
          <w:tcPr>
            <w:tcW w:w="0" w:type="auto"/>
            <w:gridSpan w:val="3"/>
            <w:shd w:val="clear" w:color="auto" w:fill="auto"/>
            <w:tcMar>
              <w:top w:w="0" w:type="dxa"/>
              <w:left w:w="20" w:type="dxa"/>
              <w:bottom w:w="0" w:type="dxa"/>
              <w:right w:w="20" w:type="dxa"/>
            </w:tcMar>
            <w:vAlign w:val="bottom"/>
          </w:tcPr>
          <w:p w14:paraId="7C208BE7" w14:textId="77777777" w:rsidR="00834A75" w:rsidRDefault="00834A75">
            <w:pPr>
              <w:rPr>
                <w:rFonts w:ascii="宋体"/>
              </w:rPr>
            </w:pPr>
          </w:p>
        </w:tc>
        <w:tc>
          <w:tcPr>
            <w:tcW w:w="0" w:type="auto"/>
            <w:gridSpan w:val="3"/>
            <w:shd w:val="clear" w:color="auto" w:fill="auto"/>
            <w:tcMar>
              <w:top w:w="40" w:type="dxa"/>
              <w:left w:w="20" w:type="dxa"/>
              <w:bottom w:w="40" w:type="dxa"/>
              <w:right w:w="20" w:type="dxa"/>
            </w:tcMar>
            <w:vAlign w:val="bottom"/>
          </w:tcPr>
          <w:p w14:paraId="7C208BE8" w14:textId="77777777" w:rsidR="00834A75" w:rsidRDefault="00A6708C">
            <w:pPr>
              <w:jc w:val="center"/>
              <w:textAlignment w:val="bottom"/>
            </w:pPr>
            <w:r>
              <w:rPr>
                <w:rFonts w:ascii="sans-serif" w:eastAsia="sans-serif" w:hAnsi="sans-serif" w:cs="sans-serif"/>
                <w:b/>
                <w:bCs/>
                <w:color w:val="000000"/>
                <w:sz w:val="20"/>
                <w:szCs w:val="20"/>
              </w:rPr>
              <w:t>2021</w:t>
            </w:r>
          </w:p>
        </w:tc>
        <w:tc>
          <w:tcPr>
            <w:tcW w:w="0" w:type="auto"/>
            <w:gridSpan w:val="3"/>
            <w:shd w:val="clear" w:color="auto" w:fill="auto"/>
            <w:vAlign w:val="bottom"/>
          </w:tcPr>
          <w:p w14:paraId="7C208BE9" w14:textId="77777777" w:rsidR="00834A75" w:rsidRDefault="00834A75">
            <w:pPr>
              <w:rPr>
                <w:rFonts w:ascii="宋体"/>
                <w:vanish/>
              </w:rPr>
            </w:pPr>
          </w:p>
        </w:tc>
        <w:tc>
          <w:tcPr>
            <w:tcW w:w="0" w:type="auto"/>
            <w:gridSpan w:val="3"/>
            <w:shd w:val="clear" w:color="auto" w:fill="auto"/>
            <w:vAlign w:val="bottom"/>
          </w:tcPr>
          <w:p w14:paraId="7C208BEA" w14:textId="77777777" w:rsidR="00834A75" w:rsidRDefault="00834A75">
            <w:pPr>
              <w:rPr>
                <w:rFonts w:ascii="宋体"/>
                <w:vanish/>
              </w:rPr>
            </w:pPr>
          </w:p>
        </w:tc>
        <w:tc>
          <w:tcPr>
            <w:tcW w:w="0" w:type="auto"/>
            <w:gridSpan w:val="3"/>
            <w:shd w:val="clear" w:color="auto" w:fill="auto"/>
            <w:vAlign w:val="bottom"/>
          </w:tcPr>
          <w:p w14:paraId="7C208BEB" w14:textId="77777777" w:rsidR="00834A75" w:rsidRDefault="00834A75">
            <w:pPr>
              <w:rPr>
                <w:rFonts w:ascii="宋体"/>
                <w:vanish/>
              </w:rPr>
            </w:pPr>
          </w:p>
        </w:tc>
        <w:tc>
          <w:tcPr>
            <w:tcW w:w="0" w:type="auto"/>
            <w:gridSpan w:val="3"/>
            <w:shd w:val="clear" w:color="auto" w:fill="auto"/>
            <w:vAlign w:val="bottom"/>
          </w:tcPr>
          <w:p w14:paraId="7C208BEC" w14:textId="77777777" w:rsidR="00834A75" w:rsidRDefault="00834A75">
            <w:pPr>
              <w:rPr>
                <w:rFonts w:ascii="宋体"/>
                <w:vanish/>
              </w:rPr>
            </w:pPr>
          </w:p>
        </w:tc>
      </w:tr>
      <w:tr w:rsidR="00834A75" w14:paraId="7C208BF6" w14:textId="77777777">
        <w:trPr>
          <w:trHeight w:val="60"/>
        </w:trPr>
        <w:tc>
          <w:tcPr>
            <w:tcW w:w="0" w:type="auto"/>
            <w:gridSpan w:val="3"/>
            <w:shd w:val="clear" w:color="auto" w:fill="auto"/>
            <w:tcMar>
              <w:top w:w="0" w:type="dxa"/>
              <w:left w:w="20" w:type="dxa"/>
              <w:bottom w:w="0" w:type="dxa"/>
              <w:right w:w="20" w:type="dxa"/>
            </w:tcMar>
            <w:vAlign w:val="bottom"/>
          </w:tcPr>
          <w:p w14:paraId="7C208BEE" w14:textId="77777777" w:rsidR="00834A75" w:rsidRDefault="00834A75">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C208BEF" w14:textId="77777777" w:rsidR="00834A75" w:rsidRDefault="00834A75">
            <w:pPr>
              <w:rPr>
                <w:rFonts w:ascii="宋体"/>
              </w:rPr>
            </w:pPr>
          </w:p>
        </w:tc>
        <w:tc>
          <w:tcPr>
            <w:tcW w:w="0" w:type="auto"/>
            <w:gridSpan w:val="3"/>
            <w:shd w:val="clear" w:color="auto" w:fill="auto"/>
            <w:tcMar>
              <w:top w:w="0" w:type="dxa"/>
              <w:left w:w="20" w:type="dxa"/>
              <w:bottom w:w="0" w:type="dxa"/>
              <w:right w:w="20" w:type="dxa"/>
            </w:tcMar>
            <w:vAlign w:val="bottom"/>
          </w:tcPr>
          <w:p w14:paraId="7C208BF0" w14:textId="77777777" w:rsidR="00834A75" w:rsidRDefault="00834A75">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C208BF1" w14:textId="77777777" w:rsidR="00834A75" w:rsidRDefault="00834A75">
            <w:pPr>
              <w:rPr>
                <w:rFonts w:ascii="宋体"/>
              </w:rPr>
            </w:pPr>
          </w:p>
        </w:tc>
        <w:tc>
          <w:tcPr>
            <w:tcW w:w="0" w:type="auto"/>
            <w:gridSpan w:val="3"/>
            <w:shd w:val="clear" w:color="auto" w:fill="auto"/>
            <w:vAlign w:val="bottom"/>
          </w:tcPr>
          <w:p w14:paraId="7C208BF2" w14:textId="77777777" w:rsidR="00834A75" w:rsidRDefault="00834A75">
            <w:pPr>
              <w:rPr>
                <w:rFonts w:ascii="宋体"/>
                <w:vanish/>
              </w:rPr>
            </w:pPr>
          </w:p>
        </w:tc>
        <w:tc>
          <w:tcPr>
            <w:tcW w:w="0" w:type="auto"/>
            <w:gridSpan w:val="3"/>
            <w:shd w:val="clear" w:color="auto" w:fill="auto"/>
            <w:vAlign w:val="bottom"/>
          </w:tcPr>
          <w:p w14:paraId="7C208BF3" w14:textId="77777777" w:rsidR="00834A75" w:rsidRDefault="00834A75">
            <w:pPr>
              <w:rPr>
                <w:rFonts w:ascii="宋体"/>
                <w:vanish/>
              </w:rPr>
            </w:pPr>
          </w:p>
        </w:tc>
        <w:tc>
          <w:tcPr>
            <w:tcW w:w="0" w:type="auto"/>
            <w:gridSpan w:val="3"/>
            <w:shd w:val="clear" w:color="auto" w:fill="auto"/>
            <w:vAlign w:val="bottom"/>
          </w:tcPr>
          <w:p w14:paraId="7C208BF4" w14:textId="77777777" w:rsidR="00834A75" w:rsidRDefault="00834A75">
            <w:pPr>
              <w:rPr>
                <w:rFonts w:ascii="宋体"/>
                <w:vanish/>
              </w:rPr>
            </w:pPr>
          </w:p>
        </w:tc>
        <w:tc>
          <w:tcPr>
            <w:tcW w:w="0" w:type="auto"/>
            <w:gridSpan w:val="3"/>
            <w:shd w:val="clear" w:color="auto" w:fill="auto"/>
            <w:vAlign w:val="bottom"/>
          </w:tcPr>
          <w:p w14:paraId="7C208BF5" w14:textId="77777777" w:rsidR="00834A75" w:rsidRDefault="00834A75">
            <w:pPr>
              <w:rPr>
                <w:rFonts w:ascii="宋体"/>
                <w:vanish/>
              </w:rPr>
            </w:pPr>
          </w:p>
        </w:tc>
      </w:tr>
      <w:tr w:rsidR="00834A75" w14:paraId="7C208C05" w14:textId="77777777">
        <w:tc>
          <w:tcPr>
            <w:tcW w:w="0" w:type="auto"/>
            <w:gridSpan w:val="3"/>
            <w:shd w:val="clear" w:color="auto" w:fill="auto"/>
            <w:tcMar>
              <w:top w:w="40" w:type="dxa"/>
              <w:left w:w="20" w:type="dxa"/>
              <w:bottom w:w="40" w:type="dxa"/>
              <w:right w:w="20" w:type="dxa"/>
            </w:tcMar>
            <w:vAlign w:val="bottom"/>
          </w:tcPr>
          <w:p w14:paraId="7C208BF7" w14:textId="77777777" w:rsidR="00834A75" w:rsidRDefault="00A6708C">
            <w:pPr>
              <w:textAlignment w:val="bottom"/>
            </w:pPr>
            <w:r>
              <w:rPr>
                <w:rFonts w:ascii="sans-serif" w:eastAsia="sans-serif" w:hAnsi="sans-serif" w:cs="sans-serif"/>
                <w:color w:val="000000"/>
                <w:sz w:val="20"/>
                <w:szCs w:val="20"/>
              </w:rPr>
              <w:t> </w:t>
            </w:r>
          </w:p>
        </w:tc>
        <w:tc>
          <w:tcPr>
            <w:tcW w:w="0" w:type="auto"/>
            <w:gridSpan w:val="9"/>
            <w:shd w:val="clear" w:color="auto" w:fill="auto"/>
            <w:tcMar>
              <w:top w:w="40" w:type="dxa"/>
              <w:left w:w="20" w:type="dxa"/>
              <w:bottom w:w="40" w:type="dxa"/>
              <w:right w:w="20" w:type="dxa"/>
            </w:tcMar>
            <w:vAlign w:val="bottom"/>
          </w:tcPr>
          <w:p w14:paraId="7C208BF8" w14:textId="77777777" w:rsidR="00834A75" w:rsidRDefault="00A6708C">
            <w:pPr>
              <w:jc w:val="center"/>
              <w:textAlignment w:val="bottom"/>
            </w:pPr>
            <w:r>
              <w:rPr>
                <w:rFonts w:ascii="sans-serif" w:eastAsia="sans-serif" w:hAnsi="sans-serif" w:cs="sans-serif"/>
                <w:i/>
                <w:iCs/>
                <w:color w:val="000000"/>
                <w:sz w:val="20"/>
                <w:szCs w:val="20"/>
              </w:rPr>
              <w:t>(In millions)</w:t>
            </w:r>
          </w:p>
        </w:tc>
        <w:tc>
          <w:tcPr>
            <w:tcW w:w="0" w:type="auto"/>
            <w:shd w:val="clear" w:color="auto" w:fill="auto"/>
            <w:vAlign w:val="bottom"/>
          </w:tcPr>
          <w:p w14:paraId="7C208BF9" w14:textId="77777777" w:rsidR="00834A75" w:rsidRDefault="00834A75">
            <w:pPr>
              <w:rPr>
                <w:rFonts w:ascii="宋体"/>
              </w:rPr>
            </w:pPr>
          </w:p>
        </w:tc>
        <w:tc>
          <w:tcPr>
            <w:tcW w:w="0" w:type="auto"/>
            <w:shd w:val="clear" w:color="auto" w:fill="auto"/>
            <w:vAlign w:val="bottom"/>
          </w:tcPr>
          <w:p w14:paraId="7C208BFA" w14:textId="77777777" w:rsidR="00834A75" w:rsidRDefault="00834A75">
            <w:pPr>
              <w:rPr>
                <w:rFonts w:ascii="宋体"/>
              </w:rPr>
            </w:pPr>
          </w:p>
        </w:tc>
        <w:tc>
          <w:tcPr>
            <w:tcW w:w="0" w:type="auto"/>
            <w:shd w:val="clear" w:color="auto" w:fill="auto"/>
            <w:vAlign w:val="bottom"/>
          </w:tcPr>
          <w:p w14:paraId="7C208BFB" w14:textId="77777777" w:rsidR="00834A75" w:rsidRDefault="00834A75">
            <w:pPr>
              <w:rPr>
                <w:rFonts w:ascii="宋体"/>
              </w:rPr>
            </w:pPr>
          </w:p>
        </w:tc>
        <w:tc>
          <w:tcPr>
            <w:tcW w:w="0" w:type="auto"/>
            <w:shd w:val="clear" w:color="auto" w:fill="auto"/>
            <w:vAlign w:val="bottom"/>
          </w:tcPr>
          <w:p w14:paraId="7C208BFC" w14:textId="77777777" w:rsidR="00834A75" w:rsidRDefault="00834A75">
            <w:pPr>
              <w:rPr>
                <w:rFonts w:ascii="宋体"/>
              </w:rPr>
            </w:pPr>
          </w:p>
        </w:tc>
        <w:tc>
          <w:tcPr>
            <w:tcW w:w="0" w:type="auto"/>
            <w:shd w:val="clear" w:color="auto" w:fill="auto"/>
            <w:vAlign w:val="bottom"/>
          </w:tcPr>
          <w:p w14:paraId="7C208BFD" w14:textId="77777777" w:rsidR="00834A75" w:rsidRDefault="00834A75">
            <w:pPr>
              <w:rPr>
                <w:rFonts w:ascii="宋体"/>
              </w:rPr>
            </w:pPr>
          </w:p>
        </w:tc>
        <w:tc>
          <w:tcPr>
            <w:tcW w:w="0" w:type="auto"/>
            <w:shd w:val="clear" w:color="auto" w:fill="auto"/>
            <w:vAlign w:val="bottom"/>
          </w:tcPr>
          <w:p w14:paraId="7C208BFE" w14:textId="77777777" w:rsidR="00834A75" w:rsidRDefault="00834A75">
            <w:pPr>
              <w:rPr>
                <w:rFonts w:ascii="宋体"/>
              </w:rPr>
            </w:pPr>
          </w:p>
        </w:tc>
        <w:tc>
          <w:tcPr>
            <w:tcW w:w="0" w:type="auto"/>
            <w:shd w:val="clear" w:color="auto" w:fill="auto"/>
            <w:vAlign w:val="bottom"/>
          </w:tcPr>
          <w:p w14:paraId="7C208BFF" w14:textId="77777777" w:rsidR="00834A75" w:rsidRDefault="00834A75">
            <w:pPr>
              <w:rPr>
                <w:rFonts w:ascii="宋体"/>
              </w:rPr>
            </w:pPr>
          </w:p>
        </w:tc>
        <w:tc>
          <w:tcPr>
            <w:tcW w:w="0" w:type="auto"/>
            <w:shd w:val="clear" w:color="auto" w:fill="auto"/>
            <w:vAlign w:val="bottom"/>
          </w:tcPr>
          <w:p w14:paraId="7C208C00" w14:textId="77777777" w:rsidR="00834A75" w:rsidRDefault="00834A75">
            <w:pPr>
              <w:rPr>
                <w:rFonts w:ascii="宋体"/>
              </w:rPr>
            </w:pPr>
          </w:p>
        </w:tc>
        <w:tc>
          <w:tcPr>
            <w:tcW w:w="0" w:type="auto"/>
            <w:shd w:val="clear" w:color="auto" w:fill="auto"/>
            <w:vAlign w:val="bottom"/>
          </w:tcPr>
          <w:p w14:paraId="7C208C01" w14:textId="77777777" w:rsidR="00834A75" w:rsidRDefault="00834A75">
            <w:pPr>
              <w:rPr>
                <w:rFonts w:ascii="宋体"/>
              </w:rPr>
            </w:pPr>
          </w:p>
        </w:tc>
        <w:tc>
          <w:tcPr>
            <w:tcW w:w="0" w:type="auto"/>
            <w:shd w:val="clear" w:color="auto" w:fill="auto"/>
            <w:vAlign w:val="bottom"/>
          </w:tcPr>
          <w:p w14:paraId="7C208C02" w14:textId="77777777" w:rsidR="00834A75" w:rsidRDefault="00834A75">
            <w:pPr>
              <w:rPr>
                <w:rFonts w:ascii="宋体"/>
              </w:rPr>
            </w:pPr>
          </w:p>
        </w:tc>
        <w:tc>
          <w:tcPr>
            <w:tcW w:w="0" w:type="auto"/>
            <w:shd w:val="clear" w:color="auto" w:fill="auto"/>
            <w:vAlign w:val="bottom"/>
          </w:tcPr>
          <w:p w14:paraId="7C208C03" w14:textId="77777777" w:rsidR="00834A75" w:rsidRDefault="00834A75">
            <w:pPr>
              <w:rPr>
                <w:rFonts w:ascii="宋体"/>
              </w:rPr>
            </w:pPr>
          </w:p>
        </w:tc>
        <w:tc>
          <w:tcPr>
            <w:tcW w:w="0" w:type="auto"/>
            <w:shd w:val="clear" w:color="auto" w:fill="auto"/>
            <w:vAlign w:val="bottom"/>
          </w:tcPr>
          <w:p w14:paraId="7C208C04" w14:textId="77777777" w:rsidR="00834A75" w:rsidRDefault="00834A75">
            <w:pPr>
              <w:rPr>
                <w:rFonts w:ascii="宋体"/>
              </w:rPr>
            </w:pPr>
          </w:p>
        </w:tc>
      </w:tr>
      <w:tr w:rsidR="00834A75" w14:paraId="7C208C0E" w14:textId="77777777">
        <w:tc>
          <w:tcPr>
            <w:tcW w:w="0" w:type="auto"/>
            <w:gridSpan w:val="3"/>
            <w:shd w:val="clear" w:color="auto" w:fill="auto"/>
            <w:tcMar>
              <w:top w:w="40" w:type="dxa"/>
              <w:left w:w="20" w:type="dxa"/>
              <w:bottom w:w="40" w:type="dxa"/>
              <w:right w:w="20" w:type="dxa"/>
            </w:tcMar>
            <w:vAlign w:val="bottom"/>
          </w:tcPr>
          <w:p w14:paraId="7C208C06" w14:textId="77777777" w:rsidR="00834A75" w:rsidRDefault="00A6708C">
            <w:pPr>
              <w:textAlignment w:val="bottom"/>
            </w:pPr>
            <w:r>
              <w:rPr>
                <w:rFonts w:ascii="sans-serif" w:eastAsia="sans-serif" w:hAnsi="sans-serif" w:cs="sans-serif"/>
                <w:b/>
                <w:bCs/>
                <w:color w:val="000000"/>
                <w:sz w:val="20"/>
                <w:szCs w:val="20"/>
              </w:rPr>
              <w:t>Revenue:</w:t>
            </w:r>
          </w:p>
        </w:tc>
        <w:tc>
          <w:tcPr>
            <w:tcW w:w="0" w:type="auto"/>
            <w:gridSpan w:val="3"/>
            <w:shd w:val="clear" w:color="auto" w:fill="auto"/>
            <w:tcMar>
              <w:top w:w="40" w:type="dxa"/>
              <w:left w:w="20" w:type="dxa"/>
              <w:bottom w:w="40" w:type="dxa"/>
              <w:right w:w="20" w:type="dxa"/>
            </w:tcMar>
            <w:vAlign w:val="bottom"/>
          </w:tcPr>
          <w:p w14:paraId="7C208C07" w14:textId="77777777" w:rsidR="00834A75" w:rsidRDefault="00A6708C">
            <w:pPr>
              <w:textAlignment w:val="bottom"/>
            </w:pPr>
            <w:r>
              <w:rPr>
                <w:rFonts w:ascii="sans-serif" w:eastAsia="sans-serif" w:hAnsi="sans-serif" w:cs="sans-serif"/>
                <w:color w:val="000000"/>
                <w:sz w:val="20"/>
                <w:szCs w:val="20"/>
              </w:rPr>
              <w:t> </w:t>
            </w:r>
          </w:p>
        </w:tc>
        <w:tc>
          <w:tcPr>
            <w:tcW w:w="0" w:type="auto"/>
            <w:gridSpan w:val="3"/>
            <w:shd w:val="clear" w:color="auto" w:fill="auto"/>
            <w:tcMar>
              <w:top w:w="0" w:type="dxa"/>
              <w:left w:w="20" w:type="dxa"/>
              <w:bottom w:w="0" w:type="dxa"/>
              <w:right w:w="20" w:type="dxa"/>
            </w:tcMar>
            <w:vAlign w:val="bottom"/>
          </w:tcPr>
          <w:p w14:paraId="7C208C08" w14:textId="77777777" w:rsidR="00834A75" w:rsidRDefault="00834A75">
            <w:pPr>
              <w:rPr>
                <w:rFonts w:ascii="宋体"/>
              </w:rPr>
            </w:pPr>
          </w:p>
        </w:tc>
        <w:tc>
          <w:tcPr>
            <w:tcW w:w="0" w:type="auto"/>
            <w:gridSpan w:val="3"/>
            <w:shd w:val="clear" w:color="auto" w:fill="auto"/>
            <w:tcMar>
              <w:top w:w="40" w:type="dxa"/>
              <w:left w:w="20" w:type="dxa"/>
              <w:bottom w:w="40" w:type="dxa"/>
              <w:right w:w="20" w:type="dxa"/>
            </w:tcMar>
            <w:vAlign w:val="bottom"/>
          </w:tcPr>
          <w:p w14:paraId="7C208C09" w14:textId="77777777" w:rsidR="00834A75" w:rsidRDefault="00A6708C">
            <w:pPr>
              <w:textAlignment w:val="bottom"/>
            </w:pPr>
            <w:r>
              <w:rPr>
                <w:rFonts w:ascii="sans-serif" w:eastAsia="sans-serif" w:hAnsi="sans-serif" w:cs="sans-serif"/>
                <w:color w:val="000000"/>
                <w:sz w:val="20"/>
                <w:szCs w:val="20"/>
              </w:rPr>
              <w:t> </w:t>
            </w:r>
          </w:p>
        </w:tc>
        <w:tc>
          <w:tcPr>
            <w:tcW w:w="0" w:type="auto"/>
            <w:gridSpan w:val="3"/>
            <w:shd w:val="clear" w:color="auto" w:fill="auto"/>
            <w:vAlign w:val="bottom"/>
          </w:tcPr>
          <w:p w14:paraId="7C208C0A" w14:textId="77777777" w:rsidR="00834A75" w:rsidRDefault="00834A75">
            <w:pPr>
              <w:rPr>
                <w:rFonts w:ascii="宋体"/>
                <w:vanish/>
              </w:rPr>
            </w:pPr>
          </w:p>
        </w:tc>
        <w:tc>
          <w:tcPr>
            <w:tcW w:w="0" w:type="auto"/>
            <w:gridSpan w:val="3"/>
            <w:shd w:val="clear" w:color="auto" w:fill="auto"/>
            <w:vAlign w:val="bottom"/>
          </w:tcPr>
          <w:p w14:paraId="7C208C0B" w14:textId="77777777" w:rsidR="00834A75" w:rsidRDefault="00834A75">
            <w:pPr>
              <w:rPr>
                <w:rFonts w:ascii="宋体"/>
                <w:vanish/>
              </w:rPr>
            </w:pPr>
          </w:p>
        </w:tc>
        <w:tc>
          <w:tcPr>
            <w:tcW w:w="0" w:type="auto"/>
            <w:gridSpan w:val="3"/>
            <w:shd w:val="clear" w:color="auto" w:fill="auto"/>
            <w:vAlign w:val="bottom"/>
          </w:tcPr>
          <w:p w14:paraId="7C208C0C" w14:textId="77777777" w:rsidR="00834A75" w:rsidRDefault="00834A75">
            <w:pPr>
              <w:rPr>
                <w:rFonts w:ascii="宋体"/>
                <w:vanish/>
              </w:rPr>
            </w:pPr>
          </w:p>
        </w:tc>
        <w:tc>
          <w:tcPr>
            <w:tcW w:w="0" w:type="auto"/>
            <w:gridSpan w:val="3"/>
            <w:shd w:val="clear" w:color="auto" w:fill="auto"/>
            <w:vAlign w:val="bottom"/>
          </w:tcPr>
          <w:p w14:paraId="7C208C0D" w14:textId="77777777" w:rsidR="00834A75" w:rsidRDefault="00834A75">
            <w:pPr>
              <w:rPr>
                <w:rFonts w:ascii="宋体"/>
                <w:vanish/>
              </w:rPr>
            </w:pPr>
          </w:p>
        </w:tc>
      </w:tr>
      <w:tr w:rsidR="00834A75" w14:paraId="7C208C1B" w14:textId="77777777">
        <w:tc>
          <w:tcPr>
            <w:tcW w:w="0" w:type="auto"/>
            <w:gridSpan w:val="3"/>
            <w:shd w:val="clear" w:color="auto" w:fill="E2EFD9"/>
            <w:tcMar>
              <w:top w:w="40" w:type="dxa"/>
              <w:left w:w="260" w:type="dxa"/>
              <w:bottom w:w="40" w:type="dxa"/>
              <w:right w:w="20" w:type="dxa"/>
            </w:tcMar>
            <w:vAlign w:val="bottom"/>
          </w:tcPr>
          <w:p w14:paraId="7C208C0F" w14:textId="77777777" w:rsidR="00834A75" w:rsidRDefault="00A6708C">
            <w:pPr>
              <w:textAlignment w:val="bottom"/>
            </w:pPr>
            <w:r>
              <w:rPr>
                <w:rFonts w:ascii="sans-serif" w:eastAsia="sans-serif" w:hAnsi="sans-serif" w:cs="sans-serif"/>
                <w:color w:val="000000"/>
                <w:sz w:val="20"/>
                <w:szCs w:val="20"/>
              </w:rPr>
              <w:t>Taiwan</w:t>
            </w:r>
          </w:p>
        </w:tc>
        <w:tc>
          <w:tcPr>
            <w:tcW w:w="0" w:type="auto"/>
            <w:shd w:val="clear" w:color="auto" w:fill="E2EFD9"/>
            <w:tcMar>
              <w:top w:w="40" w:type="dxa"/>
              <w:left w:w="20" w:type="dxa"/>
              <w:bottom w:w="40" w:type="dxa"/>
              <w:right w:w="0" w:type="dxa"/>
            </w:tcMar>
            <w:vAlign w:val="bottom"/>
          </w:tcPr>
          <w:p w14:paraId="7C208C10" w14:textId="77777777" w:rsidR="00834A75" w:rsidRDefault="00A6708C">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7C208C11" w14:textId="77777777" w:rsidR="00834A75" w:rsidRDefault="00A6708C">
            <w:pPr>
              <w:jc w:val="right"/>
              <w:textAlignment w:val="bottom"/>
            </w:pPr>
            <w:r>
              <w:rPr>
                <w:rFonts w:ascii="sans-serif" w:eastAsia="sans-serif" w:hAnsi="sans-serif" w:cs="sans-serif"/>
                <w:color w:val="000000"/>
                <w:sz w:val="20"/>
                <w:szCs w:val="20"/>
              </w:rPr>
              <w:t>2,777 </w:t>
            </w:r>
          </w:p>
        </w:tc>
        <w:tc>
          <w:tcPr>
            <w:tcW w:w="0" w:type="auto"/>
            <w:shd w:val="clear" w:color="auto" w:fill="E2EFD9"/>
            <w:tcMar>
              <w:top w:w="40" w:type="dxa"/>
              <w:left w:w="0" w:type="dxa"/>
              <w:bottom w:w="40" w:type="dxa"/>
              <w:right w:w="20" w:type="dxa"/>
            </w:tcMar>
            <w:vAlign w:val="bottom"/>
          </w:tcPr>
          <w:p w14:paraId="7C208C12" w14:textId="77777777" w:rsidR="00834A75" w:rsidRDefault="00834A75">
            <w:pPr>
              <w:jc w:val="right"/>
              <w:rPr>
                <w:rFonts w:ascii="宋体"/>
              </w:rPr>
            </w:pPr>
          </w:p>
        </w:tc>
        <w:tc>
          <w:tcPr>
            <w:tcW w:w="0" w:type="auto"/>
            <w:gridSpan w:val="3"/>
            <w:shd w:val="clear" w:color="auto" w:fill="E2EFD9"/>
            <w:tcMar>
              <w:top w:w="0" w:type="dxa"/>
              <w:left w:w="20" w:type="dxa"/>
              <w:bottom w:w="0" w:type="dxa"/>
              <w:right w:w="20" w:type="dxa"/>
            </w:tcMar>
            <w:vAlign w:val="bottom"/>
          </w:tcPr>
          <w:p w14:paraId="7C208C13" w14:textId="77777777" w:rsidR="00834A75" w:rsidRDefault="00834A75">
            <w:pPr>
              <w:rPr>
                <w:rFonts w:ascii="宋体"/>
              </w:rPr>
            </w:pPr>
          </w:p>
        </w:tc>
        <w:tc>
          <w:tcPr>
            <w:tcW w:w="0" w:type="auto"/>
            <w:shd w:val="clear" w:color="auto" w:fill="E2EFD9"/>
            <w:tcMar>
              <w:top w:w="40" w:type="dxa"/>
              <w:left w:w="20" w:type="dxa"/>
              <w:bottom w:w="40" w:type="dxa"/>
              <w:right w:w="0" w:type="dxa"/>
            </w:tcMar>
            <w:vAlign w:val="bottom"/>
          </w:tcPr>
          <w:p w14:paraId="7C208C14" w14:textId="77777777" w:rsidR="00834A75" w:rsidRDefault="00A6708C">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7C208C15" w14:textId="77777777" w:rsidR="00834A75" w:rsidRDefault="00A6708C">
            <w:pPr>
              <w:jc w:val="right"/>
              <w:textAlignment w:val="bottom"/>
            </w:pPr>
            <w:r>
              <w:rPr>
                <w:rFonts w:ascii="sans-serif" w:eastAsia="sans-serif" w:hAnsi="sans-serif" w:cs="sans-serif"/>
                <w:color w:val="000000"/>
                <w:sz w:val="20"/>
                <w:szCs w:val="20"/>
              </w:rPr>
              <w:t>1,784 </w:t>
            </w:r>
          </w:p>
        </w:tc>
        <w:tc>
          <w:tcPr>
            <w:tcW w:w="0" w:type="auto"/>
            <w:shd w:val="clear" w:color="auto" w:fill="E2EFD9"/>
            <w:tcMar>
              <w:top w:w="40" w:type="dxa"/>
              <w:left w:w="0" w:type="dxa"/>
              <w:bottom w:w="40" w:type="dxa"/>
              <w:right w:w="20" w:type="dxa"/>
            </w:tcMar>
            <w:vAlign w:val="bottom"/>
          </w:tcPr>
          <w:p w14:paraId="7C208C16" w14:textId="77777777" w:rsidR="00834A75" w:rsidRDefault="00834A75">
            <w:pPr>
              <w:jc w:val="right"/>
              <w:rPr>
                <w:rFonts w:ascii="宋体"/>
              </w:rPr>
            </w:pPr>
          </w:p>
        </w:tc>
        <w:tc>
          <w:tcPr>
            <w:tcW w:w="0" w:type="auto"/>
            <w:gridSpan w:val="3"/>
            <w:shd w:val="clear" w:color="auto" w:fill="auto"/>
            <w:vAlign w:val="bottom"/>
          </w:tcPr>
          <w:p w14:paraId="7C208C17" w14:textId="77777777" w:rsidR="00834A75" w:rsidRDefault="00834A75">
            <w:pPr>
              <w:rPr>
                <w:rFonts w:ascii="宋体"/>
                <w:vanish/>
              </w:rPr>
            </w:pPr>
          </w:p>
        </w:tc>
        <w:tc>
          <w:tcPr>
            <w:tcW w:w="0" w:type="auto"/>
            <w:gridSpan w:val="3"/>
            <w:shd w:val="clear" w:color="auto" w:fill="auto"/>
            <w:vAlign w:val="bottom"/>
          </w:tcPr>
          <w:p w14:paraId="7C208C18" w14:textId="77777777" w:rsidR="00834A75" w:rsidRDefault="00834A75">
            <w:pPr>
              <w:rPr>
                <w:rFonts w:ascii="宋体"/>
                <w:vanish/>
              </w:rPr>
            </w:pPr>
          </w:p>
        </w:tc>
        <w:tc>
          <w:tcPr>
            <w:tcW w:w="0" w:type="auto"/>
            <w:gridSpan w:val="3"/>
            <w:shd w:val="clear" w:color="auto" w:fill="auto"/>
            <w:vAlign w:val="bottom"/>
          </w:tcPr>
          <w:p w14:paraId="7C208C19" w14:textId="77777777" w:rsidR="00834A75" w:rsidRDefault="00834A75">
            <w:pPr>
              <w:rPr>
                <w:rFonts w:ascii="宋体"/>
                <w:vanish/>
              </w:rPr>
            </w:pPr>
          </w:p>
        </w:tc>
        <w:tc>
          <w:tcPr>
            <w:tcW w:w="0" w:type="auto"/>
            <w:gridSpan w:val="3"/>
            <w:shd w:val="clear" w:color="auto" w:fill="auto"/>
            <w:vAlign w:val="bottom"/>
          </w:tcPr>
          <w:p w14:paraId="7C208C1A" w14:textId="77777777" w:rsidR="00834A75" w:rsidRDefault="00834A75">
            <w:pPr>
              <w:rPr>
                <w:rFonts w:ascii="宋体"/>
                <w:vanish/>
              </w:rPr>
            </w:pPr>
          </w:p>
        </w:tc>
      </w:tr>
      <w:tr w:rsidR="00834A75" w14:paraId="7C208C26" w14:textId="77777777">
        <w:tc>
          <w:tcPr>
            <w:tcW w:w="0" w:type="auto"/>
            <w:gridSpan w:val="3"/>
            <w:shd w:val="clear" w:color="auto" w:fill="FFFFFF"/>
            <w:tcMar>
              <w:top w:w="40" w:type="dxa"/>
              <w:left w:w="260" w:type="dxa"/>
              <w:bottom w:w="40" w:type="dxa"/>
              <w:right w:w="20" w:type="dxa"/>
            </w:tcMar>
            <w:vAlign w:val="bottom"/>
          </w:tcPr>
          <w:p w14:paraId="7C208C1C" w14:textId="77777777" w:rsidR="00834A75" w:rsidRDefault="00A6708C">
            <w:pPr>
              <w:textAlignment w:val="bottom"/>
            </w:pPr>
            <w:r>
              <w:rPr>
                <w:rFonts w:ascii="sans-serif" w:eastAsia="sans-serif" w:hAnsi="sans-serif" w:cs="sans-serif"/>
                <w:color w:val="000000"/>
                <w:sz w:val="20"/>
                <w:szCs w:val="20"/>
              </w:rPr>
              <w:t>China (including Hong Kong)</w:t>
            </w:r>
          </w:p>
        </w:tc>
        <w:tc>
          <w:tcPr>
            <w:tcW w:w="0" w:type="auto"/>
            <w:gridSpan w:val="2"/>
            <w:shd w:val="clear" w:color="auto" w:fill="FFFFFF"/>
            <w:tcMar>
              <w:top w:w="40" w:type="dxa"/>
              <w:left w:w="20" w:type="dxa"/>
              <w:bottom w:w="40" w:type="dxa"/>
              <w:right w:w="0" w:type="dxa"/>
            </w:tcMar>
            <w:vAlign w:val="bottom"/>
          </w:tcPr>
          <w:p w14:paraId="7C208C1D" w14:textId="77777777" w:rsidR="00834A75" w:rsidRDefault="00A6708C">
            <w:pPr>
              <w:jc w:val="right"/>
              <w:textAlignment w:val="bottom"/>
            </w:pPr>
            <w:r>
              <w:rPr>
                <w:rFonts w:ascii="sans-serif" w:eastAsia="sans-serif" w:hAnsi="sans-serif" w:cs="sans-serif"/>
                <w:color w:val="000000"/>
                <w:sz w:val="20"/>
                <w:szCs w:val="20"/>
              </w:rPr>
              <w:t>2,081 </w:t>
            </w:r>
          </w:p>
        </w:tc>
        <w:tc>
          <w:tcPr>
            <w:tcW w:w="0" w:type="auto"/>
            <w:shd w:val="clear" w:color="auto" w:fill="FFFFFF"/>
            <w:tcMar>
              <w:top w:w="40" w:type="dxa"/>
              <w:left w:w="0" w:type="dxa"/>
              <w:bottom w:w="40" w:type="dxa"/>
              <w:right w:w="20" w:type="dxa"/>
            </w:tcMar>
            <w:vAlign w:val="bottom"/>
          </w:tcPr>
          <w:p w14:paraId="7C208C1E" w14:textId="77777777" w:rsidR="00834A75" w:rsidRDefault="00834A75">
            <w:pPr>
              <w:jc w:val="right"/>
              <w:rPr>
                <w:rFonts w:ascii="宋体"/>
              </w:rPr>
            </w:pPr>
          </w:p>
        </w:tc>
        <w:tc>
          <w:tcPr>
            <w:tcW w:w="0" w:type="auto"/>
            <w:gridSpan w:val="3"/>
            <w:shd w:val="clear" w:color="auto" w:fill="FFFFFF"/>
            <w:tcMar>
              <w:top w:w="0" w:type="dxa"/>
              <w:left w:w="20" w:type="dxa"/>
              <w:bottom w:w="0" w:type="dxa"/>
              <w:right w:w="20" w:type="dxa"/>
            </w:tcMar>
            <w:vAlign w:val="bottom"/>
          </w:tcPr>
          <w:p w14:paraId="7C208C1F" w14:textId="77777777" w:rsidR="00834A75" w:rsidRDefault="00834A75">
            <w:pPr>
              <w:rPr>
                <w:rFonts w:ascii="宋体"/>
              </w:rPr>
            </w:pPr>
          </w:p>
        </w:tc>
        <w:tc>
          <w:tcPr>
            <w:tcW w:w="0" w:type="auto"/>
            <w:gridSpan w:val="2"/>
            <w:shd w:val="clear" w:color="auto" w:fill="FFFFFF"/>
            <w:tcMar>
              <w:top w:w="40" w:type="dxa"/>
              <w:left w:w="20" w:type="dxa"/>
              <w:bottom w:w="40" w:type="dxa"/>
              <w:right w:w="0" w:type="dxa"/>
            </w:tcMar>
            <w:vAlign w:val="bottom"/>
          </w:tcPr>
          <w:p w14:paraId="7C208C20" w14:textId="77777777" w:rsidR="00834A75" w:rsidRDefault="00A6708C">
            <w:pPr>
              <w:jc w:val="right"/>
              <w:textAlignment w:val="bottom"/>
            </w:pPr>
            <w:r>
              <w:rPr>
                <w:rFonts w:ascii="sans-serif" w:eastAsia="sans-serif" w:hAnsi="sans-serif" w:cs="sans-serif"/>
                <w:color w:val="000000"/>
                <w:sz w:val="20"/>
                <w:szCs w:val="20"/>
              </w:rPr>
              <w:t>1,391 </w:t>
            </w:r>
          </w:p>
        </w:tc>
        <w:tc>
          <w:tcPr>
            <w:tcW w:w="0" w:type="auto"/>
            <w:shd w:val="clear" w:color="auto" w:fill="FFFFFF"/>
            <w:tcMar>
              <w:top w:w="40" w:type="dxa"/>
              <w:left w:w="0" w:type="dxa"/>
              <w:bottom w:w="40" w:type="dxa"/>
              <w:right w:w="20" w:type="dxa"/>
            </w:tcMar>
            <w:vAlign w:val="bottom"/>
          </w:tcPr>
          <w:p w14:paraId="7C208C21" w14:textId="77777777" w:rsidR="00834A75" w:rsidRDefault="00834A75">
            <w:pPr>
              <w:jc w:val="right"/>
              <w:rPr>
                <w:rFonts w:ascii="宋体"/>
              </w:rPr>
            </w:pPr>
          </w:p>
        </w:tc>
        <w:tc>
          <w:tcPr>
            <w:tcW w:w="0" w:type="auto"/>
            <w:gridSpan w:val="3"/>
            <w:shd w:val="clear" w:color="auto" w:fill="auto"/>
            <w:vAlign w:val="bottom"/>
          </w:tcPr>
          <w:p w14:paraId="7C208C22" w14:textId="77777777" w:rsidR="00834A75" w:rsidRDefault="00834A75">
            <w:pPr>
              <w:rPr>
                <w:rFonts w:ascii="宋体"/>
                <w:vanish/>
              </w:rPr>
            </w:pPr>
          </w:p>
        </w:tc>
        <w:tc>
          <w:tcPr>
            <w:tcW w:w="0" w:type="auto"/>
            <w:gridSpan w:val="3"/>
            <w:shd w:val="clear" w:color="auto" w:fill="auto"/>
            <w:vAlign w:val="bottom"/>
          </w:tcPr>
          <w:p w14:paraId="7C208C23" w14:textId="77777777" w:rsidR="00834A75" w:rsidRDefault="00834A75">
            <w:pPr>
              <w:rPr>
                <w:rFonts w:ascii="宋体"/>
                <w:vanish/>
              </w:rPr>
            </w:pPr>
          </w:p>
        </w:tc>
        <w:tc>
          <w:tcPr>
            <w:tcW w:w="0" w:type="auto"/>
            <w:gridSpan w:val="3"/>
            <w:shd w:val="clear" w:color="auto" w:fill="auto"/>
            <w:vAlign w:val="bottom"/>
          </w:tcPr>
          <w:p w14:paraId="7C208C24" w14:textId="77777777" w:rsidR="00834A75" w:rsidRDefault="00834A75">
            <w:pPr>
              <w:rPr>
                <w:rFonts w:ascii="宋体"/>
                <w:vanish/>
              </w:rPr>
            </w:pPr>
          </w:p>
        </w:tc>
        <w:tc>
          <w:tcPr>
            <w:tcW w:w="0" w:type="auto"/>
            <w:gridSpan w:val="3"/>
            <w:shd w:val="clear" w:color="auto" w:fill="auto"/>
            <w:vAlign w:val="bottom"/>
          </w:tcPr>
          <w:p w14:paraId="7C208C25" w14:textId="77777777" w:rsidR="00834A75" w:rsidRDefault="00834A75">
            <w:pPr>
              <w:rPr>
                <w:rFonts w:ascii="宋体"/>
                <w:vanish/>
              </w:rPr>
            </w:pPr>
          </w:p>
        </w:tc>
      </w:tr>
      <w:tr w:rsidR="00834A75" w14:paraId="7C208C2F" w14:textId="77777777">
        <w:trPr>
          <w:hidden/>
        </w:trPr>
        <w:tc>
          <w:tcPr>
            <w:tcW w:w="0" w:type="auto"/>
            <w:gridSpan w:val="3"/>
            <w:shd w:val="clear" w:color="auto" w:fill="auto"/>
            <w:vAlign w:val="bottom"/>
          </w:tcPr>
          <w:p w14:paraId="7C208C27" w14:textId="77777777" w:rsidR="00834A75" w:rsidRDefault="00834A75">
            <w:pPr>
              <w:rPr>
                <w:rFonts w:ascii="宋体"/>
                <w:vanish/>
              </w:rPr>
            </w:pPr>
          </w:p>
        </w:tc>
        <w:tc>
          <w:tcPr>
            <w:tcW w:w="0" w:type="auto"/>
            <w:gridSpan w:val="3"/>
            <w:shd w:val="clear" w:color="auto" w:fill="auto"/>
            <w:vAlign w:val="bottom"/>
          </w:tcPr>
          <w:p w14:paraId="7C208C28" w14:textId="77777777" w:rsidR="00834A75" w:rsidRDefault="00834A75">
            <w:pPr>
              <w:rPr>
                <w:rFonts w:ascii="宋体"/>
                <w:vanish/>
              </w:rPr>
            </w:pPr>
          </w:p>
        </w:tc>
        <w:tc>
          <w:tcPr>
            <w:tcW w:w="0" w:type="auto"/>
            <w:gridSpan w:val="3"/>
            <w:shd w:val="clear" w:color="auto" w:fill="auto"/>
            <w:vAlign w:val="bottom"/>
          </w:tcPr>
          <w:p w14:paraId="7C208C29" w14:textId="77777777" w:rsidR="00834A75" w:rsidRDefault="00834A75">
            <w:pPr>
              <w:rPr>
                <w:rFonts w:ascii="宋体"/>
                <w:vanish/>
              </w:rPr>
            </w:pPr>
          </w:p>
        </w:tc>
        <w:tc>
          <w:tcPr>
            <w:tcW w:w="0" w:type="auto"/>
            <w:gridSpan w:val="3"/>
            <w:shd w:val="clear" w:color="auto" w:fill="auto"/>
            <w:vAlign w:val="bottom"/>
          </w:tcPr>
          <w:p w14:paraId="7C208C2A" w14:textId="77777777" w:rsidR="00834A75" w:rsidRDefault="00834A75">
            <w:pPr>
              <w:rPr>
                <w:rFonts w:ascii="宋体"/>
                <w:vanish/>
              </w:rPr>
            </w:pPr>
          </w:p>
        </w:tc>
        <w:tc>
          <w:tcPr>
            <w:tcW w:w="0" w:type="auto"/>
            <w:gridSpan w:val="3"/>
            <w:shd w:val="clear" w:color="auto" w:fill="auto"/>
            <w:vAlign w:val="bottom"/>
          </w:tcPr>
          <w:p w14:paraId="7C208C2B" w14:textId="77777777" w:rsidR="00834A75" w:rsidRDefault="00834A75">
            <w:pPr>
              <w:rPr>
                <w:rFonts w:ascii="宋体"/>
                <w:vanish/>
              </w:rPr>
            </w:pPr>
          </w:p>
        </w:tc>
        <w:tc>
          <w:tcPr>
            <w:tcW w:w="0" w:type="auto"/>
            <w:gridSpan w:val="3"/>
            <w:shd w:val="clear" w:color="auto" w:fill="auto"/>
            <w:vAlign w:val="bottom"/>
          </w:tcPr>
          <w:p w14:paraId="7C208C2C" w14:textId="77777777" w:rsidR="00834A75" w:rsidRDefault="00834A75">
            <w:pPr>
              <w:rPr>
                <w:rFonts w:ascii="宋体"/>
                <w:vanish/>
              </w:rPr>
            </w:pPr>
          </w:p>
        </w:tc>
        <w:tc>
          <w:tcPr>
            <w:tcW w:w="0" w:type="auto"/>
            <w:gridSpan w:val="3"/>
            <w:shd w:val="clear" w:color="auto" w:fill="auto"/>
            <w:vAlign w:val="bottom"/>
          </w:tcPr>
          <w:p w14:paraId="7C208C2D" w14:textId="77777777" w:rsidR="00834A75" w:rsidRDefault="00834A75">
            <w:pPr>
              <w:rPr>
                <w:rFonts w:ascii="宋体"/>
                <w:vanish/>
              </w:rPr>
            </w:pPr>
          </w:p>
        </w:tc>
        <w:tc>
          <w:tcPr>
            <w:tcW w:w="0" w:type="auto"/>
            <w:gridSpan w:val="3"/>
            <w:shd w:val="clear" w:color="auto" w:fill="auto"/>
            <w:vAlign w:val="bottom"/>
          </w:tcPr>
          <w:p w14:paraId="7C208C2E" w14:textId="77777777" w:rsidR="00834A75" w:rsidRDefault="00834A75">
            <w:pPr>
              <w:rPr>
                <w:rFonts w:ascii="宋体"/>
                <w:vanish/>
              </w:rPr>
            </w:pPr>
          </w:p>
        </w:tc>
      </w:tr>
      <w:tr w:rsidR="00834A75" w14:paraId="7C208C3A" w14:textId="77777777">
        <w:tc>
          <w:tcPr>
            <w:tcW w:w="0" w:type="auto"/>
            <w:gridSpan w:val="3"/>
            <w:shd w:val="clear" w:color="auto" w:fill="E2EFD9"/>
            <w:tcMar>
              <w:top w:w="40" w:type="dxa"/>
              <w:left w:w="260" w:type="dxa"/>
              <w:bottom w:w="40" w:type="dxa"/>
              <w:right w:w="20" w:type="dxa"/>
            </w:tcMar>
            <w:vAlign w:val="bottom"/>
          </w:tcPr>
          <w:p w14:paraId="7C208C30" w14:textId="77777777" w:rsidR="00834A75" w:rsidRDefault="00A6708C">
            <w:pPr>
              <w:textAlignment w:val="bottom"/>
            </w:pPr>
            <w:r>
              <w:rPr>
                <w:rFonts w:ascii="sans-serif" w:eastAsia="sans-serif" w:hAnsi="sans-serif" w:cs="sans-serif"/>
                <w:color w:val="000000"/>
                <w:sz w:val="20"/>
                <w:szCs w:val="20"/>
              </w:rPr>
              <w:t>United States</w:t>
            </w:r>
          </w:p>
        </w:tc>
        <w:tc>
          <w:tcPr>
            <w:tcW w:w="0" w:type="auto"/>
            <w:gridSpan w:val="2"/>
            <w:shd w:val="clear" w:color="auto" w:fill="E2EFD9"/>
            <w:tcMar>
              <w:top w:w="40" w:type="dxa"/>
              <w:left w:w="20" w:type="dxa"/>
              <w:bottom w:w="40" w:type="dxa"/>
              <w:right w:w="0" w:type="dxa"/>
            </w:tcMar>
            <w:vAlign w:val="bottom"/>
          </w:tcPr>
          <w:p w14:paraId="7C208C31" w14:textId="77777777" w:rsidR="00834A75" w:rsidRDefault="00A6708C">
            <w:pPr>
              <w:jc w:val="right"/>
              <w:textAlignment w:val="bottom"/>
            </w:pPr>
            <w:r>
              <w:rPr>
                <w:rFonts w:ascii="sans-serif" w:eastAsia="sans-serif" w:hAnsi="sans-serif" w:cs="sans-serif"/>
                <w:color w:val="000000"/>
                <w:sz w:val="20"/>
                <w:szCs w:val="20"/>
              </w:rPr>
              <w:t>1,932 </w:t>
            </w:r>
          </w:p>
        </w:tc>
        <w:tc>
          <w:tcPr>
            <w:tcW w:w="0" w:type="auto"/>
            <w:shd w:val="clear" w:color="auto" w:fill="E2EFD9"/>
            <w:tcMar>
              <w:top w:w="40" w:type="dxa"/>
              <w:left w:w="0" w:type="dxa"/>
              <w:bottom w:w="40" w:type="dxa"/>
              <w:right w:w="20" w:type="dxa"/>
            </w:tcMar>
            <w:vAlign w:val="bottom"/>
          </w:tcPr>
          <w:p w14:paraId="7C208C32" w14:textId="77777777" w:rsidR="00834A75" w:rsidRDefault="00834A75">
            <w:pPr>
              <w:jc w:val="right"/>
              <w:rPr>
                <w:rFonts w:ascii="宋体"/>
              </w:rPr>
            </w:pPr>
          </w:p>
        </w:tc>
        <w:tc>
          <w:tcPr>
            <w:tcW w:w="0" w:type="auto"/>
            <w:gridSpan w:val="3"/>
            <w:shd w:val="clear" w:color="auto" w:fill="E2EFD9"/>
            <w:tcMar>
              <w:top w:w="0" w:type="dxa"/>
              <w:left w:w="20" w:type="dxa"/>
              <w:bottom w:w="0" w:type="dxa"/>
              <w:right w:w="20" w:type="dxa"/>
            </w:tcMar>
            <w:vAlign w:val="bottom"/>
          </w:tcPr>
          <w:p w14:paraId="7C208C33" w14:textId="77777777" w:rsidR="00834A75" w:rsidRDefault="00834A75">
            <w:pPr>
              <w:rPr>
                <w:rFonts w:ascii="宋体"/>
              </w:rPr>
            </w:pPr>
          </w:p>
        </w:tc>
        <w:tc>
          <w:tcPr>
            <w:tcW w:w="0" w:type="auto"/>
            <w:gridSpan w:val="2"/>
            <w:shd w:val="clear" w:color="auto" w:fill="E2EFD9"/>
            <w:tcMar>
              <w:top w:w="40" w:type="dxa"/>
              <w:left w:w="20" w:type="dxa"/>
              <w:bottom w:w="40" w:type="dxa"/>
              <w:right w:w="0" w:type="dxa"/>
            </w:tcMar>
            <w:vAlign w:val="bottom"/>
          </w:tcPr>
          <w:p w14:paraId="7C208C34" w14:textId="77777777" w:rsidR="00834A75" w:rsidRDefault="00A6708C">
            <w:pPr>
              <w:jc w:val="right"/>
              <w:textAlignment w:val="bottom"/>
            </w:pPr>
            <w:r>
              <w:rPr>
                <w:rFonts w:ascii="sans-serif" w:eastAsia="sans-serif" w:hAnsi="sans-serif" w:cs="sans-serif"/>
                <w:color w:val="000000"/>
                <w:sz w:val="20"/>
                <w:szCs w:val="20"/>
              </w:rPr>
              <w:t>768 </w:t>
            </w:r>
          </w:p>
        </w:tc>
        <w:tc>
          <w:tcPr>
            <w:tcW w:w="0" w:type="auto"/>
            <w:shd w:val="clear" w:color="auto" w:fill="E2EFD9"/>
            <w:tcMar>
              <w:top w:w="40" w:type="dxa"/>
              <w:left w:w="0" w:type="dxa"/>
              <w:bottom w:w="40" w:type="dxa"/>
              <w:right w:w="20" w:type="dxa"/>
            </w:tcMar>
            <w:vAlign w:val="bottom"/>
          </w:tcPr>
          <w:p w14:paraId="7C208C35" w14:textId="77777777" w:rsidR="00834A75" w:rsidRDefault="00834A75">
            <w:pPr>
              <w:jc w:val="right"/>
              <w:rPr>
                <w:rFonts w:ascii="宋体"/>
              </w:rPr>
            </w:pPr>
          </w:p>
        </w:tc>
        <w:tc>
          <w:tcPr>
            <w:tcW w:w="0" w:type="auto"/>
            <w:gridSpan w:val="3"/>
            <w:shd w:val="clear" w:color="auto" w:fill="auto"/>
            <w:vAlign w:val="bottom"/>
          </w:tcPr>
          <w:p w14:paraId="7C208C36" w14:textId="77777777" w:rsidR="00834A75" w:rsidRDefault="00834A75">
            <w:pPr>
              <w:rPr>
                <w:rFonts w:ascii="宋体"/>
                <w:vanish/>
              </w:rPr>
            </w:pPr>
          </w:p>
        </w:tc>
        <w:tc>
          <w:tcPr>
            <w:tcW w:w="0" w:type="auto"/>
            <w:gridSpan w:val="3"/>
            <w:shd w:val="clear" w:color="auto" w:fill="auto"/>
            <w:vAlign w:val="bottom"/>
          </w:tcPr>
          <w:p w14:paraId="7C208C37" w14:textId="77777777" w:rsidR="00834A75" w:rsidRDefault="00834A75">
            <w:pPr>
              <w:rPr>
                <w:rFonts w:ascii="宋体"/>
                <w:vanish/>
              </w:rPr>
            </w:pPr>
          </w:p>
        </w:tc>
        <w:tc>
          <w:tcPr>
            <w:tcW w:w="0" w:type="auto"/>
            <w:gridSpan w:val="3"/>
            <w:shd w:val="clear" w:color="auto" w:fill="auto"/>
            <w:vAlign w:val="bottom"/>
          </w:tcPr>
          <w:p w14:paraId="7C208C38" w14:textId="77777777" w:rsidR="00834A75" w:rsidRDefault="00834A75">
            <w:pPr>
              <w:rPr>
                <w:rFonts w:ascii="宋体"/>
                <w:vanish/>
              </w:rPr>
            </w:pPr>
          </w:p>
        </w:tc>
        <w:tc>
          <w:tcPr>
            <w:tcW w:w="0" w:type="auto"/>
            <w:gridSpan w:val="3"/>
            <w:shd w:val="clear" w:color="auto" w:fill="auto"/>
            <w:vAlign w:val="bottom"/>
          </w:tcPr>
          <w:p w14:paraId="7C208C39" w14:textId="77777777" w:rsidR="00834A75" w:rsidRDefault="00834A75">
            <w:pPr>
              <w:rPr>
                <w:rFonts w:ascii="宋体"/>
                <w:vanish/>
              </w:rPr>
            </w:pPr>
          </w:p>
        </w:tc>
      </w:tr>
      <w:tr w:rsidR="00834A75" w14:paraId="7C208C43" w14:textId="77777777">
        <w:trPr>
          <w:hidden/>
        </w:trPr>
        <w:tc>
          <w:tcPr>
            <w:tcW w:w="0" w:type="auto"/>
            <w:gridSpan w:val="3"/>
            <w:shd w:val="clear" w:color="auto" w:fill="auto"/>
            <w:vAlign w:val="bottom"/>
          </w:tcPr>
          <w:p w14:paraId="7C208C3B" w14:textId="77777777" w:rsidR="00834A75" w:rsidRDefault="00834A75">
            <w:pPr>
              <w:rPr>
                <w:rFonts w:ascii="宋体"/>
                <w:vanish/>
              </w:rPr>
            </w:pPr>
          </w:p>
        </w:tc>
        <w:tc>
          <w:tcPr>
            <w:tcW w:w="0" w:type="auto"/>
            <w:gridSpan w:val="3"/>
            <w:shd w:val="clear" w:color="auto" w:fill="auto"/>
            <w:vAlign w:val="bottom"/>
          </w:tcPr>
          <w:p w14:paraId="7C208C3C" w14:textId="77777777" w:rsidR="00834A75" w:rsidRDefault="00834A75">
            <w:pPr>
              <w:rPr>
                <w:rFonts w:ascii="宋体"/>
                <w:vanish/>
              </w:rPr>
            </w:pPr>
          </w:p>
        </w:tc>
        <w:tc>
          <w:tcPr>
            <w:tcW w:w="0" w:type="auto"/>
            <w:gridSpan w:val="3"/>
            <w:shd w:val="clear" w:color="auto" w:fill="auto"/>
            <w:vAlign w:val="bottom"/>
          </w:tcPr>
          <w:p w14:paraId="7C208C3D" w14:textId="77777777" w:rsidR="00834A75" w:rsidRDefault="00834A75">
            <w:pPr>
              <w:rPr>
                <w:rFonts w:ascii="宋体"/>
                <w:vanish/>
              </w:rPr>
            </w:pPr>
          </w:p>
        </w:tc>
        <w:tc>
          <w:tcPr>
            <w:tcW w:w="0" w:type="auto"/>
            <w:gridSpan w:val="3"/>
            <w:shd w:val="clear" w:color="auto" w:fill="auto"/>
            <w:vAlign w:val="bottom"/>
          </w:tcPr>
          <w:p w14:paraId="7C208C3E" w14:textId="77777777" w:rsidR="00834A75" w:rsidRDefault="00834A75">
            <w:pPr>
              <w:rPr>
                <w:rFonts w:ascii="宋体"/>
                <w:vanish/>
              </w:rPr>
            </w:pPr>
          </w:p>
        </w:tc>
        <w:tc>
          <w:tcPr>
            <w:tcW w:w="0" w:type="auto"/>
            <w:gridSpan w:val="3"/>
            <w:shd w:val="clear" w:color="auto" w:fill="auto"/>
            <w:vAlign w:val="bottom"/>
          </w:tcPr>
          <w:p w14:paraId="7C208C3F" w14:textId="77777777" w:rsidR="00834A75" w:rsidRDefault="00834A75">
            <w:pPr>
              <w:rPr>
                <w:rFonts w:ascii="宋体"/>
                <w:vanish/>
              </w:rPr>
            </w:pPr>
          </w:p>
        </w:tc>
        <w:tc>
          <w:tcPr>
            <w:tcW w:w="0" w:type="auto"/>
            <w:gridSpan w:val="3"/>
            <w:shd w:val="clear" w:color="auto" w:fill="auto"/>
            <w:vAlign w:val="bottom"/>
          </w:tcPr>
          <w:p w14:paraId="7C208C40" w14:textId="77777777" w:rsidR="00834A75" w:rsidRDefault="00834A75">
            <w:pPr>
              <w:rPr>
                <w:rFonts w:ascii="宋体"/>
                <w:vanish/>
              </w:rPr>
            </w:pPr>
          </w:p>
        </w:tc>
        <w:tc>
          <w:tcPr>
            <w:tcW w:w="0" w:type="auto"/>
            <w:gridSpan w:val="3"/>
            <w:shd w:val="clear" w:color="auto" w:fill="auto"/>
            <w:vAlign w:val="bottom"/>
          </w:tcPr>
          <w:p w14:paraId="7C208C41" w14:textId="77777777" w:rsidR="00834A75" w:rsidRDefault="00834A75">
            <w:pPr>
              <w:rPr>
                <w:rFonts w:ascii="宋体"/>
                <w:vanish/>
              </w:rPr>
            </w:pPr>
          </w:p>
        </w:tc>
        <w:tc>
          <w:tcPr>
            <w:tcW w:w="0" w:type="auto"/>
            <w:gridSpan w:val="3"/>
            <w:shd w:val="clear" w:color="auto" w:fill="auto"/>
            <w:vAlign w:val="bottom"/>
          </w:tcPr>
          <w:p w14:paraId="7C208C42" w14:textId="77777777" w:rsidR="00834A75" w:rsidRDefault="00834A75">
            <w:pPr>
              <w:rPr>
                <w:rFonts w:ascii="宋体"/>
                <w:vanish/>
              </w:rPr>
            </w:pPr>
          </w:p>
        </w:tc>
      </w:tr>
      <w:tr w:rsidR="00834A75" w14:paraId="7C208C4E" w14:textId="77777777">
        <w:tc>
          <w:tcPr>
            <w:tcW w:w="0" w:type="auto"/>
            <w:gridSpan w:val="3"/>
            <w:shd w:val="clear" w:color="auto" w:fill="FFFFFF"/>
            <w:tcMar>
              <w:top w:w="40" w:type="dxa"/>
              <w:left w:w="260" w:type="dxa"/>
              <w:bottom w:w="40" w:type="dxa"/>
              <w:right w:w="20" w:type="dxa"/>
            </w:tcMar>
            <w:vAlign w:val="bottom"/>
          </w:tcPr>
          <w:p w14:paraId="7C208C44" w14:textId="77777777" w:rsidR="00834A75" w:rsidRDefault="00A6708C">
            <w:pPr>
              <w:textAlignment w:val="bottom"/>
            </w:pPr>
            <w:r>
              <w:rPr>
                <w:rFonts w:ascii="sans-serif" w:eastAsia="sans-serif" w:hAnsi="sans-serif" w:cs="sans-serif"/>
                <w:color w:val="000000"/>
                <w:sz w:val="20"/>
                <w:szCs w:val="20"/>
              </w:rPr>
              <w:t>Other countries</w:t>
            </w:r>
          </w:p>
        </w:tc>
        <w:tc>
          <w:tcPr>
            <w:tcW w:w="0" w:type="auto"/>
            <w:gridSpan w:val="2"/>
            <w:shd w:val="clear" w:color="auto" w:fill="FFFFFF"/>
            <w:tcMar>
              <w:top w:w="40" w:type="dxa"/>
              <w:left w:w="20" w:type="dxa"/>
              <w:bottom w:w="40" w:type="dxa"/>
              <w:right w:w="0" w:type="dxa"/>
            </w:tcMar>
            <w:vAlign w:val="bottom"/>
          </w:tcPr>
          <w:p w14:paraId="7C208C45" w14:textId="77777777" w:rsidR="00834A75" w:rsidRDefault="00A6708C">
            <w:pPr>
              <w:jc w:val="right"/>
              <w:textAlignment w:val="bottom"/>
            </w:pPr>
            <w:r>
              <w:rPr>
                <w:rFonts w:ascii="sans-serif" w:eastAsia="sans-serif" w:hAnsi="sans-serif" w:cs="sans-serif"/>
                <w:color w:val="000000"/>
                <w:sz w:val="20"/>
                <w:szCs w:val="20"/>
              </w:rPr>
              <w:t>1,498 </w:t>
            </w:r>
          </w:p>
        </w:tc>
        <w:tc>
          <w:tcPr>
            <w:tcW w:w="0" w:type="auto"/>
            <w:shd w:val="clear" w:color="auto" w:fill="FFFFFF"/>
            <w:tcMar>
              <w:top w:w="40" w:type="dxa"/>
              <w:left w:w="0" w:type="dxa"/>
              <w:bottom w:w="40" w:type="dxa"/>
              <w:right w:w="20" w:type="dxa"/>
            </w:tcMar>
            <w:vAlign w:val="bottom"/>
          </w:tcPr>
          <w:p w14:paraId="7C208C46" w14:textId="77777777" w:rsidR="00834A75" w:rsidRDefault="00834A75">
            <w:pPr>
              <w:jc w:val="right"/>
              <w:rPr>
                <w:rFonts w:ascii="宋体"/>
              </w:rPr>
            </w:pPr>
          </w:p>
        </w:tc>
        <w:tc>
          <w:tcPr>
            <w:tcW w:w="0" w:type="auto"/>
            <w:gridSpan w:val="3"/>
            <w:shd w:val="clear" w:color="auto" w:fill="FFFFFF"/>
            <w:tcMar>
              <w:top w:w="0" w:type="dxa"/>
              <w:left w:w="20" w:type="dxa"/>
              <w:bottom w:w="0" w:type="dxa"/>
              <w:right w:w="20" w:type="dxa"/>
            </w:tcMar>
            <w:vAlign w:val="bottom"/>
          </w:tcPr>
          <w:p w14:paraId="7C208C47" w14:textId="77777777" w:rsidR="00834A75" w:rsidRDefault="00834A75">
            <w:pPr>
              <w:rPr>
                <w:rFonts w:ascii="宋体"/>
              </w:rPr>
            </w:pPr>
          </w:p>
        </w:tc>
        <w:tc>
          <w:tcPr>
            <w:tcW w:w="0" w:type="auto"/>
            <w:gridSpan w:val="2"/>
            <w:shd w:val="clear" w:color="auto" w:fill="FFFFFF"/>
            <w:tcMar>
              <w:top w:w="40" w:type="dxa"/>
              <w:left w:w="20" w:type="dxa"/>
              <w:bottom w:w="40" w:type="dxa"/>
              <w:right w:w="0" w:type="dxa"/>
            </w:tcMar>
            <w:vAlign w:val="bottom"/>
          </w:tcPr>
          <w:p w14:paraId="7C208C48" w14:textId="77777777" w:rsidR="00834A75" w:rsidRDefault="00A6708C">
            <w:pPr>
              <w:jc w:val="right"/>
              <w:textAlignment w:val="bottom"/>
            </w:pPr>
            <w:r>
              <w:rPr>
                <w:rFonts w:ascii="sans-serif" w:eastAsia="sans-serif" w:hAnsi="sans-serif" w:cs="sans-serif"/>
                <w:color w:val="000000"/>
                <w:sz w:val="20"/>
                <w:szCs w:val="20"/>
              </w:rPr>
              <w:t>1,718 </w:t>
            </w:r>
          </w:p>
        </w:tc>
        <w:tc>
          <w:tcPr>
            <w:tcW w:w="0" w:type="auto"/>
            <w:shd w:val="clear" w:color="auto" w:fill="FFFFFF"/>
            <w:tcMar>
              <w:top w:w="40" w:type="dxa"/>
              <w:left w:w="0" w:type="dxa"/>
              <w:bottom w:w="40" w:type="dxa"/>
              <w:right w:w="20" w:type="dxa"/>
            </w:tcMar>
            <w:vAlign w:val="bottom"/>
          </w:tcPr>
          <w:p w14:paraId="7C208C49" w14:textId="77777777" w:rsidR="00834A75" w:rsidRDefault="00834A75">
            <w:pPr>
              <w:jc w:val="right"/>
              <w:rPr>
                <w:rFonts w:ascii="宋体"/>
              </w:rPr>
            </w:pPr>
          </w:p>
        </w:tc>
        <w:tc>
          <w:tcPr>
            <w:tcW w:w="0" w:type="auto"/>
            <w:gridSpan w:val="3"/>
            <w:shd w:val="clear" w:color="auto" w:fill="auto"/>
            <w:vAlign w:val="bottom"/>
          </w:tcPr>
          <w:p w14:paraId="7C208C4A" w14:textId="77777777" w:rsidR="00834A75" w:rsidRDefault="00834A75">
            <w:pPr>
              <w:rPr>
                <w:rFonts w:ascii="宋体"/>
                <w:vanish/>
              </w:rPr>
            </w:pPr>
          </w:p>
        </w:tc>
        <w:tc>
          <w:tcPr>
            <w:tcW w:w="0" w:type="auto"/>
            <w:gridSpan w:val="3"/>
            <w:shd w:val="clear" w:color="auto" w:fill="auto"/>
            <w:vAlign w:val="bottom"/>
          </w:tcPr>
          <w:p w14:paraId="7C208C4B" w14:textId="77777777" w:rsidR="00834A75" w:rsidRDefault="00834A75">
            <w:pPr>
              <w:rPr>
                <w:rFonts w:ascii="宋体"/>
                <w:vanish/>
              </w:rPr>
            </w:pPr>
          </w:p>
        </w:tc>
        <w:tc>
          <w:tcPr>
            <w:tcW w:w="0" w:type="auto"/>
            <w:gridSpan w:val="3"/>
            <w:shd w:val="clear" w:color="auto" w:fill="auto"/>
            <w:vAlign w:val="bottom"/>
          </w:tcPr>
          <w:p w14:paraId="7C208C4C" w14:textId="77777777" w:rsidR="00834A75" w:rsidRDefault="00834A75">
            <w:pPr>
              <w:rPr>
                <w:rFonts w:ascii="宋体"/>
                <w:vanish/>
              </w:rPr>
            </w:pPr>
          </w:p>
        </w:tc>
        <w:tc>
          <w:tcPr>
            <w:tcW w:w="0" w:type="auto"/>
            <w:gridSpan w:val="3"/>
            <w:shd w:val="clear" w:color="auto" w:fill="auto"/>
            <w:vAlign w:val="bottom"/>
          </w:tcPr>
          <w:p w14:paraId="7C208C4D" w14:textId="77777777" w:rsidR="00834A75" w:rsidRDefault="00834A75">
            <w:pPr>
              <w:rPr>
                <w:rFonts w:ascii="宋体"/>
                <w:vanish/>
              </w:rPr>
            </w:pPr>
          </w:p>
        </w:tc>
      </w:tr>
      <w:tr w:rsidR="00834A75" w14:paraId="7C208C5B" w14:textId="77777777">
        <w:tc>
          <w:tcPr>
            <w:tcW w:w="0" w:type="auto"/>
            <w:gridSpan w:val="3"/>
            <w:shd w:val="clear" w:color="auto" w:fill="E2EFD9"/>
            <w:tcMar>
              <w:top w:w="40" w:type="dxa"/>
              <w:left w:w="20" w:type="dxa"/>
              <w:bottom w:w="40" w:type="dxa"/>
              <w:right w:w="20" w:type="dxa"/>
            </w:tcMar>
            <w:vAlign w:val="bottom"/>
          </w:tcPr>
          <w:p w14:paraId="7C208C4F" w14:textId="77777777" w:rsidR="00834A75" w:rsidRDefault="00A6708C">
            <w:pPr>
              <w:textAlignment w:val="bottom"/>
            </w:pPr>
            <w:r>
              <w:rPr>
                <w:rFonts w:ascii="sans-serif" w:eastAsia="sans-serif" w:hAnsi="sans-serif" w:cs="sans-serif"/>
                <w:color w:val="000000"/>
                <w:sz w:val="20"/>
                <w:szCs w:val="20"/>
              </w:rPr>
              <w:t>Total revenue</w:t>
            </w:r>
          </w:p>
        </w:tc>
        <w:tc>
          <w:tcPr>
            <w:tcW w:w="0" w:type="auto"/>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7C208C50" w14:textId="77777777" w:rsidR="00834A75" w:rsidRDefault="00A6708C">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E2EFD9"/>
            <w:tcMar>
              <w:top w:w="40" w:type="dxa"/>
              <w:left w:w="0" w:type="dxa"/>
              <w:bottom w:w="40" w:type="dxa"/>
              <w:right w:w="0" w:type="dxa"/>
            </w:tcMar>
            <w:vAlign w:val="bottom"/>
          </w:tcPr>
          <w:p w14:paraId="7C208C51" w14:textId="77777777" w:rsidR="00834A75" w:rsidRDefault="00A6708C">
            <w:pPr>
              <w:jc w:val="right"/>
              <w:textAlignment w:val="bottom"/>
            </w:pPr>
            <w:r>
              <w:rPr>
                <w:rFonts w:ascii="sans-serif" w:eastAsia="sans-serif" w:hAnsi="sans-serif" w:cs="sans-serif"/>
                <w:color w:val="000000"/>
                <w:sz w:val="20"/>
                <w:szCs w:val="20"/>
              </w:rPr>
              <w:t>8,288 </w:t>
            </w:r>
          </w:p>
        </w:tc>
        <w:tc>
          <w:tcPr>
            <w:tcW w:w="0" w:type="auto"/>
            <w:tcBorders>
              <w:top w:val="single" w:sz="8" w:space="0" w:color="000000"/>
              <w:bottom w:val="double" w:sz="6" w:space="0" w:color="000000"/>
            </w:tcBorders>
            <w:shd w:val="clear" w:color="auto" w:fill="E2EFD9"/>
            <w:tcMar>
              <w:top w:w="40" w:type="dxa"/>
              <w:left w:w="0" w:type="dxa"/>
              <w:bottom w:w="40" w:type="dxa"/>
              <w:right w:w="20" w:type="dxa"/>
            </w:tcMar>
            <w:vAlign w:val="bottom"/>
          </w:tcPr>
          <w:p w14:paraId="7C208C52" w14:textId="77777777" w:rsidR="00834A75" w:rsidRDefault="00834A75">
            <w:pPr>
              <w:jc w:val="right"/>
              <w:rPr>
                <w:rFonts w:ascii="宋体"/>
              </w:rPr>
            </w:pPr>
          </w:p>
        </w:tc>
        <w:tc>
          <w:tcPr>
            <w:tcW w:w="0" w:type="auto"/>
            <w:gridSpan w:val="3"/>
            <w:shd w:val="clear" w:color="auto" w:fill="E2EFD9"/>
            <w:tcMar>
              <w:top w:w="0" w:type="dxa"/>
              <w:left w:w="20" w:type="dxa"/>
              <w:bottom w:w="0" w:type="dxa"/>
              <w:right w:w="20" w:type="dxa"/>
            </w:tcMar>
            <w:vAlign w:val="bottom"/>
          </w:tcPr>
          <w:p w14:paraId="7C208C53" w14:textId="77777777" w:rsidR="00834A75" w:rsidRDefault="00834A75">
            <w:pPr>
              <w:rPr>
                <w:rFonts w:ascii="宋体"/>
              </w:rPr>
            </w:pPr>
          </w:p>
        </w:tc>
        <w:tc>
          <w:tcPr>
            <w:tcW w:w="0" w:type="auto"/>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7C208C54" w14:textId="77777777" w:rsidR="00834A75" w:rsidRDefault="00A6708C">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E2EFD9"/>
            <w:tcMar>
              <w:top w:w="40" w:type="dxa"/>
              <w:left w:w="0" w:type="dxa"/>
              <w:bottom w:w="40" w:type="dxa"/>
              <w:right w:w="0" w:type="dxa"/>
            </w:tcMar>
            <w:vAlign w:val="bottom"/>
          </w:tcPr>
          <w:p w14:paraId="7C208C55" w14:textId="77777777" w:rsidR="00834A75" w:rsidRDefault="00A6708C">
            <w:pPr>
              <w:jc w:val="right"/>
              <w:textAlignment w:val="bottom"/>
            </w:pPr>
            <w:r>
              <w:rPr>
                <w:rFonts w:ascii="sans-serif" w:eastAsia="sans-serif" w:hAnsi="sans-serif" w:cs="sans-serif"/>
                <w:color w:val="000000"/>
                <w:sz w:val="20"/>
                <w:szCs w:val="20"/>
              </w:rPr>
              <w:t>5,661 </w:t>
            </w:r>
          </w:p>
        </w:tc>
        <w:tc>
          <w:tcPr>
            <w:tcW w:w="0" w:type="auto"/>
            <w:tcBorders>
              <w:top w:val="single" w:sz="8" w:space="0" w:color="000000"/>
              <w:bottom w:val="double" w:sz="6" w:space="0" w:color="000000"/>
            </w:tcBorders>
            <w:shd w:val="clear" w:color="auto" w:fill="E2EFD9"/>
            <w:tcMar>
              <w:top w:w="40" w:type="dxa"/>
              <w:left w:w="0" w:type="dxa"/>
              <w:bottom w:w="40" w:type="dxa"/>
              <w:right w:w="20" w:type="dxa"/>
            </w:tcMar>
            <w:vAlign w:val="bottom"/>
          </w:tcPr>
          <w:p w14:paraId="7C208C56" w14:textId="77777777" w:rsidR="00834A75" w:rsidRDefault="00834A75">
            <w:pPr>
              <w:jc w:val="right"/>
              <w:rPr>
                <w:rFonts w:ascii="宋体"/>
              </w:rPr>
            </w:pPr>
          </w:p>
        </w:tc>
        <w:tc>
          <w:tcPr>
            <w:tcW w:w="0" w:type="auto"/>
            <w:gridSpan w:val="3"/>
            <w:shd w:val="clear" w:color="auto" w:fill="auto"/>
            <w:vAlign w:val="bottom"/>
          </w:tcPr>
          <w:p w14:paraId="7C208C57" w14:textId="77777777" w:rsidR="00834A75" w:rsidRDefault="00834A75">
            <w:pPr>
              <w:rPr>
                <w:rFonts w:ascii="宋体"/>
                <w:vanish/>
              </w:rPr>
            </w:pPr>
          </w:p>
        </w:tc>
        <w:tc>
          <w:tcPr>
            <w:tcW w:w="0" w:type="auto"/>
            <w:gridSpan w:val="3"/>
            <w:shd w:val="clear" w:color="auto" w:fill="auto"/>
            <w:vAlign w:val="bottom"/>
          </w:tcPr>
          <w:p w14:paraId="7C208C58" w14:textId="77777777" w:rsidR="00834A75" w:rsidRDefault="00834A75">
            <w:pPr>
              <w:rPr>
                <w:rFonts w:ascii="宋体"/>
                <w:vanish/>
              </w:rPr>
            </w:pPr>
          </w:p>
        </w:tc>
        <w:tc>
          <w:tcPr>
            <w:tcW w:w="0" w:type="auto"/>
            <w:gridSpan w:val="3"/>
            <w:shd w:val="clear" w:color="auto" w:fill="auto"/>
            <w:vAlign w:val="bottom"/>
          </w:tcPr>
          <w:p w14:paraId="7C208C59" w14:textId="77777777" w:rsidR="00834A75" w:rsidRDefault="00834A75">
            <w:pPr>
              <w:rPr>
                <w:rFonts w:ascii="宋体"/>
                <w:vanish/>
              </w:rPr>
            </w:pPr>
          </w:p>
        </w:tc>
        <w:tc>
          <w:tcPr>
            <w:tcW w:w="0" w:type="auto"/>
            <w:gridSpan w:val="3"/>
            <w:shd w:val="clear" w:color="auto" w:fill="auto"/>
            <w:vAlign w:val="bottom"/>
          </w:tcPr>
          <w:p w14:paraId="7C208C5A" w14:textId="77777777" w:rsidR="00834A75" w:rsidRDefault="00834A75">
            <w:pPr>
              <w:rPr>
                <w:rFonts w:ascii="宋体"/>
                <w:vanish/>
              </w:rPr>
            </w:pPr>
          </w:p>
        </w:tc>
      </w:tr>
    </w:tbl>
    <w:p w14:paraId="7C208C5C" w14:textId="77777777" w:rsidR="00834A75" w:rsidRDefault="00A6708C">
      <w:pPr>
        <w:jc w:val="both"/>
      </w:pPr>
      <w:r>
        <w:rPr>
          <w:rFonts w:ascii="sans-serif" w:eastAsia="sans-serif" w:hAnsi="sans-serif" w:cs="sans-serif"/>
          <w:color w:val="000000"/>
          <w:sz w:val="20"/>
          <w:szCs w:val="20"/>
        </w:rPr>
        <w:t>The following table summarizes information pertaining to our revenue by each of the specialized markets we serve:</w:t>
      </w:r>
    </w:p>
    <w:tbl>
      <w:tblPr>
        <w:tblW w:w="5000" w:type="pct"/>
        <w:tblCellMar>
          <w:top w:w="15" w:type="dxa"/>
          <w:left w:w="15" w:type="dxa"/>
          <w:bottom w:w="15" w:type="dxa"/>
          <w:right w:w="15" w:type="dxa"/>
        </w:tblCellMar>
        <w:tblLook w:val="04A0" w:firstRow="1" w:lastRow="0" w:firstColumn="1" w:lastColumn="0" w:noHBand="0" w:noVBand="1"/>
      </w:tblPr>
      <w:tblGrid>
        <w:gridCol w:w="39"/>
        <w:gridCol w:w="5604"/>
        <w:gridCol w:w="36"/>
        <w:gridCol w:w="122"/>
        <w:gridCol w:w="920"/>
        <w:gridCol w:w="36"/>
        <w:gridCol w:w="36"/>
        <w:gridCol w:w="36"/>
        <w:gridCol w:w="36"/>
        <w:gridCol w:w="122"/>
        <w:gridCol w:w="881"/>
        <w:gridCol w:w="36"/>
        <w:gridCol w:w="36"/>
        <w:gridCol w:w="36"/>
        <w:gridCol w:w="36"/>
        <w:gridCol w:w="36"/>
        <w:gridCol w:w="36"/>
        <w:gridCol w:w="36"/>
        <w:gridCol w:w="36"/>
        <w:gridCol w:w="36"/>
        <w:gridCol w:w="36"/>
        <w:gridCol w:w="36"/>
        <w:gridCol w:w="36"/>
        <w:gridCol w:w="36"/>
      </w:tblGrid>
      <w:tr w:rsidR="00834A75" w14:paraId="7C208C6D" w14:textId="77777777">
        <w:tc>
          <w:tcPr>
            <w:tcW w:w="50" w:type="pct"/>
            <w:shd w:val="clear" w:color="auto" w:fill="auto"/>
            <w:vAlign w:val="bottom"/>
          </w:tcPr>
          <w:p w14:paraId="7C208C5D" w14:textId="77777777" w:rsidR="00834A75" w:rsidRDefault="00834A75">
            <w:pPr>
              <w:rPr>
                <w:rFonts w:ascii="宋体"/>
              </w:rPr>
            </w:pPr>
          </w:p>
        </w:tc>
        <w:tc>
          <w:tcPr>
            <w:tcW w:w="3578" w:type="pct"/>
            <w:shd w:val="clear" w:color="auto" w:fill="auto"/>
            <w:vAlign w:val="bottom"/>
          </w:tcPr>
          <w:p w14:paraId="7C208C5E" w14:textId="77777777" w:rsidR="00834A75" w:rsidRDefault="00834A75">
            <w:pPr>
              <w:rPr>
                <w:rFonts w:ascii="宋体"/>
              </w:rPr>
            </w:pPr>
          </w:p>
        </w:tc>
        <w:tc>
          <w:tcPr>
            <w:tcW w:w="5" w:type="pct"/>
            <w:shd w:val="clear" w:color="auto" w:fill="auto"/>
            <w:vAlign w:val="bottom"/>
          </w:tcPr>
          <w:p w14:paraId="7C208C5F" w14:textId="77777777" w:rsidR="00834A75" w:rsidRDefault="00834A75">
            <w:pPr>
              <w:rPr>
                <w:rFonts w:ascii="宋体"/>
              </w:rPr>
            </w:pPr>
          </w:p>
        </w:tc>
        <w:tc>
          <w:tcPr>
            <w:tcW w:w="50" w:type="pct"/>
            <w:shd w:val="clear" w:color="auto" w:fill="auto"/>
            <w:vAlign w:val="bottom"/>
          </w:tcPr>
          <w:p w14:paraId="7C208C60" w14:textId="77777777" w:rsidR="00834A75" w:rsidRDefault="00834A75">
            <w:pPr>
              <w:rPr>
                <w:rFonts w:ascii="宋体"/>
              </w:rPr>
            </w:pPr>
          </w:p>
        </w:tc>
        <w:tc>
          <w:tcPr>
            <w:tcW w:w="610" w:type="pct"/>
            <w:shd w:val="clear" w:color="auto" w:fill="auto"/>
            <w:vAlign w:val="bottom"/>
          </w:tcPr>
          <w:p w14:paraId="7C208C61" w14:textId="77777777" w:rsidR="00834A75" w:rsidRDefault="00834A75">
            <w:pPr>
              <w:rPr>
                <w:rFonts w:ascii="宋体"/>
              </w:rPr>
            </w:pPr>
          </w:p>
        </w:tc>
        <w:tc>
          <w:tcPr>
            <w:tcW w:w="5" w:type="pct"/>
            <w:shd w:val="clear" w:color="auto" w:fill="auto"/>
            <w:vAlign w:val="bottom"/>
          </w:tcPr>
          <w:p w14:paraId="7C208C62" w14:textId="77777777" w:rsidR="00834A75" w:rsidRDefault="00834A75">
            <w:pPr>
              <w:rPr>
                <w:rFonts w:ascii="宋体"/>
              </w:rPr>
            </w:pPr>
          </w:p>
        </w:tc>
        <w:tc>
          <w:tcPr>
            <w:tcW w:w="5" w:type="pct"/>
            <w:shd w:val="clear" w:color="auto" w:fill="auto"/>
            <w:vAlign w:val="bottom"/>
          </w:tcPr>
          <w:p w14:paraId="7C208C63" w14:textId="77777777" w:rsidR="00834A75" w:rsidRDefault="00834A75">
            <w:pPr>
              <w:rPr>
                <w:rFonts w:ascii="宋体"/>
              </w:rPr>
            </w:pPr>
          </w:p>
        </w:tc>
        <w:tc>
          <w:tcPr>
            <w:tcW w:w="26" w:type="pct"/>
            <w:shd w:val="clear" w:color="auto" w:fill="auto"/>
            <w:vAlign w:val="bottom"/>
          </w:tcPr>
          <w:p w14:paraId="7C208C64" w14:textId="77777777" w:rsidR="00834A75" w:rsidRDefault="00834A75">
            <w:pPr>
              <w:rPr>
                <w:rFonts w:ascii="宋体"/>
              </w:rPr>
            </w:pPr>
          </w:p>
        </w:tc>
        <w:tc>
          <w:tcPr>
            <w:tcW w:w="5" w:type="pct"/>
            <w:shd w:val="clear" w:color="auto" w:fill="auto"/>
            <w:vAlign w:val="bottom"/>
          </w:tcPr>
          <w:p w14:paraId="7C208C65" w14:textId="77777777" w:rsidR="00834A75" w:rsidRDefault="00834A75">
            <w:pPr>
              <w:rPr>
                <w:rFonts w:ascii="宋体"/>
              </w:rPr>
            </w:pPr>
          </w:p>
        </w:tc>
        <w:tc>
          <w:tcPr>
            <w:tcW w:w="50" w:type="pct"/>
            <w:shd w:val="clear" w:color="auto" w:fill="auto"/>
            <w:vAlign w:val="bottom"/>
          </w:tcPr>
          <w:p w14:paraId="7C208C66" w14:textId="77777777" w:rsidR="00834A75" w:rsidRDefault="00834A75">
            <w:pPr>
              <w:rPr>
                <w:rFonts w:ascii="宋体"/>
              </w:rPr>
            </w:pPr>
          </w:p>
        </w:tc>
        <w:tc>
          <w:tcPr>
            <w:tcW w:w="610" w:type="pct"/>
            <w:shd w:val="clear" w:color="auto" w:fill="auto"/>
            <w:vAlign w:val="bottom"/>
          </w:tcPr>
          <w:p w14:paraId="7C208C67" w14:textId="77777777" w:rsidR="00834A75" w:rsidRDefault="00834A75">
            <w:pPr>
              <w:rPr>
                <w:rFonts w:ascii="宋体"/>
              </w:rPr>
            </w:pPr>
          </w:p>
        </w:tc>
        <w:tc>
          <w:tcPr>
            <w:tcW w:w="5" w:type="pct"/>
            <w:shd w:val="clear" w:color="auto" w:fill="auto"/>
            <w:vAlign w:val="bottom"/>
          </w:tcPr>
          <w:p w14:paraId="7C208C68" w14:textId="77777777" w:rsidR="00834A75" w:rsidRDefault="00834A75">
            <w:pPr>
              <w:rPr>
                <w:rFonts w:ascii="宋体"/>
              </w:rPr>
            </w:pPr>
          </w:p>
        </w:tc>
        <w:tc>
          <w:tcPr>
            <w:tcW w:w="0" w:type="auto"/>
            <w:gridSpan w:val="3"/>
            <w:shd w:val="clear" w:color="auto" w:fill="auto"/>
            <w:vAlign w:val="bottom"/>
          </w:tcPr>
          <w:p w14:paraId="7C208C69" w14:textId="77777777" w:rsidR="00834A75" w:rsidRDefault="00834A75">
            <w:pPr>
              <w:rPr>
                <w:rFonts w:ascii="宋体"/>
                <w:vanish/>
              </w:rPr>
            </w:pPr>
          </w:p>
        </w:tc>
        <w:tc>
          <w:tcPr>
            <w:tcW w:w="0" w:type="auto"/>
            <w:gridSpan w:val="3"/>
            <w:shd w:val="clear" w:color="auto" w:fill="auto"/>
            <w:vAlign w:val="bottom"/>
          </w:tcPr>
          <w:p w14:paraId="7C208C6A" w14:textId="77777777" w:rsidR="00834A75" w:rsidRDefault="00834A75">
            <w:pPr>
              <w:rPr>
                <w:rFonts w:ascii="宋体"/>
                <w:vanish/>
              </w:rPr>
            </w:pPr>
          </w:p>
        </w:tc>
        <w:tc>
          <w:tcPr>
            <w:tcW w:w="0" w:type="auto"/>
            <w:gridSpan w:val="3"/>
            <w:shd w:val="clear" w:color="auto" w:fill="auto"/>
            <w:vAlign w:val="bottom"/>
          </w:tcPr>
          <w:p w14:paraId="7C208C6B" w14:textId="77777777" w:rsidR="00834A75" w:rsidRDefault="00834A75">
            <w:pPr>
              <w:rPr>
                <w:rFonts w:ascii="宋体"/>
                <w:vanish/>
              </w:rPr>
            </w:pPr>
          </w:p>
        </w:tc>
        <w:tc>
          <w:tcPr>
            <w:tcW w:w="0" w:type="auto"/>
            <w:gridSpan w:val="3"/>
            <w:shd w:val="clear" w:color="auto" w:fill="auto"/>
            <w:vAlign w:val="bottom"/>
          </w:tcPr>
          <w:p w14:paraId="7C208C6C" w14:textId="77777777" w:rsidR="00834A75" w:rsidRDefault="00834A75">
            <w:pPr>
              <w:rPr>
                <w:rFonts w:ascii="宋体"/>
                <w:vanish/>
              </w:rPr>
            </w:pPr>
          </w:p>
        </w:tc>
      </w:tr>
      <w:tr w:rsidR="00834A75" w14:paraId="7C208C78" w14:textId="77777777">
        <w:tc>
          <w:tcPr>
            <w:tcW w:w="0" w:type="auto"/>
            <w:gridSpan w:val="3"/>
            <w:shd w:val="clear" w:color="auto" w:fill="auto"/>
            <w:tcMar>
              <w:top w:w="40" w:type="dxa"/>
              <w:left w:w="20" w:type="dxa"/>
              <w:bottom w:w="40" w:type="dxa"/>
              <w:right w:w="20" w:type="dxa"/>
            </w:tcMar>
            <w:vAlign w:val="bottom"/>
          </w:tcPr>
          <w:p w14:paraId="7C208C6E" w14:textId="77777777" w:rsidR="00834A75" w:rsidRDefault="00A6708C">
            <w:pPr>
              <w:textAlignment w:val="bottom"/>
            </w:pPr>
            <w:r>
              <w:rPr>
                <w:rFonts w:ascii="sans-serif" w:eastAsia="sans-serif" w:hAnsi="sans-serif" w:cs="sans-serif"/>
                <w:color w:val="000000"/>
                <w:sz w:val="20"/>
                <w:szCs w:val="20"/>
              </w:rPr>
              <w:t> </w:t>
            </w:r>
          </w:p>
        </w:tc>
        <w:tc>
          <w:tcPr>
            <w:tcW w:w="0" w:type="auto"/>
            <w:gridSpan w:val="9"/>
            <w:shd w:val="clear" w:color="auto" w:fill="auto"/>
            <w:tcMar>
              <w:top w:w="40" w:type="dxa"/>
              <w:left w:w="20" w:type="dxa"/>
              <w:bottom w:w="40" w:type="dxa"/>
              <w:right w:w="20" w:type="dxa"/>
            </w:tcMar>
            <w:vAlign w:val="bottom"/>
          </w:tcPr>
          <w:p w14:paraId="7C208C6F" w14:textId="77777777" w:rsidR="00834A75" w:rsidRDefault="00A6708C">
            <w:pPr>
              <w:jc w:val="center"/>
              <w:textAlignment w:val="bottom"/>
            </w:pPr>
            <w:r>
              <w:rPr>
                <w:rFonts w:ascii="sans-serif" w:eastAsia="sans-serif" w:hAnsi="sans-serif" w:cs="sans-serif"/>
                <w:b/>
                <w:bCs/>
                <w:color w:val="000000"/>
                <w:sz w:val="20"/>
                <w:szCs w:val="20"/>
              </w:rPr>
              <w:t>Three Months Ended</w:t>
            </w:r>
          </w:p>
        </w:tc>
        <w:tc>
          <w:tcPr>
            <w:tcW w:w="0" w:type="auto"/>
            <w:gridSpan w:val="3"/>
            <w:shd w:val="clear" w:color="auto" w:fill="auto"/>
            <w:vAlign w:val="bottom"/>
          </w:tcPr>
          <w:p w14:paraId="7C208C70" w14:textId="77777777" w:rsidR="00834A75" w:rsidRDefault="00834A75">
            <w:pPr>
              <w:rPr>
                <w:rFonts w:ascii="宋体"/>
                <w:vanish/>
              </w:rPr>
            </w:pPr>
          </w:p>
        </w:tc>
        <w:tc>
          <w:tcPr>
            <w:tcW w:w="0" w:type="auto"/>
            <w:gridSpan w:val="3"/>
            <w:shd w:val="clear" w:color="auto" w:fill="auto"/>
            <w:vAlign w:val="bottom"/>
          </w:tcPr>
          <w:p w14:paraId="7C208C71" w14:textId="77777777" w:rsidR="00834A75" w:rsidRDefault="00834A75">
            <w:pPr>
              <w:rPr>
                <w:rFonts w:ascii="宋体"/>
                <w:vanish/>
              </w:rPr>
            </w:pPr>
          </w:p>
        </w:tc>
        <w:tc>
          <w:tcPr>
            <w:tcW w:w="0" w:type="auto"/>
            <w:shd w:val="clear" w:color="auto" w:fill="auto"/>
            <w:vAlign w:val="bottom"/>
          </w:tcPr>
          <w:p w14:paraId="7C208C72" w14:textId="77777777" w:rsidR="00834A75" w:rsidRDefault="00834A75">
            <w:pPr>
              <w:rPr>
                <w:rFonts w:ascii="宋体"/>
              </w:rPr>
            </w:pPr>
          </w:p>
        </w:tc>
        <w:tc>
          <w:tcPr>
            <w:tcW w:w="0" w:type="auto"/>
            <w:shd w:val="clear" w:color="auto" w:fill="auto"/>
            <w:vAlign w:val="bottom"/>
          </w:tcPr>
          <w:p w14:paraId="7C208C73" w14:textId="77777777" w:rsidR="00834A75" w:rsidRDefault="00834A75">
            <w:pPr>
              <w:rPr>
                <w:rFonts w:ascii="宋体"/>
              </w:rPr>
            </w:pPr>
          </w:p>
        </w:tc>
        <w:tc>
          <w:tcPr>
            <w:tcW w:w="0" w:type="auto"/>
            <w:shd w:val="clear" w:color="auto" w:fill="auto"/>
            <w:vAlign w:val="bottom"/>
          </w:tcPr>
          <w:p w14:paraId="7C208C74" w14:textId="77777777" w:rsidR="00834A75" w:rsidRDefault="00834A75">
            <w:pPr>
              <w:rPr>
                <w:rFonts w:ascii="宋体"/>
              </w:rPr>
            </w:pPr>
          </w:p>
        </w:tc>
        <w:tc>
          <w:tcPr>
            <w:tcW w:w="0" w:type="auto"/>
            <w:shd w:val="clear" w:color="auto" w:fill="auto"/>
            <w:vAlign w:val="bottom"/>
          </w:tcPr>
          <w:p w14:paraId="7C208C75" w14:textId="77777777" w:rsidR="00834A75" w:rsidRDefault="00834A75">
            <w:pPr>
              <w:rPr>
                <w:rFonts w:ascii="宋体"/>
              </w:rPr>
            </w:pPr>
          </w:p>
        </w:tc>
        <w:tc>
          <w:tcPr>
            <w:tcW w:w="0" w:type="auto"/>
            <w:shd w:val="clear" w:color="auto" w:fill="auto"/>
            <w:vAlign w:val="bottom"/>
          </w:tcPr>
          <w:p w14:paraId="7C208C76" w14:textId="77777777" w:rsidR="00834A75" w:rsidRDefault="00834A75">
            <w:pPr>
              <w:rPr>
                <w:rFonts w:ascii="宋体"/>
              </w:rPr>
            </w:pPr>
          </w:p>
        </w:tc>
        <w:tc>
          <w:tcPr>
            <w:tcW w:w="0" w:type="auto"/>
            <w:shd w:val="clear" w:color="auto" w:fill="auto"/>
            <w:vAlign w:val="bottom"/>
          </w:tcPr>
          <w:p w14:paraId="7C208C77" w14:textId="77777777" w:rsidR="00834A75" w:rsidRDefault="00834A75">
            <w:pPr>
              <w:rPr>
                <w:rFonts w:ascii="宋体"/>
              </w:rPr>
            </w:pPr>
          </w:p>
        </w:tc>
      </w:tr>
      <w:tr w:rsidR="00834A75" w14:paraId="7C208C81" w14:textId="77777777">
        <w:tc>
          <w:tcPr>
            <w:tcW w:w="0" w:type="auto"/>
            <w:gridSpan w:val="3"/>
            <w:shd w:val="clear" w:color="auto" w:fill="auto"/>
            <w:tcMar>
              <w:top w:w="0" w:type="dxa"/>
              <w:left w:w="20" w:type="dxa"/>
              <w:bottom w:w="0" w:type="dxa"/>
              <w:right w:w="20" w:type="dxa"/>
            </w:tcMar>
            <w:vAlign w:val="bottom"/>
          </w:tcPr>
          <w:p w14:paraId="7C208C79" w14:textId="77777777" w:rsidR="00834A75" w:rsidRDefault="00834A75">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C208C7A" w14:textId="77777777" w:rsidR="00834A75" w:rsidRDefault="00A6708C">
            <w:pPr>
              <w:jc w:val="center"/>
              <w:textAlignment w:val="bottom"/>
            </w:pPr>
            <w:r>
              <w:rPr>
                <w:rFonts w:ascii="sans-serif" w:eastAsia="sans-serif" w:hAnsi="sans-serif" w:cs="sans-serif"/>
                <w:b/>
                <w:bCs/>
                <w:color w:val="000000"/>
                <w:sz w:val="20"/>
                <w:szCs w:val="20"/>
              </w:rPr>
              <w:t>May 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C208C7B" w14:textId="77777777" w:rsidR="00834A75" w:rsidRDefault="00834A75">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C208C7C" w14:textId="77777777" w:rsidR="00834A75" w:rsidRDefault="00A6708C">
            <w:pPr>
              <w:jc w:val="center"/>
              <w:textAlignment w:val="bottom"/>
            </w:pPr>
            <w:r>
              <w:rPr>
                <w:rFonts w:ascii="sans-serif" w:eastAsia="sans-serif" w:hAnsi="sans-serif" w:cs="sans-serif"/>
                <w:b/>
                <w:bCs/>
                <w:color w:val="000000"/>
                <w:sz w:val="20"/>
                <w:szCs w:val="20"/>
              </w:rPr>
              <w:t>May 2,</w:t>
            </w:r>
          </w:p>
        </w:tc>
        <w:tc>
          <w:tcPr>
            <w:tcW w:w="0" w:type="auto"/>
            <w:gridSpan w:val="3"/>
            <w:shd w:val="clear" w:color="auto" w:fill="auto"/>
            <w:vAlign w:val="bottom"/>
          </w:tcPr>
          <w:p w14:paraId="7C208C7D" w14:textId="77777777" w:rsidR="00834A75" w:rsidRDefault="00834A75">
            <w:pPr>
              <w:rPr>
                <w:rFonts w:ascii="宋体"/>
                <w:vanish/>
              </w:rPr>
            </w:pPr>
          </w:p>
        </w:tc>
        <w:tc>
          <w:tcPr>
            <w:tcW w:w="0" w:type="auto"/>
            <w:gridSpan w:val="3"/>
            <w:shd w:val="clear" w:color="auto" w:fill="auto"/>
            <w:vAlign w:val="bottom"/>
          </w:tcPr>
          <w:p w14:paraId="7C208C7E" w14:textId="77777777" w:rsidR="00834A75" w:rsidRDefault="00834A75">
            <w:pPr>
              <w:rPr>
                <w:rFonts w:ascii="宋体"/>
                <w:vanish/>
              </w:rPr>
            </w:pPr>
          </w:p>
        </w:tc>
        <w:tc>
          <w:tcPr>
            <w:tcW w:w="0" w:type="auto"/>
            <w:gridSpan w:val="3"/>
            <w:shd w:val="clear" w:color="auto" w:fill="auto"/>
            <w:vAlign w:val="bottom"/>
          </w:tcPr>
          <w:p w14:paraId="7C208C7F" w14:textId="77777777" w:rsidR="00834A75" w:rsidRDefault="00834A75">
            <w:pPr>
              <w:rPr>
                <w:rFonts w:ascii="宋体"/>
                <w:vanish/>
              </w:rPr>
            </w:pPr>
          </w:p>
        </w:tc>
        <w:tc>
          <w:tcPr>
            <w:tcW w:w="0" w:type="auto"/>
            <w:gridSpan w:val="3"/>
            <w:shd w:val="clear" w:color="auto" w:fill="auto"/>
            <w:vAlign w:val="bottom"/>
          </w:tcPr>
          <w:p w14:paraId="7C208C80" w14:textId="77777777" w:rsidR="00834A75" w:rsidRDefault="00834A75">
            <w:pPr>
              <w:rPr>
                <w:rFonts w:ascii="宋体"/>
                <w:vanish/>
              </w:rPr>
            </w:pPr>
          </w:p>
        </w:tc>
      </w:tr>
      <w:tr w:rsidR="00834A75" w14:paraId="7C208C8A" w14:textId="77777777">
        <w:tc>
          <w:tcPr>
            <w:tcW w:w="0" w:type="auto"/>
            <w:gridSpan w:val="3"/>
            <w:shd w:val="clear" w:color="auto" w:fill="auto"/>
            <w:tcMar>
              <w:top w:w="40" w:type="dxa"/>
              <w:left w:w="20" w:type="dxa"/>
              <w:bottom w:w="40" w:type="dxa"/>
              <w:right w:w="20" w:type="dxa"/>
            </w:tcMar>
            <w:vAlign w:val="bottom"/>
          </w:tcPr>
          <w:p w14:paraId="7C208C82" w14:textId="77777777" w:rsidR="00834A75" w:rsidRDefault="00A6708C">
            <w:pPr>
              <w:textAlignment w:val="bottom"/>
            </w:pPr>
            <w:r>
              <w:rPr>
                <w:rFonts w:ascii="sans-serif" w:eastAsia="sans-serif" w:hAnsi="sans-serif" w:cs="sans-serif"/>
                <w:color w:val="000000"/>
                <w:sz w:val="20"/>
                <w:szCs w:val="20"/>
              </w:rPr>
              <w:t> </w:t>
            </w:r>
          </w:p>
        </w:tc>
        <w:tc>
          <w:tcPr>
            <w:tcW w:w="0" w:type="auto"/>
            <w:gridSpan w:val="3"/>
            <w:shd w:val="clear" w:color="auto" w:fill="auto"/>
            <w:tcMar>
              <w:top w:w="40" w:type="dxa"/>
              <w:left w:w="20" w:type="dxa"/>
              <w:bottom w:w="40" w:type="dxa"/>
              <w:right w:w="20" w:type="dxa"/>
            </w:tcMar>
            <w:vAlign w:val="bottom"/>
          </w:tcPr>
          <w:p w14:paraId="7C208C83" w14:textId="77777777" w:rsidR="00834A75" w:rsidRDefault="00A6708C">
            <w:pPr>
              <w:jc w:val="center"/>
              <w:textAlignment w:val="bottom"/>
            </w:pPr>
            <w:r>
              <w:rPr>
                <w:rFonts w:ascii="sans-serif" w:eastAsia="sans-serif" w:hAnsi="sans-serif" w:cs="sans-serif"/>
                <w:b/>
                <w:bCs/>
                <w:color w:val="000000"/>
                <w:sz w:val="20"/>
                <w:szCs w:val="20"/>
              </w:rPr>
              <w:t>2022</w:t>
            </w:r>
          </w:p>
        </w:tc>
        <w:tc>
          <w:tcPr>
            <w:tcW w:w="0" w:type="auto"/>
            <w:gridSpan w:val="3"/>
            <w:shd w:val="clear" w:color="auto" w:fill="auto"/>
            <w:tcMar>
              <w:top w:w="0" w:type="dxa"/>
              <w:left w:w="20" w:type="dxa"/>
              <w:bottom w:w="0" w:type="dxa"/>
              <w:right w:w="20" w:type="dxa"/>
            </w:tcMar>
            <w:vAlign w:val="bottom"/>
          </w:tcPr>
          <w:p w14:paraId="7C208C84" w14:textId="77777777" w:rsidR="00834A75" w:rsidRDefault="00834A75">
            <w:pPr>
              <w:rPr>
                <w:rFonts w:ascii="宋体"/>
              </w:rPr>
            </w:pPr>
          </w:p>
        </w:tc>
        <w:tc>
          <w:tcPr>
            <w:tcW w:w="0" w:type="auto"/>
            <w:gridSpan w:val="3"/>
            <w:shd w:val="clear" w:color="auto" w:fill="auto"/>
            <w:tcMar>
              <w:top w:w="40" w:type="dxa"/>
              <w:left w:w="20" w:type="dxa"/>
              <w:bottom w:w="40" w:type="dxa"/>
              <w:right w:w="20" w:type="dxa"/>
            </w:tcMar>
            <w:vAlign w:val="bottom"/>
          </w:tcPr>
          <w:p w14:paraId="7C208C85" w14:textId="77777777" w:rsidR="00834A75" w:rsidRDefault="00A6708C">
            <w:pPr>
              <w:jc w:val="center"/>
              <w:textAlignment w:val="bottom"/>
            </w:pPr>
            <w:r>
              <w:rPr>
                <w:rFonts w:ascii="sans-serif" w:eastAsia="sans-serif" w:hAnsi="sans-serif" w:cs="sans-serif"/>
                <w:b/>
                <w:bCs/>
                <w:color w:val="000000"/>
                <w:sz w:val="20"/>
                <w:szCs w:val="20"/>
              </w:rPr>
              <w:t>2021</w:t>
            </w:r>
          </w:p>
        </w:tc>
        <w:tc>
          <w:tcPr>
            <w:tcW w:w="0" w:type="auto"/>
            <w:gridSpan w:val="3"/>
            <w:shd w:val="clear" w:color="auto" w:fill="auto"/>
            <w:vAlign w:val="bottom"/>
          </w:tcPr>
          <w:p w14:paraId="7C208C86" w14:textId="77777777" w:rsidR="00834A75" w:rsidRDefault="00834A75">
            <w:pPr>
              <w:rPr>
                <w:rFonts w:ascii="宋体"/>
                <w:vanish/>
              </w:rPr>
            </w:pPr>
          </w:p>
        </w:tc>
        <w:tc>
          <w:tcPr>
            <w:tcW w:w="0" w:type="auto"/>
            <w:gridSpan w:val="3"/>
            <w:shd w:val="clear" w:color="auto" w:fill="auto"/>
            <w:vAlign w:val="bottom"/>
          </w:tcPr>
          <w:p w14:paraId="7C208C87" w14:textId="77777777" w:rsidR="00834A75" w:rsidRDefault="00834A75">
            <w:pPr>
              <w:rPr>
                <w:rFonts w:ascii="宋体"/>
                <w:vanish/>
              </w:rPr>
            </w:pPr>
          </w:p>
        </w:tc>
        <w:tc>
          <w:tcPr>
            <w:tcW w:w="0" w:type="auto"/>
            <w:gridSpan w:val="3"/>
            <w:shd w:val="clear" w:color="auto" w:fill="auto"/>
            <w:vAlign w:val="bottom"/>
          </w:tcPr>
          <w:p w14:paraId="7C208C88" w14:textId="77777777" w:rsidR="00834A75" w:rsidRDefault="00834A75">
            <w:pPr>
              <w:rPr>
                <w:rFonts w:ascii="宋体"/>
                <w:vanish/>
              </w:rPr>
            </w:pPr>
          </w:p>
        </w:tc>
        <w:tc>
          <w:tcPr>
            <w:tcW w:w="0" w:type="auto"/>
            <w:gridSpan w:val="3"/>
            <w:shd w:val="clear" w:color="auto" w:fill="auto"/>
            <w:vAlign w:val="bottom"/>
          </w:tcPr>
          <w:p w14:paraId="7C208C89" w14:textId="77777777" w:rsidR="00834A75" w:rsidRDefault="00834A75">
            <w:pPr>
              <w:rPr>
                <w:rFonts w:ascii="宋体"/>
                <w:vanish/>
              </w:rPr>
            </w:pPr>
          </w:p>
        </w:tc>
      </w:tr>
      <w:tr w:rsidR="00834A75" w14:paraId="7C208C93" w14:textId="77777777">
        <w:trPr>
          <w:trHeight w:val="60"/>
        </w:trPr>
        <w:tc>
          <w:tcPr>
            <w:tcW w:w="0" w:type="auto"/>
            <w:gridSpan w:val="3"/>
            <w:shd w:val="clear" w:color="auto" w:fill="auto"/>
            <w:tcMar>
              <w:top w:w="0" w:type="dxa"/>
              <w:left w:w="20" w:type="dxa"/>
              <w:bottom w:w="0" w:type="dxa"/>
              <w:right w:w="20" w:type="dxa"/>
            </w:tcMar>
            <w:vAlign w:val="bottom"/>
          </w:tcPr>
          <w:p w14:paraId="7C208C8B" w14:textId="77777777" w:rsidR="00834A75" w:rsidRDefault="00834A75">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C208C8C" w14:textId="77777777" w:rsidR="00834A75" w:rsidRDefault="00834A75">
            <w:pPr>
              <w:rPr>
                <w:rFonts w:ascii="宋体"/>
              </w:rPr>
            </w:pPr>
          </w:p>
        </w:tc>
        <w:tc>
          <w:tcPr>
            <w:tcW w:w="0" w:type="auto"/>
            <w:gridSpan w:val="3"/>
            <w:shd w:val="clear" w:color="auto" w:fill="auto"/>
            <w:tcMar>
              <w:top w:w="0" w:type="dxa"/>
              <w:left w:w="20" w:type="dxa"/>
              <w:bottom w:w="0" w:type="dxa"/>
              <w:right w:w="20" w:type="dxa"/>
            </w:tcMar>
            <w:vAlign w:val="bottom"/>
          </w:tcPr>
          <w:p w14:paraId="7C208C8D" w14:textId="77777777" w:rsidR="00834A75" w:rsidRDefault="00834A75">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C208C8E" w14:textId="77777777" w:rsidR="00834A75" w:rsidRDefault="00834A75">
            <w:pPr>
              <w:rPr>
                <w:rFonts w:ascii="宋体"/>
              </w:rPr>
            </w:pPr>
          </w:p>
        </w:tc>
        <w:tc>
          <w:tcPr>
            <w:tcW w:w="0" w:type="auto"/>
            <w:gridSpan w:val="3"/>
            <w:shd w:val="clear" w:color="auto" w:fill="auto"/>
            <w:vAlign w:val="bottom"/>
          </w:tcPr>
          <w:p w14:paraId="7C208C8F" w14:textId="77777777" w:rsidR="00834A75" w:rsidRDefault="00834A75">
            <w:pPr>
              <w:rPr>
                <w:rFonts w:ascii="宋体"/>
                <w:vanish/>
              </w:rPr>
            </w:pPr>
          </w:p>
        </w:tc>
        <w:tc>
          <w:tcPr>
            <w:tcW w:w="0" w:type="auto"/>
            <w:gridSpan w:val="3"/>
            <w:shd w:val="clear" w:color="auto" w:fill="auto"/>
            <w:vAlign w:val="bottom"/>
          </w:tcPr>
          <w:p w14:paraId="7C208C90" w14:textId="77777777" w:rsidR="00834A75" w:rsidRDefault="00834A75">
            <w:pPr>
              <w:rPr>
                <w:rFonts w:ascii="宋体"/>
                <w:vanish/>
              </w:rPr>
            </w:pPr>
          </w:p>
        </w:tc>
        <w:tc>
          <w:tcPr>
            <w:tcW w:w="0" w:type="auto"/>
            <w:gridSpan w:val="3"/>
            <w:shd w:val="clear" w:color="auto" w:fill="auto"/>
            <w:vAlign w:val="bottom"/>
          </w:tcPr>
          <w:p w14:paraId="7C208C91" w14:textId="77777777" w:rsidR="00834A75" w:rsidRDefault="00834A75">
            <w:pPr>
              <w:rPr>
                <w:rFonts w:ascii="宋体"/>
                <w:vanish/>
              </w:rPr>
            </w:pPr>
          </w:p>
        </w:tc>
        <w:tc>
          <w:tcPr>
            <w:tcW w:w="0" w:type="auto"/>
            <w:gridSpan w:val="3"/>
            <w:shd w:val="clear" w:color="auto" w:fill="auto"/>
            <w:vAlign w:val="bottom"/>
          </w:tcPr>
          <w:p w14:paraId="7C208C92" w14:textId="77777777" w:rsidR="00834A75" w:rsidRDefault="00834A75">
            <w:pPr>
              <w:rPr>
                <w:rFonts w:ascii="宋体"/>
                <w:vanish/>
              </w:rPr>
            </w:pPr>
          </w:p>
        </w:tc>
      </w:tr>
      <w:tr w:rsidR="00834A75" w14:paraId="7C208CA2" w14:textId="77777777">
        <w:tc>
          <w:tcPr>
            <w:tcW w:w="0" w:type="auto"/>
            <w:gridSpan w:val="3"/>
            <w:shd w:val="clear" w:color="auto" w:fill="auto"/>
            <w:tcMar>
              <w:top w:w="40" w:type="dxa"/>
              <w:left w:w="20" w:type="dxa"/>
              <w:bottom w:w="40" w:type="dxa"/>
              <w:right w:w="20" w:type="dxa"/>
            </w:tcMar>
            <w:vAlign w:val="bottom"/>
          </w:tcPr>
          <w:p w14:paraId="7C208C94" w14:textId="77777777" w:rsidR="00834A75" w:rsidRDefault="00A6708C">
            <w:pPr>
              <w:textAlignment w:val="bottom"/>
            </w:pPr>
            <w:r>
              <w:rPr>
                <w:rFonts w:ascii="sans-serif" w:eastAsia="sans-serif" w:hAnsi="sans-serif" w:cs="sans-serif"/>
                <w:color w:val="000000"/>
                <w:sz w:val="20"/>
                <w:szCs w:val="20"/>
              </w:rPr>
              <w:t> </w:t>
            </w:r>
          </w:p>
        </w:tc>
        <w:tc>
          <w:tcPr>
            <w:tcW w:w="0" w:type="auto"/>
            <w:gridSpan w:val="9"/>
            <w:shd w:val="clear" w:color="auto" w:fill="auto"/>
            <w:tcMar>
              <w:top w:w="40" w:type="dxa"/>
              <w:left w:w="20" w:type="dxa"/>
              <w:bottom w:w="40" w:type="dxa"/>
              <w:right w:w="20" w:type="dxa"/>
            </w:tcMar>
            <w:vAlign w:val="bottom"/>
          </w:tcPr>
          <w:p w14:paraId="7C208C95" w14:textId="77777777" w:rsidR="00834A75" w:rsidRDefault="00A6708C">
            <w:pPr>
              <w:jc w:val="center"/>
              <w:textAlignment w:val="bottom"/>
            </w:pPr>
            <w:r>
              <w:rPr>
                <w:rFonts w:ascii="sans-serif" w:eastAsia="sans-serif" w:hAnsi="sans-serif" w:cs="sans-serif"/>
                <w:i/>
                <w:iCs/>
                <w:color w:val="000000"/>
                <w:sz w:val="20"/>
                <w:szCs w:val="20"/>
              </w:rPr>
              <w:t>(In millions)</w:t>
            </w:r>
          </w:p>
        </w:tc>
        <w:tc>
          <w:tcPr>
            <w:tcW w:w="0" w:type="auto"/>
            <w:shd w:val="clear" w:color="auto" w:fill="auto"/>
            <w:vAlign w:val="bottom"/>
          </w:tcPr>
          <w:p w14:paraId="7C208C96" w14:textId="77777777" w:rsidR="00834A75" w:rsidRDefault="00834A75">
            <w:pPr>
              <w:rPr>
                <w:rFonts w:ascii="宋体"/>
              </w:rPr>
            </w:pPr>
          </w:p>
        </w:tc>
        <w:tc>
          <w:tcPr>
            <w:tcW w:w="0" w:type="auto"/>
            <w:shd w:val="clear" w:color="auto" w:fill="auto"/>
            <w:vAlign w:val="bottom"/>
          </w:tcPr>
          <w:p w14:paraId="7C208C97" w14:textId="77777777" w:rsidR="00834A75" w:rsidRDefault="00834A75">
            <w:pPr>
              <w:rPr>
                <w:rFonts w:ascii="宋体"/>
              </w:rPr>
            </w:pPr>
          </w:p>
        </w:tc>
        <w:tc>
          <w:tcPr>
            <w:tcW w:w="0" w:type="auto"/>
            <w:shd w:val="clear" w:color="auto" w:fill="auto"/>
            <w:vAlign w:val="bottom"/>
          </w:tcPr>
          <w:p w14:paraId="7C208C98" w14:textId="77777777" w:rsidR="00834A75" w:rsidRDefault="00834A75">
            <w:pPr>
              <w:rPr>
                <w:rFonts w:ascii="宋体"/>
              </w:rPr>
            </w:pPr>
          </w:p>
        </w:tc>
        <w:tc>
          <w:tcPr>
            <w:tcW w:w="0" w:type="auto"/>
            <w:shd w:val="clear" w:color="auto" w:fill="auto"/>
            <w:vAlign w:val="bottom"/>
          </w:tcPr>
          <w:p w14:paraId="7C208C99" w14:textId="77777777" w:rsidR="00834A75" w:rsidRDefault="00834A75">
            <w:pPr>
              <w:rPr>
                <w:rFonts w:ascii="宋体"/>
              </w:rPr>
            </w:pPr>
          </w:p>
        </w:tc>
        <w:tc>
          <w:tcPr>
            <w:tcW w:w="0" w:type="auto"/>
            <w:shd w:val="clear" w:color="auto" w:fill="auto"/>
            <w:vAlign w:val="bottom"/>
          </w:tcPr>
          <w:p w14:paraId="7C208C9A" w14:textId="77777777" w:rsidR="00834A75" w:rsidRDefault="00834A75">
            <w:pPr>
              <w:rPr>
                <w:rFonts w:ascii="宋体"/>
              </w:rPr>
            </w:pPr>
          </w:p>
        </w:tc>
        <w:tc>
          <w:tcPr>
            <w:tcW w:w="0" w:type="auto"/>
            <w:shd w:val="clear" w:color="auto" w:fill="auto"/>
            <w:vAlign w:val="bottom"/>
          </w:tcPr>
          <w:p w14:paraId="7C208C9B" w14:textId="77777777" w:rsidR="00834A75" w:rsidRDefault="00834A75">
            <w:pPr>
              <w:rPr>
                <w:rFonts w:ascii="宋体"/>
              </w:rPr>
            </w:pPr>
          </w:p>
        </w:tc>
        <w:tc>
          <w:tcPr>
            <w:tcW w:w="0" w:type="auto"/>
            <w:shd w:val="clear" w:color="auto" w:fill="auto"/>
            <w:vAlign w:val="bottom"/>
          </w:tcPr>
          <w:p w14:paraId="7C208C9C" w14:textId="77777777" w:rsidR="00834A75" w:rsidRDefault="00834A75">
            <w:pPr>
              <w:rPr>
                <w:rFonts w:ascii="宋体"/>
              </w:rPr>
            </w:pPr>
          </w:p>
        </w:tc>
        <w:tc>
          <w:tcPr>
            <w:tcW w:w="0" w:type="auto"/>
            <w:shd w:val="clear" w:color="auto" w:fill="auto"/>
            <w:vAlign w:val="bottom"/>
          </w:tcPr>
          <w:p w14:paraId="7C208C9D" w14:textId="77777777" w:rsidR="00834A75" w:rsidRDefault="00834A75">
            <w:pPr>
              <w:rPr>
                <w:rFonts w:ascii="宋体"/>
              </w:rPr>
            </w:pPr>
          </w:p>
        </w:tc>
        <w:tc>
          <w:tcPr>
            <w:tcW w:w="0" w:type="auto"/>
            <w:shd w:val="clear" w:color="auto" w:fill="auto"/>
            <w:vAlign w:val="bottom"/>
          </w:tcPr>
          <w:p w14:paraId="7C208C9E" w14:textId="77777777" w:rsidR="00834A75" w:rsidRDefault="00834A75">
            <w:pPr>
              <w:rPr>
                <w:rFonts w:ascii="宋体"/>
              </w:rPr>
            </w:pPr>
          </w:p>
        </w:tc>
        <w:tc>
          <w:tcPr>
            <w:tcW w:w="0" w:type="auto"/>
            <w:shd w:val="clear" w:color="auto" w:fill="auto"/>
            <w:vAlign w:val="bottom"/>
          </w:tcPr>
          <w:p w14:paraId="7C208C9F" w14:textId="77777777" w:rsidR="00834A75" w:rsidRDefault="00834A75">
            <w:pPr>
              <w:rPr>
                <w:rFonts w:ascii="宋体"/>
              </w:rPr>
            </w:pPr>
          </w:p>
        </w:tc>
        <w:tc>
          <w:tcPr>
            <w:tcW w:w="0" w:type="auto"/>
            <w:shd w:val="clear" w:color="auto" w:fill="auto"/>
            <w:vAlign w:val="bottom"/>
          </w:tcPr>
          <w:p w14:paraId="7C208CA0" w14:textId="77777777" w:rsidR="00834A75" w:rsidRDefault="00834A75">
            <w:pPr>
              <w:rPr>
                <w:rFonts w:ascii="宋体"/>
              </w:rPr>
            </w:pPr>
          </w:p>
        </w:tc>
        <w:tc>
          <w:tcPr>
            <w:tcW w:w="0" w:type="auto"/>
            <w:shd w:val="clear" w:color="auto" w:fill="auto"/>
            <w:vAlign w:val="bottom"/>
          </w:tcPr>
          <w:p w14:paraId="7C208CA1" w14:textId="77777777" w:rsidR="00834A75" w:rsidRDefault="00834A75">
            <w:pPr>
              <w:rPr>
                <w:rFonts w:ascii="宋体"/>
              </w:rPr>
            </w:pPr>
          </w:p>
        </w:tc>
      </w:tr>
      <w:tr w:rsidR="00834A75" w14:paraId="7C208CAB" w14:textId="77777777">
        <w:tc>
          <w:tcPr>
            <w:tcW w:w="0" w:type="auto"/>
            <w:gridSpan w:val="3"/>
            <w:shd w:val="clear" w:color="auto" w:fill="auto"/>
            <w:tcMar>
              <w:top w:w="40" w:type="dxa"/>
              <w:left w:w="20" w:type="dxa"/>
              <w:bottom w:w="40" w:type="dxa"/>
              <w:right w:w="20" w:type="dxa"/>
            </w:tcMar>
            <w:vAlign w:val="bottom"/>
          </w:tcPr>
          <w:p w14:paraId="7C208CA3" w14:textId="77777777" w:rsidR="00834A75" w:rsidRDefault="00A6708C">
            <w:pPr>
              <w:textAlignment w:val="bottom"/>
            </w:pPr>
            <w:r>
              <w:rPr>
                <w:rFonts w:ascii="sans-serif" w:eastAsia="sans-serif" w:hAnsi="sans-serif" w:cs="sans-serif"/>
                <w:b/>
                <w:bCs/>
                <w:color w:val="000000"/>
                <w:sz w:val="20"/>
                <w:szCs w:val="20"/>
              </w:rPr>
              <w:t>Revenue:</w:t>
            </w:r>
          </w:p>
        </w:tc>
        <w:tc>
          <w:tcPr>
            <w:tcW w:w="0" w:type="auto"/>
            <w:gridSpan w:val="3"/>
            <w:shd w:val="clear" w:color="auto" w:fill="auto"/>
            <w:tcMar>
              <w:top w:w="40" w:type="dxa"/>
              <w:left w:w="20" w:type="dxa"/>
              <w:bottom w:w="40" w:type="dxa"/>
              <w:right w:w="20" w:type="dxa"/>
            </w:tcMar>
            <w:vAlign w:val="bottom"/>
          </w:tcPr>
          <w:p w14:paraId="7C208CA4" w14:textId="77777777" w:rsidR="00834A75" w:rsidRDefault="00A6708C">
            <w:pPr>
              <w:textAlignment w:val="bottom"/>
            </w:pPr>
            <w:r>
              <w:rPr>
                <w:rFonts w:ascii="sans-serif" w:eastAsia="sans-serif" w:hAnsi="sans-serif" w:cs="sans-serif"/>
                <w:color w:val="000000"/>
                <w:sz w:val="20"/>
                <w:szCs w:val="20"/>
              </w:rPr>
              <w:t> </w:t>
            </w:r>
          </w:p>
        </w:tc>
        <w:tc>
          <w:tcPr>
            <w:tcW w:w="0" w:type="auto"/>
            <w:gridSpan w:val="3"/>
            <w:shd w:val="clear" w:color="auto" w:fill="auto"/>
            <w:tcMar>
              <w:top w:w="0" w:type="dxa"/>
              <w:left w:w="20" w:type="dxa"/>
              <w:bottom w:w="0" w:type="dxa"/>
              <w:right w:w="20" w:type="dxa"/>
            </w:tcMar>
            <w:vAlign w:val="bottom"/>
          </w:tcPr>
          <w:p w14:paraId="7C208CA5" w14:textId="77777777" w:rsidR="00834A75" w:rsidRDefault="00834A75">
            <w:pPr>
              <w:rPr>
                <w:rFonts w:ascii="宋体"/>
              </w:rPr>
            </w:pPr>
          </w:p>
        </w:tc>
        <w:tc>
          <w:tcPr>
            <w:tcW w:w="0" w:type="auto"/>
            <w:gridSpan w:val="3"/>
            <w:shd w:val="clear" w:color="auto" w:fill="auto"/>
            <w:tcMar>
              <w:top w:w="40" w:type="dxa"/>
              <w:left w:w="20" w:type="dxa"/>
              <w:bottom w:w="40" w:type="dxa"/>
              <w:right w:w="20" w:type="dxa"/>
            </w:tcMar>
            <w:vAlign w:val="bottom"/>
          </w:tcPr>
          <w:p w14:paraId="7C208CA6" w14:textId="77777777" w:rsidR="00834A75" w:rsidRDefault="00A6708C">
            <w:pPr>
              <w:textAlignment w:val="bottom"/>
            </w:pPr>
            <w:r>
              <w:rPr>
                <w:rFonts w:ascii="sans-serif" w:eastAsia="sans-serif" w:hAnsi="sans-serif" w:cs="sans-serif"/>
                <w:color w:val="000000"/>
                <w:sz w:val="20"/>
                <w:szCs w:val="20"/>
              </w:rPr>
              <w:t> </w:t>
            </w:r>
          </w:p>
        </w:tc>
        <w:tc>
          <w:tcPr>
            <w:tcW w:w="0" w:type="auto"/>
            <w:gridSpan w:val="3"/>
            <w:shd w:val="clear" w:color="auto" w:fill="auto"/>
            <w:vAlign w:val="bottom"/>
          </w:tcPr>
          <w:p w14:paraId="7C208CA7" w14:textId="77777777" w:rsidR="00834A75" w:rsidRDefault="00834A75">
            <w:pPr>
              <w:rPr>
                <w:rFonts w:ascii="宋体"/>
                <w:vanish/>
              </w:rPr>
            </w:pPr>
          </w:p>
        </w:tc>
        <w:tc>
          <w:tcPr>
            <w:tcW w:w="0" w:type="auto"/>
            <w:gridSpan w:val="3"/>
            <w:shd w:val="clear" w:color="auto" w:fill="auto"/>
            <w:vAlign w:val="bottom"/>
          </w:tcPr>
          <w:p w14:paraId="7C208CA8" w14:textId="77777777" w:rsidR="00834A75" w:rsidRDefault="00834A75">
            <w:pPr>
              <w:rPr>
                <w:rFonts w:ascii="宋体"/>
                <w:vanish/>
              </w:rPr>
            </w:pPr>
          </w:p>
        </w:tc>
        <w:tc>
          <w:tcPr>
            <w:tcW w:w="0" w:type="auto"/>
            <w:gridSpan w:val="3"/>
            <w:shd w:val="clear" w:color="auto" w:fill="auto"/>
            <w:vAlign w:val="bottom"/>
          </w:tcPr>
          <w:p w14:paraId="7C208CA9" w14:textId="77777777" w:rsidR="00834A75" w:rsidRDefault="00834A75">
            <w:pPr>
              <w:rPr>
                <w:rFonts w:ascii="宋体"/>
                <w:vanish/>
              </w:rPr>
            </w:pPr>
          </w:p>
        </w:tc>
        <w:tc>
          <w:tcPr>
            <w:tcW w:w="0" w:type="auto"/>
            <w:gridSpan w:val="3"/>
            <w:shd w:val="clear" w:color="auto" w:fill="auto"/>
            <w:vAlign w:val="bottom"/>
          </w:tcPr>
          <w:p w14:paraId="7C208CAA" w14:textId="77777777" w:rsidR="00834A75" w:rsidRDefault="00834A75">
            <w:pPr>
              <w:rPr>
                <w:rFonts w:ascii="宋体"/>
                <w:vanish/>
              </w:rPr>
            </w:pPr>
          </w:p>
        </w:tc>
      </w:tr>
      <w:tr w:rsidR="00834A75" w14:paraId="7C208CB8" w14:textId="77777777">
        <w:tc>
          <w:tcPr>
            <w:tcW w:w="0" w:type="auto"/>
            <w:gridSpan w:val="3"/>
            <w:shd w:val="clear" w:color="auto" w:fill="E2EFD9"/>
            <w:tcMar>
              <w:top w:w="40" w:type="dxa"/>
              <w:left w:w="245" w:type="dxa"/>
              <w:bottom w:w="40" w:type="dxa"/>
              <w:right w:w="20" w:type="dxa"/>
            </w:tcMar>
            <w:vAlign w:val="bottom"/>
          </w:tcPr>
          <w:p w14:paraId="7C208CAC" w14:textId="77777777" w:rsidR="00834A75" w:rsidRDefault="00A6708C">
            <w:pPr>
              <w:textAlignment w:val="bottom"/>
            </w:pPr>
            <w:r>
              <w:rPr>
                <w:rFonts w:ascii="sans-serif" w:eastAsia="sans-serif" w:hAnsi="sans-serif" w:cs="sans-serif"/>
                <w:color w:val="000000"/>
                <w:sz w:val="20"/>
                <w:szCs w:val="20"/>
              </w:rPr>
              <w:t>Gaming</w:t>
            </w:r>
          </w:p>
        </w:tc>
        <w:tc>
          <w:tcPr>
            <w:tcW w:w="0" w:type="auto"/>
            <w:shd w:val="clear" w:color="auto" w:fill="E2EFD9"/>
            <w:tcMar>
              <w:top w:w="40" w:type="dxa"/>
              <w:left w:w="20" w:type="dxa"/>
              <w:bottom w:w="40" w:type="dxa"/>
              <w:right w:w="0" w:type="dxa"/>
            </w:tcMar>
            <w:vAlign w:val="bottom"/>
          </w:tcPr>
          <w:p w14:paraId="7C208CAD" w14:textId="77777777" w:rsidR="00834A75" w:rsidRDefault="00A6708C">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7C208CAE" w14:textId="77777777" w:rsidR="00834A75" w:rsidRDefault="00A6708C">
            <w:pPr>
              <w:jc w:val="right"/>
              <w:textAlignment w:val="bottom"/>
            </w:pPr>
            <w:r>
              <w:rPr>
                <w:rFonts w:ascii="sans-serif" w:eastAsia="sans-serif" w:hAnsi="sans-serif" w:cs="sans-serif"/>
                <w:color w:val="000000"/>
                <w:sz w:val="20"/>
                <w:szCs w:val="20"/>
              </w:rPr>
              <w:t>3,620 </w:t>
            </w:r>
          </w:p>
        </w:tc>
        <w:tc>
          <w:tcPr>
            <w:tcW w:w="0" w:type="auto"/>
            <w:shd w:val="clear" w:color="auto" w:fill="E2EFD9"/>
            <w:tcMar>
              <w:top w:w="40" w:type="dxa"/>
              <w:left w:w="0" w:type="dxa"/>
              <w:bottom w:w="40" w:type="dxa"/>
              <w:right w:w="20" w:type="dxa"/>
            </w:tcMar>
            <w:vAlign w:val="bottom"/>
          </w:tcPr>
          <w:p w14:paraId="7C208CAF" w14:textId="77777777" w:rsidR="00834A75" w:rsidRDefault="00834A75">
            <w:pPr>
              <w:jc w:val="right"/>
              <w:rPr>
                <w:rFonts w:ascii="宋体"/>
              </w:rPr>
            </w:pPr>
          </w:p>
        </w:tc>
        <w:tc>
          <w:tcPr>
            <w:tcW w:w="0" w:type="auto"/>
            <w:gridSpan w:val="3"/>
            <w:shd w:val="clear" w:color="auto" w:fill="E2EFD9"/>
            <w:tcMar>
              <w:top w:w="0" w:type="dxa"/>
              <w:left w:w="20" w:type="dxa"/>
              <w:bottom w:w="0" w:type="dxa"/>
              <w:right w:w="20" w:type="dxa"/>
            </w:tcMar>
            <w:vAlign w:val="bottom"/>
          </w:tcPr>
          <w:p w14:paraId="7C208CB0" w14:textId="77777777" w:rsidR="00834A75" w:rsidRDefault="00834A75">
            <w:pPr>
              <w:rPr>
                <w:rFonts w:ascii="宋体"/>
              </w:rPr>
            </w:pPr>
          </w:p>
        </w:tc>
        <w:tc>
          <w:tcPr>
            <w:tcW w:w="0" w:type="auto"/>
            <w:shd w:val="clear" w:color="auto" w:fill="E2EFD9"/>
            <w:tcMar>
              <w:top w:w="40" w:type="dxa"/>
              <w:left w:w="20" w:type="dxa"/>
              <w:bottom w:w="40" w:type="dxa"/>
              <w:right w:w="0" w:type="dxa"/>
            </w:tcMar>
            <w:vAlign w:val="bottom"/>
          </w:tcPr>
          <w:p w14:paraId="7C208CB1" w14:textId="77777777" w:rsidR="00834A75" w:rsidRDefault="00A6708C">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7C208CB2" w14:textId="77777777" w:rsidR="00834A75" w:rsidRDefault="00A6708C">
            <w:pPr>
              <w:jc w:val="right"/>
              <w:textAlignment w:val="bottom"/>
            </w:pPr>
            <w:r>
              <w:rPr>
                <w:rFonts w:ascii="sans-serif" w:eastAsia="sans-serif" w:hAnsi="sans-serif" w:cs="sans-serif"/>
                <w:color w:val="000000"/>
                <w:sz w:val="20"/>
                <w:szCs w:val="20"/>
              </w:rPr>
              <w:t>2,760 </w:t>
            </w:r>
          </w:p>
        </w:tc>
        <w:tc>
          <w:tcPr>
            <w:tcW w:w="0" w:type="auto"/>
            <w:shd w:val="clear" w:color="auto" w:fill="E2EFD9"/>
            <w:tcMar>
              <w:top w:w="40" w:type="dxa"/>
              <w:left w:w="0" w:type="dxa"/>
              <w:bottom w:w="40" w:type="dxa"/>
              <w:right w:w="20" w:type="dxa"/>
            </w:tcMar>
            <w:vAlign w:val="bottom"/>
          </w:tcPr>
          <w:p w14:paraId="7C208CB3" w14:textId="77777777" w:rsidR="00834A75" w:rsidRDefault="00834A75">
            <w:pPr>
              <w:jc w:val="right"/>
              <w:rPr>
                <w:rFonts w:ascii="宋体"/>
              </w:rPr>
            </w:pPr>
          </w:p>
        </w:tc>
        <w:tc>
          <w:tcPr>
            <w:tcW w:w="0" w:type="auto"/>
            <w:gridSpan w:val="3"/>
            <w:shd w:val="clear" w:color="auto" w:fill="auto"/>
            <w:vAlign w:val="bottom"/>
          </w:tcPr>
          <w:p w14:paraId="7C208CB4" w14:textId="77777777" w:rsidR="00834A75" w:rsidRDefault="00834A75">
            <w:pPr>
              <w:rPr>
                <w:rFonts w:ascii="宋体"/>
                <w:vanish/>
              </w:rPr>
            </w:pPr>
          </w:p>
        </w:tc>
        <w:tc>
          <w:tcPr>
            <w:tcW w:w="0" w:type="auto"/>
            <w:gridSpan w:val="3"/>
            <w:shd w:val="clear" w:color="auto" w:fill="auto"/>
            <w:vAlign w:val="bottom"/>
          </w:tcPr>
          <w:p w14:paraId="7C208CB5" w14:textId="77777777" w:rsidR="00834A75" w:rsidRDefault="00834A75">
            <w:pPr>
              <w:rPr>
                <w:rFonts w:ascii="宋体"/>
                <w:vanish/>
              </w:rPr>
            </w:pPr>
          </w:p>
        </w:tc>
        <w:tc>
          <w:tcPr>
            <w:tcW w:w="0" w:type="auto"/>
            <w:gridSpan w:val="3"/>
            <w:shd w:val="clear" w:color="auto" w:fill="auto"/>
            <w:vAlign w:val="bottom"/>
          </w:tcPr>
          <w:p w14:paraId="7C208CB6" w14:textId="77777777" w:rsidR="00834A75" w:rsidRDefault="00834A75">
            <w:pPr>
              <w:rPr>
                <w:rFonts w:ascii="宋体"/>
                <w:vanish/>
              </w:rPr>
            </w:pPr>
          </w:p>
        </w:tc>
        <w:tc>
          <w:tcPr>
            <w:tcW w:w="0" w:type="auto"/>
            <w:gridSpan w:val="3"/>
            <w:shd w:val="clear" w:color="auto" w:fill="auto"/>
            <w:vAlign w:val="bottom"/>
          </w:tcPr>
          <w:p w14:paraId="7C208CB7" w14:textId="77777777" w:rsidR="00834A75" w:rsidRDefault="00834A75">
            <w:pPr>
              <w:rPr>
                <w:rFonts w:ascii="宋体"/>
                <w:vanish/>
              </w:rPr>
            </w:pPr>
          </w:p>
        </w:tc>
      </w:tr>
      <w:tr w:rsidR="00834A75" w14:paraId="7C208CC3" w14:textId="77777777">
        <w:tc>
          <w:tcPr>
            <w:tcW w:w="0" w:type="auto"/>
            <w:gridSpan w:val="3"/>
            <w:shd w:val="clear" w:color="auto" w:fill="FFFFFF"/>
            <w:tcMar>
              <w:top w:w="40" w:type="dxa"/>
              <w:left w:w="245" w:type="dxa"/>
              <w:bottom w:w="40" w:type="dxa"/>
              <w:right w:w="20" w:type="dxa"/>
            </w:tcMar>
            <w:vAlign w:val="bottom"/>
          </w:tcPr>
          <w:p w14:paraId="7C208CB9" w14:textId="77777777" w:rsidR="00834A75" w:rsidRDefault="00A6708C">
            <w:pPr>
              <w:textAlignment w:val="bottom"/>
            </w:pPr>
            <w:r>
              <w:rPr>
                <w:rFonts w:ascii="sans-serif" w:eastAsia="sans-serif" w:hAnsi="sans-serif" w:cs="sans-serif"/>
                <w:color w:val="000000"/>
                <w:sz w:val="20"/>
                <w:szCs w:val="20"/>
              </w:rPr>
              <w:t>Data Center</w:t>
            </w:r>
          </w:p>
        </w:tc>
        <w:tc>
          <w:tcPr>
            <w:tcW w:w="0" w:type="auto"/>
            <w:gridSpan w:val="2"/>
            <w:shd w:val="clear" w:color="auto" w:fill="FFFFFF"/>
            <w:tcMar>
              <w:top w:w="40" w:type="dxa"/>
              <w:left w:w="20" w:type="dxa"/>
              <w:bottom w:w="40" w:type="dxa"/>
              <w:right w:w="0" w:type="dxa"/>
            </w:tcMar>
            <w:vAlign w:val="bottom"/>
          </w:tcPr>
          <w:p w14:paraId="7C208CBA" w14:textId="77777777" w:rsidR="00834A75" w:rsidRDefault="00A6708C">
            <w:pPr>
              <w:jc w:val="right"/>
              <w:textAlignment w:val="bottom"/>
            </w:pPr>
            <w:r>
              <w:rPr>
                <w:rFonts w:ascii="sans-serif" w:eastAsia="sans-serif" w:hAnsi="sans-serif" w:cs="sans-serif"/>
                <w:color w:val="000000"/>
                <w:sz w:val="20"/>
                <w:szCs w:val="20"/>
              </w:rPr>
              <w:t>3,750 </w:t>
            </w:r>
          </w:p>
        </w:tc>
        <w:tc>
          <w:tcPr>
            <w:tcW w:w="0" w:type="auto"/>
            <w:shd w:val="clear" w:color="auto" w:fill="FFFFFF"/>
            <w:tcMar>
              <w:top w:w="40" w:type="dxa"/>
              <w:left w:w="0" w:type="dxa"/>
              <w:bottom w:w="40" w:type="dxa"/>
              <w:right w:w="20" w:type="dxa"/>
            </w:tcMar>
            <w:vAlign w:val="bottom"/>
          </w:tcPr>
          <w:p w14:paraId="7C208CBB" w14:textId="77777777" w:rsidR="00834A75" w:rsidRDefault="00834A75">
            <w:pPr>
              <w:jc w:val="right"/>
              <w:rPr>
                <w:rFonts w:ascii="宋体"/>
              </w:rPr>
            </w:pPr>
          </w:p>
        </w:tc>
        <w:tc>
          <w:tcPr>
            <w:tcW w:w="0" w:type="auto"/>
            <w:gridSpan w:val="3"/>
            <w:shd w:val="clear" w:color="auto" w:fill="FFFFFF"/>
            <w:tcMar>
              <w:top w:w="0" w:type="dxa"/>
              <w:left w:w="20" w:type="dxa"/>
              <w:bottom w:w="0" w:type="dxa"/>
              <w:right w:w="20" w:type="dxa"/>
            </w:tcMar>
            <w:vAlign w:val="bottom"/>
          </w:tcPr>
          <w:p w14:paraId="7C208CBC" w14:textId="77777777" w:rsidR="00834A75" w:rsidRDefault="00834A75">
            <w:pPr>
              <w:rPr>
                <w:rFonts w:ascii="宋体"/>
              </w:rPr>
            </w:pPr>
          </w:p>
        </w:tc>
        <w:tc>
          <w:tcPr>
            <w:tcW w:w="0" w:type="auto"/>
            <w:gridSpan w:val="2"/>
            <w:shd w:val="clear" w:color="auto" w:fill="FFFFFF"/>
            <w:tcMar>
              <w:top w:w="40" w:type="dxa"/>
              <w:left w:w="20" w:type="dxa"/>
              <w:bottom w:w="40" w:type="dxa"/>
              <w:right w:w="0" w:type="dxa"/>
            </w:tcMar>
            <w:vAlign w:val="bottom"/>
          </w:tcPr>
          <w:p w14:paraId="7C208CBD" w14:textId="77777777" w:rsidR="00834A75" w:rsidRDefault="00A6708C">
            <w:pPr>
              <w:jc w:val="right"/>
              <w:textAlignment w:val="bottom"/>
            </w:pPr>
            <w:r>
              <w:rPr>
                <w:rFonts w:ascii="sans-serif" w:eastAsia="sans-serif" w:hAnsi="sans-serif" w:cs="sans-serif"/>
                <w:color w:val="000000"/>
                <w:sz w:val="20"/>
                <w:szCs w:val="20"/>
              </w:rPr>
              <w:t>2,048 </w:t>
            </w:r>
          </w:p>
        </w:tc>
        <w:tc>
          <w:tcPr>
            <w:tcW w:w="0" w:type="auto"/>
            <w:shd w:val="clear" w:color="auto" w:fill="FFFFFF"/>
            <w:tcMar>
              <w:top w:w="40" w:type="dxa"/>
              <w:left w:w="0" w:type="dxa"/>
              <w:bottom w:w="40" w:type="dxa"/>
              <w:right w:w="20" w:type="dxa"/>
            </w:tcMar>
            <w:vAlign w:val="bottom"/>
          </w:tcPr>
          <w:p w14:paraId="7C208CBE" w14:textId="77777777" w:rsidR="00834A75" w:rsidRDefault="00834A75">
            <w:pPr>
              <w:jc w:val="right"/>
              <w:rPr>
                <w:rFonts w:ascii="宋体"/>
              </w:rPr>
            </w:pPr>
          </w:p>
        </w:tc>
        <w:tc>
          <w:tcPr>
            <w:tcW w:w="0" w:type="auto"/>
            <w:gridSpan w:val="3"/>
            <w:shd w:val="clear" w:color="auto" w:fill="auto"/>
            <w:vAlign w:val="bottom"/>
          </w:tcPr>
          <w:p w14:paraId="7C208CBF" w14:textId="77777777" w:rsidR="00834A75" w:rsidRDefault="00834A75">
            <w:pPr>
              <w:rPr>
                <w:rFonts w:ascii="宋体"/>
                <w:vanish/>
              </w:rPr>
            </w:pPr>
          </w:p>
        </w:tc>
        <w:tc>
          <w:tcPr>
            <w:tcW w:w="0" w:type="auto"/>
            <w:gridSpan w:val="3"/>
            <w:shd w:val="clear" w:color="auto" w:fill="auto"/>
            <w:vAlign w:val="bottom"/>
          </w:tcPr>
          <w:p w14:paraId="7C208CC0" w14:textId="77777777" w:rsidR="00834A75" w:rsidRDefault="00834A75">
            <w:pPr>
              <w:rPr>
                <w:rFonts w:ascii="宋体"/>
                <w:vanish/>
              </w:rPr>
            </w:pPr>
          </w:p>
        </w:tc>
        <w:tc>
          <w:tcPr>
            <w:tcW w:w="0" w:type="auto"/>
            <w:gridSpan w:val="3"/>
            <w:shd w:val="clear" w:color="auto" w:fill="auto"/>
            <w:vAlign w:val="bottom"/>
          </w:tcPr>
          <w:p w14:paraId="7C208CC1" w14:textId="77777777" w:rsidR="00834A75" w:rsidRDefault="00834A75">
            <w:pPr>
              <w:rPr>
                <w:rFonts w:ascii="宋体"/>
                <w:vanish/>
              </w:rPr>
            </w:pPr>
          </w:p>
        </w:tc>
        <w:tc>
          <w:tcPr>
            <w:tcW w:w="0" w:type="auto"/>
            <w:gridSpan w:val="3"/>
            <w:shd w:val="clear" w:color="auto" w:fill="auto"/>
            <w:vAlign w:val="bottom"/>
          </w:tcPr>
          <w:p w14:paraId="7C208CC2" w14:textId="77777777" w:rsidR="00834A75" w:rsidRDefault="00834A75">
            <w:pPr>
              <w:rPr>
                <w:rFonts w:ascii="宋体"/>
                <w:vanish/>
              </w:rPr>
            </w:pPr>
          </w:p>
        </w:tc>
      </w:tr>
      <w:tr w:rsidR="00834A75" w14:paraId="7C208CCE" w14:textId="77777777">
        <w:tc>
          <w:tcPr>
            <w:tcW w:w="0" w:type="auto"/>
            <w:gridSpan w:val="3"/>
            <w:shd w:val="clear" w:color="auto" w:fill="E2EFD9"/>
            <w:tcMar>
              <w:top w:w="40" w:type="dxa"/>
              <w:left w:w="245" w:type="dxa"/>
              <w:bottom w:w="40" w:type="dxa"/>
              <w:right w:w="20" w:type="dxa"/>
            </w:tcMar>
            <w:vAlign w:val="bottom"/>
          </w:tcPr>
          <w:p w14:paraId="7C208CC4" w14:textId="77777777" w:rsidR="00834A75" w:rsidRDefault="00A6708C">
            <w:pPr>
              <w:textAlignment w:val="bottom"/>
            </w:pPr>
            <w:r>
              <w:rPr>
                <w:rFonts w:ascii="sans-serif" w:eastAsia="sans-serif" w:hAnsi="sans-serif" w:cs="sans-serif"/>
                <w:color w:val="000000"/>
                <w:sz w:val="20"/>
                <w:szCs w:val="20"/>
              </w:rPr>
              <w:t>Professional Visualization</w:t>
            </w:r>
          </w:p>
        </w:tc>
        <w:tc>
          <w:tcPr>
            <w:tcW w:w="0" w:type="auto"/>
            <w:gridSpan w:val="2"/>
            <w:shd w:val="clear" w:color="auto" w:fill="E2EFD9"/>
            <w:tcMar>
              <w:top w:w="40" w:type="dxa"/>
              <w:left w:w="20" w:type="dxa"/>
              <w:bottom w:w="40" w:type="dxa"/>
              <w:right w:w="0" w:type="dxa"/>
            </w:tcMar>
            <w:vAlign w:val="bottom"/>
          </w:tcPr>
          <w:p w14:paraId="7C208CC5" w14:textId="77777777" w:rsidR="00834A75" w:rsidRDefault="00A6708C">
            <w:pPr>
              <w:jc w:val="right"/>
              <w:textAlignment w:val="bottom"/>
            </w:pPr>
            <w:r>
              <w:rPr>
                <w:rFonts w:ascii="sans-serif" w:eastAsia="sans-serif" w:hAnsi="sans-serif" w:cs="sans-serif"/>
                <w:color w:val="000000"/>
                <w:sz w:val="20"/>
                <w:szCs w:val="20"/>
              </w:rPr>
              <w:t>622 </w:t>
            </w:r>
          </w:p>
        </w:tc>
        <w:tc>
          <w:tcPr>
            <w:tcW w:w="0" w:type="auto"/>
            <w:shd w:val="clear" w:color="auto" w:fill="E2EFD9"/>
            <w:tcMar>
              <w:top w:w="40" w:type="dxa"/>
              <w:left w:w="0" w:type="dxa"/>
              <w:bottom w:w="40" w:type="dxa"/>
              <w:right w:w="20" w:type="dxa"/>
            </w:tcMar>
            <w:vAlign w:val="bottom"/>
          </w:tcPr>
          <w:p w14:paraId="7C208CC6" w14:textId="77777777" w:rsidR="00834A75" w:rsidRDefault="00834A75">
            <w:pPr>
              <w:jc w:val="right"/>
              <w:rPr>
                <w:rFonts w:ascii="宋体"/>
              </w:rPr>
            </w:pPr>
          </w:p>
        </w:tc>
        <w:tc>
          <w:tcPr>
            <w:tcW w:w="0" w:type="auto"/>
            <w:gridSpan w:val="3"/>
            <w:shd w:val="clear" w:color="auto" w:fill="E2EFD9"/>
            <w:tcMar>
              <w:top w:w="0" w:type="dxa"/>
              <w:left w:w="20" w:type="dxa"/>
              <w:bottom w:w="0" w:type="dxa"/>
              <w:right w:w="20" w:type="dxa"/>
            </w:tcMar>
            <w:vAlign w:val="bottom"/>
          </w:tcPr>
          <w:p w14:paraId="7C208CC7" w14:textId="77777777" w:rsidR="00834A75" w:rsidRDefault="00834A75">
            <w:pPr>
              <w:rPr>
                <w:rFonts w:ascii="宋体"/>
              </w:rPr>
            </w:pPr>
          </w:p>
        </w:tc>
        <w:tc>
          <w:tcPr>
            <w:tcW w:w="0" w:type="auto"/>
            <w:gridSpan w:val="2"/>
            <w:shd w:val="clear" w:color="auto" w:fill="E2EFD9"/>
            <w:tcMar>
              <w:top w:w="40" w:type="dxa"/>
              <w:left w:w="20" w:type="dxa"/>
              <w:bottom w:w="40" w:type="dxa"/>
              <w:right w:w="0" w:type="dxa"/>
            </w:tcMar>
            <w:vAlign w:val="bottom"/>
          </w:tcPr>
          <w:p w14:paraId="7C208CC8" w14:textId="77777777" w:rsidR="00834A75" w:rsidRDefault="00A6708C">
            <w:pPr>
              <w:jc w:val="right"/>
              <w:textAlignment w:val="bottom"/>
            </w:pPr>
            <w:r>
              <w:rPr>
                <w:rFonts w:ascii="sans-serif" w:eastAsia="sans-serif" w:hAnsi="sans-serif" w:cs="sans-serif"/>
                <w:color w:val="000000"/>
                <w:sz w:val="20"/>
                <w:szCs w:val="20"/>
              </w:rPr>
              <w:t>372 </w:t>
            </w:r>
          </w:p>
        </w:tc>
        <w:tc>
          <w:tcPr>
            <w:tcW w:w="0" w:type="auto"/>
            <w:shd w:val="clear" w:color="auto" w:fill="E2EFD9"/>
            <w:tcMar>
              <w:top w:w="40" w:type="dxa"/>
              <w:left w:w="0" w:type="dxa"/>
              <w:bottom w:w="40" w:type="dxa"/>
              <w:right w:w="20" w:type="dxa"/>
            </w:tcMar>
            <w:vAlign w:val="bottom"/>
          </w:tcPr>
          <w:p w14:paraId="7C208CC9" w14:textId="77777777" w:rsidR="00834A75" w:rsidRDefault="00834A75">
            <w:pPr>
              <w:jc w:val="right"/>
              <w:rPr>
                <w:rFonts w:ascii="宋体"/>
              </w:rPr>
            </w:pPr>
          </w:p>
        </w:tc>
        <w:tc>
          <w:tcPr>
            <w:tcW w:w="0" w:type="auto"/>
            <w:gridSpan w:val="3"/>
            <w:shd w:val="clear" w:color="auto" w:fill="auto"/>
            <w:vAlign w:val="bottom"/>
          </w:tcPr>
          <w:p w14:paraId="7C208CCA" w14:textId="77777777" w:rsidR="00834A75" w:rsidRDefault="00834A75">
            <w:pPr>
              <w:rPr>
                <w:rFonts w:ascii="宋体"/>
                <w:vanish/>
              </w:rPr>
            </w:pPr>
          </w:p>
        </w:tc>
        <w:tc>
          <w:tcPr>
            <w:tcW w:w="0" w:type="auto"/>
            <w:gridSpan w:val="3"/>
            <w:shd w:val="clear" w:color="auto" w:fill="auto"/>
            <w:vAlign w:val="bottom"/>
          </w:tcPr>
          <w:p w14:paraId="7C208CCB" w14:textId="77777777" w:rsidR="00834A75" w:rsidRDefault="00834A75">
            <w:pPr>
              <w:rPr>
                <w:rFonts w:ascii="宋体"/>
                <w:vanish/>
              </w:rPr>
            </w:pPr>
          </w:p>
        </w:tc>
        <w:tc>
          <w:tcPr>
            <w:tcW w:w="0" w:type="auto"/>
            <w:gridSpan w:val="3"/>
            <w:shd w:val="clear" w:color="auto" w:fill="auto"/>
            <w:vAlign w:val="bottom"/>
          </w:tcPr>
          <w:p w14:paraId="7C208CCC" w14:textId="77777777" w:rsidR="00834A75" w:rsidRDefault="00834A75">
            <w:pPr>
              <w:rPr>
                <w:rFonts w:ascii="宋体"/>
                <w:vanish/>
              </w:rPr>
            </w:pPr>
          </w:p>
        </w:tc>
        <w:tc>
          <w:tcPr>
            <w:tcW w:w="0" w:type="auto"/>
            <w:gridSpan w:val="3"/>
            <w:shd w:val="clear" w:color="auto" w:fill="auto"/>
            <w:vAlign w:val="bottom"/>
          </w:tcPr>
          <w:p w14:paraId="7C208CCD" w14:textId="77777777" w:rsidR="00834A75" w:rsidRDefault="00834A75">
            <w:pPr>
              <w:rPr>
                <w:rFonts w:ascii="宋体"/>
                <w:vanish/>
              </w:rPr>
            </w:pPr>
          </w:p>
        </w:tc>
      </w:tr>
      <w:tr w:rsidR="00834A75" w14:paraId="7C208CD9" w14:textId="77777777">
        <w:tc>
          <w:tcPr>
            <w:tcW w:w="0" w:type="auto"/>
            <w:gridSpan w:val="3"/>
            <w:shd w:val="clear" w:color="auto" w:fill="FFFFFF"/>
            <w:tcMar>
              <w:top w:w="40" w:type="dxa"/>
              <w:left w:w="245" w:type="dxa"/>
              <w:bottom w:w="40" w:type="dxa"/>
              <w:right w:w="20" w:type="dxa"/>
            </w:tcMar>
            <w:vAlign w:val="bottom"/>
          </w:tcPr>
          <w:p w14:paraId="7C208CCF" w14:textId="77777777" w:rsidR="00834A75" w:rsidRDefault="00A6708C">
            <w:pPr>
              <w:textAlignment w:val="bottom"/>
            </w:pPr>
            <w:r>
              <w:rPr>
                <w:rFonts w:ascii="sans-serif" w:eastAsia="sans-serif" w:hAnsi="sans-serif" w:cs="sans-serif"/>
                <w:color w:val="000000"/>
                <w:sz w:val="20"/>
                <w:szCs w:val="20"/>
              </w:rPr>
              <w:t>Automotive</w:t>
            </w:r>
          </w:p>
        </w:tc>
        <w:tc>
          <w:tcPr>
            <w:tcW w:w="0" w:type="auto"/>
            <w:gridSpan w:val="2"/>
            <w:shd w:val="clear" w:color="auto" w:fill="FFFFFF"/>
            <w:tcMar>
              <w:top w:w="40" w:type="dxa"/>
              <w:left w:w="20" w:type="dxa"/>
              <w:bottom w:w="40" w:type="dxa"/>
              <w:right w:w="0" w:type="dxa"/>
            </w:tcMar>
            <w:vAlign w:val="bottom"/>
          </w:tcPr>
          <w:p w14:paraId="7C208CD0" w14:textId="77777777" w:rsidR="00834A75" w:rsidRDefault="00A6708C">
            <w:pPr>
              <w:jc w:val="right"/>
              <w:textAlignment w:val="bottom"/>
            </w:pPr>
            <w:r>
              <w:rPr>
                <w:rFonts w:ascii="sans-serif" w:eastAsia="sans-serif" w:hAnsi="sans-serif" w:cs="sans-serif"/>
                <w:color w:val="000000"/>
                <w:sz w:val="20"/>
                <w:szCs w:val="20"/>
              </w:rPr>
              <w:t>138 </w:t>
            </w:r>
          </w:p>
        </w:tc>
        <w:tc>
          <w:tcPr>
            <w:tcW w:w="0" w:type="auto"/>
            <w:shd w:val="clear" w:color="auto" w:fill="FFFFFF"/>
            <w:tcMar>
              <w:top w:w="40" w:type="dxa"/>
              <w:left w:w="0" w:type="dxa"/>
              <w:bottom w:w="40" w:type="dxa"/>
              <w:right w:w="20" w:type="dxa"/>
            </w:tcMar>
            <w:vAlign w:val="bottom"/>
          </w:tcPr>
          <w:p w14:paraId="7C208CD1" w14:textId="77777777" w:rsidR="00834A75" w:rsidRDefault="00834A75">
            <w:pPr>
              <w:jc w:val="right"/>
              <w:rPr>
                <w:rFonts w:ascii="宋体"/>
              </w:rPr>
            </w:pPr>
          </w:p>
        </w:tc>
        <w:tc>
          <w:tcPr>
            <w:tcW w:w="0" w:type="auto"/>
            <w:gridSpan w:val="3"/>
            <w:shd w:val="clear" w:color="auto" w:fill="FFFFFF"/>
            <w:tcMar>
              <w:top w:w="0" w:type="dxa"/>
              <w:left w:w="20" w:type="dxa"/>
              <w:bottom w:w="0" w:type="dxa"/>
              <w:right w:w="20" w:type="dxa"/>
            </w:tcMar>
            <w:vAlign w:val="bottom"/>
          </w:tcPr>
          <w:p w14:paraId="7C208CD2" w14:textId="77777777" w:rsidR="00834A75" w:rsidRDefault="00834A75">
            <w:pPr>
              <w:rPr>
                <w:rFonts w:ascii="宋体"/>
              </w:rPr>
            </w:pPr>
          </w:p>
        </w:tc>
        <w:tc>
          <w:tcPr>
            <w:tcW w:w="0" w:type="auto"/>
            <w:gridSpan w:val="2"/>
            <w:shd w:val="clear" w:color="auto" w:fill="FFFFFF"/>
            <w:tcMar>
              <w:top w:w="40" w:type="dxa"/>
              <w:left w:w="20" w:type="dxa"/>
              <w:bottom w:w="40" w:type="dxa"/>
              <w:right w:w="0" w:type="dxa"/>
            </w:tcMar>
            <w:vAlign w:val="bottom"/>
          </w:tcPr>
          <w:p w14:paraId="7C208CD3" w14:textId="77777777" w:rsidR="00834A75" w:rsidRDefault="00A6708C">
            <w:pPr>
              <w:jc w:val="right"/>
              <w:textAlignment w:val="bottom"/>
            </w:pPr>
            <w:r>
              <w:rPr>
                <w:rFonts w:ascii="sans-serif" w:eastAsia="sans-serif" w:hAnsi="sans-serif" w:cs="sans-serif"/>
                <w:color w:val="000000"/>
                <w:sz w:val="20"/>
                <w:szCs w:val="20"/>
              </w:rPr>
              <w:t>154 </w:t>
            </w:r>
          </w:p>
        </w:tc>
        <w:tc>
          <w:tcPr>
            <w:tcW w:w="0" w:type="auto"/>
            <w:shd w:val="clear" w:color="auto" w:fill="FFFFFF"/>
            <w:tcMar>
              <w:top w:w="40" w:type="dxa"/>
              <w:left w:w="0" w:type="dxa"/>
              <w:bottom w:w="40" w:type="dxa"/>
              <w:right w:w="20" w:type="dxa"/>
            </w:tcMar>
            <w:vAlign w:val="bottom"/>
          </w:tcPr>
          <w:p w14:paraId="7C208CD4" w14:textId="77777777" w:rsidR="00834A75" w:rsidRDefault="00834A75">
            <w:pPr>
              <w:jc w:val="right"/>
              <w:rPr>
                <w:rFonts w:ascii="宋体"/>
              </w:rPr>
            </w:pPr>
          </w:p>
        </w:tc>
        <w:tc>
          <w:tcPr>
            <w:tcW w:w="0" w:type="auto"/>
            <w:gridSpan w:val="3"/>
            <w:shd w:val="clear" w:color="auto" w:fill="auto"/>
            <w:vAlign w:val="bottom"/>
          </w:tcPr>
          <w:p w14:paraId="7C208CD5" w14:textId="77777777" w:rsidR="00834A75" w:rsidRDefault="00834A75">
            <w:pPr>
              <w:rPr>
                <w:rFonts w:ascii="宋体"/>
                <w:vanish/>
              </w:rPr>
            </w:pPr>
          </w:p>
        </w:tc>
        <w:tc>
          <w:tcPr>
            <w:tcW w:w="0" w:type="auto"/>
            <w:gridSpan w:val="3"/>
            <w:shd w:val="clear" w:color="auto" w:fill="auto"/>
            <w:vAlign w:val="bottom"/>
          </w:tcPr>
          <w:p w14:paraId="7C208CD6" w14:textId="77777777" w:rsidR="00834A75" w:rsidRDefault="00834A75">
            <w:pPr>
              <w:rPr>
                <w:rFonts w:ascii="宋体"/>
                <w:vanish/>
              </w:rPr>
            </w:pPr>
          </w:p>
        </w:tc>
        <w:tc>
          <w:tcPr>
            <w:tcW w:w="0" w:type="auto"/>
            <w:gridSpan w:val="3"/>
            <w:shd w:val="clear" w:color="auto" w:fill="auto"/>
            <w:vAlign w:val="bottom"/>
          </w:tcPr>
          <w:p w14:paraId="7C208CD7" w14:textId="77777777" w:rsidR="00834A75" w:rsidRDefault="00834A75">
            <w:pPr>
              <w:rPr>
                <w:rFonts w:ascii="宋体"/>
                <w:vanish/>
              </w:rPr>
            </w:pPr>
          </w:p>
        </w:tc>
        <w:tc>
          <w:tcPr>
            <w:tcW w:w="0" w:type="auto"/>
            <w:gridSpan w:val="3"/>
            <w:shd w:val="clear" w:color="auto" w:fill="auto"/>
            <w:vAlign w:val="bottom"/>
          </w:tcPr>
          <w:p w14:paraId="7C208CD8" w14:textId="77777777" w:rsidR="00834A75" w:rsidRDefault="00834A75">
            <w:pPr>
              <w:rPr>
                <w:rFonts w:ascii="宋体"/>
                <w:vanish/>
              </w:rPr>
            </w:pPr>
          </w:p>
        </w:tc>
      </w:tr>
      <w:tr w:rsidR="00834A75" w14:paraId="7C208CE4" w14:textId="77777777">
        <w:tc>
          <w:tcPr>
            <w:tcW w:w="0" w:type="auto"/>
            <w:gridSpan w:val="3"/>
            <w:shd w:val="clear" w:color="auto" w:fill="E2EFD9"/>
            <w:tcMar>
              <w:top w:w="40" w:type="dxa"/>
              <w:left w:w="245" w:type="dxa"/>
              <w:bottom w:w="40" w:type="dxa"/>
              <w:right w:w="20" w:type="dxa"/>
            </w:tcMar>
            <w:vAlign w:val="bottom"/>
          </w:tcPr>
          <w:p w14:paraId="7C208CDA" w14:textId="77777777" w:rsidR="00834A75" w:rsidRDefault="00A6708C">
            <w:pPr>
              <w:textAlignment w:val="bottom"/>
            </w:pPr>
            <w:r>
              <w:rPr>
                <w:rFonts w:ascii="sans-serif" w:eastAsia="sans-serif" w:hAnsi="sans-serif" w:cs="sans-serif"/>
                <w:color w:val="000000"/>
                <w:sz w:val="20"/>
                <w:szCs w:val="20"/>
              </w:rPr>
              <w:t>OEM and Other</w:t>
            </w:r>
          </w:p>
        </w:tc>
        <w:tc>
          <w:tcPr>
            <w:tcW w:w="0" w:type="auto"/>
            <w:gridSpan w:val="2"/>
            <w:shd w:val="clear" w:color="auto" w:fill="E2EFD9"/>
            <w:tcMar>
              <w:top w:w="40" w:type="dxa"/>
              <w:left w:w="20" w:type="dxa"/>
              <w:bottom w:w="40" w:type="dxa"/>
              <w:right w:w="0" w:type="dxa"/>
            </w:tcMar>
            <w:vAlign w:val="bottom"/>
          </w:tcPr>
          <w:p w14:paraId="7C208CDB" w14:textId="77777777" w:rsidR="00834A75" w:rsidRDefault="00A6708C">
            <w:pPr>
              <w:jc w:val="right"/>
              <w:textAlignment w:val="bottom"/>
            </w:pPr>
            <w:r>
              <w:rPr>
                <w:rFonts w:ascii="sans-serif" w:eastAsia="sans-serif" w:hAnsi="sans-serif" w:cs="sans-serif"/>
                <w:color w:val="000000"/>
                <w:sz w:val="20"/>
                <w:szCs w:val="20"/>
              </w:rPr>
              <w:t>158 </w:t>
            </w:r>
          </w:p>
        </w:tc>
        <w:tc>
          <w:tcPr>
            <w:tcW w:w="0" w:type="auto"/>
            <w:shd w:val="clear" w:color="auto" w:fill="E2EFD9"/>
            <w:tcMar>
              <w:top w:w="40" w:type="dxa"/>
              <w:left w:w="0" w:type="dxa"/>
              <w:bottom w:w="40" w:type="dxa"/>
              <w:right w:w="20" w:type="dxa"/>
            </w:tcMar>
            <w:vAlign w:val="bottom"/>
          </w:tcPr>
          <w:p w14:paraId="7C208CDC" w14:textId="77777777" w:rsidR="00834A75" w:rsidRDefault="00834A75">
            <w:pPr>
              <w:jc w:val="right"/>
              <w:rPr>
                <w:rFonts w:ascii="宋体"/>
              </w:rPr>
            </w:pPr>
          </w:p>
        </w:tc>
        <w:tc>
          <w:tcPr>
            <w:tcW w:w="0" w:type="auto"/>
            <w:gridSpan w:val="3"/>
            <w:shd w:val="clear" w:color="auto" w:fill="E2EFD9"/>
            <w:tcMar>
              <w:top w:w="0" w:type="dxa"/>
              <w:left w:w="20" w:type="dxa"/>
              <w:bottom w:w="0" w:type="dxa"/>
              <w:right w:w="20" w:type="dxa"/>
            </w:tcMar>
            <w:vAlign w:val="bottom"/>
          </w:tcPr>
          <w:p w14:paraId="7C208CDD" w14:textId="77777777" w:rsidR="00834A75" w:rsidRDefault="00834A75">
            <w:pPr>
              <w:rPr>
                <w:rFonts w:ascii="宋体"/>
              </w:rPr>
            </w:pPr>
          </w:p>
        </w:tc>
        <w:tc>
          <w:tcPr>
            <w:tcW w:w="0" w:type="auto"/>
            <w:gridSpan w:val="2"/>
            <w:shd w:val="clear" w:color="auto" w:fill="E2EFD9"/>
            <w:tcMar>
              <w:top w:w="40" w:type="dxa"/>
              <w:left w:w="20" w:type="dxa"/>
              <w:bottom w:w="40" w:type="dxa"/>
              <w:right w:w="0" w:type="dxa"/>
            </w:tcMar>
            <w:vAlign w:val="bottom"/>
          </w:tcPr>
          <w:p w14:paraId="7C208CDE" w14:textId="77777777" w:rsidR="00834A75" w:rsidRDefault="00A6708C">
            <w:pPr>
              <w:jc w:val="right"/>
              <w:textAlignment w:val="bottom"/>
            </w:pPr>
            <w:r>
              <w:rPr>
                <w:rFonts w:ascii="sans-serif" w:eastAsia="sans-serif" w:hAnsi="sans-serif" w:cs="sans-serif"/>
                <w:color w:val="000000"/>
                <w:sz w:val="20"/>
                <w:szCs w:val="20"/>
              </w:rPr>
              <w:t>327 </w:t>
            </w:r>
          </w:p>
        </w:tc>
        <w:tc>
          <w:tcPr>
            <w:tcW w:w="0" w:type="auto"/>
            <w:shd w:val="clear" w:color="auto" w:fill="E2EFD9"/>
            <w:tcMar>
              <w:top w:w="40" w:type="dxa"/>
              <w:left w:w="0" w:type="dxa"/>
              <w:bottom w:w="40" w:type="dxa"/>
              <w:right w:w="20" w:type="dxa"/>
            </w:tcMar>
            <w:vAlign w:val="bottom"/>
          </w:tcPr>
          <w:p w14:paraId="7C208CDF" w14:textId="77777777" w:rsidR="00834A75" w:rsidRDefault="00834A75">
            <w:pPr>
              <w:jc w:val="right"/>
              <w:rPr>
                <w:rFonts w:ascii="宋体"/>
              </w:rPr>
            </w:pPr>
          </w:p>
        </w:tc>
        <w:tc>
          <w:tcPr>
            <w:tcW w:w="0" w:type="auto"/>
            <w:gridSpan w:val="3"/>
            <w:shd w:val="clear" w:color="auto" w:fill="auto"/>
            <w:vAlign w:val="bottom"/>
          </w:tcPr>
          <w:p w14:paraId="7C208CE0" w14:textId="77777777" w:rsidR="00834A75" w:rsidRDefault="00834A75">
            <w:pPr>
              <w:rPr>
                <w:rFonts w:ascii="宋体"/>
                <w:vanish/>
              </w:rPr>
            </w:pPr>
          </w:p>
        </w:tc>
        <w:tc>
          <w:tcPr>
            <w:tcW w:w="0" w:type="auto"/>
            <w:gridSpan w:val="3"/>
            <w:shd w:val="clear" w:color="auto" w:fill="auto"/>
            <w:vAlign w:val="bottom"/>
          </w:tcPr>
          <w:p w14:paraId="7C208CE1" w14:textId="77777777" w:rsidR="00834A75" w:rsidRDefault="00834A75">
            <w:pPr>
              <w:rPr>
                <w:rFonts w:ascii="宋体"/>
                <w:vanish/>
              </w:rPr>
            </w:pPr>
          </w:p>
        </w:tc>
        <w:tc>
          <w:tcPr>
            <w:tcW w:w="0" w:type="auto"/>
            <w:gridSpan w:val="3"/>
            <w:shd w:val="clear" w:color="auto" w:fill="auto"/>
            <w:vAlign w:val="bottom"/>
          </w:tcPr>
          <w:p w14:paraId="7C208CE2" w14:textId="77777777" w:rsidR="00834A75" w:rsidRDefault="00834A75">
            <w:pPr>
              <w:rPr>
                <w:rFonts w:ascii="宋体"/>
                <w:vanish/>
              </w:rPr>
            </w:pPr>
          </w:p>
        </w:tc>
        <w:tc>
          <w:tcPr>
            <w:tcW w:w="0" w:type="auto"/>
            <w:gridSpan w:val="3"/>
            <w:shd w:val="clear" w:color="auto" w:fill="auto"/>
            <w:vAlign w:val="bottom"/>
          </w:tcPr>
          <w:p w14:paraId="7C208CE3" w14:textId="77777777" w:rsidR="00834A75" w:rsidRDefault="00834A75">
            <w:pPr>
              <w:rPr>
                <w:rFonts w:ascii="宋体"/>
                <w:vanish/>
              </w:rPr>
            </w:pPr>
          </w:p>
        </w:tc>
      </w:tr>
      <w:tr w:rsidR="00834A75" w14:paraId="7C208CF1" w14:textId="77777777">
        <w:tc>
          <w:tcPr>
            <w:tcW w:w="0" w:type="auto"/>
            <w:gridSpan w:val="3"/>
            <w:shd w:val="clear" w:color="auto" w:fill="FFFFFF"/>
            <w:tcMar>
              <w:top w:w="40" w:type="dxa"/>
              <w:left w:w="20" w:type="dxa"/>
              <w:bottom w:w="40" w:type="dxa"/>
              <w:right w:w="20" w:type="dxa"/>
            </w:tcMar>
            <w:vAlign w:val="bottom"/>
          </w:tcPr>
          <w:p w14:paraId="7C208CE5" w14:textId="77777777" w:rsidR="00834A75" w:rsidRDefault="00A6708C">
            <w:pPr>
              <w:textAlignment w:val="bottom"/>
            </w:pPr>
            <w:r>
              <w:rPr>
                <w:rFonts w:ascii="sans-serif" w:eastAsia="sans-serif" w:hAnsi="sans-serif" w:cs="sans-serif"/>
                <w:color w:val="000000"/>
                <w:sz w:val="20"/>
                <w:szCs w:val="20"/>
              </w:rPr>
              <w:t>Total revenue</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C208CE6" w14:textId="77777777" w:rsidR="00834A75" w:rsidRDefault="00A6708C">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C208CE7" w14:textId="77777777" w:rsidR="00834A75" w:rsidRDefault="00A6708C">
            <w:pPr>
              <w:jc w:val="right"/>
              <w:textAlignment w:val="bottom"/>
            </w:pPr>
            <w:r>
              <w:rPr>
                <w:rFonts w:ascii="sans-serif" w:eastAsia="sans-serif" w:hAnsi="sans-serif" w:cs="sans-serif"/>
                <w:color w:val="000000"/>
                <w:sz w:val="20"/>
                <w:szCs w:val="20"/>
              </w:rPr>
              <w:t>8,288 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C208CE8" w14:textId="77777777" w:rsidR="00834A75" w:rsidRDefault="00834A75">
            <w:pPr>
              <w:jc w:val="right"/>
              <w:rPr>
                <w:rFonts w:ascii="宋体"/>
              </w:rPr>
            </w:pPr>
          </w:p>
        </w:tc>
        <w:tc>
          <w:tcPr>
            <w:tcW w:w="0" w:type="auto"/>
            <w:gridSpan w:val="3"/>
            <w:shd w:val="clear" w:color="auto" w:fill="FFFFFF"/>
            <w:tcMar>
              <w:top w:w="0" w:type="dxa"/>
              <w:left w:w="20" w:type="dxa"/>
              <w:bottom w:w="0" w:type="dxa"/>
              <w:right w:w="20" w:type="dxa"/>
            </w:tcMar>
            <w:vAlign w:val="bottom"/>
          </w:tcPr>
          <w:p w14:paraId="7C208CE9" w14:textId="77777777" w:rsidR="00834A75" w:rsidRDefault="00834A75">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C208CEA" w14:textId="77777777" w:rsidR="00834A75" w:rsidRDefault="00A6708C">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C208CEB" w14:textId="77777777" w:rsidR="00834A75" w:rsidRDefault="00A6708C">
            <w:pPr>
              <w:jc w:val="right"/>
              <w:textAlignment w:val="bottom"/>
            </w:pPr>
            <w:r>
              <w:rPr>
                <w:rFonts w:ascii="sans-serif" w:eastAsia="sans-serif" w:hAnsi="sans-serif" w:cs="sans-serif"/>
                <w:color w:val="000000"/>
                <w:sz w:val="20"/>
                <w:szCs w:val="20"/>
              </w:rPr>
              <w:t>5,661 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C208CEC" w14:textId="77777777" w:rsidR="00834A75" w:rsidRDefault="00834A75">
            <w:pPr>
              <w:jc w:val="right"/>
              <w:rPr>
                <w:rFonts w:ascii="宋体"/>
              </w:rPr>
            </w:pPr>
          </w:p>
        </w:tc>
        <w:tc>
          <w:tcPr>
            <w:tcW w:w="0" w:type="auto"/>
            <w:gridSpan w:val="3"/>
            <w:shd w:val="clear" w:color="auto" w:fill="auto"/>
            <w:vAlign w:val="bottom"/>
          </w:tcPr>
          <w:p w14:paraId="7C208CED" w14:textId="77777777" w:rsidR="00834A75" w:rsidRDefault="00834A75">
            <w:pPr>
              <w:rPr>
                <w:rFonts w:ascii="宋体"/>
                <w:vanish/>
              </w:rPr>
            </w:pPr>
          </w:p>
        </w:tc>
        <w:tc>
          <w:tcPr>
            <w:tcW w:w="0" w:type="auto"/>
            <w:gridSpan w:val="3"/>
            <w:shd w:val="clear" w:color="auto" w:fill="auto"/>
            <w:vAlign w:val="bottom"/>
          </w:tcPr>
          <w:p w14:paraId="7C208CEE" w14:textId="77777777" w:rsidR="00834A75" w:rsidRDefault="00834A75">
            <w:pPr>
              <w:rPr>
                <w:rFonts w:ascii="宋体"/>
                <w:vanish/>
              </w:rPr>
            </w:pPr>
          </w:p>
        </w:tc>
        <w:tc>
          <w:tcPr>
            <w:tcW w:w="0" w:type="auto"/>
            <w:gridSpan w:val="3"/>
            <w:shd w:val="clear" w:color="auto" w:fill="auto"/>
            <w:vAlign w:val="bottom"/>
          </w:tcPr>
          <w:p w14:paraId="7C208CEF" w14:textId="77777777" w:rsidR="00834A75" w:rsidRDefault="00834A75">
            <w:pPr>
              <w:rPr>
                <w:rFonts w:ascii="宋体"/>
                <w:vanish/>
              </w:rPr>
            </w:pPr>
          </w:p>
        </w:tc>
        <w:tc>
          <w:tcPr>
            <w:tcW w:w="0" w:type="auto"/>
            <w:gridSpan w:val="3"/>
            <w:shd w:val="clear" w:color="auto" w:fill="auto"/>
            <w:vAlign w:val="bottom"/>
          </w:tcPr>
          <w:p w14:paraId="7C208CF0" w14:textId="77777777" w:rsidR="00834A75" w:rsidRDefault="00834A75">
            <w:pPr>
              <w:rPr>
                <w:rFonts w:ascii="宋体"/>
                <w:vanish/>
              </w:rPr>
            </w:pPr>
          </w:p>
        </w:tc>
      </w:tr>
    </w:tbl>
    <w:p w14:paraId="7C208CF2" w14:textId="77777777" w:rsidR="00834A75" w:rsidRDefault="00A6708C">
      <w:pPr>
        <w:spacing w:before="180" w:after="180"/>
        <w:jc w:val="both"/>
      </w:pPr>
      <w:r>
        <w:rPr>
          <w:rFonts w:ascii="sans-serif" w:eastAsia="sans-serif" w:hAnsi="sans-serif" w:cs="sans-serif"/>
          <w:color w:val="000000"/>
          <w:sz w:val="20"/>
          <w:szCs w:val="20"/>
        </w:rPr>
        <w:t>No customer represented 10% or more of total revenue for the first quarter of fiscal years 2023 or 2022.</w:t>
      </w:r>
    </w:p>
    <w:p w14:paraId="7C208CF3" w14:textId="77777777" w:rsidR="00834A75" w:rsidRDefault="00A6708C">
      <w:pPr>
        <w:spacing w:after="180"/>
        <w:jc w:val="both"/>
      </w:pPr>
      <w:r>
        <w:rPr>
          <w:rFonts w:ascii="sans-serif" w:eastAsia="sans-serif" w:hAnsi="sans-serif" w:cs="sans-serif"/>
          <w:color w:val="000000"/>
          <w:sz w:val="20"/>
          <w:szCs w:val="20"/>
        </w:rPr>
        <w:t xml:space="preserve">One customer represented 12% of our accounts receivable balance as of May 1, 2022. Two </w:t>
      </w:r>
      <w:r>
        <w:rPr>
          <w:rFonts w:ascii="sans-serif" w:eastAsia="sans-serif" w:hAnsi="sans-serif" w:cs="sans-serif"/>
          <w:color w:val="000000"/>
          <w:sz w:val="20"/>
          <w:szCs w:val="20"/>
        </w:rPr>
        <w:t>customers each represented 10% or more of accounts receivable for a total of 22% as of January 30, 2022.</w:t>
      </w:r>
    </w:p>
    <w:p w14:paraId="7C208CF4" w14:textId="77777777" w:rsidR="00834A75" w:rsidRDefault="00A6708C">
      <w:pPr>
        <w:spacing w:after="180"/>
        <w:jc w:val="center"/>
      </w:pPr>
      <w:r>
        <w:rPr>
          <w:rFonts w:ascii="sans-serif" w:eastAsia="sans-serif" w:hAnsi="sans-serif" w:cs="sans-serif"/>
          <w:color w:val="000000"/>
          <w:sz w:val="20"/>
          <w:szCs w:val="20"/>
        </w:rPr>
        <w:t>20</w:t>
      </w:r>
    </w:p>
    <w:p w14:paraId="7C208CF5" w14:textId="77777777" w:rsidR="00834A75" w:rsidRDefault="00A6708C">
      <w:r>
        <w:pict w14:anchorId="7C209363">
          <v:rect id="_x0000_i1044" style="width:415.3pt;height:1.5pt" o:hralign="center" o:hrstd="t" o:hr="t" fillcolor="#a0a0a0" stroked="f"/>
        </w:pict>
      </w:r>
    </w:p>
    <w:p w14:paraId="7C208CF6" w14:textId="77777777" w:rsidR="00834A75" w:rsidRDefault="00834A75">
      <w:pPr>
        <w:spacing w:after="180"/>
        <w:jc w:val="both"/>
      </w:pPr>
    </w:p>
    <w:p w14:paraId="7C208CF7" w14:textId="77777777" w:rsidR="00834A75" w:rsidRDefault="00834A75">
      <w:pPr>
        <w:spacing w:after="180"/>
        <w:jc w:val="both"/>
      </w:pPr>
    </w:p>
    <w:p w14:paraId="7C208CF8" w14:textId="77777777" w:rsidR="00834A75" w:rsidRDefault="00834A75">
      <w:pPr>
        <w:spacing w:after="180"/>
        <w:jc w:val="both"/>
      </w:pPr>
    </w:p>
    <w:p w14:paraId="7C208CF9" w14:textId="77777777" w:rsidR="00834A75" w:rsidRDefault="00A6708C">
      <w:pPr>
        <w:spacing w:before="240" w:after="120"/>
        <w:jc w:val="both"/>
      </w:pPr>
      <w:r>
        <w:rPr>
          <w:rFonts w:ascii="sans-serif" w:eastAsia="sans-serif" w:hAnsi="sans-serif" w:cs="sans-serif"/>
          <w:b/>
          <w:bCs/>
          <w:color w:val="76B900"/>
          <w:sz w:val="22"/>
          <w:szCs w:val="22"/>
        </w:rPr>
        <w:t>ITEM 2. MANAGEMENT’S DISCUSSION AND ANALYSIS OF FINANCIAL CONDITION AND RESULTS OF OPERATIONS</w:t>
      </w:r>
    </w:p>
    <w:p w14:paraId="7C208CFA" w14:textId="77777777" w:rsidR="00834A75" w:rsidRDefault="00A6708C">
      <w:pPr>
        <w:spacing w:before="120" w:after="60"/>
        <w:jc w:val="both"/>
      </w:pPr>
      <w:r>
        <w:rPr>
          <w:rFonts w:ascii="sans-serif" w:eastAsia="sans-serif" w:hAnsi="sans-serif" w:cs="sans-serif"/>
          <w:b/>
          <w:bCs/>
          <w:color w:val="76B900"/>
          <w:sz w:val="20"/>
          <w:szCs w:val="20"/>
        </w:rPr>
        <w:t>Forward-Looking Statements</w:t>
      </w:r>
      <w:r>
        <w:rPr>
          <w:rFonts w:ascii="sans-serif" w:eastAsia="sans-serif" w:hAnsi="sans-serif" w:cs="sans-serif"/>
          <w:i/>
          <w:iCs/>
          <w:color w:val="000000"/>
          <w:sz w:val="20"/>
          <w:szCs w:val="20"/>
        </w:rPr>
        <w:t> </w:t>
      </w:r>
    </w:p>
    <w:p w14:paraId="7C208CFB" w14:textId="77777777" w:rsidR="00834A75" w:rsidRDefault="00A6708C">
      <w:pPr>
        <w:spacing w:after="180"/>
        <w:jc w:val="both"/>
      </w:pPr>
      <w:r>
        <w:rPr>
          <w:rFonts w:ascii="sans-serif" w:eastAsia="sans-serif" w:hAnsi="sans-serif" w:cs="sans-serif"/>
          <w:i/>
          <w:iCs/>
          <w:color w:val="000000"/>
          <w:sz w:val="20"/>
          <w:szCs w:val="20"/>
        </w:rPr>
        <w:t xml:space="preserve">This </w:t>
      </w:r>
      <w:r>
        <w:rPr>
          <w:rFonts w:ascii="sans-serif" w:eastAsia="sans-serif" w:hAnsi="sans-serif" w:cs="sans-serif"/>
          <w:i/>
          <w:iCs/>
          <w:color w:val="000000"/>
          <w:sz w:val="20"/>
          <w:szCs w:val="20"/>
        </w:rPr>
        <w:t>Quarterly Report on Form 10-Q contains forward-looking statements which are based on our management’s beliefs and assumptions and on information currently available to our management. In some cases, you can identify forward-looking statements by terms such</w:t>
      </w:r>
      <w:r>
        <w:rPr>
          <w:rFonts w:ascii="sans-serif" w:eastAsia="sans-serif" w:hAnsi="sans-serif" w:cs="sans-serif"/>
          <w:i/>
          <w:iCs/>
          <w:color w:val="000000"/>
          <w:sz w:val="20"/>
          <w:szCs w:val="20"/>
        </w:rPr>
        <w:t xml:space="preserve"> as “may,” “will,” “should,” “could,” “goal,” “would,” “expect,” “plan,” “anticipate,” “believe,” “estimate,” “project,” “predict,” “potential” and similar expressions intended to identify forward-looking statements. These statements involve known and unkn</w:t>
      </w:r>
      <w:r>
        <w:rPr>
          <w:rFonts w:ascii="sans-serif" w:eastAsia="sans-serif" w:hAnsi="sans-serif" w:cs="sans-serif"/>
          <w:i/>
          <w:iCs/>
          <w:color w:val="000000"/>
          <w:sz w:val="20"/>
          <w:szCs w:val="20"/>
        </w:rPr>
        <w:t>own risks, uncertainties and other factors, which may cause our actual results, performance, time frames or achievements to be materially different from any future results, performance, time frames or achievements expressed or implied by the forward-lookin</w:t>
      </w:r>
      <w:r>
        <w:rPr>
          <w:rFonts w:ascii="sans-serif" w:eastAsia="sans-serif" w:hAnsi="sans-serif" w:cs="sans-serif"/>
          <w:i/>
          <w:iCs/>
          <w:color w:val="000000"/>
          <w:sz w:val="20"/>
          <w:szCs w:val="20"/>
        </w:rPr>
        <w:t xml:space="preserve">g statements. We discuss many of these risks, uncertainties and other factors in this Quarterly Report on Form 10-Q and in our Annual Report on Form 10-K for the fiscal year ended January 30, 2022 in greater detail under the heading “Risk Factors” of such </w:t>
      </w:r>
      <w:r>
        <w:rPr>
          <w:rFonts w:ascii="sans-serif" w:eastAsia="sans-serif" w:hAnsi="sans-serif" w:cs="sans-serif"/>
          <w:i/>
          <w:iCs/>
          <w:color w:val="000000"/>
          <w:sz w:val="20"/>
          <w:szCs w:val="20"/>
        </w:rPr>
        <w:t>reports. Given these risks, uncertainties and other factors, you should not place undue reliance on these forward-looking statements. Also, these forward-looking statements represent our estimates and assumptions only as of the date of this filing. You sho</w:t>
      </w:r>
      <w:r>
        <w:rPr>
          <w:rFonts w:ascii="sans-serif" w:eastAsia="sans-serif" w:hAnsi="sans-serif" w:cs="sans-serif"/>
          <w:i/>
          <w:iCs/>
          <w:color w:val="000000"/>
          <w:sz w:val="20"/>
          <w:szCs w:val="20"/>
        </w:rPr>
        <w:t>uld read this Quarterly Report on Form 10-Q completely and with the understanding that our actual future results may be materially different from what we expect. We hereby qualify our forward-looking statements by these cautionary statements. Except as req</w:t>
      </w:r>
      <w:r>
        <w:rPr>
          <w:rFonts w:ascii="sans-serif" w:eastAsia="sans-serif" w:hAnsi="sans-serif" w:cs="sans-serif"/>
          <w:i/>
          <w:iCs/>
          <w:color w:val="000000"/>
          <w:sz w:val="20"/>
          <w:szCs w:val="20"/>
        </w:rPr>
        <w:t>uired by law, we assume no obligation to update these forward-looking statements publicly, or to update the reasons actual results could differ materially from those anticipated in these forward-looking statements, even if new information becomes available</w:t>
      </w:r>
      <w:r>
        <w:rPr>
          <w:rFonts w:ascii="sans-serif" w:eastAsia="sans-serif" w:hAnsi="sans-serif" w:cs="sans-serif"/>
          <w:i/>
          <w:iCs/>
          <w:color w:val="000000"/>
          <w:sz w:val="20"/>
          <w:szCs w:val="20"/>
        </w:rPr>
        <w:t xml:space="preserve"> in the future.</w:t>
      </w:r>
    </w:p>
    <w:p w14:paraId="7C208CFC" w14:textId="77777777" w:rsidR="00834A75" w:rsidRDefault="00A6708C">
      <w:pPr>
        <w:spacing w:after="180"/>
        <w:jc w:val="both"/>
      </w:pPr>
      <w:r>
        <w:rPr>
          <w:rFonts w:ascii="sans-serif" w:eastAsia="sans-serif" w:hAnsi="sans-serif" w:cs="sans-serif"/>
          <w:color w:val="000000"/>
          <w:sz w:val="20"/>
          <w:szCs w:val="20"/>
        </w:rPr>
        <w:t>All references to “NVIDIA,” “we,” “us,” “our” or the “Company” mean NVIDIA Corporation and its subsidiaries.</w:t>
      </w:r>
    </w:p>
    <w:p w14:paraId="7C208CFD" w14:textId="77777777" w:rsidR="00834A75" w:rsidRDefault="00A6708C">
      <w:pPr>
        <w:spacing w:after="180"/>
        <w:jc w:val="both"/>
      </w:pPr>
      <w:r>
        <w:rPr>
          <w:rFonts w:ascii="sans-serif" w:eastAsia="sans-serif" w:hAnsi="sans-serif" w:cs="sans-serif"/>
          <w:color w:val="000000"/>
          <w:sz w:val="20"/>
          <w:szCs w:val="20"/>
        </w:rPr>
        <w:t xml:space="preserve">NVIDIA, the NVIDIA logo, GeForce, GeForce NOW, Mellanox, NVIDIA AI Enterprise, NVIDIA DGX, NVIDIA DRIVE Orin, NVIDIA Grace, NVIDIA </w:t>
      </w:r>
      <w:r>
        <w:rPr>
          <w:rFonts w:ascii="sans-serif" w:eastAsia="sans-serif" w:hAnsi="sans-serif" w:cs="sans-serif"/>
          <w:color w:val="000000"/>
          <w:sz w:val="20"/>
          <w:szCs w:val="20"/>
        </w:rPr>
        <w:t>Hopper, NVIDIA Omniverse, NVIDIA OVX, NVIDIA RTX, NVIDIA Spectrum and Quadro, are trademarks and/or registered trademarks of NVIDIA Corporation in the United States and/or other countries. MAXQ® is the registered trademark of Maxim Integrated Products, Inc</w:t>
      </w:r>
      <w:r>
        <w:rPr>
          <w:rFonts w:ascii="sans-serif" w:eastAsia="sans-serif" w:hAnsi="sans-serif" w:cs="sans-serif"/>
          <w:color w:val="000000"/>
          <w:sz w:val="20"/>
          <w:szCs w:val="20"/>
        </w:rPr>
        <w:t>. Other company and product names may be trademarks of the respective companies with which they are associated. Features, pricing, availability, and specifications are subject to change without notice.</w:t>
      </w:r>
    </w:p>
    <w:p w14:paraId="7C208CFE" w14:textId="77777777" w:rsidR="00834A75" w:rsidRDefault="00A6708C">
      <w:pPr>
        <w:spacing w:after="180"/>
        <w:jc w:val="both"/>
      </w:pPr>
      <w:r>
        <w:rPr>
          <w:rFonts w:ascii="sans-serif" w:eastAsia="sans-serif" w:hAnsi="sans-serif" w:cs="sans-serif"/>
          <w:color w:val="000000"/>
          <w:sz w:val="20"/>
          <w:szCs w:val="20"/>
        </w:rPr>
        <w:t>The following discussion and analysis of our financial</w:t>
      </w:r>
      <w:r>
        <w:rPr>
          <w:rFonts w:ascii="sans-serif" w:eastAsia="sans-serif" w:hAnsi="sans-serif" w:cs="sans-serif"/>
          <w:color w:val="000000"/>
          <w:sz w:val="20"/>
          <w:szCs w:val="20"/>
        </w:rPr>
        <w:t xml:space="preserve"> condition and results of operations should be read in conjunction with the risk factors set forth in Item 1A. “Risk Factors” of our Annual Report on Form 10-K for the fiscal year ended January 30, 2022 and Part II, Item 1A. “Risk Factors” of this Quarterl</w:t>
      </w:r>
      <w:r>
        <w:rPr>
          <w:rFonts w:ascii="sans-serif" w:eastAsia="sans-serif" w:hAnsi="sans-serif" w:cs="sans-serif"/>
          <w:color w:val="000000"/>
          <w:sz w:val="20"/>
          <w:szCs w:val="20"/>
        </w:rPr>
        <w:t>y Report on Form 10-Q and our Condensed Consolidated Financial Statements and related Notes thereto, as well as other cautionary statements and risks described elsewhere in this Quarterly Report on Form 10-Q, before deciding to purchase or sell shares of o</w:t>
      </w:r>
      <w:r>
        <w:rPr>
          <w:rFonts w:ascii="sans-serif" w:eastAsia="sans-serif" w:hAnsi="sans-serif" w:cs="sans-serif"/>
          <w:color w:val="000000"/>
          <w:sz w:val="20"/>
          <w:szCs w:val="20"/>
        </w:rPr>
        <w:t>ur common stock.</w:t>
      </w:r>
    </w:p>
    <w:p w14:paraId="7C208CFF" w14:textId="77777777" w:rsidR="00834A75" w:rsidRDefault="00A6708C">
      <w:pPr>
        <w:spacing w:before="60" w:after="60"/>
        <w:jc w:val="both"/>
      </w:pPr>
      <w:r>
        <w:rPr>
          <w:rFonts w:ascii="sans-serif" w:eastAsia="sans-serif" w:hAnsi="sans-serif" w:cs="sans-serif"/>
          <w:b/>
          <w:bCs/>
          <w:color w:val="76B900"/>
          <w:sz w:val="20"/>
          <w:szCs w:val="20"/>
        </w:rPr>
        <w:t>Overview</w:t>
      </w:r>
    </w:p>
    <w:p w14:paraId="7C208D00" w14:textId="77777777" w:rsidR="00834A75" w:rsidRDefault="00A6708C">
      <w:pPr>
        <w:spacing w:before="120" w:after="120"/>
        <w:jc w:val="both"/>
      </w:pPr>
      <w:r>
        <w:rPr>
          <w:rFonts w:ascii="sans-serif" w:eastAsia="sans-serif" w:hAnsi="sans-serif" w:cs="sans-serif"/>
          <w:b/>
          <w:bCs/>
          <w:color w:val="000000"/>
          <w:sz w:val="20"/>
          <w:szCs w:val="20"/>
        </w:rPr>
        <w:t>Our Company and Our Businesses</w:t>
      </w:r>
    </w:p>
    <w:p w14:paraId="7C208D01" w14:textId="77777777" w:rsidR="00834A75" w:rsidRDefault="00A6708C">
      <w:pPr>
        <w:spacing w:after="180"/>
        <w:jc w:val="both"/>
      </w:pPr>
      <w:r>
        <w:rPr>
          <w:rFonts w:ascii="sans-serif" w:eastAsia="sans-serif" w:hAnsi="sans-serif" w:cs="sans-serif"/>
          <w:color w:val="000000"/>
          <w:sz w:val="20"/>
          <w:szCs w:val="20"/>
        </w:rPr>
        <w:t>NVIDIA pioneered accelerated computing to help solve the most challenging computational problems. Since our original focus on PC graphics, we have expanded to several other large and important comput</w:t>
      </w:r>
      <w:r>
        <w:rPr>
          <w:rFonts w:ascii="sans-serif" w:eastAsia="sans-serif" w:hAnsi="sans-serif" w:cs="sans-serif"/>
          <w:color w:val="000000"/>
          <w:sz w:val="20"/>
          <w:szCs w:val="20"/>
        </w:rPr>
        <w:t>ationally intensive fields. Fueled by the sustained demand for exceptional 3D graphics and the scale of the gaming market, NVIDIA has leveraged its GPU architecture to create platforms for scientific computing, AI, data science, autonomous vehicles, roboti</w:t>
      </w:r>
      <w:r>
        <w:rPr>
          <w:rFonts w:ascii="sans-serif" w:eastAsia="sans-serif" w:hAnsi="sans-serif" w:cs="sans-serif"/>
          <w:color w:val="000000"/>
          <w:sz w:val="20"/>
          <w:szCs w:val="20"/>
        </w:rPr>
        <w:t>cs, and augmented and virtual reality.</w:t>
      </w:r>
    </w:p>
    <w:p w14:paraId="7C208D02" w14:textId="77777777" w:rsidR="00834A75" w:rsidRDefault="00A6708C">
      <w:pPr>
        <w:spacing w:after="180"/>
        <w:jc w:val="both"/>
      </w:pPr>
      <w:r>
        <w:rPr>
          <w:rFonts w:ascii="sans-serif" w:eastAsia="sans-serif" w:hAnsi="sans-serif" w:cs="sans-serif"/>
          <w:color w:val="000000"/>
          <w:sz w:val="20"/>
          <w:szCs w:val="20"/>
        </w:rPr>
        <w:t xml:space="preserve">Our two operating segments are "Graphics" and "Compute &amp; Networking," as described in Note 15 of the Notes to Condensed Consolidated Financial Statements. </w:t>
      </w:r>
    </w:p>
    <w:p w14:paraId="7C208D03" w14:textId="77777777" w:rsidR="00834A75" w:rsidRDefault="00A6708C">
      <w:pPr>
        <w:spacing w:after="180"/>
        <w:jc w:val="both"/>
      </w:pPr>
      <w:r>
        <w:rPr>
          <w:rFonts w:ascii="sans-serif" w:eastAsia="sans-serif" w:hAnsi="sans-serif" w:cs="sans-serif"/>
          <w:color w:val="000000"/>
          <w:sz w:val="20"/>
          <w:szCs w:val="20"/>
        </w:rPr>
        <w:t>Headquartered in Santa Clara, California, NVIDIA was incorpor</w:t>
      </w:r>
      <w:r>
        <w:rPr>
          <w:rFonts w:ascii="sans-serif" w:eastAsia="sans-serif" w:hAnsi="sans-serif" w:cs="sans-serif"/>
          <w:color w:val="000000"/>
          <w:sz w:val="20"/>
          <w:szCs w:val="20"/>
        </w:rPr>
        <w:t>ated in California in April 1993 and reincorporated in Delaware in April 1998.</w:t>
      </w:r>
    </w:p>
    <w:p w14:paraId="7C208D04" w14:textId="77777777" w:rsidR="00834A75" w:rsidRDefault="00A6708C">
      <w:pPr>
        <w:spacing w:before="240" w:after="120"/>
        <w:jc w:val="both"/>
      </w:pPr>
      <w:r>
        <w:rPr>
          <w:rFonts w:ascii="sans-serif" w:eastAsia="sans-serif" w:hAnsi="sans-serif" w:cs="sans-serif"/>
          <w:b/>
          <w:bCs/>
          <w:color w:val="76B900"/>
          <w:sz w:val="22"/>
          <w:szCs w:val="22"/>
        </w:rPr>
        <w:t>Recent Developments, Future Objectives and Challenges</w:t>
      </w:r>
    </w:p>
    <w:p w14:paraId="7C208D05" w14:textId="77777777" w:rsidR="00834A75" w:rsidRDefault="00A6708C">
      <w:pPr>
        <w:spacing w:before="240" w:after="60"/>
        <w:jc w:val="both"/>
      </w:pPr>
      <w:r>
        <w:rPr>
          <w:rFonts w:ascii="sans-serif" w:eastAsia="sans-serif" w:hAnsi="sans-serif" w:cs="sans-serif"/>
          <w:b/>
          <w:bCs/>
          <w:color w:val="76B900"/>
          <w:sz w:val="20"/>
          <w:szCs w:val="20"/>
        </w:rPr>
        <w:t>Termination of the Arm Share Purchase Agreement</w:t>
      </w:r>
    </w:p>
    <w:p w14:paraId="7C208D06" w14:textId="77777777" w:rsidR="00834A75" w:rsidRDefault="00A6708C">
      <w:pPr>
        <w:jc w:val="both"/>
      </w:pPr>
      <w:r>
        <w:rPr>
          <w:rFonts w:ascii="sans-serif" w:eastAsia="sans-serif" w:hAnsi="sans-serif" w:cs="sans-serif"/>
          <w:color w:val="000000"/>
          <w:sz w:val="20"/>
          <w:szCs w:val="20"/>
        </w:rPr>
        <w:t xml:space="preserve">On February 8, 2022, NVIDIA and SoftBank announced the </w:t>
      </w:r>
      <w:r>
        <w:rPr>
          <w:rFonts w:ascii="sans-serif" w:eastAsia="sans-serif" w:hAnsi="sans-serif" w:cs="sans-serif"/>
          <w:color w:val="000000"/>
          <w:sz w:val="20"/>
          <w:szCs w:val="20"/>
        </w:rPr>
        <w:t>termination of the Share Purchase Agreement whereby NVIDIA would have acquired Arm from SoftBank. The parties agreed to terminate because of significant regulatory challenges preventing the completion of the transaction. We recorded an acquisition terminat</w:t>
      </w:r>
      <w:r>
        <w:rPr>
          <w:rFonts w:ascii="sans-serif" w:eastAsia="sans-serif" w:hAnsi="sans-serif" w:cs="sans-serif"/>
          <w:color w:val="000000"/>
          <w:sz w:val="20"/>
          <w:szCs w:val="20"/>
        </w:rPr>
        <w:t>ion cost of $1.35 billion in the first quarter of fiscal year 2023 reflecting the write-off of the prepayment provided at signing in September 2020.</w:t>
      </w:r>
    </w:p>
    <w:p w14:paraId="7C208D07" w14:textId="77777777" w:rsidR="00834A75" w:rsidRDefault="00834A75">
      <w:pPr>
        <w:spacing w:before="120" w:after="120"/>
        <w:jc w:val="both"/>
      </w:pPr>
    </w:p>
    <w:p w14:paraId="7C208D08" w14:textId="77777777" w:rsidR="00834A75" w:rsidRDefault="00A6708C">
      <w:pPr>
        <w:spacing w:after="180"/>
        <w:jc w:val="center"/>
      </w:pPr>
      <w:r>
        <w:rPr>
          <w:rFonts w:ascii="sans-serif" w:eastAsia="sans-serif" w:hAnsi="sans-serif" w:cs="sans-serif"/>
          <w:color w:val="000000"/>
          <w:sz w:val="20"/>
          <w:szCs w:val="20"/>
        </w:rPr>
        <w:t>21</w:t>
      </w:r>
    </w:p>
    <w:p w14:paraId="7C208D09" w14:textId="77777777" w:rsidR="00834A75" w:rsidRDefault="00A6708C">
      <w:r>
        <w:pict w14:anchorId="7C209364">
          <v:rect id="_x0000_i1045" style="width:415.3pt;height:1.5pt" o:hralign="center" o:hrstd="t" o:hr="t" fillcolor="#a0a0a0" stroked="f"/>
        </w:pict>
      </w:r>
    </w:p>
    <w:p w14:paraId="7C208D0A" w14:textId="77777777" w:rsidR="00834A75" w:rsidRDefault="00834A75">
      <w:pPr>
        <w:spacing w:after="180"/>
        <w:jc w:val="both"/>
      </w:pPr>
    </w:p>
    <w:p w14:paraId="7C208D0B" w14:textId="77777777" w:rsidR="00834A75" w:rsidRDefault="00834A75">
      <w:pPr>
        <w:spacing w:after="180"/>
        <w:jc w:val="both"/>
      </w:pPr>
    </w:p>
    <w:p w14:paraId="7C208D0C" w14:textId="77777777" w:rsidR="00834A75" w:rsidRDefault="00834A75">
      <w:pPr>
        <w:spacing w:after="180"/>
        <w:jc w:val="both"/>
      </w:pPr>
    </w:p>
    <w:p w14:paraId="7C208D0D" w14:textId="77777777" w:rsidR="00834A75" w:rsidRDefault="00A6708C">
      <w:pPr>
        <w:spacing w:before="120" w:after="120"/>
        <w:jc w:val="both"/>
      </w:pPr>
      <w:r>
        <w:rPr>
          <w:rFonts w:ascii="sans-serif" w:eastAsia="sans-serif" w:hAnsi="sans-serif" w:cs="sans-serif"/>
          <w:b/>
          <w:bCs/>
          <w:color w:val="000000"/>
          <w:sz w:val="20"/>
          <w:szCs w:val="20"/>
        </w:rPr>
        <w:t>Demand</w:t>
      </w:r>
    </w:p>
    <w:p w14:paraId="7C208D0E" w14:textId="77777777" w:rsidR="00834A75" w:rsidRDefault="00A6708C">
      <w:pPr>
        <w:spacing w:after="180"/>
        <w:jc w:val="both"/>
      </w:pPr>
      <w:r>
        <w:rPr>
          <w:rFonts w:ascii="sans-serif" w:eastAsia="sans-serif" w:hAnsi="sans-serif" w:cs="sans-serif"/>
          <w:color w:val="000000"/>
          <w:sz w:val="20"/>
          <w:szCs w:val="20"/>
        </w:rPr>
        <w:t>Demand for our products is based on many factors, including our product introductions and t</w:t>
      </w:r>
      <w:r>
        <w:rPr>
          <w:rFonts w:ascii="sans-serif" w:eastAsia="sans-serif" w:hAnsi="sans-serif" w:cs="sans-serif"/>
          <w:color w:val="000000"/>
          <w:sz w:val="20"/>
          <w:szCs w:val="20"/>
        </w:rPr>
        <w:t>ransitions, time to market, competitor product releases and announcements, competing technologies, and changes in macroeconomic conditions, including rising inflation, all of which can impact the timing and volume of our revenue. Product transitions are co</w:t>
      </w:r>
      <w:r>
        <w:rPr>
          <w:rFonts w:ascii="sans-serif" w:eastAsia="sans-serif" w:hAnsi="sans-serif" w:cs="sans-serif"/>
          <w:color w:val="000000"/>
          <w:sz w:val="20"/>
          <w:szCs w:val="20"/>
        </w:rPr>
        <w:t xml:space="preserve">mplex and can negatively impact our revenue as we manage shipments of prior architecture products and channel partners prepare and adjust to support new products. GPUs have use cases in addition to their designed and marketed use case, such as for digital </w:t>
      </w:r>
      <w:r>
        <w:rPr>
          <w:rFonts w:ascii="sans-serif" w:eastAsia="sans-serif" w:hAnsi="sans-serif" w:cs="sans-serif"/>
          <w:color w:val="000000"/>
          <w:sz w:val="20"/>
          <w:szCs w:val="20"/>
        </w:rPr>
        <w:t xml:space="preserve">currency mining, including blockchain-based platforms such as Ethereum. It is difficult for us to estimate with any reasonable degree of precision the past or current impact of cryptocurrency mining, or forecast the future impact of cryptocurrency mining, </w:t>
      </w:r>
      <w:r>
        <w:rPr>
          <w:rFonts w:ascii="sans-serif" w:eastAsia="sans-serif" w:hAnsi="sans-serif" w:cs="sans-serif"/>
          <w:color w:val="000000"/>
          <w:sz w:val="20"/>
          <w:szCs w:val="20"/>
        </w:rPr>
        <w:t>on demand for our products. Volatility in the cryptocurrency market, including new compute technologies, price changes in cryptocurrencies, government cryptocurrency policies and regulations, new cryptocurrency standards, and changes in the method of verif</w:t>
      </w:r>
      <w:r>
        <w:rPr>
          <w:rFonts w:ascii="sans-serif" w:eastAsia="sans-serif" w:hAnsi="sans-serif" w:cs="sans-serif"/>
          <w:color w:val="000000"/>
          <w:sz w:val="20"/>
          <w:szCs w:val="20"/>
        </w:rPr>
        <w:t xml:space="preserve">ying blockchain transactions, have impacted and can in the future impact cryptocurrency mining and demand for our products and can further impact our ability to estimate demand for our products. Changes to cryptocurrency standards and processes including, </w:t>
      </w:r>
      <w:r>
        <w:rPr>
          <w:rFonts w:ascii="sans-serif" w:eastAsia="sans-serif" w:hAnsi="sans-serif" w:cs="sans-serif"/>
          <w:color w:val="000000"/>
          <w:sz w:val="20"/>
          <w:szCs w:val="20"/>
        </w:rPr>
        <w:t>but not limited to, the pending Ethereum 2.0 standard may decrease the usage of GPUs for Ethereum mining as well as create increased aftermarket resales of our GPUs, impact retail prices for our GPUs, increase returns of our products in the distribution ch</w:t>
      </w:r>
      <w:r>
        <w:rPr>
          <w:rFonts w:ascii="sans-serif" w:eastAsia="sans-serif" w:hAnsi="sans-serif" w:cs="sans-serif"/>
          <w:color w:val="000000"/>
          <w:sz w:val="20"/>
          <w:szCs w:val="20"/>
        </w:rPr>
        <w:t>annel, and may reduce demand for our new GPUs. We have introduced Lite Hash Rate, or LHR, GeForce GPUs with limited Ethereum mining capability and provided CMP products in an effort to address demand from gamers and direct miners to CMP. Beginning in the s</w:t>
      </w:r>
      <w:r>
        <w:rPr>
          <w:rFonts w:ascii="sans-serif" w:eastAsia="sans-serif" w:hAnsi="sans-serif" w:cs="sans-serif"/>
          <w:color w:val="000000"/>
          <w:sz w:val="20"/>
          <w:szCs w:val="20"/>
        </w:rPr>
        <w:t>econd quarter of fiscal year 2022, most desktop NVIDIA Ampere architecture GeForce GPU shipments were LHR in our effort to direct GeForce to gamers. Attempts in the aftermarket to improve the hash rate capabilities of our LHR cards have been successful and</w:t>
      </w:r>
      <w:r>
        <w:rPr>
          <w:rFonts w:ascii="sans-serif" w:eastAsia="sans-serif" w:hAnsi="sans-serif" w:cs="sans-serif"/>
          <w:color w:val="000000"/>
          <w:sz w:val="20"/>
          <w:szCs w:val="20"/>
        </w:rPr>
        <w:t xml:space="preserve"> our gaming cards may become more attractive to miners, increasing demand for our gaming GPUs and limiting our ability to supply our gaming cards to non-mining customers. We cannot predict whether our strategy of using LHR cards and CMP will achieve our de</w:t>
      </w:r>
      <w:r>
        <w:rPr>
          <w:rFonts w:ascii="sans-serif" w:eastAsia="sans-serif" w:hAnsi="sans-serif" w:cs="sans-serif"/>
          <w:color w:val="000000"/>
          <w:sz w:val="20"/>
          <w:szCs w:val="20"/>
        </w:rPr>
        <w:t>sired outcome. Additionally, consumer and enterprise behavior during the COVID-19 pandemic has made it more difficult for us to estimate future demand and may have changed pre-pandemic behaviors. These challenges may be more pronounced or volatile in the f</w:t>
      </w:r>
      <w:r>
        <w:rPr>
          <w:rFonts w:ascii="sans-serif" w:eastAsia="sans-serif" w:hAnsi="sans-serif" w:cs="sans-serif"/>
          <w:color w:val="000000"/>
          <w:sz w:val="20"/>
          <w:szCs w:val="20"/>
        </w:rPr>
        <w:t>uture on both a global and regional basis and may continue in the future when the effects of the pandemic subside. Restrictions that may be imposed or reinstated as the pandemic continues may negatively impact customer demand for our products. Recent lockd</w:t>
      </w:r>
      <w:r>
        <w:rPr>
          <w:rFonts w:ascii="sans-serif" w:eastAsia="sans-serif" w:hAnsi="sans-serif" w:cs="sans-serif"/>
          <w:color w:val="000000"/>
          <w:sz w:val="20"/>
          <w:szCs w:val="20"/>
        </w:rPr>
        <w:t xml:space="preserve">own measures due to COVID-19 containment efforts in China, as well as the war in Ukraine, have impacted end customer sales in China and EMEA, respectively, and we expect this impact to continue into the second quarter of fiscal year 2023. During the first </w:t>
      </w:r>
      <w:r>
        <w:rPr>
          <w:rFonts w:ascii="sans-serif" w:eastAsia="sans-serif" w:hAnsi="sans-serif" w:cs="sans-serif"/>
          <w:color w:val="000000"/>
          <w:sz w:val="20"/>
          <w:szCs w:val="20"/>
        </w:rPr>
        <w:t>quarter of fiscal year 2023, we paused all direct sales in Russia. Direct sales to Russia in fiscal year 2022 were immaterial. Our revenue to partners that sell into Russia may be negatively impacted due to the war in Ukraine and we estimate that in fiscal</w:t>
      </w:r>
      <w:r>
        <w:rPr>
          <w:rFonts w:ascii="sans-serif" w:eastAsia="sans-serif" w:hAnsi="sans-serif" w:cs="sans-serif"/>
          <w:color w:val="000000"/>
          <w:sz w:val="20"/>
          <w:szCs w:val="20"/>
        </w:rPr>
        <w:t xml:space="preserve"> year 2022, Russia accounted for approximately 2% of total end customer sales and 4% of Gaming end customer sales. In estimating demand and evaluating trends, we make multiple assumptions, any of which may prove to be incorrect.</w:t>
      </w:r>
    </w:p>
    <w:p w14:paraId="7C208D0F" w14:textId="77777777" w:rsidR="00834A75" w:rsidRDefault="00A6708C">
      <w:pPr>
        <w:spacing w:before="120" w:after="120"/>
        <w:jc w:val="both"/>
      </w:pPr>
      <w:r>
        <w:rPr>
          <w:rFonts w:ascii="sans-serif" w:eastAsia="sans-serif" w:hAnsi="sans-serif" w:cs="sans-serif"/>
          <w:b/>
          <w:bCs/>
          <w:color w:val="000000"/>
          <w:sz w:val="20"/>
          <w:szCs w:val="20"/>
        </w:rPr>
        <w:t xml:space="preserve">Supply </w:t>
      </w:r>
    </w:p>
    <w:p w14:paraId="7C208D10" w14:textId="77777777" w:rsidR="00834A75" w:rsidRDefault="00A6708C">
      <w:pPr>
        <w:spacing w:after="180"/>
        <w:jc w:val="both"/>
      </w:pPr>
      <w:r>
        <w:rPr>
          <w:rFonts w:ascii="sans-serif" w:eastAsia="sans-serif" w:hAnsi="sans-serif" w:cs="sans-serif"/>
          <w:color w:val="000000"/>
          <w:sz w:val="20"/>
          <w:szCs w:val="20"/>
        </w:rPr>
        <w:t>Our manufacturing l</w:t>
      </w:r>
      <w:r>
        <w:rPr>
          <w:rFonts w:ascii="sans-serif" w:eastAsia="sans-serif" w:hAnsi="sans-serif" w:cs="sans-serif"/>
          <w:color w:val="000000"/>
          <w:sz w:val="20"/>
          <w:szCs w:val="20"/>
        </w:rPr>
        <w:t xml:space="preserve">ead times are very long and in some cases extend twelve months or longer, which requires us to make estimates of customers’ future demand. These conditions could lead to a significant mismatch between supply and demand, giving rise to product shortages or </w:t>
      </w:r>
      <w:r>
        <w:rPr>
          <w:rFonts w:ascii="sans-serif" w:eastAsia="sans-serif" w:hAnsi="sans-serif" w:cs="sans-serif"/>
          <w:color w:val="000000"/>
          <w:sz w:val="20"/>
          <w:szCs w:val="20"/>
        </w:rPr>
        <w:t>excess inventory, and make our demand forecast more uncertain. To shorten shipment lead times and deliver more quickly to our customers, we may build finished products and maintain inventory for anticipated demand that does not materialize. During fiscal y</w:t>
      </w:r>
      <w:r>
        <w:rPr>
          <w:rFonts w:ascii="sans-serif" w:eastAsia="sans-serif" w:hAnsi="sans-serif" w:cs="sans-serif"/>
          <w:color w:val="000000"/>
          <w:sz w:val="20"/>
          <w:szCs w:val="20"/>
        </w:rPr>
        <w:t>ear 2022, we made substantial strides in broadening our supply base to scale our company and better serve customer demand. Recent COVID-19-related disruptions and lockdowns in China have created and are expected to continue to create supply and logistics c</w:t>
      </w:r>
      <w:r>
        <w:rPr>
          <w:rFonts w:ascii="sans-serif" w:eastAsia="sans-serif" w:hAnsi="sans-serif" w:cs="sans-serif"/>
          <w:color w:val="000000"/>
          <w:sz w:val="20"/>
          <w:szCs w:val="20"/>
        </w:rPr>
        <w:t>onstraints. The war in Ukraine has further strained global supply chains and could result in a shortage of key materials that our suppliers, including our foundry partners, require to satisfy our needs. We expect continued supply constraints for some of ou</w:t>
      </w:r>
      <w:r>
        <w:rPr>
          <w:rFonts w:ascii="sans-serif" w:eastAsia="sans-serif" w:hAnsi="sans-serif" w:cs="sans-serif"/>
          <w:color w:val="000000"/>
          <w:sz w:val="20"/>
          <w:szCs w:val="20"/>
        </w:rPr>
        <w:t xml:space="preserve">r products, such as Networking, through the end of the second quarter of fiscal year 2023 and potentially beyond. We have placed orders for certain supply in advance of our historical lead times, paid premiums and provided deposits to secure future supply </w:t>
      </w:r>
      <w:r>
        <w:rPr>
          <w:rFonts w:ascii="sans-serif" w:eastAsia="sans-serif" w:hAnsi="sans-serif" w:cs="sans-serif"/>
          <w:color w:val="000000"/>
          <w:sz w:val="20"/>
          <w:szCs w:val="20"/>
        </w:rPr>
        <w:t>and capacity, and may need to continue to do so in the future. Placing orders in advance of our historical lead times to secure supply and services in a constrained environment may result in excess inventory, cancellation penalties or other charges if ther</w:t>
      </w:r>
      <w:r>
        <w:rPr>
          <w:rFonts w:ascii="sans-serif" w:eastAsia="sans-serif" w:hAnsi="sans-serif" w:cs="sans-serif"/>
          <w:color w:val="000000"/>
          <w:sz w:val="20"/>
          <w:szCs w:val="20"/>
        </w:rPr>
        <w:t>e is a partial or complete reduction in long-term demand for our products. These actions may also increase our product costs, in addition to increased overall costs as a result of rising inflation. Increased costs for wafers, components, logistics, and oth</w:t>
      </w:r>
      <w:r>
        <w:rPr>
          <w:rFonts w:ascii="sans-serif" w:eastAsia="sans-serif" w:hAnsi="sans-serif" w:cs="sans-serif"/>
          <w:color w:val="000000"/>
          <w:sz w:val="20"/>
          <w:szCs w:val="20"/>
        </w:rPr>
        <w:t>er supply chain expenses, driven in part by inflation, have negatively impacted and may continue to impact our gross margin. Given our long lead times on inventory purchasing, we may order components before our product design is finalized and changes to th</w:t>
      </w:r>
      <w:r>
        <w:rPr>
          <w:rFonts w:ascii="sans-serif" w:eastAsia="sans-serif" w:hAnsi="sans-serif" w:cs="sans-serif"/>
          <w:color w:val="000000"/>
          <w:sz w:val="20"/>
          <w:szCs w:val="20"/>
        </w:rPr>
        <w:t>e product design or to end demand, which may be perishable or may disappear, could trigger excess inventory. Our supply deliveries and production may be non-linear within a quarter or year which could cause changes to expected revenue or cash flows.</w:t>
      </w:r>
    </w:p>
    <w:p w14:paraId="7C208D11" w14:textId="77777777" w:rsidR="00834A75" w:rsidRDefault="00834A75">
      <w:pPr>
        <w:spacing w:before="120" w:after="120"/>
        <w:jc w:val="both"/>
      </w:pPr>
    </w:p>
    <w:p w14:paraId="7C208D12" w14:textId="77777777" w:rsidR="00834A75" w:rsidRDefault="00A6708C">
      <w:pPr>
        <w:spacing w:after="180"/>
        <w:jc w:val="center"/>
      </w:pPr>
      <w:r>
        <w:rPr>
          <w:rFonts w:ascii="sans-serif" w:eastAsia="sans-serif" w:hAnsi="sans-serif" w:cs="sans-serif"/>
          <w:color w:val="000000"/>
          <w:sz w:val="20"/>
          <w:szCs w:val="20"/>
        </w:rPr>
        <w:t>22</w:t>
      </w:r>
    </w:p>
    <w:p w14:paraId="7C208D13" w14:textId="77777777" w:rsidR="00834A75" w:rsidRDefault="00A6708C">
      <w:r>
        <w:pict w14:anchorId="7C209365">
          <v:rect id="_x0000_i1046" style="width:415.3pt;height:1.5pt" o:hralign="center" o:hrstd="t" o:hr="t" fillcolor="#a0a0a0" stroked="f"/>
        </w:pict>
      </w:r>
    </w:p>
    <w:p w14:paraId="7C208D14" w14:textId="77777777" w:rsidR="00834A75" w:rsidRDefault="00834A75">
      <w:pPr>
        <w:spacing w:after="180"/>
        <w:jc w:val="both"/>
      </w:pPr>
    </w:p>
    <w:p w14:paraId="7C208D15" w14:textId="77777777" w:rsidR="00834A75" w:rsidRDefault="00834A75">
      <w:pPr>
        <w:spacing w:after="180"/>
        <w:jc w:val="both"/>
      </w:pPr>
    </w:p>
    <w:p w14:paraId="7C208D16" w14:textId="77777777" w:rsidR="00834A75" w:rsidRDefault="00834A75">
      <w:pPr>
        <w:spacing w:after="180"/>
        <w:jc w:val="both"/>
      </w:pPr>
    </w:p>
    <w:p w14:paraId="7C208D17" w14:textId="77777777" w:rsidR="00834A75" w:rsidRDefault="00A6708C">
      <w:pPr>
        <w:spacing w:before="120" w:after="120"/>
        <w:jc w:val="both"/>
      </w:pPr>
      <w:r>
        <w:rPr>
          <w:rFonts w:ascii="sans-serif" w:eastAsia="sans-serif" w:hAnsi="sans-serif" w:cs="sans-serif"/>
          <w:b/>
          <w:bCs/>
          <w:color w:val="000000"/>
          <w:sz w:val="20"/>
          <w:szCs w:val="20"/>
        </w:rPr>
        <w:t>COVID-19</w:t>
      </w:r>
    </w:p>
    <w:p w14:paraId="7C208D18" w14:textId="77777777" w:rsidR="00834A75" w:rsidRDefault="00A6708C">
      <w:pPr>
        <w:spacing w:after="180"/>
        <w:jc w:val="both"/>
      </w:pPr>
      <w:r>
        <w:rPr>
          <w:rFonts w:ascii="sans-serif" w:eastAsia="sans-serif" w:hAnsi="sans-serif" w:cs="sans-serif"/>
          <w:color w:val="000000"/>
          <w:sz w:val="20"/>
          <w:szCs w:val="20"/>
        </w:rPr>
        <w:t>The COVID-19 pandemic continued during fiscal year 2023. Most of our employees continue to work remotely and we have paused most business travel. Our Professional Visualization market platform benefited from demand for workstations as enterpris</w:t>
      </w:r>
      <w:r>
        <w:rPr>
          <w:rFonts w:ascii="sans-serif" w:eastAsia="sans-serif" w:hAnsi="sans-serif" w:cs="sans-serif"/>
          <w:color w:val="000000"/>
          <w:sz w:val="20"/>
          <w:szCs w:val="20"/>
        </w:rPr>
        <w:t>es support hybrid work environments. Recent COVID-19-related disruptions in China are creating supply and logistics constraints and impacting end customer sales. As our offices begin to reopen, we expect to incur incremental expenses as we resume onsite se</w:t>
      </w:r>
      <w:r>
        <w:rPr>
          <w:rFonts w:ascii="sans-serif" w:eastAsia="sans-serif" w:hAnsi="sans-serif" w:cs="sans-serif"/>
          <w:color w:val="000000"/>
          <w:sz w:val="20"/>
          <w:szCs w:val="20"/>
        </w:rPr>
        <w:t xml:space="preserve">rvices and related in-office costs. </w:t>
      </w:r>
    </w:p>
    <w:p w14:paraId="7C208D19" w14:textId="77777777" w:rsidR="00834A75" w:rsidRDefault="00A6708C">
      <w:pPr>
        <w:spacing w:after="180"/>
        <w:jc w:val="both"/>
      </w:pPr>
      <w:r>
        <w:rPr>
          <w:rFonts w:ascii="sans-serif" w:eastAsia="sans-serif" w:hAnsi="sans-serif" w:cs="sans-serif"/>
          <w:color w:val="000000"/>
          <w:sz w:val="20"/>
          <w:szCs w:val="20"/>
        </w:rPr>
        <w:t>As the COVID-19 pandemic continues, the timing and overall demand from customers, and the limited availability of supply chain, logistical services and component supply may have a material net negative impact on our bus</w:t>
      </w:r>
      <w:r>
        <w:rPr>
          <w:rFonts w:ascii="sans-serif" w:eastAsia="sans-serif" w:hAnsi="sans-serif" w:cs="sans-serif"/>
          <w:color w:val="000000"/>
          <w:sz w:val="20"/>
          <w:szCs w:val="20"/>
        </w:rPr>
        <w:t xml:space="preserve">iness and financial results. </w:t>
      </w:r>
    </w:p>
    <w:p w14:paraId="7C208D1A" w14:textId="77777777" w:rsidR="00834A75" w:rsidRDefault="00A6708C">
      <w:pPr>
        <w:spacing w:after="180"/>
        <w:jc w:val="both"/>
      </w:pPr>
      <w:r>
        <w:rPr>
          <w:rFonts w:ascii="sans-serif" w:eastAsia="sans-serif" w:hAnsi="sans-serif" w:cs="sans-serif"/>
          <w:color w:val="000000"/>
          <w:sz w:val="20"/>
          <w:szCs w:val="20"/>
        </w:rPr>
        <w:t xml:space="preserve">We believe our existing balances of cash, cash equivalents and marketable securities, along with commercial paper arrangements, will be sufficient to satisfy our working capital needs, capital asset purchases, dividends, debt </w:t>
      </w:r>
      <w:r>
        <w:rPr>
          <w:rFonts w:ascii="sans-serif" w:eastAsia="sans-serif" w:hAnsi="sans-serif" w:cs="sans-serif"/>
          <w:color w:val="000000"/>
          <w:sz w:val="20"/>
          <w:szCs w:val="20"/>
        </w:rPr>
        <w:t>repayments and other liquidity requirements associated with our existing operations.</w:t>
      </w:r>
    </w:p>
    <w:p w14:paraId="7C208D1B" w14:textId="77777777" w:rsidR="00834A75" w:rsidRDefault="00A6708C">
      <w:pPr>
        <w:spacing w:before="120"/>
      </w:pPr>
      <w:r>
        <w:rPr>
          <w:rFonts w:ascii="sans-serif" w:eastAsia="sans-serif" w:hAnsi="sans-serif" w:cs="sans-serif"/>
          <w:b/>
          <w:bCs/>
          <w:color w:val="000000"/>
          <w:sz w:val="20"/>
          <w:szCs w:val="20"/>
        </w:rPr>
        <w:t>First Quarter of Fiscal Year 2023 Summary</w:t>
      </w:r>
    </w:p>
    <w:tbl>
      <w:tblPr>
        <w:tblW w:w="4985" w:type="pct"/>
        <w:tblCellMar>
          <w:top w:w="15" w:type="dxa"/>
          <w:left w:w="15" w:type="dxa"/>
          <w:bottom w:w="15" w:type="dxa"/>
          <w:right w:w="15" w:type="dxa"/>
        </w:tblCellMar>
        <w:tblLook w:val="04A0" w:firstRow="1" w:lastRow="0" w:firstColumn="1" w:lastColumn="0" w:noHBand="0" w:noVBand="1"/>
      </w:tblPr>
      <w:tblGrid>
        <w:gridCol w:w="39"/>
        <w:gridCol w:w="2004"/>
        <w:gridCol w:w="38"/>
        <w:gridCol w:w="122"/>
        <w:gridCol w:w="501"/>
        <w:gridCol w:w="163"/>
        <w:gridCol w:w="36"/>
        <w:gridCol w:w="36"/>
        <w:gridCol w:w="36"/>
        <w:gridCol w:w="122"/>
        <w:gridCol w:w="501"/>
        <w:gridCol w:w="163"/>
        <w:gridCol w:w="36"/>
        <w:gridCol w:w="36"/>
        <w:gridCol w:w="36"/>
        <w:gridCol w:w="122"/>
        <w:gridCol w:w="501"/>
        <w:gridCol w:w="163"/>
        <w:gridCol w:w="36"/>
        <w:gridCol w:w="36"/>
        <w:gridCol w:w="36"/>
        <w:gridCol w:w="123"/>
        <w:gridCol w:w="1713"/>
        <w:gridCol w:w="163"/>
        <w:gridCol w:w="36"/>
        <w:gridCol w:w="36"/>
        <w:gridCol w:w="36"/>
        <w:gridCol w:w="86"/>
        <w:gridCol w:w="1192"/>
        <w:gridCol w:w="163"/>
      </w:tblGrid>
      <w:tr w:rsidR="00834A75" w14:paraId="7C208D3A" w14:textId="77777777">
        <w:tc>
          <w:tcPr>
            <w:tcW w:w="50" w:type="pct"/>
            <w:shd w:val="clear" w:color="auto" w:fill="auto"/>
            <w:vAlign w:val="bottom"/>
          </w:tcPr>
          <w:p w14:paraId="7C208D1C" w14:textId="77777777" w:rsidR="00834A75" w:rsidRDefault="00834A75">
            <w:pPr>
              <w:rPr>
                <w:rFonts w:ascii="宋体"/>
              </w:rPr>
            </w:pPr>
          </w:p>
        </w:tc>
        <w:tc>
          <w:tcPr>
            <w:tcW w:w="1609" w:type="pct"/>
            <w:shd w:val="clear" w:color="auto" w:fill="auto"/>
            <w:vAlign w:val="bottom"/>
          </w:tcPr>
          <w:p w14:paraId="7C208D1D" w14:textId="77777777" w:rsidR="00834A75" w:rsidRDefault="00834A75">
            <w:pPr>
              <w:rPr>
                <w:rFonts w:ascii="宋体"/>
              </w:rPr>
            </w:pPr>
          </w:p>
        </w:tc>
        <w:tc>
          <w:tcPr>
            <w:tcW w:w="5" w:type="pct"/>
            <w:shd w:val="clear" w:color="auto" w:fill="auto"/>
            <w:vAlign w:val="bottom"/>
          </w:tcPr>
          <w:p w14:paraId="7C208D1E" w14:textId="77777777" w:rsidR="00834A75" w:rsidRDefault="00834A75">
            <w:pPr>
              <w:rPr>
                <w:rFonts w:ascii="宋体"/>
              </w:rPr>
            </w:pPr>
          </w:p>
        </w:tc>
        <w:tc>
          <w:tcPr>
            <w:tcW w:w="50" w:type="pct"/>
            <w:shd w:val="clear" w:color="auto" w:fill="auto"/>
            <w:vAlign w:val="bottom"/>
          </w:tcPr>
          <w:p w14:paraId="7C208D1F" w14:textId="77777777" w:rsidR="00834A75" w:rsidRDefault="00834A75">
            <w:pPr>
              <w:rPr>
                <w:rFonts w:ascii="宋体"/>
              </w:rPr>
            </w:pPr>
          </w:p>
        </w:tc>
        <w:tc>
          <w:tcPr>
            <w:tcW w:w="502" w:type="pct"/>
            <w:shd w:val="clear" w:color="auto" w:fill="auto"/>
            <w:vAlign w:val="bottom"/>
          </w:tcPr>
          <w:p w14:paraId="7C208D20" w14:textId="77777777" w:rsidR="00834A75" w:rsidRDefault="00834A75">
            <w:pPr>
              <w:rPr>
                <w:rFonts w:ascii="宋体"/>
              </w:rPr>
            </w:pPr>
          </w:p>
        </w:tc>
        <w:tc>
          <w:tcPr>
            <w:tcW w:w="5" w:type="pct"/>
            <w:shd w:val="clear" w:color="auto" w:fill="auto"/>
            <w:vAlign w:val="bottom"/>
          </w:tcPr>
          <w:p w14:paraId="7C208D21" w14:textId="77777777" w:rsidR="00834A75" w:rsidRDefault="00834A75">
            <w:pPr>
              <w:rPr>
                <w:rFonts w:ascii="宋体"/>
              </w:rPr>
            </w:pPr>
          </w:p>
        </w:tc>
        <w:tc>
          <w:tcPr>
            <w:tcW w:w="5" w:type="pct"/>
            <w:shd w:val="clear" w:color="auto" w:fill="auto"/>
            <w:vAlign w:val="bottom"/>
          </w:tcPr>
          <w:p w14:paraId="7C208D22" w14:textId="77777777" w:rsidR="00834A75" w:rsidRDefault="00834A75">
            <w:pPr>
              <w:rPr>
                <w:rFonts w:ascii="宋体"/>
              </w:rPr>
            </w:pPr>
          </w:p>
        </w:tc>
        <w:tc>
          <w:tcPr>
            <w:tcW w:w="26" w:type="pct"/>
            <w:shd w:val="clear" w:color="auto" w:fill="auto"/>
            <w:vAlign w:val="bottom"/>
          </w:tcPr>
          <w:p w14:paraId="7C208D23" w14:textId="77777777" w:rsidR="00834A75" w:rsidRDefault="00834A75">
            <w:pPr>
              <w:rPr>
                <w:rFonts w:ascii="宋体"/>
              </w:rPr>
            </w:pPr>
          </w:p>
        </w:tc>
        <w:tc>
          <w:tcPr>
            <w:tcW w:w="5" w:type="pct"/>
            <w:shd w:val="clear" w:color="auto" w:fill="auto"/>
            <w:vAlign w:val="bottom"/>
          </w:tcPr>
          <w:p w14:paraId="7C208D24" w14:textId="77777777" w:rsidR="00834A75" w:rsidRDefault="00834A75">
            <w:pPr>
              <w:rPr>
                <w:rFonts w:ascii="宋体"/>
              </w:rPr>
            </w:pPr>
          </w:p>
        </w:tc>
        <w:tc>
          <w:tcPr>
            <w:tcW w:w="50" w:type="pct"/>
            <w:shd w:val="clear" w:color="auto" w:fill="auto"/>
            <w:vAlign w:val="bottom"/>
          </w:tcPr>
          <w:p w14:paraId="7C208D25" w14:textId="77777777" w:rsidR="00834A75" w:rsidRDefault="00834A75">
            <w:pPr>
              <w:rPr>
                <w:rFonts w:ascii="宋体"/>
              </w:rPr>
            </w:pPr>
          </w:p>
        </w:tc>
        <w:tc>
          <w:tcPr>
            <w:tcW w:w="509" w:type="pct"/>
            <w:shd w:val="clear" w:color="auto" w:fill="auto"/>
            <w:vAlign w:val="bottom"/>
          </w:tcPr>
          <w:p w14:paraId="7C208D26" w14:textId="77777777" w:rsidR="00834A75" w:rsidRDefault="00834A75">
            <w:pPr>
              <w:rPr>
                <w:rFonts w:ascii="宋体"/>
              </w:rPr>
            </w:pPr>
          </w:p>
        </w:tc>
        <w:tc>
          <w:tcPr>
            <w:tcW w:w="5" w:type="pct"/>
            <w:shd w:val="clear" w:color="auto" w:fill="auto"/>
            <w:vAlign w:val="bottom"/>
          </w:tcPr>
          <w:p w14:paraId="7C208D27" w14:textId="77777777" w:rsidR="00834A75" w:rsidRDefault="00834A75">
            <w:pPr>
              <w:rPr>
                <w:rFonts w:ascii="宋体"/>
              </w:rPr>
            </w:pPr>
          </w:p>
        </w:tc>
        <w:tc>
          <w:tcPr>
            <w:tcW w:w="5" w:type="pct"/>
            <w:shd w:val="clear" w:color="auto" w:fill="auto"/>
            <w:vAlign w:val="bottom"/>
          </w:tcPr>
          <w:p w14:paraId="7C208D28" w14:textId="77777777" w:rsidR="00834A75" w:rsidRDefault="00834A75">
            <w:pPr>
              <w:rPr>
                <w:rFonts w:ascii="宋体"/>
              </w:rPr>
            </w:pPr>
          </w:p>
        </w:tc>
        <w:tc>
          <w:tcPr>
            <w:tcW w:w="26" w:type="pct"/>
            <w:shd w:val="clear" w:color="auto" w:fill="auto"/>
            <w:vAlign w:val="bottom"/>
          </w:tcPr>
          <w:p w14:paraId="7C208D29" w14:textId="77777777" w:rsidR="00834A75" w:rsidRDefault="00834A75">
            <w:pPr>
              <w:rPr>
                <w:rFonts w:ascii="宋体"/>
              </w:rPr>
            </w:pPr>
          </w:p>
        </w:tc>
        <w:tc>
          <w:tcPr>
            <w:tcW w:w="5" w:type="pct"/>
            <w:shd w:val="clear" w:color="auto" w:fill="auto"/>
            <w:vAlign w:val="bottom"/>
          </w:tcPr>
          <w:p w14:paraId="7C208D2A" w14:textId="77777777" w:rsidR="00834A75" w:rsidRDefault="00834A75">
            <w:pPr>
              <w:rPr>
                <w:rFonts w:ascii="宋体"/>
              </w:rPr>
            </w:pPr>
          </w:p>
        </w:tc>
        <w:tc>
          <w:tcPr>
            <w:tcW w:w="50" w:type="pct"/>
            <w:shd w:val="clear" w:color="auto" w:fill="auto"/>
            <w:vAlign w:val="bottom"/>
          </w:tcPr>
          <w:p w14:paraId="7C208D2B" w14:textId="77777777" w:rsidR="00834A75" w:rsidRDefault="00834A75">
            <w:pPr>
              <w:rPr>
                <w:rFonts w:ascii="宋体"/>
              </w:rPr>
            </w:pPr>
          </w:p>
        </w:tc>
        <w:tc>
          <w:tcPr>
            <w:tcW w:w="502" w:type="pct"/>
            <w:shd w:val="clear" w:color="auto" w:fill="auto"/>
            <w:vAlign w:val="bottom"/>
          </w:tcPr>
          <w:p w14:paraId="7C208D2C" w14:textId="77777777" w:rsidR="00834A75" w:rsidRDefault="00834A75">
            <w:pPr>
              <w:rPr>
                <w:rFonts w:ascii="宋体"/>
              </w:rPr>
            </w:pPr>
          </w:p>
        </w:tc>
        <w:tc>
          <w:tcPr>
            <w:tcW w:w="5" w:type="pct"/>
            <w:shd w:val="clear" w:color="auto" w:fill="auto"/>
            <w:vAlign w:val="bottom"/>
          </w:tcPr>
          <w:p w14:paraId="7C208D2D" w14:textId="77777777" w:rsidR="00834A75" w:rsidRDefault="00834A75">
            <w:pPr>
              <w:rPr>
                <w:rFonts w:ascii="宋体"/>
              </w:rPr>
            </w:pPr>
          </w:p>
        </w:tc>
        <w:tc>
          <w:tcPr>
            <w:tcW w:w="5" w:type="pct"/>
            <w:shd w:val="clear" w:color="auto" w:fill="auto"/>
            <w:vAlign w:val="bottom"/>
          </w:tcPr>
          <w:p w14:paraId="7C208D2E" w14:textId="77777777" w:rsidR="00834A75" w:rsidRDefault="00834A75">
            <w:pPr>
              <w:rPr>
                <w:rFonts w:ascii="宋体"/>
              </w:rPr>
            </w:pPr>
          </w:p>
        </w:tc>
        <w:tc>
          <w:tcPr>
            <w:tcW w:w="26" w:type="pct"/>
            <w:shd w:val="clear" w:color="auto" w:fill="auto"/>
            <w:vAlign w:val="bottom"/>
          </w:tcPr>
          <w:p w14:paraId="7C208D2F" w14:textId="77777777" w:rsidR="00834A75" w:rsidRDefault="00834A75">
            <w:pPr>
              <w:rPr>
                <w:rFonts w:ascii="宋体"/>
              </w:rPr>
            </w:pPr>
          </w:p>
        </w:tc>
        <w:tc>
          <w:tcPr>
            <w:tcW w:w="5" w:type="pct"/>
            <w:shd w:val="clear" w:color="auto" w:fill="auto"/>
            <w:vAlign w:val="bottom"/>
          </w:tcPr>
          <w:p w14:paraId="7C208D30" w14:textId="77777777" w:rsidR="00834A75" w:rsidRDefault="00834A75">
            <w:pPr>
              <w:rPr>
                <w:rFonts w:ascii="宋体"/>
              </w:rPr>
            </w:pPr>
          </w:p>
        </w:tc>
        <w:tc>
          <w:tcPr>
            <w:tcW w:w="50" w:type="pct"/>
            <w:shd w:val="clear" w:color="auto" w:fill="auto"/>
            <w:vAlign w:val="bottom"/>
          </w:tcPr>
          <w:p w14:paraId="7C208D31" w14:textId="77777777" w:rsidR="00834A75" w:rsidRDefault="00834A75">
            <w:pPr>
              <w:rPr>
                <w:rFonts w:ascii="宋体"/>
              </w:rPr>
            </w:pPr>
          </w:p>
        </w:tc>
        <w:tc>
          <w:tcPr>
            <w:tcW w:w="700" w:type="pct"/>
            <w:shd w:val="clear" w:color="auto" w:fill="auto"/>
            <w:vAlign w:val="bottom"/>
          </w:tcPr>
          <w:p w14:paraId="7C208D32" w14:textId="77777777" w:rsidR="00834A75" w:rsidRDefault="00834A75">
            <w:pPr>
              <w:rPr>
                <w:rFonts w:ascii="宋体"/>
              </w:rPr>
            </w:pPr>
          </w:p>
        </w:tc>
        <w:tc>
          <w:tcPr>
            <w:tcW w:w="5" w:type="pct"/>
            <w:shd w:val="clear" w:color="auto" w:fill="auto"/>
            <w:vAlign w:val="bottom"/>
          </w:tcPr>
          <w:p w14:paraId="7C208D33" w14:textId="77777777" w:rsidR="00834A75" w:rsidRDefault="00834A75">
            <w:pPr>
              <w:rPr>
                <w:rFonts w:ascii="宋体"/>
              </w:rPr>
            </w:pPr>
          </w:p>
        </w:tc>
        <w:tc>
          <w:tcPr>
            <w:tcW w:w="5" w:type="pct"/>
            <w:shd w:val="clear" w:color="auto" w:fill="auto"/>
            <w:vAlign w:val="bottom"/>
          </w:tcPr>
          <w:p w14:paraId="7C208D34" w14:textId="77777777" w:rsidR="00834A75" w:rsidRDefault="00834A75">
            <w:pPr>
              <w:rPr>
                <w:rFonts w:ascii="宋体"/>
              </w:rPr>
            </w:pPr>
          </w:p>
        </w:tc>
        <w:tc>
          <w:tcPr>
            <w:tcW w:w="26" w:type="pct"/>
            <w:shd w:val="clear" w:color="auto" w:fill="auto"/>
            <w:vAlign w:val="bottom"/>
          </w:tcPr>
          <w:p w14:paraId="7C208D35" w14:textId="77777777" w:rsidR="00834A75" w:rsidRDefault="00834A75">
            <w:pPr>
              <w:rPr>
                <w:rFonts w:ascii="宋体"/>
              </w:rPr>
            </w:pPr>
          </w:p>
        </w:tc>
        <w:tc>
          <w:tcPr>
            <w:tcW w:w="5" w:type="pct"/>
            <w:shd w:val="clear" w:color="auto" w:fill="auto"/>
            <w:vAlign w:val="bottom"/>
          </w:tcPr>
          <w:p w14:paraId="7C208D36" w14:textId="77777777" w:rsidR="00834A75" w:rsidRDefault="00834A75">
            <w:pPr>
              <w:rPr>
                <w:rFonts w:ascii="宋体"/>
              </w:rPr>
            </w:pPr>
          </w:p>
        </w:tc>
        <w:tc>
          <w:tcPr>
            <w:tcW w:w="50" w:type="pct"/>
            <w:shd w:val="clear" w:color="auto" w:fill="auto"/>
            <w:vAlign w:val="bottom"/>
          </w:tcPr>
          <w:p w14:paraId="7C208D37" w14:textId="77777777" w:rsidR="00834A75" w:rsidRDefault="00834A75">
            <w:pPr>
              <w:rPr>
                <w:rFonts w:ascii="宋体"/>
              </w:rPr>
            </w:pPr>
          </w:p>
        </w:tc>
        <w:tc>
          <w:tcPr>
            <w:tcW w:w="700" w:type="pct"/>
            <w:shd w:val="clear" w:color="auto" w:fill="auto"/>
            <w:vAlign w:val="bottom"/>
          </w:tcPr>
          <w:p w14:paraId="7C208D38" w14:textId="77777777" w:rsidR="00834A75" w:rsidRDefault="00834A75">
            <w:pPr>
              <w:rPr>
                <w:rFonts w:ascii="宋体"/>
              </w:rPr>
            </w:pPr>
          </w:p>
        </w:tc>
        <w:tc>
          <w:tcPr>
            <w:tcW w:w="5" w:type="pct"/>
            <w:shd w:val="clear" w:color="auto" w:fill="auto"/>
            <w:vAlign w:val="bottom"/>
          </w:tcPr>
          <w:p w14:paraId="7C208D39" w14:textId="77777777" w:rsidR="00834A75" w:rsidRDefault="00834A75">
            <w:pPr>
              <w:rPr>
                <w:rFonts w:ascii="宋体"/>
              </w:rPr>
            </w:pPr>
          </w:p>
        </w:tc>
      </w:tr>
      <w:tr w:rsidR="00834A75" w14:paraId="7C208D41" w14:textId="77777777">
        <w:tc>
          <w:tcPr>
            <w:tcW w:w="0" w:type="auto"/>
            <w:gridSpan w:val="3"/>
            <w:shd w:val="clear" w:color="auto" w:fill="auto"/>
            <w:tcMar>
              <w:top w:w="0" w:type="dxa"/>
              <w:left w:w="20" w:type="dxa"/>
              <w:bottom w:w="0" w:type="dxa"/>
              <w:right w:w="20" w:type="dxa"/>
            </w:tcMar>
            <w:vAlign w:val="bottom"/>
          </w:tcPr>
          <w:p w14:paraId="7C208D3B" w14:textId="77777777" w:rsidR="00834A75" w:rsidRDefault="00834A75">
            <w:pPr>
              <w:rPr>
                <w:rFonts w:ascii="宋体"/>
              </w:rPr>
            </w:pPr>
          </w:p>
        </w:tc>
        <w:tc>
          <w:tcPr>
            <w:tcW w:w="0" w:type="auto"/>
            <w:gridSpan w:val="15"/>
            <w:shd w:val="clear" w:color="auto" w:fill="auto"/>
            <w:tcMar>
              <w:top w:w="40" w:type="dxa"/>
              <w:left w:w="20" w:type="dxa"/>
              <w:bottom w:w="40" w:type="dxa"/>
              <w:right w:w="20" w:type="dxa"/>
            </w:tcMar>
            <w:vAlign w:val="bottom"/>
          </w:tcPr>
          <w:p w14:paraId="7C208D3C" w14:textId="77777777" w:rsidR="00834A75" w:rsidRDefault="00A6708C">
            <w:pPr>
              <w:jc w:val="center"/>
              <w:textAlignment w:val="bottom"/>
            </w:pPr>
            <w:r>
              <w:rPr>
                <w:rFonts w:ascii="sans-serif" w:eastAsia="sans-serif" w:hAnsi="sans-serif" w:cs="sans-serif"/>
                <w:b/>
                <w:bCs/>
                <w:color w:val="000000"/>
                <w:sz w:val="20"/>
                <w:szCs w:val="20"/>
              </w:rPr>
              <w:t>Three Months Ended</w:t>
            </w:r>
          </w:p>
        </w:tc>
        <w:tc>
          <w:tcPr>
            <w:tcW w:w="0" w:type="auto"/>
            <w:gridSpan w:val="3"/>
            <w:shd w:val="clear" w:color="auto" w:fill="auto"/>
            <w:tcMar>
              <w:top w:w="0" w:type="dxa"/>
              <w:left w:w="20" w:type="dxa"/>
              <w:bottom w:w="0" w:type="dxa"/>
              <w:right w:w="20" w:type="dxa"/>
            </w:tcMar>
            <w:vAlign w:val="bottom"/>
          </w:tcPr>
          <w:p w14:paraId="7C208D3D" w14:textId="77777777" w:rsidR="00834A75" w:rsidRDefault="00834A75">
            <w:pPr>
              <w:rPr>
                <w:rFonts w:ascii="宋体"/>
              </w:rPr>
            </w:pPr>
          </w:p>
        </w:tc>
        <w:tc>
          <w:tcPr>
            <w:tcW w:w="0" w:type="auto"/>
            <w:gridSpan w:val="3"/>
            <w:shd w:val="clear" w:color="auto" w:fill="auto"/>
            <w:tcMar>
              <w:top w:w="0" w:type="dxa"/>
              <w:left w:w="20" w:type="dxa"/>
              <w:bottom w:w="0" w:type="dxa"/>
              <w:right w:w="20" w:type="dxa"/>
            </w:tcMar>
            <w:vAlign w:val="bottom"/>
          </w:tcPr>
          <w:p w14:paraId="7C208D3E" w14:textId="77777777" w:rsidR="00834A75" w:rsidRDefault="00834A75">
            <w:pPr>
              <w:rPr>
                <w:rFonts w:ascii="宋体"/>
              </w:rPr>
            </w:pPr>
          </w:p>
        </w:tc>
        <w:tc>
          <w:tcPr>
            <w:tcW w:w="0" w:type="auto"/>
            <w:gridSpan w:val="3"/>
            <w:shd w:val="clear" w:color="auto" w:fill="auto"/>
            <w:tcMar>
              <w:top w:w="0" w:type="dxa"/>
              <w:left w:w="20" w:type="dxa"/>
              <w:bottom w:w="0" w:type="dxa"/>
              <w:right w:w="20" w:type="dxa"/>
            </w:tcMar>
            <w:vAlign w:val="bottom"/>
          </w:tcPr>
          <w:p w14:paraId="7C208D3F" w14:textId="77777777" w:rsidR="00834A75" w:rsidRDefault="00834A75">
            <w:pPr>
              <w:rPr>
                <w:rFonts w:ascii="宋体"/>
              </w:rPr>
            </w:pPr>
          </w:p>
        </w:tc>
        <w:tc>
          <w:tcPr>
            <w:tcW w:w="0" w:type="auto"/>
            <w:gridSpan w:val="3"/>
            <w:shd w:val="clear" w:color="auto" w:fill="auto"/>
            <w:tcMar>
              <w:top w:w="0" w:type="dxa"/>
              <w:left w:w="20" w:type="dxa"/>
              <w:bottom w:w="0" w:type="dxa"/>
              <w:right w:w="20" w:type="dxa"/>
            </w:tcMar>
            <w:vAlign w:val="bottom"/>
          </w:tcPr>
          <w:p w14:paraId="7C208D40" w14:textId="77777777" w:rsidR="00834A75" w:rsidRDefault="00834A75">
            <w:pPr>
              <w:rPr>
                <w:rFonts w:ascii="宋体"/>
              </w:rPr>
            </w:pPr>
          </w:p>
        </w:tc>
      </w:tr>
      <w:tr w:rsidR="00834A75" w14:paraId="7C208D4C" w14:textId="77777777">
        <w:tc>
          <w:tcPr>
            <w:tcW w:w="0" w:type="auto"/>
            <w:gridSpan w:val="3"/>
            <w:shd w:val="clear" w:color="auto" w:fill="auto"/>
            <w:tcMar>
              <w:top w:w="40" w:type="dxa"/>
              <w:left w:w="20" w:type="dxa"/>
              <w:bottom w:w="40" w:type="dxa"/>
              <w:right w:w="20" w:type="dxa"/>
            </w:tcMar>
            <w:vAlign w:val="bottom"/>
          </w:tcPr>
          <w:p w14:paraId="7C208D42" w14:textId="77777777" w:rsidR="00834A75" w:rsidRDefault="00A6708C">
            <w:pPr>
              <w:textAlignment w:val="bottom"/>
            </w:pPr>
            <w:r>
              <w:rPr>
                <w:rFonts w:ascii="sans-serif" w:eastAsia="sans-serif" w:hAnsi="sans-serif" w:cs="sans-serif"/>
                <w:color w:val="000000"/>
                <w:sz w:val="20"/>
                <w:szCs w:val="20"/>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C208D43" w14:textId="77777777" w:rsidR="00834A75" w:rsidRDefault="00A6708C">
            <w:pPr>
              <w:jc w:val="center"/>
              <w:textAlignment w:val="bottom"/>
            </w:pPr>
            <w:r>
              <w:rPr>
                <w:rFonts w:ascii="sans-serif" w:eastAsia="sans-serif" w:hAnsi="sans-serif" w:cs="sans-serif"/>
                <w:b/>
                <w:bCs/>
                <w:color w:val="000000"/>
                <w:sz w:val="20"/>
                <w:szCs w:val="20"/>
              </w:rPr>
              <w:t>May 1, 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C208D44" w14:textId="77777777" w:rsidR="00834A75" w:rsidRDefault="00834A75">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C208D45" w14:textId="77777777" w:rsidR="00834A75" w:rsidRDefault="00A6708C">
            <w:pPr>
              <w:jc w:val="center"/>
              <w:textAlignment w:val="bottom"/>
            </w:pPr>
            <w:r>
              <w:rPr>
                <w:rFonts w:ascii="sans-serif" w:eastAsia="sans-serif" w:hAnsi="sans-serif" w:cs="sans-serif"/>
                <w:b/>
                <w:bCs/>
                <w:color w:val="000000"/>
                <w:sz w:val="20"/>
                <w:szCs w:val="20"/>
              </w:rPr>
              <w:t>January 30, 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C208D46" w14:textId="77777777" w:rsidR="00834A75" w:rsidRDefault="00834A75">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C208D47" w14:textId="77777777" w:rsidR="00834A75" w:rsidRDefault="00A6708C">
            <w:pPr>
              <w:jc w:val="center"/>
              <w:textAlignment w:val="bottom"/>
            </w:pPr>
            <w:r>
              <w:rPr>
                <w:rFonts w:ascii="sans-serif" w:eastAsia="sans-serif" w:hAnsi="sans-serif" w:cs="sans-serif"/>
                <w:b/>
                <w:bCs/>
                <w:color w:val="000000"/>
                <w:sz w:val="20"/>
                <w:szCs w:val="20"/>
              </w:rPr>
              <w:t>May 2, 2021</w:t>
            </w:r>
          </w:p>
        </w:tc>
        <w:tc>
          <w:tcPr>
            <w:tcW w:w="0" w:type="auto"/>
            <w:gridSpan w:val="3"/>
            <w:shd w:val="clear" w:color="auto" w:fill="auto"/>
            <w:tcMar>
              <w:top w:w="0" w:type="dxa"/>
              <w:left w:w="20" w:type="dxa"/>
              <w:bottom w:w="0" w:type="dxa"/>
              <w:right w:w="20" w:type="dxa"/>
            </w:tcMar>
            <w:vAlign w:val="bottom"/>
          </w:tcPr>
          <w:p w14:paraId="7C208D48" w14:textId="77777777" w:rsidR="00834A75" w:rsidRDefault="00834A75">
            <w:pPr>
              <w:rPr>
                <w:rFonts w:ascii="宋体"/>
              </w:rPr>
            </w:pPr>
          </w:p>
        </w:tc>
        <w:tc>
          <w:tcPr>
            <w:tcW w:w="0" w:type="auto"/>
            <w:gridSpan w:val="3"/>
            <w:shd w:val="clear" w:color="auto" w:fill="auto"/>
            <w:tcMar>
              <w:top w:w="40" w:type="dxa"/>
              <w:left w:w="20" w:type="dxa"/>
              <w:bottom w:w="40" w:type="dxa"/>
              <w:right w:w="20" w:type="dxa"/>
            </w:tcMar>
            <w:vAlign w:val="bottom"/>
          </w:tcPr>
          <w:p w14:paraId="7C208D49" w14:textId="77777777" w:rsidR="00834A75" w:rsidRDefault="00A6708C">
            <w:pPr>
              <w:jc w:val="center"/>
              <w:textAlignment w:val="bottom"/>
            </w:pPr>
            <w:r>
              <w:rPr>
                <w:rFonts w:ascii="sans-serif" w:eastAsia="sans-serif" w:hAnsi="sans-serif" w:cs="sans-serif"/>
                <w:b/>
                <w:bCs/>
                <w:color w:val="000000"/>
                <w:sz w:val="20"/>
                <w:szCs w:val="20"/>
              </w:rPr>
              <w:t>Quarter-over-Quarter Change</w:t>
            </w:r>
          </w:p>
        </w:tc>
        <w:tc>
          <w:tcPr>
            <w:tcW w:w="0" w:type="auto"/>
            <w:gridSpan w:val="3"/>
            <w:shd w:val="clear" w:color="auto" w:fill="auto"/>
            <w:tcMar>
              <w:top w:w="0" w:type="dxa"/>
              <w:left w:w="20" w:type="dxa"/>
              <w:bottom w:w="0" w:type="dxa"/>
              <w:right w:w="20" w:type="dxa"/>
            </w:tcMar>
            <w:vAlign w:val="bottom"/>
          </w:tcPr>
          <w:p w14:paraId="7C208D4A" w14:textId="77777777" w:rsidR="00834A75" w:rsidRDefault="00834A75">
            <w:pPr>
              <w:rPr>
                <w:rFonts w:ascii="宋体"/>
              </w:rPr>
            </w:pPr>
          </w:p>
        </w:tc>
        <w:tc>
          <w:tcPr>
            <w:tcW w:w="0" w:type="auto"/>
            <w:gridSpan w:val="3"/>
            <w:shd w:val="clear" w:color="auto" w:fill="auto"/>
            <w:tcMar>
              <w:top w:w="40" w:type="dxa"/>
              <w:left w:w="20" w:type="dxa"/>
              <w:bottom w:w="40" w:type="dxa"/>
              <w:right w:w="20" w:type="dxa"/>
            </w:tcMar>
            <w:vAlign w:val="bottom"/>
          </w:tcPr>
          <w:p w14:paraId="7C208D4B" w14:textId="77777777" w:rsidR="00834A75" w:rsidRDefault="00A6708C">
            <w:pPr>
              <w:jc w:val="center"/>
              <w:textAlignment w:val="bottom"/>
            </w:pPr>
            <w:r>
              <w:rPr>
                <w:rFonts w:ascii="sans-serif" w:eastAsia="sans-serif" w:hAnsi="sans-serif" w:cs="sans-serif"/>
                <w:b/>
                <w:bCs/>
                <w:color w:val="000000"/>
                <w:sz w:val="20"/>
                <w:szCs w:val="20"/>
              </w:rPr>
              <w:t>Year-over-Year Change</w:t>
            </w:r>
          </w:p>
        </w:tc>
      </w:tr>
      <w:tr w:rsidR="00834A75" w14:paraId="7C208D57" w14:textId="77777777">
        <w:trPr>
          <w:trHeight w:val="60"/>
        </w:trPr>
        <w:tc>
          <w:tcPr>
            <w:tcW w:w="0" w:type="auto"/>
            <w:gridSpan w:val="3"/>
            <w:shd w:val="clear" w:color="auto" w:fill="auto"/>
            <w:tcMar>
              <w:top w:w="0" w:type="dxa"/>
              <w:left w:w="20" w:type="dxa"/>
              <w:bottom w:w="0" w:type="dxa"/>
              <w:right w:w="20" w:type="dxa"/>
            </w:tcMar>
            <w:vAlign w:val="bottom"/>
          </w:tcPr>
          <w:p w14:paraId="7C208D4D" w14:textId="77777777" w:rsidR="00834A75" w:rsidRDefault="00834A75">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C208D4E" w14:textId="77777777" w:rsidR="00834A75" w:rsidRDefault="00834A75">
            <w:pPr>
              <w:rPr>
                <w:rFonts w:ascii="宋体"/>
              </w:rPr>
            </w:pPr>
          </w:p>
        </w:tc>
        <w:tc>
          <w:tcPr>
            <w:tcW w:w="0" w:type="auto"/>
            <w:gridSpan w:val="3"/>
            <w:shd w:val="clear" w:color="auto" w:fill="auto"/>
            <w:tcMar>
              <w:top w:w="0" w:type="dxa"/>
              <w:left w:w="20" w:type="dxa"/>
              <w:bottom w:w="0" w:type="dxa"/>
              <w:right w:w="20" w:type="dxa"/>
            </w:tcMar>
            <w:vAlign w:val="bottom"/>
          </w:tcPr>
          <w:p w14:paraId="7C208D4F" w14:textId="77777777" w:rsidR="00834A75" w:rsidRDefault="00834A75">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C208D50" w14:textId="77777777" w:rsidR="00834A75" w:rsidRDefault="00834A75">
            <w:pPr>
              <w:rPr>
                <w:rFonts w:ascii="宋体"/>
              </w:rPr>
            </w:pPr>
          </w:p>
        </w:tc>
        <w:tc>
          <w:tcPr>
            <w:tcW w:w="0" w:type="auto"/>
            <w:gridSpan w:val="3"/>
            <w:shd w:val="clear" w:color="auto" w:fill="auto"/>
            <w:tcMar>
              <w:top w:w="0" w:type="dxa"/>
              <w:left w:w="20" w:type="dxa"/>
              <w:bottom w:w="0" w:type="dxa"/>
              <w:right w:w="20" w:type="dxa"/>
            </w:tcMar>
            <w:vAlign w:val="bottom"/>
          </w:tcPr>
          <w:p w14:paraId="7C208D51" w14:textId="77777777" w:rsidR="00834A75" w:rsidRDefault="00834A75">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C208D52" w14:textId="77777777" w:rsidR="00834A75" w:rsidRDefault="00834A75">
            <w:pPr>
              <w:rPr>
                <w:rFonts w:ascii="宋体"/>
              </w:rPr>
            </w:pPr>
          </w:p>
        </w:tc>
        <w:tc>
          <w:tcPr>
            <w:tcW w:w="0" w:type="auto"/>
            <w:gridSpan w:val="3"/>
            <w:shd w:val="clear" w:color="auto" w:fill="auto"/>
            <w:tcMar>
              <w:top w:w="0" w:type="dxa"/>
              <w:left w:w="20" w:type="dxa"/>
              <w:bottom w:w="0" w:type="dxa"/>
              <w:right w:w="20" w:type="dxa"/>
            </w:tcMar>
            <w:vAlign w:val="bottom"/>
          </w:tcPr>
          <w:p w14:paraId="7C208D53" w14:textId="77777777" w:rsidR="00834A75" w:rsidRDefault="00834A75">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C208D54" w14:textId="77777777" w:rsidR="00834A75" w:rsidRDefault="00834A75">
            <w:pPr>
              <w:rPr>
                <w:rFonts w:ascii="宋体"/>
              </w:rPr>
            </w:pPr>
          </w:p>
        </w:tc>
        <w:tc>
          <w:tcPr>
            <w:tcW w:w="0" w:type="auto"/>
            <w:gridSpan w:val="3"/>
            <w:shd w:val="clear" w:color="auto" w:fill="auto"/>
            <w:tcMar>
              <w:top w:w="0" w:type="dxa"/>
              <w:left w:w="20" w:type="dxa"/>
              <w:bottom w:w="0" w:type="dxa"/>
              <w:right w:w="20" w:type="dxa"/>
            </w:tcMar>
            <w:vAlign w:val="bottom"/>
          </w:tcPr>
          <w:p w14:paraId="7C208D55" w14:textId="77777777" w:rsidR="00834A75" w:rsidRDefault="00834A75">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C208D56" w14:textId="77777777" w:rsidR="00834A75" w:rsidRDefault="00834A75">
            <w:pPr>
              <w:rPr>
                <w:rFonts w:ascii="宋体"/>
              </w:rPr>
            </w:pPr>
          </w:p>
        </w:tc>
      </w:tr>
      <w:tr w:rsidR="00834A75" w14:paraId="7C208D5E" w14:textId="77777777">
        <w:tc>
          <w:tcPr>
            <w:tcW w:w="0" w:type="auto"/>
            <w:gridSpan w:val="3"/>
            <w:shd w:val="clear" w:color="auto" w:fill="auto"/>
            <w:tcMar>
              <w:top w:w="0" w:type="dxa"/>
              <w:left w:w="20" w:type="dxa"/>
              <w:bottom w:w="0" w:type="dxa"/>
              <w:right w:w="20" w:type="dxa"/>
            </w:tcMar>
            <w:vAlign w:val="bottom"/>
          </w:tcPr>
          <w:p w14:paraId="7C208D58" w14:textId="77777777" w:rsidR="00834A75" w:rsidRDefault="00834A75">
            <w:pPr>
              <w:rPr>
                <w:rFonts w:ascii="宋体"/>
              </w:rPr>
            </w:pPr>
          </w:p>
        </w:tc>
        <w:tc>
          <w:tcPr>
            <w:tcW w:w="0" w:type="auto"/>
            <w:gridSpan w:val="15"/>
            <w:shd w:val="clear" w:color="auto" w:fill="auto"/>
            <w:tcMar>
              <w:top w:w="40" w:type="dxa"/>
              <w:left w:w="20" w:type="dxa"/>
              <w:bottom w:w="40" w:type="dxa"/>
              <w:right w:w="20" w:type="dxa"/>
            </w:tcMar>
            <w:vAlign w:val="bottom"/>
          </w:tcPr>
          <w:p w14:paraId="7C208D59" w14:textId="77777777" w:rsidR="00834A75" w:rsidRDefault="00A6708C">
            <w:pPr>
              <w:jc w:val="center"/>
              <w:textAlignment w:val="bottom"/>
            </w:pPr>
            <w:r>
              <w:rPr>
                <w:rFonts w:ascii="sans-serif" w:eastAsia="sans-serif" w:hAnsi="sans-serif" w:cs="sans-serif"/>
                <w:i/>
                <w:iCs/>
                <w:color w:val="000000"/>
                <w:sz w:val="20"/>
                <w:szCs w:val="20"/>
              </w:rPr>
              <w:t xml:space="preserve">($ in </w:t>
            </w:r>
            <w:r>
              <w:rPr>
                <w:rFonts w:ascii="sans-serif" w:eastAsia="sans-serif" w:hAnsi="sans-serif" w:cs="sans-serif"/>
                <w:i/>
                <w:iCs/>
                <w:color w:val="000000"/>
                <w:sz w:val="20"/>
                <w:szCs w:val="20"/>
              </w:rPr>
              <w:t>millions, except per share data)</w:t>
            </w:r>
          </w:p>
        </w:tc>
        <w:tc>
          <w:tcPr>
            <w:tcW w:w="0" w:type="auto"/>
            <w:gridSpan w:val="3"/>
            <w:shd w:val="clear" w:color="auto" w:fill="auto"/>
            <w:tcMar>
              <w:top w:w="0" w:type="dxa"/>
              <w:left w:w="20" w:type="dxa"/>
              <w:bottom w:w="0" w:type="dxa"/>
              <w:right w:w="20" w:type="dxa"/>
            </w:tcMar>
            <w:vAlign w:val="bottom"/>
          </w:tcPr>
          <w:p w14:paraId="7C208D5A" w14:textId="77777777" w:rsidR="00834A75" w:rsidRDefault="00834A75">
            <w:pPr>
              <w:rPr>
                <w:rFonts w:ascii="宋体"/>
              </w:rPr>
            </w:pPr>
          </w:p>
        </w:tc>
        <w:tc>
          <w:tcPr>
            <w:tcW w:w="0" w:type="auto"/>
            <w:gridSpan w:val="3"/>
            <w:shd w:val="clear" w:color="auto" w:fill="auto"/>
            <w:tcMar>
              <w:top w:w="0" w:type="dxa"/>
              <w:left w:w="20" w:type="dxa"/>
              <w:bottom w:w="0" w:type="dxa"/>
              <w:right w:w="20" w:type="dxa"/>
            </w:tcMar>
            <w:vAlign w:val="bottom"/>
          </w:tcPr>
          <w:p w14:paraId="7C208D5B" w14:textId="77777777" w:rsidR="00834A75" w:rsidRDefault="00834A75">
            <w:pPr>
              <w:rPr>
                <w:rFonts w:ascii="宋体"/>
              </w:rPr>
            </w:pPr>
          </w:p>
        </w:tc>
        <w:tc>
          <w:tcPr>
            <w:tcW w:w="0" w:type="auto"/>
            <w:gridSpan w:val="3"/>
            <w:shd w:val="clear" w:color="auto" w:fill="auto"/>
            <w:tcMar>
              <w:top w:w="0" w:type="dxa"/>
              <w:left w:w="20" w:type="dxa"/>
              <w:bottom w:w="0" w:type="dxa"/>
              <w:right w:w="20" w:type="dxa"/>
            </w:tcMar>
            <w:vAlign w:val="bottom"/>
          </w:tcPr>
          <w:p w14:paraId="7C208D5C" w14:textId="77777777" w:rsidR="00834A75" w:rsidRDefault="00834A75">
            <w:pPr>
              <w:rPr>
                <w:rFonts w:ascii="宋体"/>
              </w:rPr>
            </w:pPr>
          </w:p>
        </w:tc>
        <w:tc>
          <w:tcPr>
            <w:tcW w:w="0" w:type="auto"/>
            <w:gridSpan w:val="3"/>
            <w:shd w:val="clear" w:color="auto" w:fill="auto"/>
            <w:tcMar>
              <w:top w:w="0" w:type="dxa"/>
              <w:left w:w="20" w:type="dxa"/>
              <w:bottom w:w="0" w:type="dxa"/>
              <w:right w:w="20" w:type="dxa"/>
            </w:tcMar>
            <w:vAlign w:val="bottom"/>
          </w:tcPr>
          <w:p w14:paraId="7C208D5D" w14:textId="77777777" w:rsidR="00834A75" w:rsidRDefault="00834A75">
            <w:pPr>
              <w:rPr>
                <w:rFonts w:ascii="宋体"/>
              </w:rPr>
            </w:pPr>
          </w:p>
        </w:tc>
      </w:tr>
      <w:tr w:rsidR="00834A75" w14:paraId="7C208D71" w14:textId="77777777">
        <w:tc>
          <w:tcPr>
            <w:tcW w:w="0" w:type="auto"/>
            <w:gridSpan w:val="3"/>
            <w:shd w:val="clear" w:color="auto" w:fill="E2EFD9"/>
            <w:tcMar>
              <w:top w:w="40" w:type="dxa"/>
              <w:left w:w="20" w:type="dxa"/>
              <w:bottom w:w="40" w:type="dxa"/>
              <w:right w:w="20" w:type="dxa"/>
            </w:tcMar>
            <w:vAlign w:val="bottom"/>
          </w:tcPr>
          <w:p w14:paraId="7C208D5F" w14:textId="77777777" w:rsidR="00834A75" w:rsidRDefault="00A6708C">
            <w:pPr>
              <w:textAlignment w:val="bottom"/>
            </w:pPr>
            <w:r>
              <w:rPr>
                <w:rFonts w:ascii="sans-serif" w:eastAsia="sans-serif" w:hAnsi="sans-serif" w:cs="sans-serif"/>
                <w:color w:val="000000"/>
                <w:sz w:val="20"/>
                <w:szCs w:val="20"/>
              </w:rPr>
              <w:t>Revenue</w:t>
            </w:r>
          </w:p>
        </w:tc>
        <w:tc>
          <w:tcPr>
            <w:tcW w:w="0" w:type="auto"/>
            <w:shd w:val="clear" w:color="auto" w:fill="E2EFD9"/>
            <w:tcMar>
              <w:top w:w="40" w:type="dxa"/>
              <w:left w:w="20" w:type="dxa"/>
              <w:bottom w:w="40" w:type="dxa"/>
              <w:right w:w="0" w:type="dxa"/>
            </w:tcMar>
            <w:vAlign w:val="bottom"/>
          </w:tcPr>
          <w:p w14:paraId="7C208D60" w14:textId="77777777" w:rsidR="00834A75" w:rsidRDefault="00A6708C">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7C208D61" w14:textId="77777777" w:rsidR="00834A75" w:rsidRDefault="00A6708C">
            <w:pPr>
              <w:jc w:val="right"/>
              <w:textAlignment w:val="bottom"/>
            </w:pPr>
            <w:r>
              <w:rPr>
                <w:rFonts w:ascii="sans-serif" w:eastAsia="sans-serif" w:hAnsi="sans-serif" w:cs="sans-serif"/>
                <w:color w:val="000000"/>
                <w:sz w:val="20"/>
                <w:szCs w:val="20"/>
              </w:rPr>
              <w:t>8,288 </w:t>
            </w:r>
          </w:p>
        </w:tc>
        <w:tc>
          <w:tcPr>
            <w:tcW w:w="0" w:type="auto"/>
            <w:shd w:val="clear" w:color="auto" w:fill="E2EFD9"/>
            <w:tcMar>
              <w:top w:w="40" w:type="dxa"/>
              <w:left w:w="0" w:type="dxa"/>
              <w:bottom w:w="40" w:type="dxa"/>
              <w:right w:w="20" w:type="dxa"/>
            </w:tcMar>
            <w:vAlign w:val="bottom"/>
          </w:tcPr>
          <w:p w14:paraId="7C208D62" w14:textId="77777777" w:rsidR="00834A75" w:rsidRDefault="00834A75">
            <w:pPr>
              <w:jc w:val="right"/>
              <w:rPr>
                <w:rFonts w:ascii="宋体"/>
              </w:rPr>
            </w:pPr>
          </w:p>
        </w:tc>
        <w:tc>
          <w:tcPr>
            <w:tcW w:w="0" w:type="auto"/>
            <w:gridSpan w:val="3"/>
            <w:shd w:val="clear" w:color="auto" w:fill="E2EFD9"/>
            <w:tcMar>
              <w:top w:w="0" w:type="dxa"/>
              <w:left w:w="20" w:type="dxa"/>
              <w:bottom w:w="0" w:type="dxa"/>
              <w:right w:w="20" w:type="dxa"/>
            </w:tcMar>
            <w:vAlign w:val="bottom"/>
          </w:tcPr>
          <w:p w14:paraId="7C208D63" w14:textId="77777777" w:rsidR="00834A75" w:rsidRDefault="00834A75">
            <w:pPr>
              <w:rPr>
                <w:rFonts w:ascii="宋体"/>
              </w:rPr>
            </w:pPr>
          </w:p>
        </w:tc>
        <w:tc>
          <w:tcPr>
            <w:tcW w:w="0" w:type="auto"/>
            <w:shd w:val="clear" w:color="auto" w:fill="E2EFD9"/>
            <w:tcMar>
              <w:top w:w="40" w:type="dxa"/>
              <w:left w:w="20" w:type="dxa"/>
              <w:bottom w:w="40" w:type="dxa"/>
              <w:right w:w="0" w:type="dxa"/>
            </w:tcMar>
            <w:vAlign w:val="bottom"/>
          </w:tcPr>
          <w:p w14:paraId="7C208D64" w14:textId="77777777" w:rsidR="00834A75" w:rsidRDefault="00A6708C">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7C208D65" w14:textId="77777777" w:rsidR="00834A75" w:rsidRDefault="00A6708C">
            <w:pPr>
              <w:jc w:val="right"/>
              <w:textAlignment w:val="bottom"/>
            </w:pPr>
            <w:r>
              <w:rPr>
                <w:rFonts w:ascii="sans-serif" w:eastAsia="sans-serif" w:hAnsi="sans-serif" w:cs="sans-serif"/>
                <w:color w:val="000000"/>
                <w:sz w:val="20"/>
                <w:szCs w:val="20"/>
              </w:rPr>
              <w:t>7,643 </w:t>
            </w:r>
          </w:p>
        </w:tc>
        <w:tc>
          <w:tcPr>
            <w:tcW w:w="0" w:type="auto"/>
            <w:shd w:val="clear" w:color="auto" w:fill="E2EFD9"/>
            <w:tcMar>
              <w:top w:w="40" w:type="dxa"/>
              <w:left w:w="0" w:type="dxa"/>
              <w:bottom w:w="40" w:type="dxa"/>
              <w:right w:w="20" w:type="dxa"/>
            </w:tcMar>
            <w:vAlign w:val="bottom"/>
          </w:tcPr>
          <w:p w14:paraId="7C208D66" w14:textId="77777777" w:rsidR="00834A75" w:rsidRDefault="00834A75">
            <w:pPr>
              <w:jc w:val="right"/>
              <w:rPr>
                <w:rFonts w:ascii="宋体"/>
              </w:rPr>
            </w:pPr>
          </w:p>
        </w:tc>
        <w:tc>
          <w:tcPr>
            <w:tcW w:w="0" w:type="auto"/>
            <w:gridSpan w:val="3"/>
            <w:shd w:val="clear" w:color="auto" w:fill="E2EFD9"/>
            <w:tcMar>
              <w:top w:w="0" w:type="dxa"/>
              <w:left w:w="20" w:type="dxa"/>
              <w:bottom w:w="0" w:type="dxa"/>
              <w:right w:w="20" w:type="dxa"/>
            </w:tcMar>
            <w:vAlign w:val="bottom"/>
          </w:tcPr>
          <w:p w14:paraId="7C208D67" w14:textId="77777777" w:rsidR="00834A75" w:rsidRDefault="00834A75">
            <w:pPr>
              <w:rPr>
                <w:rFonts w:ascii="宋体"/>
              </w:rPr>
            </w:pPr>
          </w:p>
        </w:tc>
        <w:tc>
          <w:tcPr>
            <w:tcW w:w="0" w:type="auto"/>
            <w:shd w:val="clear" w:color="auto" w:fill="E2EFD9"/>
            <w:tcMar>
              <w:top w:w="40" w:type="dxa"/>
              <w:left w:w="20" w:type="dxa"/>
              <w:bottom w:w="40" w:type="dxa"/>
              <w:right w:w="0" w:type="dxa"/>
            </w:tcMar>
            <w:vAlign w:val="bottom"/>
          </w:tcPr>
          <w:p w14:paraId="7C208D68" w14:textId="77777777" w:rsidR="00834A75" w:rsidRDefault="00A6708C">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7C208D69" w14:textId="77777777" w:rsidR="00834A75" w:rsidRDefault="00A6708C">
            <w:pPr>
              <w:jc w:val="right"/>
              <w:textAlignment w:val="bottom"/>
            </w:pPr>
            <w:r>
              <w:rPr>
                <w:rFonts w:ascii="sans-serif" w:eastAsia="sans-serif" w:hAnsi="sans-serif" w:cs="sans-serif"/>
                <w:color w:val="000000"/>
                <w:sz w:val="20"/>
                <w:szCs w:val="20"/>
              </w:rPr>
              <w:t>5,661 </w:t>
            </w:r>
          </w:p>
        </w:tc>
        <w:tc>
          <w:tcPr>
            <w:tcW w:w="0" w:type="auto"/>
            <w:shd w:val="clear" w:color="auto" w:fill="E2EFD9"/>
            <w:tcMar>
              <w:top w:w="40" w:type="dxa"/>
              <w:left w:w="0" w:type="dxa"/>
              <w:bottom w:w="40" w:type="dxa"/>
              <w:right w:w="20" w:type="dxa"/>
            </w:tcMar>
            <w:vAlign w:val="bottom"/>
          </w:tcPr>
          <w:p w14:paraId="7C208D6A" w14:textId="77777777" w:rsidR="00834A75" w:rsidRDefault="00834A75">
            <w:pPr>
              <w:jc w:val="right"/>
              <w:rPr>
                <w:rFonts w:ascii="宋体"/>
              </w:rPr>
            </w:pPr>
          </w:p>
        </w:tc>
        <w:tc>
          <w:tcPr>
            <w:tcW w:w="0" w:type="auto"/>
            <w:gridSpan w:val="3"/>
            <w:shd w:val="clear" w:color="auto" w:fill="E2EFD9"/>
            <w:tcMar>
              <w:top w:w="0" w:type="dxa"/>
              <w:left w:w="20" w:type="dxa"/>
              <w:bottom w:w="0" w:type="dxa"/>
              <w:right w:w="20" w:type="dxa"/>
            </w:tcMar>
            <w:vAlign w:val="bottom"/>
          </w:tcPr>
          <w:p w14:paraId="7C208D6B" w14:textId="77777777" w:rsidR="00834A75" w:rsidRDefault="00834A75">
            <w:pPr>
              <w:rPr>
                <w:rFonts w:ascii="宋体"/>
              </w:rPr>
            </w:pPr>
          </w:p>
        </w:tc>
        <w:tc>
          <w:tcPr>
            <w:tcW w:w="0" w:type="auto"/>
            <w:gridSpan w:val="2"/>
            <w:shd w:val="clear" w:color="auto" w:fill="E2EFD9"/>
            <w:tcMar>
              <w:top w:w="40" w:type="dxa"/>
              <w:left w:w="20" w:type="dxa"/>
              <w:bottom w:w="40" w:type="dxa"/>
              <w:right w:w="0" w:type="dxa"/>
            </w:tcMar>
            <w:vAlign w:val="bottom"/>
          </w:tcPr>
          <w:p w14:paraId="7C208D6C" w14:textId="77777777" w:rsidR="00834A75" w:rsidRDefault="00A6708C">
            <w:pPr>
              <w:jc w:val="right"/>
              <w:textAlignment w:val="bottom"/>
            </w:pPr>
            <w:r>
              <w:rPr>
                <w:rFonts w:ascii="sans-serif" w:eastAsia="sans-serif" w:hAnsi="sans-serif" w:cs="sans-serif"/>
                <w:color w:val="000000"/>
                <w:sz w:val="20"/>
                <w:szCs w:val="20"/>
              </w:rPr>
              <w:t>8 </w:t>
            </w:r>
          </w:p>
        </w:tc>
        <w:tc>
          <w:tcPr>
            <w:tcW w:w="0" w:type="auto"/>
            <w:shd w:val="clear" w:color="auto" w:fill="E2EFD9"/>
            <w:tcMar>
              <w:top w:w="40" w:type="dxa"/>
              <w:left w:w="0" w:type="dxa"/>
              <w:bottom w:w="40" w:type="dxa"/>
              <w:right w:w="20" w:type="dxa"/>
            </w:tcMar>
            <w:vAlign w:val="bottom"/>
          </w:tcPr>
          <w:p w14:paraId="7C208D6D" w14:textId="77777777" w:rsidR="00834A75" w:rsidRDefault="00A6708C">
            <w:pPr>
              <w:jc w:val="right"/>
              <w:textAlignment w:val="bottom"/>
            </w:pPr>
            <w:r>
              <w:rPr>
                <w:rFonts w:ascii="sans-serif" w:eastAsia="sans-serif" w:hAnsi="sans-serif" w:cs="sans-serif"/>
                <w:color w:val="000000"/>
                <w:sz w:val="20"/>
                <w:szCs w:val="20"/>
              </w:rPr>
              <w:t>%</w:t>
            </w:r>
          </w:p>
        </w:tc>
        <w:tc>
          <w:tcPr>
            <w:tcW w:w="0" w:type="auto"/>
            <w:gridSpan w:val="3"/>
            <w:shd w:val="clear" w:color="auto" w:fill="E2EFD9"/>
            <w:tcMar>
              <w:top w:w="0" w:type="dxa"/>
              <w:left w:w="20" w:type="dxa"/>
              <w:bottom w:w="0" w:type="dxa"/>
              <w:right w:w="20" w:type="dxa"/>
            </w:tcMar>
            <w:vAlign w:val="bottom"/>
          </w:tcPr>
          <w:p w14:paraId="7C208D6E" w14:textId="77777777" w:rsidR="00834A75" w:rsidRDefault="00834A75">
            <w:pPr>
              <w:rPr>
                <w:rFonts w:ascii="宋体"/>
              </w:rPr>
            </w:pPr>
          </w:p>
        </w:tc>
        <w:tc>
          <w:tcPr>
            <w:tcW w:w="0" w:type="auto"/>
            <w:gridSpan w:val="2"/>
            <w:shd w:val="clear" w:color="auto" w:fill="E2EFD9"/>
            <w:tcMar>
              <w:top w:w="40" w:type="dxa"/>
              <w:left w:w="20" w:type="dxa"/>
              <w:bottom w:w="40" w:type="dxa"/>
              <w:right w:w="0" w:type="dxa"/>
            </w:tcMar>
            <w:vAlign w:val="bottom"/>
          </w:tcPr>
          <w:p w14:paraId="7C208D6F" w14:textId="77777777" w:rsidR="00834A75" w:rsidRDefault="00A6708C">
            <w:pPr>
              <w:jc w:val="right"/>
              <w:textAlignment w:val="bottom"/>
            </w:pPr>
            <w:r>
              <w:rPr>
                <w:rFonts w:ascii="sans-serif" w:eastAsia="sans-serif" w:hAnsi="sans-serif" w:cs="sans-serif"/>
                <w:color w:val="000000"/>
                <w:sz w:val="20"/>
                <w:szCs w:val="20"/>
              </w:rPr>
              <w:t>46 </w:t>
            </w:r>
          </w:p>
        </w:tc>
        <w:tc>
          <w:tcPr>
            <w:tcW w:w="0" w:type="auto"/>
            <w:shd w:val="clear" w:color="auto" w:fill="E2EFD9"/>
            <w:tcMar>
              <w:top w:w="40" w:type="dxa"/>
              <w:left w:w="0" w:type="dxa"/>
              <w:bottom w:w="40" w:type="dxa"/>
              <w:right w:w="20" w:type="dxa"/>
            </w:tcMar>
            <w:vAlign w:val="bottom"/>
          </w:tcPr>
          <w:p w14:paraId="7C208D70" w14:textId="77777777" w:rsidR="00834A75" w:rsidRDefault="00A6708C">
            <w:pPr>
              <w:jc w:val="right"/>
              <w:textAlignment w:val="bottom"/>
            </w:pPr>
            <w:r>
              <w:rPr>
                <w:rFonts w:ascii="sans-serif" w:eastAsia="sans-serif" w:hAnsi="sans-serif" w:cs="sans-serif"/>
                <w:color w:val="000000"/>
                <w:sz w:val="20"/>
                <w:szCs w:val="20"/>
              </w:rPr>
              <w:t>%</w:t>
            </w:r>
          </w:p>
        </w:tc>
      </w:tr>
      <w:tr w:rsidR="00834A75" w14:paraId="7C208D7F" w14:textId="77777777">
        <w:tc>
          <w:tcPr>
            <w:tcW w:w="0" w:type="auto"/>
            <w:gridSpan w:val="3"/>
            <w:shd w:val="clear" w:color="auto" w:fill="FFFFFF"/>
            <w:tcMar>
              <w:top w:w="40" w:type="dxa"/>
              <w:left w:w="20" w:type="dxa"/>
              <w:bottom w:w="40" w:type="dxa"/>
              <w:right w:w="20" w:type="dxa"/>
            </w:tcMar>
            <w:vAlign w:val="bottom"/>
          </w:tcPr>
          <w:p w14:paraId="7C208D72" w14:textId="77777777" w:rsidR="00834A75" w:rsidRDefault="00A6708C">
            <w:pPr>
              <w:textAlignment w:val="bottom"/>
            </w:pPr>
            <w:r>
              <w:rPr>
                <w:rFonts w:ascii="sans-serif" w:eastAsia="sans-serif" w:hAnsi="sans-serif" w:cs="sans-serif"/>
                <w:color w:val="000000"/>
                <w:sz w:val="20"/>
                <w:szCs w:val="20"/>
              </w:rPr>
              <w:t>Gross margin</w:t>
            </w:r>
          </w:p>
        </w:tc>
        <w:tc>
          <w:tcPr>
            <w:tcW w:w="0" w:type="auto"/>
            <w:gridSpan w:val="2"/>
            <w:shd w:val="clear" w:color="auto" w:fill="FFFFFF"/>
            <w:tcMar>
              <w:top w:w="40" w:type="dxa"/>
              <w:left w:w="20" w:type="dxa"/>
              <w:bottom w:w="40" w:type="dxa"/>
              <w:right w:w="0" w:type="dxa"/>
            </w:tcMar>
            <w:vAlign w:val="bottom"/>
          </w:tcPr>
          <w:p w14:paraId="7C208D73" w14:textId="77777777" w:rsidR="00834A75" w:rsidRDefault="00A6708C">
            <w:pPr>
              <w:jc w:val="right"/>
              <w:textAlignment w:val="bottom"/>
            </w:pPr>
            <w:r>
              <w:rPr>
                <w:rFonts w:ascii="sans-serif" w:eastAsia="sans-serif" w:hAnsi="sans-serif" w:cs="sans-serif"/>
                <w:color w:val="000000"/>
                <w:sz w:val="20"/>
                <w:szCs w:val="20"/>
              </w:rPr>
              <w:t>65.5 </w:t>
            </w:r>
          </w:p>
        </w:tc>
        <w:tc>
          <w:tcPr>
            <w:tcW w:w="0" w:type="auto"/>
            <w:shd w:val="clear" w:color="auto" w:fill="FFFFFF"/>
            <w:tcMar>
              <w:top w:w="40" w:type="dxa"/>
              <w:left w:w="0" w:type="dxa"/>
              <w:bottom w:w="40" w:type="dxa"/>
              <w:right w:w="20" w:type="dxa"/>
            </w:tcMar>
            <w:vAlign w:val="bottom"/>
          </w:tcPr>
          <w:p w14:paraId="7C208D74" w14:textId="77777777" w:rsidR="00834A75" w:rsidRDefault="00A6708C">
            <w:pPr>
              <w:jc w:val="right"/>
              <w:textAlignment w:val="bottom"/>
            </w:pPr>
            <w:r>
              <w:rPr>
                <w:rFonts w:ascii="sans-serif" w:eastAsia="sans-serif" w:hAnsi="sans-serif" w:cs="sans-serif"/>
                <w:color w:val="000000"/>
                <w:sz w:val="20"/>
                <w:szCs w:val="20"/>
              </w:rPr>
              <w:t>%</w:t>
            </w:r>
          </w:p>
        </w:tc>
        <w:tc>
          <w:tcPr>
            <w:tcW w:w="0" w:type="auto"/>
            <w:gridSpan w:val="3"/>
            <w:shd w:val="clear" w:color="auto" w:fill="FFFFFF"/>
            <w:tcMar>
              <w:top w:w="0" w:type="dxa"/>
              <w:left w:w="20" w:type="dxa"/>
              <w:bottom w:w="0" w:type="dxa"/>
              <w:right w:w="20" w:type="dxa"/>
            </w:tcMar>
            <w:vAlign w:val="bottom"/>
          </w:tcPr>
          <w:p w14:paraId="7C208D75" w14:textId="77777777" w:rsidR="00834A75" w:rsidRDefault="00834A75">
            <w:pPr>
              <w:rPr>
                <w:rFonts w:ascii="宋体"/>
              </w:rPr>
            </w:pPr>
          </w:p>
        </w:tc>
        <w:tc>
          <w:tcPr>
            <w:tcW w:w="0" w:type="auto"/>
            <w:gridSpan w:val="2"/>
            <w:shd w:val="clear" w:color="auto" w:fill="FFFFFF"/>
            <w:tcMar>
              <w:top w:w="40" w:type="dxa"/>
              <w:left w:w="20" w:type="dxa"/>
              <w:bottom w:w="40" w:type="dxa"/>
              <w:right w:w="0" w:type="dxa"/>
            </w:tcMar>
            <w:vAlign w:val="center"/>
          </w:tcPr>
          <w:p w14:paraId="7C208D76" w14:textId="77777777" w:rsidR="00834A75" w:rsidRDefault="00A6708C">
            <w:pPr>
              <w:jc w:val="right"/>
              <w:textAlignment w:val="center"/>
            </w:pPr>
            <w:r>
              <w:rPr>
                <w:rFonts w:ascii="sans-serif" w:eastAsia="sans-serif" w:hAnsi="sans-serif" w:cs="sans-serif"/>
                <w:color w:val="000000"/>
                <w:sz w:val="20"/>
                <w:szCs w:val="20"/>
              </w:rPr>
              <w:t>65.4 </w:t>
            </w:r>
          </w:p>
        </w:tc>
        <w:tc>
          <w:tcPr>
            <w:tcW w:w="0" w:type="auto"/>
            <w:shd w:val="clear" w:color="auto" w:fill="FFFFFF"/>
            <w:tcMar>
              <w:top w:w="40" w:type="dxa"/>
              <w:left w:w="0" w:type="dxa"/>
              <w:bottom w:w="40" w:type="dxa"/>
              <w:right w:w="20" w:type="dxa"/>
            </w:tcMar>
            <w:vAlign w:val="center"/>
          </w:tcPr>
          <w:p w14:paraId="7C208D77" w14:textId="77777777" w:rsidR="00834A75" w:rsidRDefault="00A6708C">
            <w:pPr>
              <w:jc w:val="right"/>
              <w:textAlignment w:val="center"/>
            </w:pPr>
            <w:r>
              <w:rPr>
                <w:rFonts w:ascii="sans-serif" w:eastAsia="sans-serif" w:hAnsi="sans-serif" w:cs="sans-serif"/>
                <w:color w:val="000000"/>
                <w:sz w:val="20"/>
                <w:szCs w:val="20"/>
              </w:rPr>
              <w:t>%</w:t>
            </w:r>
          </w:p>
        </w:tc>
        <w:tc>
          <w:tcPr>
            <w:tcW w:w="0" w:type="auto"/>
            <w:gridSpan w:val="3"/>
            <w:shd w:val="clear" w:color="auto" w:fill="FFFFFF"/>
            <w:tcMar>
              <w:top w:w="0" w:type="dxa"/>
              <w:left w:w="20" w:type="dxa"/>
              <w:bottom w:w="0" w:type="dxa"/>
              <w:right w:w="20" w:type="dxa"/>
            </w:tcMar>
            <w:vAlign w:val="bottom"/>
          </w:tcPr>
          <w:p w14:paraId="7C208D78" w14:textId="77777777" w:rsidR="00834A75" w:rsidRDefault="00834A75">
            <w:pPr>
              <w:rPr>
                <w:rFonts w:ascii="宋体"/>
              </w:rPr>
            </w:pPr>
          </w:p>
        </w:tc>
        <w:tc>
          <w:tcPr>
            <w:tcW w:w="0" w:type="auto"/>
            <w:gridSpan w:val="2"/>
            <w:shd w:val="clear" w:color="auto" w:fill="FFFFFF"/>
            <w:tcMar>
              <w:top w:w="40" w:type="dxa"/>
              <w:left w:w="20" w:type="dxa"/>
              <w:bottom w:w="40" w:type="dxa"/>
              <w:right w:w="0" w:type="dxa"/>
            </w:tcMar>
            <w:vAlign w:val="center"/>
          </w:tcPr>
          <w:p w14:paraId="7C208D79" w14:textId="77777777" w:rsidR="00834A75" w:rsidRDefault="00A6708C">
            <w:pPr>
              <w:jc w:val="right"/>
              <w:textAlignment w:val="center"/>
            </w:pPr>
            <w:r>
              <w:rPr>
                <w:rFonts w:ascii="sans-serif" w:eastAsia="sans-serif" w:hAnsi="sans-serif" w:cs="sans-serif"/>
                <w:color w:val="000000"/>
                <w:sz w:val="20"/>
                <w:szCs w:val="20"/>
              </w:rPr>
              <w:t>64.1 </w:t>
            </w:r>
          </w:p>
        </w:tc>
        <w:tc>
          <w:tcPr>
            <w:tcW w:w="0" w:type="auto"/>
            <w:shd w:val="clear" w:color="auto" w:fill="FFFFFF"/>
            <w:tcMar>
              <w:top w:w="40" w:type="dxa"/>
              <w:left w:w="0" w:type="dxa"/>
              <w:bottom w:w="40" w:type="dxa"/>
              <w:right w:w="20" w:type="dxa"/>
            </w:tcMar>
            <w:vAlign w:val="center"/>
          </w:tcPr>
          <w:p w14:paraId="7C208D7A" w14:textId="77777777" w:rsidR="00834A75" w:rsidRDefault="00A6708C">
            <w:pPr>
              <w:jc w:val="right"/>
              <w:textAlignment w:val="center"/>
            </w:pPr>
            <w:r>
              <w:rPr>
                <w:rFonts w:ascii="sans-serif" w:eastAsia="sans-serif" w:hAnsi="sans-serif" w:cs="sans-serif"/>
                <w:color w:val="000000"/>
                <w:sz w:val="20"/>
                <w:szCs w:val="20"/>
              </w:rPr>
              <w:t>%</w:t>
            </w:r>
          </w:p>
        </w:tc>
        <w:tc>
          <w:tcPr>
            <w:tcW w:w="0" w:type="auto"/>
            <w:gridSpan w:val="3"/>
            <w:shd w:val="clear" w:color="auto" w:fill="FFFFFF"/>
            <w:tcMar>
              <w:top w:w="0" w:type="dxa"/>
              <w:left w:w="20" w:type="dxa"/>
              <w:bottom w:w="0" w:type="dxa"/>
              <w:right w:w="20" w:type="dxa"/>
            </w:tcMar>
            <w:vAlign w:val="bottom"/>
          </w:tcPr>
          <w:p w14:paraId="7C208D7B" w14:textId="77777777" w:rsidR="00834A75" w:rsidRDefault="00834A75">
            <w:pPr>
              <w:rPr>
                <w:rFonts w:ascii="宋体"/>
              </w:rPr>
            </w:pPr>
          </w:p>
        </w:tc>
        <w:tc>
          <w:tcPr>
            <w:tcW w:w="0" w:type="auto"/>
            <w:gridSpan w:val="3"/>
            <w:shd w:val="clear" w:color="auto" w:fill="FFFFFF"/>
            <w:tcMar>
              <w:top w:w="40" w:type="dxa"/>
              <w:left w:w="20" w:type="dxa"/>
              <w:bottom w:w="40" w:type="dxa"/>
              <w:right w:w="20" w:type="dxa"/>
            </w:tcMar>
            <w:vAlign w:val="bottom"/>
          </w:tcPr>
          <w:p w14:paraId="7C208D7C" w14:textId="77777777" w:rsidR="00834A75" w:rsidRDefault="00A6708C">
            <w:pPr>
              <w:jc w:val="right"/>
              <w:textAlignment w:val="bottom"/>
            </w:pPr>
            <w:r>
              <w:rPr>
                <w:rFonts w:ascii="sans-serif" w:eastAsia="sans-serif" w:hAnsi="sans-serif" w:cs="sans-serif"/>
                <w:color w:val="000000"/>
                <w:sz w:val="20"/>
                <w:szCs w:val="20"/>
              </w:rPr>
              <w:t>10 bps</w:t>
            </w:r>
          </w:p>
        </w:tc>
        <w:tc>
          <w:tcPr>
            <w:tcW w:w="0" w:type="auto"/>
            <w:gridSpan w:val="3"/>
            <w:shd w:val="clear" w:color="auto" w:fill="FFFFFF"/>
            <w:tcMar>
              <w:top w:w="0" w:type="dxa"/>
              <w:left w:w="20" w:type="dxa"/>
              <w:bottom w:w="0" w:type="dxa"/>
              <w:right w:w="20" w:type="dxa"/>
            </w:tcMar>
            <w:vAlign w:val="bottom"/>
          </w:tcPr>
          <w:p w14:paraId="7C208D7D" w14:textId="77777777" w:rsidR="00834A75" w:rsidRDefault="00834A75">
            <w:pPr>
              <w:rPr>
                <w:rFonts w:ascii="宋体"/>
              </w:rPr>
            </w:pPr>
          </w:p>
        </w:tc>
        <w:tc>
          <w:tcPr>
            <w:tcW w:w="0" w:type="auto"/>
            <w:gridSpan w:val="3"/>
            <w:shd w:val="clear" w:color="auto" w:fill="FFFFFF"/>
            <w:tcMar>
              <w:top w:w="40" w:type="dxa"/>
              <w:left w:w="20" w:type="dxa"/>
              <w:bottom w:w="40" w:type="dxa"/>
              <w:right w:w="20" w:type="dxa"/>
            </w:tcMar>
            <w:vAlign w:val="bottom"/>
          </w:tcPr>
          <w:p w14:paraId="7C208D7E" w14:textId="77777777" w:rsidR="00834A75" w:rsidRDefault="00A6708C">
            <w:pPr>
              <w:jc w:val="right"/>
              <w:textAlignment w:val="bottom"/>
            </w:pPr>
            <w:r>
              <w:rPr>
                <w:rFonts w:ascii="sans-serif" w:eastAsia="sans-serif" w:hAnsi="sans-serif" w:cs="sans-serif"/>
                <w:color w:val="000000"/>
                <w:sz w:val="20"/>
                <w:szCs w:val="20"/>
              </w:rPr>
              <w:t>140 bps</w:t>
            </w:r>
          </w:p>
        </w:tc>
      </w:tr>
      <w:tr w:rsidR="00834A75" w14:paraId="7C208D92" w14:textId="77777777">
        <w:tc>
          <w:tcPr>
            <w:tcW w:w="0" w:type="auto"/>
            <w:gridSpan w:val="3"/>
            <w:shd w:val="clear" w:color="auto" w:fill="E2EFD9"/>
            <w:tcMar>
              <w:top w:w="40" w:type="dxa"/>
              <w:left w:w="20" w:type="dxa"/>
              <w:bottom w:w="40" w:type="dxa"/>
              <w:right w:w="20" w:type="dxa"/>
            </w:tcMar>
            <w:vAlign w:val="bottom"/>
          </w:tcPr>
          <w:p w14:paraId="7C208D80" w14:textId="77777777" w:rsidR="00834A75" w:rsidRDefault="00A6708C">
            <w:pPr>
              <w:textAlignment w:val="bottom"/>
            </w:pPr>
            <w:r>
              <w:rPr>
                <w:rFonts w:ascii="sans-serif" w:eastAsia="sans-serif" w:hAnsi="sans-serif" w:cs="sans-serif"/>
                <w:color w:val="000000"/>
                <w:sz w:val="20"/>
                <w:szCs w:val="20"/>
              </w:rPr>
              <w:t>Operating expenses</w:t>
            </w:r>
          </w:p>
        </w:tc>
        <w:tc>
          <w:tcPr>
            <w:tcW w:w="0" w:type="auto"/>
            <w:shd w:val="clear" w:color="auto" w:fill="E2EFD9"/>
            <w:tcMar>
              <w:top w:w="40" w:type="dxa"/>
              <w:left w:w="20" w:type="dxa"/>
              <w:bottom w:w="40" w:type="dxa"/>
              <w:right w:w="0" w:type="dxa"/>
            </w:tcMar>
            <w:vAlign w:val="bottom"/>
          </w:tcPr>
          <w:p w14:paraId="7C208D81" w14:textId="77777777" w:rsidR="00834A75" w:rsidRDefault="00A6708C">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7C208D82" w14:textId="77777777" w:rsidR="00834A75" w:rsidRDefault="00A6708C">
            <w:pPr>
              <w:jc w:val="right"/>
              <w:textAlignment w:val="bottom"/>
            </w:pPr>
            <w:r>
              <w:rPr>
                <w:rFonts w:ascii="sans-serif" w:eastAsia="sans-serif" w:hAnsi="sans-serif" w:cs="sans-serif"/>
                <w:color w:val="000000"/>
                <w:sz w:val="20"/>
                <w:szCs w:val="20"/>
              </w:rPr>
              <w:t>3,563 </w:t>
            </w:r>
          </w:p>
        </w:tc>
        <w:tc>
          <w:tcPr>
            <w:tcW w:w="0" w:type="auto"/>
            <w:shd w:val="clear" w:color="auto" w:fill="E2EFD9"/>
            <w:tcMar>
              <w:top w:w="40" w:type="dxa"/>
              <w:left w:w="0" w:type="dxa"/>
              <w:bottom w:w="40" w:type="dxa"/>
              <w:right w:w="20" w:type="dxa"/>
            </w:tcMar>
            <w:vAlign w:val="bottom"/>
          </w:tcPr>
          <w:p w14:paraId="7C208D83" w14:textId="77777777" w:rsidR="00834A75" w:rsidRDefault="00834A75">
            <w:pPr>
              <w:jc w:val="right"/>
              <w:rPr>
                <w:rFonts w:ascii="宋体"/>
              </w:rPr>
            </w:pPr>
          </w:p>
        </w:tc>
        <w:tc>
          <w:tcPr>
            <w:tcW w:w="0" w:type="auto"/>
            <w:gridSpan w:val="3"/>
            <w:shd w:val="clear" w:color="auto" w:fill="E2EFD9"/>
            <w:tcMar>
              <w:top w:w="0" w:type="dxa"/>
              <w:left w:w="20" w:type="dxa"/>
              <w:bottom w:w="0" w:type="dxa"/>
              <w:right w:w="20" w:type="dxa"/>
            </w:tcMar>
            <w:vAlign w:val="bottom"/>
          </w:tcPr>
          <w:p w14:paraId="7C208D84" w14:textId="77777777" w:rsidR="00834A75" w:rsidRDefault="00834A75">
            <w:pPr>
              <w:rPr>
                <w:rFonts w:ascii="宋体"/>
              </w:rPr>
            </w:pPr>
          </w:p>
        </w:tc>
        <w:tc>
          <w:tcPr>
            <w:tcW w:w="0" w:type="auto"/>
            <w:shd w:val="clear" w:color="auto" w:fill="E2EFD9"/>
            <w:tcMar>
              <w:top w:w="40" w:type="dxa"/>
              <w:left w:w="20" w:type="dxa"/>
              <w:bottom w:w="40" w:type="dxa"/>
              <w:right w:w="0" w:type="dxa"/>
            </w:tcMar>
            <w:vAlign w:val="bottom"/>
          </w:tcPr>
          <w:p w14:paraId="7C208D85" w14:textId="77777777" w:rsidR="00834A75" w:rsidRDefault="00A6708C">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7C208D86" w14:textId="77777777" w:rsidR="00834A75" w:rsidRDefault="00A6708C">
            <w:pPr>
              <w:jc w:val="right"/>
              <w:textAlignment w:val="bottom"/>
            </w:pPr>
            <w:r>
              <w:rPr>
                <w:rFonts w:ascii="sans-serif" w:eastAsia="sans-serif" w:hAnsi="sans-serif" w:cs="sans-serif"/>
                <w:color w:val="000000"/>
                <w:sz w:val="20"/>
                <w:szCs w:val="20"/>
              </w:rPr>
              <w:t>2,029 </w:t>
            </w:r>
          </w:p>
        </w:tc>
        <w:tc>
          <w:tcPr>
            <w:tcW w:w="0" w:type="auto"/>
            <w:shd w:val="clear" w:color="auto" w:fill="E2EFD9"/>
            <w:tcMar>
              <w:top w:w="40" w:type="dxa"/>
              <w:left w:w="0" w:type="dxa"/>
              <w:bottom w:w="40" w:type="dxa"/>
              <w:right w:w="20" w:type="dxa"/>
            </w:tcMar>
            <w:vAlign w:val="bottom"/>
          </w:tcPr>
          <w:p w14:paraId="7C208D87" w14:textId="77777777" w:rsidR="00834A75" w:rsidRDefault="00834A75">
            <w:pPr>
              <w:jc w:val="right"/>
              <w:rPr>
                <w:rFonts w:ascii="宋体"/>
              </w:rPr>
            </w:pPr>
          </w:p>
        </w:tc>
        <w:tc>
          <w:tcPr>
            <w:tcW w:w="0" w:type="auto"/>
            <w:gridSpan w:val="3"/>
            <w:shd w:val="clear" w:color="auto" w:fill="E2EFD9"/>
            <w:tcMar>
              <w:top w:w="0" w:type="dxa"/>
              <w:left w:w="20" w:type="dxa"/>
              <w:bottom w:w="0" w:type="dxa"/>
              <w:right w:w="20" w:type="dxa"/>
            </w:tcMar>
            <w:vAlign w:val="bottom"/>
          </w:tcPr>
          <w:p w14:paraId="7C208D88" w14:textId="77777777" w:rsidR="00834A75" w:rsidRDefault="00834A75">
            <w:pPr>
              <w:rPr>
                <w:rFonts w:ascii="宋体"/>
              </w:rPr>
            </w:pPr>
          </w:p>
        </w:tc>
        <w:tc>
          <w:tcPr>
            <w:tcW w:w="0" w:type="auto"/>
            <w:shd w:val="clear" w:color="auto" w:fill="E2EFD9"/>
            <w:tcMar>
              <w:top w:w="40" w:type="dxa"/>
              <w:left w:w="20" w:type="dxa"/>
              <w:bottom w:w="40" w:type="dxa"/>
              <w:right w:w="0" w:type="dxa"/>
            </w:tcMar>
            <w:vAlign w:val="bottom"/>
          </w:tcPr>
          <w:p w14:paraId="7C208D89" w14:textId="77777777" w:rsidR="00834A75" w:rsidRDefault="00A6708C">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7C208D8A" w14:textId="77777777" w:rsidR="00834A75" w:rsidRDefault="00A6708C">
            <w:pPr>
              <w:jc w:val="right"/>
              <w:textAlignment w:val="bottom"/>
            </w:pPr>
            <w:r>
              <w:rPr>
                <w:rFonts w:ascii="sans-serif" w:eastAsia="sans-serif" w:hAnsi="sans-serif" w:cs="sans-serif"/>
                <w:color w:val="000000"/>
                <w:sz w:val="20"/>
                <w:szCs w:val="20"/>
              </w:rPr>
              <w:t>1,673 </w:t>
            </w:r>
          </w:p>
        </w:tc>
        <w:tc>
          <w:tcPr>
            <w:tcW w:w="0" w:type="auto"/>
            <w:shd w:val="clear" w:color="auto" w:fill="E2EFD9"/>
            <w:tcMar>
              <w:top w:w="40" w:type="dxa"/>
              <w:left w:w="0" w:type="dxa"/>
              <w:bottom w:w="40" w:type="dxa"/>
              <w:right w:w="20" w:type="dxa"/>
            </w:tcMar>
            <w:vAlign w:val="bottom"/>
          </w:tcPr>
          <w:p w14:paraId="7C208D8B" w14:textId="77777777" w:rsidR="00834A75" w:rsidRDefault="00834A75">
            <w:pPr>
              <w:jc w:val="right"/>
              <w:rPr>
                <w:rFonts w:ascii="宋体"/>
              </w:rPr>
            </w:pPr>
          </w:p>
        </w:tc>
        <w:tc>
          <w:tcPr>
            <w:tcW w:w="0" w:type="auto"/>
            <w:gridSpan w:val="3"/>
            <w:shd w:val="clear" w:color="auto" w:fill="E2EFD9"/>
            <w:tcMar>
              <w:top w:w="0" w:type="dxa"/>
              <w:left w:w="20" w:type="dxa"/>
              <w:bottom w:w="0" w:type="dxa"/>
              <w:right w:w="20" w:type="dxa"/>
            </w:tcMar>
            <w:vAlign w:val="bottom"/>
          </w:tcPr>
          <w:p w14:paraId="7C208D8C" w14:textId="77777777" w:rsidR="00834A75" w:rsidRDefault="00834A75">
            <w:pPr>
              <w:rPr>
                <w:rFonts w:ascii="宋体"/>
              </w:rPr>
            </w:pPr>
          </w:p>
        </w:tc>
        <w:tc>
          <w:tcPr>
            <w:tcW w:w="0" w:type="auto"/>
            <w:gridSpan w:val="2"/>
            <w:shd w:val="clear" w:color="auto" w:fill="E2EFD9"/>
            <w:tcMar>
              <w:top w:w="40" w:type="dxa"/>
              <w:left w:w="20" w:type="dxa"/>
              <w:bottom w:w="40" w:type="dxa"/>
              <w:right w:w="0" w:type="dxa"/>
            </w:tcMar>
            <w:vAlign w:val="bottom"/>
          </w:tcPr>
          <w:p w14:paraId="7C208D8D" w14:textId="77777777" w:rsidR="00834A75" w:rsidRDefault="00A6708C">
            <w:pPr>
              <w:jc w:val="right"/>
              <w:textAlignment w:val="bottom"/>
            </w:pPr>
            <w:r>
              <w:rPr>
                <w:rFonts w:ascii="sans-serif" w:eastAsia="sans-serif" w:hAnsi="sans-serif" w:cs="sans-serif"/>
                <w:color w:val="000000"/>
                <w:sz w:val="20"/>
                <w:szCs w:val="20"/>
              </w:rPr>
              <w:t>76 </w:t>
            </w:r>
          </w:p>
        </w:tc>
        <w:tc>
          <w:tcPr>
            <w:tcW w:w="0" w:type="auto"/>
            <w:shd w:val="clear" w:color="auto" w:fill="E2EFD9"/>
            <w:tcMar>
              <w:top w:w="40" w:type="dxa"/>
              <w:left w:w="0" w:type="dxa"/>
              <w:bottom w:w="40" w:type="dxa"/>
              <w:right w:w="20" w:type="dxa"/>
            </w:tcMar>
            <w:vAlign w:val="bottom"/>
          </w:tcPr>
          <w:p w14:paraId="7C208D8E" w14:textId="77777777" w:rsidR="00834A75" w:rsidRDefault="00A6708C">
            <w:pPr>
              <w:jc w:val="right"/>
              <w:textAlignment w:val="bottom"/>
            </w:pPr>
            <w:r>
              <w:rPr>
                <w:rFonts w:ascii="sans-serif" w:eastAsia="sans-serif" w:hAnsi="sans-serif" w:cs="sans-serif"/>
                <w:color w:val="000000"/>
                <w:sz w:val="20"/>
                <w:szCs w:val="20"/>
              </w:rPr>
              <w:t>%</w:t>
            </w:r>
          </w:p>
        </w:tc>
        <w:tc>
          <w:tcPr>
            <w:tcW w:w="0" w:type="auto"/>
            <w:gridSpan w:val="3"/>
            <w:shd w:val="clear" w:color="auto" w:fill="E2EFD9"/>
            <w:tcMar>
              <w:top w:w="0" w:type="dxa"/>
              <w:left w:w="20" w:type="dxa"/>
              <w:bottom w:w="0" w:type="dxa"/>
              <w:right w:w="20" w:type="dxa"/>
            </w:tcMar>
            <w:vAlign w:val="bottom"/>
          </w:tcPr>
          <w:p w14:paraId="7C208D8F" w14:textId="77777777" w:rsidR="00834A75" w:rsidRDefault="00834A75">
            <w:pPr>
              <w:rPr>
                <w:rFonts w:ascii="宋体"/>
              </w:rPr>
            </w:pPr>
          </w:p>
        </w:tc>
        <w:tc>
          <w:tcPr>
            <w:tcW w:w="0" w:type="auto"/>
            <w:gridSpan w:val="2"/>
            <w:shd w:val="clear" w:color="auto" w:fill="E2EFD9"/>
            <w:tcMar>
              <w:top w:w="40" w:type="dxa"/>
              <w:left w:w="20" w:type="dxa"/>
              <w:bottom w:w="40" w:type="dxa"/>
              <w:right w:w="0" w:type="dxa"/>
            </w:tcMar>
            <w:vAlign w:val="bottom"/>
          </w:tcPr>
          <w:p w14:paraId="7C208D90" w14:textId="77777777" w:rsidR="00834A75" w:rsidRDefault="00A6708C">
            <w:pPr>
              <w:jc w:val="right"/>
              <w:textAlignment w:val="bottom"/>
            </w:pPr>
            <w:r>
              <w:rPr>
                <w:rFonts w:ascii="sans-serif" w:eastAsia="sans-serif" w:hAnsi="sans-serif" w:cs="sans-serif"/>
                <w:color w:val="000000"/>
                <w:sz w:val="20"/>
                <w:szCs w:val="20"/>
              </w:rPr>
              <w:t>113 </w:t>
            </w:r>
          </w:p>
        </w:tc>
        <w:tc>
          <w:tcPr>
            <w:tcW w:w="0" w:type="auto"/>
            <w:shd w:val="clear" w:color="auto" w:fill="E2EFD9"/>
            <w:tcMar>
              <w:top w:w="40" w:type="dxa"/>
              <w:left w:w="0" w:type="dxa"/>
              <w:bottom w:w="40" w:type="dxa"/>
              <w:right w:w="20" w:type="dxa"/>
            </w:tcMar>
            <w:vAlign w:val="bottom"/>
          </w:tcPr>
          <w:p w14:paraId="7C208D91" w14:textId="77777777" w:rsidR="00834A75" w:rsidRDefault="00A6708C">
            <w:pPr>
              <w:jc w:val="right"/>
              <w:textAlignment w:val="bottom"/>
            </w:pPr>
            <w:r>
              <w:rPr>
                <w:rFonts w:ascii="sans-serif" w:eastAsia="sans-serif" w:hAnsi="sans-serif" w:cs="sans-serif"/>
                <w:color w:val="000000"/>
                <w:sz w:val="20"/>
                <w:szCs w:val="20"/>
              </w:rPr>
              <w:t>%</w:t>
            </w:r>
          </w:p>
        </w:tc>
      </w:tr>
      <w:tr w:rsidR="00834A75" w14:paraId="7C208DA5" w14:textId="77777777">
        <w:tc>
          <w:tcPr>
            <w:tcW w:w="0" w:type="auto"/>
            <w:gridSpan w:val="3"/>
            <w:shd w:val="clear" w:color="auto" w:fill="FFFFFF"/>
            <w:tcMar>
              <w:top w:w="40" w:type="dxa"/>
              <w:left w:w="20" w:type="dxa"/>
              <w:bottom w:w="40" w:type="dxa"/>
              <w:right w:w="20" w:type="dxa"/>
            </w:tcMar>
            <w:vAlign w:val="bottom"/>
          </w:tcPr>
          <w:p w14:paraId="7C208D93" w14:textId="77777777" w:rsidR="00834A75" w:rsidRDefault="00A6708C">
            <w:pPr>
              <w:textAlignment w:val="bottom"/>
            </w:pPr>
            <w:r>
              <w:rPr>
                <w:rFonts w:ascii="sans-serif" w:eastAsia="sans-serif" w:hAnsi="sans-serif" w:cs="sans-serif"/>
                <w:color w:val="000000"/>
                <w:sz w:val="20"/>
                <w:szCs w:val="20"/>
              </w:rPr>
              <w:t>Income from operations</w:t>
            </w:r>
          </w:p>
        </w:tc>
        <w:tc>
          <w:tcPr>
            <w:tcW w:w="0" w:type="auto"/>
            <w:shd w:val="clear" w:color="auto" w:fill="FFFFFF"/>
            <w:tcMar>
              <w:top w:w="40" w:type="dxa"/>
              <w:left w:w="20" w:type="dxa"/>
              <w:bottom w:w="40" w:type="dxa"/>
              <w:right w:w="0" w:type="dxa"/>
            </w:tcMar>
            <w:vAlign w:val="bottom"/>
          </w:tcPr>
          <w:p w14:paraId="7C208D94" w14:textId="77777777" w:rsidR="00834A75" w:rsidRDefault="00A6708C">
            <w:pPr>
              <w:textAlignment w:val="bottom"/>
            </w:pPr>
            <w:r>
              <w:rPr>
                <w:rFonts w:ascii="sans-serif" w:eastAsia="sans-serif" w:hAnsi="sans-serif" w:cs="sans-serif"/>
                <w:color w:val="000000"/>
                <w:sz w:val="20"/>
                <w:szCs w:val="20"/>
              </w:rPr>
              <w:t>$</w:t>
            </w:r>
          </w:p>
        </w:tc>
        <w:tc>
          <w:tcPr>
            <w:tcW w:w="0" w:type="auto"/>
            <w:shd w:val="clear" w:color="auto" w:fill="FFFFFF"/>
            <w:tcMar>
              <w:top w:w="40" w:type="dxa"/>
              <w:left w:w="0" w:type="dxa"/>
              <w:bottom w:w="40" w:type="dxa"/>
              <w:right w:w="0" w:type="dxa"/>
            </w:tcMar>
            <w:vAlign w:val="bottom"/>
          </w:tcPr>
          <w:p w14:paraId="7C208D95" w14:textId="77777777" w:rsidR="00834A75" w:rsidRDefault="00A6708C">
            <w:pPr>
              <w:jc w:val="right"/>
              <w:textAlignment w:val="bottom"/>
            </w:pPr>
            <w:r>
              <w:rPr>
                <w:rFonts w:ascii="sans-serif" w:eastAsia="sans-serif" w:hAnsi="sans-serif" w:cs="sans-serif"/>
                <w:color w:val="000000"/>
                <w:sz w:val="20"/>
                <w:szCs w:val="20"/>
              </w:rPr>
              <w:t>1,868 </w:t>
            </w:r>
          </w:p>
        </w:tc>
        <w:tc>
          <w:tcPr>
            <w:tcW w:w="0" w:type="auto"/>
            <w:shd w:val="clear" w:color="auto" w:fill="FFFFFF"/>
            <w:tcMar>
              <w:top w:w="40" w:type="dxa"/>
              <w:left w:w="0" w:type="dxa"/>
              <w:bottom w:w="40" w:type="dxa"/>
              <w:right w:w="20" w:type="dxa"/>
            </w:tcMar>
            <w:vAlign w:val="bottom"/>
          </w:tcPr>
          <w:p w14:paraId="7C208D96" w14:textId="77777777" w:rsidR="00834A75" w:rsidRDefault="00834A75">
            <w:pPr>
              <w:jc w:val="right"/>
              <w:rPr>
                <w:rFonts w:ascii="宋体"/>
              </w:rPr>
            </w:pPr>
          </w:p>
        </w:tc>
        <w:tc>
          <w:tcPr>
            <w:tcW w:w="0" w:type="auto"/>
            <w:gridSpan w:val="3"/>
            <w:shd w:val="clear" w:color="auto" w:fill="FFFFFF"/>
            <w:tcMar>
              <w:top w:w="0" w:type="dxa"/>
              <w:left w:w="20" w:type="dxa"/>
              <w:bottom w:w="0" w:type="dxa"/>
              <w:right w:w="20" w:type="dxa"/>
            </w:tcMar>
            <w:vAlign w:val="bottom"/>
          </w:tcPr>
          <w:p w14:paraId="7C208D97" w14:textId="77777777" w:rsidR="00834A75" w:rsidRDefault="00834A75">
            <w:pPr>
              <w:rPr>
                <w:rFonts w:ascii="宋体"/>
              </w:rPr>
            </w:pPr>
          </w:p>
        </w:tc>
        <w:tc>
          <w:tcPr>
            <w:tcW w:w="0" w:type="auto"/>
            <w:shd w:val="clear" w:color="auto" w:fill="FFFFFF"/>
            <w:tcMar>
              <w:top w:w="40" w:type="dxa"/>
              <w:left w:w="20" w:type="dxa"/>
              <w:bottom w:w="40" w:type="dxa"/>
              <w:right w:w="0" w:type="dxa"/>
            </w:tcMar>
            <w:vAlign w:val="bottom"/>
          </w:tcPr>
          <w:p w14:paraId="7C208D98" w14:textId="77777777" w:rsidR="00834A75" w:rsidRDefault="00A6708C">
            <w:pPr>
              <w:textAlignment w:val="bottom"/>
            </w:pPr>
            <w:r>
              <w:rPr>
                <w:rFonts w:ascii="sans-serif" w:eastAsia="sans-serif" w:hAnsi="sans-serif" w:cs="sans-serif"/>
                <w:color w:val="000000"/>
                <w:sz w:val="20"/>
                <w:szCs w:val="20"/>
              </w:rPr>
              <w:t>$</w:t>
            </w:r>
          </w:p>
        </w:tc>
        <w:tc>
          <w:tcPr>
            <w:tcW w:w="0" w:type="auto"/>
            <w:shd w:val="clear" w:color="auto" w:fill="FFFFFF"/>
            <w:tcMar>
              <w:top w:w="40" w:type="dxa"/>
              <w:left w:w="0" w:type="dxa"/>
              <w:bottom w:w="40" w:type="dxa"/>
              <w:right w:w="0" w:type="dxa"/>
            </w:tcMar>
            <w:vAlign w:val="bottom"/>
          </w:tcPr>
          <w:p w14:paraId="7C208D99" w14:textId="77777777" w:rsidR="00834A75" w:rsidRDefault="00A6708C">
            <w:pPr>
              <w:jc w:val="right"/>
              <w:textAlignment w:val="bottom"/>
            </w:pPr>
            <w:r>
              <w:rPr>
                <w:rFonts w:ascii="sans-serif" w:eastAsia="sans-serif" w:hAnsi="sans-serif" w:cs="sans-serif"/>
                <w:color w:val="000000"/>
                <w:sz w:val="20"/>
                <w:szCs w:val="20"/>
              </w:rPr>
              <w:t>2,970 </w:t>
            </w:r>
          </w:p>
        </w:tc>
        <w:tc>
          <w:tcPr>
            <w:tcW w:w="0" w:type="auto"/>
            <w:shd w:val="clear" w:color="auto" w:fill="FFFFFF"/>
            <w:tcMar>
              <w:top w:w="40" w:type="dxa"/>
              <w:left w:w="0" w:type="dxa"/>
              <w:bottom w:w="40" w:type="dxa"/>
              <w:right w:w="20" w:type="dxa"/>
            </w:tcMar>
            <w:vAlign w:val="bottom"/>
          </w:tcPr>
          <w:p w14:paraId="7C208D9A" w14:textId="77777777" w:rsidR="00834A75" w:rsidRDefault="00834A75">
            <w:pPr>
              <w:jc w:val="right"/>
              <w:rPr>
                <w:rFonts w:ascii="宋体"/>
              </w:rPr>
            </w:pPr>
          </w:p>
        </w:tc>
        <w:tc>
          <w:tcPr>
            <w:tcW w:w="0" w:type="auto"/>
            <w:gridSpan w:val="3"/>
            <w:shd w:val="clear" w:color="auto" w:fill="FFFFFF"/>
            <w:tcMar>
              <w:top w:w="0" w:type="dxa"/>
              <w:left w:w="20" w:type="dxa"/>
              <w:bottom w:w="0" w:type="dxa"/>
              <w:right w:w="20" w:type="dxa"/>
            </w:tcMar>
            <w:vAlign w:val="bottom"/>
          </w:tcPr>
          <w:p w14:paraId="7C208D9B" w14:textId="77777777" w:rsidR="00834A75" w:rsidRDefault="00834A75">
            <w:pPr>
              <w:rPr>
                <w:rFonts w:ascii="宋体"/>
              </w:rPr>
            </w:pPr>
          </w:p>
        </w:tc>
        <w:tc>
          <w:tcPr>
            <w:tcW w:w="0" w:type="auto"/>
            <w:shd w:val="clear" w:color="auto" w:fill="FFFFFF"/>
            <w:tcMar>
              <w:top w:w="40" w:type="dxa"/>
              <w:left w:w="20" w:type="dxa"/>
              <w:bottom w:w="40" w:type="dxa"/>
              <w:right w:w="0" w:type="dxa"/>
            </w:tcMar>
            <w:vAlign w:val="bottom"/>
          </w:tcPr>
          <w:p w14:paraId="7C208D9C" w14:textId="77777777" w:rsidR="00834A75" w:rsidRDefault="00A6708C">
            <w:pPr>
              <w:textAlignment w:val="bottom"/>
            </w:pPr>
            <w:r>
              <w:rPr>
                <w:rFonts w:ascii="sans-serif" w:eastAsia="sans-serif" w:hAnsi="sans-serif" w:cs="sans-serif"/>
                <w:color w:val="000000"/>
                <w:sz w:val="20"/>
                <w:szCs w:val="20"/>
              </w:rPr>
              <w:t>$</w:t>
            </w:r>
          </w:p>
        </w:tc>
        <w:tc>
          <w:tcPr>
            <w:tcW w:w="0" w:type="auto"/>
            <w:shd w:val="clear" w:color="auto" w:fill="FFFFFF"/>
            <w:tcMar>
              <w:top w:w="40" w:type="dxa"/>
              <w:left w:w="0" w:type="dxa"/>
              <w:bottom w:w="40" w:type="dxa"/>
              <w:right w:w="0" w:type="dxa"/>
            </w:tcMar>
            <w:vAlign w:val="bottom"/>
          </w:tcPr>
          <w:p w14:paraId="7C208D9D" w14:textId="77777777" w:rsidR="00834A75" w:rsidRDefault="00A6708C">
            <w:pPr>
              <w:jc w:val="right"/>
              <w:textAlignment w:val="bottom"/>
            </w:pPr>
            <w:r>
              <w:rPr>
                <w:rFonts w:ascii="sans-serif" w:eastAsia="sans-serif" w:hAnsi="sans-serif" w:cs="sans-serif"/>
                <w:color w:val="000000"/>
                <w:sz w:val="20"/>
                <w:szCs w:val="20"/>
              </w:rPr>
              <w:t>1,956 </w:t>
            </w:r>
          </w:p>
        </w:tc>
        <w:tc>
          <w:tcPr>
            <w:tcW w:w="0" w:type="auto"/>
            <w:shd w:val="clear" w:color="auto" w:fill="FFFFFF"/>
            <w:tcMar>
              <w:top w:w="40" w:type="dxa"/>
              <w:left w:w="0" w:type="dxa"/>
              <w:bottom w:w="40" w:type="dxa"/>
              <w:right w:w="20" w:type="dxa"/>
            </w:tcMar>
            <w:vAlign w:val="bottom"/>
          </w:tcPr>
          <w:p w14:paraId="7C208D9E" w14:textId="77777777" w:rsidR="00834A75" w:rsidRDefault="00834A75">
            <w:pPr>
              <w:jc w:val="right"/>
              <w:rPr>
                <w:rFonts w:ascii="宋体"/>
              </w:rPr>
            </w:pPr>
          </w:p>
        </w:tc>
        <w:tc>
          <w:tcPr>
            <w:tcW w:w="0" w:type="auto"/>
            <w:gridSpan w:val="3"/>
            <w:shd w:val="clear" w:color="auto" w:fill="FFFFFF"/>
            <w:tcMar>
              <w:top w:w="0" w:type="dxa"/>
              <w:left w:w="20" w:type="dxa"/>
              <w:bottom w:w="0" w:type="dxa"/>
              <w:right w:w="20" w:type="dxa"/>
            </w:tcMar>
            <w:vAlign w:val="bottom"/>
          </w:tcPr>
          <w:p w14:paraId="7C208D9F" w14:textId="77777777" w:rsidR="00834A75" w:rsidRDefault="00834A75">
            <w:pPr>
              <w:rPr>
                <w:rFonts w:ascii="宋体"/>
              </w:rPr>
            </w:pPr>
          </w:p>
        </w:tc>
        <w:tc>
          <w:tcPr>
            <w:tcW w:w="0" w:type="auto"/>
            <w:gridSpan w:val="2"/>
            <w:shd w:val="clear" w:color="auto" w:fill="FFFFFF"/>
            <w:tcMar>
              <w:top w:w="40" w:type="dxa"/>
              <w:left w:w="20" w:type="dxa"/>
              <w:bottom w:w="40" w:type="dxa"/>
              <w:right w:w="0" w:type="dxa"/>
            </w:tcMar>
            <w:vAlign w:val="bottom"/>
          </w:tcPr>
          <w:p w14:paraId="7C208DA0" w14:textId="77777777" w:rsidR="00834A75" w:rsidRDefault="00A6708C">
            <w:pPr>
              <w:jc w:val="right"/>
              <w:textAlignment w:val="bottom"/>
            </w:pPr>
            <w:r>
              <w:rPr>
                <w:rFonts w:ascii="sans-serif" w:eastAsia="sans-serif" w:hAnsi="sans-serif" w:cs="sans-serif"/>
                <w:color w:val="000000"/>
                <w:sz w:val="20"/>
                <w:szCs w:val="20"/>
              </w:rPr>
              <w:t>(37)</w:t>
            </w:r>
          </w:p>
        </w:tc>
        <w:tc>
          <w:tcPr>
            <w:tcW w:w="0" w:type="auto"/>
            <w:shd w:val="clear" w:color="auto" w:fill="FFFFFF"/>
            <w:tcMar>
              <w:top w:w="40" w:type="dxa"/>
              <w:left w:w="0" w:type="dxa"/>
              <w:bottom w:w="40" w:type="dxa"/>
              <w:right w:w="20" w:type="dxa"/>
            </w:tcMar>
            <w:vAlign w:val="bottom"/>
          </w:tcPr>
          <w:p w14:paraId="7C208DA1" w14:textId="77777777" w:rsidR="00834A75" w:rsidRDefault="00A6708C">
            <w:pPr>
              <w:jc w:val="right"/>
              <w:textAlignment w:val="bottom"/>
            </w:pPr>
            <w:r>
              <w:rPr>
                <w:rFonts w:ascii="sans-serif" w:eastAsia="sans-serif" w:hAnsi="sans-serif" w:cs="sans-serif"/>
                <w:color w:val="000000"/>
                <w:sz w:val="20"/>
                <w:szCs w:val="20"/>
              </w:rPr>
              <w:t>%</w:t>
            </w:r>
          </w:p>
        </w:tc>
        <w:tc>
          <w:tcPr>
            <w:tcW w:w="0" w:type="auto"/>
            <w:gridSpan w:val="3"/>
            <w:shd w:val="clear" w:color="auto" w:fill="FFFFFF"/>
            <w:tcMar>
              <w:top w:w="0" w:type="dxa"/>
              <w:left w:w="20" w:type="dxa"/>
              <w:bottom w:w="0" w:type="dxa"/>
              <w:right w:w="20" w:type="dxa"/>
            </w:tcMar>
            <w:vAlign w:val="bottom"/>
          </w:tcPr>
          <w:p w14:paraId="7C208DA2" w14:textId="77777777" w:rsidR="00834A75" w:rsidRDefault="00834A75">
            <w:pPr>
              <w:rPr>
                <w:rFonts w:ascii="宋体"/>
              </w:rPr>
            </w:pPr>
          </w:p>
        </w:tc>
        <w:tc>
          <w:tcPr>
            <w:tcW w:w="0" w:type="auto"/>
            <w:gridSpan w:val="2"/>
            <w:shd w:val="clear" w:color="auto" w:fill="FFFFFF"/>
            <w:tcMar>
              <w:top w:w="40" w:type="dxa"/>
              <w:left w:w="20" w:type="dxa"/>
              <w:bottom w:w="40" w:type="dxa"/>
              <w:right w:w="0" w:type="dxa"/>
            </w:tcMar>
            <w:vAlign w:val="bottom"/>
          </w:tcPr>
          <w:p w14:paraId="7C208DA3" w14:textId="77777777" w:rsidR="00834A75" w:rsidRDefault="00A6708C">
            <w:pPr>
              <w:jc w:val="right"/>
              <w:textAlignment w:val="bottom"/>
            </w:pPr>
            <w:r>
              <w:rPr>
                <w:rFonts w:ascii="sans-serif" w:eastAsia="sans-serif" w:hAnsi="sans-serif" w:cs="sans-serif"/>
                <w:color w:val="000000"/>
                <w:sz w:val="20"/>
                <w:szCs w:val="20"/>
              </w:rPr>
              <w:t>(4)</w:t>
            </w:r>
          </w:p>
        </w:tc>
        <w:tc>
          <w:tcPr>
            <w:tcW w:w="0" w:type="auto"/>
            <w:shd w:val="clear" w:color="auto" w:fill="FFFFFF"/>
            <w:tcMar>
              <w:top w:w="40" w:type="dxa"/>
              <w:left w:w="0" w:type="dxa"/>
              <w:bottom w:w="40" w:type="dxa"/>
              <w:right w:w="20" w:type="dxa"/>
            </w:tcMar>
            <w:vAlign w:val="bottom"/>
          </w:tcPr>
          <w:p w14:paraId="7C208DA4" w14:textId="77777777" w:rsidR="00834A75" w:rsidRDefault="00A6708C">
            <w:pPr>
              <w:jc w:val="right"/>
              <w:textAlignment w:val="bottom"/>
            </w:pPr>
            <w:r>
              <w:rPr>
                <w:rFonts w:ascii="sans-serif" w:eastAsia="sans-serif" w:hAnsi="sans-serif" w:cs="sans-serif"/>
                <w:color w:val="000000"/>
                <w:sz w:val="20"/>
                <w:szCs w:val="20"/>
              </w:rPr>
              <w:t>%</w:t>
            </w:r>
          </w:p>
        </w:tc>
      </w:tr>
      <w:tr w:rsidR="00834A75" w14:paraId="7C208DB8" w14:textId="77777777">
        <w:tc>
          <w:tcPr>
            <w:tcW w:w="0" w:type="auto"/>
            <w:gridSpan w:val="3"/>
            <w:shd w:val="clear" w:color="auto" w:fill="E2EFD9"/>
            <w:tcMar>
              <w:top w:w="40" w:type="dxa"/>
              <w:left w:w="20" w:type="dxa"/>
              <w:bottom w:w="40" w:type="dxa"/>
              <w:right w:w="20" w:type="dxa"/>
            </w:tcMar>
            <w:vAlign w:val="bottom"/>
          </w:tcPr>
          <w:p w14:paraId="7C208DA6" w14:textId="77777777" w:rsidR="00834A75" w:rsidRDefault="00A6708C">
            <w:pPr>
              <w:textAlignment w:val="bottom"/>
            </w:pPr>
            <w:r>
              <w:rPr>
                <w:rFonts w:ascii="sans-serif" w:eastAsia="sans-serif" w:hAnsi="sans-serif" w:cs="sans-serif"/>
                <w:color w:val="000000"/>
                <w:sz w:val="20"/>
                <w:szCs w:val="20"/>
              </w:rPr>
              <w:t>Net income</w:t>
            </w:r>
          </w:p>
        </w:tc>
        <w:tc>
          <w:tcPr>
            <w:tcW w:w="0" w:type="auto"/>
            <w:shd w:val="clear" w:color="auto" w:fill="E2EFD9"/>
            <w:tcMar>
              <w:top w:w="40" w:type="dxa"/>
              <w:left w:w="20" w:type="dxa"/>
              <w:bottom w:w="40" w:type="dxa"/>
              <w:right w:w="0" w:type="dxa"/>
            </w:tcMar>
            <w:vAlign w:val="bottom"/>
          </w:tcPr>
          <w:p w14:paraId="7C208DA7" w14:textId="77777777" w:rsidR="00834A75" w:rsidRDefault="00A6708C">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7C208DA8" w14:textId="77777777" w:rsidR="00834A75" w:rsidRDefault="00A6708C">
            <w:pPr>
              <w:jc w:val="right"/>
              <w:textAlignment w:val="bottom"/>
            </w:pPr>
            <w:r>
              <w:rPr>
                <w:rFonts w:ascii="sans-serif" w:eastAsia="sans-serif" w:hAnsi="sans-serif" w:cs="sans-serif"/>
                <w:color w:val="000000"/>
                <w:sz w:val="20"/>
                <w:szCs w:val="20"/>
              </w:rPr>
              <w:t>1,618 </w:t>
            </w:r>
          </w:p>
        </w:tc>
        <w:tc>
          <w:tcPr>
            <w:tcW w:w="0" w:type="auto"/>
            <w:shd w:val="clear" w:color="auto" w:fill="E2EFD9"/>
            <w:tcMar>
              <w:top w:w="40" w:type="dxa"/>
              <w:left w:w="0" w:type="dxa"/>
              <w:bottom w:w="40" w:type="dxa"/>
              <w:right w:w="20" w:type="dxa"/>
            </w:tcMar>
            <w:vAlign w:val="bottom"/>
          </w:tcPr>
          <w:p w14:paraId="7C208DA9" w14:textId="77777777" w:rsidR="00834A75" w:rsidRDefault="00834A75">
            <w:pPr>
              <w:jc w:val="right"/>
              <w:rPr>
                <w:rFonts w:ascii="宋体"/>
              </w:rPr>
            </w:pPr>
          </w:p>
        </w:tc>
        <w:tc>
          <w:tcPr>
            <w:tcW w:w="0" w:type="auto"/>
            <w:gridSpan w:val="3"/>
            <w:shd w:val="clear" w:color="auto" w:fill="E2EFD9"/>
            <w:tcMar>
              <w:top w:w="0" w:type="dxa"/>
              <w:left w:w="20" w:type="dxa"/>
              <w:bottom w:w="0" w:type="dxa"/>
              <w:right w:w="20" w:type="dxa"/>
            </w:tcMar>
            <w:vAlign w:val="bottom"/>
          </w:tcPr>
          <w:p w14:paraId="7C208DAA" w14:textId="77777777" w:rsidR="00834A75" w:rsidRDefault="00834A75">
            <w:pPr>
              <w:rPr>
                <w:rFonts w:ascii="宋体"/>
              </w:rPr>
            </w:pPr>
          </w:p>
        </w:tc>
        <w:tc>
          <w:tcPr>
            <w:tcW w:w="0" w:type="auto"/>
            <w:shd w:val="clear" w:color="auto" w:fill="E2EFD9"/>
            <w:tcMar>
              <w:top w:w="40" w:type="dxa"/>
              <w:left w:w="20" w:type="dxa"/>
              <w:bottom w:w="40" w:type="dxa"/>
              <w:right w:w="0" w:type="dxa"/>
            </w:tcMar>
            <w:vAlign w:val="bottom"/>
          </w:tcPr>
          <w:p w14:paraId="7C208DAB" w14:textId="77777777" w:rsidR="00834A75" w:rsidRDefault="00A6708C">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7C208DAC" w14:textId="77777777" w:rsidR="00834A75" w:rsidRDefault="00A6708C">
            <w:pPr>
              <w:jc w:val="right"/>
              <w:textAlignment w:val="bottom"/>
            </w:pPr>
            <w:r>
              <w:rPr>
                <w:rFonts w:ascii="sans-serif" w:eastAsia="sans-serif" w:hAnsi="sans-serif" w:cs="sans-serif"/>
                <w:color w:val="000000"/>
                <w:sz w:val="20"/>
                <w:szCs w:val="20"/>
              </w:rPr>
              <w:t>3,003 </w:t>
            </w:r>
          </w:p>
        </w:tc>
        <w:tc>
          <w:tcPr>
            <w:tcW w:w="0" w:type="auto"/>
            <w:shd w:val="clear" w:color="auto" w:fill="E2EFD9"/>
            <w:tcMar>
              <w:top w:w="40" w:type="dxa"/>
              <w:left w:w="0" w:type="dxa"/>
              <w:bottom w:w="40" w:type="dxa"/>
              <w:right w:w="20" w:type="dxa"/>
            </w:tcMar>
            <w:vAlign w:val="bottom"/>
          </w:tcPr>
          <w:p w14:paraId="7C208DAD" w14:textId="77777777" w:rsidR="00834A75" w:rsidRDefault="00834A75">
            <w:pPr>
              <w:jc w:val="right"/>
              <w:rPr>
                <w:rFonts w:ascii="宋体"/>
              </w:rPr>
            </w:pPr>
          </w:p>
        </w:tc>
        <w:tc>
          <w:tcPr>
            <w:tcW w:w="0" w:type="auto"/>
            <w:gridSpan w:val="3"/>
            <w:shd w:val="clear" w:color="auto" w:fill="E2EFD9"/>
            <w:tcMar>
              <w:top w:w="0" w:type="dxa"/>
              <w:left w:w="20" w:type="dxa"/>
              <w:bottom w:w="0" w:type="dxa"/>
              <w:right w:w="20" w:type="dxa"/>
            </w:tcMar>
            <w:vAlign w:val="bottom"/>
          </w:tcPr>
          <w:p w14:paraId="7C208DAE" w14:textId="77777777" w:rsidR="00834A75" w:rsidRDefault="00834A75">
            <w:pPr>
              <w:rPr>
                <w:rFonts w:ascii="宋体"/>
              </w:rPr>
            </w:pPr>
          </w:p>
        </w:tc>
        <w:tc>
          <w:tcPr>
            <w:tcW w:w="0" w:type="auto"/>
            <w:shd w:val="clear" w:color="auto" w:fill="E2EFD9"/>
            <w:tcMar>
              <w:top w:w="40" w:type="dxa"/>
              <w:left w:w="20" w:type="dxa"/>
              <w:bottom w:w="40" w:type="dxa"/>
              <w:right w:w="0" w:type="dxa"/>
            </w:tcMar>
            <w:vAlign w:val="bottom"/>
          </w:tcPr>
          <w:p w14:paraId="7C208DAF" w14:textId="77777777" w:rsidR="00834A75" w:rsidRDefault="00A6708C">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7C208DB0" w14:textId="77777777" w:rsidR="00834A75" w:rsidRDefault="00A6708C">
            <w:pPr>
              <w:jc w:val="right"/>
              <w:textAlignment w:val="bottom"/>
            </w:pPr>
            <w:r>
              <w:rPr>
                <w:rFonts w:ascii="sans-serif" w:eastAsia="sans-serif" w:hAnsi="sans-serif" w:cs="sans-serif"/>
                <w:color w:val="000000"/>
                <w:sz w:val="20"/>
                <w:szCs w:val="20"/>
              </w:rPr>
              <w:t>1,912 </w:t>
            </w:r>
          </w:p>
        </w:tc>
        <w:tc>
          <w:tcPr>
            <w:tcW w:w="0" w:type="auto"/>
            <w:shd w:val="clear" w:color="auto" w:fill="E2EFD9"/>
            <w:tcMar>
              <w:top w:w="40" w:type="dxa"/>
              <w:left w:w="0" w:type="dxa"/>
              <w:bottom w:w="40" w:type="dxa"/>
              <w:right w:w="20" w:type="dxa"/>
            </w:tcMar>
            <w:vAlign w:val="bottom"/>
          </w:tcPr>
          <w:p w14:paraId="7C208DB1" w14:textId="77777777" w:rsidR="00834A75" w:rsidRDefault="00834A75">
            <w:pPr>
              <w:jc w:val="right"/>
              <w:rPr>
                <w:rFonts w:ascii="宋体"/>
              </w:rPr>
            </w:pPr>
          </w:p>
        </w:tc>
        <w:tc>
          <w:tcPr>
            <w:tcW w:w="0" w:type="auto"/>
            <w:gridSpan w:val="3"/>
            <w:shd w:val="clear" w:color="auto" w:fill="E2EFD9"/>
            <w:tcMar>
              <w:top w:w="0" w:type="dxa"/>
              <w:left w:w="20" w:type="dxa"/>
              <w:bottom w:w="0" w:type="dxa"/>
              <w:right w:w="20" w:type="dxa"/>
            </w:tcMar>
            <w:vAlign w:val="bottom"/>
          </w:tcPr>
          <w:p w14:paraId="7C208DB2" w14:textId="77777777" w:rsidR="00834A75" w:rsidRDefault="00834A75">
            <w:pPr>
              <w:rPr>
                <w:rFonts w:ascii="宋体"/>
              </w:rPr>
            </w:pPr>
          </w:p>
        </w:tc>
        <w:tc>
          <w:tcPr>
            <w:tcW w:w="0" w:type="auto"/>
            <w:gridSpan w:val="2"/>
            <w:shd w:val="clear" w:color="auto" w:fill="E2EFD9"/>
            <w:tcMar>
              <w:top w:w="40" w:type="dxa"/>
              <w:left w:w="20" w:type="dxa"/>
              <w:bottom w:w="40" w:type="dxa"/>
              <w:right w:w="0" w:type="dxa"/>
            </w:tcMar>
            <w:vAlign w:val="bottom"/>
          </w:tcPr>
          <w:p w14:paraId="7C208DB3" w14:textId="77777777" w:rsidR="00834A75" w:rsidRDefault="00A6708C">
            <w:pPr>
              <w:jc w:val="right"/>
              <w:textAlignment w:val="bottom"/>
            </w:pPr>
            <w:r>
              <w:rPr>
                <w:rFonts w:ascii="sans-serif" w:eastAsia="sans-serif" w:hAnsi="sans-serif" w:cs="sans-serif"/>
                <w:color w:val="000000"/>
                <w:sz w:val="20"/>
                <w:szCs w:val="20"/>
              </w:rPr>
              <w:t>(46)</w:t>
            </w:r>
          </w:p>
        </w:tc>
        <w:tc>
          <w:tcPr>
            <w:tcW w:w="0" w:type="auto"/>
            <w:shd w:val="clear" w:color="auto" w:fill="E2EFD9"/>
            <w:tcMar>
              <w:top w:w="40" w:type="dxa"/>
              <w:left w:w="0" w:type="dxa"/>
              <w:bottom w:w="40" w:type="dxa"/>
              <w:right w:w="20" w:type="dxa"/>
            </w:tcMar>
            <w:vAlign w:val="bottom"/>
          </w:tcPr>
          <w:p w14:paraId="7C208DB4" w14:textId="77777777" w:rsidR="00834A75" w:rsidRDefault="00A6708C">
            <w:pPr>
              <w:jc w:val="right"/>
              <w:textAlignment w:val="bottom"/>
            </w:pPr>
            <w:r>
              <w:rPr>
                <w:rFonts w:ascii="sans-serif" w:eastAsia="sans-serif" w:hAnsi="sans-serif" w:cs="sans-serif"/>
                <w:color w:val="000000"/>
                <w:sz w:val="20"/>
                <w:szCs w:val="20"/>
              </w:rPr>
              <w:t>%</w:t>
            </w:r>
          </w:p>
        </w:tc>
        <w:tc>
          <w:tcPr>
            <w:tcW w:w="0" w:type="auto"/>
            <w:gridSpan w:val="3"/>
            <w:shd w:val="clear" w:color="auto" w:fill="E2EFD9"/>
            <w:tcMar>
              <w:top w:w="0" w:type="dxa"/>
              <w:left w:w="20" w:type="dxa"/>
              <w:bottom w:w="0" w:type="dxa"/>
              <w:right w:w="20" w:type="dxa"/>
            </w:tcMar>
            <w:vAlign w:val="bottom"/>
          </w:tcPr>
          <w:p w14:paraId="7C208DB5" w14:textId="77777777" w:rsidR="00834A75" w:rsidRDefault="00834A75">
            <w:pPr>
              <w:rPr>
                <w:rFonts w:ascii="宋体"/>
              </w:rPr>
            </w:pPr>
          </w:p>
        </w:tc>
        <w:tc>
          <w:tcPr>
            <w:tcW w:w="0" w:type="auto"/>
            <w:gridSpan w:val="2"/>
            <w:shd w:val="clear" w:color="auto" w:fill="E2EFD9"/>
            <w:tcMar>
              <w:top w:w="40" w:type="dxa"/>
              <w:left w:w="20" w:type="dxa"/>
              <w:bottom w:w="40" w:type="dxa"/>
              <w:right w:w="0" w:type="dxa"/>
            </w:tcMar>
            <w:vAlign w:val="bottom"/>
          </w:tcPr>
          <w:p w14:paraId="7C208DB6" w14:textId="77777777" w:rsidR="00834A75" w:rsidRDefault="00A6708C">
            <w:pPr>
              <w:jc w:val="right"/>
              <w:textAlignment w:val="bottom"/>
            </w:pPr>
            <w:r>
              <w:rPr>
                <w:rFonts w:ascii="sans-serif" w:eastAsia="sans-serif" w:hAnsi="sans-serif" w:cs="sans-serif"/>
                <w:color w:val="000000"/>
                <w:sz w:val="20"/>
                <w:szCs w:val="20"/>
              </w:rPr>
              <w:t>(15)</w:t>
            </w:r>
          </w:p>
        </w:tc>
        <w:tc>
          <w:tcPr>
            <w:tcW w:w="0" w:type="auto"/>
            <w:shd w:val="clear" w:color="auto" w:fill="E2EFD9"/>
            <w:tcMar>
              <w:top w:w="40" w:type="dxa"/>
              <w:left w:w="0" w:type="dxa"/>
              <w:bottom w:w="40" w:type="dxa"/>
              <w:right w:w="20" w:type="dxa"/>
            </w:tcMar>
            <w:vAlign w:val="bottom"/>
          </w:tcPr>
          <w:p w14:paraId="7C208DB7" w14:textId="77777777" w:rsidR="00834A75" w:rsidRDefault="00A6708C">
            <w:pPr>
              <w:jc w:val="right"/>
              <w:textAlignment w:val="bottom"/>
            </w:pPr>
            <w:r>
              <w:rPr>
                <w:rFonts w:ascii="sans-serif" w:eastAsia="sans-serif" w:hAnsi="sans-serif" w:cs="sans-serif"/>
                <w:color w:val="000000"/>
                <w:sz w:val="20"/>
                <w:szCs w:val="20"/>
              </w:rPr>
              <w:t>%</w:t>
            </w:r>
          </w:p>
        </w:tc>
      </w:tr>
      <w:tr w:rsidR="00834A75" w14:paraId="7C208DCB" w14:textId="77777777">
        <w:tc>
          <w:tcPr>
            <w:tcW w:w="0" w:type="auto"/>
            <w:gridSpan w:val="3"/>
            <w:shd w:val="clear" w:color="auto" w:fill="FFFFFF"/>
            <w:tcMar>
              <w:top w:w="40" w:type="dxa"/>
              <w:left w:w="20" w:type="dxa"/>
              <w:bottom w:w="40" w:type="dxa"/>
              <w:right w:w="20" w:type="dxa"/>
            </w:tcMar>
            <w:vAlign w:val="bottom"/>
          </w:tcPr>
          <w:p w14:paraId="7C208DB9" w14:textId="77777777" w:rsidR="00834A75" w:rsidRDefault="00A6708C">
            <w:pPr>
              <w:textAlignment w:val="bottom"/>
            </w:pPr>
            <w:r>
              <w:rPr>
                <w:rFonts w:ascii="sans-serif" w:eastAsia="sans-serif" w:hAnsi="sans-serif" w:cs="sans-serif"/>
                <w:color w:val="000000"/>
                <w:sz w:val="20"/>
                <w:szCs w:val="20"/>
              </w:rPr>
              <w:t>Net income per diluted share</w:t>
            </w:r>
          </w:p>
        </w:tc>
        <w:tc>
          <w:tcPr>
            <w:tcW w:w="0" w:type="auto"/>
            <w:shd w:val="clear" w:color="auto" w:fill="FFFFFF"/>
            <w:tcMar>
              <w:top w:w="40" w:type="dxa"/>
              <w:left w:w="20" w:type="dxa"/>
              <w:bottom w:w="40" w:type="dxa"/>
              <w:right w:w="0" w:type="dxa"/>
            </w:tcMar>
            <w:vAlign w:val="bottom"/>
          </w:tcPr>
          <w:p w14:paraId="7C208DBA" w14:textId="77777777" w:rsidR="00834A75" w:rsidRDefault="00A6708C">
            <w:pPr>
              <w:textAlignment w:val="bottom"/>
            </w:pPr>
            <w:r>
              <w:rPr>
                <w:rFonts w:ascii="sans-serif" w:eastAsia="sans-serif" w:hAnsi="sans-serif" w:cs="sans-serif"/>
                <w:color w:val="000000"/>
                <w:sz w:val="20"/>
                <w:szCs w:val="20"/>
              </w:rPr>
              <w:t>$</w:t>
            </w:r>
          </w:p>
        </w:tc>
        <w:tc>
          <w:tcPr>
            <w:tcW w:w="0" w:type="auto"/>
            <w:shd w:val="clear" w:color="auto" w:fill="FFFFFF"/>
            <w:tcMar>
              <w:top w:w="40" w:type="dxa"/>
              <w:left w:w="0" w:type="dxa"/>
              <w:bottom w:w="40" w:type="dxa"/>
              <w:right w:w="0" w:type="dxa"/>
            </w:tcMar>
            <w:vAlign w:val="bottom"/>
          </w:tcPr>
          <w:p w14:paraId="7C208DBB" w14:textId="77777777" w:rsidR="00834A75" w:rsidRDefault="00A6708C">
            <w:pPr>
              <w:jc w:val="right"/>
              <w:textAlignment w:val="bottom"/>
            </w:pPr>
            <w:r>
              <w:rPr>
                <w:rFonts w:ascii="sans-serif" w:eastAsia="sans-serif" w:hAnsi="sans-serif" w:cs="sans-serif"/>
                <w:color w:val="000000"/>
                <w:sz w:val="20"/>
                <w:szCs w:val="20"/>
              </w:rPr>
              <w:t>0.64 </w:t>
            </w:r>
          </w:p>
        </w:tc>
        <w:tc>
          <w:tcPr>
            <w:tcW w:w="0" w:type="auto"/>
            <w:shd w:val="clear" w:color="auto" w:fill="FFFFFF"/>
            <w:tcMar>
              <w:top w:w="40" w:type="dxa"/>
              <w:left w:w="0" w:type="dxa"/>
              <w:bottom w:w="40" w:type="dxa"/>
              <w:right w:w="20" w:type="dxa"/>
            </w:tcMar>
            <w:vAlign w:val="bottom"/>
          </w:tcPr>
          <w:p w14:paraId="7C208DBC" w14:textId="77777777" w:rsidR="00834A75" w:rsidRDefault="00834A75">
            <w:pPr>
              <w:jc w:val="right"/>
              <w:rPr>
                <w:rFonts w:ascii="宋体"/>
              </w:rPr>
            </w:pPr>
          </w:p>
        </w:tc>
        <w:tc>
          <w:tcPr>
            <w:tcW w:w="0" w:type="auto"/>
            <w:gridSpan w:val="3"/>
            <w:shd w:val="clear" w:color="auto" w:fill="FFFFFF"/>
            <w:tcMar>
              <w:top w:w="0" w:type="dxa"/>
              <w:left w:w="20" w:type="dxa"/>
              <w:bottom w:w="0" w:type="dxa"/>
              <w:right w:w="20" w:type="dxa"/>
            </w:tcMar>
            <w:vAlign w:val="bottom"/>
          </w:tcPr>
          <w:p w14:paraId="7C208DBD" w14:textId="77777777" w:rsidR="00834A75" w:rsidRDefault="00834A75">
            <w:pPr>
              <w:rPr>
                <w:rFonts w:ascii="宋体"/>
              </w:rPr>
            </w:pPr>
          </w:p>
        </w:tc>
        <w:tc>
          <w:tcPr>
            <w:tcW w:w="0" w:type="auto"/>
            <w:shd w:val="clear" w:color="auto" w:fill="FFFFFF"/>
            <w:tcMar>
              <w:top w:w="40" w:type="dxa"/>
              <w:left w:w="20" w:type="dxa"/>
              <w:bottom w:w="40" w:type="dxa"/>
              <w:right w:w="0" w:type="dxa"/>
            </w:tcMar>
            <w:vAlign w:val="bottom"/>
          </w:tcPr>
          <w:p w14:paraId="7C208DBE" w14:textId="77777777" w:rsidR="00834A75" w:rsidRDefault="00A6708C">
            <w:pPr>
              <w:textAlignment w:val="bottom"/>
            </w:pPr>
            <w:r>
              <w:rPr>
                <w:rFonts w:ascii="sans-serif" w:eastAsia="sans-serif" w:hAnsi="sans-serif" w:cs="sans-serif"/>
                <w:color w:val="000000"/>
                <w:sz w:val="20"/>
                <w:szCs w:val="20"/>
              </w:rPr>
              <w:t>$</w:t>
            </w:r>
          </w:p>
        </w:tc>
        <w:tc>
          <w:tcPr>
            <w:tcW w:w="0" w:type="auto"/>
            <w:shd w:val="clear" w:color="auto" w:fill="FFFFFF"/>
            <w:tcMar>
              <w:top w:w="40" w:type="dxa"/>
              <w:left w:w="0" w:type="dxa"/>
              <w:bottom w:w="40" w:type="dxa"/>
              <w:right w:w="0" w:type="dxa"/>
            </w:tcMar>
            <w:vAlign w:val="bottom"/>
          </w:tcPr>
          <w:p w14:paraId="7C208DBF" w14:textId="77777777" w:rsidR="00834A75" w:rsidRDefault="00A6708C">
            <w:pPr>
              <w:jc w:val="right"/>
              <w:textAlignment w:val="bottom"/>
            </w:pPr>
            <w:r>
              <w:rPr>
                <w:rFonts w:ascii="sans-serif" w:eastAsia="sans-serif" w:hAnsi="sans-serif" w:cs="sans-serif"/>
                <w:color w:val="000000"/>
                <w:sz w:val="20"/>
                <w:szCs w:val="20"/>
              </w:rPr>
              <w:t>1.18 </w:t>
            </w:r>
          </w:p>
        </w:tc>
        <w:tc>
          <w:tcPr>
            <w:tcW w:w="0" w:type="auto"/>
            <w:shd w:val="clear" w:color="auto" w:fill="FFFFFF"/>
            <w:tcMar>
              <w:top w:w="40" w:type="dxa"/>
              <w:left w:w="0" w:type="dxa"/>
              <w:bottom w:w="40" w:type="dxa"/>
              <w:right w:w="20" w:type="dxa"/>
            </w:tcMar>
            <w:vAlign w:val="bottom"/>
          </w:tcPr>
          <w:p w14:paraId="7C208DC0" w14:textId="77777777" w:rsidR="00834A75" w:rsidRDefault="00834A75">
            <w:pPr>
              <w:jc w:val="right"/>
              <w:rPr>
                <w:rFonts w:ascii="宋体"/>
              </w:rPr>
            </w:pPr>
          </w:p>
        </w:tc>
        <w:tc>
          <w:tcPr>
            <w:tcW w:w="0" w:type="auto"/>
            <w:gridSpan w:val="3"/>
            <w:shd w:val="clear" w:color="auto" w:fill="FFFFFF"/>
            <w:tcMar>
              <w:top w:w="0" w:type="dxa"/>
              <w:left w:w="20" w:type="dxa"/>
              <w:bottom w:w="0" w:type="dxa"/>
              <w:right w:w="20" w:type="dxa"/>
            </w:tcMar>
            <w:vAlign w:val="bottom"/>
          </w:tcPr>
          <w:p w14:paraId="7C208DC1" w14:textId="77777777" w:rsidR="00834A75" w:rsidRDefault="00834A75">
            <w:pPr>
              <w:rPr>
                <w:rFonts w:ascii="宋体"/>
              </w:rPr>
            </w:pPr>
          </w:p>
        </w:tc>
        <w:tc>
          <w:tcPr>
            <w:tcW w:w="0" w:type="auto"/>
            <w:shd w:val="clear" w:color="auto" w:fill="FFFFFF"/>
            <w:tcMar>
              <w:top w:w="40" w:type="dxa"/>
              <w:left w:w="20" w:type="dxa"/>
              <w:bottom w:w="40" w:type="dxa"/>
              <w:right w:w="0" w:type="dxa"/>
            </w:tcMar>
            <w:vAlign w:val="bottom"/>
          </w:tcPr>
          <w:p w14:paraId="7C208DC2" w14:textId="77777777" w:rsidR="00834A75" w:rsidRDefault="00A6708C">
            <w:pPr>
              <w:textAlignment w:val="bottom"/>
            </w:pPr>
            <w:r>
              <w:rPr>
                <w:rFonts w:ascii="sans-serif" w:eastAsia="sans-serif" w:hAnsi="sans-serif" w:cs="sans-serif"/>
                <w:color w:val="000000"/>
                <w:sz w:val="20"/>
                <w:szCs w:val="20"/>
              </w:rPr>
              <w:t>$</w:t>
            </w:r>
          </w:p>
        </w:tc>
        <w:tc>
          <w:tcPr>
            <w:tcW w:w="0" w:type="auto"/>
            <w:shd w:val="clear" w:color="auto" w:fill="FFFFFF"/>
            <w:tcMar>
              <w:top w:w="40" w:type="dxa"/>
              <w:left w:w="0" w:type="dxa"/>
              <w:bottom w:w="40" w:type="dxa"/>
              <w:right w:w="0" w:type="dxa"/>
            </w:tcMar>
            <w:vAlign w:val="bottom"/>
          </w:tcPr>
          <w:p w14:paraId="7C208DC3" w14:textId="77777777" w:rsidR="00834A75" w:rsidRDefault="00A6708C">
            <w:pPr>
              <w:jc w:val="right"/>
              <w:textAlignment w:val="bottom"/>
            </w:pPr>
            <w:r>
              <w:rPr>
                <w:rFonts w:ascii="sans-serif" w:eastAsia="sans-serif" w:hAnsi="sans-serif" w:cs="sans-serif"/>
                <w:color w:val="000000"/>
                <w:sz w:val="20"/>
                <w:szCs w:val="20"/>
              </w:rPr>
              <w:t>0.76 </w:t>
            </w:r>
          </w:p>
        </w:tc>
        <w:tc>
          <w:tcPr>
            <w:tcW w:w="0" w:type="auto"/>
            <w:shd w:val="clear" w:color="auto" w:fill="FFFFFF"/>
            <w:tcMar>
              <w:top w:w="40" w:type="dxa"/>
              <w:left w:w="0" w:type="dxa"/>
              <w:bottom w:w="40" w:type="dxa"/>
              <w:right w:w="20" w:type="dxa"/>
            </w:tcMar>
            <w:vAlign w:val="bottom"/>
          </w:tcPr>
          <w:p w14:paraId="7C208DC4" w14:textId="77777777" w:rsidR="00834A75" w:rsidRDefault="00834A75">
            <w:pPr>
              <w:jc w:val="right"/>
              <w:rPr>
                <w:rFonts w:ascii="宋体"/>
              </w:rPr>
            </w:pPr>
          </w:p>
        </w:tc>
        <w:tc>
          <w:tcPr>
            <w:tcW w:w="0" w:type="auto"/>
            <w:gridSpan w:val="3"/>
            <w:shd w:val="clear" w:color="auto" w:fill="FFFFFF"/>
            <w:tcMar>
              <w:top w:w="0" w:type="dxa"/>
              <w:left w:w="20" w:type="dxa"/>
              <w:bottom w:w="0" w:type="dxa"/>
              <w:right w:w="20" w:type="dxa"/>
            </w:tcMar>
            <w:vAlign w:val="bottom"/>
          </w:tcPr>
          <w:p w14:paraId="7C208DC5" w14:textId="77777777" w:rsidR="00834A75" w:rsidRDefault="00834A75">
            <w:pPr>
              <w:rPr>
                <w:rFonts w:ascii="宋体"/>
              </w:rPr>
            </w:pPr>
          </w:p>
        </w:tc>
        <w:tc>
          <w:tcPr>
            <w:tcW w:w="0" w:type="auto"/>
            <w:gridSpan w:val="2"/>
            <w:shd w:val="clear" w:color="auto" w:fill="FFFFFF"/>
            <w:tcMar>
              <w:top w:w="40" w:type="dxa"/>
              <w:left w:w="20" w:type="dxa"/>
              <w:bottom w:w="40" w:type="dxa"/>
              <w:right w:w="0" w:type="dxa"/>
            </w:tcMar>
            <w:vAlign w:val="bottom"/>
          </w:tcPr>
          <w:p w14:paraId="7C208DC6" w14:textId="77777777" w:rsidR="00834A75" w:rsidRDefault="00A6708C">
            <w:pPr>
              <w:jc w:val="right"/>
              <w:textAlignment w:val="bottom"/>
            </w:pPr>
            <w:r>
              <w:rPr>
                <w:rFonts w:ascii="sans-serif" w:eastAsia="sans-serif" w:hAnsi="sans-serif" w:cs="sans-serif"/>
                <w:color w:val="000000"/>
                <w:sz w:val="20"/>
                <w:szCs w:val="20"/>
              </w:rPr>
              <w:t>(46)</w:t>
            </w:r>
          </w:p>
        </w:tc>
        <w:tc>
          <w:tcPr>
            <w:tcW w:w="0" w:type="auto"/>
            <w:shd w:val="clear" w:color="auto" w:fill="FFFFFF"/>
            <w:tcMar>
              <w:top w:w="40" w:type="dxa"/>
              <w:left w:w="0" w:type="dxa"/>
              <w:bottom w:w="40" w:type="dxa"/>
              <w:right w:w="20" w:type="dxa"/>
            </w:tcMar>
            <w:vAlign w:val="bottom"/>
          </w:tcPr>
          <w:p w14:paraId="7C208DC7" w14:textId="77777777" w:rsidR="00834A75" w:rsidRDefault="00A6708C">
            <w:pPr>
              <w:jc w:val="right"/>
              <w:textAlignment w:val="bottom"/>
            </w:pPr>
            <w:r>
              <w:rPr>
                <w:rFonts w:ascii="sans-serif" w:eastAsia="sans-serif" w:hAnsi="sans-serif" w:cs="sans-serif"/>
                <w:color w:val="000000"/>
                <w:sz w:val="20"/>
                <w:szCs w:val="20"/>
              </w:rPr>
              <w:t>%</w:t>
            </w:r>
          </w:p>
        </w:tc>
        <w:tc>
          <w:tcPr>
            <w:tcW w:w="0" w:type="auto"/>
            <w:gridSpan w:val="3"/>
            <w:shd w:val="clear" w:color="auto" w:fill="FFFFFF"/>
            <w:tcMar>
              <w:top w:w="0" w:type="dxa"/>
              <w:left w:w="20" w:type="dxa"/>
              <w:bottom w:w="0" w:type="dxa"/>
              <w:right w:w="20" w:type="dxa"/>
            </w:tcMar>
            <w:vAlign w:val="bottom"/>
          </w:tcPr>
          <w:p w14:paraId="7C208DC8" w14:textId="77777777" w:rsidR="00834A75" w:rsidRDefault="00834A75">
            <w:pPr>
              <w:rPr>
                <w:rFonts w:ascii="宋体"/>
              </w:rPr>
            </w:pPr>
          </w:p>
        </w:tc>
        <w:tc>
          <w:tcPr>
            <w:tcW w:w="0" w:type="auto"/>
            <w:gridSpan w:val="2"/>
            <w:shd w:val="clear" w:color="auto" w:fill="FFFFFF"/>
            <w:tcMar>
              <w:top w:w="40" w:type="dxa"/>
              <w:left w:w="20" w:type="dxa"/>
              <w:bottom w:w="40" w:type="dxa"/>
              <w:right w:w="0" w:type="dxa"/>
            </w:tcMar>
            <w:vAlign w:val="bottom"/>
          </w:tcPr>
          <w:p w14:paraId="7C208DC9" w14:textId="77777777" w:rsidR="00834A75" w:rsidRDefault="00A6708C">
            <w:pPr>
              <w:jc w:val="right"/>
              <w:textAlignment w:val="bottom"/>
            </w:pPr>
            <w:r>
              <w:rPr>
                <w:rFonts w:ascii="sans-serif" w:eastAsia="sans-serif" w:hAnsi="sans-serif" w:cs="sans-serif"/>
                <w:color w:val="000000"/>
                <w:sz w:val="20"/>
                <w:szCs w:val="20"/>
              </w:rPr>
              <w:t>(16)</w:t>
            </w:r>
          </w:p>
        </w:tc>
        <w:tc>
          <w:tcPr>
            <w:tcW w:w="0" w:type="auto"/>
            <w:shd w:val="clear" w:color="auto" w:fill="FFFFFF"/>
            <w:tcMar>
              <w:top w:w="40" w:type="dxa"/>
              <w:left w:w="0" w:type="dxa"/>
              <w:bottom w:w="40" w:type="dxa"/>
              <w:right w:w="20" w:type="dxa"/>
            </w:tcMar>
            <w:vAlign w:val="bottom"/>
          </w:tcPr>
          <w:p w14:paraId="7C208DCA" w14:textId="77777777" w:rsidR="00834A75" w:rsidRDefault="00A6708C">
            <w:pPr>
              <w:jc w:val="right"/>
              <w:textAlignment w:val="bottom"/>
            </w:pPr>
            <w:r>
              <w:rPr>
                <w:rFonts w:ascii="sans-serif" w:eastAsia="sans-serif" w:hAnsi="sans-serif" w:cs="sans-serif"/>
                <w:color w:val="000000"/>
                <w:sz w:val="20"/>
                <w:szCs w:val="20"/>
              </w:rPr>
              <w:t>%</w:t>
            </w:r>
          </w:p>
        </w:tc>
      </w:tr>
    </w:tbl>
    <w:p w14:paraId="7C208DCC" w14:textId="77777777" w:rsidR="00834A75" w:rsidRDefault="00A6708C">
      <w:pPr>
        <w:spacing w:after="180"/>
        <w:jc w:val="both"/>
      </w:pPr>
      <w:r>
        <w:rPr>
          <w:rFonts w:ascii="sans-serif" w:eastAsia="sans-serif" w:hAnsi="sans-serif" w:cs="sans-serif"/>
          <w:color w:val="000000"/>
          <w:sz w:val="20"/>
          <w:szCs w:val="20"/>
        </w:rPr>
        <w:t xml:space="preserve">We specialize in markets where our computing platforms can provide tremendous acceleration for applications. These </w:t>
      </w:r>
      <w:r>
        <w:rPr>
          <w:rFonts w:ascii="sans-serif" w:eastAsia="sans-serif" w:hAnsi="sans-serif" w:cs="sans-serif"/>
          <w:color w:val="000000"/>
          <w:sz w:val="20"/>
          <w:szCs w:val="20"/>
        </w:rPr>
        <w:t>platforms incorporate processors, interconnects, software, algorithms, systems, and services to deliver unique value. Our platforms address four large markets where our expertise is critical: Gaming, Data Center, Professional Visualization, and Automotive.</w:t>
      </w:r>
    </w:p>
    <w:p w14:paraId="7C208DCD" w14:textId="77777777" w:rsidR="00834A75" w:rsidRDefault="00A6708C">
      <w:pPr>
        <w:spacing w:after="180"/>
        <w:jc w:val="both"/>
      </w:pPr>
      <w:r>
        <w:rPr>
          <w:rFonts w:ascii="sans-serif" w:eastAsia="sans-serif" w:hAnsi="sans-serif" w:cs="sans-serif"/>
          <w:color w:val="000000"/>
          <w:sz w:val="20"/>
          <w:szCs w:val="20"/>
        </w:rPr>
        <w:t xml:space="preserve">Revenue for the first quarter of fiscal year 2023 was $8.29 billion, up 46% from a year ago and up 8% sequentially. </w:t>
      </w:r>
    </w:p>
    <w:p w14:paraId="7C208DCE" w14:textId="77777777" w:rsidR="00834A75" w:rsidRDefault="00A6708C">
      <w:pPr>
        <w:spacing w:after="180"/>
        <w:jc w:val="both"/>
      </w:pPr>
      <w:r>
        <w:rPr>
          <w:rFonts w:ascii="sans-serif" w:eastAsia="sans-serif" w:hAnsi="sans-serif" w:cs="sans-serif"/>
          <w:color w:val="000000"/>
          <w:sz w:val="20"/>
          <w:szCs w:val="20"/>
        </w:rPr>
        <w:t>Gaming revenue was up 31% from a year ago and up 6% sequentially. The year-on-year increase reflects higher sales of GeForce GPUs based on</w:t>
      </w:r>
      <w:r>
        <w:rPr>
          <w:rFonts w:ascii="sans-serif" w:eastAsia="sans-serif" w:hAnsi="sans-serif" w:cs="sans-serif"/>
          <w:color w:val="000000"/>
          <w:sz w:val="20"/>
          <w:szCs w:val="20"/>
        </w:rPr>
        <w:t xml:space="preserve"> our NVIDIA Ampere architecture. The sequential increase was driven by higher sales of GeForce GPUs for laptops and SOCs for game consoles.</w:t>
      </w:r>
    </w:p>
    <w:p w14:paraId="7C208DCF" w14:textId="77777777" w:rsidR="00834A75" w:rsidRDefault="00A6708C">
      <w:pPr>
        <w:spacing w:after="180"/>
        <w:jc w:val="both"/>
      </w:pPr>
      <w:r>
        <w:rPr>
          <w:rFonts w:ascii="sans-serif" w:eastAsia="sans-serif" w:hAnsi="sans-serif" w:cs="sans-serif"/>
          <w:color w:val="000000"/>
          <w:sz w:val="20"/>
          <w:szCs w:val="20"/>
        </w:rPr>
        <w:t>Our GPUs are capable of cryptocurrency mining, though we have limited visibility into how much this impacts our over</w:t>
      </w:r>
      <w:r>
        <w:rPr>
          <w:rFonts w:ascii="sans-serif" w:eastAsia="sans-serif" w:hAnsi="sans-serif" w:cs="sans-serif"/>
          <w:color w:val="000000"/>
          <w:sz w:val="20"/>
          <w:szCs w:val="20"/>
        </w:rPr>
        <w:t>all GPU demand. Volatility in the cryptocurrency market – such as the recent declines in cryptocurrency prices or changes in method of verifying transactions, including proof of work or proof of stake - can impact demand for our products and our ability to</w:t>
      </w:r>
      <w:r>
        <w:rPr>
          <w:rFonts w:ascii="sans-serif" w:eastAsia="sans-serif" w:hAnsi="sans-serif" w:cs="sans-serif"/>
          <w:color w:val="000000"/>
          <w:sz w:val="20"/>
          <w:szCs w:val="20"/>
        </w:rPr>
        <w:t xml:space="preserve"> accurately estimate it. Most desktop NVIDIA Ampere architecture GeForce GPU shipments were Lite Hash Rate to help direct GeForce GPUs to gamers. </w:t>
      </w:r>
    </w:p>
    <w:p w14:paraId="7C208DD0" w14:textId="77777777" w:rsidR="00834A75" w:rsidRDefault="00A6708C">
      <w:pPr>
        <w:spacing w:after="180"/>
        <w:jc w:val="both"/>
      </w:pPr>
      <w:r>
        <w:rPr>
          <w:rFonts w:ascii="sans-serif" w:eastAsia="sans-serif" w:hAnsi="sans-serif" w:cs="sans-serif"/>
          <w:color w:val="000000"/>
          <w:sz w:val="20"/>
          <w:szCs w:val="20"/>
        </w:rPr>
        <w:t>Data Center revenue was up 83% from a year ago and up 15% sequentially. These increases were primarily driven</w:t>
      </w:r>
      <w:r>
        <w:rPr>
          <w:rFonts w:ascii="sans-serif" w:eastAsia="sans-serif" w:hAnsi="sans-serif" w:cs="sans-serif"/>
          <w:color w:val="000000"/>
          <w:sz w:val="20"/>
          <w:szCs w:val="20"/>
        </w:rPr>
        <w:t xml:space="preserve"> by sales of NVIDIA Ampere architecture GPUs and DGX systems used across both training and inference. Growth was led by cloud computing and hyperscale customers for workloads such as natural language processing and deep recommenders.</w:t>
      </w:r>
    </w:p>
    <w:p w14:paraId="7C208DD1" w14:textId="77777777" w:rsidR="00834A75" w:rsidRDefault="00A6708C">
      <w:pPr>
        <w:spacing w:after="180"/>
        <w:jc w:val="both"/>
      </w:pPr>
      <w:r>
        <w:rPr>
          <w:rFonts w:ascii="sans-serif" w:eastAsia="sans-serif" w:hAnsi="sans-serif" w:cs="sans-serif"/>
          <w:color w:val="000000"/>
          <w:sz w:val="20"/>
          <w:szCs w:val="20"/>
        </w:rPr>
        <w:t>Professional Visualiza</w:t>
      </w:r>
      <w:r>
        <w:rPr>
          <w:rFonts w:ascii="sans-serif" w:eastAsia="sans-serif" w:hAnsi="sans-serif" w:cs="sans-serif"/>
          <w:color w:val="000000"/>
          <w:sz w:val="20"/>
          <w:szCs w:val="20"/>
        </w:rPr>
        <w:t>tion revenue was up 67% from a year ago and down 3% sequentially. The year-on-year increase was driven by sales of NVIDIA Ampere architecture products with growth in workstations as enterprises supported hybrid work environments. The sequential decrease wa</w:t>
      </w:r>
      <w:r>
        <w:rPr>
          <w:rFonts w:ascii="sans-serif" w:eastAsia="sans-serif" w:hAnsi="sans-serif" w:cs="sans-serif"/>
          <w:color w:val="000000"/>
          <w:sz w:val="20"/>
          <w:szCs w:val="20"/>
        </w:rPr>
        <w:t xml:space="preserve">s due to lower sales of desktop workstation GPUs, partially offset by higher sales of notebook workstations GPUs. </w:t>
      </w:r>
    </w:p>
    <w:p w14:paraId="7C208DD2" w14:textId="77777777" w:rsidR="00834A75" w:rsidRDefault="00A6708C">
      <w:pPr>
        <w:spacing w:after="180"/>
        <w:jc w:val="both"/>
      </w:pPr>
      <w:r>
        <w:rPr>
          <w:rFonts w:ascii="sans-serif" w:eastAsia="sans-serif" w:hAnsi="sans-serif" w:cs="sans-serif"/>
          <w:color w:val="000000"/>
          <w:sz w:val="20"/>
          <w:szCs w:val="20"/>
        </w:rPr>
        <w:t xml:space="preserve">Automotive revenue was down 10% from a year ago and up 10% sequentially. The year-on-year decrease was due to automakers’ supply constraints </w:t>
      </w:r>
      <w:r>
        <w:rPr>
          <w:rFonts w:ascii="sans-serif" w:eastAsia="sans-serif" w:hAnsi="sans-serif" w:cs="sans-serif"/>
          <w:color w:val="000000"/>
          <w:sz w:val="20"/>
          <w:szCs w:val="20"/>
        </w:rPr>
        <w:t>and the decline of legacy cockpit revenue. The sequential increase was driven by AI cockpit revenue.</w:t>
      </w:r>
    </w:p>
    <w:p w14:paraId="7C208DD3" w14:textId="77777777" w:rsidR="00834A75" w:rsidRDefault="00A6708C">
      <w:pPr>
        <w:spacing w:after="180"/>
        <w:jc w:val="center"/>
      </w:pPr>
      <w:r>
        <w:rPr>
          <w:rFonts w:ascii="sans-serif" w:eastAsia="sans-serif" w:hAnsi="sans-serif" w:cs="sans-serif"/>
          <w:color w:val="000000"/>
          <w:sz w:val="20"/>
          <w:szCs w:val="20"/>
        </w:rPr>
        <w:t>23</w:t>
      </w:r>
    </w:p>
    <w:p w14:paraId="7C208DD4" w14:textId="77777777" w:rsidR="00834A75" w:rsidRDefault="00A6708C">
      <w:r>
        <w:pict w14:anchorId="7C209366">
          <v:rect id="_x0000_i1047" style="width:415.3pt;height:1.5pt" o:hralign="center" o:hrstd="t" o:hr="t" fillcolor="#a0a0a0" stroked="f"/>
        </w:pict>
      </w:r>
    </w:p>
    <w:p w14:paraId="7C208DD5" w14:textId="77777777" w:rsidR="00834A75" w:rsidRDefault="00834A75">
      <w:pPr>
        <w:spacing w:after="180"/>
        <w:jc w:val="both"/>
      </w:pPr>
    </w:p>
    <w:p w14:paraId="7C208DD6" w14:textId="77777777" w:rsidR="00834A75" w:rsidRDefault="00834A75">
      <w:pPr>
        <w:spacing w:after="180"/>
        <w:jc w:val="both"/>
      </w:pPr>
    </w:p>
    <w:p w14:paraId="7C208DD7" w14:textId="77777777" w:rsidR="00834A75" w:rsidRDefault="00834A75">
      <w:pPr>
        <w:spacing w:after="180"/>
        <w:jc w:val="both"/>
      </w:pPr>
    </w:p>
    <w:p w14:paraId="7C208DD8" w14:textId="77777777" w:rsidR="00834A75" w:rsidRDefault="00A6708C">
      <w:pPr>
        <w:spacing w:after="180"/>
        <w:jc w:val="both"/>
      </w:pPr>
      <w:r>
        <w:rPr>
          <w:rFonts w:ascii="sans-serif" w:eastAsia="sans-serif" w:hAnsi="sans-serif" w:cs="sans-serif"/>
          <w:color w:val="000000"/>
          <w:sz w:val="20"/>
          <w:szCs w:val="20"/>
        </w:rPr>
        <w:t xml:space="preserve">OEM and Other revenue was down 52% from a year ago and down 18% sequentially. The year-on-year decrease was due to a decline in CMP revenue, which </w:t>
      </w:r>
      <w:r>
        <w:rPr>
          <w:rFonts w:ascii="sans-serif" w:eastAsia="sans-serif" w:hAnsi="sans-serif" w:cs="sans-serif"/>
          <w:color w:val="000000"/>
          <w:sz w:val="20"/>
          <w:szCs w:val="20"/>
        </w:rPr>
        <w:t>was nominal in the quarter compared with $155 million from a year ago. The sequential decrease was driven by lower entry level notebook GPU sales.</w:t>
      </w:r>
    </w:p>
    <w:p w14:paraId="7C208DD9" w14:textId="77777777" w:rsidR="00834A75" w:rsidRDefault="00A6708C">
      <w:pPr>
        <w:spacing w:after="180"/>
        <w:jc w:val="both"/>
      </w:pPr>
      <w:r>
        <w:rPr>
          <w:rFonts w:ascii="sans-serif" w:eastAsia="sans-serif" w:hAnsi="sans-serif" w:cs="sans-serif"/>
          <w:color w:val="000000"/>
          <w:sz w:val="20"/>
          <w:szCs w:val="20"/>
        </w:rPr>
        <w:t xml:space="preserve">GAAP gross margin was up 140 basis points from a year ago, primarily due to a higher-end mix of GeForce GPUs </w:t>
      </w:r>
      <w:r>
        <w:rPr>
          <w:rFonts w:ascii="sans-serif" w:eastAsia="sans-serif" w:hAnsi="sans-serif" w:cs="sans-serif"/>
          <w:color w:val="000000"/>
          <w:sz w:val="20"/>
          <w:szCs w:val="20"/>
        </w:rPr>
        <w:t xml:space="preserve">within Gaming and the reduced impact of acquisition-related costs. Sequentially, GAAP gross margin was up 10 basis points due to increased contribution of, and favorable product mix changes within, Data Center, partially offset by higher sales of SOCs for </w:t>
      </w:r>
      <w:r>
        <w:rPr>
          <w:rFonts w:ascii="sans-serif" w:eastAsia="sans-serif" w:hAnsi="sans-serif" w:cs="sans-serif"/>
          <w:color w:val="000000"/>
          <w:sz w:val="20"/>
          <w:szCs w:val="20"/>
        </w:rPr>
        <w:t>game consoles.</w:t>
      </w:r>
    </w:p>
    <w:p w14:paraId="7C208DDA" w14:textId="77777777" w:rsidR="00834A75" w:rsidRDefault="00A6708C">
      <w:pPr>
        <w:spacing w:after="180"/>
        <w:jc w:val="both"/>
      </w:pPr>
      <w:r>
        <w:rPr>
          <w:rFonts w:ascii="sans-serif" w:eastAsia="sans-serif" w:hAnsi="sans-serif" w:cs="sans-serif"/>
          <w:color w:val="000000"/>
          <w:sz w:val="20"/>
          <w:szCs w:val="20"/>
        </w:rPr>
        <w:t>GAAP operating expenses were up 113% from a year ago and up 76% sequentially and include a $1.35 billion acquisition termination charge related to the Arm transaction. These increases were also driven by employee growth, compensation-related</w:t>
      </w:r>
      <w:r>
        <w:rPr>
          <w:rFonts w:ascii="sans-serif" w:eastAsia="sans-serif" w:hAnsi="sans-serif" w:cs="sans-serif"/>
          <w:color w:val="000000"/>
          <w:sz w:val="20"/>
          <w:szCs w:val="20"/>
        </w:rPr>
        <w:t xml:space="preserve"> costs and engineering development costs. We have been successful in hiring this year and expect to slow hiring in the second half of fiscal year 2023 as we integrate our new employees.</w:t>
      </w:r>
    </w:p>
    <w:p w14:paraId="7C208DDB" w14:textId="77777777" w:rsidR="00834A75" w:rsidRDefault="00A6708C">
      <w:pPr>
        <w:spacing w:after="180"/>
        <w:jc w:val="both"/>
      </w:pPr>
      <w:r>
        <w:rPr>
          <w:rFonts w:ascii="sans-serif" w:eastAsia="sans-serif" w:hAnsi="sans-serif" w:cs="sans-serif"/>
          <w:color w:val="000000"/>
          <w:sz w:val="20"/>
          <w:szCs w:val="20"/>
        </w:rPr>
        <w:t xml:space="preserve">Income from operations was $1.87 billion, down 4% from a year ago and </w:t>
      </w:r>
      <w:r>
        <w:rPr>
          <w:rFonts w:ascii="sans-serif" w:eastAsia="sans-serif" w:hAnsi="sans-serif" w:cs="sans-serif"/>
          <w:color w:val="000000"/>
          <w:sz w:val="20"/>
          <w:szCs w:val="20"/>
        </w:rPr>
        <w:t>down 37% sequentially. Net income was a $1.62 billion. Net income per diluted share was $0.64, down 16% from a year ago and down 46% sequentially.</w:t>
      </w:r>
    </w:p>
    <w:p w14:paraId="7C208DDC" w14:textId="77777777" w:rsidR="00834A75" w:rsidRDefault="00A6708C">
      <w:pPr>
        <w:spacing w:after="180"/>
        <w:jc w:val="both"/>
      </w:pPr>
      <w:r>
        <w:rPr>
          <w:rFonts w:ascii="sans-serif" w:eastAsia="sans-serif" w:hAnsi="sans-serif" w:cs="sans-serif"/>
          <w:color w:val="000000"/>
          <w:sz w:val="20"/>
          <w:szCs w:val="20"/>
        </w:rPr>
        <w:t>Cash, cash equivalents and marketable securities were $20.34 billion, up from $12.67 billion a year ago and d</w:t>
      </w:r>
      <w:r>
        <w:rPr>
          <w:rFonts w:ascii="sans-serif" w:eastAsia="sans-serif" w:hAnsi="sans-serif" w:cs="sans-serif"/>
          <w:color w:val="000000"/>
          <w:sz w:val="20"/>
          <w:szCs w:val="20"/>
        </w:rPr>
        <w:t>own from $21.21 billion a quarter ago. The year-on-year increase reflects operating cash flow generation and $5.00 billion of debt issuance proceeds. The sequential decrease reflects share repurchases and advanced payments on supply agreements.</w:t>
      </w:r>
    </w:p>
    <w:p w14:paraId="7C208DDD" w14:textId="77777777" w:rsidR="00834A75" w:rsidRDefault="00A6708C">
      <w:pPr>
        <w:spacing w:after="180"/>
        <w:jc w:val="both"/>
      </w:pPr>
      <w:r>
        <w:rPr>
          <w:rFonts w:ascii="sans-serif" w:eastAsia="sans-serif" w:hAnsi="sans-serif" w:cs="sans-serif"/>
          <w:color w:val="000000"/>
          <w:sz w:val="20"/>
          <w:szCs w:val="20"/>
        </w:rPr>
        <w:t xml:space="preserve">During the </w:t>
      </w:r>
      <w:r>
        <w:rPr>
          <w:rFonts w:ascii="sans-serif" w:eastAsia="sans-serif" w:hAnsi="sans-serif" w:cs="sans-serif"/>
          <w:color w:val="000000"/>
          <w:sz w:val="20"/>
          <w:szCs w:val="20"/>
        </w:rPr>
        <w:t>first quarter of fiscal year 2023, we returned $2.10 billion to shareholders in the form of share repurchases and cash dividends.</w:t>
      </w:r>
    </w:p>
    <w:p w14:paraId="7C208DDE" w14:textId="77777777" w:rsidR="00834A75" w:rsidRDefault="00A6708C">
      <w:pPr>
        <w:spacing w:after="180"/>
        <w:jc w:val="both"/>
      </w:pPr>
      <w:r>
        <w:rPr>
          <w:rFonts w:ascii="sans-serif" w:eastAsia="sans-serif" w:hAnsi="sans-serif" w:cs="sans-serif"/>
          <w:color w:val="000000"/>
          <w:sz w:val="20"/>
          <w:szCs w:val="20"/>
        </w:rPr>
        <w:t>On May 23, 2022, our board of directors increased and extended our share repurchase program to repurchase additional common st</w:t>
      </w:r>
      <w:r>
        <w:rPr>
          <w:rFonts w:ascii="sans-serif" w:eastAsia="sans-serif" w:hAnsi="sans-serif" w:cs="sans-serif"/>
          <w:color w:val="000000"/>
          <w:sz w:val="20"/>
          <w:szCs w:val="20"/>
        </w:rPr>
        <w:t>ock up to a total of $15 billion through December 2023.</w:t>
      </w:r>
    </w:p>
    <w:p w14:paraId="7C208DDF" w14:textId="77777777" w:rsidR="00834A75" w:rsidRDefault="00A6708C">
      <w:pPr>
        <w:spacing w:before="120" w:after="120"/>
        <w:jc w:val="both"/>
      </w:pPr>
      <w:r>
        <w:rPr>
          <w:rFonts w:ascii="sans-serif" w:eastAsia="sans-serif" w:hAnsi="sans-serif" w:cs="sans-serif"/>
          <w:b/>
          <w:bCs/>
          <w:color w:val="000000"/>
          <w:sz w:val="20"/>
          <w:szCs w:val="20"/>
        </w:rPr>
        <w:t>Market Platform Highlights</w:t>
      </w:r>
    </w:p>
    <w:p w14:paraId="7C208DE0" w14:textId="77777777" w:rsidR="00834A75" w:rsidRDefault="00A6708C">
      <w:pPr>
        <w:spacing w:after="180"/>
        <w:jc w:val="both"/>
      </w:pPr>
      <w:r>
        <w:rPr>
          <w:rFonts w:ascii="sans-serif" w:eastAsia="sans-serif" w:hAnsi="sans-serif" w:cs="sans-serif"/>
          <w:color w:val="000000"/>
          <w:sz w:val="20"/>
          <w:szCs w:val="20"/>
        </w:rPr>
        <w:t>In our Data Center market platform, we announced the NVIDIA Hopper GPU architecture and its first products based on the architecture including the NVIDIA H100 Tensor Core GP</w:t>
      </w:r>
      <w:r>
        <w:rPr>
          <w:rFonts w:ascii="sans-serif" w:eastAsia="sans-serif" w:hAnsi="sans-serif" w:cs="sans-serif"/>
          <w:color w:val="000000"/>
          <w:sz w:val="20"/>
          <w:szCs w:val="20"/>
        </w:rPr>
        <w:t>U and the fourth-generation NVIDIA DGX system. Additionally, we announced the NVIDIA Grace CPU Superchip; unveiled the NVIDIA Spectrum-4 end-to-end 400Gbps networking platform; and announced NVIDIA OVX server reference design for digital twins and other Om</w:t>
      </w:r>
      <w:r>
        <w:rPr>
          <w:rFonts w:ascii="sans-serif" w:eastAsia="sans-serif" w:hAnsi="sans-serif" w:cs="sans-serif"/>
          <w:color w:val="000000"/>
          <w:sz w:val="20"/>
          <w:szCs w:val="20"/>
        </w:rPr>
        <w:t>niverse applications.</w:t>
      </w:r>
    </w:p>
    <w:p w14:paraId="7C208DE1" w14:textId="77777777" w:rsidR="00834A75" w:rsidRDefault="00A6708C">
      <w:pPr>
        <w:spacing w:after="180"/>
        <w:jc w:val="both"/>
      </w:pPr>
      <w:r>
        <w:rPr>
          <w:rFonts w:ascii="sans-serif" w:eastAsia="sans-serif" w:hAnsi="sans-serif" w:cs="sans-serif"/>
          <w:color w:val="000000"/>
          <w:sz w:val="20"/>
          <w:szCs w:val="20"/>
        </w:rPr>
        <w:t>In our Gaming market platform, we introduced the GeForce RTX 3090 Ti enthusiast-class desktop GPU; announced that there are now over 180 laptop models featuring RTX 30-series GPUs and our energy efficient, thin &amp; light Max-Q technolog</w:t>
      </w:r>
      <w:r>
        <w:rPr>
          <w:rFonts w:ascii="sans-serif" w:eastAsia="sans-serif" w:hAnsi="sans-serif" w:cs="sans-serif"/>
          <w:color w:val="000000"/>
          <w:sz w:val="20"/>
          <w:szCs w:val="20"/>
        </w:rPr>
        <w:t>ies; announced that 15 new game titles added support for NVIDIA RTX features, bringing the total to over 250 games and applications; and expanded the GeForce NOW cloud gaming service library with over 100 games, bringing the total to over 1,300.</w:t>
      </w:r>
    </w:p>
    <w:p w14:paraId="7C208DE2" w14:textId="77777777" w:rsidR="00834A75" w:rsidRDefault="00A6708C">
      <w:pPr>
        <w:spacing w:after="180"/>
        <w:jc w:val="both"/>
      </w:pPr>
      <w:r>
        <w:rPr>
          <w:rFonts w:ascii="sans-serif" w:eastAsia="sans-serif" w:hAnsi="sans-serif" w:cs="sans-serif"/>
          <w:color w:val="000000"/>
          <w:sz w:val="20"/>
          <w:szCs w:val="20"/>
        </w:rPr>
        <w:t>In our Pro</w:t>
      </w:r>
      <w:r>
        <w:rPr>
          <w:rFonts w:ascii="sans-serif" w:eastAsia="sans-serif" w:hAnsi="sans-serif" w:cs="sans-serif"/>
          <w:color w:val="000000"/>
          <w:sz w:val="20"/>
          <w:szCs w:val="20"/>
        </w:rPr>
        <w:t>fessional Visualization market platform, we added new NVIDIA Ampere architecture RTX GPUs for workstations and announced that Amazon Robotics is building AI-enabled digital twins of its warehouses using NVIDIA Omniverse Enterprise.</w:t>
      </w:r>
    </w:p>
    <w:p w14:paraId="7C208DE3" w14:textId="77777777" w:rsidR="00834A75" w:rsidRDefault="00A6708C">
      <w:pPr>
        <w:spacing w:after="180"/>
        <w:jc w:val="both"/>
      </w:pPr>
      <w:r>
        <w:rPr>
          <w:rFonts w:ascii="sans-serif" w:eastAsia="sans-serif" w:hAnsi="sans-serif" w:cs="sans-serif"/>
          <w:color w:val="000000"/>
          <w:sz w:val="20"/>
          <w:szCs w:val="20"/>
        </w:rPr>
        <w:t>In our Automotive market</w:t>
      </w:r>
      <w:r>
        <w:rPr>
          <w:rFonts w:ascii="sans-serif" w:eastAsia="sans-serif" w:hAnsi="sans-serif" w:cs="sans-serif"/>
          <w:color w:val="000000"/>
          <w:sz w:val="20"/>
          <w:szCs w:val="20"/>
        </w:rPr>
        <w:t xml:space="preserve"> platform, we started production of the NVIDIA DRIVE Orin autonomous vehicle SOC and announced wins with Lucid Motors and BYD.</w:t>
      </w:r>
    </w:p>
    <w:p w14:paraId="7C208DE4" w14:textId="77777777" w:rsidR="00834A75" w:rsidRDefault="00A6708C">
      <w:pPr>
        <w:spacing w:before="120" w:after="120"/>
        <w:jc w:val="both"/>
      </w:pPr>
      <w:r>
        <w:rPr>
          <w:rFonts w:ascii="sans-serif" w:eastAsia="sans-serif" w:hAnsi="sans-serif" w:cs="sans-serif"/>
          <w:b/>
          <w:bCs/>
          <w:color w:val="000000"/>
          <w:sz w:val="20"/>
          <w:szCs w:val="20"/>
        </w:rPr>
        <w:t>Financial Information by Business Segment and Geographic Data</w:t>
      </w:r>
    </w:p>
    <w:p w14:paraId="7C208DE5" w14:textId="77777777" w:rsidR="00834A75" w:rsidRDefault="00A6708C">
      <w:pPr>
        <w:spacing w:after="180"/>
        <w:jc w:val="both"/>
      </w:pPr>
      <w:r>
        <w:rPr>
          <w:rFonts w:ascii="sans-serif" w:eastAsia="sans-serif" w:hAnsi="sans-serif" w:cs="sans-serif"/>
          <w:color w:val="000000"/>
          <w:sz w:val="20"/>
          <w:szCs w:val="20"/>
        </w:rPr>
        <w:t>Refer to Note 15 of the Notes to Condensed Consolidated Financial S</w:t>
      </w:r>
      <w:r>
        <w:rPr>
          <w:rFonts w:ascii="sans-serif" w:eastAsia="sans-serif" w:hAnsi="sans-serif" w:cs="sans-serif"/>
          <w:color w:val="000000"/>
          <w:sz w:val="20"/>
          <w:szCs w:val="20"/>
        </w:rPr>
        <w:t>tatements for disclosure regarding segment information.</w:t>
      </w:r>
    </w:p>
    <w:p w14:paraId="7C208DE6" w14:textId="77777777" w:rsidR="00834A75" w:rsidRDefault="00A6708C">
      <w:pPr>
        <w:spacing w:before="240" w:after="120"/>
        <w:jc w:val="both"/>
      </w:pPr>
      <w:r>
        <w:rPr>
          <w:rFonts w:ascii="sans-serif" w:eastAsia="sans-serif" w:hAnsi="sans-serif" w:cs="sans-serif"/>
          <w:b/>
          <w:bCs/>
          <w:color w:val="76B900"/>
          <w:sz w:val="22"/>
          <w:szCs w:val="22"/>
        </w:rPr>
        <w:t>Critical Accounting Policies and Estimates</w:t>
      </w:r>
    </w:p>
    <w:p w14:paraId="7C208DE7" w14:textId="77777777" w:rsidR="00834A75" w:rsidRDefault="00A6708C">
      <w:pPr>
        <w:spacing w:after="180"/>
        <w:jc w:val="both"/>
      </w:pPr>
      <w:r>
        <w:rPr>
          <w:rFonts w:ascii="sans-serif" w:eastAsia="sans-serif" w:hAnsi="sans-serif" w:cs="sans-serif"/>
          <w:color w:val="000000"/>
          <w:sz w:val="20"/>
          <w:szCs w:val="20"/>
        </w:rPr>
        <w:t xml:space="preserve">Refer to Part II, Item 7, "Critical Accounting Policies and Estimates" of our Annual Report on Form 10-K for the fiscal year ended January 30, 2022. There have been no material changes to our Critical Accounting Policies and Estimates. </w:t>
      </w:r>
    </w:p>
    <w:p w14:paraId="7C208DE8" w14:textId="77777777" w:rsidR="00834A75" w:rsidRDefault="00834A75">
      <w:pPr>
        <w:spacing w:before="240" w:after="120"/>
        <w:jc w:val="both"/>
      </w:pPr>
    </w:p>
    <w:p w14:paraId="7C208DE9" w14:textId="77777777" w:rsidR="00834A75" w:rsidRDefault="00A6708C">
      <w:pPr>
        <w:spacing w:after="180"/>
        <w:jc w:val="center"/>
      </w:pPr>
      <w:r>
        <w:rPr>
          <w:rFonts w:ascii="sans-serif" w:eastAsia="sans-serif" w:hAnsi="sans-serif" w:cs="sans-serif"/>
          <w:color w:val="000000"/>
          <w:sz w:val="20"/>
          <w:szCs w:val="20"/>
        </w:rPr>
        <w:t>24</w:t>
      </w:r>
    </w:p>
    <w:p w14:paraId="7C208DEA" w14:textId="77777777" w:rsidR="00834A75" w:rsidRDefault="00A6708C">
      <w:r>
        <w:pict w14:anchorId="7C209367">
          <v:rect id="_x0000_i1048" style="width:415.3pt;height:1.5pt" o:hralign="center" o:hrstd="t" o:hr="t" fillcolor="#a0a0a0" stroked="f"/>
        </w:pict>
      </w:r>
    </w:p>
    <w:p w14:paraId="7C208DEB" w14:textId="77777777" w:rsidR="00834A75" w:rsidRDefault="00834A75">
      <w:pPr>
        <w:spacing w:after="180"/>
        <w:jc w:val="both"/>
      </w:pPr>
    </w:p>
    <w:p w14:paraId="7C208DEC" w14:textId="77777777" w:rsidR="00834A75" w:rsidRDefault="00834A75">
      <w:pPr>
        <w:spacing w:after="180"/>
        <w:jc w:val="both"/>
      </w:pPr>
    </w:p>
    <w:p w14:paraId="7C208DED" w14:textId="77777777" w:rsidR="00834A75" w:rsidRDefault="00834A75">
      <w:pPr>
        <w:spacing w:after="180"/>
        <w:jc w:val="both"/>
      </w:pPr>
    </w:p>
    <w:p w14:paraId="7C208DEE" w14:textId="77777777" w:rsidR="00834A75" w:rsidRDefault="00A6708C">
      <w:pPr>
        <w:spacing w:before="240" w:after="120"/>
        <w:jc w:val="both"/>
      </w:pPr>
      <w:r>
        <w:rPr>
          <w:rFonts w:ascii="sans-serif" w:eastAsia="sans-serif" w:hAnsi="sans-serif" w:cs="sans-serif"/>
          <w:b/>
          <w:bCs/>
          <w:color w:val="76B900"/>
          <w:sz w:val="22"/>
          <w:szCs w:val="22"/>
        </w:rPr>
        <w:t>Results of Operations</w:t>
      </w:r>
    </w:p>
    <w:p w14:paraId="7C208DEF" w14:textId="77777777" w:rsidR="00834A75" w:rsidRDefault="00A6708C">
      <w:pPr>
        <w:spacing w:after="180"/>
        <w:jc w:val="both"/>
      </w:pPr>
      <w:r>
        <w:rPr>
          <w:rFonts w:ascii="sans-serif" w:eastAsia="sans-serif" w:hAnsi="sans-serif" w:cs="sans-serif"/>
          <w:color w:val="000000"/>
          <w:sz w:val="20"/>
          <w:szCs w:val="20"/>
        </w:rPr>
        <w:t>The following table sets forth, for the periods indicated, certain items in our Condensed Consolidated Statements of Income expressed as a percentage of revenue.</w:t>
      </w:r>
    </w:p>
    <w:tbl>
      <w:tblPr>
        <w:tblW w:w="5000" w:type="pct"/>
        <w:tblCellMar>
          <w:top w:w="15" w:type="dxa"/>
          <w:left w:w="15" w:type="dxa"/>
          <w:bottom w:w="15" w:type="dxa"/>
          <w:right w:w="15" w:type="dxa"/>
        </w:tblCellMar>
        <w:tblLook w:val="04A0" w:firstRow="1" w:lastRow="0" w:firstColumn="1" w:lastColumn="0" w:noHBand="0" w:noVBand="1"/>
      </w:tblPr>
      <w:tblGrid>
        <w:gridCol w:w="40"/>
        <w:gridCol w:w="5686"/>
        <w:gridCol w:w="39"/>
        <w:gridCol w:w="40"/>
        <w:gridCol w:w="908"/>
        <w:gridCol w:w="164"/>
        <w:gridCol w:w="37"/>
        <w:gridCol w:w="36"/>
        <w:gridCol w:w="36"/>
        <w:gridCol w:w="40"/>
        <w:gridCol w:w="859"/>
        <w:gridCol w:w="163"/>
        <w:gridCol w:w="36"/>
        <w:gridCol w:w="36"/>
        <w:gridCol w:w="36"/>
        <w:gridCol w:w="36"/>
        <w:gridCol w:w="36"/>
        <w:gridCol w:w="36"/>
        <w:gridCol w:w="36"/>
        <w:gridCol w:w="36"/>
      </w:tblGrid>
      <w:tr w:rsidR="00834A75" w14:paraId="7C208E00" w14:textId="77777777">
        <w:tc>
          <w:tcPr>
            <w:tcW w:w="50" w:type="pct"/>
            <w:shd w:val="clear" w:color="auto" w:fill="auto"/>
            <w:vAlign w:val="bottom"/>
          </w:tcPr>
          <w:p w14:paraId="7C208DF0" w14:textId="77777777" w:rsidR="00834A75" w:rsidRDefault="00834A75">
            <w:pPr>
              <w:rPr>
                <w:rFonts w:ascii="宋体"/>
              </w:rPr>
            </w:pPr>
          </w:p>
        </w:tc>
        <w:tc>
          <w:tcPr>
            <w:tcW w:w="3578" w:type="pct"/>
            <w:shd w:val="clear" w:color="auto" w:fill="auto"/>
            <w:vAlign w:val="bottom"/>
          </w:tcPr>
          <w:p w14:paraId="7C208DF1" w14:textId="77777777" w:rsidR="00834A75" w:rsidRDefault="00834A75">
            <w:pPr>
              <w:rPr>
                <w:rFonts w:ascii="宋体"/>
              </w:rPr>
            </w:pPr>
          </w:p>
        </w:tc>
        <w:tc>
          <w:tcPr>
            <w:tcW w:w="5" w:type="pct"/>
            <w:shd w:val="clear" w:color="auto" w:fill="auto"/>
            <w:vAlign w:val="bottom"/>
          </w:tcPr>
          <w:p w14:paraId="7C208DF2" w14:textId="77777777" w:rsidR="00834A75" w:rsidRDefault="00834A75">
            <w:pPr>
              <w:rPr>
                <w:rFonts w:ascii="宋体"/>
              </w:rPr>
            </w:pPr>
          </w:p>
        </w:tc>
        <w:tc>
          <w:tcPr>
            <w:tcW w:w="50" w:type="pct"/>
            <w:shd w:val="clear" w:color="auto" w:fill="auto"/>
            <w:vAlign w:val="bottom"/>
          </w:tcPr>
          <w:p w14:paraId="7C208DF3" w14:textId="77777777" w:rsidR="00834A75" w:rsidRDefault="00834A75">
            <w:pPr>
              <w:rPr>
                <w:rFonts w:ascii="宋体"/>
              </w:rPr>
            </w:pPr>
          </w:p>
        </w:tc>
        <w:tc>
          <w:tcPr>
            <w:tcW w:w="610" w:type="pct"/>
            <w:shd w:val="clear" w:color="auto" w:fill="auto"/>
            <w:vAlign w:val="bottom"/>
          </w:tcPr>
          <w:p w14:paraId="7C208DF4" w14:textId="77777777" w:rsidR="00834A75" w:rsidRDefault="00834A75">
            <w:pPr>
              <w:rPr>
                <w:rFonts w:ascii="宋体"/>
              </w:rPr>
            </w:pPr>
          </w:p>
        </w:tc>
        <w:tc>
          <w:tcPr>
            <w:tcW w:w="5" w:type="pct"/>
            <w:shd w:val="clear" w:color="auto" w:fill="auto"/>
            <w:vAlign w:val="bottom"/>
          </w:tcPr>
          <w:p w14:paraId="7C208DF5" w14:textId="77777777" w:rsidR="00834A75" w:rsidRDefault="00834A75">
            <w:pPr>
              <w:rPr>
                <w:rFonts w:ascii="宋体"/>
              </w:rPr>
            </w:pPr>
          </w:p>
        </w:tc>
        <w:tc>
          <w:tcPr>
            <w:tcW w:w="5" w:type="pct"/>
            <w:shd w:val="clear" w:color="auto" w:fill="auto"/>
            <w:vAlign w:val="bottom"/>
          </w:tcPr>
          <w:p w14:paraId="7C208DF6" w14:textId="77777777" w:rsidR="00834A75" w:rsidRDefault="00834A75">
            <w:pPr>
              <w:rPr>
                <w:rFonts w:ascii="宋体"/>
              </w:rPr>
            </w:pPr>
          </w:p>
        </w:tc>
        <w:tc>
          <w:tcPr>
            <w:tcW w:w="26" w:type="pct"/>
            <w:shd w:val="clear" w:color="auto" w:fill="auto"/>
            <w:vAlign w:val="bottom"/>
          </w:tcPr>
          <w:p w14:paraId="7C208DF7" w14:textId="77777777" w:rsidR="00834A75" w:rsidRDefault="00834A75">
            <w:pPr>
              <w:rPr>
                <w:rFonts w:ascii="宋体"/>
              </w:rPr>
            </w:pPr>
          </w:p>
        </w:tc>
        <w:tc>
          <w:tcPr>
            <w:tcW w:w="5" w:type="pct"/>
            <w:shd w:val="clear" w:color="auto" w:fill="auto"/>
            <w:vAlign w:val="bottom"/>
          </w:tcPr>
          <w:p w14:paraId="7C208DF8" w14:textId="77777777" w:rsidR="00834A75" w:rsidRDefault="00834A75">
            <w:pPr>
              <w:rPr>
                <w:rFonts w:ascii="宋体"/>
              </w:rPr>
            </w:pPr>
          </w:p>
        </w:tc>
        <w:tc>
          <w:tcPr>
            <w:tcW w:w="50" w:type="pct"/>
            <w:shd w:val="clear" w:color="auto" w:fill="auto"/>
            <w:vAlign w:val="bottom"/>
          </w:tcPr>
          <w:p w14:paraId="7C208DF9" w14:textId="77777777" w:rsidR="00834A75" w:rsidRDefault="00834A75">
            <w:pPr>
              <w:rPr>
                <w:rFonts w:ascii="宋体"/>
              </w:rPr>
            </w:pPr>
          </w:p>
        </w:tc>
        <w:tc>
          <w:tcPr>
            <w:tcW w:w="610" w:type="pct"/>
            <w:shd w:val="clear" w:color="auto" w:fill="auto"/>
            <w:vAlign w:val="bottom"/>
          </w:tcPr>
          <w:p w14:paraId="7C208DFA" w14:textId="77777777" w:rsidR="00834A75" w:rsidRDefault="00834A75">
            <w:pPr>
              <w:rPr>
                <w:rFonts w:ascii="宋体"/>
              </w:rPr>
            </w:pPr>
          </w:p>
        </w:tc>
        <w:tc>
          <w:tcPr>
            <w:tcW w:w="5" w:type="pct"/>
            <w:shd w:val="clear" w:color="auto" w:fill="auto"/>
            <w:vAlign w:val="bottom"/>
          </w:tcPr>
          <w:p w14:paraId="7C208DFB" w14:textId="77777777" w:rsidR="00834A75" w:rsidRDefault="00834A75">
            <w:pPr>
              <w:rPr>
                <w:rFonts w:ascii="宋体"/>
              </w:rPr>
            </w:pPr>
          </w:p>
        </w:tc>
        <w:tc>
          <w:tcPr>
            <w:tcW w:w="0" w:type="auto"/>
            <w:shd w:val="clear" w:color="auto" w:fill="auto"/>
            <w:vAlign w:val="bottom"/>
          </w:tcPr>
          <w:p w14:paraId="7C208DFC" w14:textId="77777777" w:rsidR="00834A75" w:rsidRDefault="00834A75">
            <w:pPr>
              <w:rPr>
                <w:rFonts w:ascii="宋体"/>
                <w:vanish/>
              </w:rPr>
            </w:pPr>
          </w:p>
        </w:tc>
        <w:tc>
          <w:tcPr>
            <w:tcW w:w="0" w:type="auto"/>
            <w:shd w:val="clear" w:color="auto" w:fill="auto"/>
            <w:vAlign w:val="bottom"/>
          </w:tcPr>
          <w:p w14:paraId="7C208DFD" w14:textId="77777777" w:rsidR="00834A75" w:rsidRDefault="00834A75">
            <w:pPr>
              <w:rPr>
                <w:rFonts w:ascii="宋体"/>
                <w:vanish/>
              </w:rPr>
            </w:pPr>
          </w:p>
        </w:tc>
        <w:tc>
          <w:tcPr>
            <w:tcW w:w="0" w:type="auto"/>
            <w:gridSpan w:val="3"/>
            <w:shd w:val="clear" w:color="auto" w:fill="auto"/>
            <w:vAlign w:val="bottom"/>
          </w:tcPr>
          <w:p w14:paraId="7C208DFE" w14:textId="77777777" w:rsidR="00834A75" w:rsidRDefault="00834A75">
            <w:pPr>
              <w:rPr>
                <w:rFonts w:ascii="宋体"/>
                <w:vanish/>
              </w:rPr>
            </w:pPr>
          </w:p>
        </w:tc>
        <w:tc>
          <w:tcPr>
            <w:tcW w:w="0" w:type="auto"/>
            <w:gridSpan w:val="3"/>
            <w:shd w:val="clear" w:color="auto" w:fill="auto"/>
            <w:vAlign w:val="bottom"/>
          </w:tcPr>
          <w:p w14:paraId="7C208DFF" w14:textId="77777777" w:rsidR="00834A75" w:rsidRDefault="00834A75">
            <w:pPr>
              <w:rPr>
                <w:rFonts w:ascii="宋体"/>
                <w:vanish/>
              </w:rPr>
            </w:pPr>
          </w:p>
        </w:tc>
      </w:tr>
      <w:tr w:rsidR="00834A75" w14:paraId="7C208E0B" w14:textId="77777777">
        <w:tc>
          <w:tcPr>
            <w:tcW w:w="0" w:type="auto"/>
            <w:gridSpan w:val="3"/>
            <w:shd w:val="clear" w:color="auto" w:fill="auto"/>
            <w:tcMar>
              <w:top w:w="40" w:type="dxa"/>
              <w:left w:w="20" w:type="dxa"/>
              <w:bottom w:w="40" w:type="dxa"/>
              <w:right w:w="20" w:type="dxa"/>
            </w:tcMar>
            <w:vAlign w:val="bottom"/>
          </w:tcPr>
          <w:p w14:paraId="7C208E01" w14:textId="77777777" w:rsidR="00834A75" w:rsidRDefault="00A6708C">
            <w:pPr>
              <w:textAlignment w:val="bottom"/>
            </w:pPr>
            <w:r>
              <w:rPr>
                <w:rFonts w:ascii="sans-serif" w:eastAsia="sans-serif" w:hAnsi="sans-serif" w:cs="sans-serif"/>
                <w:color w:val="000000"/>
                <w:sz w:val="20"/>
                <w:szCs w:val="20"/>
              </w:rPr>
              <w:t> </w:t>
            </w:r>
          </w:p>
        </w:tc>
        <w:tc>
          <w:tcPr>
            <w:tcW w:w="0" w:type="auto"/>
            <w:gridSpan w:val="9"/>
            <w:shd w:val="clear" w:color="auto" w:fill="auto"/>
            <w:tcMar>
              <w:top w:w="40" w:type="dxa"/>
              <w:left w:w="20" w:type="dxa"/>
              <w:bottom w:w="40" w:type="dxa"/>
              <w:right w:w="20" w:type="dxa"/>
            </w:tcMar>
            <w:vAlign w:val="bottom"/>
          </w:tcPr>
          <w:p w14:paraId="7C208E02" w14:textId="77777777" w:rsidR="00834A75" w:rsidRDefault="00A6708C">
            <w:pPr>
              <w:jc w:val="center"/>
              <w:textAlignment w:val="bottom"/>
            </w:pPr>
            <w:r>
              <w:rPr>
                <w:rFonts w:ascii="sans-serif" w:eastAsia="sans-serif" w:hAnsi="sans-serif" w:cs="sans-serif"/>
                <w:b/>
                <w:bCs/>
                <w:color w:val="000000"/>
                <w:sz w:val="20"/>
                <w:szCs w:val="20"/>
              </w:rPr>
              <w:t>Three Months Ended</w:t>
            </w:r>
          </w:p>
        </w:tc>
        <w:tc>
          <w:tcPr>
            <w:tcW w:w="0" w:type="auto"/>
            <w:shd w:val="clear" w:color="auto" w:fill="auto"/>
            <w:vAlign w:val="bottom"/>
          </w:tcPr>
          <w:p w14:paraId="7C208E03" w14:textId="77777777" w:rsidR="00834A75" w:rsidRDefault="00834A75">
            <w:pPr>
              <w:rPr>
                <w:rFonts w:ascii="宋体"/>
                <w:vanish/>
              </w:rPr>
            </w:pPr>
          </w:p>
        </w:tc>
        <w:tc>
          <w:tcPr>
            <w:tcW w:w="0" w:type="auto"/>
            <w:shd w:val="clear" w:color="auto" w:fill="auto"/>
            <w:vAlign w:val="bottom"/>
          </w:tcPr>
          <w:p w14:paraId="7C208E04" w14:textId="77777777" w:rsidR="00834A75" w:rsidRDefault="00834A75">
            <w:pPr>
              <w:rPr>
                <w:rFonts w:ascii="宋体"/>
                <w:vanish/>
              </w:rPr>
            </w:pPr>
          </w:p>
        </w:tc>
        <w:tc>
          <w:tcPr>
            <w:tcW w:w="0" w:type="auto"/>
            <w:shd w:val="clear" w:color="auto" w:fill="auto"/>
            <w:vAlign w:val="bottom"/>
          </w:tcPr>
          <w:p w14:paraId="7C208E05" w14:textId="77777777" w:rsidR="00834A75" w:rsidRDefault="00834A75">
            <w:pPr>
              <w:rPr>
                <w:rFonts w:ascii="宋体"/>
              </w:rPr>
            </w:pPr>
          </w:p>
        </w:tc>
        <w:tc>
          <w:tcPr>
            <w:tcW w:w="0" w:type="auto"/>
            <w:shd w:val="clear" w:color="auto" w:fill="auto"/>
            <w:vAlign w:val="bottom"/>
          </w:tcPr>
          <w:p w14:paraId="7C208E06" w14:textId="77777777" w:rsidR="00834A75" w:rsidRDefault="00834A75">
            <w:pPr>
              <w:rPr>
                <w:rFonts w:ascii="宋体"/>
              </w:rPr>
            </w:pPr>
          </w:p>
        </w:tc>
        <w:tc>
          <w:tcPr>
            <w:tcW w:w="0" w:type="auto"/>
            <w:shd w:val="clear" w:color="auto" w:fill="auto"/>
            <w:vAlign w:val="bottom"/>
          </w:tcPr>
          <w:p w14:paraId="7C208E07" w14:textId="77777777" w:rsidR="00834A75" w:rsidRDefault="00834A75">
            <w:pPr>
              <w:rPr>
                <w:rFonts w:ascii="宋体"/>
              </w:rPr>
            </w:pPr>
          </w:p>
        </w:tc>
        <w:tc>
          <w:tcPr>
            <w:tcW w:w="0" w:type="auto"/>
            <w:shd w:val="clear" w:color="auto" w:fill="auto"/>
            <w:vAlign w:val="bottom"/>
          </w:tcPr>
          <w:p w14:paraId="7C208E08" w14:textId="77777777" w:rsidR="00834A75" w:rsidRDefault="00834A75">
            <w:pPr>
              <w:rPr>
                <w:rFonts w:ascii="宋体"/>
              </w:rPr>
            </w:pPr>
          </w:p>
        </w:tc>
        <w:tc>
          <w:tcPr>
            <w:tcW w:w="0" w:type="auto"/>
            <w:shd w:val="clear" w:color="auto" w:fill="auto"/>
            <w:vAlign w:val="bottom"/>
          </w:tcPr>
          <w:p w14:paraId="7C208E09" w14:textId="77777777" w:rsidR="00834A75" w:rsidRDefault="00834A75">
            <w:pPr>
              <w:rPr>
                <w:rFonts w:ascii="宋体"/>
              </w:rPr>
            </w:pPr>
          </w:p>
        </w:tc>
        <w:tc>
          <w:tcPr>
            <w:tcW w:w="0" w:type="auto"/>
            <w:shd w:val="clear" w:color="auto" w:fill="auto"/>
            <w:vAlign w:val="bottom"/>
          </w:tcPr>
          <w:p w14:paraId="7C208E0A" w14:textId="77777777" w:rsidR="00834A75" w:rsidRDefault="00834A75">
            <w:pPr>
              <w:rPr>
                <w:rFonts w:ascii="宋体"/>
              </w:rPr>
            </w:pPr>
          </w:p>
        </w:tc>
      </w:tr>
      <w:tr w:rsidR="00834A75" w14:paraId="7C208E14" w14:textId="77777777">
        <w:tc>
          <w:tcPr>
            <w:tcW w:w="0" w:type="auto"/>
            <w:gridSpan w:val="3"/>
            <w:shd w:val="clear" w:color="auto" w:fill="auto"/>
            <w:tcMar>
              <w:top w:w="40" w:type="dxa"/>
              <w:left w:w="20" w:type="dxa"/>
              <w:bottom w:w="40" w:type="dxa"/>
              <w:right w:w="20" w:type="dxa"/>
            </w:tcMar>
            <w:vAlign w:val="bottom"/>
          </w:tcPr>
          <w:p w14:paraId="7C208E0C" w14:textId="77777777" w:rsidR="00834A75" w:rsidRDefault="00A6708C">
            <w:pPr>
              <w:textAlignment w:val="bottom"/>
            </w:pPr>
            <w:r>
              <w:rPr>
                <w:rFonts w:ascii="sans-serif" w:eastAsia="sans-serif" w:hAnsi="sans-serif" w:cs="sans-serif"/>
                <w:color w:val="000000"/>
                <w:sz w:val="20"/>
                <w:szCs w:val="20"/>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C208E0D" w14:textId="77777777" w:rsidR="00834A75" w:rsidRDefault="00A6708C">
            <w:pPr>
              <w:jc w:val="center"/>
              <w:textAlignment w:val="bottom"/>
            </w:pPr>
            <w:r>
              <w:rPr>
                <w:rFonts w:ascii="sans-serif" w:eastAsia="sans-serif" w:hAnsi="sans-serif" w:cs="sans-serif"/>
                <w:b/>
                <w:bCs/>
                <w:color w:val="000000"/>
                <w:sz w:val="20"/>
                <w:szCs w:val="20"/>
              </w:rPr>
              <w:t>May 1,</w:t>
            </w:r>
            <w:r>
              <w:rPr>
                <w:rFonts w:ascii="sans-serif" w:eastAsia="sans-serif" w:hAnsi="sans-serif" w:cs="sans-serif"/>
                <w:b/>
                <w:bCs/>
                <w:color w:val="000000"/>
                <w:sz w:val="20"/>
                <w:szCs w:val="20"/>
              </w:rPr>
              <w:b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C208E0E" w14:textId="77777777" w:rsidR="00834A75" w:rsidRDefault="00834A75">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C208E0F" w14:textId="77777777" w:rsidR="00834A75" w:rsidRDefault="00A6708C">
            <w:pPr>
              <w:jc w:val="center"/>
              <w:textAlignment w:val="bottom"/>
            </w:pPr>
            <w:r>
              <w:rPr>
                <w:rFonts w:ascii="sans-serif" w:eastAsia="sans-serif" w:hAnsi="sans-serif" w:cs="sans-serif"/>
                <w:b/>
                <w:bCs/>
                <w:color w:val="000000"/>
                <w:sz w:val="20"/>
                <w:szCs w:val="20"/>
              </w:rPr>
              <w:t>May 2,</w:t>
            </w:r>
            <w:r>
              <w:rPr>
                <w:rFonts w:ascii="sans-serif" w:eastAsia="sans-serif" w:hAnsi="sans-serif" w:cs="sans-serif"/>
                <w:b/>
                <w:bCs/>
                <w:color w:val="000000"/>
                <w:sz w:val="20"/>
                <w:szCs w:val="20"/>
              </w:rPr>
              <w:br/>
            </w:r>
            <w:r>
              <w:rPr>
                <w:rFonts w:ascii="sans-serif" w:eastAsia="sans-serif" w:hAnsi="sans-serif" w:cs="sans-serif"/>
                <w:b/>
                <w:bCs/>
                <w:color w:val="000000"/>
                <w:sz w:val="20"/>
                <w:szCs w:val="20"/>
              </w:rPr>
              <w:t>2021</w:t>
            </w:r>
          </w:p>
        </w:tc>
        <w:tc>
          <w:tcPr>
            <w:tcW w:w="0" w:type="auto"/>
            <w:shd w:val="clear" w:color="auto" w:fill="auto"/>
            <w:vAlign w:val="bottom"/>
          </w:tcPr>
          <w:p w14:paraId="7C208E10" w14:textId="77777777" w:rsidR="00834A75" w:rsidRDefault="00834A75">
            <w:pPr>
              <w:rPr>
                <w:rFonts w:ascii="宋体"/>
                <w:vanish/>
              </w:rPr>
            </w:pPr>
          </w:p>
        </w:tc>
        <w:tc>
          <w:tcPr>
            <w:tcW w:w="0" w:type="auto"/>
            <w:shd w:val="clear" w:color="auto" w:fill="auto"/>
            <w:vAlign w:val="bottom"/>
          </w:tcPr>
          <w:p w14:paraId="7C208E11" w14:textId="77777777" w:rsidR="00834A75" w:rsidRDefault="00834A75">
            <w:pPr>
              <w:rPr>
                <w:rFonts w:ascii="宋体"/>
                <w:vanish/>
              </w:rPr>
            </w:pPr>
          </w:p>
        </w:tc>
        <w:tc>
          <w:tcPr>
            <w:tcW w:w="0" w:type="auto"/>
            <w:gridSpan w:val="3"/>
            <w:shd w:val="clear" w:color="auto" w:fill="auto"/>
            <w:vAlign w:val="bottom"/>
          </w:tcPr>
          <w:p w14:paraId="7C208E12" w14:textId="77777777" w:rsidR="00834A75" w:rsidRDefault="00834A75">
            <w:pPr>
              <w:rPr>
                <w:rFonts w:ascii="宋体"/>
                <w:vanish/>
              </w:rPr>
            </w:pPr>
          </w:p>
        </w:tc>
        <w:tc>
          <w:tcPr>
            <w:tcW w:w="0" w:type="auto"/>
            <w:gridSpan w:val="3"/>
            <w:shd w:val="clear" w:color="auto" w:fill="auto"/>
            <w:vAlign w:val="bottom"/>
          </w:tcPr>
          <w:p w14:paraId="7C208E13" w14:textId="77777777" w:rsidR="00834A75" w:rsidRDefault="00834A75">
            <w:pPr>
              <w:rPr>
                <w:rFonts w:ascii="宋体"/>
                <w:vanish/>
              </w:rPr>
            </w:pPr>
          </w:p>
        </w:tc>
      </w:tr>
      <w:tr w:rsidR="00834A75" w14:paraId="7C208E1F" w14:textId="77777777">
        <w:tc>
          <w:tcPr>
            <w:tcW w:w="0" w:type="auto"/>
            <w:gridSpan w:val="3"/>
            <w:shd w:val="clear" w:color="auto" w:fill="E2EFD9"/>
            <w:tcMar>
              <w:top w:w="40" w:type="dxa"/>
              <w:left w:w="20" w:type="dxa"/>
              <w:bottom w:w="40" w:type="dxa"/>
              <w:right w:w="20" w:type="dxa"/>
            </w:tcMar>
            <w:vAlign w:val="bottom"/>
          </w:tcPr>
          <w:p w14:paraId="7C208E15" w14:textId="77777777" w:rsidR="00834A75" w:rsidRDefault="00A6708C">
            <w:pPr>
              <w:textAlignment w:val="bottom"/>
            </w:pPr>
            <w:r>
              <w:rPr>
                <w:rFonts w:ascii="sans-serif" w:eastAsia="sans-serif" w:hAnsi="sans-serif" w:cs="sans-serif"/>
                <w:color w:val="000000"/>
                <w:sz w:val="20"/>
                <w:szCs w:val="20"/>
              </w:rPr>
              <w:t>Revenue</w:t>
            </w:r>
          </w:p>
        </w:tc>
        <w:tc>
          <w:tcPr>
            <w:tcW w:w="0" w:type="auto"/>
            <w:gridSpan w:val="2"/>
            <w:tcBorders>
              <w:top w:val="single" w:sz="8" w:space="0" w:color="000000"/>
            </w:tcBorders>
            <w:shd w:val="clear" w:color="auto" w:fill="E2EFD9"/>
            <w:tcMar>
              <w:top w:w="40" w:type="dxa"/>
              <w:left w:w="20" w:type="dxa"/>
              <w:bottom w:w="40" w:type="dxa"/>
              <w:right w:w="0" w:type="dxa"/>
            </w:tcMar>
            <w:vAlign w:val="bottom"/>
          </w:tcPr>
          <w:p w14:paraId="7C208E16" w14:textId="77777777" w:rsidR="00834A75" w:rsidRDefault="00A6708C">
            <w:pPr>
              <w:jc w:val="right"/>
              <w:textAlignment w:val="bottom"/>
            </w:pPr>
            <w:r>
              <w:rPr>
                <w:rFonts w:ascii="sans-serif" w:eastAsia="sans-serif" w:hAnsi="sans-serif" w:cs="sans-serif"/>
                <w:color w:val="000000"/>
                <w:sz w:val="20"/>
                <w:szCs w:val="20"/>
              </w:rPr>
              <w:t>100.0 </w:t>
            </w:r>
          </w:p>
        </w:tc>
        <w:tc>
          <w:tcPr>
            <w:tcW w:w="0" w:type="auto"/>
            <w:tcBorders>
              <w:top w:val="single" w:sz="8" w:space="0" w:color="000000"/>
            </w:tcBorders>
            <w:shd w:val="clear" w:color="auto" w:fill="E2EFD9"/>
            <w:tcMar>
              <w:top w:w="40" w:type="dxa"/>
              <w:left w:w="0" w:type="dxa"/>
              <w:bottom w:w="40" w:type="dxa"/>
              <w:right w:w="20" w:type="dxa"/>
            </w:tcMar>
            <w:vAlign w:val="bottom"/>
          </w:tcPr>
          <w:p w14:paraId="7C208E17" w14:textId="77777777" w:rsidR="00834A75" w:rsidRDefault="00A6708C">
            <w:pPr>
              <w:jc w:val="right"/>
              <w:textAlignment w:val="bottom"/>
            </w:pPr>
            <w:r>
              <w:rPr>
                <w:rFonts w:ascii="sans-serif" w:eastAsia="sans-serif" w:hAnsi="sans-serif" w:cs="sans-serif"/>
                <w:color w:val="000000"/>
                <w:sz w:val="20"/>
                <w:szCs w:val="20"/>
              </w:rPr>
              <w:t>%</w:t>
            </w:r>
          </w:p>
        </w:tc>
        <w:tc>
          <w:tcPr>
            <w:tcW w:w="0" w:type="auto"/>
            <w:gridSpan w:val="3"/>
            <w:shd w:val="clear" w:color="auto" w:fill="E2EFD9"/>
            <w:tcMar>
              <w:top w:w="0" w:type="dxa"/>
              <w:left w:w="20" w:type="dxa"/>
              <w:bottom w:w="0" w:type="dxa"/>
              <w:right w:w="20" w:type="dxa"/>
            </w:tcMar>
            <w:vAlign w:val="bottom"/>
          </w:tcPr>
          <w:p w14:paraId="7C208E18" w14:textId="77777777" w:rsidR="00834A75" w:rsidRDefault="00834A75">
            <w:pPr>
              <w:rPr>
                <w:rFonts w:ascii="宋体"/>
              </w:rPr>
            </w:pPr>
          </w:p>
        </w:tc>
        <w:tc>
          <w:tcPr>
            <w:tcW w:w="0" w:type="auto"/>
            <w:gridSpan w:val="2"/>
            <w:tcBorders>
              <w:top w:val="single" w:sz="8" w:space="0" w:color="000000"/>
            </w:tcBorders>
            <w:shd w:val="clear" w:color="auto" w:fill="E2EFD9"/>
            <w:tcMar>
              <w:top w:w="40" w:type="dxa"/>
              <w:left w:w="20" w:type="dxa"/>
              <w:bottom w:w="40" w:type="dxa"/>
              <w:right w:w="0" w:type="dxa"/>
            </w:tcMar>
            <w:vAlign w:val="bottom"/>
          </w:tcPr>
          <w:p w14:paraId="7C208E19" w14:textId="77777777" w:rsidR="00834A75" w:rsidRDefault="00A6708C">
            <w:pPr>
              <w:jc w:val="right"/>
              <w:textAlignment w:val="bottom"/>
            </w:pPr>
            <w:r>
              <w:rPr>
                <w:rFonts w:ascii="sans-serif" w:eastAsia="sans-serif" w:hAnsi="sans-serif" w:cs="sans-serif"/>
                <w:color w:val="000000"/>
                <w:sz w:val="20"/>
                <w:szCs w:val="20"/>
              </w:rPr>
              <w:t>100.0 </w:t>
            </w:r>
          </w:p>
        </w:tc>
        <w:tc>
          <w:tcPr>
            <w:tcW w:w="0" w:type="auto"/>
            <w:tcBorders>
              <w:top w:val="single" w:sz="8" w:space="0" w:color="000000"/>
            </w:tcBorders>
            <w:shd w:val="clear" w:color="auto" w:fill="E2EFD9"/>
            <w:tcMar>
              <w:top w:w="40" w:type="dxa"/>
              <w:left w:w="0" w:type="dxa"/>
              <w:bottom w:w="40" w:type="dxa"/>
              <w:right w:w="20" w:type="dxa"/>
            </w:tcMar>
            <w:vAlign w:val="bottom"/>
          </w:tcPr>
          <w:p w14:paraId="7C208E1A" w14:textId="77777777" w:rsidR="00834A75" w:rsidRDefault="00A6708C">
            <w:pPr>
              <w:jc w:val="right"/>
              <w:textAlignment w:val="bottom"/>
            </w:pPr>
            <w:r>
              <w:rPr>
                <w:rFonts w:ascii="sans-serif" w:eastAsia="sans-serif" w:hAnsi="sans-serif" w:cs="sans-serif"/>
                <w:color w:val="000000"/>
                <w:sz w:val="20"/>
                <w:szCs w:val="20"/>
              </w:rPr>
              <w:t>%</w:t>
            </w:r>
          </w:p>
        </w:tc>
        <w:tc>
          <w:tcPr>
            <w:tcW w:w="0" w:type="auto"/>
            <w:shd w:val="clear" w:color="auto" w:fill="auto"/>
            <w:vAlign w:val="bottom"/>
          </w:tcPr>
          <w:p w14:paraId="7C208E1B" w14:textId="77777777" w:rsidR="00834A75" w:rsidRDefault="00834A75">
            <w:pPr>
              <w:rPr>
                <w:rFonts w:ascii="宋体"/>
                <w:vanish/>
              </w:rPr>
            </w:pPr>
          </w:p>
        </w:tc>
        <w:tc>
          <w:tcPr>
            <w:tcW w:w="0" w:type="auto"/>
            <w:shd w:val="clear" w:color="auto" w:fill="auto"/>
            <w:vAlign w:val="bottom"/>
          </w:tcPr>
          <w:p w14:paraId="7C208E1C" w14:textId="77777777" w:rsidR="00834A75" w:rsidRDefault="00834A75">
            <w:pPr>
              <w:rPr>
                <w:rFonts w:ascii="宋体"/>
                <w:vanish/>
              </w:rPr>
            </w:pPr>
          </w:p>
        </w:tc>
        <w:tc>
          <w:tcPr>
            <w:tcW w:w="0" w:type="auto"/>
            <w:gridSpan w:val="3"/>
            <w:shd w:val="clear" w:color="auto" w:fill="auto"/>
            <w:vAlign w:val="bottom"/>
          </w:tcPr>
          <w:p w14:paraId="7C208E1D" w14:textId="77777777" w:rsidR="00834A75" w:rsidRDefault="00834A75">
            <w:pPr>
              <w:rPr>
                <w:rFonts w:ascii="宋体"/>
                <w:vanish/>
              </w:rPr>
            </w:pPr>
          </w:p>
        </w:tc>
        <w:tc>
          <w:tcPr>
            <w:tcW w:w="0" w:type="auto"/>
            <w:gridSpan w:val="3"/>
            <w:shd w:val="clear" w:color="auto" w:fill="auto"/>
            <w:vAlign w:val="bottom"/>
          </w:tcPr>
          <w:p w14:paraId="7C208E1E" w14:textId="77777777" w:rsidR="00834A75" w:rsidRDefault="00834A75">
            <w:pPr>
              <w:rPr>
                <w:rFonts w:ascii="宋体"/>
                <w:vanish/>
              </w:rPr>
            </w:pPr>
          </w:p>
        </w:tc>
      </w:tr>
      <w:tr w:rsidR="00834A75" w14:paraId="7C208E2A" w14:textId="77777777">
        <w:tc>
          <w:tcPr>
            <w:tcW w:w="0" w:type="auto"/>
            <w:gridSpan w:val="3"/>
            <w:shd w:val="clear" w:color="auto" w:fill="FFFFFF"/>
            <w:tcMar>
              <w:top w:w="40" w:type="dxa"/>
              <w:left w:w="20" w:type="dxa"/>
              <w:bottom w:w="40" w:type="dxa"/>
              <w:right w:w="20" w:type="dxa"/>
            </w:tcMar>
            <w:vAlign w:val="bottom"/>
          </w:tcPr>
          <w:p w14:paraId="7C208E20" w14:textId="77777777" w:rsidR="00834A75" w:rsidRDefault="00A6708C">
            <w:pPr>
              <w:textAlignment w:val="bottom"/>
            </w:pPr>
            <w:r>
              <w:rPr>
                <w:rFonts w:ascii="sans-serif" w:eastAsia="sans-serif" w:hAnsi="sans-serif" w:cs="sans-serif"/>
                <w:color w:val="000000"/>
                <w:sz w:val="20"/>
                <w:szCs w:val="20"/>
              </w:rPr>
              <w:t>     Cost of revenue</w:t>
            </w:r>
          </w:p>
        </w:tc>
        <w:tc>
          <w:tcPr>
            <w:tcW w:w="0" w:type="auto"/>
            <w:gridSpan w:val="2"/>
            <w:shd w:val="clear" w:color="auto" w:fill="FFFFFF"/>
            <w:tcMar>
              <w:top w:w="40" w:type="dxa"/>
              <w:left w:w="20" w:type="dxa"/>
              <w:bottom w:w="40" w:type="dxa"/>
              <w:right w:w="0" w:type="dxa"/>
            </w:tcMar>
            <w:vAlign w:val="bottom"/>
          </w:tcPr>
          <w:p w14:paraId="7C208E21" w14:textId="77777777" w:rsidR="00834A75" w:rsidRDefault="00A6708C">
            <w:pPr>
              <w:jc w:val="right"/>
              <w:textAlignment w:val="bottom"/>
            </w:pPr>
            <w:r>
              <w:rPr>
                <w:rFonts w:ascii="sans-serif" w:eastAsia="sans-serif" w:hAnsi="sans-serif" w:cs="sans-serif"/>
                <w:color w:val="000000"/>
                <w:sz w:val="20"/>
                <w:szCs w:val="20"/>
              </w:rPr>
              <w:t>34.5 </w:t>
            </w:r>
          </w:p>
        </w:tc>
        <w:tc>
          <w:tcPr>
            <w:tcW w:w="0" w:type="auto"/>
            <w:shd w:val="clear" w:color="auto" w:fill="FFFFFF"/>
            <w:tcMar>
              <w:top w:w="40" w:type="dxa"/>
              <w:left w:w="0" w:type="dxa"/>
              <w:bottom w:w="40" w:type="dxa"/>
              <w:right w:w="20" w:type="dxa"/>
            </w:tcMar>
            <w:vAlign w:val="bottom"/>
          </w:tcPr>
          <w:p w14:paraId="7C208E22" w14:textId="77777777" w:rsidR="00834A75" w:rsidRDefault="00834A75">
            <w:pPr>
              <w:jc w:val="right"/>
              <w:rPr>
                <w:rFonts w:ascii="宋体"/>
              </w:rPr>
            </w:pPr>
          </w:p>
        </w:tc>
        <w:tc>
          <w:tcPr>
            <w:tcW w:w="0" w:type="auto"/>
            <w:gridSpan w:val="3"/>
            <w:shd w:val="clear" w:color="auto" w:fill="FFFFFF"/>
            <w:tcMar>
              <w:top w:w="0" w:type="dxa"/>
              <w:left w:w="20" w:type="dxa"/>
              <w:bottom w:w="0" w:type="dxa"/>
              <w:right w:w="20" w:type="dxa"/>
            </w:tcMar>
            <w:vAlign w:val="bottom"/>
          </w:tcPr>
          <w:p w14:paraId="7C208E23" w14:textId="77777777" w:rsidR="00834A75" w:rsidRDefault="00834A75">
            <w:pPr>
              <w:rPr>
                <w:rFonts w:ascii="宋体"/>
              </w:rPr>
            </w:pPr>
          </w:p>
        </w:tc>
        <w:tc>
          <w:tcPr>
            <w:tcW w:w="0" w:type="auto"/>
            <w:gridSpan w:val="2"/>
            <w:shd w:val="clear" w:color="auto" w:fill="FFFFFF"/>
            <w:tcMar>
              <w:top w:w="40" w:type="dxa"/>
              <w:left w:w="20" w:type="dxa"/>
              <w:bottom w:w="40" w:type="dxa"/>
              <w:right w:w="0" w:type="dxa"/>
            </w:tcMar>
            <w:vAlign w:val="bottom"/>
          </w:tcPr>
          <w:p w14:paraId="7C208E24" w14:textId="77777777" w:rsidR="00834A75" w:rsidRDefault="00A6708C">
            <w:pPr>
              <w:jc w:val="right"/>
              <w:textAlignment w:val="bottom"/>
            </w:pPr>
            <w:r>
              <w:rPr>
                <w:rFonts w:ascii="sans-serif" w:eastAsia="sans-serif" w:hAnsi="sans-serif" w:cs="sans-serif"/>
                <w:color w:val="000000"/>
                <w:sz w:val="20"/>
                <w:szCs w:val="20"/>
              </w:rPr>
              <w:t>35.9 </w:t>
            </w:r>
          </w:p>
        </w:tc>
        <w:tc>
          <w:tcPr>
            <w:tcW w:w="0" w:type="auto"/>
            <w:shd w:val="clear" w:color="auto" w:fill="FFFFFF"/>
            <w:tcMar>
              <w:top w:w="40" w:type="dxa"/>
              <w:left w:w="0" w:type="dxa"/>
              <w:bottom w:w="40" w:type="dxa"/>
              <w:right w:w="20" w:type="dxa"/>
            </w:tcMar>
            <w:vAlign w:val="bottom"/>
          </w:tcPr>
          <w:p w14:paraId="7C208E25" w14:textId="77777777" w:rsidR="00834A75" w:rsidRDefault="00834A75">
            <w:pPr>
              <w:jc w:val="right"/>
              <w:rPr>
                <w:rFonts w:ascii="宋体"/>
              </w:rPr>
            </w:pPr>
          </w:p>
        </w:tc>
        <w:tc>
          <w:tcPr>
            <w:tcW w:w="0" w:type="auto"/>
            <w:shd w:val="clear" w:color="auto" w:fill="auto"/>
            <w:vAlign w:val="bottom"/>
          </w:tcPr>
          <w:p w14:paraId="7C208E26" w14:textId="77777777" w:rsidR="00834A75" w:rsidRDefault="00834A75">
            <w:pPr>
              <w:rPr>
                <w:rFonts w:ascii="宋体"/>
                <w:vanish/>
              </w:rPr>
            </w:pPr>
          </w:p>
        </w:tc>
        <w:tc>
          <w:tcPr>
            <w:tcW w:w="0" w:type="auto"/>
            <w:shd w:val="clear" w:color="auto" w:fill="auto"/>
            <w:vAlign w:val="bottom"/>
          </w:tcPr>
          <w:p w14:paraId="7C208E27" w14:textId="77777777" w:rsidR="00834A75" w:rsidRDefault="00834A75">
            <w:pPr>
              <w:rPr>
                <w:rFonts w:ascii="宋体"/>
                <w:vanish/>
              </w:rPr>
            </w:pPr>
          </w:p>
        </w:tc>
        <w:tc>
          <w:tcPr>
            <w:tcW w:w="0" w:type="auto"/>
            <w:gridSpan w:val="3"/>
            <w:shd w:val="clear" w:color="auto" w:fill="auto"/>
            <w:vAlign w:val="bottom"/>
          </w:tcPr>
          <w:p w14:paraId="7C208E28" w14:textId="77777777" w:rsidR="00834A75" w:rsidRDefault="00834A75">
            <w:pPr>
              <w:rPr>
                <w:rFonts w:ascii="宋体"/>
                <w:vanish/>
              </w:rPr>
            </w:pPr>
          </w:p>
        </w:tc>
        <w:tc>
          <w:tcPr>
            <w:tcW w:w="0" w:type="auto"/>
            <w:gridSpan w:val="3"/>
            <w:shd w:val="clear" w:color="auto" w:fill="auto"/>
            <w:vAlign w:val="bottom"/>
          </w:tcPr>
          <w:p w14:paraId="7C208E29" w14:textId="77777777" w:rsidR="00834A75" w:rsidRDefault="00834A75">
            <w:pPr>
              <w:rPr>
                <w:rFonts w:ascii="宋体"/>
                <w:vanish/>
              </w:rPr>
            </w:pPr>
          </w:p>
        </w:tc>
      </w:tr>
      <w:tr w:rsidR="00834A75" w14:paraId="7C208E35" w14:textId="77777777">
        <w:tc>
          <w:tcPr>
            <w:tcW w:w="0" w:type="auto"/>
            <w:gridSpan w:val="3"/>
            <w:shd w:val="clear" w:color="auto" w:fill="E2EFD9"/>
            <w:tcMar>
              <w:top w:w="40" w:type="dxa"/>
              <w:left w:w="20" w:type="dxa"/>
              <w:bottom w:w="40" w:type="dxa"/>
              <w:right w:w="20" w:type="dxa"/>
            </w:tcMar>
            <w:vAlign w:val="bottom"/>
          </w:tcPr>
          <w:p w14:paraId="7C208E2B" w14:textId="77777777" w:rsidR="00834A75" w:rsidRDefault="00A6708C">
            <w:pPr>
              <w:textAlignment w:val="bottom"/>
            </w:pPr>
            <w:r>
              <w:rPr>
                <w:rFonts w:ascii="sans-serif" w:eastAsia="sans-serif" w:hAnsi="sans-serif" w:cs="sans-serif"/>
                <w:color w:val="000000"/>
                <w:sz w:val="20"/>
                <w:szCs w:val="20"/>
              </w:rPr>
              <w:t>Gross profit</w:t>
            </w:r>
          </w:p>
        </w:tc>
        <w:tc>
          <w:tcPr>
            <w:tcW w:w="0" w:type="auto"/>
            <w:gridSpan w:val="2"/>
            <w:tcBorders>
              <w:top w:val="single" w:sz="8" w:space="0" w:color="000000"/>
            </w:tcBorders>
            <w:shd w:val="clear" w:color="auto" w:fill="E2EFD9"/>
            <w:tcMar>
              <w:top w:w="40" w:type="dxa"/>
              <w:left w:w="20" w:type="dxa"/>
              <w:bottom w:w="40" w:type="dxa"/>
              <w:right w:w="0" w:type="dxa"/>
            </w:tcMar>
            <w:vAlign w:val="bottom"/>
          </w:tcPr>
          <w:p w14:paraId="7C208E2C" w14:textId="77777777" w:rsidR="00834A75" w:rsidRDefault="00A6708C">
            <w:pPr>
              <w:jc w:val="right"/>
              <w:textAlignment w:val="bottom"/>
            </w:pPr>
            <w:r>
              <w:rPr>
                <w:rFonts w:ascii="sans-serif" w:eastAsia="sans-serif" w:hAnsi="sans-serif" w:cs="sans-serif"/>
                <w:color w:val="000000"/>
                <w:sz w:val="20"/>
                <w:szCs w:val="20"/>
              </w:rPr>
              <w:t>65.5 </w:t>
            </w:r>
          </w:p>
        </w:tc>
        <w:tc>
          <w:tcPr>
            <w:tcW w:w="0" w:type="auto"/>
            <w:tcBorders>
              <w:top w:val="single" w:sz="8" w:space="0" w:color="000000"/>
            </w:tcBorders>
            <w:shd w:val="clear" w:color="auto" w:fill="E2EFD9"/>
            <w:tcMar>
              <w:top w:w="40" w:type="dxa"/>
              <w:left w:w="0" w:type="dxa"/>
              <w:bottom w:w="40" w:type="dxa"/>
              <w:right w:w="20" w:type="dxa"/>
            </w:tcMar>
            <w:vAlign w:val="bottom"/>
          </w:tcPr>
          <w:p w14:paraId="7C208E2D" w14:textId="77777777" w:rsidR="00834A75" w:rsidRDefault="00834A75">
            <w:pPr>
              <w:jc w:val="right"/>
              <w:rPr>
                <w:rFonts w:ascii="宋体"/>
              </w:rPr>
            </w:pPr>
          </w:p>
        </w:tc>
        <w:tc>
          <w:tcPr>
            <w:tcW w:w="0" w:type="auto"/>
            <w:gridSpan w:val="3"/>
            <w:shd w:val="clear" w:color="auto" w:fill="E2EFD9"/>
            <w:tcMar>
              <w:top w:w="0" w:type="dxa"/>
              <w:left w:w="20" w:type="dxa"/>
              <w:bottom w:w="0" w:type="dxa"/>
              <w:right w:w="20" w:type="dxa"/>
            </w:tcMar>
            <w:vAlign w:val="bottom"/>
          </w:tcPr>
          <w:p w14:paraId="7C208E2E" w14:textId="77777777" w:rsidR="00834A75" w:rsidRDefault="00834A75">
            <w:pPr>
              <w:rPr>
                <w:rFonts w:ascii="宋体"/>
              </w:rPr>
            </w:pPr>
          </w:p>
        </w:tc>
        <w:tc>
          <w:tcPr>
            <w:tcW w:w="0" w:type="auto"/>
            <w:gridSpan w:val="2"/>
            <w:tcBorders>
              <w:top w:val="single" w:sz="8" w:space="0" w:color="000000"/>
            </w:tcBorders>
            <w:shd w:val="clear" w:color="auto" w:fill="E2EFD9"/>
            <w:tcMar>
              <w:top w:w="40" w:type="dxa"/>
              <w:left w:w="20" w:type="dxa"/>
              <w:bottom w:w="40" w:type="dxa"/>
              <w:right w:w="0" w:type="dxa"/>
            </w:tcMar>
            <w:vAlign w:val="bottom"/>
          </w:tcPr>
          <w:p w14:paraId="7C208E2F" w14:textId="77777777" w:rsidR="00834A75" w:rsidRDefault="00A6708C">
            <w:pPr>
              <w:jc w:val="right"/>
              <w:textAlignment w:val="bottom"/>
            </w:pPr>
            <w:r>
              <w:rPr>
                <w:rFonts w:ascii="sans-serif" w:eastAsia="sans-serif" w:hAnsi="sans-serif" w:cs="sans-serif"/>
                <w:color w:val="000000"/>
                <w:sz w:val="20"/>
                <w:szCs w:val="20"/>
              </w:rPr>
              <w:t>64.1 </w:t>
            </w:r>
          </w:p>
        </w:tc>
        <w:tc>
          <w:tcPr>
            <w:tcW w:w="0" w:type="auto"/>
            <w:tcBorders>
              <w:top w:val="single" w:sz="8" w:space="0" w:color="000000"/>
            </w:tcBorders>
            <w:shd w:val="clear" w:color="auto" w:fill="E2EFD9"/>
            <w:tcMar>
              <w:top w:w="40" w:type="dxa"/>
              <w:left w:w="0" w:type="dxa"/>
              <w:bottom w:w="40" w:type="dxa"/>
              <w:right w:w="20" w:type="dxa"/>
            </w:tcMar>
            <w:vAlign w:val="bottom"/>
          </w:tcPr>
          <w:p w14:paraId="7C208E30" w14:textId="77777777" w:rsidR="00834A75" w:rsidRDefault="00834A75">
            <w:pPr>
              <w:jc w:val="right"/>
              <w:rPr>
                <w:rFonts w:ascii="宋体"/>
              </w:rPr>
            </w:pPr>
          </w:p>
        </w:tc>
        <w:tc>
          <w:tcPr>
            <w:tcW w:w="0" w:type="auto"/>
            <w:shd w:val="clear" w:color="auto" w:fill="auto"/>
            <w:vAlign w:val="bottom"/>
          </w:tcPr>
          <w:p w14:paraId="7C208E31" w14:textId="77777777" w:rsidR="00834A75" w:rsidRDefault="00834A75">
            <w:pPr>
              <w:rPr>
                <w:rFonts w:ascii="宋体"/>
                <w:vanish/>
              </w:rPr>
            </w:pPr>
          </w:p>
        </w:tc>
        <w:tc>
          <w:tcPr>
            <w:tcW w:w="0" w:type="auto"/>
            <w:shd w:val="clear" w:color="auto" w:fill="auto"/>
            <w:vAlign w:val="bottom"/>
          </w:tcPr>
          <w:p w14:paraId="7C208E32" w14:textId="77777777" w:rsidR="00834A75" w:rsidRDefault="00834A75">
            <w:pPr>
              <w:rPr>
                <w:rFonts w:ascii="宋体"/>
                <w:vanish/>
              </w:rPr>
            </w:pPr>
          </w:p>
        </w:tc>
        <w:tc>
          <w:tcPr>
            <w:tcW w:w="0" w:type="auto"/>
            <w:gridSpan w:val="3"/>
            <w:shd w:val="clear" w:color="auto" w:fill="auto"/>
            <w:vAlign w:val="bottom"/>
          </w:tcPr>
          <w:p w14:paraId="7C208E33" w14:textId="77777777" w:rsidR="00834A75" w:rsidRDefault="00834A75">
            <w:pPr>
              <w:rPr>
                <w:rFonts w:ascii="宋体"/>
                <w:vanish/>
              </w:rPr>
            </w:pPr>
          </w:p>
        </w:tc>
        <w:tc>
          <w:tcPr>
            <w:tcW w:w="0" w:type="auto"/>
            <w:gridSpan w:val="3"/>
            <w:shd w:val="clear" w:color="auto" w:fill="auto"/>
            <w:vAlign w:val="bottom"/>
          </w:tcPr>
          <w:p w14:paraId="7C208E34" w14:textId="77777777" w:rsidR="00834A75" w:rsidRDefault="00834A75">
            <w:pPr>
              <w:rPr>
                <w:rFonts w:ascii="宋体"/>
                <w:vanish/>
              </w:rPr>
            </w:pPr>
          </w:p>
        </w:tc>
      </w:tr>
      <w:tr w:rsidR="00834A75" w14:paraId="7C208E3E" w14:textId="77777777">
        <w:tc>
          <w:tcPr>
            <w:tcW w:w="0" w:type="auto"/>
            <w:gridSpan w:val="3"/>
            <w:shd w:val="clear" w:color="auto" w:fill="FFFFFF"/>
            <w:tcMar>
              <w:top w:w="40" w:type="dxa"/>
              <w:left w:w="20" w:type="dxa"/>
              <w:bottom w:w="40" w:type="dxa"/>
              <w:right w:w="20" w:type="dxa"/>
            </w:tcMar>
            <w:vAlign w:val="bottom"/>
          </w:tcPr>
          <w:p w14:paraId="7C208E36" w14:textId="77777777" w:rsidR="00834A75" w:rsidRDefault="00A6708C">
            <w:pPr>
              <w:textAlignment w:val="bottom"/>
            </w:pPr>
            <w:r>
              <w:rPr>
                <w:rFonts w:ascii="sans-serif" w:eastAsia="sans-serif" w:hAnsi="sans-serif" w:cs="sans-serif"/>
                <w:color w:val="000000"/>
                <w:sz w:val="20"/>
                <w:szCs w:val="20"/>
              </w:rPr>
              <w:t>Operating expenses</w:t>
            </w:r>
          </w:p>
        </w:tc>
        <w:tc>
          <w:tcPr>
            <w:tcW w:w="0" w:type="auto"/>
            <w:gridSpan w:val="3"/>
            <w:shd w:val="clear" w:color="auto" w:fill="FFFFFF"/>
            <w:tcMar>
              <w:top w:w="40" w:type="dxa"/>
              <w:left w:w="20" w:type="dxa"/>
              <w:bottom w:w="40" w:type="dxa"/>
              <w:right w:w="20" w:type="dxa"/>
            </w:tcMar>
            <w:vAlign w:val="bottom"/>
          </w:tcPr>
          <w:p w14:paraId="7C208E37" w14:textId="77777777" w:rsidR="00834A75" w:rsidRDefault="00A6708C">
            <w:pPr>
              <w:jc w:val="right"/>
              <w:textAlignment w:val="bottom"/>
            </w:pPr>
            <w:r>
              <w:rPr>
                <w:rFonts w:ascii="sans-serif" w:eastAsia="sans-serif" w:hAnsi="sans-serif" w:cs="sans-serif"/>
                <w:color w:val="EE2724"/>
                <w:sz w:val="20"/>
                <w:szCs w:val="20"/>
              </w:rPr>
              <w:t> </w:t>
            </w:r>
          </w:p>
        </w:tc>
        <w:tc>
          <w:tcPr>
            <w:tcW w:w="0" w:type="auto"/>
            <w:gridSpan w:val="3"/>
            <w:shd w:val="clear" w:color="auto" w:fill="FFFFFF"/>
            <w:tcMar>
              <w:top w:w="0" w:type="dxa"/>
              <w:left w:w="20" w:type="dxa"/>
              <w:bottom w:w="0" w:type="dxa"/>
              <w:right w:w="20" w:type="dxa"/>
            </w:tcMar>
            <w:vAlign w:val="bottom"/>
          </w:tcPr>
          <w:p w14:paraId="7C208E38" w14:textId="77777777" w:rsidR="00834A75" w:rsidRDefault="00834A75">
            <w:pPr>
              <w:rPr>
                <w:rFonts w:ascii="宋体"/>
              </w:rPr>
            </w:pPr>
          </w:p>
        </w:tc>
        <w:tc>
          <w:tcPr>
            <w:tcW w:w="0" w:type="auto"/>
            <w:gridSpan w:val="3"/>
            <w:shd w:val="clear" w:color="auto" w:fill="FFFFFF"/>
            <w:tcMar>
              <w:top w:w="0" w:type="dxa"/>
              <w:left w:w="20" w:type="dxa"/>
              <w:bottom w:w="0" w:type="dxa"/>
              <w:right w:w="20" w:type="dxa"/>
            </w:tcMar>
            <w:vAlign w:val="bottom"/>
          </w:tcPr>
          <w:p w14:paraId="7C208E39" w14:textId="77777777" w:rsidR="00834A75" w:rsidRDefault="00834A75">
            <w:pPr>
              <w:rPr>
                <w:rFonts w:ascii="宋体"/>
              </w:rPr>
            </w:pPr>
          </w:p>
        </w:tc>
        <w:tc>
          <w:tcPr>
            <w:tcW w:w="0" w:type="auto"/>
            <w:shd w:val="clear" w:color="auto" w:fill="auto"/>
            <w:vAlign w:val="bottom"/>
          </w:tcPr>
          <w:p w14:paraId="7C208E3A" w14:textId="77777777" w:rsidR="00834A75" w:rsidRDefault="00834A75">
            <w:pPr>
              <w:rPr>
                <w:rFonts w:ascii="宋体"/>
                <w:vanish/>
              </w:rPr>
            </w:pPr>
          </w:p>
        </w:tc>
        <w:tc>
          <w:tcPr>
            <w:tcW w:w="0" w:type="auto"/>
            <w:shd w:val="clear" w:color="auto" w:fill="auto"/>
            <w:vAlign w:val="bottom"/>
          </w:tcPr>
          <w:p w14:paraId="7C208E3B" w14:textId="77777777" w:rsidR="00834A75" w:rsidRDefault="00834A75">
            <w:pPr>
              <w:rPr>
                <w:rFonts w:ascii="宋体"/>
                <w:vanish/>
              </w:rPr>
            </w:pPr>
          </w:p>
        </w:tc>
        <w:tc>
          <w:tcPr>
            <w:tcW w:w="0" w:type="auto"/>
            <w:gridSpan w:val="3"/>
            <w:shd w:val="clear" w:color="auto" w:fill="auto"/>
            <w:vAlign w:val="bottom"/>
          </w:tcPr>
          <w:p w14:paraId="7C208E3C" w14:textId="77777777" w:rsidR="00834A75" w:rsidRDefault="00834A75">
            <w:pPr>
              <w:rPr>
                <w:rFonts w:ascii="宋体"/>
                <w:vanish/>
              </w:rPr>
            </w:pPr>
          </w:p>
        </w:tc>
        <w:tc>
          <w:tcPr>
            <w:tcW w:w="0" w:type="auto"/>
            <w:gridSpan w:val="3"/>
            <w:shd w:val="clear" w:color="auto" w:fill="auto"/>
            <w:vAlign w:val="bottom"/>
          </w:tcPr>
          <w:p w14:paraId="7C208E3D" w14:textId="77777777" w:rsidR="00834A75" w:rsidRDefault="00834A75">
            <w:pPr>
              <w:rPr>
                <w:rFonts w:ascii="宋体"/>
                <w:vanish/>
              </w:rPr>
            </w:pPr>
          </w:p>
        </w:tc>
      </w:tr>
      <w:tr w:rsidR="00834A75" w14:paraId="7C208E49" w14:textId="77777777">
        <w:tc>
          <w:tcPr>
            <w:tcW w:w="0" w:type="auto"/>
            <w:gridSpan w:val="3"/>
            <w:shd w:val="clear" w:color="auto" w:fill="E2EFD9"/>
            <w:tcMar>
              <w:top w:w="40" w:type="dxa"/>
              <w:left w:w="20" w:type="dxa"/>
              <w:bottom w:w="40" w:type="dxa"/>
              <w:right w:w="20" w:type="dxa"/>
            </w:tcMar>
            <w:vAlign w:val="bottom"/>
          </w:tcPr>
          <w:p w14:paraId="7C208E3F" w14:textId="77777777" w:rsidR="00834A75" w:rsidRDefault="00A6708C">
            <w:pPr>
              <w:textAlignment w:val="bottom"/>
            </w:pPr>
            <w:r>
              <w:rPr>
                <w:rFonts w:ascii="sans-serif" w:eastAsia="sans-serif" w:hAnsi="sans-serif" w:cs="sans-serif"/>
                <w:color w:val="000000"/>
                <w:sz w:val="20"/>
                <w:szCs w:val="20"/>
              </w:rPr>
              <w:t>     Research and development</w:t>
            </w:r>
          </w:p>
        </w:tc>
        <w:tc>
          <w:tcPr>
            <w:tcW w:w="0" w:type="auto"/>
            <w:gridSpan w:val="2"/>
            <w:shd w:val="clear" w:color="auto" w:fill="E2EFD9"/>
            <w:tcMar>
              <w:top w:w="40" w:type="dxa"/>
              <w:left w:w="20" w:type="dxa"/>
              <w:bottom w:w="40" w:type="dxa"/>
              <w:right w:w="0" w:type="dxa"/>
            </w:tcMar>
            <w:vAlign w:val="bottom"/>
          </w:tcPr>
          <w:p w14:paraId="7C208E40" w14:textId="77777777" w:rsidR="00834A75" w:rsidRDefault="00A6708C">
            <w:pPr>
              <w:jc w:val="right"/>
              <w:textAlignment w:val="bottom"/>
            </w:pPr>
            <w:r>
              <w:rPr>
                <w:rFonts w:ascii="sans-serif" w:eastAsia="sans-serif" w:hAnsi="sans-serif" w:cs="sans-serif"/>
                <w:color w:val="000000"/>
                <w:sz w:val="20"/>
                <w:szCs w:val="20"/>
              </w:rPr>
              <w:t>19.5 </w:t>
            </w:r>
          </w:p>
        </w:tc>
        <w:tc>
          <w:tcPr>
            <w:tcW w:w="0" w:type="auto"/>
            <w:shd w:val="clear" w:color="auto" w:fill="E2EFD9"/>
            <w:tcMar>
              <w:top w:w="40" w:type="dxa"/>
              <w:left w:w="0" w:type="dxa"/>
              <w:bottom w:w="40" w:type="dxa"/>
              <w:right w:w="20" w:type="dxa"/>
            </w:tcMar>
            <w:vAlign w:val="bottom"/>
          </w:tcPr>
          <w:p w14:paraId="7C208E41" w14:textId="77777777" w:rsidR="00834A75" w:rsidRDefault="00834A75">
            <w:pPr>
              <w:jc w:val="right"/>
              <w:rPr>
                <w:rFonts w:ascii="宋体"/>
              </w:rPr>
            </w:pPr>
          </w:p>
        </w:tc>
        <w:tc>
          <w:tcPr>
            <w:tcW w:w="0" w:type="auto"/>
            <w:gridSpan w:val="3"/>
            <w:shd w:val="clear" w:color="auto" w:fill="E2EFD9"/>
            <w:tcMar>
              <w:top w:w="0" w:type="dxa"/>
              <w:left w:w="20" w:type="dxa"/>
              <w:bottom w:w="0" w:type="dxa"/>
              <w:right w:w="20" w:type="dxa"/>
            </w:tcMar>
            <w:vAlign w:val="bottom"/>
          </w:tcPr>
          <w:p w14:paraId="7C208E42" w14:textId="77777777" w:rsidR="00834A75" w:rsidRDefault="00834A75">
            <w:pPr>
              <w:rPr>
                <w:rFonts w:ascii="宋体"/>
              </w:rPr>
            </w:pPr>
          </w:p>
        </w:tc>
        <w:tc>
          <w:tcPr>
            <w:tcW w:w="0" w:type="auto"/>
            <w:gridSpan w:val="2"/>
            <w:shd w:val="clear" w:color="auto" w:fill="E2EFD9"/>
            <w:tcMar>
              <w:top w:w="40" w:type="dxa"/>
              <w:left w:w="20" w:type="dxa"/>
              <w:bottom w:w="40" w:type="dxa"/>
              <w:right w:w="0" w:type="dxa"/>
            </w:tcMar>
            <w:vAlign w:val="bottom"/>
          </w:tcPr>
          <w:p w14:paraId="7C208E43" w14:textId="77777777" w:rsidR="00834A75" w:rsidRDefault="00A6708C">
            <w:pPr>
              <w:jc w:val="right"/>
              <w:textAlignment w:val="bottom"/>
            </w:pPr>
            <w:r>
              <w:rPr>
                <w:rFonts w:ascii="sans-serif" w:eastAsia="sans-serif" w:hAnsi="sans-serif" w:cs="sans-serif"/>
                <w:color w:val="000000"/>
                <w:sz w:val="20"/>
                <w:szCs w:val="20"/>
              </w:rPr>
              <w:t>20.4 </w:t>
            </w:r>
          </w:p>
        </w:tc>
        <w:tc>
          <w:tcPr>
            <w:tcW w:w="0" w:type="auto"/>
            <w:shd w:val="clear" w:color="auto" w:fill="E2EFD9"/>
            <w:tcMar>
              <w:top w:w="40" w:type="dxa"/>
              <w:left w:w="0" w:type="dxa"/>
              <w:bottom w:w="40" w:type="dxa"/>
              <w:right w:w="20" w:type="dxa"/>
            </w:tcMar>
            <w:vAlign w:val="bottom"/>
          </w:tcPr>
          <w:p w14:paraId="7C208E44" w14:textId="77777777" w:rsidR="00834A75" w:rsidRDefault="00834A75">
            <w:pPr>
              <w:jc w:val="right"/>
              <w:rPr>
                <w:rFonts w:ascii="宋体"/>
              </w:rPr>
            </w:pPr>
          </w:p>
        </w:tc>
        <w:tc>
          <w:tcPr>
            <w:tcW w:w="0" w:type="auto"/>
            <w:shd w:val="clear" w:color="auto" w:fill="auto"/>
            <w:vAlign w:val="bottom"/>
          </w:tcPr>
          <w:p w14:paraId="7C208E45" w14:textId="77777777" w:rsidR="00834A75" w:rsidRDefault="00834A75">
            <w:pPr>
              <w:rPr>
                <w:rFonts w:ascii="宋体"/>
                <w:vanish/>
              </w:rPr>
            </w:pPr>
          </w:p>
        </w:tc>
        <w:tc>
          <w:tcPr>
            <w:tcW w:w="0" w:type="auto"/>
            <w:shd w:val="clear" w:color="auto" w:fill="auto"/>
            <w:vAlign w:val="bottom"/>
          </w:tcPr>
          <w:p w14:paraId="7C208E46" w14:textId="77777777" w:rsidR="00834A75" w:rsidRDefault="00834A75">
            <w:pPr>
              <w:rPr>
                <w:rFonts w:ascii="宋体"/>
                <w:vanish/>
              </w:rPr>
            </w:pPr>
          </w:p>
        </w:tc>
        <w:tc>
          <w:tcPr>
            <w:tcW w:w="0" w:type="auto"/>
            <w:gridSpan w:val="3"/>
            <w:shd w:val="clear" w:color="auto" w:fill="auto"/>
            <w:vAlign w:val="bottom"/>
          </w:tcPr>
          <w:p w14:paraId="7C208E47" w14:textId="77777777" w:rsidR="00834A75" w:rsidRDefault="00834A75">
            <w:pPr>
              <w:rPr>
                <w:rFonts w:ascii="宋体"/>
                <w:vanish/>
              </w:rPr>
            </w:pPr>
          </w:p>
        </w:tc>
        <w:tc>
          <w:tcPr>
            <w:tcW w:w="0" w:type="auto"/>
            <w:gridSpan w:val="3"/>
            <w:shd w:val="clear" w:color="auto" w:fill="auto"/>
            <w:vAlign w:val="bottom"/>
          </w:tcPr>
          <w:p w14:paraId="7C208E48" w14:textId="77777777" w:rsidR="00834A75" w:rsidRDefault="00834A75">
            <w:pPr>
              <w:rPr>
                <w:rFonts w:ascii="宋体"/>
                <w:vanish/>
              </w:rPr>
            </w:pPr>
          </w:p>
        </w:tc>
      </w:tr>
      <w:tr w:rsidR="00834A75" w14:paraId="7C208E54" w14:textId="77777777">
        <w:tc>
          <w:tcPr>
            <w:tcW w:w="0" w:type="auto"/>
            <w:gridSpan w:val="3"/>
            <w:shd w:val="clear" w:color="auto" w:fill="FFFFFF"/>
            <w:tcMar>
              <w:top w:w="40" w:type="dxa"/>
              <w:left w:w="20" w:type="dxa"/>
              <w:bottom w:w="40" w:type="dxa"/>
              <w:right w:w="20" w:type="dxa"/>
            </w:tcMar>
            <w:vAlign w:val="bottom"/>
          </w:tcPr>
          <w:p w14:paraId="7C208E4A" w14:textId="77777777" w:rsidR="00834A75" w:rsidRDefault="00A6708C">
            <w:pPr>
              <w:textAlignment w:val="bottom"/>
            </w:pPr>
            <w:r>
              <w:rPr>
                <w:rFonts w:ascii="sans-serif" w:eastAsia="sans-serif" w:hAnsi="sans-serif" w:cs="sans-serif"/>
                <w:color w:val="000000"/>
                <w:sz w:val="20"/>
                <w:szCs w:val="20"/>
              </w:rPr>
              <w:t>     Sales, general and administrative</w:t>
            </w:r>
          </w:p>
        </w:tc>
        <w:tc>
          <w:tcPr>
            <w:tcW w:w="0" w:type="auto"/>
            <w:gridSpan w:val="2"/>
            <w:shd w:val="clear" w:color="auto" w:fill="FFFFFF"/>
            <w:tcMar>
              <w:top w:w="40" w:type="dxa"/>
              <w:left w:w="20" w:type="dxa"/>
              <w:bottom w:w="40" w:type="dxa"/>
              <w:right w:w="0" w:type="dxa"/>
            </w:tcMar>
            <w:vAlign w:val="bottom"/>
          </w:tcPr>
          <w:p w14:paraId="7C208E4B" w14:textId="77777777" w:rsidR="00834A75" w:rsidRDefault="00A6708C">
            <w:pPr>
              <w:jc w:val="right"/>
              <w:textAlignment w:val="bottom"/>
            </w:pPr>
            <w:r>
              <w:rPr>
                <w:rFonts w:ascii="sans-serif" w:eastAsia="sans-serif" w:hAnsi="sans-serif" w:cs="sans-serif"/>
                <w:color w:val="000000"/>
                <w:sz w:val="20"/>
                <w:szCs w:val="20"/>
              </w:rPr>
              <w:t>7.1 </w:t>
            </w:r>
          </w:p>
        </w:tc>
        <w:tc>
          <w:tcPr>
            <w:tcW w:w="0" w:type="auto"/>
            <w:shd w:val="clear" w:color="auto" w:fill="FFFFFF"/>
            <w:tcMar>
              <w:top w:w="40" w:type="dxa"/>
              <w:left w:w="0" w:type="dxa"/>
              <w:bottom w:w="40" w:type="dxa"/>
              <w:right w:w="20" w:type="dxa"/>
            </w:tcMar>
            <w:vAlign w:val="bottom"/>
          </w:tcPr>
          <w:p w14:paraId="7C208E4C" w14:textId="77777777" w:rsidR="00834A75" w:rsidRDefault="00834A75">
            <w:pPr>
              <w:jc w:val="right"/>
              <w:rPr>
                <w:rFonts w:ascii="宋体"/>
              </w:rPr>
            </w:pPr>
          </w:p>
        </w:tc>
        <w:tc>
          <w:tcPr>
            <w:tcW w:w="0" w:type="auto"/>
            <w:gridSpan w:val="3"/>
            <w:shd w:val="clear" w:color="auto" w:fill="FFFFFF"/>
            <w:tcMar>
              <w:top w:w="0" w:type="dxa"/>
              <w:left w:w="20" w:type="dxa"/>
              <w:bottom w:w="0" w:type="dxa"/>
              <w:right w:w="20" w:type="dxa"/>
            </w:tcMar>
            <w:vAlign w:val="bottom"/>
          </w:tcPr>
          <w:p w14:paraId="7C208E4D" w14:textId="77777777" w:rsidR="00834A75" w:rsidRDefault="00834A75">
            <w:pPr>
              <w:rPr>
                <w:rFonts w:ascii="宋体"/>
              </w:rPr>
            </w:pPr>
          </w:p>
        </w:tc>
        <w:tc>
          <w:tcPr>
            <w:tcW w:w="0" w:type="auto"/>
            <w:gridSpan w:val="2"/>
            <w:shd w:val="clear" w:color="auto" w:fill="FFFFFF"/>
            <w:tcMar>
              <w:top w:w="40" w:type="dxa"/>
              <w:left w:w="20" w:type="dxa"/>
              <w:bottom w:w="40" w:type="dxa"/>
              <w:right w:w="0" w:type="dxa"/>
            </w:tcMar>
            <w:vAlign w:val="bottom"/>
          </w:tcPr>
          <w:p w14:paraId="7C208E4E" w14:textId="77777777" w:rsidR="00834A75" w:rsidRDefault="00A6708C">
            <w:pPr>
              <w:jc w:val="right"/>
              <w:textAlignment w:val="bottom"/>
            </w:pPr>
            <w:r>
              <w:rPr>
                <w:rFonts w:ascii="sans-serif" w:eastAsia="sans-serif" w:hAnsi="sans-serif" w:cs="sans-serif"/>
                <w:color w:val="000000"/>
                <w:sz w:val="20"/>
                <w:szCs w:val="20"/>
              </w:rPr>
              <w:t>9.2 </w:t>
            </w:r>
          </w:p>
        </w:tc>
        <w:tc>
          <w:tcPr>
            <w:tcW w:w="0" w:type="auto"/>
            <w:shd w:val="clear" w:color="auto" w:fill="FFFFFF"/>
            <w:tcMar>
              <w:top w:w="40" w:type="dxa"/>
              <w:left w:w="0" w:type="dxa"/>
              <w:bottom w:w="40" w:type="dxa"/>
              <w:right w:w="20" w:type="dxa"/>
            </w:tcMar>
            <w:vAlign w:val="bottom"/>
          </w:tcPr>
          <w:p w14:paraId="7C208E4F" w14:textId="77777777" w:rsidR="00834A75" w:rsidRDefault="00834A75">
            <w:pPr>
              <w:jc w:val="right"/>
              <w:rPr>
                <w:rFonts w:ascii="宋体"/>
              </w:rPr>
            </w:pPr>
          </w:p>
        </w:tc>
        <w:tc>
          <w:tcPr>
            <w:tcW w:w="0" w:type="auto"/>
            <w:shd w:val="clear" w:color="auto" w:fill="auto"/>
            <w:vAlign w:val="bottom"/>
          </w:tcPr>
          <w:p w14:paraId="7C208E50" w14:textId="77777777" w:rsidR="00834A75" w:rsidRDefault="00834A75">
            <w:pPr>
              <w:rPr>
                <w:rFonts w:ascii="宋体"/>
                <w:vanish/>
              </w:rPr>
            </w:pPr>
          </w:p>
        </w:tc>
        <w:tc>
          <w:tcPr>
            <w:tcW w:w="0" w:type="auto"/>
            <w:shd w:val="clear" w:color="auto" w:fill="auto"/>
            <w:vAlign w:val="bottom"/>
          </w:tcPr>
          <w:p w14:paraId="7C208E51" w14:textId="77777777" w:rsidR="00834A75" w:rsidRDefault="00834A75">
            <w:pPr>
              <w:rPr>
                <w:rFonts w:ascii="宋体"/>
                <w:vanish/>
              </w:rPr>
            </w:pPr>
          </w:p>
        </w:tc>
        <w:tc>
          <w:tcPr>
            <w:tcW w:w="0" w:type="auto"/>
            <w:gridSpan w:val="3"/>
            <w:shd w:val="clear" w:color="auto" w:fill="auto"/>
            <w:vAlign w:val="bottom"/>
          </w:tcPr>
          <w:p w14:paraId="7C208E52" w14:textId="77777777" w:rsidR="00834A75" w:rsidRDefault="00834A75">
            <w:pPr>
              <w:rPr>
                <w:rFonts w:ascii="宋体"/>
                <w:vanish/>
              </w:rPr>
            </w:pPr>
          </w:p>
        </w:tc>
        <w:tc>
          <w:tcPr>
            <w:tcW w:w="0" w:type="auto"/>
            <w:gridSpan w:val="3"/>
            <w:shd w:val="clear" w:color="auto" w:fill="auto"/>
            <w:vAlign w:val="bottom"/>
          </w:tcPr>
          <w:p w14:paraId="7C208E53" w14:textId="77777777" w:rsidR="00834A75" w:rsidRDefault="00834A75">
            <w:pPr>
              <w:rPr>
                <w:rFonts w:ascii="宋体"/>
                <w:vanish/>
              </w:rPr>
            </w:pPr>
          </w:p>
        </w:tc>
      </w:tr>
      <w:tr w:rsidR="00834A75" w14:paraId="7C208E5F" w14:textId="77777777">
        <w:tc>
          <w:tcPr>
            <w:tcW w:w="0" w:type="auto"/>
            <w:gridSpan w:val="3"/>
            <w:shd w:val="clear" w:color="auto" w:fill="E2EFD9"/>
            <w:tcMar>
              <w:top w:w="40" w:type="dxa"/>
              <w:left w:w="260" w:type="dxa"/>
              <w:bottom w:w="40" w:type="dxa"/>
              <w:right w:w="20" w:type="dxa"/>
            </w:tcMar>
            <w:vAlign w:val="bottom"/>
          </w:tcPr>
          <w:p w14:paraId="7C208E55" w14:textId="77777777" w:rsidR="00834A75" w:rsidRDefault="00A6708C">
            <w:pPr>
              <w:textAlignment w:val="bottom"/>
            </w:pPr>
            <w:r>
              <w:rPr>
                <w:rFonts w:ascii="sans-serif" w:eastAsia="sans-serif" w:hAnsi="sans-serif" w:cs="sans-serif"/>
                <w:color w:val="000000"/>
                <w:sz w:val="20"/>
                <w:szCs w:val="20"/>
              </w:rPr>
              <w:t>Acquisition termination cost</w:t>
            </w:r>
          </w:p>
        </w:tc>
        <w:tc>
          <w:tcPr>
            <w:tcW w:w="0" w:type="auto"/>
            <w:gridSpan w:val="2"/>
            <w:shd w:val="clear" w:color="auto" w:fill="E2EFD9"/>
            <w:tcMar>
              <w:top w:w="40" w:type="dxa"/>
              <w:left w:w="20" w:type="dxa"/>
              <w:bottom w:w="40" w:type="dxa"/>
              <w:right w:w="0" w:type="dxa"/>
            </w:tcMar>
            <w:vAlign w:val="bottom"/>
          </w:tcPr>
          <w:p w14:paraId="7C208E56" w14:textId="77777777" w:rsidR="00834A75" w:rsidRDefault="00A6708C">
            <w:pPr>
              <w:jc w:val="right"/>
              <w:textAlignment w:val="bottom"/>
            </w:pPr>
            <w:r>
              <w:rPr>
                <w:rFonts w:ascii="sans-serif" w:eastAsia="sans-serif" w:hAnsi="sans-serif" w:cs="sans-serif"/>
                <w:color w:val="000000"/>
                <w:sz w:val="20"/>
                <w:szCs w:val="20"/>
              </w:rPr>
              <w:t>16.3 </w:t>
            </w:r>
          </w:p>
        </w:tc>
        <w:tc>
          <w:tcPr>
            <w:tcW w:w="0" w:type="auto"/>
            <w:shd w:val="clear" w:color="auto" w:fill="E2EFD9"/>
            <w:tcMar>
              <w:top w:w="40" w:type="dxa"/>
              <w:left w:w="0" w:type="dxa"/>
              <w:bottom w:w="40" w:type="dxa"/>
              <w:right w:w="20" w:type="dxa"/>
            </w:tcMar>
            <w:vAlign w:val="bottom"/>
          </w:tcPr>
          <w:p w14:paraId="7C208E57" w14:textId="77777777" w:rsidR="00834A75" w:rsidRDefault="00834A75">
            <w:pPr>
              <w:jc w:val="right"/>
              <w:rPr>
                <w:rFonts w:ascii="宋体"/>
              </w:rPr>
            </w:pPr>
          </w:p>
        </w:tc>
        <w:tc>
          <w:tcPr>
            <w:tcW w:w="0" w:type="auto"/>
            <w:gridSpan w:val="3"/>
            <w:shd w:val="clear" w:color="auto" w:fill="E2EFD9"/>
            <w:tcMar>
              <w:top w:w="0" w:type="dxa"/>
              <w:left w:w="20" w:type="dxa"/>
              <w:bottom w:w="0" w:type="dxa"/>
              <w:right w:w="20" w:type="dxa"/>
            </w:tcMar>
            <w:vAlign w:val="bottom"/>
          </w:tcPr>
          <w:p w14:paraId="7C208E58" w14:textId="77777777" w:rsidR="00834A75" w:rsidRDefault="00834A75">
            <w:pPr>
              <w:rPr>
                <w:rFonts w:ascii="宋体"/>
              </w:rPr>
            </w:pPr>
          </w:p>
        </w:tc>
        <w:tc>
          <w:tcPr>
            <w:tcW w:w="0" w:type="auto"/>
            <w:gridSpan w:val="2"/>
            <w:shd w:val="clear" w:color="auto" w:fill="E2EFD9"/>
            <w:tcMar>
              <w:top w:w="40" w:type="dxa"/>
              <w:left w:w="20" w:type="dxa"/>
              <w:bottom w:w="40" w:type="dxa"/>
              <w:right w:w="0" w:type="dxa"/>
            </w:tcMar>
            <w:vAlign w:val="bottom"/>
          </w:tcPr>
          <w:p w14:paraId="7C208E59" w14:textId="77777777" w:rsidR="00834A75" w:rsidRDefault="00A6708C">
            <w:pPr>
              <w:jc w:val="right"/>
              <w:textAlignment w:val="bottom"/>
            </w:pPr>
            <w:r>
              <w:rPr>
                <w:rFonts w:ascii="sans-serif" w:eastAsia="sans-serif" w:hAnsi="sans-serif" w:cs="sans-serif"/>
                <w:color w:val="000000"/>
                <w:sz w:val="20"/>
                <w:szCs w:val="20"/>
              </w:rPr>
              <w:t>— </w:t>
            </w:r>
          </w:p>
        </w:tc>
        <w:tc>
          <w:tcPr>
            <w:tcW w:w="0" w:type="auto"/>
            <w:shd w:val="clear" w:color="auto" w:fill="E2EFD9"/>
            <w:tcMar>
              <w:top w:w="40" w:type="dxa"/>
              <w:left w:w="0" w:type="dxa"/>
              <w:bottom w:w="40" w:type="dxa"/>
              <w:right w:w="20" w:type="dxa"/>
            </w:tcMar>
            <w:vAlign w:val="bottom"/>
          </w:tcPr>
          <w:p w14:paraId="7C208E5A" w14:textId="77777777" w:rsidR="00834A75" w:rsidRDefault="00834A75">
            <w:pPr>
              <w:jc w:val="right"/>
              <w:rPr>
                <w:rFonts w:ascii="宋体"/>
              </w:rPr>
            </w:pPr>
          </w:p>
        </w:tc>
        <w:tc>
          <w:tcPr>
            <w:tcW w:w="0" w:type="auto"/>
            <w:shd w:val="clear" w:color="auto" w:fill="auto"/>
            <w:vAlign w:val="bottom"/>
          </w:tcPr>
          <w:p w14:paraId="7C208E5B" w14:textId="77777777" w:rsidR="00834A75" w:rsidRDefault="00834A75">
            <w:pPr>
              <w:rPr>
                <w:rFonts w:ascii="宋体"/>
                <w:vanish/>
              </w:rPr>
            </w:pPr>
          </w:p>
        </w:tc>
        <w:tc>
          <w:tcPr>
            <w:tcW w:w="0" w:type="auto"/>
            <w:shd w:val="clear" w:color="auto" w:fill="auto"/>
            <w:vAlign w:val="bottom"/>
          </w:tcPr>
          <w:p w14:paraId="7C208E5C" w14:textId="77777777" w:rsidR="00834A75" w:rsidRDefault="00834A75">
            <w:pPr>
              <w:rPr>
                <w:rFonts w:ascii="宋体"/>
                <w:vanish/>
              </w:rPr>
            </w:pPr>
          </w:p>
        </w:tc>
        <w:tc>
          <w:tcPr>
            <w:tcW w:w="0" w:type="auto"/>
            <w:gridSpan w:val="3"/>
            <w:shd w:val="clear" w:color="auto" w:fill="auto"/>
            <w:vAlign w:val="bottom"/>
          </w:tcPr>
          <w:p w14:paraId="7C208E5D" w14:textId="77777777" w:rsidR="00834A75" w:rsidRDefault="00834A75">
            <w:pPr>
              <w:rPr>
                <w:rFonts w:ascii="宋体"/>
                <w:vanish/>
              </w:rPr>
            </w:pPr>
          </w:p>
        </w:tc>
        <w:tc>
          <w:tcPr>
            <w:tcW w:w="0" w:type="auto"/>
            <w:gridSpan w:val="3"/>
            <w:shd w:val="clear" w:color="auto" w:fill="auto"/>
            <w:vAlign w:val="bottom"/>
          </w:tcPr>
          <w:p w14:paraId="7C208E5E" w14:textId="77777777" w:rsidR="00834A75" w:rsidRDefault="00834A75">
            <w:pPr>
              <w:rPr>
                <w:rFonts w:ascii="宋体"/>
                <w:vanish/>
              </w:rPr>
            </w:pPr>
          </w:p>
        </w:tc>
      </w:tr>
      <w:tr w:rsidR="00834A75" w14:paraId="7C208E6A" w14:textId="77777777">
        <w:tc>
          <w:tcPr>
            <w:tcW w:w="0" w:type="auto"/>
            <w:gridSpan w:val="3"/>
            <w:shd w:val="clear" w:color="auto" w:fill="FFFFFF"/>
            <w:tcMar>
              <w:top w:w="40" w:type="dxa"/>
              <w:left w:w="20" w:type="dxa"/>
              <w:bottom w:w="40" w:type="dxa"/>
              <w:right w:w="20" w:type="dxa"/>
            </w:tcMar>
            <w:vAlign w:val="bottom"/>
          </w:tcPr>
          <w:p w14:paraId="7C208E60" w14:textId="77777777" w:rsidR="00834A75" w:rsidRDefault="00A6708C">
            <w:pPr>
              <w:textAlignment w:val="bottom"/>
            </w:pPr>
            <w:r>
              <w:rPr>
                <w:rFonts w:ascii="sans-serif" w:eastAsia="sans-serif" w:hAnsi="sans-serif" w:cs="sans-serif"/>
                <w:color w:val="000000"/>
                <w:sz w:val="20"/>
                <w:szCs w:val="20"/>
              </w:rPr>
              <w:t>Total operating expenses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C208E61" w14:textId="77777777" w:rsidR="00834A75" w:rsidRDefault="00A6708C">
            <w:pPr>
              <w:jc w:val="right"/>
              <w:textAlignment w:val="bottom"/>
            </w:pPr>
            <w:r>
              <w:rPr>
                <w:rFonts w:ascii="sans-serif" w:eastAsia="sans-serif" w:hAnsi="sans-serif" w:cs="sans-serif"/>
                <w:color w:val="000000"/>
                <w:sz w:val="20"/>
                <w:szCs w:val="20"/>
              </w:rPr>
              <w:t>42.9 </w:t>
            </w:r>
          </w:p>
        </w:tc>
        <w:tc>
          <w:tcPr>
            <w:tcW w:w="0" w:type="auto"/>
            <w:tcBorders>
              <w:top w:val="single" w:sz="8" w:space="0" w:color="000000"/>
            </w:tcBorders>
            <w:shd w:val="clear" w:color="auto" w:fill="FFFFFF"/>
            <w:tcMar>
              <w:top w:w="40" w:type="dxa"/>
              <w:left w:w="0" w:type="dxa"/>
              <w:bottom w:w="40" w:type="dxa"/>
              <w:right w:w="20" w:type="dxa"/>
            </w:tcMar>
            <w:vAlign w:val="bottom"/>
          </w:tcPr>
          <w:p w14:paraId="7C208E62" w14:textId="77777777" w:rsidR="00834A75" w:rsidRDefault="00834A75">
            <w:pPr>
              <w:jc w:val="right"/>
              <w:rPr>
                <w:rFonts w:ascii="宋体"/>
              </w:rPr>
            </w:pPr>
          </w:p>
        </w:tc>
        <w:tc>
          <w:tcPr>
            <w:tcW w:w="0" w:type="auto"/>
            <w:gridSpan w:val="3"/>
            <w:shd w:val="clear" w:color="auto" w:fill="FFFFFF"/>
            <w:tcMar>
              <w:top w:w="0" w:type="dxa"/>
              <w:left w:w="20" w:type="dxa"/>
              <w:bottom w:w="0" w:type="dxa"/>
              <w:right w:w="20" w:type="dxa"/>
            </w:tcMar>
            <w:vAlign w:val="bottom"/>
          </w:tcPr>
          <w:p w14:paraId="7C208E63" w14:textId="77777777" w:rsidR="00834A75" w:rsidRDefault="00834A75">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C208E64" w14:textId="77777777" w:rsidR="00834A75" w:rsidRDefault="00A6708C">
            <w:pPr>
              <w:jc w:val="right"/>
              <w:textAlignment w:val="bottom"/>
            </w:pPr>
            <w:r>
              <w:rPr>
                <w:rFonts w:ascii="sans-serif" w:eastAsia="sans-serif" w:hAnsi="sans-serif" w:cs="sans-serif"/>
                <w:color w:val="000000"/>
                <w:sz w:val="20"/>
                <w:szCs w:val="20"/>
              </w:rPr>
              <w:t>29.6 </w:t>
            </w:r>
          </w:p>
        </w:tc>
        <w:tc>
          <w:tcPr>
            <w:tcW w:w="0" w:type="auto"/>
            <w:tcBorders>
              <w:top w:val="single" w:sz="8" w:space="0" w:color="000000"/>
            </w:tcBorders>
            <w:shd w:val="clear" w:color="auto" w:fill="FFFFFF"/>
            <w:tcMar>
              <w:top w:w="40" w:type="dxa"/>
              <w:left w:w="0" w:type="dxa"/>
              <w:bottom w:w="40" w:type="dxa"/>
              <w:right w:w="20" w:type="dxa"/>
            </w:tcMar>
            <w:vAlign w:val="bottom"/>
          </w:tcPr>
          <w:p w14:paraId="7C208E65" w14:textId="77777777" w:rsidR="00834A75" w:rsidRDefault="00834A75">
            <w:pPr>
              <w:jc w:val="right"/>
              <w:rPr>
                <w:rFonts w:ascii="宋体"/>
              </w:rPr>
            </w:pPr>
          </w:p>
        </w:tc>
        <w:tc>
          <w:tcPr>
            <w:tcW w:w="0" w:type="auto"/>
            <w:shd w:val="clear" w:color="auto" w:fill="auto"/>
            <w:vAlign w:val="bottom"/>
          </w:tcPr>
          <w:p w14:paraId="7C208E66" w14:textId="77777777" w:rsidR="00834A75" w:rsidRDefault="00834A75">
            <w:pPr>
              <w:rPr>
                <w:rFonts w:ascii="宋体"/>
                <w:vanish/>
              </w:rPr>
            </w:pPr>
          </w:p>
        </w:tc>
        <w:tc>
          <w:tcPr>
            <w:tcW w:w="0" w:type="auto"/>
            <w:shd w:val="clear" w:color="auto" w:fill="auto"/>
            <w:vAlign w:val="bottom"/>
          </w:tcPr>
          <w:p w14:paraId="7C208E67" w14:textId="77777777" w:rsidR="00834A75" w:rsidRDefault="00834A75">
            <w:pPr>
              <w:rPr>
                <w:rFonts w:ascii="宋体"/>
                <w:vanish/>
              </w:rPr>
            </w:pPr>
          </w:p>
        </w:tc>
        <w:tc>
          <w:tcPr>
            <w:tcW w:w="0" w:type="auto"/>
            <w:gridSpan w:val="3"/>
            <w:shd w:val="clear" w:color="auto" w:fill="auto"/>
            <w:vAlign w:val="bottom"/>
          </w:tcPr>
          <w:p w14:paraId="7C208E68" w14:textId="77777777" w:rsidR="00834A75" w:rsidRDefault="00834A75">
            <w:pPr>
              <w:rPr>
                <w:rFonts w:ascii="宋体"/>
                <w:vanish/>
              </w:rPr>
            </w:pPr>
          </w:p>
        </w:tc>
        <w:tc>
          <w:tcPr>
            <w:tcW w:w="0" w:type="auto"/>
            <w:gridSpan w:val="3"/>
            <w:shd w:val="clear" w:color="auto" w:fill="auto"/>
            <w:vAlign w:val="bottom"/>
          </w:tcPr>
          <w:p w14:paraId="7C208E69" w14:textId="77777777" w:rsidR="00834A75" w:rsidRDefault="00834A75">
            <w:pPr>
              <w:rPr>
                <w:rFonts w:ascii="宋体"/>
                <w:vanish/>
              </w:rPr>
            </w:pPr>
          </w:p>
        </w:tc>
      </w:tr>
      <w:tr w:rsidR="00834A75" w14:paraId="7C208E75" w14:textId="77777777">
        <w:tc>
          <w:tcPr>
            <w:tcW w:w="0" w:type="auto"/>
            <w:gridSpan w:val="3"/>
            <w:shd w:val="clear" w:color="auto" w:fill="E2EFD9"/>
            <w:tcMar>
              <w:top w:w="40" w:type="dxa"/>
              <w:left w:w="20" w:type="dxa"/>
              <w:bottom w:w="40" w:type="dxa"/>
              <w:right w:w="20" w:type="dxa"/>
            </w:tcMar>
            <w:vAlign w:val="bottom"/>
          </w:tcPr>
          <w:p w14:paraId="7C208E6B" w14:textId="77777777" w:rsidR="00834A75" w:rsidRDefault="00A6708C">
            <w:pPr>
              <w:textAlignment w:val="bottom"/>
            </w:pPr>
            <w:r>
              <w:rPr>
                <w:rFonts w:ascii="sans-serif" w:eastAsia="sans-serif" w:hAnsi="sans-serif" w:cs="sans-serif"/>
                <w:color w:val="000000"/>
                <w:sz w:val="20"/>
                <w:szCs w:val="20"/>
              </w:rPr>
              <w:t>Income from operations</w:t>
            </w:r>
          </w:p>
        </w:tc>
        <w:tc>
          <w:tcPr>
            <w:tcW w:w="0" w:type="auto"/>
            <w:gridSpan w:val="2"/>
            <w:tcBorders>
              <w:top w:val="single" w:sz="8" w:space="0" w:color="000000"/>
            </w:tcBorders>
            <w:shd w:val="clear" w:color="auto" w:fill="E2EFD9"/>
            <w:tcMar>
              <w:top w:w="40" w:type="dxa"/>
              <w:left w:w="20" w:type="dxa"/>
              <w:bottom w:w="40" w:type="dxa"/>
              <w:right w:w="0" w:type="dxa"/>
            </w:tcMar>
            <w:vAlign w:val="bottom"/>
          </w:tcPr>
          <w:p w14:paraId="7C208E6C" w14:textId="77777777" w:rsidR="00834A75" w:rsidRDefault="00A6708C">
            <w:pPr>
              <w:jc w:val="right"/>
              <w:textAlignment w:val="bottom"/>
            </w:pPr>
            <w:r>
              <w:rPr>
                <w:rFonts w:ascii="sans-serif" w:eastAsia="sans-serif" w:hAnsi="sans-serif" w:cs="sans-serif"/>
                <w:color w:val="000000"/>
                <w:sz w:val="20"/>
                <w:szCs w:val="20"/>
              </w:rPr>
              <w:t>22.6 </w:t>
            </w:r>
          </w:p>
        </w:tc>
        <w:tc>
          <w:tcPr>
            <w:tcW w:w="0" w:type="auto"/>
            <w:tcBorders>
              <w:top w:val="single" w:sz="8" w:space="0" w:color="000000"/>
            </w:tcBorders>
            <w:shd w:val="clear" w:color="auto" w:fill="E2EFD9"/>
            <w:tcMar>
              <w:top w:w="40" w:type="dxa"/>
              <w:left w:w="0" w:type="dxa"/>
              <w:bottom w:w="40" w:type="dxa"/>
              <w:right w:w="20" w:type="dxa"/>
            </w:tcMar>
            <w:vAlign w:val="bottom"/>
          </w:tcPr>
          <w:p w14:paraId="7C208E6D" w14:textId="77777777" w:rsidR="00834A75" w:rsidRDefault="00834A75">
            <w:pPr>
              <w:jc w:val="right"/>
              <w:rPr>
                <w:rFonts w:ascii="宋体"/>
              </w:rPr>
            </w:pPr>
          </w:p>
        </w:tc>
        <w:tc>
          <w:tcPr>
            <w:tcW w:w="0" w:type="auto"/>
            <w:gridSpan w:val="3"/>
            <w:shd w:val="clear" w:color="auto" w:fill="E2EFD9"/>
            <w:tcMar>
              <w:top w:w="0" w:type="dxa"/>
              <w:left w:w="20" w:type="dxa"/>
              <w:bottom w:w="0" w:type="dxa"/>
              <w:right w:w="20" w:type="dxa"/>
            </w:tcMar>
            <w:vAlign w:val="bottom"/>
          </w:tcPr>
          <w:p w14:paraId="7C208E6E" w14:textId="77777777" w:rsidR="00834A75" w:rsidRDefault="00834A75">
            <w:pPr>
              <w:rPr>
                <w:rFonts w:ascii="宋体"/>
              </w:rPr>
            </w:pPr>
          </w:p>
        </w:tc>
        <w:tc>
          <w:tcPr>
            <w:tcW w:w="0" w:type="auto"/>
            <w:gridSpan w:val="2"/>
            <w:tcBorders>
              <w:top w:val="single" w:sz="8" w:space="0" w:color="000000"/>
            </w:tcBorders>
            <w:shd w:val="clear" w:color="auto" w:fill="E2EFD9"/>
            <w:tcMar>
              <w:top w:w="40" w:type="dxa"/>
              <w:left w:w="20" w:type="dxa"/>
              <w:bottom w:w="40" w:type="dxa"/>
              <w:right w:w="0" w:type="dxa"/>
            </w:tcMar>
            <w:vAlign w:val="bottom"/>
          </w:tcPr>
          <w:p w14:paraId="7C208E6F" w14:textId="77777777" w:rsidR="00834A75" w:rsidRDefault="00A6708C">
            <w:pPr>
              <w:jc w:val="right"/>
              <w:textAlignment w:val="bottom"/>
            </w:pPr>
            <w:r>
              <w:rPr>
                <w:rFonts w:ascii="sans-serif" w:eastAsia="sans-serif" w:hAnsi="sans-serif" w:cs="sans-serif"/>
                <w:color w:val="000000"/>
                <w:sz w:val="20"/>
                <w:szCs w:val="20"/>
              </w:rPr>
              <w:t>34.5 </w:t>
            </w:r>
          </w:p>
        </w:tc>
        <w:tc>
          <w:tcPr>
            <w:tcW w:w="0" w:type="auto"/>
            <w:tcBorders>
              <w:top w:val="single" w:sz="8" w:space="0" w:color="000000"/>
            </w:tcBorders>
            <w:shd w:val="clear" w:color="auto" w:fill="E2EFD9"/>
            <w:tcMar>
              <w:top w:w="40" w:type="dxa"/>
              <w:left w:w="0" w:type="dxa"/>
              <w:bottom w:w="40" w:type="dxa"/>
              <w:right w:w="20" w:type="dxa"/>
            </w:tcMar>
            <w:vAlign w:val="bottom"/>
          </w:tcPr>
          <w:p w14:paraId="7C208E70" w14:textId="77777777" w:rsidR="00834A75" w:rsidRDefault="00834A75">
            <w:pPr>
              <w:jc w:val="right"/>
              <w:rPr>
                <w:rFonts w:ascii="宋体"/>
              </w:rPr>
            </w:pPr>
          </w:p>
        </w:tc>
        <w:tc>
          <w:tcPr>
            <w:tcW w:w="0" w:type="auto"/>
            <w:shd w:val="clear" w:color="auto" w:fill="auto"/>
            <w:vAlign w:val="bottom"/>
          </w:tcPr>
          <w:p w14:paraId="7C208E71" w14:textId="77777777" w:rsidR="00834A75" w:rsidRDefault="00834A75">
            <w:pPr>
              <w:rPr>
                <w:rFonts w:ascii="宋体"/>
                <w:vanish/>
              </w:rPr>
            </w:pPr>
          </w:p>
        </w:tc>
        <w:tc>
          <w:tcPr>
            <w:tcW w:w="0" w:type="auto"/>
            <w:shd w:val="clear" w:color="auto" w:fill="auto"/>
            <w:vAlign w:val="bottom"/>
          </w:tcPr>
          <w:p w14:paraId="7C208E72" w14:textId="77777777" w:rsidR="00834A75" w:rsidRDefault="00834A75">
            <w:pPr>
              <w:rPr>
                <w:rFonts w:ascii="宋体"/>
                <w:vanish/>
              </w:rPr>
            </w:pPr>
          </w:p>
        </w:tc>
        <w:tc>
          <w:tcPr>
            <w:tcW w:w="0" w:type="auto"/>
            <w:gridSpan w:val="3"/>
            <w:shd w:val="clear" w:color="auto" w:fill="auto"/>
            <w:vAlign w:val="bottom"/>
          </w:tcPr>
          <w:p w14:paraId="7C208E73" w14:textId="77777777" w:rsidR="00834A75" w:rsidRDefault="00834A75">
            <w:pPr>
              <w:rPr>
                <w:rFonts w:ascii="宋体"/>
                <w:vanish/>
              </w:rPr>
            </w:pPr>
          </w:p>
        </w:tc>
        <w:tc>
          <w:tcPr>
            <w:tcW w:w="0" w:type="auto"/>
            <w:gridSpan w:val="3"/>
            <w:shd w:val="clear" w:color="auto" w:fill="auto"/>
            <w:vAlign w:val="bottom"/>
          </w:tcPr>
          <w:p w14:paraId="7C208E74" w14:textId="77777777" w:rsidR="00834A75" w:rsidRDefault="00834A75">
            <w:pPr>
              <w:rPr>
                <w:rFonts w:ascii="宋体"/>
                <w:vanish/>
              </w:rPr>
            </w:pPr>
          </w:p>
        </w:tc>
      </w:tr>
      <w:tr w:rsidR="00834A75" w14:paraId="7C208E80" w14:textId="77777777">
        <w:tc>
          <w:tcPr>
            <w:tcW w:w="0" w:type="auto"/>
            <w:gridSpan w:val="3"/>
            <w:shd w:val="clear" w:color="auto" w:fill="FFFFFF"/>
            <w:tcMar>
              <w:top w:w="40" w:type="dxa"/>
              <w:left w:w="20" w:type="dxa"/>
              <w:bottom w:w="40" w:type="dxa"/>
              <w:right w:w="20" w:type="dxa"/>
            </w:tcMar>
            <w:vAlign w:val="bottom"/>
          </w:tcPr>
          <w:p w14:paraId="7C208E76" w14:textId="77777777" w:rsidR="00834A75" w:rsidRDefault="00A6708C">
            <w:pPr>
              <w:textAlignment w:val="bottom"/>
            </w:pPr>
            <w:r>
              <w:rPr>
                <w:rFonts w:ascii="sans-serif" w:eastAsia="sans-serif" w:hAnsi="sans-serif" w:cs="sans-serif"/>
                <w:color w:val="000000"/>
                <w:sz w:val="20"/>
                <w:szCs w:val="20"/>
              </w:rPr>
              <w:t>     Interest income</w:t>
            </w:r>
          </w:p>
        </w:tc>
        <w:tc>
          <w:tcPr>
            <w:tcW w:w="0" w:type="auto"/>
            <w:gridSpan w:val="2"/>
            <w:shd w:val="clear" w:color="auto" w:fill="FFFFFF"/>
            <w:tcMar>
              <w:top w:w="40" w:type="dxa"/>
              <w:left w:w="20" w:type="dxa"/>
              <w:bottom w:w="40" w:type="dxa"/>
              <w:right w:w="0" w:type="dxa"/>
            </w:tcMar>
            <w:vAlign w:val="bottom"/>
          </w:tcPr>
          <w:p w14:paraId="7C208E77" w14:textId="77777777" w:rsidR="00834A75" w:rsidRDefault="00A6708C">
            <w:pPr>
              <w:jc w:val="right"/>
              <w:textAlignment w:val="bottom"/>
            </w:pPr>
            <w:r>
              <w:rPr>
                <w:rFonts w:ascii="sans-serif" w:eastAsia="sans-serif" w:hAnsi="sans-serif" w:cs="sans-serif"/>
                <w:color w:val="000000"/>
                <w:sz w:val="20"/>
                <w:szCs w:val="20"/>
              </w:rPr>
              <w:t>0.2 </w:t>
            </w:r>
          </w:p>
        </w:tc>
        <w:tc>
          <w:tcPr>
            <w:tcW w:w="0" w:type="auto"/>
            <w:shd w:val="clear" w:color="auto" w:fill="FFFFFF"/>
            <w:tcMar>
              <w:top w:w="40" w:type="dxa"/>
              <w:left w:w="0" w:type="dxa"/>
              <w:bottom w:w="40" w:type="dxa"/>
              <w:right w:w="20" w:type="dxa"/>
            </w:tcMar>
            <w:vAlign w:val="bottom"/>
          </w:tcPr>
          <w:p w14:paraId="7C208E78" w14:textId="77777777" w:rsidR="00834A75" w:rsidRDefault="00834A75">
            <w:pPr>
              <w:jc w:val="right"/>
              <w:rPr>
                <w:rFonts w:ascii="宋体"/>
              </w:rPr>
            </w:pPr>
          </w:p>
        </w:tc>
        <w:tc>
          <w:tcPr>
            <w:tcW w:w="0" w:type="auto"/>
            <w:gridSpan w:val="3"/>
            <w:shd w:val="clear" w:color="auto" w:fill="FFFFFF"/>
            <w:tcMar>
              <w:top w:w="0" w:type="dxa"/>
              <w:left w:w="20" w:type="dxa"/>
              <w:bottom w:w="0" w:type="dxa"/>
              <w:right w:w="20" w:type="dxa"/>
            </w:tcMar>
            <w:vAlign w:val="bottom"/>
          </w:tcPr>
          <w:p w14:paraId="7C208E79" w14:textId="77777777" w:rsidR="00834A75" w:rsidRDefault="00834A75">
            <w:pPr>
              <w:rPr>
                <w:rFonts w:ascii="宋体"/>
              </w:rPr>
            </w:pPr>
          </w:p>
        </w:tc>
        <w:tc>
          <w:tcPr>
            <w:tcW w:w="0" w:type="auto"/>
            <w:gridSpan w:val="2"/>
            <w:shd w:val="clear" w:color="auto" w:fill="FFFFFF"/>
            <w:tcMar>
              <w:top w:w="40" w:type="dxa"/>
              <w:left w:w="20" w:type="dxa"/>
              <w:bottom w:w="40" w:type="dxa"/>
              <w:right w:w="0" w:type="dxa"/>
            </w:tcMar>
            <w:vAlign w:val="bottom"/>
          </w:tcPr>
          <w:p w14:paraId="7C208E7A" w14:textId="77777777" w:rsidR="00834A75" w:rsidRDefault="00A6708C">
            <w:pPr>
              <w:jc w:val="right"/>
              <w:textAlignment w:val="bottom"/>
            </w:pPr>
            <w:r>
              <w:rPr>
                <w:rFonts w:ascii="sans-serif" w:eastAsia="sans-serif" w:hAnsi="sans-serif" w:cs="sans-serif"/>
                <w:color w:val="000000"/>
                <w:sz w:val="20"/>
                <w:szCs w:val="20"/>
              </w:rPr>
              <w:t>0.1 </w:t>
            </w:r>
          </w:p>
        </w:tc>
        <w:tc>
          <w:tcPr>
            <w:tcW w:w="0" w:type="auto"/>
            <w:shd w:val="clear" w:color="auto" w:fill="FFFFFF"/>
            <w:tcMar>
              <w:top w:w="40" w:type="dxa"/>
              <w:left w:w="0" w:type="dxa"/>
              <w:bottom w:w="40" w:type="dxa"/>
              <w:right w:w="20" w:type="dxa"/>
            </w:tcMar>
            <w:vAlign w:val="bottom"/>
          </w:tcPr>
          <w:p w14:paraId="7C208E7B" w14:textId="77777777" w:rsidR="00834A75" w:rsidRDefault="00834A75">
            <w:pPr>
              <w:jc w:val="right"/>
              <w:rPr>
                <w:rFonts w:ascii="宋体"/>
              </w:rPr>
            </w:pPr>
          </w:p>
        </w:tc>
        <w:tc>
          <w:tcPr>
            <w:tcW w:w="0" w:type="auto"/>
            <w:shd w:val="clear" w:color="auto" w:fill="auto"/>
            <w:vAlign w:val="bottom"/>
          </w:tcPr>
          <w:p w14:paraId="7C208E7C" w14:textId="77777777" w:rsidR="00834A75" w:rsidRDefault="00834A75">
            <w:pPr>
              <w:rPr>
                <w:rFonts w:ascii="宋体"/>
                <w:vanish/>
              </w:rPr>
            </w:pPr>
          </w:p>
        </w:tc>
        <w:tc>
          <w:tcPr>
            <w:tcW w:w="0" w:type="auto"/>
            <w:shd w:val="clear" w:color="auto" w:fill="auto"/>
            <w:vAlign w:val="bottom"/>
          </w:tcPr>
          <w:p w14:paraId="7C208E7D" w14:textId="77777777" w:rsidR="00834A75" w:rsidRDefault="00834A75">
            <w:pPr>
              <w:rPr>
                <w:rFonts w:ascii="宋体"/>
                <w:vanish/>
              </w:rPr>
            </w:pPr>
          </w:p>
        </w:tc>
        <w:tc>
          <w:tcPr>
            <w:tcW w:w="0" w:type="auto"/>
            <w:gridSpan w:val="3"/>
            <w:shd w:val="clear" w:color="auto" w:fill="auto"/>
            <w:vAlign w:val="bottom"/>
          </w:tcPr>
          <w:p w14:paraId="7C208E7E" w14:textId="77777777" w:rsidR="00834A75" w:rsidRDefault="00834A75">
            <w:pPr>
              <w:rPr>
                <w:rFonts w:ascii="宋体"/>
                <w:vanish/>
              </w:rPr>
            </w:pPr>
          </w:p>
        </w:tc>
        <w:tc>
          <w:tcPr>
            <w:tcW w:w="0" w:type="auto"/>
            <w:gridSpan w:val="3"/>
            <w:shd w:val="clear" w:color="auto" w:fill="auto"/>
            <w:vAlign w:val="bottom"/>
          </w:tcPr>
          <w:p w14:paraId="7C208E7F" w14:textId="77777777" w:rsidR="00834A75" w:rsidRDefault="00834A75">
            <w:pPr>
              <w:rPr>
                <w:rFonts w:ascii="宋体"/>
                <w:vanish/>
              </w:rPr>
            </w:pPr>
          </w:p>
        </w:tc>
      </w:tr>
      <w:tr w:rsidR="00834A75" w14:paraId="7C208E8B" w14:textId="77777777">
        <w:tc>
          <w:tcPr>
            <w:tcW w:w="0" w:type="auto"/>
            <w:gridSpan w:val="3"/>
            <w:shd w:val="clear" w:color="auto" w:fill="E2EFD9"/>
            <w:tcMar>
              <w:top w:w="40" w:type="dxa"/>
              <w:left w:w="20" w:type="dxa"/>
              <w:bottom w:w="40" w:type="dxa"/>
              <w:right w:w="20" w:type="dxa"/>
            </w:tcMar>
            <w:vAlign w:val="bottom"/>
          </w:tcPr>
          <w:p w14:paraId="7C208E81" w14:textId="77777777" w:rsidR="00834A75" w:rsidRDefault="00A6708C">
            <w:pPr>
              <w:textAlignment w:val="bottom"/>
            </w:pPr>
            <w:r>
              <w:rPr>
                <w:rFonts w:ascii="sans-serif" w:eastAsia="sans-serif" w:hAnsi="sans-serif" w:cs="sans-serif"/>
                <w:color w:val="000000"/>
                <w:sz w:val="20"/>
                <w:szCs w:val="20"/>
              </w:rPr>
              <w:t>     Interest expense</w:t>
            </w:r>
          </w:p>
        </w:tc>
        <w:tc>
          <w:tcPr>
            <w:tcW w:w="0" w:type="auto"/>
            <w:gridSpan w:val="2"/>
            <w:shd w:val="clear" w:color="auto" w:fill="E2EFD9"/>
            <w:tcMar>
              <w:top w:w="40" w:type="dxa"/>
              <w:left w:w="20" w:type="dxa"/>
              <w:bottom w:w="40" w:type="dxa"/>
              <w:right w:w="0" w:type="dxa"/>
            </w:tcMar>
            <w:vAlign w:val="bottom"/>
          </w:tcPr>
          <w:p w14:paraId="7C208E82" w14:textId="77777777" w:rsidR="00834A75" w:rsidRDefault="00A6708C">
            <w:pPr>
              <w:jc w:val="right"/>
              <w:textAlignment w:val="bottom"/>
            </w:pPr>
            <w:r>
              <w:rPr>
                <w:rFonts w:ascii="sans-serif" w:eastAsia="sans-serif" w:hAnsi="sans-serif" w:cs="sans-serif"/>
                <w:color w:val="000000"/>
                <w:sz w:val="20"/>
                <w:szCs w:val="20"/>
              </w:rPr>
              <w:t>(0.8)</w:t>
            </w:r>
          </w:p>
        </w:tc>
        <w:tc>
          <w:tcPr>
            <w:tcW w:w="0" w:type="auto"/>
            <w:shd w:val="clear" w:color="auto" w:fill="E2EFD9"/>
            <w:tcMar>
              <w:top w:w="40" w:type="dxa"/>
              <w:left w:w="0" w:type="dxa"/>
              <w:bottom w:w="40" w:type="dxa"/>
              <w:right w:w="20" w:type="dxa"/>
            </w:tcMar>
            <w:vAlign w:val="bottom"/>
          </w:tcPr>
          <w:p w14:paraId="7C208E83" w14:textId="77777777" w:rsidR="00834A75" w:rsidRDefault="00834A75">
            <w:pPr>
              <w:jc w:val="right"/>
              <w:rPr>
                <w:rFonts w:ascii="宋体"/>
              </w:rPr>
            </w:pPr>
          </w:p>
        </w:tc>
        <w:tc>
          <w:tcPr>
            <w:tcW w:w="0" w:type="auto"/>
            <w:gridSpan w:val="3"/>
            <w:shd w:val="clear" w:color="auto" w:fill="E2EFD9"/>
            <w:tcMar>
              <w:top w:w="0" w:type="dxa"/>
              <w:left w:w="20" w:type="dxa"/>
              <w:bottom w:w="0" w:type="dxa"/>
              <w:right w:w="20" w:type="dxa"/>
            </w:tcMar>
            <w:vAlign w:val="bottom"/>
          </w:tcPr>
          <w:p w14:paraId="7C208E84" w14:textId="77777777" w:rsidR="00834A75" w:rsidRDefault="00834A75">
            <w:pPr>
              <w:rPr>
                <w:rFonts w:ascii="宋体"/>
              </w:rPr>
            </w:pPr>
          </w:p>
        </w:tc>
        <w:tc>
          <w:tcPr>
            <w:tcW w:w="0" w:type="auto"/>
            <w:gridSpan w:val="2"/>
            <w:shd w:val="clear" w:color="auto" w:fill="E2EFD9"/>
            <w:tcMar>
              <w:top w:w="40" w:type="dxa"/>
              <w:left w:w="20" w:type="dxa"/>
              <w:bottom w:w="40" w:type="dxa"/>
              <w:right w:w="0" w:type="dxa"/>
            </w:tcMar>
            <w:vAlign w:val="bottom"/>
          </w:tcPr>
          <w:p w14:paraId="7C208E85" w14:textId="77777777" w:rsidR="00834A75" w:rsidRDefault="00A6708C">
            <w:pPr>
              <w:jc w:val="right"/>
              <w:textAlignment w:val="bottom"/>
            </w:pPr>
            <w:r>
              <w:rPr>
                <w:rFonts w:ascii="sans-serif" w:eastAsia="sans-serif" w:hAnsi="sans-serif" w:cs="sans-serif"/>
                <w:color w:val="000000"/>
                <w:sz w:val="20"/>
                <w:szCs w:val="20"/>
              </w:rPr>
              <w:t>(0.9)</w:t>
            </w:r>
          </w:p>
        </w:tc>
        <w:tc>
          <w:tcPr>
            <w:tcW w:w="0" w:type="auto"/>
            <w:shd w:val="clear" w:color="auto" w:fill="E2EFD9"/>
            <w:tcMar>
              <w:top w:w="40" w:type="dxa"/>
              <w:left w:w="0" w:type="dxa"/>
              <w:bottom w:w="40" w:type="dxa"/>
              <w:right w:w="20" w:type="dxa"/>
            </w:tcMar>
            <w:vAlign w:val="bottom"/>
          </w:tcPr>
          <w:p w14:paraId="7C208E86" w14:textId="77777777" w:rsidR="00834A75" w:rsidRDefault="00834A75">
            <w:pPr>
              <w:jc w:val="right"/>
              <w:rPr>
                <w:rFonts w:ascii="宋体"/>
              </w:rPr>
            </w:pPr>
          </w:p>
        </w:tc>
        <w:tc>
          <w:tcPr>
            <w:tcW w:w="0" w:type="auto"/>
            <w:shd w:val="clear" w:color="auto" w:fill="auto"/>
            <w:vAlign w:val="bottom"/>
          </w:tcPr>
          <w:p w14:paraId="7C208E87" w14:textId="77777777" w:rsidR="00834A75" w:rsidRDefault="00834A75">
            <w:pPr>
              <w:rPr>
                <w:rFonts w:ascii="宋体"/>
                <w:vanish/>
              </w:rPr>
            </w:pPr>
          </w:p>
        </w:tc>
        <w:tc>
          <w:tcPr>
            <w:tcW w:w="0" w:type="auto"/>
            <w:shd w:val="clear" w:color="auto" w:fill="auto"/>
            <w:vAlign w:val="bottom"/>
          </w:tcPr>
          <w:p w14:paraId="7C208E88" w14:textId="77777777" w:rsidR="00834A75" w:rsidRDefault="00834A75">
            <w:pPr>
              <w:rPr>
                <w:rFonts w:ascii="宋体"/>
                <w:vanish/>
              </w:rPr>
            </w:pPr>
          </w:p>
        </w:tc>
        <w:tc>
          <w:tcPr>
            <w:tcW w:w="0" w:type="auto"/>
            <w:gridSpan w:val="3"/>
            <w:shd w:val="clear" w:color="auto" w:fill="auto"/>
            <w:vAlign w:val="bottom"/>
          </w:tcPr>
          <w:p w14:paraId="7C208E89" w14:textId="77777777" w:rsidR="00834A75" w:rsidRDefault="00834A75">
            <w:pPr>
              <w:rPr>
                <w:rFonts w:ascii="宋体"/>
                <w:vanish/>
              </w:rPr>
            </w:pPr>
          </w:p>
        </w:tc>
        <w:tc>
          <w:tcPr>
            <w:tcW w:w="0" w:type="auto"/>
            <w:gridSpan w:val="3"/>
            <w:shd w:val="clear" w:color="auto" w:fill="auto"/>
            <w:vAlign w:val="bottom"/>
          </w:tcPr>
          <w:p w14:paraId="7C208E8A" w14:textId="77777777" w:rsidR="00834A75" w:rsidRDefault="00834A75">
            <w:pPr>
              <w:rPr>
                <w:rFonts w:ascii="宋体"/>
                <w:vanish/>
              </w:rPr>
            </w:pPr>
          </w:p>
        </w:tc>
      </w:tr>
      <w:tr w:rsidR="00834A75" w14:paraId="7C208E96" w14:textId="77777777">
        <w:tc>
          <w:tcPr>
            <w:tcW w:w="0" w:type="auto"/>
            <w:gridSpan w:val="3"/>
            <w:shd w:val="clear" w:color="auto" w:fill="FFFFFF"/>
            <w:tcMar>
              <w:top w:w="40" w:type="dxa"/>
              <w:left w:w="20" w:type="dxa"/>
              <w:bottom w:w="40" w:type="dxa"/>
              <w:right w:w="20" w:type="dxa"/>
            </w:tcMar>
            <w:vAlign w:val="bottom"/>
          </w:tcPr>
          <w:p w14:paraId="7C208E8C" w14:textId="77777777" w:rsidR="00834A75" w:rsidRDefault="00A6708C">
            <w:pPr>
              <w:textAlignment w:val="bottom"/>
            </w:pPr>
            <w:r>
              <w:rPr>
                <w:rFonts w:ascii="sans-serif" w:eastAsia="sans-serif" w:hAnsi="sans-serif" w:cs="sans-serif"/>
                <w:color w:val="000000"/>
                <w:sz w:val="20"/>
                <w:szCs w:val="20"/>
              </w:rPr>
              <w:t>     Other, net</w:t>
            </w:r>
          </w:p>
        </w:tc>
        <w:tc>
          <w:tcPr>
            <w:tcW w:w="0" w:type="auto"/>
            <w:gridSpan w:val="2"/>
            <w:shd w:val="clear" w:color="auto" w:fill="FFFFFF"/>
            <w:tcMar>
              <w:top w:w="40" w:type="dxa"/>
              <w:left w:w="20" w:type="dxa"/>
              <w:bottom w:w="40" w:type="dxa"/>
              <w:right w:w="0" w:type="dxa"/>
            </w:tcMar>
            <w:vAlign w:val="bottom"/>
          </w:tcPr>
          <w:p w14:paraId="7C208E8D" w14:textId="77777777" w:rsidR="00834A75" w:rsidRDefault="00A6708C">
            <w:pPr>
              <w:jc w:val="right"/>
              <w:textAlignment w:val="bottom"/>
            </w:pPr>
            <w:r>
              <w:rPr>
                <w:rFonts w:ascii="sans-serif" w:eastAsia="sans-serif" w:hAnsi="sans-serif" w:cs="sans-serif"/>
                <w:color w:val="000000"/>
                <w:sz w:val="20"/>
                <w:szCs w:val="20"/>
              </w:rPr>
              <w:t>(0.2)</w:t>
            </w:r>
          </w:p>
        </w:tc>
        <w:tc>
          <w:tcPr>
            <w:tcW w:w="0" w:type="auto"/>
            <w:shd w:val="clear" w:color="auto" w:fill="FFFFFF"/>
            <w:tcMar>
              <w:top w:w="40" w:type="dxa"/>
              <w:left w:w="0" w:type="dxa"/>
              <w:bottom w:w="40" w:type="dxa"/>
              <w:right w:w="20" w:type="dxa"/>
            </w:tcMar>
            <w:vAlign w:val="bottom"/>
          </w:tcPr>
          <w:p w14:paraId="7C208E8E" w14:textId="77777777" w:rsidR="00834A75" w:rsidRDefault="00834A75">
            <w:pPr>
              <w:jc w:val="right"/>
              <w:rPr>
                <w:rFonts w:ascii="宋体"/>
              </w:rPr>
            </w:pPr>
          </w:p>
        </w:tc>
        <w:tc>
          <w:tcPr>
            <w:tcW w:w="0" w:type="auto"/>
            <w:gridSpan w:val="3"/>
            <w:shd w:val="clear" w:color="auto" w:fill="FFFFFF"/>
            <w:tcMar>
              <w:top w:w="0" w:type="dxa"/>
              <w:left w:w="20" w:type="dxa"/>
              <w:bottom w:w="0" w:type="dxa"/>
              <w:right w:w="20" w:type="dxa"/>
            </w:tcMar>
            <w:vAlign w:val="bottom"/>
          </w:tcPr>
          <w:p w14:paraId="7C208E8F" w14:textId="77777777" w:rsidR="00834A75" w:rsidRDefault="00834A75">
            <w:pPr>
              <w:rPr>
                <w:rFonts w:ascii="宋体"/>
              </w:rPr>
            </w:pPr>
          </w:p>
        </w:tc>
        <w:tc>
          <w:tcPr>
            <w:tcW w:w="0" w:type="auto"/>
            <w:gridSpan w:val="2"/>
            <w:shd w:val="clear" w:color="auto" w:fill="FFFFFF"/>
            <w:tcMar>
              <w:top w:w="40" w:type="dxa"/>
              <w:left w:w="20" w:type="dxa"/>
              <w:bottom w:w="40" w:type="dxa"/>
              <w:right w:w="0" w:type="dxa"/>
            </w:tcMar>
            <w:vAlign w:val="bottom"/>
          </w:tcPr>
          <w:p w14:paraId="7C208E90" w14:textId="77777777" w:rsidR="00834A75" w:rsidRDefault="00A6708C">
            <w:pPr>
              <w:jc w:val="right"/>
              <w:textAlignment w:val="bottom"/>
            </w:pPr>
            <w:r>
              <w:rPr>
                <w:rFonts w:ascii="sans-serif" w:eastAsia="sans-serif" w:hAnsi="sans-serif" w:cs="sans-serif"/>
                <w:color w:val="000000"/>
                <w:sz w:val="20"/>
                <w:szCs w:val="20"/>
              </w:rPr>
              <w:t>2.4 </w:t>
            </w:r>
          </w:p>
        </w:tc>
        <w:tc>
          <w:tcPr>
            <w:tcW w:w="0" w:type="auto"/>
            <w:shd w:val="clear" w:color="auto" w:fill="FFFFFF"/>
            <w:tcMar>
              <w:top w:w="40" w:type="dxa"/>
              <w:left w:w="0" w:type="dxa"/>
              <w:bottom w:w="40" w:type="dxa"/>
              <w:right w:w="20" w:type="dxa"/>
            </w:tcMar>
            <w:vAlign w:val="bottom"/>
          </w:tcPr>
          <w:p w14:paraId="7C208E91" w14:textId="77777777" w:rsidR="00834A75" w:rsidRDefault="00834A75">
            <w:pPr>
              <w:jc w:val="right"/>
              <w:rPr>
                <w:rFonts w:ascii="宋体"/>
              </w:rPr>
            </w:pPr>
          </w:p>
        </w:tc>
        <w:tc>
          <w:tcPr>
            <w:tcW w:w="0" w:type="auto"/>
            <w:shd w:val="clear" w:color="auto" w:fill="auto"/>
            <w:vAlign w:val="bottom"/>
          </w:tcPr>
          <w:p w14:paraId="7C208E92" w14:textId="77777777" w:rsidR="00834A75" w:rsidRDefault="00834A75">
            <w:pPr>
              <w:rPr>
                <w:rFonts w:ascii="宋体"/>
                <w:vanish/>
              </w:rPr>
            </w:pPr>
          </w:p>
        </w:tc>
        <w:tc>
          <w:tcPr>
            <w:tcW w:w="0" w:type="auto"/>
            <w:shd w:val="clear" w:color="auto" w:fill="auto"/>
            <w:vAlign w:val="bottom"/>
          </w:tcPr>
          <w:p w14:paraId="7C208E93" w14:textId="77777777" w:rsidR="00834A75" w:rsidRDefault="00834A75">
            <w:pPr>
              <w:rPr>
                <w:rFonts w:ascii="宋体"/>
                <w:vanish/>
              </w:rPr>
            </w:pPr>
          </w:p>
        </w:tc>
        <w:tc>
          <w:tcPr>
            <w:tcW w:w="0" w:type="auto"/>
            <w:gridSpan w:val="3"/>
            <w:shd w:val="clear" w:color="auto" w:fill="auto"/>
            <w:vAlign w:val="bottom"/>
          </w:tcPr>
          <w:p w14:paraId="7C208E94" w14:textId="77777777" w:rsidR="00834A75" w:rsidRDefault="00834A75">
            <w:pPr>
              <w:rPr>
                <w:rFonts w:ascii="宋体"/>
                <w:vanish/>
              </w:rPr>
            </w:pPr>
          </w:p>
        </w:tc>
        <w:tc>
          <w:tcPr>
            <w:tcW w:w="0" w:type="auto"/>
            <w:gridSpan w:val="3"/>
            <w:shd w:val="clear" w:color="auto" w:fill="auto"/>
            <w:vAlign w:val="bottom"/>
          </w:tcPr>
          <w:p w14:paraId="7C208E95" w14:textId="77777777" w:rsidR="00834A75" w:rsidRDefault="00834A75">
            <w:pPr>
              <w:rPr>
                <w:rFonts w:ascii="宋体"/>
                <w:vanish/>
              </w:rPr>
            </w:pPr>
          </w:p>
        </w:tc>
      </w:tr>
      <w:tr w:rsidR="00834A75" w14:paraId="7C208EA1" w14:textId="77777777">
        <w:tc>
          <w:tcPr>
            <w:tcW w:w="0" w:type="auto"/>
            <w:gridSpan w:val="3"/>
            <w:shd w:val="clear" w:color="auto" w:fill="E2EFD9"/>
            <w:tcMar>
              <w:top w:w="40" w:type="dxa"/>
              <w:left w:w="20" w:type="dxa"/>
              <w:bottom w:w="40" w:type="dxa"/>
              <w:right w:w="20" w:type="dxa"/>
            </w:tcMar>
            <w:vAlign w:val="bottom"/>
          </w:tcPr>
          <w:p w14:paraId="7C208E97" w14:textId="77777777" w:rsidR="00834A75" w:rsidRDefault="00A6708C">
            <w:pPr>
              <w:textAlignment w:val="bottom"/>
            </w:pPr>
            <w:r>
              <w:rPr>
                <w:rFonts w:ascii="sans-serif" w:eastAsia="sans-serif" w:hAnsi="sans-serif" w:cs="sans-serif"/>
                <w:color w:val="000000"/>
                <w:sz w:val="20"/>
                <w:szCs w:val="20"/>
              </w:rPr>
              <w:t>Other income (expense), net</w:t>
            </w:r>
          </w:p>
        </w:tc>
        <w:tc>
          <w:tcPr>
            <w:tcW w:w="0" w:type="auto"/>
            <w:gridSpan w:val="2"/>
            <w:tcBorders>
              <w:top w:val="single" w:sz="8" w:space="0" w:color="000000"/>
            </w:tcBorders>
            <w:shd w:val="clear" w:color="auto" w:fill="E2EFD9"/>
            <w:tcMar>
              <w:top w:w="40" w:type="dxa"/>
              <w:left w:w="20" w:type="dxa"/>
              <w:bottom w:w="40" w:type="dxa"/>
              <w:right w:w="0" w:type="dxa"/>
            </w:tcMar>
            <w:vAlign w:val="bottom"/>
          </w:tcPr>
          <w:p w14:paraId="7C208E98" w14:textId="77777777" w:rsidR="00834A75" w:rsidRDefault="00A6708C">
            <w:pPr>
              <w:jc w:val="right"/>
              <w:textAlignment w:val="bottom"/>
            </w:pPr>
            <w:r>
              <w:rPr>
                <w:rFonts w:ascii="sans-serif" w:eastAsia="sans-serif" w:hAnsi="sans-serif" w:cs="sans-serif"/>
                <w:color w:val="000000"/>
                <w:sz w:val="20"/>
                <w:szCs w:val="20"/>
              </w:rPr>
              <w:t>(0.8)</w:t>
            </w:r>
          </w:p>
        </w:tc>
        <w:tc>
          <w:tcPr>
            <w:tcW w:w="0" w:type="auto"/>
            <w:tcBorders>
              <w:top w:val="single" w:sz="8" w:space="0" w:color="000000"/>
            </w:tcBorders>
            <w:shd w:val="clear" w:color="auto" w:fill="E2EFD9"/>
            <w:tcMar>
              <w:top w:w="40" w:type="dxa"/>
              <w:left w:w="0" w:type="dxa"/>
              <w:bottom w:w="40" w:type="dxa"/>
              <w:right w:w="20" w:type="dxa"/>
            </w:tcMar>
            <w:vAlign w:val="bottom"/>
          </w:tcPr>
          <w:p w14:paraId="7C208E99" w14:textId="77777777" w:rsidR="00834A75" w:rsidRDefault="00834A75">
            <w:pPr>
              <w:jc w:val="right"/>
              <w:rPr>
                <w:rFonts w:ascii="宋体"/>
              </w:rPr>
            </w:pPr>
          </w:p>
        </w:tc>
        <w:tc>
          <w:tcPr>
            <w:tcW w:w="0" w:type="auto"/>
            <w:gridSpan w:val="3"/>
            <w:shd w:val="clear" w:color="auto" w:fill="E2EFD9"/>
            <w:tcMar>
              <w:top w:w="0" w:type="dxa"/>
              <w:left w:w="20" w:type="dxa"/>
              <w:bottom w:w="0" w:type="dxa"/>
              <w:right w:w="20" w:type="dxa"/>
            </w:tcMar>
            <w:vAlign w:val="bottom"/>
          </w:tcPr>
          <w:p w14:paraId="7C208E9A" w14:textId="77777777" w:rsidR="00834A75" w:rsidRDefault="00834A75">
            <w:pPr>
              <w:rPr>
                <w:rFonts w:ascii="宋体"/>
              </w:rPr>
            </w:pPr>
          </w:p>
        </w:tc>
        <w:tc>
          <w:tcPr>
            <w:tcW w:w="0" w:type="auto"/>
            <w:gridSpan w:val="2"/>
            <w:tcBorders>
              <w:top w:val="single" w:sz="8" w:space="0" w:color="000000"/>
            </w:tcBorders>
            <w:shd w:val="clear" w:color="auto" w:fill="E2EFD9"/>
            <w:tcMar>
              <w:top w:w="40" w:type="dxa"/>
              <w:left w:w="20" w:type="dxa"/>
              <w:bottom w:w="40" w:type="dxa"/>
              <w:right w:w="0" w:type="dxa"/>
            </w:tcMar>
            <w:vAlign w:val="bottom"/>
          </w:tcPr>
          <w:p w14:paraId="7C208E9B" w14:textId="77777777" w:rsidR="00834A75" w:rsidRDefault="00A6708C">
            <w:pPr>
              <w:jc w:val="right"/>
              <w:textAlignment w:val="bottom"/>
            </w:pPr>
            <w:r>
              <w:rPr>
                <w:rFonts w:ascii="sans-serif" w:eastAsia="sans-serif" w:hAnsi="sans-serif" w:cs="sans-serif"/>
                <w:color w:val="000000"/>
                <w:sz w:val="20"/>
                <w:szCs w:val="20"/>
              </w:rPr>
              <w:t>1.6 </w:t>
            </w:r>
          </w:p>
        </w:tc>
        <w:tc>
          <w:tcPr>
            <w:tcW w:w="0" w:type="auto"/>
            <w:tcBorders>
              <w:top w:val="single" w:sz="8" w:space="0" w:color="000000"/>
            </w:tcBorders>
            <w:shd w:val="clear" w:color="auto" w:fill="E2EFD9"/>
            <w:tcMar>
              <w:top w:w="40" w:type="dxa"/>
              <w:left w:w="0" w:type="dxa"/>
              <w:bottom w:w="40" w:type="dxa"/>
              <w:right w:w="20" w:type="dxa"/>
            </w:tcMar>
            <w:vAlign w:val="bottom"/>
          </w:tcPr>
          <w:p w14:paraId="7C208E9C" w14:textId="77777777" w:rsidR="00834A75" w:rsidRDefault="00834A75">
            <w:pPr>
              <w:jc w:val="right"/>
              <w:rPr>
                <w:rFonts w:ascii="宋体"/>
              </w:rPr>
            </w:pPr>
          </w:p>
        </w:tc>
        <w:tc>
          <w:tcPr>
            <w:tcW w:w="0" w:type="auto"/>
            <w:shd w:val="clear" w:color="auto" w:fill="auto"/>
            <w:vAlign w:val="bottom"/>
          </w:tcPr>
          <w:p w14:paraId="7C208E9D" w14:textId="77777777" w:rsidR="00834A75" w:rsidRDefault="00834A75">
            <w:pPr>
              <w:rPr>
                <w:rFonts w:ascii="宋体"/>
                <w:vanish/>
              </w:rPr>
            </w:pPr>
          </w:p>
        </w:tc>
        <w:tc>
          <w:tcPr>
            <w:tcW w:w="0" w:type="auto"/>
            <w:shd w:val="clear" w:color="auto" w:fill="auto"/>
            <w:vAlign w:val="bottom"/>
          </w:tcPr>
          <w:p w14:paraId="7C208E9E" w14:textId="77777777" w:rsidR="00834A75" w:rsidRDefault="00834A75">
            <w:pPr>
              <w:rPr>
                <w:rFonts w:ascii="宋体"/>
                <w:vanish/>
              </w:rPr>
            </w:pPr>
          </w:p>
        </w:tc>
        <w:tc>
          <w:tcPr>
            <w:tcW w:w="0" w:type="auto"/>
            <w:gridSpan w:val="3"/>
            <w:shd w:val="clear" w:color="auto" w:fill="auto"/>
            <w:vAlign w:val="bottom"/>
          </w:tcPr>
          <w:p w14:paraId="7C208E9F" w14:textId="77777777" w:rsidR="00834A75" w:rsidRDefault="00834A75">
            <w:pPr>
              <w:rPr>
                <w:rFonts w:ascii="宋体"/>
                <w:vanish/>
              </w:rPr>
            </w:pPr>
          </w:p>
        </w:tc>
        <w:tc>
          <w:tcPr>
            <w:tcW w:w="0" w:type="auto"/>
            <w:gridSpan w:val="3"/>
            <w:shd w:val="clear" w:color="auto" w:fill="auto"/>
            <w:vAlign w:val="bottom"/>
          </w:tcPr>
          <w:p w14:paraId="7C208EA0" w14:textId="77777777" w:rsidR="00834A75" w:rsidRDefault="00834A75">
            <w:pPr>
              <w:rPr>
                <w:rFonts w:ascii="宋体"/>
                <w:vanish/>
              </w:rPr>
            </w:pPr>
          </w:p>
        </w:tc>
      </w:tr>
      <w:tr w:rsidR="00834A75" w14:paraId="7C208EAC" w14:textId="77777777">
        <w:tc>
          <w:tcPr>
            <w:tcW w:w="0" w:type="auto"/>
            <w:gridSpan w:val="3"/>
            <w:shd w:val="clear" w:color="auto" w:fill="FFFFFF"/>
            <w:tcMar>
              <w:top w:w="40" w:type="dxa"/>
              <w:left w:w="20" w:type="dxa"/>
              <w:bottom w:w="40" w:type="dxa"/>
              <w:right w:w="20" w:type="dxa"/>
            </w:tcMar>
            <w:vAlign w:val="bottom"/>
          </w:tcPr>
          <w:p w14:paraId="7C208EA2" w14:textId="77777777" w:rsidR="00834A75" w:rsidRDefault="00A6708C">
            <w:pPr>
              <w:textAlignment w:val="bottom"/>
            </w:pPr>
            <w:r>
              <w:rPr>
                <w:rFonts w:ascii="sans-serif" w:eastAsia="sans-serif" w:hAnsi="sans-serif" w:cs="sans-serif"/>
                <w:color w:val="000000"/>
                <w:sz w:val="20"/>
                <w:szCs w:val="20"/>
              </w:rPr>
              <w:t>Income before income tax</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C208EA3" w14:textId="77777777" w:rsidR="00834A75" w:rsidRDefault="00A6708C">
            <w:pPr>
              <w:jc w:val="right"/>
              <w:textAlignment w:val="bottom"/>
            </w:pPr>
            <w:r>
              <w:rPr>
                <w:rFonts w:ascii="sans-serif" w:eastAsia="sans-serif" w:hAnsi="sans-serif" w:cs="sans-serif"/>
                <w:color w:val="000000"/>
                <w:sz w:val="20"/>
                <w:szCs w:val="20"/>
              </w:rPr>
              <w:t>21.8 </w:t>
            </w:r>
          </w:p>
        </w:tc>
        <w:tc>
          <w:tcPr>
            <w:tcW w:w="0" w:type="auto"/>
            <w:tcBorders>
              <w:top w:val="single" w:sz="8" w:space="0" w:color="000000"/>
            </w:tcBorders>
            <w:shd w:val="clear" w:color="auto" w:fill="FFFFFF"/>
            <w:tcMar>
              <w:top w:w="40" w:type="dxa"/>
              <w:left w:w="0" w:type="dxa"/>
              <w:bottom w:w="40" w:type="dxa"/>
              <w:right w:w="20" w:type="dxa"/>
            </w:tcMar>
            <w:vAlign w:val="bottom"/>
          </w:tcPr>
          <w:p w14:paraId="7C208EA4" w14:textId="77777777" w:rsidR="00834A75" w:rsidRDefault="00834A75">
            <w:pPr>
              <w:jc w:val="right"/>
              <w:rPr>
                <w:rFonts w:ascii="宋体"/>
              </w:rPr>
            </w:pPr>
          </w:p>
        </w:tc>
        <w:tc>
          <w:tcPr>
            <w:tcW w:w="0" w:type="auto"/>
            <w:gridSpan w:val="3"/>
            <w:shd w:val="clear" w:color="auto" w:fill="FFFFFF"/>
            <w:tcMar>
              <w:top w:w="0" w:type="dxa"/>
              <w:left w:w="20" w:type="dxa"/>
              <w:bottom w:w="0" w:type="dxa"/>
              <w:right w:w="20" w:type="dxa"/>
            </w:tcMar>
            <w:vAlign w:val="bottom"/>
          </w:tcPr>
          <w:p w14:paraId="7C208EA5" w14:textId="77777777" w:rsidR="00834A75" w:rsidRDefault="00834A75">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C208EA6" w14:textId="77777777" w:rsidR="00834A75" w:rsidRDefault="00A6708C">
            <w:pPr>
              <w:jc w:val="right"/>
              <w:textAlignment w:val="bottom"/>
            </w:pPr>
            <w:r>
              <w:rPr>
                <w:rFonts w:ascii="sans-serif" w:eastAsia="sans-serif" w:hAnsi="sans-serif" w:cs="sans-serif"/>
                <w:color w:val="000000"/>
                <w:sz w:val="20"/>
                <w:szCs w:val="20"/>
              </w:rPr>
              <w:t>36.1 </w:t>
            </w:r>
          </w:p>
        </w:tc>
        <w:tc>
          <w:tcPr>
            <w:tcW w:w="0" w:type="auto"/>
            <w:tcBorders>
              <w:top w:val="single" w:sz="8" w:space="0" w:color="000000"/>
            </w:tcBorders>
            <w:shd w:val="clear" w:color="auto" w:fill="FFFFFF"/>
            <w:tcMar>
              <w:top w:w="40" w:type="dxa"/>
              <w:left w:w="0" w:type="dxa"/>
              <w:bottom w:w="40" w:type="dxa"/>
              <w:right w:w="20" w:type="dxa"/>
            </w:tcMar>
            <w:vAlign w:val="bottom"/>
          </w:tcPr>
          <w:p w14:paraId="7C208EA7" w14:textId="77777777" w:rsidR="00834A75" w:rsidRDefault="00834A75">
            <w:pPr>
              <w:jc w:val="right"/>
              <w:rPr>
                <w:rFonts w:ascii="宋体"/>
              </w:rPr>
            </w:pPr>
          </w:p>
        </w:tc>
        <w:tc>
          <w:tcPr>
            <w:tcW w:w="0" w:type="auto"/>
            <w:shd w:val="clear" w:color="auto" w:fill="auto"/>
            <w:vAlign w:val="bottom"/>
          </w:tcPr>
          <w:p w14:paraId="7C208EA8" w14:textId="77777777" w:rsidR="00834A75" w:rsidRDefault="00834A75">
            <w:pPr>
              <w:rPr>
                <w:rFonts w:ascii="宋体"/>
                <w:vanish/>
              </w:rPr>
            </w:pPr>
          </w:p>
        </w:tc>
        <w:tc>
          <w:tcPr>
            <w:tcW w:w="0" w:type="auto"/>
            <w:shd w:val="clear" w:color="auto" w:fill="auto"/>
            <w:vAlign w:val="bottom"/>
          </w:tcPr>
          <w:p w14:paraId="7C208EA9" w14:textId="77777777" w:rsidR="00834A75" w:rsidRDefault="00834A75">
            <w:pPr>
              <w:rPr>
                <w:rFonts w:ascii="宋体"/>
                <w:vanish/>
              </w:rPr>
            </w:pPr>
          </w:p>
        </w:tc>
        <w:tc>
          <w:tcPr>
            <w:tcW w:w="0" w:type="auto"/>
            <w:gridSpan w:val="3"/>
            <w:shd w:val="clear" w:color="auto" w:fill="auto"/>
            <w:vAlign w:val="bottom"/>
          </w:tcPr>
          <w:p w14:paraId="7C208EAA" w14:textId="77777777" w:rsidR="00834A75" w:rsidRDefault="00834A75">
            <w:pPr>
              <w:rPr>
                <w:rFonts w:ascii="宋体"/>
                <w:vanish/>
              </w:rPr>
            </w:pPr>
          </w:p>
        </w:tc>
        <w:tc>
          <w:tcPr>
            <w:tcW w:w="0" w:type="auto"/>
            <w:gridSpan w:val="3"/>
            <w:shd w:val="clear" w:color="auto" w:fill="auto"/>
            <w:vAlign w:val="bottom"/>
          </w:tcPr>
          <w:p w14:paraId="7C208EAB" w14:textId="77777777" w:rsidR="00834A75" w:rsidRDefault="00834A75">
            <w:pPr>
              <w:rPr>
                <w:rFonts w:ascii="宋体"/>
                <w:vanish/>
              </w:rPr>
            </w:pPr>
          </w:p>
        </w:tc>
      </w:tr>
      <w:tr w:rsidR="00834A75" w14:paraId="7C208EB7" w14:textId="77777777">
        <w:tc>
          <w:tcPr>
            <w:tcW w:w="0" w:type="auto"/>
            <w:gridSpan w:val="3"/>
            <w:shd w:val="clear" w:color="auto" w:fill="E2EFD9"/>
            <w:tcMar>
              <w:top w:w="40" w:type="dxa"/>
              <w:left w:w="20" w:type="dxa"/>
              <w:bottom w:w="40" w:type="dxa"/>
              <w:right w:w="20" w:type="dxa"/>
            </w:tcMar>
            <w:vAlign w:val="bottom"/>
          </w:tcPr>
          <w:p w14:paraId="7C208EAD" w14:textId="77777777" w:rsidR="00834A75" w:rsidRDefault="00A6708C">
            <w:pPr>
              <w:textAlignment w:val="bottom"/>
            </w:pPr>
            <w:r>
              <w:rPr>
                <w:rFonts w:ascii="sans-serif" w:eastAsia="sans-serif" w:hAnsi="sans-serif" w:cs="sans-serif"/>
                <w:color w:val="000000"/>
                <w:sz w:val="20"/>
                <w:szCs w:val="20"/>
              </w:rPr>
              <w:t>Income tax expense</w:t>
            </w:r>
          </w:p>
        </w:tc>
        <w:tc>
          <w:tcPr>
            <w:tcW w:w="0" w:type="auto"/>
            <w:gridSpan w:val="2"/>
            <w:shd w:val="clear" w:color="auto" w:fill="E2EFD9"/>
            <w:tcMar>
              <w:top w:w="40" w:type="dxa"/>
              <w:left w:w="20" w:type="dxa"/>
              <w:bottom w:w="40" w:type="dxa"/>
              <w:right w:w="0" w:type="dxa"/>
            </w:tcMar>
            <w:vAlign w:val="bottom"/>
          </w:tcPr>
          <w:p w14:paraId="7C208EAE" w14:textId="77777777" w:rsidR="00834A75" w:rsidRDefault="00A6708C">
            <w:pPr>
              <w:jc w:val="right"/>
              <w:textAlignment w:val="bottom"/>
            </w:pPr>
            <w:r>
              <w:rPr>
                <w:rFonts w:ascii="sans-serif" w:eastAsia="sans-serif" w:hAnsi="sans-serif" w:cs="sans-serif"/>
                <w:color w:val="000000"/>
                <w:sz w:val="20"/>
                <w:szCs w:val="20"/>
              </w:rPr>
              <w:t>2.3 </w:t>
            </w:r>
          </w:p>
        </w:tc>
        <w:tc>
          <w:tcPr>
            <w:tcW w:w="0" w:type="auto"/>
            <w:shd w:val="clear" w:color="auto" w:fill="E2EFD9"/>
            <w:tcMar>
              <w:top w:w="40" w:type="dxa"/>
              <w:left w:w="0" w:type="dxa"/>
              <w:bottom w:w="40" w:type="dxa"/>
              <w:right w:w="20" w:type="dxa"/>
            </w:tcMar>
            <w:vAlign w:val="bottom"/>
          </w:tcPr>
          <w:p w14:paraId="7C208EAF" w14:textId="77777777" w:rsidR="00834A75" w:rsidRDefault="00834A75">
            <w:pPr>
              <w:jc w:val="right"/>
              <w:rPr>
                <w:rFonts w:ascii="宋体"/>
              </w:rPr>
            </w:pPr>
          </w:p>
        </w:tc>
        <w:tc>
          <w:tcPr>
            <w:tcW w:w="0" w:type="auto"/>
            <w:gridSpan w:val="3"/>
            <w:shd w:val="clear" w:color="auto" w:fill="E2EFD9"/>
            <w:tcMar>
              <w:top w:w="0" w:type="dxa"/>
              <w:left w:w="20" w:type="dxa"/>
              <w:bottom w:w="0" w:type="dxa"/>
              <w:right w:w="20" w:type="dxa"/>
            </w:tcMar>
            <w:vAlign w:val="bottom"/>
          </w:tcPr>
          <w:p w14:paraId="7C208EB0" w14:textId="77777777" w:rsidR="00834A75" w:rsidRDefault="00834A75">
            <w:pPr>
              <w:rPr>
                <w:rFonts w:ascii="宋体"/>
              </w:rPr>
            </w:pPr>
          </w:p>
        </w:tc>
        <w:tc>
          <w:tcPr>
            <w:tcW w:w="0" w:type="auto"/>
            <w:gridSpan w:val="2"/>
            <w:shd w:val="clear" w:color="auto" w:fill="E2EFD9"/>
            <w:tcMar>
              <w:top w:w="40" w:type="dxa"/>
              <w:left w:w="20" w:type="dxa"/>
              <w:bottom w:w="40" w:type="dxa"/>
              <w:right w:w="0" w:type="dxa"/>
            </w:tcMar>
            <w:vAlign w:val="bottom"/>
          </w:tcPr>
          <w:p w14:paraId="7C208EB1" w14:textId="77777777" w:rsidR="00834A75" w:rsidRDefault="00A6708C">
            <w:pPr>
              <w:jc w:val="right"/>
              <w:textAlignment w:val="bottom"/>
            </w:pPr>
            <w:r>
              <w:rPr>
                <w:rFonts w:ascii="sans-serif" w:eastAsia="sans-serif" w:hAnsi="sans-serif" w:cs="sans-serif"/>
                <w:color w:val="000000"/>
                <w:sz w:val="20"/>
                <w:szCs w:val="20"/>
              </w:rPr>
              <w:t>2.3 </w:t>
            </w:r>
          </w:p>
        </w:tc>
        <w:tc>
          <w:tcPr>
            <w:tcW w:w="0" w:type="auto"/>
            <w:shd w:val="clear" w:color="auto" w:fill="E2EFD9"/>
            <w:tcMar>
              <w:top w:w="40" w:type="dxa"/>
              <w:left w:w="0" w:type="dxa"/>
              <w:bottom w:w="40" w:type="dxa"/>
              <w:right w:w="20" w:type="dxa"/>
            </w:tcMar>
            <w:vAlign w:val="bottom"/>
          </w:tcPr>
          <w:p w14:paraId="7C208EB2" w14:textId="77777777" w:rsidR="00834A75" w:rsidRDefault="00834A75">
            <w:pPr>
              <w:jc w:val="right"/>
              <w:rPr>
                <w:rFonts w:ascii="宋体"/>
              </w:rPr>
            </w:pPr>
          </w:p>
        </w:tc>
        <w:tc>
          <w:tcPr>
            <w:tcW w:w="0" w:type="auto"/>
            <w:shd w:val="clear" w:color="auto" w:fill="auto"/>
            <w:vAlign w:val="bottom"/>
          </w:tcPr>
          <w:p w14:paraId="7C208EB3" w14:textId="77777777" w:rsidR="00834A75" w:rsidRDefault="00834A75">
            <w:pPr>
              <w:rPr>
                <w:rFonts w:ascii="宋体"/>
                <w:vanish/>
              </w:rPr>
            </w:pPr>
          </w:p>
        </w:tc>
        <w:tc>
          <w:tcPr>
            <w:tcW w:w="0" w:type="auto"/>
            <w:shd w:val="clear" w:color="auto" w:fill="auto"/>
            <w:vAlign w:val="bottom"/>
          </w:tcPr>
          <w:p w14:paraId="7C208EB4" w14:textId="77777777" w:rsidR="00834A75" w:rsidRDefault="00834A75">
            <w:pPr>
              <w:rPr>
                <w:rFonts w:ascii="宋体"/>
                <w:vanish/>
              </w:rPr>
            </w:pPr>
          </w:p>
        </w:tc>
        <w:tc>
          <w:tcPr>
            <w:tcW w:w="0" w:type="auto"/>
            <w:gridSpan w:val="3"/>
            <w:shd w:val="clear" w:color="auto" w:fill="auto"/>
            <w:vAlign w:val="bottom"/>
          </w:tcPr>
          <w:p w14:paraId="7C208EB5" w14:textId="77777777" w:rsidR="00834A75" w:rsidRDefault="00834A75">
            <w:pPr>
              <w:rPr>
                <w:rFonts w:ascii="宋体"/>
                <w:vanish/>
              </w:rPr>
            </w:pPr>
          </w:p>
        </w:tc>
        <w:tc>
          <w:tcPr>
            <w:tcW w:w="0" w:type="auto"/>
            <w:gridSpan w:val="3"/>
            <w:shd w:val="clear" w:color="auto" w:fill="auto"/>
            <w:vAlign w:val="bottom"/>
          </w:tcPr>
          <w:p w14:paraId="7C208EB6" w14:textId="77777777" w:rsidR="00834A75" w:rsidRDefault="00834A75">
            <w:pPr>
              <w:rPr>
                <w:rFonts w:ascii="宋体"/>
                <w:vanish/>
              </w:rPr>
            </w:pPr>
          </w:p>
        </w:tc>
      </w:tr>
      <w:tr w:rsidR="00834A75" w14:paraId="7C208EC2" w14:textId="77777777">
        <w:tc>
          <w:tcPr>
            <w:tcW w:w="0" w:type="auto"/>
            <w:gridSpan w:val="3"/>
            <w:shd w:val="clear" w:color="auto" w:fill="FFFFFF"/>
            <w:tcMar>
              <w:top w:w="40" w:type="dxa"/>
              <w:left w:w="20" w:type="dxa"/>
              <w:bottom w:w="40" w:type="dxa"/>
              <w:right w:w="20" w:type="dxa"/>
            </w:tcMar>
            <w:vAlign w:val="bottom"/>
          </w:tcPr>
          <w:p w14:paraId="7C208EB8" w14:textId="77777777" w:rsidR="00834A75" w:rsidRDefault="00A6708C">
            <w:pPr>
              <w:textAlignment w:val="bottom"/>
            </w:pPr>
            <w:r>
              <w:rPr>
                <w:rFonts w:ascii="sans-serif" w:eastAsia="sans-serif" w:hAnsi="sans-serif" w:cs="sans-serif"/>
                <w:color w:val="000000"/>
                <w:sz w:val="20"/>
                <w:szCs w:val="20"/>
              </w:rPr>
              <w:t>Net income</w:t>
            </w:r>
          </w:p>
        </w:tc>
        <w:tc>
          <w:tcPr>
            <w:tcW w:w="0" w:type="auto"/>
            <w:gridSpan w:val="2"/>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C208EB9" w14:textId="77777777" w:rsidR="00834A75" w:rsidRDefault="00A6708C">
            <w:pPr>
              <w:jc w:val="right"/>
              <w:textAlignment w:val="bottom"/>
            </w:pPr>
            <w:r>
              <w:rPr>
                <w:rFonts w:ascii="sans-serif" w:eastAsia="sans-serif" w:hAnsi="sans-serif" w:cs="sans-serif"/>
                <w:color w:val="000000"/>
                <w:sz w:val="20"/>
                <w:szCs w:val="20"/>
              </w:rPr>
              <w:t>19.5 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C208EBA" w14:textId="77777777" w:rsidR="00834A75" w:rsidRDefault="00A6708C">
            <w:pPr>
              <w:jc w:val="right"/>
              <w:textAlignment w:val="bottom"/>
            </w:pPr>
            <w:r>
              <w:rPr>
                <w:rFonts w:ascii="sans-serif" w:eastAsia="sans-serif" w:hAnsi="sans-serif" w:cs="sans-serif"/>
                <w:color w:val="000000"/>
                <w:sz w:val="20"/>
                <w:szCs w:val="20"/>
              </w:rPr>
              <w:t>%</w:t>
            </w:r>
          </w:p>
        </w:tc>
        <w:tc>
          <w:tcPr>
            <w:tcW w:w="0" w:type="auto"/>
            <w:gridSpan w:val="3"/>
            <w:shd w:val="clear" w:color="auto" w:fill="FFFFFF"/>
            <w:tcMar>
              <w:top w:w="0" w:type="dxa"/>
              <w:left w:w="20" w:type="dxa"/>
              <w:bottom w:w="0" w:type="dxa"/>
              <w:right w:w="20" w:type="dxa"/>
            </w:tcMar>
            <w:vAlign w:val="bottom"/>
          </w:tcPr>
          <w:p w14:paraId="7C208EBB" w14:textId="77777777" w:rsidR="00834A75" w:rsidRDefault="00834A75">
            <w:pPr>
              <w:rPr>
                <w:rFonts w:ascii="宋体"/>
              </w:rPr>
            </w:pPr>
          </w:p>
        </w:tc>
        <w:tc>
          <w:tcPr>
            <w:tcW w:w="0" w:type="auto"/>
            <w:gridSpan w:val="2"/>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C208EBC" w14:textId="77777777" w:rsidR="00834A75" w:rsidRDefault="00A6708C">
            <w:pPr>
              <w:jc w:val="right"/>
              <w:textAlignment w:val="bottom"/>
            </w:pPr>
            <w:r>
              <w:rPr>
                <w:rFonts w:ascii="sans-serif" w:eastAsia="sans-serif" w:hAnsi="sans-serif" w:cs="sans-serif"/>
                <w:color w:val="000000"/>
                <w:sz w:val="20"/>
                <w:szCs w:val="20"/>
              </w:rPr>
              <w:t>33.8 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C208EBD" w14:textId="77777777" w:rsidR="00834A75" w:rsidRDefault="00A6708C">
            <w:pPr>
              <w:jc w:val="right"/>
              <w:textAlignment w:val="bottom"/>
            </w:pPr>
            <w:r>
              <w:rPr>
                <w:rFonts w:ascii="sans-serif" w:eastAsia="sans-serif" w:hAnsi="sans-serif" w:cs="sans-serif"/>
                <w:color w:val="000000"/>
                <w:sz w:val="20"/>
                <w:szCs w:val="20"/>
              </w:rPr>
              <w:t>%</w:t>
            </w:r>
          </w:p>
        </w:tc>
        <w:tc>
          <w:tcPr>
            <w:tcW w:w="0" w:type="auto"/>
            <w:shd w:val="clear" w:color="auto" w:fill="auto"/>
            <w:vAlign w:val="bottom"/>
          </w:tcPr>
          <w:p w14:paraId="7C208EBE" w14:textId="77777777" w:rsidR="00834A75" w:rsidRDefault="00834A75">
            <w:pPr>
              <w:rPr>
                <w:rFonts w:ascii="宋体"/>
                <w:vanish/>
              </w:rPr>
            </w:pPr>
          </w:p>
        </w:tc>
        <w:tc>
          <w:tcPr>
            <w:tcW w:w="0" w:type="auto"/>
            <w:shd w:val="clear" w:color="auto" w:fill="auto"/>
            <w:vAlign w:val="bottom"/>
          </w:tcPr>
          <w:p w14:paraId="7C208EBF" w14:textId="77777777" w:rsidR="00834A75" w:rsidRDefault="00834A75">
            <w:pPr>
              <w:rPr>
                <w:rFonts w:ascii="宋体"/>
                <w:vanish/>
              </w:rPr>
            </w:pPr>
          </w:p>
        </w:tc>
        <w:tc>
          <w:tcPr>
            <w:tcW w:w="0" w:type="auto"/>
            <w:gridSpan w:val="3"/>
            <w:shd w:val="clear" w:color="auto" w:fill="auto"/>
            <w:vAlign w:val="bottom"/>
          </w:tcPr>
          <w:p w14:paraId="7C208EC0" w14:textId="77777777" w:rsidR="00834A75" w:rsidRDefault="00834A75">
            <w:pPr>
              <w:rPr>
                <w:rFonts w:ascii="宋体"/>
                <w:vanish/>
              </w:rPr>
            </w:pPr>
          </w:p>
        </w:tc>
        <w:tc>
          <w:tcPr>
            <w:tcW w:w="0" w:type="auto"/>
            <w:gridSpan w:val="3"/>
            <w:shd w:val="clear" w:color="auto" w:fill="auto"/>
            <w:vAlign w:val="bottom"/>
          </w:tcPr>
          <w:p w14:paraId="7C208EC1" w14:textId="77777777" w:rsidR="00834A75" w:rsidRDefault="00834A75">
            <w:pPr>
              <w:rPr>
                <w:rFonts w:ascii="宋体"/>
                <w:vanish/>
              </w:rPr>
            </w:pPr>
          </w:p>
        </w:tc>
      </w:tr>
    </w:tbl>
    <w:p w14:paraId="7C208EC3" w14:textId="77777777" w:rsidR="00834A75" w:rsidRDefault="00A6708C">
      <w:pPr>
        <w:spacing w:before="240" w:after="60"/>
        <w:jc w:val="both"/>
      </w:pPr>
      <w:r>
        <w:rPr>
          <w:rFonts w:ascii="sans-serif" w:eastAsia="sans-serif" w:hAnsi="sans-serif" w:cs="sans-serif"/>
          <w:b/>
          <w:bCs/>
          <w:color w:val="76B900"/>
          <w:sz w:val="20"/>
          <w:szCs w:val="20"/>
        </w:rPr>
        <w:t>Revenue</w:t>
      </w:r>
    </w:p>
    <w:p w14:paraId="7C208EC4" w14:textId="77777777" w:rsidR="00834A75" w:rsidRDefault="00A6708C">
      <w:pPr>
        <w:spacing w:before="120" w:after="120"/>
        <w:jc w:val="both"/>
      </w:pPr>
      <w:r>
        <w:rPr>
          <w:rFonts w:ascii="sans-serif" w:eastAsia="sans-serif" w:hAnsi="sans-serif" w:cs="sans-serif"/>
          <w:b/>
          <w:bCs/>
          <w:color w:val="000000"/>
          <w:sz w:val="20"/>
          <w:szCs w:val="20"/>
        </w:rPr>
        <w:t>Revenue by Reportable Segments</w:t>
      </w:r>
    </w:p>
    <w:tbl>
      <w:tblPr>
        <w:tblW w:w="5000" w:type="pct"/>
        <w:tblCellMar>
          <w:top w:w="15" w:type="dxa"/>
          <w:left w:w="15" w:type="dxa"/>
          <w:bottom w:w="15" w:type="dxa"/>
          <w:right w:w="15" w:type="dxa"/>
        </w:tblCellMar>
        <w:tblLook w:val="04A0" w:firstRow="1" w:lastRow="0" w:firstColumn="1" w:lastColumn="0" w:noHBand="0" w:noVBand="1"/>
      </w:tblPr>
      <w:tblGrid>
        <w:gridCol w:w="38"/>
        <w:gridCol w:w="4127"/>
        <w:gridCol w:w="36"/>
        <w:gridCol w:w="122"/>
        <w:gridCol w:w="612"/>
        <w:gridCol w:w="36"/>
        <w:gridCol w:w="36"/>
        <w:gridCol w:w="36"/>
        <w:gridCol w:w="36"/>
        <w:gridCol w:w="122"/>
        <w:gridCol w:w="549"/>
        <w:gridCol w:w="36"/>
        <w:gridCol w:w="36"/>
        <w:gridCol w:w="36"/>
        <w:gridCol w:w="36"/>
        <w:gridCol w:w="122"/>
        <w:gridCol w:w="501"/>
        <w:gridCol w:w="36"/>
        <w:gridCol w:w="36"/>
        <w:gridCol w:w="36"/>
        <w:gridCol w:w="36"/>
        <w:gridCol w:w="75"/>
        <w:gridCol w:w="573"/>
        <w:gridCol w:w="163"/>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tblGrid>
      <w:tr w:rsidR="00834A75" w14:paraId="7C208EE5" w14:textId="77777777">
        <w:tc>
          <w:tcPr>
            <w:tcW w:w="50" w:type="pct"/>
            <w:shd w:val="clear" w:color="auto" w:fill="auto"/>
            <w:vAlign w:val="bottom"/>
          </w:tcPr>
          <w:p w14:paraId="7C208EC5" w14:textId="77777777" w:rsidR="00834A75" w:rsidRDefault="00834A75">
            <w:pPr>
              <w:rPr>
                <w:rFonts w:ascii="宋体"/>
              </w:rPr>
            </w:pPr>
          </w:p>
        </w:tc>
        <w:tc>
          <w:tcPr>
            <w:tcW w:w="2861" w:type="pct"/>
            <w:shd w:val="clear" w:color="auto" w:fill="auto"/>
            <w:vAlign w:val="bottom"/>
          </w:tcPr>
          <w:p w14:paraId="7C208EC6" w14:textId="77777777" w:rsidR="00834A75" w:rsidRDefault="00834A75">
            <w:pPr>
              <w:rPr>
                <w:rFonts w:ascii="宋体"/>
              </w:rPr>
            </w:pPr>
          </w:p>
        </w:tc>
        <w:tc>
          <w:tcPr>
            <w:tcW w:w="5" w:type="pct"/>
            <w:shd w:val="clear" w:color="auto" w:fill="auto"/>
            <w:vAlign w:val="bottom"/>
          </w:tcPr>
          <w:p w14:paraId="7C208EC7" w14:textId="77777777" w:rsidR="00834A75" w:rsidRDefault="00834A75">
            <w:pPr>
              <w:rPr>
                <w:rFonts w:ascii="宋体"/>
              </w:rPr>
            </w:pPr>
          </w:p>
        </w:tc>
        <w:tc>
          <w:tcPr>
            <w:tcW w:w="50" w:type="pct"/>
            <w:shd w:val="clear" w:color="auto" w:fill="auto"/>
            <w:vAlign w:val="bottom"/>
          </w:tcPr>
          <w:p w14:paraId="7C208EC8" w14:textId="77777777" w:rsidR="00834A75" w:rsidRDefault="00834A75">
            <w:pPr>
              <w:rPr>
                <w:rFonts w:ascii="宋体"/>
              </w:rPr>
            </w:pPr>
          </w:p>
        </w:tc>
        <w:tc>
          <w:tcPr>
            <w:tcW w:w="493" w:type="pct"/>
            <w:shd w:val="clear" w:color="auto" w:fill="auto"/>
            <w:vAlign w:val="bottom"/>
          </w:tcPr>
          <w:p w14:paraId="7C208EC9" w14:textId="77777777" w:rsidR="00834A75" w:rsidRDefault="00834A75">
            <w:pPr>
              <w:rPr>
                <w:rFonts w:ascii="宋体"/>
              </w:rPr>
            </w:pPr>
          </w:p>
        </w:tc>
        <w:tc>
          <w:tcPr>
            <w:tcW w:w="5" w:type="pct"/>
            <w:shd w:val="clear" w:color="auto" w:fill="auto"/>
            <w:vAlign w:val="bottom"/>
          </w:tcPr>
          <w:p w14:paraId="7C208ECA" w14:textId="77777777" w:rsidR="00834A75" w:rsidRDefault="00834A75">
            <w:pPr>
              <w:rPr>
                <w:rFonts w:ascii="宋体"/>
              </w:rPr>
            </w:pPr>
          </w:p>
        </w:tc>
        <w:tc>
          <w:tcPr>
            <w:tcW w:w="5" w:type="pct"/>
            <w:shd w:val="clear" w:color="auto" w:fill="auto"/>
            <w:vAlign w:val="bottom"/>
          </w:tcPr>
          <w:p w14:paraId="7C208ECB" w14:textId="77777777" w:rsidR="00834A75" w:rsidRDefault="00834A75">
            <w:pPr>
              <w:rPr>
                <w:rFonts w:ascii="宋体"/>
              </w:rPr>
            </w:pPr>
          </w:p>
        </w:tc>
        <w:tc>
          <w:tcPr>
            <w:tcW w:w="26" w:type="pct"/>
            <w:shd w:val="clear" w:color="auto" w:fill="auto"/>
            <w:vAlign w:val="bottom"/>
          </w:tcPr>
          <w:p w14:paraId="7C208ECC" w14:textId="77777777" w:rsidR="00834A75" w:rsidRDefault="00834A75">
            <w:pPr>
              <w:rPr>
                <w:rFonts w:ascii="宋体"/>
              </w:rPr>
            </w:pPr>
          </w:p>
        </w:tc>
        <w:tc>
          <w:tcPr>
            <w:tcW w:w="5" w:type="pct"/>
            <w:shd w:val="clear" w:color="auto" w:fill="auto"/>
            <w:vAlign w:val="bottom"/>
          </w:tcPr>
          <w:p w14:paraId="7C208ECD" w14:textId="77777777" w:rsidR="00834A75" w:rsidRDefault="00834A75">
            <w:pPr>
              <w:rPr>
                <w:rFonts w:ascii="宋体"/>
              </w:rPr>
            </w:pPr>
          </w:p>
        </w:tc>
        <w:tc>
          <w:tcPr>
            <w:tcW w:w="50" w:type="pct"/>
            <w:shd w:val="clear" w:color="auto" w:fill="auto"/>
            <w:vAlign w:val="bottom"/>
          </w:tcPr>
          <w:p w14:paraId="7C208ECE" w14:textId="77777777" w:rsidR="00834A75" w:rsidRDefault="00834A75">
            <w:pPr>
              <w:rPr>
                <w:rFonts w:ascii="宋体"/>
              </w:rPr>
            </w:pPr>
          </w:p>
        </w:tc>
        <w:tc>
          <w:tcPr>
            <w:tcW w:w="493" w:type="pct"/>
            <w:shd w:val="clear" w:color="auto" w:fill="auto"/>
            <w:vAlign w:val="bottom"/>
          </w:tcPr>
          <w:p w14:paraId="7C208ECF" w14:textId="77777777" w:rsidR="00834A75" w:rsidRDefault="00834A75">
            <w:pPr>
              <w:rPr>
                <w:rFonts w:ascii="宋体"/>
              </w:rPr>
            </w:pPr>
          </w:p>
        </w:tc>
        <w:tc>
          <w:tcPr>
            <w:tcW w:w="5" w:type="pct"/>
            <w:shd w:val="clear" w:color="auto" w:fill="auto"/>
            <w:vAlign w:val="bottom"/>
          </w:tcPr>
          <w:p w14:paraId="7C208ED0" w14:textId="77777777" w:rsidR="00834A75" w:rsidRDefault="00834A75">
            <w:pPr>
              <w:rPr>
                <w:rFonts w:ascii="宋体"/>
              </w:rPr>
            </w:pPr>
          </w:p>
        </w:tc>
        <w:tc>
          <w:tcPr>
            <w:tcW w:w="5" w:type="pct"/>
            <w:shd w:val="clear" w:color="auto" w:fill="auto"/>
            <w:vAlign w:val="bottom"/>
          </w:tcPr>
          <w:p w14:paraId="7C208ED1" w14:textId="77777777" w:rsidR="00834A75" w:rsidRDefault="00834A75">
            <w:pPr>
              <w:rPr>
                <w:rFonts w:ascii="宋体"/>
              </w:rPr>
            </w:pPr>
          </w:p>
        </w:tc>
        <w:tc>
          <w:tcPr>
            <w:tcW w:w="26" w:type="pct"/>
            <w:shd w:val="clear" w:color="auto" w:fill="auto"/>
            <w:vAlign w:val="bottom"/>
          </w:tcPr>
          <w:p w14:paraId="7C208ED2" w14:textId="77777777" w:rsidR="00834A75" w:rsidRDefault="00834A75">
            <w:pPr>
              <w:rPr>
                <w:rFonts w:ascii="宋体"/>
              </w:rPr>
            </w:pPr>
          </w:p>
        </w:tc>
        <w:tc>
          <w:tcPr>
            <w:tcW w:w="5" w:type="pct"/>
            <w:shd w:val="clear" w:color="auto" w:fill="auto"/>
            <w:vAlign w:val="bottom"/>
          </w:tcPr>
          <w:p w14:paraId="7C208ED3" w14:textId="77777777" w:rsidR="00834A75" w:rsidRDefault="00834A75">
            <w:pPr>
              <w:rPr>
                <w:rFonts w:ascii="宋体"/>
              </w:rPr>
            </w:pPr>
          </w:p>
        </w:tc>
        <w:tc>
          <w:tcPr>
            <w:tcW w:w="50" w:type="pct"/>
            <w:shd w:val="clear" w:color="auto" w:fill="auto"/>
            <w:vAlign w:val="bottom"/>
          </w:tcPr>
          <w:p w14:paraId="7C208ED4" w14:textId="77777777" w:rsidR="00834A75" w:rsidRDefault="00834A75">
            <w:pPr>
              <w:rPr>
                <w:rFonts w:ascii="宋体"/>
              </w:rPr>
            </w:pPr>
          </w:p>
        </w:tc>
        <w:tc>
          <w:tcPr>
            <w:tcW w:w="383" w:type="pct"/>
            <w:shd w:val="clear" w:color="auto" w:fill="auto"/>
            <w:vAlign w:val="bottom"/>
          </w:tcPr>
          <w:p w14:paraId="7C208ED5" w14:textId="77777777" w:rsidR="00834A75" w:rsidRDefault="00834A75">
            <w:pPr>
              <w:rPr>
                <w:rFonts w:ascii="宋体"/>
              </w:rPr>
            </w:pPr>
          </w:p>
        </w:tc>
        <w:tc>
          <w:tcPr>
            <w:tcW w:w="5" w:type="pct"/>
            <w:shd w:val="clear" w:color="auto" w:fill="auto"/>
            <w:vAlign w:val="bottom"/>
          </w:tcPr>
          <w:p w14:paraId="7C208ED6" w14:textId="77777777" w:rsidR="00834A75" w:rsidRDefault="00834A75">
            <w:pPr>
              <w:rPr>
                <w:rFonts w:ascii="宋体"/>
              </w:rPr>
            </w:pPr>
          </w:p>
        </w:tc>
        <w:tc>
          <w:tcPr>
            <w:tcW w:w="5" w:type="pct"/>
            <w:shd w:val="clear" w:color="auto" w:fill="auto"/>
            <w:vAlign w:val="bottom"/>
          </w:tcPr>
          <w:p w14:paraId="7C208ED7" w14:textId="77777777" w:rsidR="00834A75" w:rsidRDefault="00834A75">
            <w:pPr>
              <w:rPr>
                <w:rFonts w:ascii="宋体"/>
              </w:rPr>
            </w:pPr>
          </w:p>
        </w:tc>
        <w:tc>
          <w:tcPr>
            <w:tcW w:w="26" w:type="pct"/>
            <w:shd w:val="clear" w:color="auto" w:fill="auto"/>
            <w:vAlign w:val="bottom"/>
          </w:tcPr>
          <w:p w14:paraId="7C208ED8" w14:textId="77777777" w:rsidR="00834A75" w:rsidRDefault="00834A75">
            <w:pPr>
              <w:rPr>
                <w:rFonts w:ascii="宋体"/>
              </w:rPr>
            </w:pPr>
          </w:p>
        </w:tc>
        <w:tc>
          <w:tcPr>
            <w:tcW w:w="5" w:type="pct"/>
            <w:shd w:val="clear" w:color="auto" w:fill="auto"/>
            <w:vAlign w:val="bottom"/>
          </w:tcPr>
          <w:p w14:paraId="7C208ED9" w14:textId="77777777" w:rsidR="00834A75" w:rsidRDefault="00834A75">
            <w:pPr>
              <w:rPr>
                <w:rFonts w:ascii="宋体"/>
              </w:rPr>
            </w:pPr>
          </w:p>
        </w:tc>
        <w:tc>
          <w:tcPr>
            <w:tcW w:w="50" w:type="pct"/>
            <w:shd w:val="clear" w:color="auto" w:fill="auto"/>
            <w:vAlign w:val="bottom"/>
          </w:tcPr>
          <w:p w14:paraId="7C208EDA" w14:textId="77777777" w:rsidR="00834A75" w:rsidRDefault="00834A75">
            <w:pPr>
              <w:rPr>
                <w:rFonts w:ascii="宋体"/>
              </w:rPr>
            </w:pPr>
          </w:p>
        </w:tc>
        <w:tc>
          <w:tcPr>
            <w:tcW w:w="383" w:type="pct"/>
            <w:shd w:val="clear" w:color="auto" w:fill="auto"/>
            <w:vAlign w:val="bottom"/>
          </w:tcPr>
          <w:p w14:paraId="7C208EDB" w14:textId="77777777" w:rsidR="00834A75" w:rsidRDefault="00834A75">
            <w:pPr>
              <w:rPr>
                <w:rFonts w:ascii="宋体"/>
              </w:rPr>
            </w:pPr>
          </w:p>
        </w:tc>
        <w:tc>
          <w:tcPr>
            <w:tcW w:w="5" w:type="pct"/>
            <w:shd w:val="clear" w:color="auto" w:fill="auto"/>
            <w:vAlign w:val="bottom"/>
          </w:tcPr>
          <w:p w14:paraId="7C208EDC" w14:textId="77777777" w:rsidR="00834A75" w:rsidRDefault="00834A75">
            <w:pPr>
              <w:rPr>
                <w:rFonts w:ascii="宋体"/>
              </w:rPr>
            </w:pPr>
          </w:p>
        </w:tc>
        <w:tc>
          <w:tcPr>
            <w:tcW w:w="0" w:type="auto"/>
            <w:gridSpan w:val="3"/>
            <w:shd w:val="clear" w:color="auto" w:fill="auto"/>
            <w:vAlign w:val="bottom"/>
          </w:tcPr>
          <w:p w14:paraId="7C208EDD" w14:textId="77777777" w:rsidR="00834A75" w:rsidRDefault="00834A75">
            <w:pPr>
              <w:rPr>
                <w:rFonts w:ascii="宋体"/>
                <w:vanish/>
              </w:rPr>
            </w:pPr>
          </w:p>
        </w:tc>
        <w:tc>
          <w:tcPr>
            <w:tcW w:w="0" w:type="auto"/>
            <w:gridSpan w:val="3"/>
            <w:shd w:val="clear" w:color="auto" w:fill="auto"/>
            <w:vAlign w:val="bottom"/>
          </w:tcPr>
          <w:p w14:paraId="7C208EDE" w14:textId="77777777" w:rsidR="00834A75" w:rsidRDefault="00834A75">
            <w:pPr>
              <w:rPr>
                <w:rFonts w:ascii="宋体"/>
                <w:vanish/>
              </w:rPr>
            </w:pPr>
          </w:p>
        </w:tc>
        <w:tc>
          <w:tcPr>
            <w:tcW w:w="0" w:type="auto"/>
            <w:gridSpan w:val="3"/>
            <w:shd w:val="clear" w:color="auto" w:fill="auto"/>
            <w:vAlign w:val="bottom"/>
          </w:tcPr>
          <w:p w14:paraId="7C208EDF" w14:textId="77777777" w:rsidR="00834A75" w:rsidRDefault="00834A75">
            <w:pPr>
              <w:rPr>
                <w:rFonts w:ascii="宋体"/>
                <w:vanish/>
              </w:rPr>
            </w:pPr>
          </w:p>
        </w:tc>
        <w:tc>
          <w:tcPr>
            <w:tcW w:w="0" w:type="auto"/>
            <w:gridSpan w:val="3"/>
            <w:shd w:val="clear" w:color="auto" w:fill="auto"/>
            <w:vAlign w:val="bottom"/>
          </w:tcPr>
          <w:p w14:paraId="7C208EE0" w14:textId="77777777" w:rsidR="00834A75" w:rsidRDefault="00834A75">
            <w:pPr>
              <w:rPr>
                <w:rFonts w:ascii="宋体"/>
                <w:vanish/>
              </w:rPr>
            </w:pPr>
          </w:p>
        </w:tc>
        <w:tc>
          <w:tcPr>
            <w:tcW w:w="0" w:type="auto"/>
            <w:gridSpan w:val="3"/>
            <w:shd w:val="clear" w:color="auto" w:fill="auto"/>
            <w:vAlign w:val="bottom"/>
          </w:tcPr>
          <w:p w14:paraId="7C208EE1" w14:textId="77777777" w:rsidR="00834A75" w:rsidRDefault="00834A75">
            <w:pPr>
              <w:rPr>
                <w:rFonts w:ascii="宋体"/>
                <w:vanish/>
              </w:rPr>
            </w:pPr>
          </w:p>
        </w:tc>
        <w:tc>
          <w:tcPr>
            <w:tcW w:w="0" w:type="auto"/>
            <w:gridSpan w:val="3"/>
            <w:shd w:val="clear" w:color="auto" w:fill="auto"/>
            <w:vAlign w:val="bottom"/>
          </w:tcPr>
          <w:p w14:paraId="7C208EE2" w14:textId="77777777" w:rsidR="00834A75" w:rsidRDefault="00834A75">
            <w:pPr>
              <w:rPr>
                <w:rFonts w:ascii="宋体"/>
                <w:vanish/>
              </w:rPr>
            </w:pPr>
          </w:p>
        </w:tc>
        <w:tc>
          <w:tcPr>
            <w:tcW w:w="0" w:type="auto"/>
            <w:gridSpan w:val="3"/>
            <w:shd w:val="clear" w:color="auto" w:fill="auto"/>
            <w:vAlign w:val="bottom"/>
          </w:tcPr>
          <w:p w14:paraId="7C208EE3" w14:textId="77777777" w:rsidR="00834A75" w:rsidRDefault="00834A75">
            <w:pPr>
              <w:rPr>
                <w:rFonts w:ascii="宋体"/>
                <w:vanish/>
              </w:rPr>
            </w:pPr>
          </w:p>
        </w:tc>
        <w:tc>
          <w:tcPr>
            <w:tcW w:w="0" w:type="auto"/>
            <w:gridSpan w:val="3"/>
            <w:shd w:val="clear" w:color="auto" w:fill="auto"/>
            <w:vAlign w:val="bottom"/>
          </w:tcPr>
          <w:p w14:paraId="7C208EE4" w14:textId="77777777" w:rsidR="00834A75" w:rsidRDefault="00834A75">
            <w:pPr>
              <w:rPr>
                <w:rFonts w:ascii="宋体"/>
                <w:vanish/>
              </w:rPr>
            </w:pPr>
          </w:p>
        </w:tc>
      </w:tr>
      <w:tr w:rsidR="00834A75" w14:paraId="7C208EFC" w14:textId="77777777">
        <w:tc>
          <w:tcPr>
            <w:tcW w:w="0" w:type="auto"/>
            <w:gridSpan w:val="3"/>
            <w:shd w:val="clear" w:color="auto" w:fill="auto"/>
            <w:tcMar>
              <w:top w:w="0" w:type="dxa"/>
              <w:left w:w="20" w:type="dxa"/>
              <w:bottom w:w="0" w:type="dxa"/>
              <w:right w:w="20" w:type="dxa"/>
            </w:tcMar>
            <w:vAlign w:val="bottom"/>
          </w:tcPr>
          <w:p w14:paraId="7C208EE6" w14:textId="77777777" w:rsidR="00834A75" w:rsidRDefault="00834A75">
            <w:pPr>
              <w:rPr>
                <w:rFonts w:ascii="宋体"/>
              </w:rPr>
            </w:pPr>
          </w:p>
        </w:tc>
        <w:tc>
          <w:tcPr>
            <w:tcW w:w="0" w:type="auto"/>
            <w:gridSpan w:val="21"/>
            <w:shd w:val="clear" w:color="auto" w:fill="auto"/>
            <w:tcMar>
              <w:top w:w="40" w:type="dxa"/>
              <w:left w:w="20" w:type="dxa"/>
              <w:bottom w:w="40" w:type="dxa"/>
              <w:right w:w="20" w:type="dxa"/>
            </w:tcMar>
            <w:vAlign w:val="bottom"/>
          </w:tcPr>
          <w:p w14:paraId="7C208EE7" w14:textId="77777777" w:rsidR="00834A75" w:rsidRDefault="00A6708C">
            <w:pPr>
              <w:jc w:val="center"/>
              <w:textAlignment w:val="bottom"/>
            </w:pPr>
            <w:r>
              <w:rPr>
                <w:rFonts w:ascii="sans-serif" w:eastAsia="sans-serif" w:hAnsi="sans-serif" w:cs="sans-serif"/>
                <w:b/>
                <w:bCs/>
                <w:color w:val="000000"/>
                <w:sz w:val="20"/>
                <w:szCs w:val="20"/>
              </w:rPr>
              <w:t>Three Months Ended</w:t>
            </w:r>
          </w:p>
        </w:tc>
        <w:tc>
          <w:tcPr>
            <w:tcW w:w="0" w:type="auto"/>
            <w:gridSpan w:val="3"/>
            <w:shd w:val="clear" w:color="auto" w:fill="auto"/>
            <w:vAlign w:val="bottom"/>
          </w:tcPr>
          <w:p w14:paraId="7C208EE8" w14:textId="77777777" w:rsidR="00834A75" w:rsidRDefault="00834A75">
            <w:pPr>
              <w:rPr>
                <w:rFonts w:ascii="宋体"/>
                <w:vanish/>
              </w:rPr>
            </w:pPr>
          </w:p>
        </w:tc>
        <w:tc>
          <w:tcPr>
            <w:tcW w:w="0" w:type="auto"/>
            <w:gridSpan w:val="3"/>
            <w:shd w:val="clear" w:color="auto" w:fill="auto"/>
            <w:vAlign w:val="bottom"/>
          </w:tcPr>
          <w:p w14:paraId="7C208EE9" w14:textId="77777777" w:rsidR="00834A75" w:rsidRDefault="00834A75">
            <w:pPr>
              <w:rPr>
                <w:rFonts w:ascii="宋体"/>
                <w:vanish/>
              </w:rPr>
            </w:pPr>
          </w:p>
        </w:tc>
        <w:tc>
          <w:tcPr>
            <w:tcW w:w="0" w:type="auto"/>
            <w:shd w:val="clear" w:color="auto" w:fill="auto"/>
            <w:vAlign w:val="bottom"/>
          </w:tcPr>
          <w:p w14:paraId="7C208EEA" w14:textId="77777777" w:rsidR="00834A75" w:rsidRDefault="00834A75">
            <w:pPr>
              <w:rPr>
                <w:rFonts w:ascii="宋体"/>
              </w:rPr>
            </w:pPr>
          </w:p>
        </w:tc>
        <w:tc>
          <w:tcPr>
            <w:tcW w:w="0" w:type="auto"/>
            <w:shd w:val="clear" w:color="auto" w:fill="auto"/>
            <w:vAlign w:val="bottom"/>
          </w:tcPr>
          <w:p w14:paraId="7C208EEB" w14:textId="77777777" w:rsidR="00834A75" w:rsidRDefault="00834A75">
            <w:pPr>
              <w:rPr>
                <w:rFonts w:ascii="宋体"/>
              </w:rPr>
            </w:pPr>
          </w:p>
        </w:tc>
        <w:tc>
          <w:tcPr>
            <w:tcW w:w="0" w:type="auto"/>
            <w:shd w:val="clear" w:color="auto" w:fill="auto"/>
            <w:vAlign w:val="bottom"/>
          </w:tcPr>
          <w:p w14:paraId="7C208EEC" w14:textId="77777777" w:rsidR="00834A75" w:rsidRDefault="00834A75">
            <w:pPr>
              <w:rPr>
                <w:rFonts w:ascii="宋体"/>
              </w:rPr>
            </w:pPr>
          </w:p>
        </w:tc>
        <w:tc>
          <w:tcPr>
            <w:tcW w:w="0" w:type="auto"/>
            <w:shd w:val="clear" w:color="auto" w:fill="auto"/>
            <w:vAlign w:val="bottom"/>
          </w:tcPr>
          <w:p w14:paraId="7C208EED" w14:textId="77777777" w:rsidR="00834A75" w:rsidRDefault="00834A75">
            <w:pPr>
              <w:rPr>
                <w:rFonts w:ascii="宋体"/>
              </w:rPr>
            </w:pPr>
          </w:p>
        </w:tc>
        <w:tc>
          <w:tcPr>
            <w:tcW w:w="0" w:type="auto"/>
            <w:shd w:val="clear" w:color="auto" w:fill="auto"/>
            <w:vAlign w:val="bottom"/>
          </w:tcPr>
          <w:p w14:paraId="7C208EEE" w14:textId="77777777" w:rsidR="00834A75" w:rsidRDefault="00834A75">
            <w:pPr>
              <w:rPr>
                <w:rFonts w:ascii="宋体"/>
              </w:rPr>
            </w:pPr>
          </w:p>
        </w:tc>
        <w:tc>
          <w:tcPr>
            <w:tcW w:w="0" w:type="auto"/>
            <w:shd w:val="clear" w:color="auto" w:fill="auto"/>
            <w:vAlign w:val="bottom"/>
          </w:tcPr>
          <w:p w14:paraId="7C208EEF" w14:textId="77777777" w:rsidR="00834A75" w:rsidRDefault="00834A75">
            <w:pPr>
              <w:rPr>
                <w:rFonts w:ascii="宋体"/>
              </w:rPr>
            </w:pPr>
          </w:p>
        </w:tc>
        <w:tc>
          <w:tcPr>
            <w:tcW w:w="0" w:type="auto"/>
            <w:shd w:val="clear" w:color="auto" w:fill="auto"/>
            <w:vAlign w:val="bottom"/>
          </w:tcPr>
          <w:p w14:paraId="7C208EF0" w14:textId="77777777" w:rsidR="00834A75" w:rsidRDefault="00834A75">
            <w:pPr>
              <w:rPr>
                <w:rFonts w:ascii="宋体"/>
              </w:rPr>
            </w:pPr>
          </w:p>
        </w:tc>
        <w:tc>
          <w:tcPr>
            <w:tcW w:w="0" w:type="auto"/>
            <w:shd w:val="clear" w:color="auto" w:fill="auto"/>
            <w:vAlign w:val="bottom"/>
          </w:tcPr>
          <w:p w14:paraId="7C208EF1" w14:textId="77777777" w:rsidR="00834A75" w:rsidRDefault="00834A75">
            <w:pPr>
              <w:rPr>
                <w:rFonts w:ascii="宋体"/>
              </w:rPr>
            </w:pPr>
          </w:p>
        </w:tc>
        <w:tc>
          <w:tcPr>
            <w:tcW w:w="0" w:type="auto"/>
            <w:shd w:val="clear" w:color="auto" w:fill="auto"/>
            <w:vAlign w:val="bottom"/>
          </w:tcPr>
          <w:p w14:paraId="7C208EF2" w14:textId="77777777" w:rsidR="00834A75" w:rsidRDefault="00834A75">
            <w:pPr>
              <w:rPr>
                <w:rFonts w:ascii="宋体"/>
              </w:rPr>
            </w:pPr>
          </w:p>
        </w:tc>
        <w:tc>
          <w:tcPr>
            <w:tcW w:w="0" w:type="auto"/>
            <w:shd w:val="clear" w:color="auto" w:fill="auto"/>
            <w:vAlign w:val="bottom"/>
          </w:tcPr>
          <w:p w14:paraId="7C208EF3" w14:textId="77777777" w:rsidR="00834A75" w:rsidRDefault="00834A75">
            <w:pPr>
              <w:rPr>
                <w:rFonts w:ascii="宋体"/>
              </w:rPr>
            </w:pPr>
          </w:p>
        </w:tc>
        <w:tc>
          <w:tcPr>
            <w:tcW w:w="0" w:type="auto"/>
            <w:shd w:val="clear" w:color="auto" w:fill="auto"/>
            <w:vAlign w:val="bottom"/>
          </w:tcPr>
          <w:p w14:paraId="7C208EF4" w14:textId="77777777" w:rsidR="00834A75" w:rsidRDefault="00834A75">
            <w:pPr>
              <w:rPr>
                <w:rFonts w:ascii="宋体"/>
              </w:rPr>
            </w:pPr>
          </w:p>
        </w:tc>
        <w:tc>
          <w:tcPr>
            <w:tcW w:w="0" w:type="auto"/>
            <w:shd w:val="clear" w:color="auto" w:fill="auto"/>
            <w:vAlign w:val="bottom"/>
          </w:tcPr>
          <w:p w14:paraId="7C208EF5" w14:textId="77777777" w:rsidR="00834A75" w:rsidRDefault="00834A75">
            <w:pPr>
              <w:rPr>
                <w:rFonts w:ascii="宋体"/>
              </w:rPr>
            </w:pPr>
          </w:p>
        </w:tc>
        <w:tc>
          <w:tcPr>
            <w:tcW w:w="0" w:type="auto"/>
            <w:shd w:val="clear" w:color="auto" w:fill="auto"/>
            <w:vAlign w:val="bottom"/>
          </w:tcPr>
          <w:p w14:paraId="7C208EF6" w14:textId="77777777" w:rsidR="00834A75" w:rsidRDefault="00834A75">
            <w:pPr>
              <w:rPr>
                <w:rFonts w:ascii="宋体"/>
              </w:rPr>
            </w:pPr>
          </w:p>
        </w:tc>
        <w:tc>
          <w:tcPr>
            <w:tcW w:w="0" w:type="auto"/>
            <w:shd w:val="clear" w:color="auto" w:fill="auto"/>
            <w:vAlign w:val="bottom"/>
          </w:tcPr>
          <w:p w14:paraId="7C208EF7" w14:textId="77777777" w:rsidR="00834A75" w:rsidRDefault="00834A75">
            <w:pPr>
              <w:rPr>
                <w:rFonts w:ascii="宋体"/>
              </w:rPr>
            </w:pPr>
          </w:p>
        </w:tc>
        <w:tc>
          <w:tcPr>
            <w:tcW w:w="0" w:type="auto"/>
            <w:shd w:val="clear" w:color="auto" w:fill="auto"/>
            <w:vAlign w:val="bottom"/>
          </w:tcPr>
          <w:p w14:paraId="7C208EF8" w14:textId="77777777" w:rsidR="00834A75" w:rsidRDefault="00834A75">
            <w:pPr>
              <w:rPr>
                <w:rFonts w:ascii="宋体"/>
              </w:rPr>
            </w:pPr>
          </w:p>
        </w:tc>
        <w:tc>
          <w:tcPr>
            <w:tcW w:w="0" w:type="auto"/>
            <w:shd w:val="clear" w:color="auto" w:fill="auto"/>
            <w:vAlign w:val="bottom"/>
          </w:tcPr>
          <w:p w14:paraId="7C208EF9" w14:textId="77777777" w:rsidR="00834A75" w:rsidRDefault="00834A75">
            <w:pPr>
              <w:rPr>
                <w:rFonts w:ascii="宋体"/>
              </w:rPr>
            </w:pPr>
          </w:p>
        </w:tc>
        <w:tc>
          <w:tcPr>
            <w:tcW w:w="0" w:type="auto"/>
            <w:shd w:val="clear" w:color="auto" w:fill="auto"/>
            <w:vAlign w:val="bottom"/>
          </w:tcPr>
          <w:p w14:paraId="7C208EFA" w14:textId="77777777" w:rsidR="00834A75" w:rsidRDefault="00834A75">
            <w:pPr>
              <w:rPr>
                <w:rFonts w:ascii="宋体"/>
              </w:rPr>
            </w:pPr>
          </w:p>
        </w:tc>
        <w:tc>
          <w:tcPr>
            <w:tcW w:w="0" w:type="auto"/>
            <w:shd w:val="clear" w:color="auto" w:fill="auto"/>
            <w:vAlign w:val="bottom"/>
          </w:tcPr>
          <w:p w14:paraId="7C208EFB" w14:textId="77777777" w:rsidR="00834A75" w:rsidRDefault="00834A75">
            <w:pPr>
              <w:rPr>
                <w:rFonts w:ascii="宋体"/>
              </w:rPr>
            </w:pPr>
          </w:p>
        </w:tc>
      </w:tr>
      <w:tr w:rsidR="00834A75" w14:paraId="7C208F0D" w14:textId="77777777">
        <w:tc>
          <w:tcPr>
            <w:tcW w:w="0" w:type="auto"/>
            <w:gridSpan w:val="3"/>
            <w:shd w:val="clear" w:color="auto" w:fill="auto"/>
            <w:tcMar>
              <w:top w:w="40" w:type="dxa"/>
              <w:left w:w="20" w:type="dxa"/>
              <w:bottom w:w="40" w:type="dxa"/>
              <w:right w:w="20" w:type="dxa"/>
            </w:tcMar>
            <w:vAlign w:val="center"/>
          </w:tcPr>
          <w:p w14:paraId="7C208EFD" w14:textId="77777777" w:rsidR="00834A75" w:rsidRDefault="00A6708C">
            <w:pPr>
              <w:textAlignment w:val="center"/>
            </w:pPr>
            <w:r>
              <w:rPr>
                <w:rFonts w:ascii="sans-serif" w:eastAsia="sans-serif" w:hAnsi="sans-serif" w:cs="sans-serif"/>
                <w:color w:val="000000"/>
                <w:sz w:val="20"/>
                <w:szCs w:val="20"/>
              </w:rPr>
              <w:t> </w:t>
            </w:r>
          </w:p>
        </w:tc>
        <w:tc>
          <w:tcPr>
            <w:tcW w:w="0" w:type="auto"/>
            <w:gridSpan w:val="3"/>
            <w:tcBorders>
              <w:top w:val="single" w:sz="8" w:space="0" w:color="000000"/>
            </w:tcBorders>
            <w:shd w:val="clear" w:color="auto" w:fill="auto"/>
            <w:tcMar>
              <w:top w:w="40" w:type="dxa"/>
              <w:left w:w="20" w:type="dxa"/>
              <w:bottom w:w="40" w:type="dxa"/>
              <w:right w:w="20" w:type="dxa"/>
            </w:tcMar>
            <w:vAlign w:val="center"/>
          </w:tcPr>
          <w:p w14:paraId="7C208EFE" w14:textId="77777777" w:rsidR="00834A75" w:rsidRDefault="00A6708C">
            <w:pPr>
              <w:jc w:val="center"/>
              <w:textAlignment w:val="center"/>
            </w:pPr>
            <w:r>
              <w:rPr>
                <w:rFonts w:ascii="sans-serif" w:eastAsia="sans-serif" w:hAnsi="sans-serif" w:cs="sans-serif"/>
                <w:b/>
                <w:bCs/>
                <w:color w:val="000000"/>
                <w:sz w:val="20"/>
                <w:szCs w:val="20"/>
              </w:rPr>
              <w:t>May 1,</w:t>
            </w:r>
            <w:r>
              <w:rPr>
                <w:rFonts w:ascii="sans-serif" w:eastAsia="sans-serif" w:hAnsi="sans-serif" w:cs="sans-serif"/>
                <w:b/>
                <w:bCs/>
                <w:color w:val="000000"/>
                <w:sz w:val="20"/>
                <w:szCs w:val="20"/>
              </w:rPr>
              <w:b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C208EFF" w14:textId="77777777" w:rsidR="00834A75" w:rsidRDefault="00834A75">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center"/>
          </w:tcPr>
          <w:p w14:paraId="7C208F00" w14:textId="77777777" w:rsidR="00834A75" w:rsidRDefault="00A6708C">
            <w:pPr>
              <w:jc w:val="center"/>
              <w:textAlignment w:val="center"/>
            </w:pPr>
            <w:r>
              <w:rPr>
                <w:rFonts w:ascii="sans-serif" w:eastAsia="sans-serif" w:hAnsi="sans-serif" w:cs="sans-serif"/>
                <w:b/>
                <w:bCs/>
                <w:color w:val="000000"/>
                <w:sz w:val="20"/>
                <w:szCs w:val="20"/>
              </w:rPr>
              <w:t>May 2,</w:t>
            </w:r>
            <w:r>
              <w:rPr>
                <w:rFonts w:ascii="sans-serif" w:eastAsia="sans-serif" w:hAnsi="sans-serif" w:cs="sans-serif"/>
                <w:b/>
                <w:bCs/>
                <w:color w:val="000000"/>
                <w:sz w:val="20"/>
                <w:szCs w:val="20"/>
              </w:rPr>
              <w:b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C208F01" w14:textId="77777777" w:rsidR="00834A75" w:rsidRDefault="00834A75">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center"/>
          </w:tcPr>
          <w:p w14:paraId="7C208F02" w14:textId="77777777" w:rsidR="00834A75" w:rsidRDefault="00A6708C">
            <w:pPr>
              <w:jc w:val="center"/>
              <w:textAlignment w:val="center"/>
            </w:pPr>
            <w:r>
              <w:rPr>
                <w:rFonts w:ascii="sans-serif" w:eastAsia="sans-serif" w:hAnsi="sans-serif" w:cs="sans-serif"/>
                <w:b/>
                <w:bCs/>
                <w:color w:val="000000"/>
                <w:sz w:val="20"/>
                <w:szCs w:val="20"/>
              </w:rPr>
              <w:t>$</w:t>
            </w:r>
            <w:r>
              <w:rPr>
                <w:rFonts w:ascii="sans-serif" w:eastAsia="sans-serif" w:hAnsi="sans-serif" w:cs="sans-serif"/>
                <w:b/>
                <w:bCs/>
                <w:color w:val="000000"/>
                <w:sz w:val="20"/>
                <w:szCs w:val="20"/>
              </w:rPr>
              <w:br/>
              <w:t>Change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C208F03" w14:textId="77777777" w:rsidR="00834A75" w:rsidRDefault="00834A75">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center"/>
          </w:tcPr>
          <w:p w14:paraId="7C208F04" w14:textId="77777777" w:rsidR="00834A75" w:rsidRDefault="00A6708C">
            <w:pPr>
              <w:jc w:val="center"/>
              <w:textAlignment w:val="center"/>
            </w:pPr>
            <w:r>
              <w:rPr>
                <w:rFonts w:ascii="sans-serif" w:eastAsia="sans-serif" w:hAnsi="sans-serif" w:cs="sans-serif"/>
                <w:b/>
                <w:bCs/>
                <w:color w:val="000000"/>
                <w:sz w:val="20"/>
                <w:szCs w:val="20"/>
              </w:rPr>
              <w:t>%</w:t>
            </w:r>
            <w:r>
              <w:rPr>
                <w:rFonts w:ascii="sans-serif" w:eastAsia="sans-serif" w:hAnsi="sans-serif" w:cs="sans-serif"/>
                <w:b/>
                <w:bCs/>
                <w:color w:val="000000"/>
                <w:sz w:val="20"/>
                <w:szCs w:val="20"/>
              </w:rPr>
              <w:br/>
              <w:t>Change</w:t>
            </w:r>
          </w:p>
        </w:tc>
        <w:tc>
          <w:tcPr>
            <w:tcW w:w="0" w:type="auto"/>
            <w:gridSpan w:val="3"/>
            <w:shd w:val="clear" w:color="auto" w:fill="auto"/>
            <w:vAlign w:val="bottom"/>
          </w:tcPr>
          <w:p w14:paraId="7C208F05" w14:textId="77777777" w:rsidR="00834A75" w:rsidRDefault="00834A75">
            <w:pPr>
              <w:rPr>
                <w:rFonts w:ascii="宋体"/>
                <w:vanish/>
              </w:rPr>
            </w:pPr>
          </w:p>
        </w:tc>
        <w:tc>
          <w:tcPr>
            <w:tcW w:w="0" w:type="auto"/>
            <w:gridSpan w:val="3"/>
            <w:shd w:val="clear" w:color="auto" w:fill="auto"/>
            <w:vAlign w:val="bottom"/>
          </w:tcPr>
          <w:p w14:paraId="7C208F06" w14:textId="77777777" w:rsidR="00834A75" w:rsidRDefault="00834A75">
            <w:pPr>
              <w:rPr>
                <w:rFonts w:ascii="宋体"/>
                <w:vanish/>
              </w:rPr>
            </w:pPr>
          </w:p>
        </w:tc>
        <w:tc>
          <w:tcPr>
            <w:tcW w:w="0" w:type="auto"/>
            <w:gridSpan w:val="3"/>
            <w:shd w:val="clear" w:color="auto" w:fill="auto"/>
            <w:vAlign w:val="bottom"/>
          </w:tcPr>
          <w:p w14:paraId="7C208F07" w14:textId="77777777" w:rsidR="00834A75" w:rsidRDefault="00834A75">
            <w:pPr>
              <w:rPr>
                <w:rFonts w:ascii="宋体"/>
                <w:vanish/>
              </w:rPr>
            </w:pPr>
          </w:p>
        </w:tc>
        <w:tc>
          <w:tcPr>
            <w:tcW w:w="0" w:type="auto"/>
            <w:gridSpan w:val="3"/>
            <w:shd w:val="clear" w:color="auto" w:fill="auto"/>
            <w:vAlign w:val="bottom"/>
          </w:tcPr>
          <w:p w14:paraId="7C208F08" w14:textId="77777777" w:rsidR="00834A75" w:rsidRDefault="00834A75">
            <w:pPr>
              <w:rPr>
                <w:rFonts w:ascii="宋体"/>
                <w:vanish/>
              </w:rPr>
            </w:pPr>
          </w:p>
        </w:tc>
        <w:tc>
          <w:tcPr>
            <w:tcW w:w="0" w:type="auto"/>
            <w:gridSpan w:val="3"/>
            <w:shd w:val="clear" w:color="auto" w:fill="auto"/>
            <w:vAlign w:val="bottom"/>
          </w:tcPr>
          <w:p w14:paraId="7C208F09" w14:textId="77777777" w:rsidR="00834A75" w:rsidRDefault="00834A75">
            <w:pPr>
              <w:rPr>
                <w:rFonts w:ascii="宋体"/>
                <w:vanish/>
              </w:rPr>
            </w:pPr>
          </w:p>
        </w:tc>
        <w:tc>
          <w:tcPr>
            <w:tcW w:w="0" w:type="auto"/>
            <w:gridSpan w:val="3"/>
            <w:shd w:val="clear" w:color="auto" w:fill="auto"/>
            <w:vAlign w:val="bottom"/>
          </w:tcPr>
          <w:p w14:paraId="7C208F0A" w14:textId="77777777" w:rsidR="00834A75" w:rsidRDefault="00834A75">
            <w:pPr>
              <w:rPr>
                <w:rFonts w:ascii="宋体"/>
                <w:vanish/>
              </w:rPr>
            </w:pPr>
          </w:p>
        </w:tc>
        <w:tc>
          <w:tcPr>
            <w:tcW w:w="0" w:type="auto"/>
            <w:gridSpan w:val="3"/>
            <w:shd w:val="clear" w:color="auto" w:fill="auto"/>
            <w:vAlign w:val="bottom"/>
          </w:tcPr>
          <w:p w14:paraId="7C208F0B" w14:textId="77777777" w:rsidR="00834A75" w:rsidRDefault="00834A75">
            <w:pPr>
              <w:rPr>
                <w:rFonts w:ascii="宋体"/>
                <w:vanish/>
              </w:rPr>
            </w:pPr>
          </w:p>
        </w:tc>
        <w:tc>
          <w:tcPr>
            <w:tcW w:w="0" w:type="auto"/>
            <w:gridSpan w:val="3"/>
            <w:shd w:val="clear" w:color="auto" w:fill="auto"/>
            <w:vAlign w:val="bottom"/>
          </w:tcPr>
          <w:p w14:paraId="7C208F0C" w14:textId="77777777" w:rsidR="00834A75" w:rsidRDefault="00834A75">
            <w:pPr>
              <w:rPr>
                <w:rFonts w:ascii="宋体"/>
                <w:vanish/>
              </w:rPr>
            </w:pPr>
          </w:p>
        </w:tc>
      </w:tr>
      <w:tr w:rsidR="00834A75" w14:paraId="7C208F1E" w14:textId="77777777">
        <w:trPr>
          <w:trHeight w:val="60"/>
        </w:trPr>
        <w:tc>
          <w:tcPr>
            <w:tcW w:w="0" w:type="auto"/>
            <w:gridSpan w:val="3"/>
            <w:shd w:val="clear" w:color="auto" w:fill="auto"/>
            <w:tcMar>
              <w:top w:w="0" w:type="dxa"/>
              <w:left w:w="20" w:type="dxa"/>
              <w:bottom w:w="0" w:type="dxa"/>
              <w:right w:w="20" w:type="dxa"/>
            </w:tcMar>
            <w:vAlign w:val="bottom"/>
          </w:tcPr>
          <w:p w14:paraId="7C208F0E" w14:textId="77777777" w:rsidR="00834A75" w:rsidRDefault="00834A75">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C208F0F" w14:textId="77777777" w:rsidR="00834A75" w:rsidRDefault="00834A75">
            <w:pPr>
              <w:rPr>
                <w:rFonts w:ascii="宋体"/>
              </w:rPr>
            </w:pPr>
          </w:p>
        </w:tc>
        <w:tc>
          <w:tcPr>
            <w:tcW w:w="0" w:type="auto"/>
            <w:gridSpan w:val="3"/>
            <w:shd w:val="clear" w:color="auto" w:fill="auto"/>
            <w:tcMar>
              <w:top w:w="0" w:type="dxa"/>
              <w:left w:w="20" w:type="dxa"/>
              <w:bottom w:w="0" w:type="dxa"/>
              <w:right w:w="20" w:type="dxa"/>
            </w:tcMar>
            <w:vAlign w:val="bottom"/>
          </w:tcPr>
          <w:p w14:paraId="7C208F10" w14:textId="77777777" w:rsidR="00834A75" w:rsidRDefault="00834A75">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C208F11" w14:textId="77777777" w:rsidR="00834A75" w:rsidRDefault="00834A75">
            <w:pPr>
              <w:rPr>
                <w:rFonts w:ascii="宋体"/>
              </w:rPr>
            </w:pPr>
          </w:p>
        </w:tc>
        <w:tc>
          <w:tcPr>
            <w:tcW w:w="0" w:type="auto"/>
            <w:gridSpan w:val="3"/>
            <w:shd w:val="clear" w:color="auto" w:fill="auto"/>
            <w:tcMar>
              <w:top w:w="0" w:type="dxa"/>
              <w:left w:w="20" w:type="dxa"/>
              <w:bottom w:w="0" w:type="dxa"/>
              <w:right w:w="20" w:type="dxa"/>
            </w:tcMar>
            <w:vAlign w:val="bottom"/>
          </w:tcPr>
          <w:p w14:paraId="7C208F12" w14:textId="77777777" w:rsidR="00834A75" w:rsidRDefault="00834A75">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C208F13" w14:textId="77777777" w:rsidR="00834A75" w:rsidRDefault="00834A75">
            <w:pPr>
              <w:rPr>
                <w:rFonts w:ascii="宋体"/>
              </w:rPr>
            </w:pPr>
          </w:p>
        </w:tc>
        <w:tc>
          <w:tcPr>
            <w:tcW w:w="0" w:type="auto"/>
            <w:gridSpan w:val="3"/>
            <w:shd w:val="clear" w:color="auto" w:fill="auto"/>
            <w:tcMar>
              <w:top w:w="0" w:type="dxa"/>
              <w:left w:w="20" w:type="dxa"/>
              <w:bottom w:w="0" w:type="dxa"/>
              <w:right w:w="20" w:type="dxa"/>
            </w:tcMar>
            <w:vAlign w:val="bottom"/>
          </w:tcPr>
          <w:p w14:paraId="7C208F14" w14:textId="77777777" w:rsidR="00834A75" w:rsidRDefault="00834A75">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C208F15" w14:textId="77777777" w:rsidR="00834A75" w:rsidRDefault="00834A75">
            <w:pPr>
              <w:rPr>
                <w:rFonts w:ascii="宋体"/>
              </w:rPr>
            </w:pPr>
          </w:p>
        </w:tc>
        <w:tc>
          <w:tcPr>
            <w:tcW w:w="0" w:type="auto"/>
            <w:gridSpan w:val="3"/>
            <w:shd w:val="clear" w:color="auto" w:fill="auto"/>
            <w:vAlign w:val="bottom"/>
          </w:tcPr>
          <w:p w14:paraId="7C208F16" w14:textId="77777777" w:rsidR="00834A75" w:rsidRDefault="00834A75">
            <w:pPr>
              <w:rPr>
                <w:rFonts w:ascii="宋体"/>
                <w:vanish/>
              </w:rPr>
            </w:pPr>
          </w:p>
        </w:tc>
        <w:tc>
          <w:tcPr>
            <w:tcW w:w="0" w:type="auto"/>
            <w:gridSpan w:val="3"/>
            <w:shd w:val="clear" w:color="auto" w:fill="auto"/>
            <w:vAlign w:val="bottom"/>
          </w:tcPr>
          <w:p w14:paraId="7C208F17" w14:textId="77777777" w:rsidR="00834A75" w:rsidRDefault="00834A75">
            <w:pPr>
              <w:rPr>
                <w:rFonts w:ascii="宋体"/>
                <w:vanish/>
              </w:rPr>
            </w:pPr>
          </w:p>
        </w:tc>
        <w:tc>
          <w:tcPr>
            <w:tcW w:w="0" w:type="auto"/>
            <w:gridSpan w:val="3"/>
            <w:shd w:val="clear" w:color="auto" w:fill="auto"/>
            <w:vAlign w:val="bottom"/>
          </w:tcPr>
          <w:p w14:paraId="7C208F18" w14:textId="77777777" w:rsidR="00834A75" w:rsidRDefault="00834A75">
            <w:pPr>
              <w:rPr>
                <w:rFonts w:ascii="宋体"/>
                <w:vanish/>
              </w:rPr>
            </w:pPr>
          </w:p>
        </w:tc>
        <w:tc>
          <w:tcPr>
            <w:tcW w:w="0" w:type="auto"/>
            <w:gridSpan w:val="3"/>
            <w:shd w:val="clear" w:color="auto" w:fill="auto"/>
            <w:vAlign w:val="bottom"/>
          </w:tcPr>
          <w:p w14:paraId="7C208F19" w14:textId="77777777" w:rsidR="00834A75" w:rsidRDefault="00834A75">
            <w:pPr>
              <w:rPr>
                <w:rFonts w:ascii="宋体"/>
                <w:vanish/>
              </w:rPr>
            </w:pPr>
          </w:p>
        </w:tc>
        <w:tc>
          <w:tcPr>
            <w:tcW w:w="0" w:type="auto"/>
            <w:gridSpan w:val="3"/>
            <w:shd w:val="clear" w:color="auto" w:fill="auto"/>
            <w:vAlign w:val="bottom"/>
          </w:tcPr>
          <w:p w14:paraId="7C208F1A" w14:textId="77777777" w:rsidR="00834A75" w:rsidRDefault="00834A75">
            <w:pPr>
              <w:rPr>
                <w:rFonts w:ascii="宋体"/>
                <w:vanish/>
              </w:rPr>
            </w:pPr>
          </w:p>
        </w:tc>
        <w:tc>
          <w:tcPr>
            <w:tcW w:w="0" w:type="auto"/>
            <w:gridSpan w:val="3"/>
            <w:shd w:val="clear" w:color="auto" w:fill="auto"/>
            <w:vAlign w:val="bottom"/>
          </w:tcPr>
          <w:p w14:paraId="7C208F1B" w14:textId="77777777" w:rsidR="00834A75" w:rsidRDefault="00834A75">
            <w:pPr>
              <w:rPr>
                <w:rFonts w:ascii="宋体"/>
                <w:vanish/>
              </w:rPr>
            </w:pPr>
          </w:p>
        </w:tc>
        <w:tc>
          <w:tcPr>
            <w:tcW w:w="0" w:type="auto"/>
            <w:gridSpan w:val="3"/>
            <w:shd w:val="clear" w:color="auto" w:fill="auto"/>
            <w:vAlign w:val="bottom"/>
          </w:tcPr>
          <w:p w14:paraId="7C208F1C" w14:textId="77777777" w:rsidR="00834A75" w:rsidRDefault="00834A75">
            <w:pPr>
              <w:rPr>
                <w:rFonts w:ascii="宋体"/>
                <w:vanish/>
              </w:rPr>
            </w:pPr>
          </w:p>
        </w:tc>
        <w:tc>
          <w:tcPr>
            <w:tcW w:w="0" w:type="auto"/>
            <w:gridSpan w:val="3"/>
            <w:shd w:val="clear" w:color="auto" w:fill="auto"/>
            <w:vAlign w:val="bottom"/>
          </w:tcPr>
          <w:p w14:paraId="7C208F1D" w14:textId="77777777" w:rsidR="00834A75" w:rsidRDefault="00834A75">
            <w:pPr>
              <w:rPr>
                <w:rFonts w:ascii="宋体"/>
                <w:vanish/>
              </w:rPr>
            </w:pPr>
          </w:p>
        </w:tc>
      </w:tr>
      <w:tr w:rsidR="00834A75" w14:paraId="7C208F39" w14:textId="77777777">
        <w:tc>
          <w:tcPr>
            <w:tcW w:w="0" w:type="auto"/>
            <w:gridSpan w:val="3"/>
            <w:shd w:val="clear" w:color="auto" w:fill="auto"/>
            <w:tcMar>
              <w:top w:w="40" w:type="dxa"/>
              <w:left w:w="20" w:type="dxa"/>
              <w:bottom w:w="40" w:type="dxa"/>
              <w:right w:w="20" w:type="dxa"/>
            </w:tcMar>
            <w:vAlign w:val="bottom"/>
          </w:tcPr>
          <w:p w14:paraId="7C208F1F" w14:textId="77777777" w:rsidR="00834A75" w:rsidRDefault="00A6708C">
            <w:pPr>
              <w:textAlignment w:val="bottom"/>
            </w:pPr>
            <w:r>
              <w:rPr>
                <w:rFonts w:ascii="sans-serif" w:eastAsia="sans-serif" w:hAnsi="sans-serif" w:cs="sans-serif"/>
                <w:color w:val="000000"/>
                <w:sz w:val="20"/>
                <w:szCs w:val="20"/>
              </w:rPr>
              <w:t> </w:t>
            </w:r>
          </w:p>
        </w:tc>
        <w:tc>
          <w:tcPr>
            <w:tcW w:w="0" w:type="auto"/>
            <w:gridSpan w:val="21"/>
            <w:shd w:val="clear" w:color="auto" w:fill="auto"/>
            <w:tcMar>
              <w:top w:w="40" w:type="dxa"/>
              <w:left w:w="20" w:type="dxa"/>
              <w:bottom w:w="40" w:type="dxa"/>
              <w:right w:w="20" w:type="dxa"/>
            </w:tcMar>
            <w:vAlign w:val="bottom"/>
          </w:tcPr>
          <w:p w14:paraId="7C208F20" w14:textId="77777777" w:rsidR="00834A75" w:rsidRDefault="00A6708C">
            <w:pPr>
              <w:jc w:val="center"/>
              <w:textAlignment w:val="bottom"/>
            </w:pPr>
            <w:r>
              <w:rPr>
                <w:rFonts w:ascii="sans-serif" w:eastAsia="sans-serif" w:hAnsi="sans-serif" w:cs="sans-serif"/>
                <w:i/>
                <w:iCs/>
                <w:color w:val="000000"/>
                <w:sz w:val="20"/>
                <w:szCs w:val="20"/>
              </w:rPr>
              <w:t>($ in millions)</w:t>
            </w:r>
          </w:p>
        </w:tc>
        <w:tc>
          <w:tcPr>
            <w:tcW w:w="0" w:type="auto"/>
            <w:shd w:val="clear" w:color="auto" w:fill="auto"/>
            <w:vAlign w:val="bottom"/>
          </w:tcPr>
          <w:p w14:paraId="7C208F21" w14:textId="77777777" w:rsidR="00834A75" w:rsidRDefault="00834A75">
            <w:pPr>
              <w:rPr>
                <w:rFonts w:ascii="宋体"/>
              </w:rPr>
            </w:pPr>
          </w:p>
        </w:tc>
        <w:tc>
          <w:tcPr>
            <w:tcW w:w="0" w:type="auto"/>
            <w:shd w:val="clear" w:color="auto" w:fill="auto"/>
            <w:vAlign w:val="bottom"/>
          </w:tcPr>
          <w:p w14:paraId="7C208F22" w14:textId="77777777" w:rsidR="00834A75" w:rsidRDefault="00834A75">
            <w:pPr>
              <w:rPr>
                <w:rFonts w:ascii="宋体"/>
              </w:rPr>
            </w:pPr>
          </w:p>
        </w:tc>
        <w:tc>
          <w:tcPr>
            <w:tcW w:w="0" w:type="auto"/>
            <w:shd w:val="clear" w:color="auto" w:fill="auto"/>
            <w:vAlign w:val="bottom"/>
          </w:tcPr>
          <w:p w14:paraId="7C208F23" w14:textId="77777777" w:rsidR="00834A75" w:rsidRDefault="00834A75">
            <w:pPr>
              <w:rPr>
                <w:rFonts w:ascii="宋体"/>
              </w:rPr>
            </w:pPr>
          </w:p>
        </w:tc>
        <w:tc>
          <w:tcPr>
            <w:tcW w:w="0" w:type="auto"/>
            <w:shd w:val="clear" w:color="auto" w:fill="auto"/>
            <w:vAlign w:val="bottom"/>
          </w:tcPr>
          <w:p w14:paraId="7C208F24" w14:textId="77777777" w:rsidR="00834A75" w:rsidRDefault="00834A75">
            <w:pPr>
              <w:rPr>
                <w:rFonts w:ascii="宋体"/>
              </w:rPr>
            </w:pPr>
          </w:p>
        </w:tc>
        <w:tc>
          <w:tcPr>
            <w:tcW w:w="0" w:type="auto"/>
            <w:shd w:val="clear" w:color="auto" w:fill="auto"/>
            <w:vAlign w:val="bottom"/>
          </w:tcPr>
          <w:p w14:paraId="7C208F25" w14:textId="77777777" w:rsidR="00834A75" w:rsidRDefault="00834A75">
            <w:pPr>
              <w:rPr>
                <w:rFonts w:ascii="宋体"/>
              </w:rPr>
            </w:pPr>
          </w:p>
        </w:tc>
        <w:tc>
          <w:tcPr>
            <w:tcW w:w="0" w:type="auto"/>
            <w:shd w:val="clear" w:color="auto" w:fill="auto"/>
            <w:vAlign w:val="bottom"/>
          </w:tcPr>
          <w:p w14:paraId="7C208F26" w14:textId="77777777" w:rsidR="00834A75" w:rsidRDefault="00834A75">
            <w:pPr>
              <w:rPr>
                <w:rFonts w:ascii="宋体"/>
              </w:rPr>
            </w:pPr>
          </w:p>
        </w:tc>
        <w:tc>
          <w:tcPr>
            <w:tcW w:w="0" w:type="auto"/>
            <w:shd w:val="clear" w:color="auto" w:fill="auto"/>
            <w:vAlign w:val="bottom"/>
          </w:tcPr>
          <w:p w14:paraId="7C208F27" w14:textId="77777777" w:rsidR="00834A75" w:rsidRDefault="00834A75">
            <w:pPr>
              <w:rPr>
                <w:rFonts w:ascii="宋体"/>
              </w:rPr>
            </w:pPr>
          </w:p>
        </w:tc>
        <w:tc>
          <w:tcPr>
            <w:tcW w:w="0" w:type="auto"/>
            <w:shd w:val="clear" w:color="auto" w:fill="auto"/>
            <w:vAlign w:val="bottom"/>
          </w:tcPr>
          <w:p w14:paraId="7C208F28" w14:textId="77777777" w:rsidR="00834A75" w:rsidRDefault="00834A75">
            <w:pPr>
              <w:rPr>
                <w:rFonts w:ascii="宋体"/>
              </w:rPr>
            </w:pPr>
          </w:p>
        </w:tc>
        <w:tc>
          <w:tcPr>
            <w:tcW w:w="0" w:type="auto"/>
            <w:shd w:val="clear" w:color="auto" w:fill="auto"/>
            <w:vAlign w:val="bottom"/>
          </w:tcPr>
          <w:p w14:paraId="7C208F29" w14:textId="77777777" w:rsidR="00834A75" w:rsidRDefault="00834A75">
            <w:pPr>
              <w:rPr>
                <w:rFonts w:ascii="宋体"/>
              </w:rPr>
            </w:pPr>
          </w:p>
        </w:tc>
        <w:tc>
          <w:tcPr>
            <w:tcW w:w="0" w:type="auto"/>
            <w:shd w:val="clear" w:color="auto" w:fill="auto"/>
            <w:vAlign w:val="bottom"/>
          </w:tcPr>
          <w:p w14:paraId="7C208F2A" w14:textId="77777777" w:rsidR="00834A75" w:rsidRDefault="00834A75">
            <w:pPr>
              <w:rPr>
                <w:rFonts w:ascii="宋体"/>
              </w:rPr>
            </w:pPr>
          </w:p>
        </w:tc>
        <w:tc>
          <w:tcPr>
            <w:tcW w:w="0" w:type="auto"/>
            <w:shd w:val="clear" w:color="auto" w:fill="auto"/>
            <w:vAlign w:val="bottom"/>
          </w:tcPr>
          <w:p w14:paraId="7C208F2B" w14:textId="77777777" w:rsidR="00834A75" w:rsidRDefault="00834A75">
            <w:pPr>
              <w:rPr>
                <w:rFonts w:ascii="宋体"/>
              </w:rPr>
            </w:pPr>
          </w:p>
        </w:tc>
        <w:tc>
          <w:tcPr>
            <w:tcW w:w="0" w:type="auto"/>
            <w:shd w:val="clear" w:color="auto" w:fill="auto"/>
            <w:vAlign w:val="bottom"/>
          </w:tcPr>
          <w:p w14:paraId="7C208F2C" w14:textId="77777777" w:rsidR="00834A75" w:rsidRDefault="00834A75">
            <w:pPr>
              <w:rPr>
                <w:rFonts w:ascii="宋体"/>
              </w:rPr>
            </w:pPr>
          </w:p>
        </w:tc>
        <w:tc>
          <w:tcPr>
            <w:tcW w:w="0" w:type="auto"/>
            <w:shd w:val="clear" w:color="auto" w:fill="auto"/>
            <w:vAlign w:val="bottom"/>
          </w:tcPr>
          <w:p w14:paraId="7C208F2D" w14:textId="77777777" w:rsidR="00834A75" w:rsidRDefault="00834A75">
            <w:pPr>
              <w:rPr>
                <w:rFonts w:ascii="宋体"/>
              </w:rPr>
            </w:pPr>
          </w:p>
        </w:tc>
        <w:tc>
          <w:tcPr>
            <w:tcW w:w="0" w:type="auto"/>
            <w:shd w:val="clear" w:color="auto" w:fill="auto"/>
            <w:vAlign w:val="bottom"/>
          </w:tcPr>
          <w:p w14:paraId="7C208F2E" w14:textId="77777777" w:rsidR="00834A75" w:rsidRDefault="00834A75">
            <w:pPr>
              <w:rPr>
                <w:rFonts w:ascii="宋体"/>
              </w:rPr>
            </w:pPr>
          </w:p>
        </w:tc>
        <w:tc>
          <w:tcPr>
            <w:tcW w:w="0" w:type="auto"/>
            <w:shd w:val="clear" w:color="auto" w:fill="auto"/>
            <w:vAlign w:val="bottom"/>
          </w:tcPr>
          <w:p w14:paraId="7C208F2F" w14:textId="77777777" w:rsidR="00834A75" w:rsidRDefault="00834A75">
            <w:pPr>
              <w:rPr>
                <w:rFonts w:ascii="宋体"/>
              </w:rPr>
            </w:pPr>
          </w:p>
        </w:tc>
        <w:tc>
          <w:tcPr>
            <w:tcW w:w="0" w:type="auto"/>
            <w:shd w:val="clear" w:color="auto" w:fill="auto"/>
            <w:vAlign w:val="bottom"/>
          </w:tcPr>
          <w:p w14:paraId="7C208F30" w14:textId="77777777" w:rsidR="00834A75" w:rsidRDefault="00834A75">
            <w:pPr>
              <w:rPr>
                <w:rFonts w:ascii="宋体"/>
              </w:rPr>
            </w:pPr>
          </w:p>
        </w:tc>
        <w:tc>
          <w:tcPr>
            <w:tcW w:w="0" w:type="auto"/>
            <w:shd w:val="clear" w:color="auto" w:fill="auto"/>
            <w:vAlign w:val="bottom"/>
          </w:tcPr>
          <w:p w14:paraId="7C208F31" w14:textId="77777777" w:rsidR="00834A75" w:rsidRDefault="00834A75">
            <w:pPr>
              <w:rPr>
                <w:rFonts w:ascii="宋体"/>
              </w:rPr>
            </w:pPr>
          </w:p>
        </w:tc>
        <w:tc>
          <w:tcPr>
            <w:tcW w:w="0" w:type="auto"/>
            <w:shd w:val="clear" w:color="auto" w:fill="auto"/>
            <w:vAlign w:val="bottom"/>
          </w:tcPr>
          <w:p w14:paraId="7C208F32" w14:textId="77777777" w:rsidR="00834A75" w:rsidRDefault="00834A75">
            <w:pPr>
              <w:rPr>
                <w:rFonts w:ascii="宋体"/>
              </w:rPr>
            </w:pPr>
          </w:p>
        </w:tc>
        <w:tc>
          <w:tcPr>
            <w:tcW w:w="0" w:type="auto"/>
            <w:shd w:val="clear" w:color="auto" w:fill="auto"/>
            <w:vAlign w:val="bottom"/>
          </w:tcPr>
          <w:p w14:paraId="7C208F33" w14:textId="77777777" w:rsidR="00834A75" w:rsidRDefault="00834A75">
            <w:pPr>
              <w:rPr>
                <w:rFonts w:ascii="宋体"/>
              </w:rPr>
            </w:pPr>
          </w:p>
        </w:tc>
        <w:tc>
          <w:tcPr>
            <w:tcW w:w="0" w:type="auto"/>
            <w:shd w:val="clear" w:color="auto" w:fill="auto"/>
            <w:vAlign w:val="bottom"/>
          </w:tcPr>
          <w:p w14:paraId="7C208F34" w14:textId="77777777" w:rsidR="00834A75" w:rsidRDefault="00834A75">
            <w:pPr>
              <w:rPr>
                <w:rFonts w:ascii="宋体"/>
              </w:rPr>
            </w:pPr>
          </w:p>
        </w:tc>
        <w:tc>
          <w:tcPr>
            <w:tcW w:w="0" w:type="auto"/>
            <w:shd w:val="clear" w:color="auto" w:fill="auto"/>
            <w:vAlign w:val="bottom"/>
          </w:tcPr>
          <w:p w14:paraId="7C208F35" w14:textId="77777777" w:rsidR="00834A75" w:rsidRDefault="00834A75">
            <w:pPr>
              <w:rPr>
                <w:rFonts w:ascii="宋体"/>
              </w:rPr>
            </w:pPr>
          </w:p>
        </w:tc>
        <w:tc>
          <w:tcPr>
            <w:tcW w:w="0" w:type="auto"/>
            <w:shd w:val="clear" w:color="auto" w:fill="auto"/>
            <w:vAlign w:val="bottom"/>
          </w:tcPr>
          <w:p w14:paraId="7C208F36" w14:textId="77777777" w:rsidR="00834A75" w:rsidRDefault="00834A75">
            <w:pPr>
              <w:rPr>
                <w:rFonts w:ascii="宋体"/>
              </w:rPr>
            </w:pPr>
          </w:p>
        </w:tc>
        <w:tc>
          <w:tcPr>
            <w:tcW w:w="0" w:type="auto"/>
            <w:shd w:val="clear" w:color="auto" w:fill="auto"/>
            <w:vAlign w:val="bottom"/>
          </w:tcPr>
          <w:p w14:paraId="7C208F37" w14:textId="77777777" w:rsidR="00834A75" w:rsidRDefault="00834A75">
            <w:pPr>
              <w:rPr>
                <w:rFonts w:ascii="宋体"/>
              </w:rPr>
            </w:pPr>
          </w:p>
        </w:tc>
        <w:tc>
          <w:tcPr>
            <w:tcW w:w="0" w:type="auto"/>
            <w:shd w:val="clear" w:color="auto" w:fill="auto"/>
            <w:vAlign w:val="bottom"/>
          </w:tcPr>
          <w:p w14:paraId="7C208F38" w14:textId="77777777" w:rsidR="00834A75" w:rsidRDefault="00834A75">
            <w:pPr>
              <w:rPr>
                <w:rFonts w:ascii="宋体"/>
              </w:rPr>
            </w:pPr>
          </w:p>
        </w:tc>
      </w:tr>
      <w:tr w:rsidR="00834A75" w14:paraId="7C208F51" w14:textId="77777777">
        <w:tc>
          <w:tcPr>
            <w:tcW w:w="0" w:type="auto"/>
            <w:gridSpan w:val="3"/>
            <w:shd w:val="clear" w:color="auto" w:fill="E2EFD9"/>
            <w:tcMar>
              <w:top w:w="40" w:type="dxa"/>
              <w:left w:w="20" w:type="dxa"/>
              <w:bottom w:w="40" w:type="dxa"/>
              <w:right w:w="20" w:type="dxa"/>
            </w:tcMar>
            <w:vAlign w:val="bottom"/>
          </w:tcPr>
          <w:p w14:paraId="7C208F3A" w14:textId="77777777" w:rsidR="00834A75" w:rsidRDefault="00A6708C">
            <w:pPr>
              <w:textAlignment w:val="bottom"/>
            </w:pPr>
            <w:r>
              <w:rPr>
                <w:rFonts w:ascii="sans-serif" w:eastAsia="sans-serif" w:hAnsi="sans-serif" w:cs="sans-serif"/>
                <w:color w:val="000000"/>
                <w:sz w:val="20"/>
                <w:szCs w:val="20"/>
              </w:rPr>
              <w:t>Graphics</w:t>
            </w:r>
          </w:p>
        </w:tc>
        <w:tc>
          <w:tcPr>
            <w:tcW w:w="0" w:type="auto"/>
            <w:shd w:val="clear" w:color="auto" w:fill="E2EFD9"/>
            <w:tcMar>
              <w:top w:w="40" w:type="dxa"/>
              <w:left w:w="20" w:type="dxa"/>
              <w:bottom w:w="40" w:type="dxa"/>
              <w:right w:w="0" w:type="dxa"/>
            </w:tcMar>
            <w:vAlign w:val="bottom"/>
          </w:tcPr>
          <w:p w14:paraId="7C208F3B" w14:textId="77777777" w:rsidR="00834A75" w:rsidRDefault="00A6708C">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7C208F3C" w14:textId="77777777" w:rsidR="00834A75" w:rsidRDefault="00A6708C">
            <w:pPr>
              <w:jc w:val="right"/>
              <w:textAlignment w:val="bottom"/>
            </w:pPr>
            <w:r>
              <w:rPr>
                <w:rFonts w:ascii="sans-serif" w:eastAsia="sans-serif" w:hAnsi="sans-serif" w:cs="sans-serif"/>
                <w:color w:val="000000"/>
                <w:sz w:val="20"/>
                <w:szCs w:val="20"/>
              </w:rPr>
              <w:t>4,616 </w:t>
            </w:r>
          </w:p>
        </w:tc>
        <w:tc>
          <w:tcPr>
            <w:tcW w:w="0" w:type="auto"/>
            <w:shd w:val="clear" w:color="auto" w:fill="E2EFD9"/>
            <w:tcMar>
              <w:top w:w="40" w:type="dxa"/>
              <w:left w:w="0" w:type="dxa"/>
              <w:bottom w:w="40" w:type="dxa"/>
              <w:right w:w="20" w:type="dxa"/>
            </w:tcMar>
            <w:vAlign w:val="bottom"/>
          </w:tcPr>
          <w:p w14:paraId="7C208F3D" w14:textId="77777777" w:rsidR="00834A75" w:rsidRDefault="00834A75">
            <w:pPr>
              <w:jc w:val="right"/>
              <w:rPr>
                <w:rFonts w:ascii="宋体"/>
              </w:rPr>
            </w:pPr>
          </w:p>
        </w:tc>
        <w:tc>
          <w:tcPr>
            <w:tcW w:w="0" w:type="auto"/>
            <w:gridSpan w:val="3"/>
            <w:shd w:val="clear" w:color="auto" w:fill="E2EFD9"/>
            <w:tcMar>
              <w:top w:w="0" w:type="dxa"/>
              <w:left w:w="20" w:type="dxa"/>
              <w:bottom w:w="0" w:type="dxa"/>
              <w:right w:w="20" w:type="dxa"/>
            </w:tcMar>
            <w:vAlign w:val="bottom"/>
          </w:tcPr>
          <w:p w14:paraId="7C208F3E" w14:textId="77777777" w:rsidR="00834A75" w:rsidRDefault="00834A75">
            <w:pPr>
              <w:rPr>
                <w:rFonts w:ascii="宋体"/>
              </w:rPr>
            </w:pPr>
          </w:p>
        </w:tc>
        <w:tc>
          <w:tcPr>
            <w:tcW w:w="0" w:type="auto"/>
            <w:shd w:val="clear" w:color="auto" w:fill="E2EFD9"/>
            <w:tcMar>
              <w:top w:w="40" w:type="dxa"/>
              <w:left w:w="20" w:type="dxa"/>
              <w:bottom w:w="40" w:type="dxa"/>
              <w:right w:w="0" w:type="dxa"/>
            </w:tcMar>
            <w:vAlign w:val="bottom"/>
          </w:tcPr>
          <w:p w14:paraId="7C208F3F" w14:textId="77777777" w:rsidR="00834A75" w:rsidRDefault="00A6708C">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7C208F40" w14:textId="77777777" w:rsidR="00834A75" w:rsidRDefault="00A6708C">
            <w:pPr>
              <w:jc w:val="right"/>
              <w:textAlignment w:val="bottom"/>
            </w:pPr>
            <w:r>
              <w:rPr>
                <w:rFonts w:ascii="sans-serif" w:eastAsia="sans-serif" w:hAnsi="sans-serif" w:cs="sans-serif"/>
                <w:color w:val="000000"/>
                <w:sz w:val="20"/>
                <w:szCs w:val="20"/>
              </w:rPr>
              <w:t>3,451 </w:t>
            </w:r>
          </w:p>
        </w:tc>
        <w:tc>
          <w:tcPr>
            <w:tcW w:w="0" w:type="auto"/>
            <w:shd w:val="clear" w:color="auto" w:fill="E2EFD9"/>
            <w:tcMar>
              <w:top w:w="40" w:type="dxa"/>
              <w:left w:w="0" w:type="dxa"/>
              <w:bottom w:w="40" w:type="dxa"/>
              <w:right w:w="20" w:type="dxa"/>
            </w:tcMar>
            <w:vAlign w:val="bottom"/>
          </w:tcPr>
          <w:p w14:paraId="7C208F41" w14:textId="77777777" w:rsidR="00834A75" w:rsidRDefault="00834A75">
            <w:pPr>
              <w:jc w:val="right"/>
              <w:rPr>
                <w:rFonts w:ascii="宋体"/>
              </w:rPr>
            </w:pPr>
          </w:p>
        </w:tc>
        <w:tc>
          <w:tcPr>
            <w:tcW w:w="0" w:type="auto"/>
            <w:gridSpan w:val="3"/>
            <w:shd w:val="clear" w:color="auto" w:fill="E2EFD9"/>
            <w:tcMar>
              <w:top w:w="0" w:type="dxa"/>
              <w:left w:w="20" w:type="dxa"/>
              <w:bottom w:w="0" w:type="dxa"/>
              <w:right w:w="20" w:type="dxa"/>
            </w:tcMar>
            <w:vAlign w:val="bottom"/>
          </w:tcPr>
          <w:p w14:paraId="7C208F42" w14:textId="77777777" w:rsidR="00834A75" w:rsidRDefault="00834A75">
            <w:pPr>
              <w:rPr>
                <w:rFonts w:ascii="宋体"/>
              </w:rPr>
            </w:pPr>
          </w:p>
        </w:tc>
        <w:tc>
          <w:tcPr>
            <w:tcW w:w="0" w:type="auto"/>
            <w:shd w:val="clear" w:color="auto" w:fill="E2EFD9"/>
            <w:tcMar>
              <w:top w:w="40" w:type="dxa"/>
              <w:left w:w="20" w:type="dxa"/>
              <w:bottom w:w="40" w:type="dxa"/>
              <w:right w:w="0" w:type="dxa"/>
            </w:tcMar>
            <w:vAlign w:val="bottom"/>
          </w:tcPr>
          <w:p w14:paraId="7C208F43" w14:textId="77777777" w:rsidR="00834A75" w:rsidRDefault="00A6708C">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7C208F44" w14:textId="77777777" w:rsidR="00834A75" w:rsidRDefault="00A6708C">
            <w:pPr>
              <w:jc w:val="right"/>
              <w:textAlignment w:val="bottom"/>
            </w:pPr>
            <w:r>
              <w:rPr>
                <w:rFonts w:ascii="sans-serif" w:eastAsia="sans-serif" w:hAnsi="sans-serif" w:cs="sans-serif"/>
                <w:color w:val="000000"/>
                <w:sz w:val="20"/>
                <w:szCs w:val="20"/>
              </w:rPr>
              <w:t>1,165 </w:t>
            </w:r>
          </w:p>
        </w:tc>
        <w:tc>
          <w:tcPr>
            <w:tcW w:w="0" w:type="auto"/>
            <w:shd w:val="clear" w:color="auto" w:fill="E2EFD9"/>
            <w:tcMar>
              <w:top w:w="40" w:type="dxa"/>
              <w:left w:w="0" w:type="dxa"/>
              <w:bottom w:w="40" w:type="dxa"/>
              <w:right w:w="20" w:type="dxa"/>
            </w:tcMar>
            <w:vAlign w:val="bottom"/>
          </w:tcPr>
          <w:p w14:paraId="7C208F45" w14:textId="77777777" w:rsidR="00834A75" w:rsidRDefault="00834A75">
            <w:pPr>
              <w:jc w:val="right"/>
              <w:rPr>
                <w:rFonts w:ascii="宋体"/>
              </w:rPr>
            </w:pPr>
          </w:p>
        </w:tc>
        <w:tc>
          <w:tcPr>
            <w:tcW w:w="0" w:type="auto"/>
            <w:gridSpan w:val="3"/>
            <w:shd w:val="clear" w:color="auto" w:fill="E2EFD9"/>
            <w:tcMar>
              <w:top w:w="0" w:type="dxa"/>
              <w:left w:w="20" w:type="dxa"/>
              <w:bottom w:w="0" w:type="dxa"/>
              <w:right w:w="20" w:type="dxa"/>
            </w:tcMar>
            <w:vAlign w:val="bottom"/>
          </w:tcPr>
          <w:p w14:paraId="7C208F46" w14:textId="77777777" w:rsidR="00834A75" w:rsidRDefault="00834A75">
            <w:pPr>
              <w:rPr>
                <w:rFonts w:ascii="宋体"/>
              </w:rPr>
            </w:pPr>
          </w:p>
        </w:tc>
        <w:tc>
          <w:tcPr>
            <w:tcW w:w="0" w:type="auto"/>
            <w:gridSpan w:val="2"/>
            <w:shd w:val="clear" w:color="auto" w:fill="E2EFD9"/>
            <w:tcMar>
              <w:top w:w="40" w:type="dxa"/>
              <w:left w:w="20" w:type="dxa"/>
              <w:bottom w:w="40" w:type="dxa"/>
              <w:right w:w="0" w:type="dxa"/>
            </w:tcMar>
            <w:vAlign w:val="bottom"/>
          </w:tcPr>
          <w:p w14:paraId="7C208F47" w14:textId="77777777" w:rsidR="00834A75" w:rsidRDefault="00A6708C">
            <w:pPr>
              <w:jc w:val="right"/>
              <w:textAlignment w:val="bottom"/>
            </w:pPr>
            <w:r>
              <w:rPr>
                <w:rFonts w:ascii="sans-serif" w:eastAsia="sans-serif" w:hAnsi="sans-serif" w:cs="sans-serif"/>
                <w:color w:val="000000"/>
                <w:sz w:val="20"/>
                <w:szCs w:val="20"/>
              </w:rPr>
              <w:t>34 </w:t>
            </w:r>
          </w:p>
        </w:tc>
        <w:tc>
          <w:tcPr>
            <w:tcW w:w="0" w:type="auto"/>
            <w:shd w:val="clear" w:color="auto" w:fill="E2EFD9"/>
            <w:tcMar>
              <w:top w:w="40" w:type="dxa"/>
              <w:left w:w="0" w:type="dxa"/>
              <w:bottom w:w="40" w:type="dxa"/>
              <w:right w:w="20" w:type="dxa"/>
            </w:tcMar>
            <w:vAlign w:val="bottom"/>
          </w:tcPr>
          <w:p w14:paraId="7C208F48" w14:textId="77777777" w:rsidR="00834A75" w:rsidRDefault="00A6708C">
            <w:pPr>
              <w:jc w:val="right"/>
              <w:textAlignment w:val="bottom"/>
            </w:pPr>
            <w:r>
              <w:rPr>
                <w:rFonts w:ascii="sans-serif" w:eastAsia="sans-serif" w:hAnsi="sans-serif" w:cs="sans-serif"/>
                <w:color w:val="000000"/>
                <w:sz w:val="20"/>
                <w:szCs w:val="20"/>
              </w:rPr>
              <w:t>%</w:t>
            </w:r>
          </w:p>
        </w:tc>
        <w:tc>
          <w:tcPr>
            <w:tcW w:w="0" w:type="auto"/>
            <w:gridSpan w:val="3"/>
            <w:shd w:val="clear" w:color="auto" w:fill="auto"/>
            <w:vAlign w:val="bottom"/>
          </w:tcPr>
          <w:p w14:paraId="7C208F49" w14:textId="77777777" w:rsidR="00834A75" w:rsidRDefault="00834A75">
            <w:pPr>
              <w:rPr>
                <w:rFonts w:ascii="宋体"/>
                <w:vanish/>
              </w:rPr>
            </w:pPr>
          </w:p>
        </w:tc>
        <w:tc>
          <w:tcPr>
            <w:tcW w:w="0" w:type="auto"/>
            <w:gridSpan w:val="3"/>
            <w:shd w:val="clear" w:color="auto" w:fill="auto"/>
            <w:vAlign w:val="bottom"/>
          </w:tcPr>
          <w:p w14:paraId="7C208F4A" w14:textId="77777777" w:rsidR="00834A75" w:rsidRDefault="00834A75">
            <w:pPr>
              <w:rPr>
                <w:rFonts w:ascii="宋体"/>
                <w:vanish/>
              </w:rPr>
            </w:pPr>
          </w:p>
        </w:tc>
        <w:tc>
          <w:tcPr>
            <w:tcW w:w="0" w:type="auto"/>
            <w:gridSpan w:val="3"/>
            <w:shd w:val="clear" w:color="auto" w:fill="auto"/>
            <w:vAlign w:val="bottom"/>
          </w:tcPr>
          <w:p w14:paraId="7C208F4B" w14:textId="77777777" w:rsidR="00834A75" w:rsidRDefault="00834A75">
            <w:pPr>
              <w:rPr>
                <w:rFonts w:ascii="宋体"/>
                <w:vanish/>
              </w:rPr>
            </w:pPr>
          </w:p>
        </w:tc>
        <w:tc>
          <w:tcPr>
            <w:tcW w:w="0" w:type="auto"/>
            <w:gridSpan w:val="3"/>
            <w:shd w:val="clear" w:color="auto" w:fill="auto"/>
            <w:vAlign w:val="bottom"/>
          </w:tcPr>
          <w:p w14:paraId="7C208F4C" w14:textId="77777777" w:rsidR="00834A75" w:rsidRDefault="00834A75">
            <w:pPr>
              <w:rPr>
                <w:rFonts w:ascii="宋体"/>
                <w:vanish/>
              </w:rPr>
            </w:pPr>
          </w:p>
        </w:tc>
        <w:tc>
          <w:tcPr>
            <w:tcW w:w="0" w:type="auto"/>
            <w:gridSpan w:val="3"/>
            <w:shd w:val="clear" w:color="auto" w:fill="auto"/>
            <w:vAlign w:val="bottom"/>
          </w:tcPr>
          <w:p w14:paraId="7C208F4D" w14:textId="77777777" w:rsidR="00834A75" w:rsidRDefault="00834A75">
            <w:pPr>
              <w:rPr>
                <w:rFonts w:ascii="宋体"/>
                <w:vanish/>
              </w:rPr>
            </w:pPr>
          </w:p>
        </w:tc>
        <w:tc>
          <w:tcPr>
            <w:tcW w:w="0" w:type="auto"/>
            <w:gridSpan w:val="3"/>
            <w:shd w:val="clear" w:color="auto" w:fill="auto"/>
            <w:vAlign w:val="bottom"/>
          </w:tcPr>
          <w:p w14:paraId="7C208F4E" w14:textId="77777777" w:rsidR="00834A75" w:rsidRDefault="00834A75">
            <w:pPr>
              <w:rPr>
                <w:rFonts w:ascii="宋体"/>
                <w:vanish/>
              </w:rPr>
            </w:pPr>
          </w:p>
        </w:tc>
        <w:tc>
          <w:tcPr>
            <w:tcW w:w="0" w:type="auto"/>
            <w:gridSpan w:val="3"/>
            <w:shd w:val="clear" w:color="auto" w:fill="auto"/>
            <w:vAlign w:val="bottom"/>
          </w:tcPr>
          <w:p w14:paraId="7C208F4F" w14:textId="77777777" w:rsidR="00834A75" w:rsidRDefault="00834A75">
            <w:pPr>
              <w:rPr>
                <w:rFonts w:ascii="宋体"/>
                <w:vanish/>
              </w:rPr>
            </w:pPr>
          </w:p>
        </w:tc>
        <w:tc>
          <w:tcPr>
            <w:tcW w:w="0" w:type="auto"/>
            <w:gridSpan w:val="3"/>
            <w:shd w:val="clear" w:color="auto" w:fill="auto"/>
            <w:vAlign w:val="bottom"/>
          </w:tcPr>
          <w:p w14:paraId="7C208F50" w14:textId="77777777" w:rsidR="00834A75" w:rsidRDefault="00834A75">
            <w:pPr>
              <w:rPr>
                <w:rFonts w:ascii="宋体"/>
                <w:vanish/>
              </w:rPr>
            </w:pPr>
          </w:p>
        </w:tc>
      </w:tr>
      <w:tr w:rsidR="00834A75" w14:paraId="7C208F66" w14:textId="77777777">
        <w:tc>
          <w:tcPr>
            <w:tcW w:w="0" w:type="auto"/>
            <w:gridSpan w:val="3"/>
            <w:shd w:val="clear" w:color="auto" w:fill="FFFFFF"/>
            <w:tcMar>
              <w:top w:w="40" w:type="dxa"/>
              <w:left w:w="20" w:type="dxa"/>
              <w:bottom w:w="40" w:type="dxa"/>
              <w:right w:w="20" w:type="dxa"/>
            </w:tcMar>
            <w:vAlign w:val="bottom"/>
          </w:tcPr>
          <w:p w14:paraId="7C208F52" w14:textId="77777777" w:rsidR="00834A75" w:rsidRDefault="00A6708C">
            <w:pPr>
              <w:textAlignment w:val="bottom"/>
            </w:pPr>
            <w:r>
              <w:rPr>
                <w:rFonts w:ascii="sans-serif" w:eastAsia="sans-serif" w:hAnsi="sans-serif" w:cs="sans-serif"/>
                <w:color w:val="000000"/>
                <w:sz w:val="20"/>
                <w:szCs w:val="20"/>
              </w:rPr>
              <w:t>Compute &amp; Networking</w:t>
            </w:r>
          </w:p>
        </w:tc>
        <w:tc>
          <w:tcPr>
            <w:tcW w:w="0" w:type="auto"/>
            <w:gridSpan w:val="2"/>
            <w:shd w:val="clear" w:color="auto" w:fill="FFFFFF"/>
            <w:tcMar>
              <w:top w:w="40" w:type="dxa"/>
              <w:left w:w="20" w:type="dxa"/>
              <w:bottom w:w="40" w:type="dxa"/>
              <w:right w:w="0" w:type="dxa"/>
            </w:tcMar>
            <w:vAlign w:val="bottom"/>
          </w:tcPr>
          <w:p w14:paraId="7C208F53" w14:textId="77777777" w:rsidR="00834A75" w:rsidRDefault="00A6708C">
            <w:pPr>
              <w:jc w:val="right"/>
              <w:textAlignment w:val="bottom"/>
            </w:pPr>
            <w:r>
              <w:rPr>
                <w:rFonts w:ascii="sans-serif" w:eastAsia="sans-serif" w:hAnsi="sans-serif" w:cs="sans-serif"/>
                <w:color w:val="000000"/>
                <w:sz w:val="20"/>
                <w:szCs w:val="20"/>
              </w:rPr>
              <w:t>3,672 </w:t>
            </w:r>
          </w:p>
        </w:tc>
        <w:tc>
          <w:tcPr>
            <w:tcW w:w="0" w:type="auto"/>
            <w:shd w:val="clear" w:color="auto" w:fill="FFFFFF"/>
            <w:tcMar>
              <w:top w:w="40" w:type="dxa"/>
              <w:left w:w="0" w:type="dxa"/>
              <w:bottom w:w="40" w:type="dxa"/>
              <w:right w:w="20" w:type="dxa"/>
            </w:tcMar>
            <w:vAlign w:val="bottom"/>
          </w:tcPr>
          <w:p w14:paraId="7C208F54" w14:textId="77777777" w:rsidR="00834A75" w:rsidRDefault="00834A75">
            <w:pPr>
              <w:jc w:val="right"/>
              <w:rPr>
                <w:rFonts w:ascii="宋体"/>
              </w:rPr>
            </w:pPr>
          </w:p>
        </w:tc>
        <w:tc>
          <w:tcPr>
            <w:tcW w:w="0" w:type="auto"/>
            <w:gridSpan w:val="3"/>
            <w:shd w:val="clear" w:color="auto" w:fill="FFFFFF"/>
            <w:tcMar>
              <w:top w:w="0" w:type="dxa"/>
              <w:left w:w="20" w:type="dxa"/>
              <w:bottom w:w="0" w:type="dxa"/>
              <w:right w:w="20" w:type="dxa"/>
            </w:tcMar>
            <w:vAlign w:val="bottom"/>
          </w:tcPr>
          <w:p w14:paraId="7C208F55" w14:textId="77777777" w:rsidR="00834A75" w:rsidRDefault="00834A75">
            <w:pPr>
              <w:rPr>
                <w:rFonts w:ascii="宋体"/>
              </w:rPr>
            </w:pPr>
          </w:p>
        </w:tc>
        <w:tc>
          <w:tcPr>
            <w:tcW w:w="0" w:type="auto"/>
            <w:gridSpan w:val="2"/>
            <w:shd w:val="clear" w:color="auto" w:fill="FFFFFF"/>
            <w:tcMar>
              <w:top w:w="40" w:type="dxa"/>
              <w:left w:w="20" w:type="dxa"/>
              <w:bottom w:w="40" w:type="dxa"/>
              <w:right w:w="0" w:type="dxa"/>
            </w:tcMar>
            <w:vAlign w:val="bottom"/>
          </w:tcPr>
          <w:p w14:paraId="7C208F56" w14:textId="77777777" w:rsidR="00834A75" w:rsidRDefault="00A6708C">
            <w:pPr>
              <w:jc w:val="right"/>
              <w:textAlignment w:val="bottom"/>
            </w:pPr>
            <w:r>
              <w:rPr>
                <w:rFonts w:ascii="sans-serif" w:eastAsia="sans-serif" w:hAnsi="sans-serif" w:cs="sans-serif"/>
                <w:color w:val="000000"/>
                <w:sz w:val="20"/>
                <w:szCs w:val="20"/>
              </w:rPr>
              <w:t>2,210 </w:t>
            </w:r>
          </w:p>
        </w:tc>
        <w:tc>
          <w:tcPr>
            <w:tcW w:w="0" w:type="auto"/>
            <w:shd w:val="clear" w:color="auto" w:fill="FFFFFF"/>
            <w:tcMar>
              <w:top w:w="40" w:type="dxa"/>
              <w:left w:w="0" w:type="dxa"/>
              <w:bottom w:w="40" w:type="dxa"/>
              <w:right w:w="20" w:type="dxa"/>
            </w:tcMar>
            <w:vAlign w:val="bottom"/>
          </w:tcPr>
          <w:p w14:paraId="7C208F57" w14:textId="77777777" w:rsidR="00834A75" w:rsidRDefault="00834A75">
            <w:pPr>
              <w:jc w:val="right"/>
              <w:rPr>
                <w:rFonts w:ascii="宋体"/>
              </w:rPr>
            </w:pPr>
          </w:p>
        </w:tc>
        <w:tc>
          <w:tcPr>
            <w:tcW w:w="0" w:type="auto"/>
            <w:gridSpan w:val="3"/>
            <w:shd w:val="clear" w:color="auto" w:fill="FFFFFF"/>
            <w:tcMar>
              <w:top w:w="0" w:type="dxa"/>
              <w:left w:w="20" w:type="dxa"/>
              <w:bottom w:w="0" w:type="dxa"/>
              <w:right w:w="20" w:type="dxa"/>
            </w:tcMar>
            <w:vAlign w:val="bottom"/>
          </w:tcPr>
          <w:p w14:paraId="7C208F58" w14:textId="77777777" w:rsidR="00834A75" w:rsidRDefault="00834A75">
            <w:pPr>
              <w:rPr>
                <w:rFonts w:ascii="宋体"/>
              </w:rPr>
            </w:pPr>
          </w:p>
        </w:tc>
        <w:tc>
          <w:tcPr>
            <w:tcW w:w="0" w:type="auto"/>
            <w:gridSpan w:val="2"/>
            <w:shd w:val="clear" w:color="auto" w:fill="FFFFFF"/>
            <w:tcMar>
              <w:top w:w="40" w:type="dxa"/>
              <w:left w:w="20" w:type="dxa"/>
              <w:bottom w:w="40" w:type="dxa"/>
              <w:right w:w="0" w:type="dxa"/>
            </w:tcMar>
            <w:vAlign w:val="bottom"/>
          </w:tcPr>
          <w:p w14:paraId="7C208F59" w14:textId="77777777" w:rsidR="00834A75" w:rsidRDefault="00A6708C">
            <w:pPr>
              <w:jc w:val="right"/>
              <w:textAlignment w:val="bottom"/>
            </w:pPr>
            <w:r>
              <w:rPr>
                <w:rFonts w:ascii="sans-serif" w:eastAsia="sans-serif" w:hAnsi="sans-serif" w:cs="sans-serif"/>
                <w:color w:val="000000"/>
                <w:sz w:val="20"/>
                <w:szCs w:val="20"/>
              </w:rPr>
              <w:t>1,462 </w:t>
            </w:r>
          </w:p>
        </w:tc>
        <w:tc>
          <w:tcPr>
            <w:tcW w:w="0" w:type="auto"/>
            <w:shd w:val="clear" w:color="auto" w:fill="FFFFFF"/>
            <w:tcMar>
              <w:top w:w="40" w:type="dxa"/>
              <w:left w:w="0" w:type="dxa"/>
              <w:bottom w:w="40" w:type="dxa"/>
              <w:right w:w="20" w:type="dxa"/>
            </w:tcMar>
            <w:vAlign w:val="bottom"/>
          </w:tcPr>
          <w:p w14:paraId="7C208F5A" w14:textId="77777777" w:rsidR="00834A75" w:rsidRDefault="00834A75">
            <w:pPr>
              <w:jc w:val="right"/>
              <w:rPr>
                <w:rFonts w:ascii="宋体"/>
              </w:rPr>
            </w:pPr>
          </w:p>
        </w:tc>
        <w:tc>
          <w:tcPr>
            <w:tcW w:w="0" w:type="auto"/>
            <w:gridSpan w:val="3"/>
            <w:shd w:val="clear" w:color="auto" w:fill="FFFFFF"/>
            <w:tcMar>
              <w:top w:w="0" w:type="dxa"/>
              <w:left w:w="20" w:type="dxa"/>
              <w:bottom w:w="0" w:type="dxa"/>
              <w:right w:w="20" w:type="dxa"/>
            </w:tcMar>
            <w:vAlign w:val="bottom"/>
          </w:tcPr>
          <w:p w14:paraId="7C208F5B" w14:textId="77777777" w:rsidR="00834A75" w:rsidRDefault="00834A75">
            <w:pPr>
              <w:rPr>
                <w:rFonts w:ascii="宋体"/>
              </w:rPr>
            </w:pPr>
          </w:p>
        </w:tc>
        <w:tc>
          <w:tcPr>
            <w:tcW w:w="0" w:type="auto"/>
            <w:gridSpan w:val="2"/>
            <w:shd w:val="clear" w:color="auto" w:fill="FFFFFF"/>
            <w:tcMar>
              <w:top w:w="40" w:type="dxa"/>
              <w:left w:w="20" w:type="dxa"/>
              <w:bottom w:w="40" w:type="dxa"/>
              <w:right w:w="0" w:type="dxa"/>
            </w:tcMar>
            <w:vAlign w:val="bottom"/>
          </w:tcPr>
          <w:p w14:paraId="7C208F5C" w14:textId="77777777" w:rsidR="00834A75" w:rsidRDefault="00A6708C">
            <w:pPr>
              <w:jc w:val="right"/>
              <w:textAlignment w:val="bottom"/>
            </w:pPr>
            <w:r>
              <w:rPr>
                <w:rFonts w:ascii="sans-serif" w:eastAsia="sans-serif" w:hAnsi="sans-serif" w:cs="sans-serif"/>
                <w:color w:val="000000"/>
                <w:sz w:val="20"/>
                <w:szCs w:val="20"/>
              </w:rPr>
              <w:t>66 </w:t>
            </w:r>
          </w:p>
        </w:tc>
        <w:tc>
          <w:tcPr>
            <w:tcW w:w="0" w:type="auto"/>
            <w:shd w:val="clear" w:color="auto" w:fill="FFFFFF"/>
            <w:tcMar>
              <w:top w:w="40" w:type="dxa"/>
              <w:left w:w="0" w:type="dxa"/>
              <w:bottom w:w="40" w:type="dxa"/>
              <w:right w:w="20" w:type="dxa"/>
            </w:tcMar>
            <w:vAlign w:val="bottom"/>
          </w:tcPr>
          <w:p w14:paraId="7C208F5D" w14:textId="77777777" w:rsidR="00834A75" w:rsidRDefault="00A6708C">
            <w:pPr>
              <w:jc w:val="right"/>
              <w:textAlignment w:val="bottom"/>
            </w:pPr>
            <w:r>
              <w:rPr>
                <w:rFonts w:ascii="sans-serif" w:eastAsia="sans-serif" w:hAnsi="sans-serif" w:cs="sans-serif"/>
                <w:color w:val="000000"/>
                <w:sz w:val="20"/>
                <w:szCs w:val="20"/>
              </w:rPr>
              <w:t>%</w:t>
            </w:r>
          </w:p>
        </w:tc>
        <w:tc>
          <w:tcPr>
            <w:tcW w:w="0" w:type="auto"/>
            <w:gridSpan w:val="3"/>
            <w:shd w:val="clear" w:color="auto" w:fill="auto"/>
            <w:vAlign w:val="bottom"/>
          </w:tcPr>
          <w:p w14:paraId="7C208F5E" w14:textId="77777777" w:rsidR="00834A75" w:rsidRDefault="00834A75">
            <w:pPr>
              <w:rPr>
                <w:rFonts w:ascii="宋体"/>
                <w:vanish/>
              </w:rPr>
            </w:pPr>
          </w:p>
        </w:tc>
        <w:tc>
          <w:tcPr>
            <w:tcW w:w="0" w:type="auto"/>
            <w:gridSpan w:val="3"/>
            <w:shd w:val="clear" w:color="auto" w:fill="auto"/>
            <w:vAlign w:val="bottom"/>
          </w:tcPr>
          <w:p w14:paraId="7C208F5F" w14:textId="77777777" w:rsidR="00834A75" w:rsidRDefault="00834A75">
            <w:pPr>
              <w:rPr>
                <w:rFonts w:ascii="宋体"/>
                <w:vanish/>
              </w:rPr>
            </w:pPr>
          </w:p>
        </w:tc>
        <w:tc>
          <w:tcPr>
            <w:tcW w:w="0" w:type="auto"/>
            <w:gridSpan w:val="3"/>
            <w:shd w:val="clear" w:color="auto" w:fill="auto"/>
            <w:vAlign w:val="bottom"/>
          </w:tcPr>
          <w:p w14:paraId="7C208F60" w14:textId="77777777" w:rsidR="00834A75" w:rsidRDefault="00834A75">
            <w:pPr>
              <w:rPr>
                <w:rFonts w:ascii="宋体"/>
                <w:vanish/>
              </w:rPr>
            </w:pPr>
          </w:p>
        </w:tc>
        <w:tc>
          <w:tcPr>
            <w:tcW w:w="0" w:type="auto"/>
            <w:gridSpan w:val="3"/>
            <w:shd w:val="clear" w:color="auto" w:fill="auto"/>
            <w:vAlign w:val="bottom"/>
          </w:tcPr>
          <w:p w14:paraId="7C208F61" w14:textId="77777777" w:rsidR="00834A75" w:rsidRDefault="00834A75">
            <w:pPr>
              <w:rPr>
                <w:rFonts w:ascii="宋体"/>
                <w:vanish/>
              </w:rPr>
            </w:pPr>
          </w:p>
        </w:tc>
        <w:tc>
          <w:tcPr>
            <w:tcW w:w="0" w:type="auto"/>
            <w:gridSpan w:val="3"/>
            <w:shd w:val="clear" w:color="auto" w:fill="auto"/>
            <w:vAlign w:val="bottom"/>
          </w:tcPr>
          <w:p w14:paraId="7C208F62" w14:textId="77777777" w:rsidR="00834A75" w:rsidRDefault="00834A75">
            <w:pPr>
              <w:rPr>
                <w:rFonts w:ascii="宋体"/>
                <w:vanish/>
              </w:rPr>
            </w:pPr>
          </w:p>
        </w:tc>
        <w:tc>
          <w:tcPr>
            <w:tcW w:w="0" w:type="auto"/>
            <w:gridSpan w:val="3"/>
            <w:shd w:val="clear" w:color="auto" w:fill="auto"/>
            <w:vAlign w:val="bottom"/>
          </w:tcPr>
          <w:p w14:paraId="7C208F63" w14:textId="77777777" w:rsidR="00834A75" w:rsidRDefault="00834A75">
            <w:pPr>
              <w:rPr>
                <w:rFonts w:ascii="宋体"/>
                <w:vanish/>
              </w:rPr>
            </w:pPr>
          </w:p>
        </w:tc>
        <w:tc>
          <w:tcPr>
            <w:tcW w:w="0" w:type="auto"/>
            <w:gridSpan w:val="3"/>
            <w:shd w:val="clear" w:color="auto" w:fill="auto"/>
            <w:vAlign w:val="bottom"/>
          </w:tcPr>
          <w:p w14:paraId="7C208F64" w14:textId="77777777" w:rsidR="00834A75" w:rsidRDefault="00834A75">
            <w:pPr>
              <w:rPr>
                <w:rFonts w:ascii="宋体"/>
                <w:vanish/>
              </w:rPr>
            </w:pPr>
          </w:p>
        </w:tc>
        <w:tc>
          <w:tcPr>
            <w:tcW w:w="0" w:type="auto"/>
            <w:gridSpan w:val="3"/>
            <w:shd w:val="clear" w:color="auto" w:fill="auto"/>
            <w:vAlign w:val="bottom"/>
          </w:tcPr>
          <w:p w14:paraId="7C208F65" w14:textId="77777777" w:rsidR="00834A75" w:rsidRDefault="00834A75">
            <w:pPr>
              <w:rPr>
                <w:rFonts w:ascii="宋体"/>
                <w:vanish/>
              </w:rPr>
            </w:pPr>
          </w:p>
        </w:tc>
      </w:tr>
      <w:tr w:rsidR="00834A75" w14:paraId="7C208F7E" w14:textId="77777777">
        <w:tc>
          <w:tcPr>
            <w:tcW w:w="0" w:type="auto"/>
            <w:gridSpan w:val="3"/>
            <w:shd w:val="clear" w:color="auto" w:fill="E2EFD9"/>
            <w:tcMar>
              <w:top w:w="40" w:type="dxa"/>
              <w:left w:w="20" w:type="dxa"/>
              <w:bottom w:w="40" w:type="dxa"/>
              <w:right w:w="20" w:type="dxa"/>
            </w:tcMar>
            <w:vAlign w:val="bottom"/>
          </w:tcPr>
          <w:p w14:paraId="7C208F67" w14:textId="77777777" w:rsidR="00834A75" w:rsidRDefault="00A6708C">
            <w:pPr>
              <w:textAlignment w:val="bottom"/>
            </w:pPr>
            <w:r>
              <w:rPr>
                <w:rFonts w:ascii="sans-serif" w:eastAsia="sans-serif" w:hAnsi="sans-serif" w:cs="sans-serif"/>
                <w:color w:val="000000"/>
                <w:sz w:val="20"/>
                <w:szCs w:val="20"/>
              </w:rPr>
              <w:t>Total</w:t>
            </w:r>
          </w:p>
        </w:tc>
        <w:tc>
          <w:tcPr>
            <w:tcW w:w="0" w:type="auto"/>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7C208F68" w14:textId="77777777" w:rsidR="00834A75" w:rsidRDefault="00A6708C">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E2EFD9"/>
            <w:tcMar>
              <w:top w:w="40" w:type="dxa"/>
              <w:left w:w="0" w:type="dxa"/>
              <w:bottom w:w="40" w:type="dxa"/>
              <w:right w:w="0" w:type="dxa"/>
            </w:tcMar>
            <w:vAlign w:val="bottom"/>
          </w:tcPr>
          <w:p w14:paraId="7C208F69" w14:textId="77777777" w:rsidR="00834A75" w:rsidRDefault="00A6708C">
            <w:pPr>
              <w:jc w:val="right"/>
              <w:textAlignment w:val="bottom"/>
            </w:pPr>
            <w:r>
              <w:rPr>
                <w:rFonts w:ascii="sans-serif" w:eastAsia="sans-serif" w:hAnsi="sans-serif" w:cs="sans-serif"/>
                <w:color w:val="000000"/>
                <w:sz w:val="20"/>
                <w:szCs w:val="20"/>
              </w:rPr>
              <w:t>8,288 </w:t>
            </w:r>
          </w:p>
        </w:tc>
        <w:tc>
          <w:tcPr>
            <w:tcW w:w="0" w:type="auto"/>
            <w:tcBorders>
              <w:top w:val="single" w:sz="8" w:space="0" w:color="000000"/>
              <w:bottom w:val="double" w:sz="6" w:space="0" w:color="000000"/>
            </w:tcBorders>
            <w:shd w:val="clear" w:color="auto" w:fill="E2EFD9"/>
            <w:tcMar>
              <w:top w:w="40" w:type="dxa"/>
              <w:left w:w="0" w:type="dxa"/>
              <w:bottom w:w="40" w:type="dxa"/>
              <w:right w:w="20" w:type="dxa"/>
            </w:tcMar>
            <w:vAlign w:val="bottom"/>
          </w:tcPr>
          <w:p w14:paraId="7C208F6A" w14:textId="77777777" w:rsidR="00834A75" w:rsidRDefault="00834A75">
            <w:pPr>
              <w:jc w:val="right"/>
              <w:rPr>
                <w:rFonts w:ascii="宋体"/>
              </w:rPr>
            </w:pPr>
          </w:p>
        </w:tc>
        <w:tc>
          <w:tcPr>
            <w:tcW w:w="0" w:type="auto"/>
            <w:gridSpan w:val="3"/>
            <w:shd w:val="clear" w:color="auto" w:fill="E2EFD9"/>
            <w:tcMar>
              <w:top w:w="0" w:type="dxa"/>
              <w:left w:w="20" w:type="dxa"/>
              <w:bottom w:w="0" w:type="dxa"/>
              <w:right w:w="20" w:type="dxa"/>
            </w:tcMar>
            <w:vAlign w:val="bottom"/>
          </w:tcPr>
          <w:p w14:paraId="7C208F6B" w14:textId="77777777" w:rsidR="00834A75" w:rsidRDefault="00834A75">
            <w:pPr>
              <w:rPr>
                <w:rFonts w:ascii="宋体"/>
              </w:rPr>
            </w:pPr>
          </w:p>
        </w:tc>
        <w:tc>
          <w:tcPr>
            <w:tcW w:w="0" w:type="auto"/>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7C208F6C" w14:textId="77777777" w:rsidR="00834A75" w:rsidRDefault="00A6708C">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E2EFD9"/>
            <w:tcMar>
              <w:top w:w="40" w:type="dxa"/>
              <w:left w:w="0" w:type="dxa"/>
              <w:bottom w:w="40" w:type="dxa"/>
              <w:right w:w="0" w:type="dxa"/>
            </w:tcMar>
            <w:vAlign w:val="bottom"/>
          </w:tcPr>
          <w:p w14:paraId="7C208F6D" w14:textId="77777777" w:rsidR="00834A75" w:rsidRDefault="00A6708C">
            <w:pPr>
              <w:jc w:val="right"/>
              <w:textAlignment w:val="bottom"/>
            </w:pPr>
            <w:r>
              <w:rPr>
                <w:rFonts w:ascii="sans-serif" w:eastAsia="sans-serif" w:hAnsi="sans-serif" w:cs="sans-serif"/>
                <w:color w:val="000000"/>
                <w:sz w:val="20"/>
                <w:szCs w:val="20"/>
              </w:rPr>
              <w:t>5,661 </w:t>
            </w:r>
          </w:p>
        </w:tc>
        <w:tc>
          <w:tcPr>
            <w:tcW w:w="0" w:type="auto"/>
            <w:tcBorders>
              <w:top w:val="single" w:sz="8" w:space="0" w:color="000000"/>
              <w:bottom w:val="double" w:sz="6" w:space="0" w:color="000000"/>
            </w:tcBorders>
            <w:shd w:val="clear" w:color="auto" w:fill="E2EFD9"/>
            <w:tcMar>
              <w:top w:w="40" w:type="dxa"/>
              <w:left w:w="0" w:type="dxa"/>
              <w:bottom w:w="40" w:type="dxa"/>
              <w:right w:w="20" w:type="dxa"/>
            </w:tcMar>
            <w:vAlign w:val="bottom"/>
          </w:tcPr>
          <w:p w14:paraId="7C208F6E" w14:textId="77777777" w:rsidR="00834A75" w:rsidRDefault="00834A75">
            <w:pPr>
              <w:jc w:val="right"/>
              <w:rPr>
                <w:rFonts w:ascii="宋体"/>
              </w:rPr>
            </w:pPr>
          </w:p>
        </w:tc>
        <w:tc>
          <w:tcPr>
            <w:tcW w:w="0" w:type="auto"/>
            <w:gridSpan w:val="3"/>
            <w:shd w:val="clear" w:color="auto" w:fill="E2EFD9"/>
            <w:tcMar>
              <w:top w:w="0" w:type="dxa"/>
              <w:left w:w="20" w:type="dxa"/>
              <w:bottom w:w="0" w:type="dxa"/>
              <w:right w:w="20" w:type="dxa"/>
            </w:tcMar>
            <w:vAlign w:val="bottom"/>
          </w:tcPr>
          <w:p w14:paraId="7C208F6F" w14:textId="77777777" w:rsidR="00834A75" w:rsidRDefault="00834A75">
            <w:pPr>
              <w:rPr>
                <w:rFonts w:ascii="宋体"/>
              </w:rPr>
            </w:pPr>
          </w:p>
        </w:tc>
        <w:tc>
          <w:tcPr>
            <w:tcW w:w="0" w:type="auto"/>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7C208F70" w14:textId="77777777" w:rsidR="00834A75" w:rsidRDefault="00A6708C">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E2EFD9"/>
            <w:tcMar>
              <w:top w:w="40" w:type="dxa"/>
              <w:left w:w="0" w:type="dxa"/>
              <w:bottom w:w="40" w:type="dxa"/>
              <w:right w:w="0" w:type="dxa"/>
            </w:tcMar>
            <w:vAlign w:val="bottom"/>
          </w:tcPr>
          <w:p w14:paraId="7C208F71" w14:textId="77777777" w:rsidR="00834A75" w:rsidRDefault="00A6708C">
            <w:pPr>
              <w:jc w:val="right"/>
              <w:textAlignment w:val="bottom"/>
            </w:pPr>
            <w:r>
              <w:rPr>
                <w:rFonts w:ascii="sans-serif" w:eastAsia="sans-serif" w:hAnsi="sans-serif" w:cs="sans-serif"/>
                <w:color w:val="000000"/>
                <w:sz w:val="20"/>
                <w:szCs w:val="20"/>
              </w:rPr>
              <w:t>2,627 </w:t>
            </w:r>
          </w:p>
        </w:tc>
        <w:tc>
          <w:tcPr>
            <w:tcW w:w="0" w:type="auto"/>
            <w:tcBorders>
              <w:top w:val="single" w:sz="8" w:space="0" w:color="000000"/>
              <w:bottom w:val="double" w:sz="6" w:space="0" w:color="000000"/>
            </w:tcBorders>
            <w:shd w:val="clear" w:color="auto" w:fill="E2EFD9"/>
            <w:tcMar>
              <w:top w:w="40" w:type="dxa"/>
              <w:left w:w="0" w:type="dxa"/>
              <w:bottom w:w="40" w:type="dxa"/>
              <w:right w:w="20" w:type="dxa"/>
            </w:tcMar>
            <w:vAlign w:val="bottom"/>
          </w:tcPr>
          <w:p w14:paraId="7C208F72" w14:textId="77777777" w:rsidR="00834A75" w:rsidRDefault="00834A75">
            <w:pPr>
              <w:jc w:val="right"/>
              <w:rPr>
                <w:rFonts w:ascii="宋体"/>
              </w:rPr>
            </w:pPr>
          </w:p>
        </w:tc>
        <w:tc>
          <w:tcPr>
            <w:tcW w:w="0" w:type="auto"/>
            <w:gridSpan w:val="3"/>
            <w:shd w:val="clear" w:color="auto" w:fill="E2EFD9"/>
            <w:tcMar>
              <w:top w:w="0" w:type="dxa"/>
              <w:left w:w="20" w:type="dxa"/>
              <w:bottom w:w="0" w:type="dxa"/>
              <w:right w:w="20" w:type="dxa"/>
            </w:tcMar>
            <w:vAlign w:val="bottom"/>
          </w:tcPr>
          <w:p w14:paraId="7C208F73" w14:textId="77777777" w:rsidR="00834A75" w:rsidRDefault="00834A75">
            <w:pPr>
              <w:rPr>
                <w:rFonts w:ascii="宋体"/>
              </w:rPr>
            </w:pPr>
          </w:p>
        </w:tc>
        <w:tc>
          <w:tcPr>
            <w:tcW w:w="0" w:type="auto"/>
            <w:gridSpan w:val="2"/>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7C208F74" w14:textId="77777777" w:rsidR="00834A75" w:rsidRDefault="00A6708C">
            <w:pPr>
              <w:jc w:val="right"/>
              <w:textAlignment w:val="bottom"/>
            </w:pPr>
            <w:r>
              <w:rPr>
                <w:rFonts w:ascii="sans-serif" w:eastAsia="sans-serif" w:hAnsi="sans-serif" w:cs="sans-serif"/>
                <w:color w:val="000000"/>
                <w:sz w:val="20"/>
                <w:szCs w:val="20"/>
              </w:rPr>
              <w:t>46 </w:t>
            </w:r>
          </w:p>
        </w:tc>
        <w:tc>
          <w:tcPr>
            <w:tcW w:w="0" w:type="auto"/>
            <w:tcBorders>
              <w:top w:val="single" w:sz="8" w:space="0" w:color="000000"/>
              <w:bottom w:val="double" w:sz="6" w:space="0" w:color="000000"/>
            </w:tcBorders>
            <w:shd w:val="clear" w:color="auto" w:fill="E2EFD9"/>
            <w:tcMar>
              <w:top w:w="40" w:type="dxa"/>
              <w:left w:w="0" w:type="dxa"/>
              <w:bottom w:w="40" w:type="dxa"/>
              <w:right w:w="20" w:type="dxa"/>
            </w:tcMar>
            <w:vAlign w:val="bottom"/>
          </w:tcPr>
          <w:p w14:paraId="7C208F75" w14:textId="77777777" w:rsidR="00834A75" w:rsidRDefault="00A6708C">
            <w:pPr>
              <w:jc w:val="right"/>
              <w:textAlignment w:val="bottom"/>
            </w:pPr>
            <w:r>
              <w:rPr>
                <w:rFonts w:ascii="sans-serif" w:eastAsia="sans-serif" w:hAnsi="sans-serif" w:cs="sans-serif"/>
                <w:color w:val="000000"/>
                <w:sz w:val="20"/>
                <w:szCs w:val="20"/>
              </w:rPr>
              <w:t>%</w:t>
            </w:r>
          </w:p>
        </w:tc>
        <w:tc>
          <w:tcPr>
            <w:tcW w:w="0" w:type="auto"/>
            <w:gridSpan w:val="3"/>
            <w:shd w:val="clear" w:color="auto" w:fill="auto"/>
            <w:vAlign w:val="bottom"/>
          </w:tcPr>
          <w:p w14:paraId="7C208F76" w14:textId="77777777" w:rsidR="00834A75" w:rsidRDefault="00834A75">
            <w:pPr>
              <w:rPr>
                <w:rFonts w:ascii="宋体"/>
                <w:vanish/>
              </w:rPr>
            </w:pPr>
          </w:p>
        </w:tc>
        <w:tc>
          <w:tcPr>
            <w:tcW w:w="0" w:type="auto"/>
            <w:gridSpan w:val="3"/>
            <w:shd w:val="clear" w:color="auto" w:fill="auto"/>
            <w:vAlign w:val="bottom"/>
          </w:tcPr>
          <w:p w14:paraId="7C208F77" w14:textId="77777777" w:rsidR="00834A75" w:rsidRDefault="00834A75">
            <w:pPr>
              <w:rPr>
                <w:rFonts w:ascii="宋体"/>
                <w:vanish/>
              </w:rPr>
            </w:pPr>
          </w:p>
        </w:tc>
        <w:tc>
          <w:tcPr>
            <w:tcW w:w="0" w:type="auto"/>
            <w:gridSpan w:val="3"/>
            <w:shd w:val="clear" w:color="auto" w:fill="auto"/>
            <w:vAlign w:val="bottom"/>
          </w:tcPr>
          <w:p w14:paraId="7C208F78" w14:textId="77777777" w:rsidR="00834A75" w:rsidRDefault="00834A75">
            <w:pPr>
              <w:rPr>
                <w:rFonts w:ascii="宋体"/>
                <w:vanish/>
              </w:rPr>
            </w:pPr>
          </w:p>
        </w:tc>
        <w:tc>
          <w:tcPr>
            <w:tcW w:w="0" w:type="auto"/>
            <w:gridSpan w:val="3"/>
            <w:shd w:val="clear" w:color="auto" w:fill="auto"/>
            <w:vAlign w:val="bottom"/>
          </w:tcPr>
          <w:p w14:paraId="7C208F79" w14:textId="77777777" w:rsidR="00834A75" w:rsidRDefault="00834A75">
            <w:pPr>
              <w:rPr>
                <w:rFonts w:ascii="宋体"/>
                <w:vanish/>
              </w:rPr>
            </w:pPr>
          </w:p>
        </w:tc>
        <w:tc>
          <w:tcPr>
            <w:tcW w:w="0" w:type="auto"/>
            <w:gridSpan w:val="3"/>
            <w:shd w:val="clear" w:color="auto" w:fill="auto"/>
            <w:vAlign w:val="bottom"/>
          </w:tcPr>
          <w:p w14:paraId="7C208F7A" w14:textId="77777777" w:rsidR="00834A75" w:rsidRDefault="00834A75">
            <w:pPr>
              <w:rPr>
                <w:rFonts w:ascii="宋体"/>
                <w:vanish/>
              </w:rPr>
            </w:pPr>
          </w:p>
        </w:tc>
        <w:tc>
          <w:tcPr>
            <w:tcW w:w="0" w:type="auto"/>
            <w:gridSpan w:val="3"/>
            <w:shd w:val="clear" w:color="auto" w:fill="auto"/>
            <w:vAlign w:val="bottom"/>
          </w:tcPr>
          <w:p w14:paraId="7C208F7B" w14:textId="77777777" w:rsidR="00834A75" w:rsidRDefault="00834A75">
            <w:pPr>
              <w:rPr>
                <w:rFonts w:ascii="宋体"/>
                <w:vanish/>
              </w:rPr>
            </w:pPr>
          </w:p>
        </w:tc>
        <w:tc>
          <w:tcPr>
            <w:tcW w:w="0" w:type="auto"/>
            <w:gridSpan w:val="3"/>
            <w:shd w:val="clear" w:color="auto" w:fill="auto"/>
            <w:vAlign w:val="bottom"/>
          </w:tcPr>
          <w:p w14:paraId="7C208F7C" w14:textId="77777777" w:rsidR="00834A75" w:rsidRDefault="00834A75">
            <w:pPr>
              <w:rPr>
                <w:rFonts w:ascii="宋体"/>
                <w:vanish/>
              </w:rPr>
            </w:pPr>
          </w:p>
        </w:tc>
        <w:tc>
          <w:tcPr>
            <w:tcW w:w="0" w:type="auto"/>
            <w:gridSpan w:val="3"/>
            <w:shd w:val="clear" w:color="auto" w:fill="auto"/>
            <w:vAlign w:val="bottom"/>
          </w:tcPr>
          <w:p w14:paraId="7C208F7D" w14:textId="77777777" w:rsidR="00834A75" w:rsidRDefault="00834A75">
            <w:pPr>
              <w:rPr>
                <w:rFonts w:ascii="宋体"/>
                <w:vanish/>
              </w:rPr>
            </w:pPr>
          </w:p>
        </w:tc>
      </w:tr>
    </w:tbl>
    <w:p w14:paraId="7C208F7F" w14:textId="77777777" w:rsidR="00834A75" w:rsidRDefault="00A6708C">
      <w:pPr>
        <w:spacing w:after="180"/>
        <w:jc w:val="both"/>
      </w:pPr>
      <w:r>
        <w:rPr>
          <w:rFonts w:ascii="sans-serif" w:eastAsia="sans-serif" w:hAnsi="sans-serif" w:cs="sans-serif"/>
          <w:b/>
          <w:bCs/>
          <w:color w:val="000000"/>
          <w:sz w:val="20"/>
          <w:szCs w:val="20"/>
        </w:rPr>
        <w:t>Graphics -</w:t>
      </w:r>
      <w:r>
        <w:rPr>
          <w:rFonts w:ascii="sans-serif" w:eastAsia="sans-serif" w:hAnsi="sans-serif" w:cs="sans-serif"/>
          <w:color w:val="000000"/>
          <w:sz w:val="20"/>
          <w:szCs w:val="20"/>
        </w:rPr>
        <w:t xml:space="preserve"> Graphics segment revenue increased by 34% in the first quarter of fiscal year 2023 compared to the first quarter of fiscal year 2022. We continue to benefit from increased sales of our NVIDIA Ampere architecture products. The increase in Gaming revenue du</w:t>
      </w:r>
      <w:r>
        <w:rPr>
          <w:rFonts w:ascii="sans-serif" w:eastAsia="sans-serif" w:hAnsi="sans-serif" w:cs="sans-serif"/>
          <w:color w:val="000000"/>
          <w:sz w:val="20"/>
          <w:szCs w:val="20"/>
        </w:rPr>
        <w:t xml:space="preserve">ring the first quarter of fiscal year 2023 resulted from a combination of factors including: the ramp of new RTX 30 Series GPUs; the release of new games supporting ray tracing; the rising popularity of gaming, eSports, content creation and streaming; the </w:t>
      </w:r>
      <w:r>
        <w:rPr>
          <w:rFonts w:ascii="sans-serif" w:eastAsia="sans-serif" w:hAnsi="sans-serif" w:cs="sans-serif"/>
          <w:color w:val="000000"/>
          <w:sz w:val="20"/>
          <w:szCs w:val="20"/>
        </w:rPr>
        <w:t>demand for new and upgraded systems to support the increase in remote work; and the ability of end users to engage in cryptocurrency mining.</w:t>
      </w:r>
    </w:p>
    <w:p w14:paraId="7C208F80" w14:textId="77777777" w:rsidR="00834A75" w:rsidRDefault="00A6708C">
      <w:pPr>
        <w:spacing w:before="120" w:after="120"/>
        <w:jc w:val="both"/>
      </w:pPr>
      <w:r>
        <w:rPr>
          <w:rFonts w:ascii="sans-serif" w:eastAsia="sans-serif" w:hAnsi="sans-serif" w:cs="sans-serif"/>
          <w:b/>
          <w:bCs/>
          <w:color w:val="000000"/>
          <w:sz w:val="20"/>
          <w:szCs w:val="20"/>
        </w:rPr>
        <w:t>Compute &amp; Networking -</w:t>
      </w:r>
      <w:r>
        <w:rPr>
          <w:rFonts w:ascii="sans-serif" w:eastAsia="sans-serif" w:hAnsi="sans-serif" w:cs="sans-serif"/>
          <w:color w:val="000000"/>
          <w:sz w:val="20"/>
          <w:szCs w:val="20"/>
        </w:rPr>
        <w:t xml:space="preserve"> Compute &amp; Networking segment revenue increased by 66% for the first quarter of fiscal year 2</w:t>
      </w:r>
      <w:r>
        <w:rPr>
          <w:rFonts w:ascii="sans-serif" w:eastAsia="sans-serif" w:hAnsi="sans-serif" w:cs="sans-serif"/>
          <w:color w:val="000000"/>
          <w:sz w:val="20"/>
          <w:szCs w:val="20"/>
        </w:rPr>
        <w:t>023 compared to the first quarter of fiscal year 2022, driven primarily by sales of NVIDIA Ampere architecture products to hyperscale customers for cloud computing and workloads such as natural language processing and deep recommender models, as well as to</w:t>
      </w:r>
      <w:r>
        <w:rPr>
          <w:rFonts w:ascii="sans-serif" w:eastAsia="sans-serif" w:hAnsi="sans-serif" w:cs="sans-serif"/>
          <w:color w:val="000000"/>
          <w:sz w:val="20"/>
          <w:szCs w:val="20"/>
        </w:rPr>
        <w:t xml:space="preserve"> vertical industries. The increase also reflects an increase in sales of networking products. CMP contributed an insignificant amount in the first quarter of fiscal year 2023 compared to $155 million in the prior year.</w:t>
      </w:r>
    </w:p>
    <w:p w14:paraId="7C208F81" w14:textId="77777777" w:rsidR="00834A75" w:rsidRDefault="00834A75">
      <w:pPr>
        <w:spacing w:after="180"/>
      </w:pPr>
    </w:p>
    <w:p w14:paraId="7C208F82" w14:textId="77777777" w:rsidR="00834A75" w:rsidRDefault="00A6708C">
      <w:pPr>
        <w:spacing w:after="180"/>
        <w:jc w:val="center"/>
      </w:pPr>
      <w:r>
        <w:rPr>
          <w:rFonts w:ascii="sans-serif" w:eastAsia="sans-serif" w:hAnsi="sans-serif" w:cs="sans-serif"/>
          <w:color w:val="000000"/>
          <w:sz w:val="20"/>
          <w:szCs w:val="20"/>
        </w:rPr>
        <w:t>25</w:t>
      </w:r>
    </w:p>
    <w:p w14:paraId="7C208F83" w14:textId="77777777" w:rsidR="00834A75" w:rsidRDefault="00A6708C">
      <w:r>
        <w:pict w14:anchorId="7C209368">
          <v:rect id="_x0000_i1049" style="width:415.3pt;height:1.5pt" o:hralign="center" o:hrstd="t" o:hr="t" fillcolor="#a0a0a0" stroked="f"/>
        </w:pict>
      </w:r>
    </w:p>
    <w:p w14:paraId="7C208F84" w14:textId="77777777" w:rsidR="00834A75" w:rsidRDefault="00834A75">
      <w:pPr>
        <w:spacing w:after="180"/>
        <w:jc w:val="both"/>
      </w:pPr>
    </w:p>
    <w:p w14:paraId="7C208F85" w14:textId="77777777" w:rsidR="00834A75" w:rsidRDefault="00834A75">
      <w:pPr>
        <w:spacing w:after="180"/>
        <w:jc w:val="both"/>
      </w:pPr>
    </w:p>
    <w:p w14:paraId="7C208F86" w14:textId="77777777" w:rsidR="00834A75" w:rsidRDefault="00834A75">
      <w:pPr>
        <w:spacing w:after="180"/>
        <w:jc w:val="both"/>
      </w:pPr>
    </w:p>
    <w:p w14:paraId="7C208F87" w14:textId="77777777" w:rsidR="00834A75" w:rsidRDefault="00A6708C">
      <w:pPr>
        <w:spacing w:before="120" w:after="120"/>
      </w:pPr>
      <w:r>
        <w:rPr>
          <w:rFonts w:ascii="sans-serif" w:eastAsia="sans-serif" w:hAnsi="sans-serif" w:cs="sans-serif"/>
          <w:b/>
          <w:bCs/>
          <w:color w:val="000000"/>
          <w:sz w:val="20"/>
          <w:szCs w:val="20"/>
        </w:rPr>
        <w:t xml:space="preserve">Concentration of </w:t>
      </w:r>
      <w:r>
        <w:rPr>
          <w:rFonts w:ascii="sans-serif" w:eastAsia="sans-serif" w:hAnsi="sans-serif" w:cs="sans-serif"/>
          <w:b/>
          <w:bCs/>
          <w:color w:val="000000"/>
          <w:sz w:val="20"/>
          <w:szCs w:val="20"/>
        </w:rPr>
        <w:t>Revenue </w:t>
      </w:r>
    </w:p>
    <w:p w14:paraId="7C208F88" w14:textId="77777777" w:rsidR="00834A75" w:rsidRDefault="00A6708C">
      <w:pPr>
        <w:spacing w:before="120" w:after="120"/>
        <w:jc w:val="both"/>
      </w:pPr>
      <w:r>
        <w:rPr>
          <w:rFonts w:ascii="sans-serif" w:eastAsia="sans-serif" w:hAnsi="sans-serif" w:cs="sans-serif"/>
          <w:color w:val="000000"/>
          <w:sz w:val="20"/>
          <w:szCs w:val="20"/>
        </w:rPr>
        <w:t>Revenue from sales to customers outside of the United States accounted for 77% and 86% of total revenue for the first quarter of fiscal years 2023 and 2022, respectively. Revenue by geographic region is allocated to individual countries based on t</w:t>
      </w:r>
      <w:r>
        <w:rPr>
          <w:rFonts w:ascii="sans-serif" w:eastAsia="sans-serif" w:hAnsi="sans-serif" w:cs="sans-serif"/>
          <w:color w:val="000000"/>
          <w:sz w:val="20"/>
          <w:szCs w:val="20"/>
        </w:rPr>
        <w:t>he location to which the products are initially billed even if the revenue is attributable to end customers in a different location.</w:t>
      </w:r>
    </w:p>
    <w:p w14:paraId="7C208F89" w14:textId="77777777" w:rsidR="00834A75" w:rsidRDefault="00A6708C">
      <w:pPr>
        <w:spacing w:before="180" w:after="120"/>
        <w:jc w:val="both"/>
      </w:pPr>
      <w:r>
        <w:rPr>
          <w:rFonts w:ascii="sans-serif" w:eastAsia="sans-serif" w:hAnsi="sans-serif" w:cs="sans-serif"/>
          <w:color w:val="000000"/>
          <w:sz w:val="20"/>
          <w:szCs w:val="20"/>
        </w:rPr>
        <w:t>No customer represented 10% or more of total revenue for the first quarter of fiscal years 2023 or 2022.</w:t>
      </w:r>
    </w:p>
    <w:p w14:paraId="7C208F8A" w14:textId="77777777" w:rsidR="00834A75" w:rsidRDefault="00A6708C">
      <w:pPr>
        <w:spacing w:before="240" w:after="60"/>
        <w:jc w:val="both"/>
      </w:pPr>
      <w:r>
        <w:rPr>
          <w:rFonts w:ascii="sans-serif" w:eastAsia="sans-serif" w:hAnsi="sans-serif" w:cs="sans-serif"/>
          <w:b/>
          <w:bCs/>
          <w:color w:val="76B900"/>
          <w:sz w:val="20"/>
          <w:szCs w:val="20"/>
        </w:rPr>
        <w:t>Gross Margin</w:t>
      </w:r>
    </w:p>
    <w:p w14:paraId="7C208F8B" w14:textId="77777777" w:rsidR="00834A75" w:rsidRDefault="00A6708C">
      <w:pPr>
        <w:spacing w:before="120" w:after="120"/>
        <w:jc w:val="both"/>
      </w:pPr>
      <w:r>
        <w:rPr>
          <w:rFonts w:ascii="sans-serif" w:eastAsia="sans-serif" w:hAnsi="sans-serif" w:cs="sans-serif"/>
          <w:color w:val="000000"/>
          <w:sz w:val="20"/>
          <w:szCs w:val="20"/>
        </w:rPr>
        <w:t>Our o</w:t>
      </w:r>
      <w:r>
        <w:rPr>
          <w:rFonts w:ascii="sans-serif" w:eastAsia="sans-serif" w:hAnsi="sans-serif" w:cs="sans-serif"/>
          <w:color w:val="000000"/>
          <w:sz w:val="20"/>
          <w:szCs w:val="20"/>
        </w:rPr>
        <w:t>verall gross margin increased to 65.5% for the first quarter of fiscal year 2023 from 64.1% for the first quarter of fiscal year 2022, reflecting a higher-end mix of GeForce GPUs within our Graphics segment and a reduced impact to gross margin for acquisit</w:t>
      </w:r>
      <w:r>
        <w:rPr>
          <w:rFonts w:ascii="sans-serif" w:eastAsia="sans-serif" w:hAnsi="sans-serif" w:cs="sans-serif"/>
          <w:color w:val="000000"/>
          <w:sz w:val="20"/>
          <w:szCs w:val="20"/>
        </w:rPr>
        <w:t>ion-related costs.</w:t>
      </w:r>
    </w:p>
    <w:p w14:paraId="7C208F8C" w14:textId="77777777" w:rsidR="00834A75" w:rsidRDefault="00A6708C">
      <w:pPr>
        <w:spacing w:after="180"/>
        <w:jc w:val="both"/>
      </w:pPr>
      <w:r>
        <w:rPr>
          <w:rFonts w:ascii="sans-serif" w:eastAsia="sans-serif" w:hAnsi="sans-serif" w:cs="sans-serif"/>
          <w:color w:val="000000"/>
          <w:sz w:val="20"/>
          <w:szCs w:val="20"/>
        </w:rPr>
        <w:t>Inventory provisions totaled $90 million and $58 million for the first quarter of fiscal years 2023 and 2022, respectively. Sales of inventory that was previously written-off or down totaled $15 million and $21 million for the first quar</w:t>
      </w:r>
      <w:r>
        <w:rPr>
          <w:rFonts w:ascii="sans-serif" w:eastAsia="sans-serif" w:hAnsi="sans-serif" w:cs="sans-serif"/>
          <w:color w:val="000000"/>
          <w:sz w:val="20"/>
          <w:szCs w:val="20"/>
        </w:rPr>
        <w:t>ter of fiscal years 2023 and 2022, respectively. As a result, the overall net effect on our gross margin was an unfavorable impact of 0.9% and 0.6% in the first quarter of fiscal years 2023 and 2022, respectively.</w:t>
      </w:r>
    </w:p>
    <w:p w14:paraId="7C208F8D" w14:textId="77777777" w:rsidR="00834A75" w:rsidRDefault="00A6708C">
      <w:pPr>
        <w:spacing w:before="120" w:after="120"/>
        <w:jc w:val="both"/>
      </w:pPr>
      <w:r>
        <w:rPr>
          <w:rFonts w:ascii="sans-serif" w:eastAsia="sans-serif" w:hAnsi="sans-serif" w:cs="sans-serif"/>
          <w:b/>
          <w:bCs/>
          <w:color w:val="000000"/>
          <w:sz w:val="20"/>
          <w:szCs w:val="20"/>
        </w:rPr>
        <w:t>Graphics -</w:t>
      </w:r>
      <w:r>
        <w:rPr>
          <w:rFonts w:ascii="sans-serif" w:eastAsia="sans-serif" w:hAnsi="sans-serif" w:cs="sans-serif"/>
          <w:color w:val="000000"/>
          <w:sz w:val="20"/>
          <w:szCs w:val="20"/>
        </w:rPr>
        <w:t xml:space="preserve"> The gross margin of our Graphic</w:t>
      </w:r>
      <w:r>
        <w:rPr>
          <w:rFonts w:ascii="sans-serif" w:eastAsia="sans-serif" w:hAnsi="sans-serif" w:cs="sans-serif"/>
          <w:color w:val="000000"/>
          <w:sz w:val="20"/>
          <w:szCs w:val="20"/>
        </w:rPr>
        <w:t>s segment increased during the first quarter of fiscal year 2023 compared to the first quarter of fiscal year 2022, primarily due to a higher-end mix within GeForce GPUs.</w:t>
      </w:r>
    </w:p>
    <w:p w14:paraId="7C208F8E" w14:textId="77777777" w:rsidR="00834A75" w:rsidRDefault="00A6708C">
      <w:pPr>
        <w:spacing w:before="120" w:after="120"/>
        <w:jc w:val="both"/>
      </w:pPr>
      <w:r>
        <w:rPr>
          <w:rFonts w:ascii="sans-serif" w:eastAsia="sans-serif" w:hAnsi="sans-serif" w:cs="sans-serif"/>
          <w:b/>
          <w:bCs/>
          <w:color w:val="000000"/>
          <w:sz w:val="20"/>
          <w:szCs w:val="20"/>
        </w:rPr>
        <w:t>Compute &amp; Networking -</w:t>
      </w:r>
      <w:r>
        <w:rPr>
          <w:rFonts w:ascii="sans-serif" w:eastAsia="sans-serif" w:hAnsi="sans-serif" w:cs="sans-serif"/>
          <w:color w:val="000000"/>
          <w:sz w:val="20"/>
          <w:szCs w:val="20"/>
        </w:rPr>
        <w:t> The gross margin of our Compute &amp; Networking segment decreased</w:t>
      </w:r>
      <w:r>
        <w:rPr>
          <w:rFonts w:ascii="sans-serif" w:eastAsia="sans-serif" w:hAnsi="sans-serif" w:cs="sans-serif"/>
          <w:color w:val="000000"/>
          <w:sz w:val="20"/>
          <w:szCs w:val="20"/>
        </w:rPr>
        <w:t xml:space="preserve"> during the first quarter of fiscal year 2023 compared to the first quarter of fiscal year 2022, primarily due to lower contribution of prior architecture boards compared to NVIDIA Ampere architecture systems.</w:t>
      </w:r>
    </w:p>
    <w:p w14:paraId="7C208F8F" w14:textId="77777777" w:rsidR="00834A75" w:rsidRDefault="00A6708C">
      <w:pPr>
        <w:spacing w:before="240" w:after="60"/>
        <w:jc w:val="both"/>
      </w:pPr>
      <w:r>
        <w:rPr>
          <w:rFonts w:ascii="sans-serif" w:eastAsia="sans-serif" w:hAnsi="sans-serif" w:cs="sans-serif"/>
          <w:b/>
          <w:bCs/>
          <w:color w:val="76B900"/>
          <w:sz w:val="20"/>
          <w:szCs w:val="20"/>
        </w:rPr>
        <w:t>Operating Expenses</w:t>
      </w:r>
    </w:p>
    <w:tbl>
      <w:tblPr>
        <w:tblW w:w="5000" w:type="pct"/>
        <w:tblCellMar>
          <w:top w:w="15" w:type="dxa"/>
          <w:left w:w="15" w:type="dxa"/>
          <w:bottom w:w="15" w:type="dxa"/>
          <w:right w:w="15" w:type="dxa"/>
        </w:tblCellMar>
        <w:tblLook w:val="04A0" w:firstRow="1" w:lastRow="0" w:firstColumn="1" w:lastColumn="0" w:noHBand="0" w:noVBand="1"/>
      </w:tblPr>
      <w:tblGrid>
        <w:gridCol w:w="38"/>
        <w:gridCol w:w="4032"/>
        <w:gridCol w:w="37"/>
        <w:gridCol w:w="122"/>
        <w:gridCol w:w="501"/>
        <w:gridCol w:w="163"/>
        <w:gridCol w:w="36"/>
        <w:gridCol w:w="36"/>
        <w:gridCol w:w="36"/>
        <w:gridCol w:w="122"/>
        <w:gridCol w:w="501"/>
        <w:gridCol w:w="163"/>
        <w:gridCol w:w="36"/>
        <w:gridCol w:w="36"/>
        <w:gridCol w:w="36"/>
        <w:gridCol w:w="122"/>
        <w:gridCol w:w="501"/>
        <w:gridCol w:w="36"/>
        <w:gridCol w:w="36"/>
        <w:gridCol w:w="36"/>
        <w:gridCol w:w="36"/>
        <w:gridCol w:w="82"/>
        <w:gridCol w:w="565"/>
        <w:gridCol w:w="163"/>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tblGrid>
      <w:tr w:rsidR="00834A75" w14:paraId="7C208FB0" w14:textId="77777777">
        <w:tc>
          <w:tcPr>
            <w:tcW w:w="50" w:type="pct"/>
            <w:shd w:val="clear" w:color="auto" w:fill="auto"/>
            <w:vAlign w:val="bottom"/>
          </w:tcPr>
          <w:p w14:paraId="7C208F90" w14:textId="77777777" w:rsidR="00834A75" w:rsidRDefault="00834A75">
            <w:pPr>
              <w:rPr>
                <w:rFonts w:ascii="宋体"/>
              </w:rPr>
            </w:pPr>
          </w:p>
        </w:tc>
        <w:tc>
          <w:tcPr>
            <w:tcW w:w="2934" w:type="pct"/>
            <w:shd w:val="clear" w:color="auto" w:fill="auto"/>
            <w:vAlign w:val="bottom"/>
          </w:tcPr>
          <w:p w14:paraId="7C208F91" w14:textId="77777777" w:rsidR="00834A75" w:rsidRDefault="00834A75">
            <w:pPr>
              <w:rPr>
                <w:rFonts w:ascii="宋体"/>
              </w:rPr>
            </w:pPr>
          </w:p>
        </w:tc>
        <w:tc>
          <w:tcPr>
            <w:tcW w:w="5" w:type="pct"/>
            <w:shd w:val="clear" w:color="auto" w:fill="auto"/>
            <w:vAlign w:val="bottom"/>
          </w:tcPr>
          <w:p w14:paraId="7C208F92" w14:textId="77777777" w:rsidR="00834A75" w:rsidRDefault="00834A75">
            <w:pPr>
              <w:rPr>
                <w:rFonts w:ascii="宋体"/>
              </w:rPr>
            </w:pPr>
          </w:p>
        </w:tc>
        <w:tc>
          <w:tcPr>
            <w:tcW w:w="50" w:type="pct"/>
            <w:shd w:val="clear" w:color="auto" w:fill="auto"/>
            <w:vAlign w:val="bottom"/>
          </w:tcPr>
          <w:p w14:paraId="7C208F93" w14:textId="77777777" w:rsidR="00834A75" w:rsidRDefault="00834A75">
            <w:pPr>
              <w:rPr>
                <w:rFonts w:ascii="宋体"/>
              </w:rPr>
            </w:pPr>
          </w:p>
        </w:tc>
        <w:tc>
          <w:tcPr>
            <w:tcW w:w="493" w:type="pct"/>
            <w:shd w:val="clear" w:color="auto" w:fill="auto"/>
            <w:vAlign w:val="bottom"/>
          </w:tcPr>
          <w:p w14:paraId="7C208F94" w14:textId="77777777" w:rsidR="00834A75" w:rsidRDefault="00834A75">
            <w:pPr>
              <w:rPr>
                <w:rFonts w:ascii="宋体"/>
              </w:rPr>
            </w:pPr>
          </w:p>
        </w:tc>
        <w:tc>
          <w:tcPr>
            <w:tcW w:w="5" w:type="pct"/>
            <w:shd w:val="clear" w:color="auto" w:fill="auto"/>
            <w:vAlign w:val="bottom"/>
          </w:tcPr>
          <w:p w14:paraId="7C208F95" w14:textId="77777777" w:rsidR="00834A75" w:rsidRDefault="00834A75">
            <w:pPr>
              <w:rPr>
                <w:rFonts w:ascii="宋体"/>
              </w:rPr>
            </w:pPr>
          </w:p>
        </w:tc>
        <w:tc>
          <w:tcPr>
            <w:tcW w:w="5" w:type="pct"/>
            <w:shd w:val="clear" w:color="auto" w:fill="auto"/>
            <w:vAlign w:val="bottom"/>
          </w:tcPr>
          <w:p w14:paraId="7C208F96" w14:textId="77777777" w:rsidR="00834A75" w:rsidRDefault="00834A75">
            <w:pPr>
              <w:rPr>
                <w:rFonts w:ascii="宋体"/>
              </w:rPr>
            </w:pPr>
          </w:p>
        </w:tc>
        <w:tc>
          <w:tcPr>
            <w:tcW w:w="26" w:type="pct"/>
            <w:shd w:val="clear" w:color="auto" w:fill="auto"/>
            <w:vAlign w:val="bottom"/>
          </w:tcPr>
          <w:p w14:paraId="7C208F97" w14:textId="77777777" w:rsidR="00834A75" w:rsidRDefault="00834A75">
            <w:pPr>
              <w:rPr>
                <w:rFonts w:ascii="宋体"/>
              </w:rPr>
            </w:pPr>
          </w:p>
        </w:tc>
        <w:tc>
          <w:tcPr>
            <w:tcW w:w="5" w:type="pct"/>
            <w:shd w:val="clear" w:color="auto" w:fill="auto"/>
            <w:vAlign w:val="bottom"/>
          </w:tcPr>
          <w:p w14:paraId="7C208F98" w14:textId="77777777" w:rsidR="00834A75" w:rsidRDefault="00834A75">
            <w:pPr>
              <w:rPr>
                <w:rFonts w:ascii="宋体"/>
              </w:rPr>
            </w:pPr>
          </w:p>
        </w:tc>
        <w:tc>
          <w:tcPr>
            <w:tcW w:w="50" w:type="pct"/>
            <w:shd w:val="clear" w:color="auto" w:fill="auto"/>
            <w:vAlign w:val="bottom"/>
          </w:tcPr>
          <w:p w14:paraId="7C208F99" w14:textId="77777777" w:rsidR="00834A75" w:rsidRDefault="00834A75">
            <w:pPr>
              <w:rPr>
                <w:rFonts w:ascii="宋体"/>
              </w:rPr>
            </w:pPr>
          </w:p>
        </w:tc>
        <w:tc>
          <w:tcPr>
            <w:tcW w:w="493" w:type="pct"/>
            <w:shd w:val="clear" w:color="auto" w:fill="auto"/>
            <w:vAlign w:val="bottom"/>
          </w:tcPr>
          <w:p w14:paraId="7C208F9A" w14:textId="77777777" w:rsidR="00834A75" w:rsidRDefault="00834A75">
            <w:pPr>
              <w:rPr>
                <w:rFonts w:ascii="宋体"/>
              </w:rPr>
            </w:pPr>
          </w:p>
        </w:tc>
        <w:tc>
          <w:tcPr>
            <w:tcW w:w="5" w:type="pct"/>
            <w:shd w:val="clear" w:color="auto" w:fill="auto"/>
            <w:vAlign w:val="bottom"/>
          </w:tcPr>
          <w:p w14:paraId="7C208F9B" w14:textId="77777777" w:rsidR="00834A75" w:rsidRDefault="00834A75">
            <w:pPr>
              <w:rPr>
                <w:rFonts w:ascii="宋体"/>
              </w:rPr>
            </w:pPr>
          </w:p>
        </w:tc>
        <w:tc>
          <w:tcPr>
            <w:tcW w:w="5" w:type="pct"/>
            <w:shd w:val="clear" w:color="auto" w:fill="auto"/>
            <w:vAlign w:val="bottom"/>
          </w:tcPr>
          <w:p w14:paraId="7C208F9C" w14:textId="77777777" w:rsidR="00834A75" w:rsidRDefault="00834A75">
            <w:pPr>
              <w:rPr>
                <w:rFonts w:ascii="宋体"/>
              </w:rPr>
            </w:pPr>
          </w:p>
        </w:tc>
        <w:tc>
          <w:tcPr>
            <w:tcW w:w="26" w:type="pct"/>
            <w:shd w:val="clear" w:color="auto" w:fill="auto"/>
            <w:vAlign w:val="bottom"/>
          </w:tcPr>
          <w:p w14:paraId="7C208F9D" w14:textId="77777777" w:rsidR="00834A75" w:rsidRDefault="00834A75">
            <w:pPr>
              <w:rPr>
                <w:rFonts w:ascii="宋体"/>
              </w:rPr>
            </w:pPr>
          </w:p>
        </w:tc>
        <w:tc>
          <w:tcPr>
            <w:tcW w:w="5" w:type="pct"/>
            <w:shd w:val="clear" w:color="auto" w:fill="auto"/>
            <w:vAlign w:val="bottom"/>
          </w:tcPr>
          <w:p w14:paraId="7C208F9E" w14:textId="77777777" w:rsidR="00834A75" w:rsidRDefault="00834A75">
            <w:pPr>
              <w:rPr>
                <w:rFonts w:ascii="宋体"/>
              </w:rPr>
            </w:pPr>
          </w:p>
        </w:tc>
        <w:tc>
          <w:tcPr>
            <w:tcW w:w="50" w:type="pct"/>
            <w:shd w:val="clear" w:color="auto" w:fill="auto"/>
            <w:vAlign w:val="bottom"/>
          </w:tcPr>
          <w:p w14:paraId="7C208F9F" w14:textId="77777777" w:rsidR="00834A75" w:rsidRDefault="00834A75">
            <w:pPr>
              <w:rPr>
                <w:rFonts w:ascii="宋体"/>
              </w:rPr>
            </w:pPr>
          </w:p>
        </w:tc>
        <w:tc>
          <w:tcPr>
            <w:tcW w:w="347" w:type="pct"/>
            <w:shd w:val="clear" w:color="auto" w:fill="auto"/>
            <w:vAlign w:val="bottom"/>
          </w:tcPr>
          <w:p w14:paraId="7C208FA0" w14:textId="77777777" w:rsidR="00834A75" w:rsidRDefault="00834A75">
            <w:pPr>
              <w:rPr>
                <w:rFonts w:ascii="宋体"/>
              </w:rPr>
            </w:pPr>
          </w:p>
        </w:tc>
        <w:tc>
          <w:tcPr>
            <w:tcW w:w="5" w:type="pct"/>
            <w:shd w:val="clear" w:color="auto" w:fill="auto"/>
            <w:vAlign w:val="bottom"/>
          </w:tcPr>
          <w:p w14:paraId="7C208FA1" w14:textId="77777777" w:rsidR="00834A75" w:rsidRDefault="00834A75">
            <w:pPr>
              <w:rPr>
                <w:rFonts w:ascii="宋体"/>
              </w:rPr>
            </w:pPr>
          </w:p>
        </w:tc>
        <w:tc>
          <w:tcPr>
            <w:tcW w:w="5" w:type="pct"/>
            <w:shd w:val="clear" w:color="auto" w:fill="auto"/>
            <w:vAlign w:val="bottom"/>
          </w:tcPr>
          <w:p w14:paraId="7C208FA2" w14:textId="77777777" w:rsidR="00834A75" w:rsidRDefault="00834A75">
            <w:pPr>
              <w:rPr>
                <w:rFonts w:ascii="宋体"/>
              </w:rPr>
            </w:pPr>
          </w:p>
        </w:tc>
        <w:tc>
          <w:tcPr>
            <w:tcW w:w="26" w:type="pct"/>
            <w:shd w:val="clear" w:color="auto" w:fill="auto"/>
            <w:vAlign w:val="bottom"/>
          </w:tcPr>
          <w:p w14:paraId="7C208FA3" w14:textId="77777777" w:rsidR="00834A75" w:rsidRDefault="00834A75">
            <w:pPr>
              <w:rPr>
                <w:rFonts w:ascii="宋体"/>
              </w:rPr>
            </w:pPr>
          </w:p>
        </w:tc>
        <w:tc>
          <w:tcPr>
            <w:tcW w:w="5" w:type="pct"/>
            <w:shd w:val="clear" w:color="auto" w:fill="auto"/>
            <w:vAlign w:val="bottom"/>
          </w:tcPr>
          <w:p w14:paraId="7C208FA4" w14:textId="77777777" w:rsidR="00834A75" w:rsidRDefault="00834A75">
            <w:pPr>
              <w:rPr>
                <w:rFonts w:ascii="宋体"/>
              </w:rPr>
            </w:pPr>
          </w:p>
        </w:tc>
        <w:tc>
          <w:tcPr>
            <w:tcW w:w="50" w:type="pct"/>
            <w:shd w:val="clear" w:color="auto" w:fill="auto"/>
            <w:vAlign w:val="bottom"/>
          </w:tcPr>
          <w:p w14:paraId="7C208FA5" w14:textId="77777777" w:rsidR="00834A75" w:rsidRDefault="00834A75">
            <w:pPr>
              <w:rPr>
                <w:rFonts w:ascii="宋体"/>
              </w:rPr>
            </w:pPr>
          </w:p>
        </w:tc>
        <w:tc>
          <w:tcPr>
            <w:tcW w:w="347" w:type="pct"/>
            <w:shd w:val="clear" w:color="auto" w:fill="auto"/>
            <w:vAlign w:val="bottom"/>
          </w:tcPr>
          <w:p w14:paraId="7C208FA6" w14:textId="77777777" w:rsidR="00834A75" w:rsidRDefault="00834A75">
            <w:pPr>
              <w:rPr>
                <w:rFonts w:ascii="宋体"/>
              </w:rPr>
            </w:pPr>
          </w:p>
        </w:tc>
        <w:tc>
          <w:tcPr>
            <w:tcW w:w="5" w:type="pct"/>
            <w:shd w:val="clear" w:color="auto" w:fill="auto"/>
            <w:vAlign w:val="bottom"/>
          </w:tcPr>
          <w:p w14:paraId="7C208FA7" w14:textId="77777777" w:rsidR="00834A75" w:rsidRDefault="00834A75">
            <w:pPr>
              <w:rPr>
                <w:rFonts w:ascii="宋体"/>
              </w:rPr>
            </w:pPr>
          </w:p>
        </w:tc>
        <w:tc>
          <w:tcPr>
            <w:tcW w:w="0" w:type="auto"/>
            <w:gridSpan w:val="3"/>
            <w:shd w:val="clear" w:color="auto" w:fill="auto"/>
            <w:vAlign w:val="bottom"/>
          </w:tcPr>
          <w:p w14:paraId="7C208FA8" w14:textId="77777777" w:rsidR="00834A75" w:rsidRDefault="00834A75">
            <w:pPr>
              <w:rPr>
                <w:rFonts w:ascii="宋体"/>
                <w:vanish/>
              </w:rPr>
            </w:pPr>
          </w:p>
        </w:tc>
        <w:tc>
          <w:tcPr>
            <w:tcW w:w="0" w:type="auto"/>
            <w:gridSpan w:val="3"/>
            <w:shd w:val="clear" w:color="auto" w:fill="auto"/>
            <w:vAlign w:val="bottom"/>
          </w:tcPr>
          <w:p w14:paraId="7C208FA9" w14:textId="77777777" w:rsidR="00834A75" w:rsidRDefault="00834A75">
            <w:pPr>
              <w:rPr>
                <w:rFonts w:ascii="宋体"/>
                <w:vanish/>
              </w:rPr>
            </w:pPr>
          </w:p>
        </w:tc>
        <w:tc>
          <w:tcPr>
            <w:tcW w:w="0" w:type="auto"/>
            <w:gridSpan w:val="3"/>
            <w:shd w:val="clear" w:color="auto" w:fill="auto"/>
            <w:vAlign w:val="bottom"/>
          </w:tcPr>
          <w:p w14:paraId="7C208FAA" w14:textId="77777777" w:rsidR="00834A75" w:rsidRDefault="00834A75">
            <w:pPr>
              <w:rPr>
                <w:rFonts w:ascii="宋体"/>
                <w:vanish/>
              </w:rPr>
            </w:pPr>
          </w:p>
        </w:tc>
        <w:tc>
          <w:tcPr>
            <w:tcW w:w="0" w:type="auto"/>
            <w:gridSpan w:val="3"/>
            <w:shd w:val="clear" w:color="auto" w:fill="auto"/>
            <w:vAlign w:val="bottom"/>
          </w:tcPr>
          <w:p w14:paraId="7C208FAB" w14:textId="77777777" w:rsidR="00834A75" w:rsidRDefault="00834A75">
            <w:pPr>
              <w:rPr>
                <w:rFonts w:ascii="宋体"/>
                <w:vanish/>
              </w:rPr>
            </w:pPr>
          </w:p>
        </w:tc>
        <w:tc>
          <w:tcPr>
            <w:tcW w:w="0" w:type="auto"/>
            <w:gridSpan w:val="3"/>
            <w:shd w:val="clear" w:color="auto" w:fill="auto"/>
            <w:vAlign w:val="bottom"/>
          </w:tcPr>
          <w:p w14:paraId="7C208FAC" w14:textId="77777777" w:rsidR="00834A75" w:rsidRDefault="00834A75">
            <w:pPr>
              <w:rPr>
                <w:rFonts w:ascii="宋体"/>
                <w:vanish/>
              </w:rPr>
            </w:pPr>
          </w:p>
        </w:tc>
        <w:tc>
          <w:tcPr>
            <w:tcW w:w="0" w:type="auto"/>
            <w:gridSpan w:val="3"/>
            <w:shd w:val="clear" w:color="auto" w:fill="auto"/>
            <w:vAlign w:val="bottom"/>
          </w:tcPr>
          <w:p w14:paraId="7C208FAD" w14:textId="77777777" w:rsidR="00834A75" w:rsidRDefault="00834A75">
            <w:pPr>
              <w:rPr>
                <w:rFonts w:ascii="宋体"/>
                <w:vanish/>
              </w:rPr>
            </w:pPr>
          </w:p>
        </w:tc>
        <w:tc>
          <w:tcPr>
            <w:tcW w:w="0" w:type="auto"/>
            <w:gridSpan w:val="3"/>
            <w:shd w:val="clear" w:color="auto" w:fill="auto"/>
            <w:vAlign w:val="bottom"/>
          </w:tcPr>
          <w:p w14:paraId="7C208FAE" w14:textId="77777777" w:rsidR="00834A75" w:rsidRDefault="00834A75">
            <w:pPr>
              <w:rPr>
                <w:rFonts w:ascii="宋体"/>
                <w:vanish/>
              </w:rPr>
            </w:pPr>
          </w:p>
        </w:tc>
        <w:tc>
          <w:tcPr>
            <w:tcW w:w="0" w:type="auto"/>
            <w:gridSpan w:val="3"/>
            <w:shd w:val="clear" w:color="auto" w:fill="auto"/>
            <w:vAlign w:val="bottom"/>
          </w:tcPr>
          <w:p w14:paraId="7C208FAF" w14:textId="77777777" w:rsidR="00834A75" w:rsidRDefault="00834A75">
            <w:pPr>
              <w:rPr>
                <w:rFonts w:ascii="宋体"/>
                <w:vanish/>
              </w:rPr>
            </w:pPr>
          </w:p>
        </w:tc>
      </w:tr>
      <w:tr w:rsidR="00834A75" w14:paraId="7C208FC7" w14:textId="77777777">
        <w:tc>
          <w:tcPr>
            <w:tcW w:w="0" w:type="auto"/>
            <w:gridSpan w:val="3"/>
            <w:shd w:val="clear" w:color="auto" w:fill="auto"/>
            <w:tcMar>
              <w:top w:w="40" w:type="dxa"/>
              <w:left w:w="20" w:type="dxa"/>
              <w:bottom w:w="40" w:type="dxa"/>
              <w:right w:w="20" w:type="dxa"/>
            </w:tcMar>
            <w:vAlign w:val="center"/>
          </w:tcPr>
          <w:p w14:paraId="7C208FB1" w14:textId="77777777" w:rsidR="00834A75" w:rsidRDefault="00A6708C">
            <w:pPr>
              <w:textAlignment w:val="center"/>
            </w:pPr>
            <w:r>
              <w:rPr>
                <w:rFonts w:ascii="sans-serif" w:eastAsia="sans-serif" w:hAnsi="sans-serif" w:cs="sans-serif"/>
                <w:color w:val="000000"/>
                <w:sz w:val="20"/>
                <w:szCs w:val="20"/>
              </w:rPr>
              <w:t> </w:t>
            </w:r>
          </w:p>
        </w:tc>
        <w:tc>
          <w:tcPr>
            <w:tcW w:w="0" w:type="auto"/>
            <w:gridSpan w:val="21"/>
            <w:shd w:val="clear" w:color="auto" w:fill="auto"/>
            <w:tcMar>
              <w:top w:w="40" w:type="dxa"/>
              <w:left w:w="20" w:type="dxa"/>
              <w:bottom w:w="40" w:type="dxa"/>
              <w:right w:w="20" w:type="dxa"/>
            </w:tcMar>
            <w:vAlign w:val="center"/>
          </w:tcPr>
          <w:p w14:paraId="7C208FB2" w14:textId="77777777" w:rsidR="00834A75" w:rsidRDefault="00A6708C">
            <w:pPr>
              <w:jc w:val="center"/>
              <w:textAlignment w:val="center"/>
            </w:pPr>
            <w:r>
              <w:rPr>
                <w:rFonts w:ascii="sans-serif" w:eastAsia="sans-serif" w:hAnsi="sans-serif" w:cs="sans-serif"/>
                <w:b/>
                <w:bCs/>
                <w:color w:val="000000"/>
                <w:sz w:val="20"/>
                <w:szCs w:val="20"/>
              </w:rPr>
              <w:t>Three Months Ended</w:t>
            </w:r>
          </w:p>
        </w:tc>
        <w:tc>
          <w:tcPr>
            <w:tcW w:w="0" w:type="auto"/>
            <w:gridSpan w:val="3"/>
            <w:shd w:val="clear" w:color="auto" w:fill="auto"/>
            <w:vAlign w:val="bottom"/>
          </w:tcPr>
          <w:p w14:paraId="7C208FB3" w14:textId="77777777" w:rsidR="00834A75" w:rsidRDefault="00834A75">
            <w:pPr>
              <w:rPr>
                <w:rFonts w:ascii="宋体"/>
                <w:vanish/>
              </w:rPr>
            </w:pPr>
          </w:p>
        </w:tc>
        <w:tc>
          <w:tcPr>
            <w:tcW w:w="0" w:type="auto"/>
            <w:gridSpan w:val="3"/>
            <w:shd w:val="clear" w:color="auto" w:fill="auto"/>
            <w:vAlign w:val="bottom"/>
          </w:tcPr>
          <w:p w14:paraId="7C208FB4" w14:textId="77777777" w:rsidR="00834A75" w:rsidRDefault="00834A75">
            <w:pPr>
              <w:rPr>
                <w:rFonts w:ascii="宋体"/>
                <w:vanish/>
              </w:rPr>
            </w:pPr>
          </w:p>
        </w:tc>
        <w:tc>
          <w:tcPr>
            <w:tcW w:w="0" w:type="auto"/>
            <w:shd w:val="clear" w:color="auto" w:fill="auto"/>
            <w:vAlign w:val="bottom"/>
          </w:tcPr>
          <w:p w14:paraId="7C208FB5" w14:textId="77777777" w:rsidR="00834A75" w:rsidRDefault="00834A75">
            <w:pPr>
              <w:rPr>
                <w:rFonts w:ascii="宋体"/>
              </w:rPr>
            </w:pPr>
          </w:p>
        </w:tc>
        <w:tc>
          <w:tcPr>
            <w:tcW w:w="0" w:type="auto"/>
            <w:shd w:val="clear" w:color="auto" w:fill="auto"/>
            <w:vAlign w:val="bottom"/>
          </w:tcPr>
          <w:p w14:paraId="7C208FB6" w14:textId="77777777" w:rsidR="00834A75" w:rsidRDefault="00834A75">
            <w:pPr>
              <w:rPr>
                <w:rFonts w:ascii="宋体"/>
              </w:rPr>
            </w:pPr>
          </w:p>
        </w:tc>
        <w:tc>
          <w:tcPr>
            <w:tcW w:w="0" w:type="auto"/>
            <w:shd w:val="clear" w:color="auto" w:fill="auto"/>
            <w:vAlign w:val="bottom"/>
          </w:tcPr>
          <w:p w14:paraId="7C208FB7" w14:textId="77777777" w:rsidR="00834A75" w:rsidRDefault="00834A75">
            <w:pPr>
              <w:rPr>
                <w:rFonts w:ascii="宋体"/>
              </w:rPr>
            </w:pPr>
          </w:p>
        </w:tc>
        <w:tc>
          <w:tcPr>
            <w:tcW w:w="0" w:type="auto"/>
            <w:shd w:val="clear" w:color="auto" w:fill="auto"/>
            <w:vAlign w:val="bottom"/>
          </w:tcPr>
          <w:p w14:paraId="7C208FB8" w14:textId="77777777" w:rsidR="00834A75" w:rsidRDefault="00834A75">
            <w:pPr>
              <w:rPr>
                <w:rFonts w:ascii="宋体"/>
              </w:rPr>
            </w:pPr>
          </w:p>
        </w:tc>
        <w:tc>
          <w:tcPr>
            <w:tcW w:w="0" w:type="auto"/>
            <w:shd w:val="clear" w:color="auto" w:fill="auto"/>
            <w:vAlign w:val="bottom"/>
          </w:tcPr>
          <w:p w14:paraId="7C208FB9" w14:textId="77777777" w:rsidR="00834A75" w:rsidRDefault="00834A75">
            <w:pPr>
              <w:rPr>
                <w:rFonts w:ascii="宋体"/>
              </w:rPr>
            </w:pPr>
          </w:p>
        </w:tc>
        <w:tc>
          <w:tcPr>
            <w:tcW w:w="0" w:type="auto"/>
            <w:shd w:val="clear" w:color="auto" w:fill="auto"/>
            <w:vAlign w:val="bottom"/>
          </w:tcPr>
          <w:p w14:paraId="7C208FBA" w14:textId="77777777" w:rsidR="00834A75" w:rsidRDefault="00834A75">
            <w:pPr>
              <w:rPr>
                <w:rFonts w:ascii="宋体"/>
              </w:rPr>
            </w:pPr>
          </w:p>
        </w:tc>
        <w:tc>
          <w:tcPr>
            <w:tcW w:w="0" w:type="auto"/>
            <w:shd w:val="clear" w:color="auto" w:fill="auto"/>
            <w:vAlign w:val="bottom"/>
          </w:tcPr>
          <w:p w14:paraId="7C208FBB" w14:textId="77777777" w:rsidR="00834A75" w:rsidRDefault="00834A75">
            <w:pPr>
              <w:rPr>
                <w:rFonts w:ascii="宋体"/>
              </w:rPr>
            </w:pPr>
          </w:p>
        </w:tc>
        <w:tc>
          <w:tcPr>
            <w:tcW w:w="0" w:type="auto"/>
            <w:shd w:val="clear" w:color="auto" w:fill="auto"/>
            <w:vAlign w:val="bottom"/>
          </w:tcPr>
          <w:p w14:paraId="7C208FBC" w14:textId="77777777" w:rsidR="00834A75" w:rsidRDefault="00834A75">
            <w:pPr>
              <w:rPr>
                <w:rFonts w:ascii="宋体"/>
              </w:rPr>
            </w:pPr>
          </w:p>
        </w:tc>
        <w:tc>
          <w:tcPr>
            <w:tcW w:w="0" w:type="auto"/>
            <w:shd w:val="clear" w:color="auto" w:fill="auto"/>
            <w:vAlign w:val="bottom"/>
          </w:tcPr>
          <w:p w14:paraId="7C208FBD" w14:textId="77777777" w:rsidR="00834A75" w:rsidRDefault="00834A75">
            <w:pPr>
              <w:rPr>
                <w:rFonts w:ascii="宋体"/>
              </w:rPr>
            </w:pPr>
          </w:p>
        </w:tc>
        <w:tc>
          <w:tcPr>
            <w:tcW w:w="0" w:type="auto"/>
            <w:shd w:val="clear" w:color="auto" w:fill="auto"/>
            <w:vAlign w:val="bottom"/>
          </w:tcPr>
          <w:p w14:paraId="7C208FBE" w14:textId="77777777" w:rsidR="00834A75" w:rsidRDefault="00834A75">
            <w:pPr>
              <w:rPr>
                <w:rFonts w:ascii="宋体"/>
              </w:rPr>
            </w:pPr>
          </w:p>
        </w:tc>
        <w:tc>
          <w:tcPr>
            <w:tcW w:w="0" w:type="auto"/>
            <w:shd w:val="clear" w:color="auto" w:fill="auto"/>
            <w:vAlign w:val="bottom"/>
          </w:tcPr>
          <w:p w14:paraId="7C208FBF" w14:textId="77777777" w:rsidR="00834A75" w:rsidRDefault="00834A75">
            <w:pPr>
              <w:rPr>
                <w:rFonts w:ascii="宋体"/>
              </w:rPr>
            </w:pPr>
          </w:p>
        </w:tc>
        <w:tc>
          <w:tcPr>
            <w:tcW w:w="0" w:type="auto"/>
            <w:shd w:val="clear" w:color="auto" w:fill="auto"/>
            <w:vAlign w:val="bottom"/>
          </w:tcPr>
          <w:p w14:paraId="7C208FC0" w14:textId="77777777" w:rsidR="00834A75" w:rsidRDefault="00834A75">
            <w:pPr>
              <w:rPr>
                <w:rFonts w:ascii="宋体"/>
              </w:rPr>
            </w:pPr>
          </w:p>
        </w:tc>
        <w:tc>
          <w:tcPr>
            <w:tcW w:w="0" w:type="auto"/>
            <w:shd w:val="clear" w:color="auto" w:fill="auto"/>
            <w:vAlign w:val="bottom"/>
          </w:tcPr>
          <w:p w14:paraId="7C208FC1" w14:textId="77777777" w:rsidR="00834A75" w:rsidRDefault="00834A75">
            <w:pPr>
              <w:rPr>
                <w:rFonts w:ascii="宋体"/>
              </w:rPr>
            </w:pPr>
          </w:p>
        </w:tc>
        <w:tc>
          <w:tcPr>
            <w:tcW w:w="0" w:type="auto"/>
            <w:shd w:val="clear" w:color="auto" w:fill="auto"/>
            <w:vAlign w:val="bottom"/>
          </w:tcPr>
          <w:p w14:paraId="7C208FC2" w14:textId="77777777" w:rsidR="00834A75" w:rsidRDefault="00834A75">
            <w:pPr>
              <w:rPr>
                <w:rFonts w:ascii="宋体"/>
              </w:rPr>
            </w:pPr>
          </w:p>
        </w:tc>
        <w:tc>
          <w:tcPr>
            <w:tcW w:w="0" w:type="auto"/>
            <w:shd w:val="clear" w:color="auto" w:fill="auto"/>
            <w:vAlign w:val="bottom"/>
          </w:tcPr>
          <w:p w14:paraId="7C208FC3" w14:textId="77777777" w:rsidR="00834A75" w:rsidRDefault="00834A75">
            <w:pPr>
              <w:rPr>
                <w:rFonts w:ascii="宋体"/>
              </w:rPr>
            </w:pPr>
          </w:p>
        </w:tc>
        <w:tc>
          <w:tcPr>
            <w:tcW w:w="0" w:type="auto"/>
            <w:shd w:val="clear" w:color="auto" w:fill="auto"/>
            <w:vAlign w:val="bottom"/>
          </w:tcPr>
          <w:p w14:paraId="7C208FC4" w14:textId="77777777" w:rsidR="00834A75" w:rsidRDefault="00834A75">
            <w:pPr>
              <w:rPr>
                <w:rFonts w:ascii="宋体"/>
              </w:rPr>
            </w:pPr>
          </w:p>
        </w:tc>
        <w:tc>
          <w:tcPr>
            <w:tcW w:w="0" w:type="auto"/>
            <w:shd w:val="clear" w:color="auto" w:fill="auto"/>
            <w:vAlign w:val="bottom"/>
          </w:tcPr>
          <w:p w14:paraId="7C208FC5" w14:textId="77777777" w:rsidR="00834A75" w:rsidRDefault="00834A75">
            <w:pPr>
              <w:rPr>
                <w:rFonts w:ascii="宋体"/>
              </w:rPr>
            </w:pPr>
          </w:p>
        </w:tc>
        <w:tc>
          <w:tcPr>
            <w:tcW w:w="0" w:type="auto"/>
            <w:shd w:val="clear" w:color="auto" w:fill="auto"/>
            <w:vAlign w:val="bottom"/>
          </w:tcPr>
          <w:p w14:paraId="7C208FC6" w14:textId="77777777" w:rsidR="00834A75" w:rsidRDefault="00834A75">
            <w:pPr>
              <w:rPr>
                <w:rFonts w:ascii="宋体"/>
              </w:rPr>
            </w:pPr>
          </w:p>
        </w:tc>
      </w:tr>
      <w:tr w:rsidR="00834A75" w14:paraId="7C208FD8" w14:textId="77777777">
        <w:tc>
          <w:tcPr>
            <w:tcW w:w="0" w:type="auto"/>
            <w:gridSpan w:val="3"/>
            <w:shd w:val="clear" w:color="auto" w:fill="auto"/>
            <w:tcMar>
              <w:top w:w="40" w:type="dxa"/>
              <w:left w:w="20" w:type="dxa"/>
              <w:bottom w:w="40" w:type="dxa"/>
              <w:right w:w="20" w:type="dxa"/>
            </w:tcMar>
            <w:vAlign w:val="center"/>
          </w:tcPr>
          <w:p w14:paraId="7C208FC8" w14:textId="77777777" w:rsidR="00834A75" w:rsidRDefault="00A6708C">
            <w:pPr>
              <w:textAlignment w:val="center"/>
            </w:pPr>
            <w:r>
              <w:rPr>
                <w:rFonts w:ascii="sans-serif" w:eastAsia="sans-serif" w:hAnsi="sans-serif" w:cs="sans-serif"/>
                <w:color w:val="000000"/>
                <w:sz w:val="20"/>
                <w:szCs w:val="20"/>
              </w:rPr>
              <w:t> </w:t>
            </w:r>
          </w:p>
        </w:tc>
        <w:tc>
          <w:tcPr>
            <w:tcW w:w="0" w:type="auto"/>
            <w:gridSpan w:val="3"/>
            <w:tcBorders>
              <w:top w:val="single" w:sz="8" w:space="0" w:color="000000"/>
            </w:tcBorders>
            <w:shd w:val="clear" w:color="auto" w:fill="auto"/>
            <w:tcMar>
              <w:top w:w="40" w:type="dxa"/>
              <w:left w:w="20" w:type="dxa"/>
              <w:bottom w:w="40" w:type="dxa"/>
              <w:right w:w="20" w:type="dxa"/>
            </w:tcMar>
            <w:vAlign w:val="center"/>
          </w:tcPr>
          <w:p w14:paraId="7C208FC9" w14:textId="77777777" w:rsidR="00834A75" w:rsidRDefault="00A6708C">
            <w:pPr>
              <w:jc w:val="center"/>
              <w:textAlignment w:val="center"/>
            </w:pPr>
            <w:r>
              <w:rPr>
                <w:rFonts w:ascii="sans-serif" w:eastAsia="sans-serif" w:hAnsi="sans-serif" w:cs="sans-serif"/>
                <w:b/>
                <w:bCs/>
                <w:color w:val="000000"/>
                <w:sz w:val="20"/>
                <w:szCs w:val="20"/>
              </w:rPr>
              <w:t>May 1,</w:t>
            </w:r>
            <w:r>
              <w:rPr>
                <w:rFonts w:ascii="sans-serif" w:eastAsia="sans-serif" w:hAnsi="sans-serif" w:cs="sans-serif"/>
                <w:b/>
                <w:bCs/>
                <w:color w:val="000000"/>
                <w:sz w:val="20"/>
                <w:szCs w:val="20"/>
              </w:rPr>
              <w:b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C208FCA" w14:textId="77777777" w:rsidR="00834A75" w:rsidRDefault="00834A75">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center"/>
          </w:tcPr>
          <w:p w14:paraId="7C208FCB" w14:textId="77777777" w:rsidR="00834A75" w:rsidRDefault="00A6708C">
            <w:pPr>
              <w:jc w:val="center"/>
              <w:textAlignment w:val="center"/>
            </w:pPr>
            <w:r>
              <w:rPr>
                <w:rFonts w:ascii="sans-serif" w:eastAsia="sans-serif" w:hAnsi="sans-serif" w:cs="sans-serif"/>
                <w:b/>
                <w:bCs/>
                <w:color w:val="000000"/>
                <w:sz w:val="20"/>
                <w:szCs w:val="20"/>
              </w:rPr>
              <w:t>May 2,</w:t>
            </w:r>
            <w:r>
              <w:rPr>
                <w:rFonts w:ascii="sans-serif" w:eastAsia="sans-serif" w:hAnsi="sans-serif" w:cs="sans-serif"/>
                <w:b/>
                <w:bCs/>
                <w:color w:val="000000"/>
                <w:sz w:val="20"/>
                <w:szCs w:val="20"/>
              </w:rPr>
              <w:b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C208FCC" w14:textId="77777777" w:rsidR="00834A75" w:rsidRDefault="00834A75">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center"/>
          </w:tcPr>
          <w:p w14:paraId="7C208FCD" w14:textId="77777777" w:rsidR="00834A75" w:rsidRDefault="00A6708C">
            <w:pPr>
              <w:jc w:val="center"/>
              <w:textAlignment w:val="center"/>
            </w:pPr>
            <w:r>
              <w:rPr>
                <w:rFonts w:ascii="sans-serif" w:eastAsia="sans-serif" w:hAnsi="sans-serif" w:cs="sans-serif"/>
                <w:b/>
                <w:bCs/>
                <w:color w:val="000000"/>
                <w:sz w:val="20"/>
                <w:szCs w:val="20"/>
              </w:rPr>
              <w:t>$</w:t>
            </w:r>
            <w:r>
              <w:rPr>
                <w:rFonts w:ascii="sans-serif" w:eastAsia="sans-serif" w:hAnsi="sans-serif" w:cs="sans-serif"/>
                <w:b/>
                <w:bCs/>
                <w:color w:val="000000"/>
                <w:sz w:val="20"/>
                <w:szCs w:val="20"/>
              </w:rPr>
              <w:br/>
              <w:t>Change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C208FCE" w14:textId="77777777" w:rsidR="00834A75" w:rsidRDefault="00834A75">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center"/>
          </w:tcPr>
          <w:p w14:paraId="7C208FCF" w14:textId="77777777" w:rsidR="00834A75" w:rsidRDefault="00A6708C">
            <w:pPr>
              <w:jc w:val="center"/>
              <w:textAlignment w:val="center"/>
            </w:pPr>
            <w:r>
              <w:rPr>
                <w:rFonts w:ascii="sans-serif" w:eastAsia="sans-serif" w:hAnsi="sans-serif" w:cs="sans-serif"/>
                <w:b/>
                <w:bCs/>
                <w:color w:val="000000"/>
                <w:sz w:val="20"/>
                <w:szCs w:val="20"/>
              </w:rPr>
              <w:t>%</w:t>
            </w:r>
            <w:r>
              <w:rPr>
                <w:rFonts w:ascii="sans-serif" w:eastAsia="sans-serif" w:hAnsi="sans-serif" w:cs="sans-serif"/>
                <w:b/>
                <w:bCs/>
                <w:color w:val="000000"/>
                <w:sz w:val="20"/>
                <w:szCs w:val="20"/>
              </w:rPr>
              <w:br/>
              <w:t>Change</w:t>
            </w:r>
          </w:p>
        </w:tc>
        <w:tc>
          <w:tcPr>
            <w:tcW w:w="0" w:type="auto"/>
            <w:gridSpan w:val="3"/>
            <w:shd w:val="clear" w:color="auto" w:fill="auto"/>
            <w:vAlign w:val="bottom"/>
          </w:tcPr>
          <w:p w14:paraId="7C208FD0" w14:textId="77777777" w:rsidR="00834A75" w:rsidRDefault="00834A75">
            <w:pPr>
              <w:rPr>
                <w:rFonts w:ascii="宋体"/>
                <w:vanish/>
              </w:rPr>
            </w:pPr>
          </w:p>
        </w:tc>
        <w:tc>
          <w:tcPr>
            <w:tcW w:w="0" w:type="auto"/>
            <w:gridSpan w:val="3"/>
            <w:shd w:val="clear" w:color="auto" w:fill="auto"/>
            <w:vAlign w:val="bottom"/>
          </w:tcPr>
          <w:p w14:paraId="7C208FD1" w14:textId="77777777" w:rsidR="00834A75" w:rsidRDefault="00834A75">
            <w:pPr>
              <w:rPr>
                <w:rFonts w:ascii="宋体"/>
                <w:vanish/>
              </w:rPr>
            </w:pPr>
          </w:p>
        </w:tc>
        <w:tc>
          <w:tcPr>
            <w:tcW w:w="0" w:type="auto"/>
            <w:gridSpan w:val="3"/>
            <w:shd w:val="clear" w:color="auto" w:fill="auto"/>
            <w:vAlign w:val="bottom"/>
          </w:tcPr>
          <w:p w14:paraId="7C208FD2" w14:textId="77777777" w:rsidR="00834A75" w:rsidRDefault="00834A75">
            <w:pPr>
              <w:rPr>
                <w:rFonts w:ascii="宋体"/>
                <w:vanish/>
              </w:rPr>
            </w:pPr>
          </w:p>
        </w:tc>
        <w:tc>
          <w:tcPr>
            <w:tcW w:w="0" w:type="auto"/>
            <w:gridSpan w:val="3"/>
            <w:shd w:val="clear" w:color="auto" w:fill="auto"/>
            <w:vAlign w:val="bottom"/>
          </w:tcPr>
          <w:p w14:paraId="7C208FD3" w14:textId="77777777" w:rsidR="00834A75" w:rsidRDefault="00834A75">
            <w:pPr>
              <w:rPr>
                <w:rFonts w:ascii="宋体"/>
                <w:vanish/>
              </w:rPr>
            </w:pPr>
          </w:p>
        </w:tc>
        <w:tc>
          <w:tcPr>
            <w:tcW w:w="0" w:type="auto"/>
            <w:gridSpan w:val="3"/>
            <w:shd w:val="clear" w:color="auto" w:fill="auto"/>
            <w:vAlign w:val="bottom"/>
          </w:tcPr>
          <w:p w14:paraId="7C208FD4" w14:textId="77777777" w:rsidR="00834A75" w:rsidRDefault="00834A75">
            <w:pPr>
              <w:rPr>
                <w:rFonts w:ascii="宋体"/>
                <w:vanish/>
              </w:rPr>
            </w:pPr>
          </w:p>
        </w:tc>
        <w:tc>
          <w:tcPr>
            <w:tcW w:w="0" w:type="auto"/>
            <w:gridSpan w:val="3"/>
            <w:shd w:val="clear" w:color="auto" w:fill="auto"/>
            <w:vAlign w:val="bottom"/>
          </w:tcPr>
          <w:p w14:paraId="7C208FD5" w14:textId="77777777" w:rsidR="00834A75" w:rsidRDefault="00834A75">
            <w:pPr>
              <w:rPr>
                <w:rFonts w:ascii="宋体"/>
                <w:vanish/>
              </w:rPr>
            </w:pPr>
          </w:p>
        </w:tc>
        <w:tc>
          <w:tcPr>
            <w:tcW w:w="0" w:type="auto"/>
            <w:gridSpan w:val="3"/>
            <w:shd w:val="clear" w:color="auto" w:fill="auto"/>
            <w:vAlign w:val="bottom"/>
          </w:tcPr>
          <w:p w14:paraId="7C208FD6" w14:textId="77777777" w:rsidR="00834A75" w:rsidRDefault="00834A75">
            <w:pPr>
              <w:rPr>
                <w:rFonts w:ascii="宋体"/>
                <w:vanish/>
              </w:rPr>
            </w:pPr>
          </w:p>
        </w:tc>
        <w:tc>
          <w:tcPr>
            <w:tcW w:w="0" w:type="auto"/>
            <w:gridSpan w:val="3"/>
            <w:shd w:val="clear" w:color="auto" w:fill="auto"/>
            <w:vAlign w:val="bottom"/>
          </w:tcPr>
          <w:p w14:paraId="7C208FD7" w14:textId="77777777" w:rsidR="00834A75" w:rsidRDefault="00834A75">
            <w:pPr>
              <w:rPr>
                <w:rFonts w:ascii="宋体"/>
                <w:vanish/>
              </w:rPr>
            </w:pPr>
          </w:p>
        </w:tc>
      </w:tr>
      <w:tr w:rsidR="00834A75" w14:paraId="7C208FE9" w14:textId="77777777">
        <w:trPr>
          <w:trHeight w:val="60"/>
        </w:trPr>
        <w:tc>
          <w:tcPr>
            <w:tcW w:w="0" w:type="auto"/>
            <w:gridSpan w:val="3"/>
            <w:shd w:val="clear" w:color="auto" w:fill="auto"/>
            <w:tcMar>
              <w:top w:w="0" w:type="dxa"/>
              <w:left w:w="20" w:type="dxa"/>
              <w:bottom w:w="0" w:type="dxa"/>
              <w:right w:w="20" w:type="dxa"/>
            </w:tcMar>
            <w:vAlign w:val="bottom"/>
          </w:tcPr>
          <w:p w14:paraId="7C208FD9" w14:textId="77777777" w:rsidR="00834A75" w:rsidRDefault="00834A75">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C208FDA" w14:textId="77777777" w:rsidR="00834A75" w:rsidRDefault="00834A75">
            <w:pPr>
              <w:rPr>
                <w:rFonts w:ascii="宋体"/>
              </w:rPr>
            </w:pPr>
          </w:p>
        </w:tc>
        <w:tc>
          <w:tcPr>
            <w:tcW w:w="0" w:type="auto"/>
            <w:gridSpan w:val="3"/>
            <w:shd w:val="clear" w:color="auto" w:fill="auto"/>
            <w:tcMar>
              <w:top w:w="0" w:type="dxa"/>
              <w:left w:w="20" w:type="dxa"/>
              <w:bottom w:w="0" w:type="dxa"/>
              <w:right w:w="20" w:type="dxa"/>
            </w:tcMar>
            <w:vAlign w:val="bottom"/>
          </w:tcPr>
          <w:p w14:paraId="7C208FDB" w14:textId="77777777" w:rsidR="00834A75" w:rsidRDefault="00834A75">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C208FDC" w14:textId="77777777" w:rsidR="00834A75" w:rsidRDefault="00834A75">
            <w:pPr>
              <w:rPr>
                <w:rFonts w:ascii="宋体"/>
              </w:rPr>
            </w:pPr>
          </w:p>
        </w:tc>
        <w:tc>
          <w:tcPr>
            <w:tcW w:w="0" w:type="auto"/>
            <w:gridSpan w:val="3"/>
            <w:shd w:val="clear" w:color="auto" w:fill="auto"/>
            <w:tcMar>
              <w:top w:w="0" w:type="dxa"/>
              <w:left w:w="20" w:type="dxa"/>
              <w:bottom w:w="0" w:type="dxa"/>
              <w:right w:w="20" w:type="dxa"/>
            </w:tcMar>
            <w:vAlign w:val="bottom"/>
          </w:tcPr>
          <w:p w14:paraId="7C208FDD" w14:textId="77777777" w:rsidR="00834A75" w:rsidRDefault="00834A75">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C208FDE" w14:textId="77777777" w:rsidR="00834A75" w:rsidRDefault="00834A75">
            <w:pPr>
              <w:rPr>
                <w:rFonts w:ascii="宋体"/>
              </w:rPr>
            </w:pPr>
          </w:p>
        </w:tc>
        <w:tc>
          <w:tcPr>
            <w:tcW w:w="0" w:type="auto"/>
            <w:gridSpan w:val="3"/>
            <w:shd w:val="clear" w:color="auto" w:fill="auto"/>
            <w:tcMar>
              <w:top w:w="0" w:type="dxa"/>
              <w:left w:w="20" w:type="dxa"/>
              <w:bottom w:w="0" w:type="dxa"/>
              <w:right w:w="20" w:type="dxa"/>
            </w:tcMar>
            <w:vAlign w:val="bottom"/>
          </w:tcPr>
          <w:p w14:paraId="7C208FDF" w14:textId="77777777" w:rsidR="00834A75" w:rsidRDefault="00834A75">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C208FE0" w14:textId="77777777" w:rsidR="00834A75" w:rsidRDefault="00834A75">
            <w:pPr>
              <w:rPr>
                <w:rFonts w:ascii="宋体"/>
              </w:rPr>
            </w:pPr>
          </w:p>
        </w:tc>
        <w:tc>
          <w:tcPr>
            <w:tcW w:w="0" w:type="auto"/>
            <w:gridSpan w:val="3"/>
            <w:shd w:val="clear" w:color="auto" w:fill="auto"/>
            <w:vAlign w:val="bottom"/>
          </w:tcPr>
          <w:p w14:paraId="7C208FE1" w14:textId="77777777" w:rsidR="00834A75" w:rsidRDefault="00834A75">
            <w:pPr>
              <w:rPr>
                <w:rFonts w:ascii="宋体"/>
                <w:vanish/>
              </w:rPr>
            </w:pPr>
          </w:p>
        </w:tc>
        <w:tc>
          <w:tcPr>
            <w:tcW w:w="0" w:type="auto"/>
            <w:gridSpan w:val="3"/>
            <w:shd w:val="clear" w:color="auto" w:fill="auto"/>
            <w:vAlign w:val="bottom"/>
          </w:tcPr>
          <w:p w14:paraId="7C208FE2" w14:textId="77777777" w:rsidR="00834A75" w:rsidRDefault="00834A75">
            <w:pPr>
              <w:rPr>
                <w:rFonts w:ascii="宋体"/>
                <w:vanish/>
              </w:rPr>
            </w:pPr>
          </w:p>
        </w:tc>
        <w:tc>
          <w:tcPr>
            <w:tcW w:w="0" w:type="auto"/>
            <w:gridSpan w:val="3"/>
            <w:shd w:val="clear" w:color="auto" w:fill="auto"/>
            <w:vAlign w:val="bottom"/>
          </w:tcPr>
          <w:p w14:paraId="7C208FE3" w14:textId="77777777" w:rsidR="00834A75" w:rsidRDefault="00834A75">
            <w:pPr>
              <w:rPr>
                <w:rFonts w:ascii="宋体"/>
                <w:vanish/>
              </w:rPr>
            </w:pPr>
          </w:p>
        </w:tc>
        <w:tc>
          <w:tcPr>
            <w:tcW w:w="0" w:type="auto"/>
            <w:gridSpan w:val="3"/>
            <w:shd w:val="clear" w:color="auto" w:fill="auto"/>
            <w:vAlign w:val="bottom"/>
          </w:tcPr>
          <w:p w14:paraId="7C208FE4" w14:textId="77777777" w:rsidR="00834A75" w:rsidRDefault="00834A75">
            <w:pPr>
              <w:rPr>
                <w:rFonts w:ascii="宋体"/>
                <w:vanish/>
              </w:rPr>
            </w:pPr>
          </w:p>
        </w:tc>
        <w:tc>
          <w:tcPr>
            <w:tcW w:w="0" w:type="auto"/>
            <w:gridSpan w:val="3"/>
            <w:shd w:val="clear" w:color="auto" w:fill="auto"/>
            <w:vAlign w:val="bottom"/>
          </w:tcPr>
          <w:p w14:paraId="7C208FE5" w14:textId="77777777" w:rsidR="00834A75" w:rsidRDefault="00834A75">
            <w:pPr>
              <w:rPr>
                <w:rFonts w:ascii="宋体"/>
                <w:vanish/>
              </w:rPr>
            </w:pPr>
          </w:p>
        </w:tc>
        <w:tc>
          <w:tcPr>
            <w:tcW w:w="0" w:type="auto"/>
            <w:gridSpan w:val="3"/>
            <w:shd w:val="clear" w:color="auto" w:fill="auto"/>
            <w:vAlign w:val="bottom"/>
          </w:tcPr>
          <w:p w14:paraId="7C208FE6" w14:textId="77777777" w:rsidR="00834A75" w:rsidRDefault="00834A75">
            <w:pPr>
              <w:rPr>
                <w:rFonts w:ascii="宋体"/>
                <w:vanish/>
              </w:rPr>
            </w:pPr>
          </w:p>
        </w:tc>
        <w:tc>
          <w:tcPr>
            <w:tcW w:w="0" w:type="auto"/>
            <w:gridSpan w:val="3"/>
            <w:shd w:val="clear" w:color="auto" w:fill="auto"/>
            <w:vAlign w:val="bottom"/>
          </w:tcPr>
          <w:p w14:paraId="7C208FE7" w14:textId="77777777" w:rsidR="00834A75" w:rsidRDefault="00834A75">
            <w:pPr>
              <w:rPr>
                <w:rFonts w:ascii="宋体"/>
                <w:vanish/>
              </w:rPr>
            </w:pPr>
          </w:p>
        </w:tc>
        <w:tc>
          <w:tcPr>
            <w:tcW w:w="0" w:type="auto"/>
            <w:gridSpan w:val="3"/>
            <w:shd w:val="clear" w:color="auto" w:fill="auto"/>
            <w:vAlign w:val="bottom"/>
          </w:tcPr>
          <w:p w14:paraId="7C208FE8" w14:textId="77777777" w:rsidR="00834A75" w:rsidRDefault="00834A75">
            <w:pPr>
              <w:rPr>
                <w:rFonts w:ascii="宋体"/>
                <w:vanish/>
              </w:rPr>
            </w:pPr>
          </w:p>
        </w:tc>
      </w:tr>
      <w:tr w:rsidR="00834A75" w14:paraId="7C209004" w14:textId="77777777">
        <w:tc>
          <w:tcPr>
            <w:tcW w:w="0" w:type="auto"/>
            <w:gridSpan w:val="3"/>
            <w:shd w:val="clear" w:color="auto" w:fill="auto"/>
            <w:tcMar>
              <w:top w:w="40" w:type="dxa"/>
              <w:left w:w="20" w:type="dxa"/>
              <w:bottom w:w="40" w:type="dxa"/>
              <w:right w:w="20" w:type="dxa"/>
            </w:tcMar>
            <w:vAlign w:val="bottom"/>
          </w:tcPr>
          <w:p w14:paraId="7C208FEA" w14:textId="77777777" w:rsidR="00834A75" w:rsidRDefault="00A6708C">
            <w:pPr>
              <w:textAlignment w:val="bottom"/>
            </w:pPr>
            <w:r>
              <w:rPr>
                <w:rFonts w:ascii="sans-serif" w:eastAsia="sans-serif" w:hAnsi="sans-serif" w:cs="sans-serif"/>
                <w:color w:val="000000"/>
                <w:sz w:val="20"/>
                <w:szCs w:val="20"/>
              </w:rPr>
              <w:t> </w:t>
            </w:r>
          </w:p>
        </w:tc>
        <w:tc>
          <w:tcPr>
            <w:tcW w:w="0" w:type="auto"/>
            <w:gridSpan w:val="21"/>
            <w:shd w:val="clear" w:color="auto" w:fill="auto"/>
            <w:tcMar>
              <w:top w:w="40" w:type="dxa"/>
              <w:left w:w="20" w:type="dxa"/>
              <w:bottom w:w="40" w:type="dxa"/>
              <w:right w:w="20" w:type="dxa"/>
            </w:tcMar>
            <w:vAlign w:val="bottom"/>
          </w:tcPr>
          <w:p w14:paraId="7C208FEB" w14:textId="77777777" w:rsidR="00834A75" w:rsidRDefault="00A6708C">
            <w:pPr>
              <w:jc w:val="center"/>
              <w:textAlignment w:val="bottom"/>
            </w:pPr>
            <w:r>
              <w:rPr>
                <w:rFonts w:ascii="sans-serif" w:eastAsia="sans-serif" w:hAnsi="sans-serif" w:cs="sans-serif"/>
                <w:i/>
                <w:iCs/>
                <w:color w:val="000000"/>
                <w:sz w:val="20"/>
                <w:szCs w:val="20"/>
              </w:rPr>
              <w:t>($ in millions)</w:t>
            </w:r>
          </w:p>
        </w:tc>
        <w:tc>
          <w:tcPr>
            <w:tcW w:w="0" w:type="auto"/>
            <w:shd w:val="clear" w:color="auto" w:fill="auto"/>
            <w:vAlign w:val="bottom"/>
          </w:tcPr>
          <w:p w14:paraId="7C208FEC" w14:textId="77777777" w:rsidR="00834A75" w:rsidRDefault="00834A75">
            <w:pPr>
              <w:rPr>
                <w:rFonts w:ascii="宋体"/>
              </w:rPr>
            </w:pPr>
          </w:p>
        </w:tc>
        <w:tc>
          <w:tcPr>
            <w:tcW w:w="0" w:type="auto"/>
            <w:shd w:val="clear" w:color="auto" w:fill="auto"/>
            <w:vAlign w:val="bottom"/>
          </w:tcPr>
          <w:p w14:paraId="7C208FED" w14:textId="77777777" w:rsidR="00834A75" w:rsidRDefault="00834A75">
            <w:pPr>
              <w:rPr>
                <w:rFonts w:ascii="宋体"/>
              </w:rPr>
            </w:pPr>
          </w:p>
        </w:tc>
        <w:tc>
          <w:tcPr>
            <w:tcW w:w="0" w:type="auto"/>
            <w:shd w:val="clear" w:color="auto" w:fill="auto"/>
            <w:vAlign w:val="bottom"/>
          </w:tcPr>
          <w:p w14:paraId="7C208FEE" w14:textId="77777777" w:rsidR="00834A75" w:rsidRDefault="00834A75">
            <w:pPr>
              <w:rPr>
                <w:rFonts w:ascii="宋体"/>
              </w:rPr>
            </w:pPr>
          </w:p>
        </w:tc>
        <w:tc>
          <w:tcPr>
            <w:tcW w:w="0" w:type="auto"/>
            <w:shd w:val="clear" w:color="auto" w:fill="auto"/>
            <w:vAlign w:val="bottom"/>
          </w:tcPr>
          <w:p w14:paraId="7C208FEF" w14:textId="77777777" w:rsidR="00834A75" w:rsidRDefault="00834A75">
            <w:pPr>
              <w:rPr>
                <w:rFonts w:ascii="宋体"/>
              </w:rPr>
            </w:pPr>
          </w:p>
        </w:tc>
        <w:tc>
          <w:tcPr>
            <w:tcW w:w="0" w:type="auto"/>
            <w:shd w:val="clear" w:color="auto" w:fill="auto"/>
            <w:vAlign w:val="bottom"/>
          </w:tcPr>
          <w:p w14:paraId="7C208FF0" w14:textId="77777777" w:rsidR="00834A75" w:rsidRDefault="00834A75">
            <w:pPr>
              <w:rPr>
                <w:rFonts w:ascii="宋体"/>
              </w:rPr>
            </w:pPr>
          </w:p>
        </w:tc>
        <w:tc>
          <w:tcPr>
            <w:tcW w:w="0" w:type="auto"/>
            <w:shd w:val="clear" w:color="auto" w:fill="auto"/>
            <w:vAlign w:val="bottom"/>
          </w:tcPr>
          <w:p w14:paraId="7C208FF1" w14:textId="77777777" w:rsidR="00834A75" w:rsidRDefault="00834A75">
            <w:pPr>
              <w:rPr>
                <w:rFonts w:ascii="宋体"/>
              </w:rPr>
            </w:pPr>
          </w:p>
        </w:tc>
        <w:tc>
          <w:tcPr>
            <w:tcW w:w="0" w:type="auto"/>
            <w:shd w:val="clear" w:color="auto" w:fill="auto"/>
            <w:vAlign w:val="bottom"/>
          </w:tcPr>
          <w:p w14:paraId="7C208FF2" w14:textId="77777777" w:rsidR="00834A75" w:rsidRDefault="00834A75">
            <w:pPr>
              <w:rPr>
                <w:rFonts w:ascii="宋体"/>
              </w:rPr>
            </w:pPr>
          </w:p>
        </w:tc>
        <w:tc>
          <w:tcPr>
            <w:tcW w:w="0" w:type="auto"/>
            <w:shd w:val="clear" w:color="auto" w:fill="auto"/>
            <w:vAlign w:val="bottom"/>
          </w:tcPr>
          <w:p w14:paraId="7C208FF3" w14:textId="77777777" w:rsidR="00834A75" w:rsidRDefault="00834A75">
            <w:pPr>
              <w:rPr>
                <w:rFonts w:ascii="宋体"/>
              </w:rPr>
            </w:pPr>
          </w:p>
        </w:tc>
        <w:tc>
          <w:tcPr>
            <w:tcW w:w="0" w:type="auto"/>
            <w:shd w:val="clear" w:color="auto" w:fill="auto"/>
            <w:vAlign w:val="bottom"/>
          </w:tcPr>
          <w:p w14:paraId="7C208FF4" w14:textId="77777777" w:rsidR="00834A75" w:rsidRDefault="00834A75">
            <w:pPr>
              <w:rPr>
                <w:rFonts w:ascii="宋体"/>
              </w:rPr>
            </w:pPr>
          </w:p>
        </w:tc>
        <w:tc>
          <w:tcPr>
            <w:tcW w:w="0" w:type="auto"/>
            <w:shd w:val="clear" w:color="auto" w:fill="auto"/>
            <w:vAlign w:val="bottom"/>
          </w:tcPr>
          <w:p w14:paraId="7C208FF5" w14:textId="77777777" w:rsidR="00834A75" w:rsidRDefault="00834A75">
            <w:pPr>
              <w:rPr>
                <w:rFonts w:ascii="宋体"/>
              </w:rPr>
            </w:pPr>
          </w:p>
        </w:tc>
        <w:tc>
          <w:tcPr>
            <w:tcW w:w="0" w:type="auto"/>
            <w:shd w:val="clear" w:color="auto" w:fill="auto"/>
            <w:vAlign w:val="bottom"/>
          </w:tcPr>
          <w:p w14:paraId="7C208FF6" w14:textId="77777777" w:rsidR="00834A75" w:rsidRDefault="00834A75">
            <w:pPr>
              <w:rPr>
                <w:rFonts w:ascii="宋体"/>
              </w:rPr>
            </w:pPr>
          </w:p>
        </w:tc>
        <w:tc>
          <w:tcPr>
            <w:tcW w:w="0" w:type="auto"/>
            <w:shd w:val="clear" w:color="auto" w:fill="auto"/>
            <w:vAlign w:val="bottom"/>
          </w:tcPr>
          <w:p w14:paraId="7C208FF7" w14:textId="77777777" w:rsidR="00834A75" w:rsidRDefault="00834A75">
            <w:pPr>
              <w:rPr>
                <w:rFonts w:ascii="宋体"/>
              </w:rPr>
            </w:pPr>
          </w:p>
        </w:tc>
        <w:tc>
          <w:tcPr>
            <w:tcW w:w="0" w:type="auto"/>
            <w:shd w:val="clear" w:color="auto" w:fill="auto"/>
            <w:vAlign w:val="bottom"/>
          </w:tcPr>
          <w:p w14:paraId="7C208FF8" w14:textId="77777777" w:rsidR="00834A75" w:rsidRDefault="00834A75">
            <w:pPr>
              <w:rPr>
                <w:rFonts w:ascii="宋体"/>
              </w:rPr>
            </w:pPr>
          </w:p>
        </w:tc>
        <w:tc>
          <w:tcPr>
            <w:tcW w:w="0" w:type="auto"/>
            <w:shd w:val="clear" w:color="auto" w:fill="auto"/>
            <w:vAlign w:val="bottom"/>
          </w:tcPr>
          <w:p w14:paraId="7C208FF9" w14:textId="77777777" w:rsidR="00834A75" w:rsidRDefault="00834A75">
            <w:pPr>
              <w:rPr>
                <w:rFonts w:ascii="宋体"/>
              </w:rPr>
            </w:pPr>
          </w:p>
        </w:tc>
        <w:tc>
          <w:tcPr>
            <w:tcW w:w="0" w:type="auto"/>
            <w:shd w:val="clear" w:color="auto" w:fill="auto"/>
            <w:vAlign w:val="bottom"/>
          </w:tcPr>
          <w:p w14:paraId="7C208FFA" w14:textId="77777777" w:rsidR="00834A75" w:rsidRDefault="00834A75">
            <w:pPr>
              <w:rPr>
                <w:rFonts w:ascii="宋体"/>
              </w:rPr>
            </w:pPr>
          </w:p>
        </w:tc>
        <w:tc>
          <w:tcPr>
            <w:tcW w:w="0" w:type="auto"/>
            <w:shd w:val="clear" w:color="auto" w:fill="auto"/>
            <w:vAlign w:val="bottom"/>
          </w:tcPr>
          <w:p w14:paraId="7C208FFB" w14:textId="77777777" w:rsidR="00834A75" w:rsidRDefault="00834A75">
            <w:pPr>
              <w:rPr>
                <w:rFonts w:ascii="宋体"/>
              </w:rPr>
            </w:pPr>
          </w:p>
        </w:tc>
        <w:tc>
          <w:tcPr>
            <w:tcW w:w="0" w:type="auto"/>
            <w:shd w:val="clear" w:color="auto" w:fill="auto"/>
            <w:vAlign w:val="bottom"/>
          </w:tcPr>
          <w:p w14:paraId="7C208FFC" w14:textId="77777777" w:rsidR="00834A75" w:rsidRDefault="00834A75">
            <w:pPr>
              <w:rPr>
                <w:rFonts w:ascii="宋体"/>
              </w:rPr>
            </w:pPr>
          </w:p>
        </w:tc>
        <w:tc>
          <w:tcPr>
            <w:tcW w:w="0" w:type="auto"/>
            <w:shd w:val="clear" w:color="auto" w:fill="auto"/>
            <w:vAlign w:val="bottom"/>
          </w:tcPr>
          <w:p w14:paraId="7C208FFD" w14:textId="77777777" w:rsidR="00834A75" w:rsidRDefault="00834A75">
            <w:pPr>
              <w:rPr>
                <w:rFonts w:ascii="宋体"/>
              </w:rPr>
            </w:pPr>
          </w:p>
        </w:tc>
        <w:tc>
          <w:tcPr>
            <w:tcW w:w="0" w:type="auto"/>
            <w:shd w:val="clear" w:color="auto" w:fill="auto"/>
            <w:vAlign w:val="bottom"/>
          </w:tcPr>
          <w:p w14:paraId="7C208FFE" w14:textId="77777777" w:rsidR="00834A75" w:rsidRDefault="00834A75">
            <w:pPr>
              <w:rPr>
                <w:rFonts w:ascii="宋体"/>
              </w:rPr>
            </w:pPr>
          </w:p>
        </w:tc>
        <w:tc>
          <w:tcPr>
            <w:tcW w:w="0" w:type="auto"/>
            <w:shd w:val="clear" w:color="auto" w:fill="auto"/>
            <w:vAlign w:val="bottom"/>
          </w:tcPr>
          <w:p w14:paraId="7C208FFF" w14:textId="77777777" w:rsidR="00834A75" w:rsidRDefault="00834A75">
            <w:pPr>
              <w:rPr>
                <w:rFonts w:ascii="宋体"/>
              </w:rPr>
            </w:pPr>
          </w:p>
        </w:tc>
        <w:tc>
          <w:tcPr>
            <w:tcW w:w="0" w:type="auto"/>
            <w:shd w:val="clear" w:color="auto" w:fill="auto"/>
            <w:vAlign w:val="bottom"/>
          </w:tcPr>
          <w:p w14:paraId="7C209000" w14:textId="77777777" w:rsidR="00834A75" w:rsidRDefault="00834A75">
            <w:pPr>
              <w:rPr>
                <w:rFonts w:ascii="宋体"/>
              </w:rPr>
            </w:pPr>
          </w:p>
        </w:tc>
        <w:tc>
          <w:tcPr>
            <w:tcW w:w="0" w:type="auto"/>
            <w:shd w:val="clear" w:color="auto" w:fill="auto"/>
            <w:vAlign w:val="bottom"/>
          </w:tcPr>
          <w:p w14:paraId="7C209001" w14:textId="77777777" w:rsidR="00834A75" w:rsidRDefault="00834A75">
            <w:pPr>
              <w:rPr>
                <w:rFonts w:ascii="宋体"/>
              </w:rPr>
            </w:pPr>
          </w:p>
        </w:tc>
        <w:tc>
          <w:tcPr>
            <w:tcW w:w="0" w:type="auto"/>
            <w:shd w:val="clear" w:color="auto" w:fill="auto"/>
            <w:vAlign w:val="bottom"/>
          </w:tcPr>
          <w:p w14:paraId="7C209002" w14:textId="77777777" w:rsidR="00834A75" w:rsidRDefault="00834A75">
            <w:pPr>
              <w:rPr>
                <w:rFonts w:ascii="宋体"/>
              </w:rPr>
            </w:pPr>
          </w:p>
        </w:tc>
        <w:tc>
          <w:tcPr>
            <w:tcW w:w="0" w:type="auto"/>
            <w:shd w:val="clear" w:color="auto" w:fill="auto"/>
            <w:vAlign w:val="bottom"/>
          </w:tcPr>
          <w:p w14:paraId="7C209003" w14:textId="77777777" w:rsidR="00834A75" w:rsidRDefault="00834A75">
            <w:pPr>
              <w:rPr>
                <w:rFonts w:ascii="宋体"/>
              </w:rPr>
            </w:pPr>
          </w:p>
        </w:tc>
      </w:tr>
      <w:tr w:rsidR="00834A75" w14:paraId="7C20901C" w14:textId="77777777">
        <w:tc>
          <w:tcPr>
            <w:tcW w:w="0" w:type="auto"/>
            <w:gridSpan w:val="3"/>
            <w:shd w:val="clear" w:color="auto" w:fill="E2EFD9"/>
            <w:tcMar>
              <w:top w:w="40" w:type="dxa"/>
              <w:left w:w="20" w:type="dxa"/>
              <w:bottom w:w="40" w:type="dxa"/>
              <w:right w:w="20" w:type="dxa"/>
            </w:tcMar>
            <w:vAlign w:val="bottom"/>
          </w:tcPr>
          <w:p w14:paraId="7C209005" w14:textId="77777777" w:rsidR="00834A75" w:rsidRDefault="00A6708C">
            <w:pPr>
              <w:textAlignment w:val="bottom"/>
            </w:pPr>
            <w:r>
              <w:rPr>
                <w:rFonts w:ascii="sans-serif" w:eastAsia="sans-serif" w:hAnsi="sans-serif" w:cs="sans-serif"/>
                <w:color w:val="000000"/>
                <w:sz w:val="20"/>
                <w:szCs w:val="20"/>
              </w:rPr>
              <w:t>Research and development expenses</w:t>
            </w:r>
          </w:p>
        </w:tc>
        <w:tc>
          <w:tcPr>
            <w:tcW w:w="0" w:type="auto"/>
            <w:shd w:val="clear" w:color="auto" w:fill="E2EFD9"/>
            <w:tcMar>
              <w:top w:w="40" w:type="dxa"/>
              <w:left w:w="20" w:type="dxa"/>
              <w:bottom w:w="40" w:type="dxa"/>
              <w:right w:w="0" w:type="dxa"/>
            </w:tcMar>
            <w:vAlign w:val="bottom"/>
          </w:tcPr>
          <w:p w14:paraId="7C209006" w14:textId="77777777" w:rsidR="00834A75" w:rsidRDefault="00A6708C">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7C209007" w14:textId="77777777" w:rsidR="00834A75" w:rsidRDefault="00A6708C">
            <w:pPr>
              <w:jc w:val="right"/>
              <w:textAlignment w:val="bottom"/>
            </w:pPr>
            <w:r>
              <w:rPr>
                <w:rFonts w:ascii="sans-serif" w:eastAsia="sans-serif" w:hAnsi="sans-serif" w:cs="sans-serif"/>
                <w:color w:val="000000"/>
                <w:sz w:val="20"/>
                <w:szCs w:val="20"/>
              </w:rPr>
              <w:t>1,618 </w:t>
            </w:r>
          </w:p>
        </w:tc>
        <w:tc>
          <w:tcPr>
            <w:tcW w:w="0" w:type="auto"/>
            <w:shd w:val="clear" w:color="auto" w:fill="E2EFD9"/>
            <w:tcMar>
              <w:top w:w="40" w:type="dxa"/>
              <w:left w:w="0" w:type="dxa"/>
              <w:bottom w:w="40" w:type="dxa"/>
              <w:right w:w="20" w:type="dxa"/>
            </w:tcMar>
            <w:vAlign w:val="bottom"/>
          </w:tcPr>
          <w:p w14:paraId="7C209008" w14:textId="77777777" w:rsidR="00834A75" w:rsidRDefault="00834A75">
            <w:pPr>
              <w:jc w:val="right"/>
              <w:rPr>
                <w:rFonts w:ascii="宋体"/>
              </w:rPr>
            </w:pPr>
          </w:p>
        </w:tc>
        <w:tc>
          <w:tcPr>
            <w:tcW w:w="0" w:type="auto"/>
            <w:gridSpan w:val="3"/>
            <w:shd w:val="clear" w:color="auto" w:fill="E2EFD9"/>
            <w:tcMar>
              <w:top w:w="0" w:type="dxa"/>
              <w:left w:w="20" w:type="dxa"/>
              <w:bottom w:w="0" w:type="dxa"/>
              <w:right w:w="20" w:type="dxa"/>
            </w:tcMar>
            <w:vAlign w:val="bottom"/>
          </w:tcPr>
          <w:p w14:paraId="7C209009" w14:textId="77777777" w:rsidR="00834A75" w:rsidRDefault="00834A75">
            <w:pPr>
              <w:rPr>
                <w:rFonts w:ascii="宋体"/>
              </w:rPr>
            </w:pPr>
          </w:p>
        </w:tc>
        <w:tc>
          <w:tcPr>
            <w:tcW w:w="0" w:type="auto"/>
            <w:shd w:val="clear" w:color="auto" w:fill="E2EFD9"/>
            <w:tcMar>
              <w:top w:w="40" w:type="dxa"/>
              <w:left w:w="20" w:type="dxa"/>
              <w:bottom w:w="40" w:type="dxa"/>
              <w:right w:w="0" w:type="dxa"/>
            </w:tcMar>
            <w:vAlign w:val="bottom"/>
          </w:tcPr>
          <w:p w14:paraId="7C20900A" w14:textId="77777777" w:rsidR="00834A75" w:rsidRDefault="00A6708C">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7C20900B" w14:textId="77777777" w:rsidR="00834A75" w:rsidRDefault="00A6708C">
            <w:pPr>
              <w:jc w:val="right"/>
              <w:textAlignment w:val="bottom"/>
            </w:pPr>
            <w:r>
              <w:rPr>
                <w:rFonts w:ascii="sans-serif" w:eastAsia="sans-serif" w:hAnsi="sans-serif" w:cs="sans-serif"/>
                <w:color w:val="000000"/>
                <w:sz w:val="20"/>
                <w:szCs w:val="20"/>
              </w:rPr>
              <w:t>1,153 </w:t>
            </w:r>
          </w:p>
        </w:tc>
        <w:tc>
          <w:tcPr>
            <w:tcW w:w="0" w:type="auto"/>
            <w:shd w:val="clear" w:color="auto" w:fill="E2EFD9"/>
            <w:tcMar>
              <w:top w:w="40" w:type="dxa"/>
              <w:left w:w="0" w:type="dxa"/>
              <w:bottom w:w="40" w:type="dxa"/>
              <w:right w:w="20" w:type="dxa"/>
            </w:tcMar>
            <w:vAlign w:val="bottom"/>
          </w:tcPr>
          <w:p w14:paraId="7C20900C" w14:textId="77777777" w:rsidR="00834A75" w:rsidRDefault="00834A75">
            <w:pPr>
              <w:jc w:val="right"/>
              <w:rPr>
                <w:rFonts w:ascii="宋体"/>
              </w:rPr>
            </w:pPr>
          </w:p>
        </w:tc>
        <w:tc>
          <w:tcPr>
            <w:tcW w:w="0" w:type="auto"/>
            <w:gridSpan w:val="3"/>
            <w:shd w:val="clear" w:color="auto" w:fill="E2EFD9"/>
            <w:tcMar>
              <w:top w:w="0" w:type="dxa"/>
              <w:left w:w="20" w:type="dxa"/>
              <w:bottom w:w="0" w:type="dxa"/>
              <w:right w:w="20" w:type="dxa"/>
            </w:tcMar>
            <w:vAlign w:val="bottom"/>
          </w:tcPr>
          <w:p w14:paraId="7C20900D" w14:textId="77777777" w:rsidR="00834A75" w:rsidRDefault="00834A75">
            <w:pPr>
              <w:rPr>
                <w:rFonts w:ascii="宋体"/>
              </w:rPr>
            </w:pPr>
          </w:p>
        </w:tc>
        <w:tc>
          <w:tcPr>
            <w:tcW w:w="0" w:type="auto"/>
            <w:shd w:val="clear" w:color="auto" w:fill="E2EFD9"/>
            <w:tcMar>
              <w:top w:w="40" w:type="dxa"/>
              <w:left w:w="20" w:type="dxa"/>
              <w:bottom w:w="40" w:type="dxa"/>
              <w:right w:w="0" w:type="dxa"/>
            </w:tcMar>
            <w:vAlign w:val="bottom"/>
          </w:tcPr>
          <w:p w14:paraId="7C20900E" w14:textId="77777777" w:rsidR="00834A75" w:rsidRDefault="00A6708C">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7C20900F" w14:textId="77777777" w:rsidR="00834A75" w:rsidRDefault="00A6708C">
            <w:pPr>
              <w:jc w:val="right"/>
              <w:textAlignment w:val="bottom"/>
            </w:pPr>
            <w:r>
              <w:rPr>
                <w:rFonts w:ascii="sans-serif" w:eastAsia="sans-serif" w:hAnsi="sans-serif" w:cs="sans-serif"/>
                <w:color w:val="000000"/>
                <w:sz w:val="20"/>
                <w:szCs w:val="20"/>
              </w:rPr>
              <w:t>465 </w:t>
            </w:r>
          </w:p>
        </w:tc>
        <w:tc>
          <w:tcPr>
            <w:tcW w:w="0" w:type="auto"/>
            <w:shd w:val="clear" w:color="auto" w:fill="E2EFD9"/>
            <w:tcMar>
              <w:top w:w="40" w:type="dxa"/>
              <w:left w:w="0" w:type="dxa"/>
              <w:bottom w:w="40" w:type="dxa"/>
              <w:right w:w="20" w:type="dxa"/>
            </w:tcMar>
            <w:vAlign w:val="bottom"/>
          </w:tcPr>
          <w:p w14:paraId="7C209010" w14:textId="77777777" w:rsidR="00834A75" w:rsidRDefault="00834A75">
            <w:pPr>
              <w:jc w:val="right"/>
              <w:rPr>
                <w:rFonts w:ascii="宋体"/>
              </w:rPr>
            </w:pPr>
          </w:p>
        </w:tc>
        <w:tc>
          <w:tcPr>
            <w:tcW w:w="0" w:type="auto"/>
            <w:gridSpan w:val="3"/>
            <w:shd w:val="clear" w:color="auto" w:fill="E2EFD9"/>
            <w:tcMar>
              <w:top w:w="0" w:type="dxa"/>
              <w:left w:w="20" w:type="dxa"/>
              <w:bottom w:w="0" w:type="dxa"/>
              <w:right w:w="20" w:type="dxa"/>
            </w:tcMar>
            <w:vAlign w:val="bottom"/>
          </w:tcPr>
          <w:p w14:paraId="7C209011" w14:textId="77777777" w:rsidR="00834A75" w:rsidRDefault="00834A75">
            <w:pPr>
              <w:rPr>
                <w:rFonts w:ascii="宋体"/>
              </w:rPr>
            </w:pPr>
          </w:p>
        </w:tc>
        <w:tc>
          <w:tcPr>
            <w:tcW w:w="0" w:type="auto"/>
            <w:gridSpan w:val="2"/>
            <w:shd w:val="clear" w:color="auto" w:fill="E2EFD9"/>
            <w:tcMar>
              <w:top w:w="40" w:type="dxa"/>
              <w:left w:w="20" w:type="dxa"/>
              <w:bottom w:w="40" w:type="dxa"/>
              <w:right w:w="0" w:type="dxa"/>
            </w:tcMar>
            <w:vAlign w:val="bottom"/>
          </w:tcPr>
          <w:p w14:paraId="7C209012" w14:textId="77777777" w:rsidR="00834A75" w:rsidRDefault="00A6708C">
            <w:pPr>
              <w:jc w:val="right"/>
              <w:textAlignment w:val="bottom"/>
            </w:pPr>
            <w:r>
              <w:rPr>
                <w:rFonts w:ascii="sans-serif" w:eastAsia="sans-serif" w:hAnsi="sans-serif" w:cs="sans-serif"/>
                <w:color w:val="000000"/>
                <w:sz w:val="20"/>
                <w:szCs w:val="20"/>
              </w:rPr>
              <w:t>40 </w:t>
            </w:r>
          </w:p>
        </w:tc>
        <w:tc>
          <w:tcPr>
            <w:tcW w:w="0" w:type="auto"/>
            <w:shd w:val="clear" w:color="auto" w:fill="E2EFD9"/>
            <w:tcMar>
              <w:top w:w="40" w:type="dxa"/>
              <w:left w:w="0" w:type="dxa"/>
              <w:bottom w:w="40" w:type="dxa"/>
              <w:right w:w="20" w:type="dxa"/>
            </w:tcMar>
            <w:vAlign w:val="bottom"/>
          </w:tcPr>
          <w:p w14:paraId="7C209013" w14:textId="77777777" w:rsidR="00834A75" w:rsidRDefault="00A6708C">
            <w:pPr>
              <w:jc w:val="right"/>
              <w:textAlignment w:val="bottom"/>
            </w:pPr>
            <w:r>
              <w:rPr>
                <w:rFonts w:ascii="sans-serif" w:eastAsia="sans-serif" w:hAnsi="sans-serif" w:cs="sans-serif"/>
                <w:color w:val="000000"/>
                <w:sz w:val="20"/>
                <w:szCs w:val="20"/>
              </w:rPr>
              <w:t>%</w:t>
            </w:r>
          </w:p>
        </w:tc>
        <w:tc>
          <w:tcPr>
            <w:tcW w:w="0" w:type="auto"/>
            <w:gridSpan w:val="3"/>
            <w:shd w:val="clear" w:color="auto" w:fill="auto"/>
            <w:vAlign w:val="bottom"/>
          </w:tcPr>
          <w:p w14:paraId="7C209014" w14:textId="77777777" w:rsidR="00834A75" w:rsidRDefault="00834A75">
            <w:pPr>
              <w:rPr>
                <w:rFonts w:ascii="宋体"/>
                <w:vanish/>
              </w:rPr>
            </w:pPr>
          </w:p>
        </w:tc>
        <w:tc>
          <w:tcPr>
            <w:tcW w:w="0" w:type="auto"/>
            <w:gridSpan w:val="3"/>
            <w:shd w:val="clear" w:color="auto" w:fill="auto"/>
            <w:vAlign w:val="bottom"/>
          </w:tcPr>
          <w:p w14:paraId="7C209015" w14:textId="77777777" w:rsidR="00834A75" w:rsidRDefault="00834A75">
            <w:pPr>
              <w:rPr>
                <w:rFonts w:ascii="宋体"/>
                <w:vanish/>
              </w:rPr>
            </w:pPr>
          </w:p>
        </w:tc>
        <w:tc>
          <w:tcPr>
            <w:tcW w:w="0" w:type="auto"/>
            <w:gridSpan w:val="3"/>
            <w:shd w:val="clear" w:color="auto" w:fill="auto"/>
            <w:vAlign w:val="bottom"/>
          </w:tcPr>
          <w:p w14:paraId="7C209016" w14:textId="77777777" w:rsidR="00834A75" w:rsidRDefault="00834A75">
            <w:pPr>
              <w:rPr>
                <w:rFonts w:ascii="宋体"/>
                <w:vanish/>
              </w:rPr>
            </w:pPr>
          </w:p>
        </w:tc>
        <w:tc>
          <w:tcPr>
            <w:tcW w:w="0" w:type="auto"/>
            <w:gridSpan w:val="3"/>
            <w:shd w:val="clear" w:color="auto" w:fill="auto"/>
            <w:vAlign w:val="bottom"/>
          </w:tcPr>
          <w:p w14:paraId="7C209017" w14:textId="77777777" w:rsidR="00834A75" w:rsidRDefault="00834A75">
            <w:pPr>
              <w:rPr>
                <w:rFonts w:ascii="宋体"/>
                <w:vanish/>
              </w:rPr>
            </w:pPr>
          </w:p>
        </w:tc>
        <w:tc>
          <w:tcPr>
            <w:tcW w:w="0" w:type="auto"/>
            <w:gridSpan w:val="3"/>
            <w:shd w:val="clear" w:color="auto" w:fill="auto"/>
            <w:vAlign w:val="bottom"/>
          </w:tcPr>
          <w:p w14:paraId="7C209018" w14:textId="77777777" w:rsidR="00834A75" w:rsidRDefault="00834A75">
            <w:pPr>
              <w:rPr>
                <w:rFonts w:ascii="宋体"/>
                <w:vanish/>
              </w:rPr>
            </w:pPr>
          </w:p>
        </w:tc>
        <w:tc>
          <w:tcPr>
            <w:tcW w:w="0" w:type="auto"/>
            <w:gridSpan w:val="3"/>
            <w:shd w:val="clear" w:color="auto" w:fill="auto"/>
            <w:vAlign w:val="bottom"/>
          </w:tcPr>
          <w:p w14:paraId="7C209019" w14:textId="77777777" w:rsidR="00834A75" w:rsidRDefault="00834A75">
            <w:pPr>
              <w:rPr>
                <w:rFonts w:ascii="宋体"/>
                <w:vanish/>
              </w:rPr>
            </w:pPr>
          </w:p>
        </w:tc>
        <w:tc>
          <w:tcPr>
            <w:tcW w:w="0" w:type="auto"/>
            <w:gridSpan w:val="3"/>
            <w:shd w:val="clear" w:color="auto" w:fill="auto"/>
            <w:vAlign w:val="bottom"/>
          </w:tcPr>
          <w:p w14:paraId="7C20901A" w14:textId="77777777" w:rsidR="00834A75" w:rsidRDefault="00834A75">
            <w:pPr>
              <w:rPr>
                <w:rFonts w:ascii="宋体"/>
                <w:vanish/>
              </w:rPr>
            </w:pPr>
          </w:p>
        </w:tc>
        <w:tc>
          <w:tcPr>
            <w:tcW w:w="0" w:type="auto"/>
            <w:gridSpan w:val="3"/>
            <w:shd w:val="clear" w:color="auto" w:fill="auto"/>
            <w:vAlign w:val="bottom"/>
          </w:tcPr>
          <w:p w14:paraId="7C20901B" w14:textId="77777777" w:rsidR="00834A75" w:rsidRDefault="00834A75">
            <w:pPr>
              <w:rPr>
                <w:rFonts w:ascii="宋体"/>
                <w:vanish/>
              </w:rPr>
            </w:pPr>
          </w:p>
        </w:tc>
      </w:tr>
      <w:tr w:rsidR="00834A75" w14:paraId="7C20902F" w14:textId="77777777">
        <w:tc>
          <w:tcPr>
            <w:tcW w:w="0" w:type="auto"/>
            <w:gridSpan w:val="3"/>
            <w:shd w:val="clear" w:color="auto" w:fill="FFFFFF"/>
            <w:tcMar>
              <w:top w:w="40" w:type="dxa"/>
              <w:left w:w="20" w:type="dxa"/>
              <w:bottom w:w="40" w:type="dxa"/>
              <w:right w:w="20" w:type="dxa"/>
            </w:tcMar>
            <w:vAlign w:val="bottom"/>
          </w:tcPr>
          <w:p w14:paraId="7C20901D" w14:textId="77777777" w:rsidR="00834A75" w:rsidRDefault="00A6708C">
            <w:pPr>
              <w:textAlignment w:val="bottom"/>
            </w:pPr>
            <w:r>
              <w:rPr>
                <w:rFonts w:ascii="sans-serif" w:eastAsia="sans-serif" w:hAnsi="sans-serif" w:cs="sans-serif"/>
                <w:i/>
                <w:iCs/>
                <w:color w:val="000000"/>
                <w:sz w:val="20"/>
                <w:szCs w:val="20"/>
              </w:rPr>
              <w:t>% of net revenue</w:t>
            </w:r>
          </w:p>
        </w:tc>
        <w:tc>
          <w:tcPr>
            <w:tcW w:w="0" w:type="auto"/>
            <w:gridSpan w:val="2"/>
            <w:shd w:val="clear" w:color="auto" w:fill="FFFFFF"/>
            <w:tcMar>
              <w:top w:w="40" w:type="dxa"/>
              <w:left w:w="20" w:type="dxa"/>
              <w:bottom w:w="40" w:type="dxa"/>
              <w:right w:w="0" w:type="dxa"/>
            </w:tcMar>
            <w:vAlign w:val="bottom"/>
          </w:tcPr>
          <w:p w14:paraId="7C20901E" w14:textId="77777777" w:rsidR="00834A75" w:rsidRDefault="00A6708C">
            <w:pPr>
              <w:jc w:val="right"/>
              <w:textAlignment w:val="bottom"/>
            </w:pPr>
            <w:r>
              <w:rPr>
                <w:rFonts w:ascii="sans-serif" w:eastAsia="sans-serif" w:hAnsi="sans-serif" w:cs="sans-serif"/>
                <w:i/>
                <w:iCs/>
                <w:color w:val="000000"/>
                <w:sz w:val="20"/>
                <w:szCs w:val="20"/>
              </w:rPr>
              <w:t>20 </w:t>
            </w:r>
          </w:p>
        </w:tc>
        <w:tc>
          <w:tcPr>
            <w:tcW w:w="0" w:type="auto"/>
            <w:shd w:val="clear" w:color="auto" w:fill="FFFFFF"/>
            <w:tcMar>
              <w:top w:w="40" w:type="dxa"/>
              <w:left w:w="0" w:type="dxa"/>
              <w:bottom w:w="40" w:type="dxa"/>
              <w:right w:w="20" w:type="dxa"/>
            </w:tcMar>
            <w:vAlign w:val="bottom"/>
          </w:tcPr>
          <w:p w14:paraId="7C20901F" w14:textId="77777777" w:rsidR="00834A75" w:rsidRDefault="00A6708C">
            <w:pPr>
              <w:jc w:val="right"/>
              <w:textAlignment w:val="bottom"/>
            </w:pPr>
            <w:r>
              <w:rPr>
                <w:rFonts w:ascii="sans-serif" w:eastAsia="sans-serif" w:hAnsi="sans-serif" w:cs="sans-serif"/>
                <w:i/>
                <w:iCs/>
                <w:color w:val="000000"/>
                <w:sz w:val="20"/>
                <w:szCs w:val="20"/>
              </w:rPr>
              <w:t>%</w:t>
            </w:r>
          </w:p>
        </w:tc>
        <w:tc>
          <w:tcPr>
            <w:tcW w:w="0" w:type="auto"/>
            <w:gridSpan w:val="3"/>
            <w:shd w:val="clear" w:color="auto" w:fill="FFFFFF"/>
            <w:tcMar>
              <w:top w:w="0" w:type="dxa"/>
              <w:left w:w="20" w:type="dxa"/>
              <w:bottom w:w="0" w:type="dxa"/>
              <w:right w:w="20" w:type="dxa"/>
            </w:tcMar>
            <w:vAlign w:val="bottom"/>
          </w:tcPr>
          <w:p w14:paraId="7C209020" w14:textId="77777777" w:rsidR="00834A75" w:rsidRDefault="00834A75">
            <w:pPr>
              <w:rPr>
                <w:rFonts w:ascii="宋体"/>
              </w:rPr>
            </w:pPr>
          </w:p>
        </w:tc>
        <w:tc>
          <w:tcPr>
            <w:tcW w:w="0" w:type="auto"/>
            <w:gridSpan w:val="2"/>
            <w:shd w:val="clear" w:color="auto" w:fill="FFFFFF"/>
            <w:tcMar>
              <w:top w:w="40" w:type="dxa"/>
              <w:left w:w="20" w:type="dxa"/>
              <w:bottom w:w="40" w:type="dxa"/>
              <w:right w:w="0" w:type="dxa"/>
            </w:tcMar>
            <w:vAlign w:val="bottom"/>
          </w:tcPr>
          <w:p w14:paraId="7C209021" w14:textId="77777777" w:rsidR="00834A75" w:rsidRDefault="00A6708C">
            <w:pPr>
              <w:jc w:val="right"/>
              <w:textAlignment w:val="bottom"/>
            </w:pPr>
            <w:r>
              <w:rPr>
                <w:rFonts w:ascii="sans-serif" w:eastAsia="sans-serif" w:hAnsi="sans-serif" w:cs="sans-serif"/>
                <w:i/>
                <w:iCs/>
                <w:color w:val="000000"/>
                <w:sz w:val="20"/>
                <w:szCs w:val="20"/>
              </w:rPr>
              <w:t>20 </w:t>
            </w:r>
          </w:p>
        </w:tc>
        <w:tc>
          <w:tcPr>
            <w:tcW w:w="0" w:type="auto"/>
            <w:shd w:val="clear" w:color="auto" w:fill="FFFFFF"/>
            <w:tcMar>
              <w:top w:w="40" w:type="dxa"/>
              <w:left w:w="0" w:type="dxa"/>
              <w:bottom w:w="40" w:type="dxa"/>
              <w:right w:w="20" w:type="dxa"/>
            </w:tcMar>
            <w:vAlign w:val="bottom"/>
          </w:tcPr>
          <w:p w14:paraId="7C209022" w14:textId="77777777" w:rsidR="00834A75" w:rsidRDefault="00A6708C">
            <w:pPr>
              <w:jc w:val="right"/>
              <w:textAlignment w:val="bottom"/>
            </w:pPr>
            <w:r>
              <w:rPr>
                <w:rFonts w:ascii="sans-serif" w:eastAsia="sans-serif" w:hAnsi="sans-serif" w:cs="sans-serif"/>
                <w:i/>
                <w:iCs/>
                <w:color w:val="000000"/>
                <w:sz w:val="20"/>
                <w:szCs w:val="20"/>
              </w:rPr>
              <w:t>%</w:t>
            </w:r>
          </w:p>
        </w:tc>
        <w:tc>
          <w:tcPr>
            <w:tcW w:w="0" w:type="auto"/>
            <w:gridSpan w:val="3"/>
            <w:shd w:val="clear" w:color="auto" w:fill="FFFFFF"/>
            <w:tcMar>
              <w:top w:w="0" w:type="dxa"/>
              <w:left w:w="20" w:type="dxa"/>
              <w:bottom w:w="0" w:type="dxa"/>
              <w:right w:w="20" w:type="dxa"/>
            </w:tcMar>
            <w:vAlign w:val="bottom"/>
          </w:tcPr>
          <w:p w14:paraId="7C209023" w14:textId="77777777" w:rsidR="00834A75" w:rsidRDefault="00834A75">
            <w:pPr>
              <w:rPr>
                <w:rFonts w:ascii="宋体"/>
              </w:rPr>
            </w:pPr>
          </w:p>
        </w:tc>
        <w:tc>
          <w:tcPr>
            <w:tcW w:w="0" w:type="auto"/>
            <w:gridSpan w:val="3"/>
            <w:shd w:val="clear" w:color="auto" w:fill="FFFFFF"/>
            <w:tcMar>
              <w:top w:w="0" w:type="dxa"/>
              <w:left w:w="20" w:type="dxa"/>
              <w:bottom w:w="0" w:type="dxa"/>
              <w:right w:w="20" w:type="dxa"/>
            </w:tcMar>
            <w:vAlign w:val="bottom"/>
          </w:tcPr>
          <w:p w14:paraId="7C209024" w14:textId="77777777" w:rsidR="00834A75" w:rsidRDefault="00834A75">
            <w:pPr>
              <w:rPr>
                <w:rFonts w:ascii="宋体"/>
              </w:rPr>
            </w:pPr>
          </w:p>
        </w:tc>
        <w:tc>
          <w:tcPr>
            <w:tcW w:w="0" w:type="auto"/>
            <w:gridSpan w:val="3"/>
            <w:shd w:val="clear" w:color="auto" w:fill="FFFFFF"/>
            <w:tcMar>
              <w:top w:w="0" w:type="dxa"/>
              <w:left w:w="20" w:type="dxa"/>
              <w:bottom w:w="0" w:type="dxa"/>
              <w:right w:w="20" w:type="dxa"/>
            </w:tcMar>
            <w:vAlign w:val="bottom"/>
          </w:tcPr>
          <w:p w14:paraId="7C209025" w14:textId="77777777" w:rsidR="00834A75" w:rsidRDefault="00834A75">
            <w:pPr>
              <w:rPr>
                <w:rFonts w:ascii="宋体"/>
              </w:rPr>
            </w:pPr>
          </w:p>
        </w:tc>
        <w:tc>
          <w:tcPr>
            <w:tcW w:w="0" w:type="auto"/>
            <w:gridSpan w:val="3"/>
            <w:shd w:val="clear" w:color="auto" w:fill="FFFFFF"/>
            <w:tcMar>
              <w:top w:w="0" w:type="dxa"/>
              <w:left w:w="20" w:type="dxa"/>
              <w:bottom w:w="0" w:type="dxa"/>
              <w:right w:w="20" w:type="dxa"/>
            </w:tcMar>
            <w:vAlign w:val="bottom"/>
          </w:tcPr>
          <w:p w14:paraId="7C209026" w14:textId="77777777" w:rsidR="00834A75" w:rsidRDefault="00834A75">
            <w:pPr>
              <w:rPr>
                <w:rFonts w:ascii="宋体"/>
              </w:rPr>
            </w:pPr>
          </w:p>
        </w:tc>
        <w:tc>
          <w:tcPr>
            <w:tcW w:w="0" w:type="auto"/>
            <w:gridSpan w:val="3"/>
            <w:shd w:val="clear" w:color="auto" w:fill="auto"/>
            <w:vAlign w:val="bottom"/>
          </w:tcPr>
          <w:p w14:paraId="7C209027" w14:textId="77777777" w:rsidR="00834A75" w:rsidRDefault="00834A75">
            <w:pPr>
              <w:rPr>
                <w:rFonts w:ascii="宋体"/>
                <w:vanish/>
              </w:rPr>
            </w:pPr>
          </w:p>
        </w:tc>
        <w:tc>
          <w:tcPr>
            <w:tcW w:w="0" w:type="auto"/>
            <w:gridSpan w:val="3"/>
            <w:shd w:val="clear" w:color="auto" w:fill="auto"/>
            <w:vAlign w:val="bottom"/>
          </w:tcPr>
          <w:p w14:paraId="7C209028" w14:textId="77777777" w:rsidR="00834A75" w:rsidRDefault="00834A75">
            <w:pPr>
              <w:rPr>
                <w:rFonts w:ascii="宋体"/>
                <w:vanish/>
              </w:rPr>
            </w:pPr>
          </w:p>
        </w:tc>
        <w:tc>
          <w:tcPr>
            <w:tcW w:w="0" w:type="auto"/>
            <w:gridSpan w:val="3"/>
            <w:shd w:val="clear" w:color="auto" w:fill="auto"/>
            <w:vAlign w:val="bottom"/>
          </w:tcPr>
          <w:p w14:paraId="7C209029" w14:textId="77777777" w:rsidR="00834A75" w:rsidRDefault="00834A75">
            <w:pPr>
              <w:rPr>
                <w:rFonts w:ascii="宋体"/>
                <w:vanish/>
              </w:rPr>
            </w:pPr>
          </w:p>
        </w:tc>
        <w:tc>
          <w:tcPr>
            <w:tcW w:w="0" w:type="auto"/>
            <w:gridSpan w:val="3"/>
            <w:shd w:val="clear" w:color="auto" w:fill="auto"/>
            <w:vAlign w:val="bottom"/>
          </w:tcPr>
          <w:p w14:paraId="7C20902A" w14:textId="77777777" w:rsidR="00834A75" w:rsidRDefault="00834A75">
            <w:pPr>
              <w:rPr>
                <w:rFonts w:ascii="宋体"/>
                <w:vanish/>
              </w:rPr>
            </w:pPr>
          </w:p>
        </w:tc>
        <w:tc>
          <w:tcPr>
            <w:tcW w:w="0" w:type="auto"/>
            <w:gridSpan w:val="3"/>
            <w:shd w:val="clear" w:color="auto" w:fill="auto"/>
            <w:vAlign w:val="bottom"/>
          </w:tcPr>
          <w:p w14:paraId="7C20902B" w14:textId="77777777" w:rsidR="00834A75" w:rsidRDefault="00834A75">
            <w:pPr>
              <w:rPr>
                <w:rFonts w:ascii="宋体"/>
                <w:vanish/>
              </w:rPr>
            </w:pPr>
          </w:p>
        </w:tc>
        <w:tc>
          <w:tcPr>
            <w:tcW w:w="0" w:type="auto"/>
            <w:gridSpan w:val="3"/>
            <w:shd w:val="clear" w:color="auto" w:fill="auto"/>
            <w:vAlign w:val="bottom"/>
          </w:tcPr>
          <w:p w14:paraId="7C20902C" w14:textId="77777777" w:rsidR="00834A75" w:rsidRDefault="00834A75">
            <w:pPr>
              <w:rPr>
                <w:rFonts w:ascii="宋体"/>
                <w:vanish/>
              </w:rPr>
            </w:pPr>
          </w:p>
        </w:tc>
        <w:tc>
          <w:tcPr>
            <w:tcW w:w="0" w:type="auto"/>
            <w:gridSpan w:val="3"/>
            <w:shd w:val="clear" w:color="auto" w:fill="auto"/>
            <w:vAlign w:val="bottom"/>
          </w:tcPr>
          <w:p w14:paraId="7C20902D" w14:textId="77777777" w:rsidR="00834A75" w:rsidRDefault="00834A75">
            <w:pPr>
              <w:rPr>
                <w:rFonts w:ascii="宋体"/>
                <w:vanish/>
              </w:rPr>
            </w:pPr>
          </w:p>
        </w:tc>
        <w:tc>
          <w:tcPr>
            <w:tcW w:w="0" w:type="auto"/>
            <w:gridSpan w:val="3"/>
            <w:shd w:val="clear" w:color="auto" w:fill="auto"/>
            <w:vAlign w:val="bottom"/>
          </w:tcPr>
          <w:p w14:paraId="7C20902E" w14:textId="77777777" w:rsidR="00834A75" w:rsidRDefault="00834A75">
            <w:pPr>
              <w:rPr>
                <w:rFonts w:ascii="宋体"/>
                <w:vanish/>
              </w:rPr>
            </w:pPr>
          </w:p>
        </w:tc>
      </w:tr>
      <w:tr w:rsidR="00834A75" w14:paraId="7C209044" w14:textId="77777777">
        <w:tc>
          <w:tcPr>
            <w:tcW w:w="0" w:type="auto"/>
            <w:gridSpan w:val="3"/>
            <w:shd w:val="clear" w:color="auto" w:fill="E2EFD9"/>
            <w:tcMar>
              <w:top w:w="40" w:type="dxa"/>
              <w:left w:w="20" w:type="dxa"/>
              <w:bottom w:w="40" w:type="dxa"/>
              <w:right w:w="20" w:type="dxa"/>
            </w:tcMar>
            <w:vAlign w:val="bottom"/>
          </w:tcPr>
          <w:p w14:paraId="7C209030" w14:textId="77777777" w:rsidR="00834A75" w:rsidRDefault="00A6708C">
            <w:pPr>
              <w:textAlignment w:val="bottom"/>
            </w:pPr>
            <w:r>
              <w:rPr>
                <w:rFonts w:ascii="sans-serif" w:eastAsia="sans-serif" w:hAnsi="sans-serif" w:cs="sans-serif"/>
                <w:color w:val="000000"/>
                <w:sz w:val="20"/>
                <w:szCs w:val="20"/>
              </w:rPr>
              <w:t>Sales, general and administrative expenses</w:t>
            </w:r>
          </w:p>
        </w:tc>
        <w:tc>
          <w:tcPr>
            <w:tcW w:w="0" w:type="auto"/>
            <w:gridSpan w:val="2"/>
            <w:shd w:val="clear" w:color="auto" w:fill="E2EFD9"/>
            <w:tcMar>
              <w:top w:w="40" w:type="dxa"/>
              <w:left w:w="20" w:type="dxa"/>
              <w:bottom w:w="40" w:type="dxa"/>
              <w:right w:w="0" w:type="dxa"/>
            </w:tcMar>
            <w:vAlign w:val="bottom"/>
          </w:tcPr>
          <w:p w14:paraId="7C209031" w14:textId="77777777" w:rsidR="00834A75" w:rsidRDefault="00A6708C">
            <w:pPr>
              <w:jc w:val="right"/>
              <w:textAlignment w:val="bottom"/>
            </w:pPr>
            <w:r>
              <w:rPr>
                <w:rFonts w:ascii="sans-serif" w:eastAsia="sans-serif" w:hAnsi="sans-serif" w:cs="sans-serif"/>
                <w:color w:val="000000"/>
                <w:sz w:val="20"/>
                <w:szCs w:val="20"/>
              </w:rPr>
              <w:t>592 </w:t>
            </w:r>
          </w:p>
        </w:tc>
        <w:tc>
          <w:tcPr>
            <w:tcW w:w="0" w:type="auto"/>
            <w:shd w:val="clear" w:color="auto" w:fill="E2EFD9"/>
            <w:tcMar>
              <w:top w:w="40" w:type="dxa"/>
              <w:left w:w="0" w:type="dxa"/>
              <w:bottom w:w="40" w:type="dxa"/>
              <w:right w:w="20" w:type="dxa"/>
            </w:tcMar>
            <w:vAlign w:val="bottom"/>
          </w:tcPr>
          <w:p w14:paraId="7C209032" w14:textId="77777777" w:rsidR="00834A75" w:rsidRDefault="00834A75">
            <w:pPr>
              <w:jc w:val="right"/>
              <w:rPr>
                <w:rFonts w:ascii="宋体"/>
              </w:rPr>
            </w:pPr>
          </w:p>
        </w:tc>
        <w:tc>
          <w:tcPr>
            <w:tcW w:w="0" w:type="auto"/>
            <w:gridSpan w:val="3"/>
            <w:shd w:val="clear" w:color="auto" w:fill="E2EFD9"/>
            <w:tcMar>
              <w:top w:w="0" w:type="dxa"/>
              <w:left w:w="20" w:type="dxa"/>
              <w:bottom w:w="0" w:type="dxa"/>
              <w:right w:w="20" w:type="dxa"/>
            </w:tcMar>
            <w:vAlign w:val="bottom"/>
          </w:tcPr>
          <w:p w14:paraId="7C209033" w14:textId="77777777" w:rsidR="00834A75" w:rsidRDefault="00834A75">
            <w:pPr>
              <w:rPr>
                <w:rFonts w:ascii="宋体"/>
              </w:rPr>
            </w:pPr>
          </w:p>
        </w:tc>
        <w:tc>
          <w:tcPr>
            <w:tcW w:w="0" w:type="auto"/>
            <w:gridSpan w:val="2"/>
            <w:shd w:val="clear" w:color="auto" w:fill="E2EFD9"/>
            <w:tcMar>
              <w:top w:w="40" w:type="dxa"/>
              <w:left w:w="20" w:type="dxa"/>
              <w:bottom w:w="40" w:type="dxa"/>
              <w:right w:w="0" w:type="dxa"/>
            </w:tcMar>
            <w:vAlign w:val="bottom"/>
          </w:tcPr>
          <w:p w14:paraId="7C209034" w14:textId="77777777" w:rsidR="00834A75" w:rsidRDefault="00A6708C">
            <w:pPr>
              <w:jc w:val="right"/>
              <w:textAlignment w:val="bottom"/>
            </w:pPr>
            <w:r>
              <w:rPr>
                <w:rFonts w:ascii="sans-serif" w:eastAsia="sans-serif" w:hAnsi="sans-serif" w:cs="sans-serif"/>
                <w:color w:val="000000"/>
                <w:sz w:val="20"/>
                <w:szCs w:val="20"/>
              </w:rPr>
              <w:t>520 </w:t>
            </w:r>
          </w:p>
        </w:tc>
        <w:tc>
          <w:tcPr>
            <w:tcW w:w="0" w:type="auto"/>
            <w:shd w:val="clear" w:color="auto" w:fill="E2EFD9"/>
            <w:tcMar>
              <w:top w:w="40" w:type="dxa"/>
              <w:left w:w="0" w:type="dxa"/>
              <w:bottom w:w="40" w:type="dxa"/>
              <w:right w:w="20" w:type="dxa"/>
            </w:tcMar>
            <w:vAlign w:val="bottom"/>
          </w:tcPr>
          <w:p w14:paraId="7C209035" w14:textId="77777777" w:rsidR="00834A75" w:rsidRDefault="00834A75">
            <w:pPr>
              <w:jc w:val="right"/>
              <w:rPr>
                <w:rFonts w:ascii="宋体"/>
              </w:rPr>
            </w:pPr>
          </w:p>
        </w:tc>
        <w:tc>
          <w:tcPr>
            <w:tcW w:w="0" w:type="auto"/>
            <w:gridSpan w:val="3"/>
            <w:shd w:val="clear" w:color="auto" w:fill="E2EFD9"/>
            <w:tcMar>
              <w:top w:w="0" w:type="dxa"/>
              <w:left w:w="20" w:type="dxa"/>
              <w:bottom w:w="0" w:type="dxa"/>
              <w:right w:w="20" w:type="dxa"/>
            </w:tcMar>
            <w:vAlign w:val="bottom"/>
          </w:tcPr>
          <w:p w14:paraId="7C209036" w14:textId="77777777" w:rsidR="00834A75" w:rsidRDefault="00834A75">
            <w:pPr>
              <w:rPr>
                <w:rFonts w:ascii="宋体"/>
              </w:rPr>
            </w:pPr>
          </w:p>
        </w:tc>
        <w:tc>
          <w:tcPr>
            <w:tcW w:w="0" w:type="auto"/>
            <w:gridSpan w:val="2"/>
            <w:shd w:val="clear" w:color="auto" w:fill="E2EFD9"/>
            <w:tcMar>
              <w:top w:w="40" w:type="dxa"/>
              <w:left w:w="20" w:type="dxa"/>
              <w:bottom w:w="40" w:type="dxa"/>
              <w:right w:w="0" w:type="dxa"/>
            </w:tcMar>
            <w:vAlign w:val="bottom"/>
          </w:tcPr>
          <w:p w14:paraId="7C209037" w14:textId="77777777" w:rsidR="00834A75" w:rsidRDefault="00A6708C">
            <w:pPr>
              <w:jc w:val="right"/>
              <w:textAlignment w:val="bottom"/>
            </w:pPr>
            <w:r>
              <w:rPr>
                <w:rFonts w:ascii="sans-serif" w:eastAsia="sans-serif" w:hAnsi="sans-serif" w:cs="sans-serif"/>
                <w:color w:val="000000"/>
                <w:sz w:val="20"/>
                <w:szCs w:val="20"/>
              </w:rPr>
              <w:t>72 </w:t>
            </w:r>
          </w:p>
        </w:tc>
        <w:tc>
          <w:tcPr>
            <w:tcW w:w="0" w:type="auto"/>
            <w:shd w:val="clear" w:color="auto" w:fill="E2EFD9"/>
            <w:tcMar>
              <w:top w:w="40" w:type="dxa"/>
              <w:left w:w="0" w:type="dxa"/>
              <w:bottom w:w="40" w:type="dxa"/>
              <w:right w:w="20" w:type="dxa"/>
            </w:tcMar>
            <w:vAlign w:val="bottom"/>
          </w:tcPr>
          <w:p w14:paraId="7C209038" w14:textId="77777777" w:rsidR="00834A75" w:rsidRDefault="00834A75">
            <w:pPr>
              <w:jc w:val="right"/>
              <w:rPr>
                <w:rFonts w:ascii="宋体"/>
              </w:rPr>
            </w:pPr>
          </w:p>
        </w:tc>
        <w:tc>
          <w:tcPr>
            <w:tcW w:w="0" w:type="auto"/>
            <w:gridSpan w:val="3"/>
            <w:shd w:val="clear" w:color="auto" w:fill="E2EFD9"/>
            <w:tcMar>
              <w:top w:w="0" w:type="dxa"/>
              <w:left w:w="20" w:type="dxa"/>
              <w:bottom w:w="0" w:type="dxa"/>
              <w:right w:w="20" w:type="dxa"/>
            </w:tcMar>
            <w:vAlign w:val="bottom"/>
          </w:tcPr>
          <w:p w14:paraId="7C209039" w14:textId="77777777" w:rsidR="00834A75" w:rsidRDefault="00834A75">
            <w:pPr>
              <w:rPr>
                <w:rFonts w:ascii="宋体"/>
              </w:rPr>
            </w:pPr>
          </w:p>
        </w:tc>
        <w:tc>
          <w:tcPr>
            <w:tcW w:w="0" w:type="auto"/>
            <w:gridSpan w:val="2"/>
            <w:shd w:val="clear" w:color="auto" w:fill="E2EFD9"/>
            <w:tcMar>
              <w:top w:w="40" w:type="dxa"/>
              <w:left w:w="20" w:type="dxa"/>
              <w:bottom w:w="40" w:type="dxa"/>
              <w:right w:w="0" w:type="dxa"/>
            </w:tcMar>
            <w:vAlign w:val="bottom"/>
          </w:tcPr>
          <w:p w14:paraId="7C20903A" w14:textId="77777777" w:rsidR="00834A75" w:rsidRDefault="00A6708C">
            <w:pPr>
              <w:jc w:val="right"/>
              <w:textAlignment w:val="bottom"/>
            </w:pPr>
            <w:r>
              <w:rPr>
                <w:rFonts w:ascii="sans-serif" w:eastAsia="sans-serif" w:hAnsi="sans-serif" w:cs="sans-serif"/>
                <w:color w:val="000000"/>
                <w:sz w:val="20"/>
                <w:szCs w:val="20"/>
              </w:rPr>
              <w:t>14 </w:t>
            </w:r>
          </w:p>
        </w:tc>
        <w:tc>
          <w:tcPr>
            <w:tcW w:w="0" w:type="auto"/>
            <w:shd w:val="clear" w:color="auto" w:fill="E2EFD9"/>
            <w:tcMar>
              <w:top w:w="40" w:type="dxa"/>
              <w:left w:w="0" w:type="dxa"/>
              <w:bottom w:w="40" w:type="dxa"/>
              <w:right w:w="20" w:type="dxa"/>
            </w:tcMar>
            <w:vAlign w:val="bottom"/>
          </w:tcPr>
          <w:p w14:paraId="7C20903B" w14:textId="77777777" w:rsidR="00834A75" w:rsidRDefault="00A6708C">
            <w:pPr>
              <w:jc w:val="right"/>
              <w:textAlignment w:val="bottom"/>
            </w:pPr>
            <w:r>
              <w:rPr>
                <w:rFonts w:ascii="sans-serif" w:eastAsia="sans-serif" w:hAnsi="sans-serif" w:cs="sans-serif"/>
                <w:color w:val="000000"/>
                <w:sz w:val="20"/>
                <w:szCs w:val="20"/>
              </w:rPr>
              <w:t>%</w:t>
            </w:r>
          </w:p>
        </w:tc>
        <w:tc>
          <w:tcPr>
            <w:tcW w:w="0" w:type="auto"/>
            <w:gridSpan w:val="3"/>
            <w:shd w:val="clear" w:color="auto" w:fill="auto"/>
            <w:vAlign w:val="bottom"/>
          </w:tcPr>
          <w:p w14:paraId="7C20903C" w14:textId="77777777" w:rsidR="00834A75" w:rsidRDefault="00834A75">
            <w:pPr>
              <w:rPr>
                <w:rFonts w:ascii="宋体"/>
                <w:vanish/>
              </w:rPr>
            </w:pPr>
          </w:p>
        </w:tc>
        <w:tc>
          <w:tcPr>
            <w:tcW w:w="0" w:type="auto"/>
            <w:gridSpan w:val="3"/>
            <w:shd w:val="clear" w:color="auto" w:fill="auto"/>
            <w:vAlign w:val="bottom"/>
          </w:tcPr>
          <w:p w14:paraId="7C20903D" w14:textId="77777777" w:rsidR="00834A75" w:rsidRDefault="00834A75">
            <w:pPr>
              <w:rPr>
                <w:rFonts w:ascii="宋体"/>
                <w:vanish/>
              </w:rPr>
            </w:pPr>
          </w:p>
        </w:tc>
        <w:tc>
          <w:tcPr>
            <w:tcW w:w="0" w:type="auto"/>
            <w:gridSpan w:val="3"/>
            <w:shd w:val="clear" w:color="auto" w:fill="auto"/>
            <w:vAlign w:val="bottom"/>
          </w:tcPr>
          <w:p w14:paraId="7C20903E" w14:textId="77777777" w:rsidR="00834A75" w:rsidRDefault="00834A75">
            <w:pPr>
              <w:rPr>
                <w:rFonts w:ascii="宋体"/>
                <w:vanish/>
              </w:rPr>
            </w:pPr>
          </w:p>
        </w:tc>
        <w:tc>
          <w:tcPr>
            <w:tcW w:w="0" w:type="auto"/>
            <w:gridSpan w:val="3"/>
            <w:shd w:val="clear" w:color="auto" w:fill="auto"/>
            <w:vAlign w:val="bottom"/>
          </w:tcPr>
          <w:p w14:paraId="7C20903F" w14:textId="77777777" w:rsidR="00834A75" w:rsidRDefault="00834A75">
            <w:pPr>
              <w:rPr>
                <w:rFonts w:ascii="宋体"/>
                <w:vanish/>
              </w:rPr>
            </w:pPr>
          </w:p>
        </w:tc>
        <w:tc>
          <w:tcPr>
            <w:tcW w:w="0" w:type="auto"/>
            <w:gridSpan w:val="3"/>
            <w:shd w:val="clear" w:color="auto" w:fill="auto"/>
            <w:vAlign w:val="bottom"/>
          </w:tcPr>
          <w:p w14:paraId="7C209040" w14:textId="77777777" w:rsidR="00834A75" w:rsidRDefault="00834A75">
            <w:pPr>
              <w:rPr>
                <w:rFonts w:ascii="宋体"/>
                <w:vanish/>
              </w:rPr>
            </w:pPr>
          </w:p>
        </w:tc>
        <w:tc>
          <w:tcPr>
            <w:tcW w:w="0" w:type="auto"/>
            <w:gridSpan w:val="3"/>
            <w:shd w:val="clear" w:color="auto" w:fill="auto"/>
            <w:vAlign w:val="bottom"/>
          </w:tcPr>
          <w:p w14:paraId="7C209041" w14:textId="77777777" w:rsidR="00834A75" w:rsidRDefault="00834A75">
            <w:pPr>
              <w:rPr>
                <w:rFonts w:ascii="宋体"/>
                <w:vanish/>
              </w:rPr>
            </w:pPr>
          </w:p>
        </w:tc>
        <w:tc>
          <w:tcPr>
            <w:tcW w:w="0" w:type="auto"/>
            <w:gridSpan w:val="3"/>
            <w:shd w:val="clear" w:color="auto" w:fill="auto"/>
            <w:vAlign w:val="bottom"/>
          </w:tcPr>
          <w:p w14:paraId="7C209042" w14:textId="77777777" w:rsidR="00834A75" w:rsidRDefault="00834A75">
            <w:pPr>
              <w:rPr>
                <w:rFonts w:ascii="宋体"/>
                <w:vanish/>
              </w:rPr>
            </w:pPr>
          </w:p>
        </w:tc>
        <w:tc>
          <w:tcPr>
            <w:tcW w:w="0" w:type="auto"/>
            <w:gridSpan w:val="3"/>
            <w:shd w:val="clear" w:color="auto" w:fill="auto"/>
            <w:vAlign w:val="bottom"/>
          </w:tcPr>
          <w:p w14:paraId="7C209043" w14:textId="77777777" w:rsidR="00834A75" w:rsidRDefault="00834A75">
            <w:pPr>
              <w:rPr>
                <w:rFonts w:ascii="宋体"/>
                <w:vanish/>
              </w:rPr>
            </w:pPr>
          </w:p>
        </w:tc>
      </w:tr>
      <w:tr w:rsidR="00834A75" w14:paraId="7C209057" w14:textId="77777777">
        <w:tc>
          <w:tcPr>
            <w:tcW w:w="0" w:type="auto"/>
            <w:gridSpan w:val="3"/>
            <w:shd w:val="clear" w:color="auto" w:fill="FFFFFF"/>
            <w:tcMar>
              <w:top w:w="40" w:type="dxa"/>
              <w:left w:w="20" w:type="dxa"/>
              <w:bottom w:w="40" w:type="dxa"/>
              <w:right w:w="20" w:type="dxa"/>
            </w:tcMar>
            <w:vAlign w:val="bottom"/>
          </w:tcPr>
          <w:p w14:paraId="7C209045" w14:textId="77777777" w:rsidR="00834A75" w:rsidRDefault="00A6708C">
            <w:pPr>
              <w:textAlignment w:val="bottom"/>
            </w:pPr>
            <w:r>
              <w:rPr>
                <w:rFonts w:ascii="sans-serif" w:eastAsia="sans-serif" w:hAnsi="sans-serif" w:cs="sans-serif"/>
                <w:i/>
                <w:iCs/>
                <w:color w:val="000000"/>
                <w:sz w:val="20"/>
                <w:szCs w:val="20"/>
              </w:rPr>
              <w:t>% of net revenue</w:t>
            </w:r>
          </w:p>
        </w:tc>
        <w:tc>
          <w:tcPr>
            <w:tcW w:w="0" w:type="auto"/>
            <w:gridSpan w:val="2"/>
            <w:shd w:val="clear" w:color="auto" w:fill="FFFFFF"/>
            <w:tcMar>
              <w:top w:w="40" w:type="dxa"/>
              <w:left w:w="20" w:type="dxa"/>
              <w:bottom w:w="40" w:type="dxa"/>
              <w:right w:w="0" w:type="dxa"/>
            </w:tcMar>
            <w:vAlign w:val="bottom"/>
          </w:tcPr>
          <w:p w14:paraId="7C209046" w14:textId="77777777" w:rsidR="00834A75" w:rsidRDefault="00A6708C">
            <w:pPr>
              <w:jc w:val="right"/>
              <w:textAlignment w:val="bottom"/>
            </w:pPr>
            <w:r>
              <w:rPr>
                <w:rFonts w:ascii="sans-serif" w:eastAsia="sans-serif" w:hAnsi="sans-serif" w:cs="sans-serif"/>
                <w:i/>
                <w:iCs/>
                <w:color w:val="000000"/>
                <w:sz w:val="20"/>
                <w:szCs w:val="20"/>
              </w:rPr>
              <w:t>7 </w:t>
            </w:r>
          </w:p>
        </w:tc>
        <w:tc>
          <w:tcPr>
            <w:tcW w:w="0" w:type="auto"/>
            <w:shd w:val="clear" w:color="auto" w:fill="FFFFFF"/>
            <w:tcMar>
              <w:top w:w="40" w:type="dxa"/>
              <w:left w:w="0" w:type="dxa"/>
              <w:bottom w:w="40" w:type="dxa"/>
              <w:right w:w="20" w:type="dxa"/>
            </w:tcMar>
            <w:vAlign w:val="bottom"/>
          </w:tcPr>
          <w:p w14:paraId="7C209047" w14:textId="77777777" w:rsidR="00834A75" w:rsidRDefault="00A6708C">
            <w:pPr>
              <w:jc w:val="right"/>
              <w:textAlignment w:val="bottom"/>
            </w:pPr>
            <w:r>
              <w:rPr>
                <w:rFonts w:ascii="sans-serif" w:eastAsia="sans-serif" w:hAnsi="sans-serif" w:cs="sans-serif"/>
                <w:i/>
                <w:iCs/>
                <w:color w:val="000000"/>
                <w:sz w:val="20"/>
                <w:szCs w:val="20"/>
              </w:rPr>
              <w:t>%</w:t>
            </w:r>
          </w:p>
        </w:tc>
        <w:tc>
          <w:tcPr>
            <w:tcW w:w="0" w:type="auto"/>
            <w:gridSpan w:val="3"/>
            <w:shd w:val="clear" w:color="auto" w:fill="FFFFFF"/>
            <w:tcMar>
              <w:top w:w="0" w:type="dxa"/>
              <w:left w:w="20" w:type="dxa"/>
              <w:bottom w:w="0" w:type="dxa"/>
              <w:right w:w="20" w:type="dxa"/>
            </w:tcMar>
            <w:vAlign w:val="bottom"/>
          </w:tcPr>
          <w:p w14:paraId="7C209048" w14:textId="77777777" w:rsidR="00834A75" w:rsidRDefault="00834A75">
            <w:pPr>
              <w:rPr>
                <w:rFonts w:ascii="宋体"/>
              </w:rPr>
            </w:pPr>
          </w:p>
        </w:tc>
        <w:tc>
          <w:tcPr>
            <w:tcW w:w="0" w:type="auto"/>
            <w:gridSpan w:val="2"/>
            <w:shd w:val="clear" w:color="auto" w:fill="FFFFFF"/>
            <w:tcMar>
              <w:top w:w="40" w:type="dxa"/>
              <w:left w:w="20" w:type="dxa"/>
              <w:bottom w:w="40" w:type="dxa"/>
              <w:right w:w="0" w:type="dxa"/>
            </w:tcMar>
            <w:vAlign w:val="bottom"/>
          </w:tcPr>
          <w:p w14:paraId="7C209049" w14:textId="77777777" w:rsidR="00834A75" w:rsidRDefault="00A6708C">
            <w:pPr>
              <w:jc w:val="right"/>
              <w:textAlignment w:val="bottom"/>
            </w:pPr>
            <w:r>
              <w:rPr>
                <w:rFonts w:ascii="sans-serif" w:eastAsia="sans-serif" w:hAnsi="sans-serif" w:cs="sans-serif"/>
                <w:i/>
                <w:iCs/>
                <w:color w:val="000000"/>
                <w:sz w:val="20"/>
                <w:szCs w:val="20"/>
              </w:rPr>
              <w:t>9 </w:t>
            </w:r>
          </w:p>
        </w:tc>
        <w:tc>
          <w:tcPr>
            <w:tcW w:w="0" w:type="auto"/>
            <w:shd w:val="clear" w:color="auto" w:fill="FFFFFF"/>
            <w:tcMar>
              <w:top w:w="40" w:type="dxa"/>
              <w:left w:w="0" w:type="dxa"/>
              <w:bottom w:w="40" w:type="dxa"/>
              <w:right w:w="20" w:type="dxa"/>
            </w:tcMar>
            <w:vAlign w:val="bottom"/>
          </w:tcPr>
          <w:p w14:paraId="7C20904A" w14:textId="77777777" w:rsidR="00834A75" w:rsidRDefault="00A6708C">
            <w:pPr>
              <w:jc w:val="right"/>
              <w:textAlignment w:val="bottom"/>
            </w:pPr>
            <w:r>
              <w:rPr>
                <w:rFonts w:ascii="sans-serif" w:eastAsia="sans-serif" w:hAnsi="sans-serif" w:cs="sans-serif"/>
                <w:i/>
                <w:iCs/>
                <w:color w:val="000000"/>
                <w:sz w:val="20"/>
                <w:szCs w:val="20"/>
              </w:rPr>
              <w:t>%</w:t>
            </w:r>
          </w:p>
        </w:tc>
        <w:tc>
          <w:tcPr>
            <w:tcW w:w="0" w:type="auto"/>
            <w:gridSpan w:val="3"/>
            <w:shd w:val="clear" w:color="auto" w:fill="FFFFFF"/>
            <w:tcMar>
              <w:top w:w="0" w:type="dxa"/>
              <w:left w:w="20" w:type="dxa"/>
              <w:bottom w:w="0" w:type="dxa"/>
              <w:right w:w="20" w:type="dxa"/>
            </w:tcMar>
            <w:vAlign w:val="bottom"/>
          </w:tcPr>
          <w:p w14:paraId="7C20904B" w14:textId="77777777" w:rsidR="00834A75" w:rsidRDefault="00834A75">
            <w:pPr>
              <w:rPr>
                <w:rFonts w:ascii="宋体"/>
              </w:rPr>
            </w:pPr>
          </w:p>
        </w:tc>
        <w:tc>
          <w:tcPr>
            <w:tcW w:w="0" w:type="auto"/>
            <w:gridSpan w:val="3"/>
            <w:shd w:val="clear" w:color="auto" w:fill="FFFFFF"/>
            <w:tcMar>
              <w:top w:w="0" w:type="dxa"/>
              <w:left w:w="20" w:type="dxa"/>
              <w:bottom w:w="0" w:type="dxa"/>
              <w:right w:w="20" w:type="dxa"/>
            </w:tcMar>
            <w:vAlign w:val="bottom"/>
          </w:tcPr>
          <w:p w14:paraId="7C20904C" w14:textId="77777777" w:rsidR="00834A75" w:rsidRDefault="00834A75">
            <w:pPr>
              <w:rPr>
                <w:rFonts w:ascii="宋体"/>
              </w:rPr>
            </w:pPr>
          </w:p>
        </w:tc>
        <w:tc>
          <w:tcPr>
            <w:tcW w:w="0" w:type="auto"/>
            <w:gridSpan w:val="3"/>
            <w:shd w:val="clear" w:color="auto" w:fill="FFFFFF"/>
            <w:tcMar>
              <w:top w:w="0" w:type="dxa"/>
              <w:left w:w="20" w:type="dxa"/>
              <w:bottom w:w="0" w:type="dxa"/>
              <w:right w:w="20" w:type="dxa"/>
            </w:tcMar>
            <w:vAlign w:val="bottom"/>
          </w:tcPr>
          <w:p w14:paraId="7C20904D" w14:textId="77777777" w:rsidR="00834A75" w:rsidRDefault="00834A75">
            <w:pPr>
              <w:rPr>
                <w:rFonts w:ascii="宋体"/>
              </w:rPr>
            </w:pPr>
          </w:p>
        </w:tc>
        <w:tc>
          <w:tcPr>
            <w:tcW w:w="0" w:type="auto"/>
            <w:gridSpan w:val="3"/>
            <w:shd w:val="clear" w:color="auto" w:fill="FFFFFF"/>
            <w:tcMar>
              <w:top w:w="0" w:type="dxa"/>
              <w:left w:w="20" w:type="dxa"/>
              <w:bottom w:w="0" w:type="dxa"/>
              <w:right w:w="20" w:type="dxa"/>
            </w:tcMar>
            <w:vAlign w:val="bottom"/>
          </w:tcPr>
          <w:p w14:paraId="7C20904E" w14:textId="77777777" w:rsidR="00834A75" w:rsidRDefault="00834A75">
            <w:pPr>
              <w:rPr>
                <w:rFonts w:ascii="宋体"/>
              </w:rPr>
            </w:pPr>
          </w:p>
        </w:tc>
        <w:tc>
          <w:tcPr>
            <w:tcW w:w="0" w:type="auto"/>
            <w:gridSpan w:val="3"/>
            <w:shd w:val="clear" w:color="auto" w:fill="auto"/>
            <w:vAlign w:val="bottom"/>
          </w:tcPr>
          <w:p w14:paraId="7C20904F" w14:textId="77777777" w:rsidR="00834A75" w:rsidRDefault="00834A75">
            <w:pPr>
              <w:rPr>
                <w:rFonts w:ascii="宋体"/>
                <w:vanish/>
              </w:rPr>
            </w:pPr>
          </w:p>
        </w:tc>
        <w:tc>
          <w:tcPr>
            <w:tcW w:w="0" w:type="auto"/>
            <w:gridSpan w:val="3"/>
            <w:shd w:val="clear" w:color="auto" w:fill="auto"/>
            <w:vAlign w:val="bottom"/>
          </w:tcPr>
          <w:p w14:paraId="7C209050" w14:textId="77777777" w:rsidR="00834A75" w:rsidRDefault="00834A75">
            <w:pPr>
              <w:rPr>
                <w:rFonts w:ascii="宋体"/>
                <w:vanish/>
              </w:rPr>
            </w:pPr>
          </w:p>
        </w:tc>
        <w:tc>
          <w:tcPr>
            <w:tcW w:w="0" w:type="auto"/>
            <w:gridSpan w:val="3"/>
            <w:shd w:val="clear" w:color="auto" w:fill="auto"/>
            <w:vAlign w:val="bottom"/>
          </w:tcPr>
          <w:p w14:paraId="7C209051" w14:textId="77777777" w:rsidR="00834A75" w:rsidRDefault="00834A75">
            <w:pPr>
              <w:rPr>
                <w:rFonts w:ascii="宋体"/>
                <w:vanish/>
              </w:rPr>
            </w:pPr>
          </w:p>
        </w:tc>
        <w:tc>
          <w:tcPr>
            <w:tcW w:w="0" w:type="auto"/>
            <w:gridSpan w:val="3"/>
            <w:shd w:val="clear" w:color="auto" w:fill="auto"/>
            <w:vAlign w:val="bottom"/>
          </w:tcPr>
          <w:p w14:paraId="7C209052" w14:textId="77777777" w:rsidR="00834A75" w:rsidRDefault="00834A75">
            <w:pPr>
              <w:rPr>
                <w:rFonts w:ascii="宋体"/>
                <w:vanish/>
              </w:rPr>
            </w:pPr>
          </w:p>
        </w:tc>
        <w:tc>
          <w:tcPr>
            <w:tcW w:w="0" w:type="auto"/>
            <w:gridSpan w:val="3"/>
            <w:shd w:val="clear" w:color="auto" w:fill="auto"/>
            <w:vAlign w:val="bottom"/>
          </w:tcPr>
          <w:p w14:paraId="7C209053" w14:textId="77777777" w:rsidR="00834A75" w:rsidRDefault="00834A75">
            <w:pPr>
              <w:rPr>
                <w:rFonts w:ascii="宋体"/>
                <w:vanish/>
              </w:rPr>
            </w:pPr>
          </w:p>
        </w:tc>
        <w:tc>
          <w:tcPr>
            <w:tcW w:w="0" w:type="auto"/>
            <w:gridSpan w:val="3"/>
            <w:shd w:val="clear" w:color="auto" w:fill="auto"/>
            <w:vAlign w:val="bottom"/>
          </w:tcPr>
          <w:p w14:paraId="7C209054" w14:textId="77777777" w:rsidR="00834A75" w:rsidRDefault="00834A75">
            <w:pPr>
              <w:rPr>
                <w:rFonts w:ascii="宋体"/>
                <w:vanish/>
              </w:rPr>
            </w:pPr>
          </w:p>
        </w:tc>
        <w:tc>
          <w:tcPr>
            <w:tcW w:w="0" w:type="auto"/>
            <w:gridSpan w:val="3"/>
            <w:shd w:val="clear" w:color="auto" w:fill="auto"/>
            <w:vAlign w:val="bottom"/>
          </w:tcPr>
          <w:p w14:paraId="7C209055" w14:textId="77777777" w:rsidR="00834A75" w:rsidRDefault="00834A75">
            <w:pPr>
              <w:rPr>
                <w:rFonts w:ascii="宋体"/>
                <w:vanish/>
              </w:rPr>
            </w:pPr>
          </w:p>
        </w:tc>
        <w:tc>
          <w:tcPr>
            <w:tcW w:w="0" w:type="auto"/>
            <w:gridSpan w:val="3"/>
            <w:shd w:val="clear" w:color="auto" w:fill="auto"/>
            <w:vAlign w:val="bottom"/>
          </w:tcPr>
          <w:p w14:paraId="7C209056" w14:textId="77777777" w:rsidR="00834A75" w:rsidRDefault="00834A75">
            <w:pPr>
              <w:rPr>
                <w:rFonts w:ascii="宋体"/>
                <w:vanish/>
              </w:rPr>
            </w:pPr>
          </w:p>
        </w:tc>
      </w:tr>
      <w:tr w:rsidR="00834A75" w14:paraId="7C20906C" w14:textId="77777777">
        <w:tc>
          <w:tcPr>
            <w:tcW w:w="0" w:type="auto"/>
            <w:gridSpan w:val="3"/>
            <w:shd w:val="clear" w:color="auto" w:fill="E2EFD9"/>
            <w:tcMar>
              <w:top w:w="40" w:type="dxa"/>
              <w:left w:w="20" w:type="dxa"/>
              <w:bottom w:w="40" w:type="dxa"/>
              <w:right w:w="20" w:type="dxa"/>
            </w:tcMar>
            <w:vAlign w:val="bottom"/>
          </w:tcPr>
          <w:p w14:paraId="7C209058" w14:textId="77777777" w:rsidR="00834A75" w:rsidRDefault="00A6708C">
            <w:pPr>
              <w:textAlignment w:val="bottom"/>
            </w:pPr>
            <w:r>
              <w:rPr>
                <w:rFonts w:ascii="sans-serif" w:eastAsia="sans-serif" w:hAnsi="sans-serif" w:cs="sans-serif"/>
                <w:color w:val="000000"/>
                <w:sz w:val="20"/>
                <w:szCs w:val="20"/>
              </w:rPr>
              <w:t>Acquisition termination cost</w:t>
            </w:r>
          </w:p>
        </w:tc>
        <w:tc>
          <w:tcPr>
            <w:tcW w:w="0" w:type="auto"/>
            <w:gridSpan w:val="2"/>
            <w:shd w:val="clear" w:color="auto" w:fill="E2EFD9"/>
            <w:tcMar>
              <w:top w:w="40" w:type="dxa"/>
              <w:left w:w="20" w:type="dxa"/>
              <w:bottom w:w="40" w:type="dxa"/>
              <w:right w:w="0" w:type="dxa"/>
            </w:tcMar>
            <w:vAlign w:val="bottom"/>
          </w:tcPr>
          <w:p w14:paraId="7C209059" w14:textId="77777777" w:rsidR="00834A75" w:rsidRDefault="00A6708C">
            <w:pPr>
              <w:jc w:val="right"/>
              <w:textAlignment w:val="bottom"/>
            </w:pPr>
            <w:r>
              <w:rPr>
                <w:rFonts w:ascii="sans-serif" w:eastAsia="sans-serif" w:hAnsi="sans-serif" w:cs="sans-serif"/>
                <w:color w:val="000000"/>
                <w:sz w:val="20"/>
                <w:szCs w:val="20"/>
              </w:rPr>
              <w:t>1,353 </w:t>
            </w:r>
          </w:p>
        </w:tc>
        <w:tc>
          <w:tcPr>
            <w:tcW w:w="0" w:type="auto"/>
            <w:shd w:val="clear" w:color="auto" w:fill="E2EFD9"/>
            <w:tcMar>
              <w:top w:w="40" w:type="dxa"/>
              <w:left w:w="0" w:type="dxa"/>
              <w:bottom w:w="40" w:type="dxa"/>
              <w:right w:w="20" w:type="dxa"/>
            </w:tcMar>
            <w:vAlign w:val="bottom"/>
          </w:tcPr>
          <w:p w14:paraId="7C20905A" w14:textId="77777777" w:rsidR="00834A75" w:rsidRDefault="00834A75">
            <w:pPr>
              <w:jc w:val="right"/>
              <w:rPr>
                <w:rFonts w:ascii="宋体"/>
              </w:rPr>
            </w:pPr>
          </w:p>
        </w:tc>
        <w:tc>
          <w:tcPr>
            <w:tcW w:w="0" w:type="auto"/>
            <w:gridSpan w:val="3"/>
            <w:shd w:val="clear" w:color="auto" w:fill="E2EFD9"/>
            <w:tcMar>
              <w:top w:w="0" w:type="dxa"/>
              <w:left w:w="20" w:type="dxa"/>
              <w:bottom w:w="0" w:type="dxa"/>
              <w:right w:w="20" w:type="dxa"/>
            </w:tcMar>
            <w:vAlign w:val="bottom"/>
          </w:tcPr>
          <w:p w14:paraId="7C20905B" w14:textId="77777777" w:rsidR="00834A75" w:rsidRDefault="00834A75">
            <w:pPr>
              <w:rPr>
                <w:rFonts w:ascii="宋体"/>
              </w:rPr>
            </w:pPr>
          </w:p>
        </w:tc>
        <w:tc>
          <w:tcPr>
            <w:tcW w:w="0" w:type="auto"/>
            <w:gridSpan w:val="2"/>
            <w:shd w:val="clear" w:color="auto" w:fill="E2EFD9"/>
            <w:tcMar>
              <w:top w:w="40" w:type="dxa"/>
              <w:left w:w="20" w:type="dxa"/>
              <w:bottom w:w="40" w:type="dxa"/>
              <w:right w:w="0" w:type="dxa"/>
            </w:tcMar>
            <w:vAlign w:val="bottom"/>
          </w:tcPr>
          <w:p w14:paraId="7C20905C" w14:textId="77777777" w:rsidR="00834A75" w:rsidRDefault="00A6708C">
            <w:pPr>
              <w:jc w:val="right"/>
              <w:textAlignment w:val="bottom"/>
            </w:pPr>
            <w:r>
              <w:rPr>
                <w:rFonts w:ascii="sans-serif" w:eastAsia="sans-serif" w:hAnsi="sans-serif" w:cs="sans-serif"/>
                <w:color w:val="000000"/>
                <w:sz w:val="20"/>
                <w:szCs w:val="20"/>
              </w:rPr>
              <w:t>— </w:t>
            </w:r>
          </w:p>
        </w:tc>
        <w:tc>
          <w:tcPr>
            <w:tcW w:w="0" w:type="auto"/>
            <w:shd w:val="clear" w:color="auto" w:fill="E2EFD9"/>
            <w:tcMar>
              <w:top w:w="40" w:type="dxa"/>
              <w:left w:w="0" w:type="dxa"/>
              <w:bottom w:w="40" w:type="dxa"/>
              <w:right w:w="20" w:type="dxa"/>
            </w:tcMar>
            <w:vAlign w:val="bottom"/>
          </w:tcPr>
          <w:p w14:paraId="7C20905D" w14:textId="77777777" w:rsidR="00834A75" w:rsidRDefault="00834A75">
            <w:pPr>
              <w:jc w:val="right"/>
              <w:rPr>
                <w:rFonts w:ascii="宋体"/>
              </w:rPr>
            </w:pPr>
          </w:p>
        </w:tc>
        <w:tc>
          <w:tcPr>
            <w:tcW w:w="0" w:type="auto"/>
            <w:gridSpan w:val="3"/>
            <w:shd w:val="clear" w:color="auto" w:fill="E2EFD9"/>
            <w:tcMar>
              <w:top w:w="0" w:type="dxa"/>
              <w:left w:w="20" w:type="dxa"/>
              <w:bottom w:w="0" w:type="dxa"/>
              <w:right w:w="20" w:type="dxa"/>
            </w:tcMar>
            <w:vAlign w:val="bottom"/>
          </w:tcPr>
          <w:p w14:paraId="7C20905E" w14:textId="77777777" w:rsidR="00834A75" w:rsidRDefault="00834A75">
            <w:pPr>
              <w:rPr>
                <w:rFonts w:ascii="宋体"/>
              </w:rPr>
            </w:pPr>
          </w:p>
        </w:tc>
        <w:tc>
          <w:tcPr>
            <w:tcW w:w="0" w:type="auto"/>
            <w:gridSpan w:val="2"/>
            <w:shd w:val="clear" w:color="auto" w:fill="E2EFD9"/>
            <w:tcMar>
              <w:top w:w="40" w:type="dxa"/>
              <w:left w:w="20" w:type="dxa"/>
              <w:bottom w:w="40" w:type="dxa"/>
              <w:right w:w="0" w:type="dxa"/>
            </w:tcMar>
            <w:vAlign w:val="bottom"/>
          </w:tcPr>
          <w:p w14:paraId="7C20905F" w14:textId="77777777" w:rsidR="00834A75" w:rsidRDefault="00A6708C">
            <w:pPr>
              <w:jc w:val="right"/>
              <w:textAlignment w:val="bottom"/>
            </w:pPr>
            <w:r>
              <w:rPr>
                <w:rFonts w:ascii="sans-serif" w:eastAsia="sans-serif" w:hAnsi="sans-serif" w:cs="sans-serif"/>
                <w:color w:val="000000"/>
                <w:sz w:val="20"/>
                <w:szCs w:val="20"/>
              </w:rPr>
              <w:t>1,353 </w:t>
            </w:r>
          </w:p>
        </w:tc>
        <w:tc>
          <w:tcPr>
            <w:tcW w:w="0" w:type="auto"/>
            <w:shd w:val="clear" w:color="auto" w:fill="E2EFD9"/>
            <w:tcMar>
              <w:top w:w="40" w:type="dxa"/>
              <w:left w:w="0" w:type="dxa"/>
              <w:bottom w:w="40" w:type="dxa"/>
              <w:right w:w="20" w:type="dxa"/>
            </w:tcMar>
            <w:vAlign w:val="bottom"/>
          </w:tcPr>
          <w:p w14:paraId="7C209060" w14:textId="77777777" w:rsidR="00834A75" w:rsidRDefault="00834A75">
            <w:pPr>
              <w:jc w:val="right"/>
              <w:rPr>
                <w:rFonts w:ascii="宋体"/>
              </w:rPr>
            </w:pPr>
          </w:p>
        </w:tc>
        <w:tc>
          <w:tcPr>
            <w:tcW w:w="0" w:type="auto"/>
            <w:gridSpan w:val="3"/>
            <w:shd w:val="clear" w:color="auto" w:fill="E2EFD9"/>
            <w:tcMar>
              <w:top w:w="0" w:type="dxa"/>
              <w:left w:w="20" w:type="dxa"/>
              <w:bottom w:w="0" w:type="dxa"/>
              <w:right w:w="20" w:type="dxa"/>
            </w:tcMar>
            <w:vAlign w:val="bottom"/>
          </w:tcPr>
          <w:p w14:paraId="7C209061" w14:textId="77777777" w:rsidR="00834A75" w:rsidRDefault="00834A75">
            <w:pPr>
              <w:rPr>
                <w:rFonts w:ascii="宋体"/>
              </w:rPr>
            </w:pPr>
          </w:p>
        </w:tc>
        <w:tc>
          <w:tcPr>
            <w:tcW w:w="0" w:type="auto"/>
            <w:gridSpan w:val="2"/>
            <w:shd w:val="clear" w:color="auto" w:fill="E2EFD9"/>
            <w:tcMar>
              <w:top w:w="40" w:type="dxa"/>
              <w:left w:w="20" w:type="dxa"/>
              <w:bottom w:w="40" w:type="dxa"/>
              <w:right w:w="0" w:type="dxa"/>
            </w:tcMar>
            <w:vAlign w:val="bottom"/>
          </w:tcPr>
          <w:p w14:paraId="7C209062" w14:textId="77777777" w:rsidR="00834A75" w:rsidRDefault="00A6708C">
            <w:pPr>
              <w:jc w:val="right"/>
              <w:textAlignment w:val="bottom"/>
            </w:pPr>
            <w:r>
              <w:rPr>
                <w:rFonts w:ascii="sans-serif" w:eastAsia="sans-serif" w:hAnsi="sans-serif" w:cs="sans-serif"/>
                <w:color w:val="000000"/>
                <w:sz w:val="20"/>
                <w:szCs w:val="20"/>
              </w:rPr>
              <w:t>100 </w:t>
            </w:r>
          </w:p>
        </w:tc>
        <w:tc>
          <w:tcPr>
            <w:tcW w:w="0" w:type="auto"/>
            <w:shd w:val="clear" w:color="auto" w:fill="E2EFD9"/>
            <w:tcMar>
              <w:top w:w="40" w:type="dxa"/>
              <w:left w:w="0" w:type="dxa"/>
              <w:bottom w:w="40" w:type="dxa"/>
              <w:right w:w="20" w:type="dxa"/>
            </w:tcMar>
            <w:vAlign w:val="bottom"/>
          </w:tcPr>
          <w:p w14:paraId="7C209063" w14:textId="77777777" w:rsidR="00834A75" w:rsidRDefault="00A6708C">
            <w:pPr>
              <w:jc w:val="right"/>
              <w:textAlignment w:val="bottom"/>
            </w:pPr>
            <w:r>
              <w:rPr>
                <w:rFonts w:ascii="sans-serif" w:eastAsia="sans-serif" w:hAnsi="sans-serif" w:cs="sans-serif"/>
                <w:color w:val="000000"/>
                <w:sz w:val="20"/>
                <w:szCs w:val="20"/>
              </w:rPr>
              <w:t>%</w:t>
            </w:r>
          </w:p>
        </w:tc>
        <w:tc>
          <w:tcPr>
            <w:tcW w:w="0" w:type="auto"/>
            <w:gridSpan w:val="3"/>
            <w:shd w:val="clear" w:color="auto" w:fill="auto"/>
            <w:vAlign w:val="bottom"/>
          </w:tcPr>
          <w:p w14:paraId="7C209064" w14:textId="77777777" w:rsidR="00834A75" w:rsidRDefault="00834A75">
            <w:pPr>
              <w:rPr>
                <w:rFonts w:ascii="宋体"/>
                <w:vanish/>
              </w:rPr>
            </w:pPr>
          </w:p>
        </w:tc>
        <w:tc>
          <w:tcPr>
            <w:tcW w:w="0" w:type="auto"/>
            <w:gridSpan w:val="3"/>
            <w:shd w:val="clear" w:color="auto" w:fill="auto"/>
            <w:vAlign w:val="bottom"/>
          </w:tcPr>
          <w:p w14:paraId="7C209065" w14:textId="77777777" w:rsidR="00834A75" w:rsidRDefault="00834A75">
            <w:pPr>
              <w:rPr>
                <w:rFonts w:ascii="宋体"/>
                <w:vanish/>
              </w:rPr>
            </w:pPr>
          </w:p>
        </w:tc>
        <w:tc>
          <w:tcPr>
            <w:tcW w:w="0" w:type="auto"/>
            <w:gridSpan w:val="3"/>
            <w:shd w:val="clear" w:color="auto" w:fill="auto"/>
            <w:vAlign w:val="bottom"/>
          </w:tcPr>
          <w:p w14:paraId="7C209066" w14:textId="77777777" w:rsidR="00834A75" w:rsidRDefault="00834A75">
            <w:pPr>
              <w:rPr>
                <w:rFonts w:ascii="宋体"/>
                <w:vanish/>
              </w:rPr>
            </w:pPr>
          </w:p>
        </w:tc>
        <w:tc>
          <w:tcPr>
            <w:tcW w:w="0" w:type="auto"/>
            <w:gridSpan w:val="3"/>
            <w:shd w:val="clear" w:color="auto" w:fill="auto"/>
            <w:vAlign w:val="bottom"/>
          </w:tcPr>
          <w:p w14:paraId="7C209067" w14:textId="77777777" w:rsidR="00834A75" w:rsidRDefault="00834A75">
            <w:pPr>
              <w:rPr>
                <w:rFonts w:ascii="宋体"/>
                <w:vanish/>
              </w:rPr>
            </w:pPr>
          </w:p>
        </w:tc>
        <w:tc>
          <w:tcPr>
            <w:tcW w:w="0" w:type="auto"/>
            <w:gridSpan w:val="3"/>
            <w:shd w:val="clear" w:color="auto" w:fill="auto"/>
            <w:vAlign w:val="bottom"/>
          </w:tcPr>
          <w:p w14:paraId="7C209068" w14:textId="77777777" w:rsidR="00834A75" w:rsidRDefault="00834A75">
            <w:pPr>
              <w:rPr>
                <w:rFonts w:ascii="宋体"/>
                <w:vanish/>
              </w:rPr>
            </w:pPr>
          </w:p>
        </w:tc>
        <w:tc>
          <w:tcPr>
            <w:tcW w:w="0" w:type="auto"/>
            <w:gridSpan w:val="3"/>
            <w:shd w:val="clear" w:color="auto" w:fill="auto"/>
            <w:vAlign w:val="bottom"/>
          </w:tcPr>
          <w:p w14:paraId="7C209069" w14:textId="77777777" w:rsidR="00834A75" w:rsidRDefault="00834A75">
            <w:pPr>
              <w:rPr>
                <w:rFonts w:ascii="宋体"/>
                <w:vanish/>
              </w:rPr>
            </w:pPr>
          </w:p>
        </w:tc>
        <w:tc>
          <w:tcPr>
            <w:tcW w:w="0" w:type="auto"/>
            <w:gridSpan w:val="3"/>
            <w:shd w:val="clear" w:color="auto" w:fill="auto"/>
            <w:vAlign w:val="bottom"/>
          </w:tcPr>
          <w:p w14:paraId="7C20906A" w14:textId="77777777" w:rsidR="00834A75" w:rsidRDefault="00834A75">
            <w:pPr>
              <w:rPr>
                <w:rFonts w:ascii="宋体"/>
                <w:vanish/>
              </w:rPr>
            </w:pPr>
          </w:p>
        </w:tc>
        <w:tc>
          <w:tcPr>
            <w:tcW w:w="0" w:type="auto"/>
            <w:gridSpan w:val="3"/>
            <w:shd w:val="clear" w:color="auto" w:fill="auto"/>
            <w:vAlign w:val="bottom"/>
          </w:tcPr>
          <w:p w14:paraId="7C20906B" w14:textId="77777777" w:rsidR="00834A75" w:rsidRDefault="00834A75">
            <w:pPr>
              <w:rPr>
                <w:rFonts w:ascii="宋体"/>
                <w:vanish/>
              </w:rPr>
            </w:pPr>
          </w:p>
        </w:tc>
      </w:tr>
      <w:tr w:rsidR="00834A75" w14:paraId="7C20907F" w14:textId="77777777">
        <w:tc>
          <w:tcPr>
            <w:tcW w:w="0" w:type="auto"/>
            <w:gridSpan w:val="3"/>
            <w:shd w:val="clear" w:color="auto" w:fill="FFFFFF"/>
            <w:tcMar>
              <w:top w:w="40" w:type="dxa"/>
              <w:left w:w="20" w:type="dxa"/>
              <w:bottom w:w="40" w:type="dxa"/>
              <w:right w:w="20" w:type="dxa"/>
            </w:tcMar>
            <w:vAlign w:val="bottom"/>
          </w:tcPr>
          <w:p w14:paraId="7C20906D" w14:textId="77777777" w:rsidR="00834A75" w:rsidRDefault="00A6708C">
            <w:pPr>
              <w:textAlignment w:val="bottom"/>
            </w:pPr>
            <w:r>
              <w:rPr>
                <w:rFonts w:ascii="sans-serif" w:eastAsia="sans-serif" w:hAnsi="sans-serif" w:cs="sans-serif"/>
                <w:i/>
                <w:iCs/>
                <w:color w:val="000000"/>
                <w:sz w:val="20"/>
                <w:szCs w:val="20"/>
              </w:rPr>
              <w:t>% of net revenue</w:t>
            </w:r>
          </w:p>
        </w:tc>
        <w:tc>
          <w:tcPr>
            <w:tcW w:w="0" w:type="auto"/>
            <w:gridSpan w:val="2"/>
            <w:shd w:val="clear" w:color="auto" w:fill="FFFFFF"/>
            <w:tcMar>
              <w:top w:w="40" w:type="dxa"/>
              <w:left w:w="20" w:type="dxa"/>
              <w:bottom w:w="40" w:type="dxa"/>
              <w:right w:w="0" w:type="dxa"/>
            </w:tcMar>
            <w:vAlign w:val="bottom"/>
          </w:tcPr>
          <w:p w14:paraId="7C20906E" w14:textId="77777777" w:rsidR="00834A75" w:rsidRDefault="00A6708C">
            <w:pPr>
              <w:jc w:val="right"/>
              <w:textAlignment w:val="bottom"/>
            </w:pPr>
            <w:r>
              <w:rPr>
                <w:rFonts w:ascii="sans-serif" w:eastAsia="sans-serif" w:hAnsi="sans-serif" w:cs="sans-serif"/>
                <w:i/>
                <w:iCs/>
                <w:color w:val="000000"/>
                <w:sz w:val="20"/>
                <w:szCs w:val="20"/>
              </w:rPr>
              <w:t>16 </w:t>
            </w:r>
          </w:p>
        </w:tc>
        <w:tc>
          <w:tcPr>
            <w:tcW w:w="0" w:type="auto"/>
            <w:shd w:val="clear" w:color="auto" w:fill="FFFFFF"/>
            <w:tcMar>
              <w:top w:w="40" w:type="dxa"/>
              <w:left w:w="0" w:type="dxa"/>
              <w:bottom w:w="40" w:type="dxa"/>
              <w:right w:w="20" w:type="dxa"/>
            </w:tcMar>
            <w:vAlign w:val="bottom"/>
          </w:tcPr>
          <w:p w14:paraId="7C20906F" w14:textId="77777777" w:rsidR="00834A75" w:rsidRDefault="00A6708C">
            <w:pPr>
              <w:jc w:val="right"/>
              <w:textAlignment w:val="bottom"/>
            </w:pPr>
            <w:r>
              <w:rPr>
                <w:rFonts w:ascii="sans-serif" w:eastAsia="sans-serif" w:hAnsi="sans-serif" w:cs="sans-serif"/>
                <w:i/>
                <w:iCs/>
                <w:color w:val="000000"/>
                <w:sz w:val="20"/>
                <w:szCs w:val="20"/>
              </w:rPr>
              <w:t>%</w:t>
            </w:r>
          </w:p>
        </w:tc>
        <w:tc>
          <w:tcPr>
            <w:tcW w:w="0" w:type="auto"/>
            <w:gridSpan w:val="3"/>
            <w:shd w:val="clear" w:color="auto" w:fill="FFFFFF"/>
            <w:tcMar>
              <w:top w:w="0" w:type="dxa"/>
              <w:left w:w="20" w:type="dxa"/>
              <w:bottom w:w="0" w:type="dxa"/>
              <w:right w:w="20" w:type="dxa"/>
            </w:tcMar>
            <w:vAlign w:val="bottom"/>
          </w:tcPr>
          <w:p w14:paraId="7C209070" w14:textId="77777777" w:rsidR="00834A75" w:rsidRDefault="00834A75">
            <w:pPr>
              <w:rPr>
                <w:rFonts w:ascii="宋体"/>
              </w:rPr>
            </w:pPr>
          </w:p>
        </w:tc>
        <w:tc>
          <w:tcPr>
            <w:tcW w:w="0" w:type="auto"/>
            <w:gridSpan w:val="2"/>
            <w:shd w:val="clear" w:color="auto" w:fill="FFFFFF"/>
            <w:tcMar>
              <w:top w:w="40" w:type="dxa"/>
              <w:left w:w="20" w:type="dxa"/>
              <w:bottom w:w="40" w:type="dxa"/>
              <w:right w:w="0" w:type="dxa"/>
            </w:tcMar>
            <w:vAlign w:val="bottom"/>
          </w:tcPr>
          <w:p w14:paraId="7C209071" w14:textId="77777777" w:rsidR="00834A75" w:rsidRDefault="00A6708C">
            <w:pPr>
              <w:jc w:val="right"/>
              <w:textAlignment w:val="bottom"/>
            </w:pPr>
            <w:r>
              <w:rPr>
                <w:rFonts w:ascii="sans-serif" w:eastAsia="sans-serif" w:hAnsi="sans-serif" w:cs="sans-serif"/>
                <w:i/>
                <w:iCs/>
                <w:color w:val="000000"/>
                <w:sz w:val="20"/>
                <w:szCs w:val="20"/>
              </w:rPr>
              <w:t>— </w:t>
            </w:r>
          </w:p>
        </w:tc>
        <w:tc>
          <w:tcPr>
            <w:tcW w:w="0" w:type="auto"/>
            <w:shd w:val="clear" w:color="auto" w:fill="FFFFFF"/>
            <w:tcMar>
              <w:top w:w="40" w:type="dxa"/>
              <w:left w:w="0" w:type="dxa"/>
              <w:bottom w:w="40" w:type="dxa"/>
              <w:right w:w="20" w:type="dxa"/>
            </w:tcMar>
            <w:vAlign w:val="bottom"/>
          </w:tcPr>
          <w:p w14:paraId="7C209072" w14:textId="77777777" w:rsidR="00834A75" w:rsidRDefault="00A6708C">
            <w:pPr>
              <w:jc w:val="right"/>
              <w:textAlignment w:val="bottom"/>
            </w:pPr>
            <w:r>
              <w:rPr>
                <w:rFonts w:ascii="sans-serif" w:eastAsia="sans-serif" w:hAnsi="sans-serif" w:cs="sans-serif"/>
                <w:i/>
                <w:iCs/>
                <w:color w:val="000000"/>
                <w:sz w:val="20"/>
                <w:szCs w:val="20"/>
              </w:rPr>
              <w:t>%</w:t>
            </w:r>
          </w:p>
        </w:tc>
        <w:tc>
          <w:tcPr>
            <w:tcW w:w="0" w:type="auto"/>
            <w:gridSpan w:val="3"/>
            <w:shd w:val="clear" w:color="auto" w:fill="FFFFFF"/>
            <w:tcMar>
              <w:top w:w="0" w:type="dxa"/>
              <w:left w:w="20" w:type="dxa"/>
              <w:bottom w:w="0" w:type="dxa"/>
              <w:right w:w="20" w:type="dxa"/>
            </w:tcMar>
            <w:vAlign w:val="bottom"/>
          </w:tcPr>
          <w:p w14:paraId="7C209073" w14:textId="77777777" w:rsidR="00834A75" w:rsidRDefault="00834A75">
            <w:pPr>
              <w:rPr>
                <w:rFonts w:ascii="宋体"/>
              </w:rPr>
            </w:pPr>
          </w:p>
        </w:tc>
        <w:tc>
          <w:tcPr>
            <w:tcW w:w="0" w:type="auto"/>
            <w:gridSpan w:val="3"/>
            <w:shd w:val="clear" w:color="auto" w:fill="FFFFFF"/>
            <w:tcMar>
              <w:top w:w="0" w:type="dxa"/>
              <w:left w:w="20" w:type="dxa"/>
              <w:bottom w:w="0" w:type="dxa"/>
              <w:right w:w="20" w:type="dxa"/>
            </w:tcMar>
            <w:vAlign w:val="bottom"/>
          </w:tcPr>
          <w:p w14:paraId="7C209074" w14:textId="77777777" w:rsidR="00834A75" w:rsidRDefault="00834A75">
            <w:pPr>
              <w:rPr>
                <w:rFonts w:ascii="宋体"/>
              </w:rPr>
            </w:pPr>
          </w:p>
        </w:tc>
        <w:tc>
          <w:tcPr>
            <w:tcW w:w="0" w:type="auto"/>
            <w:gridSpan w:val="3"/>
            <w:shd w:val="clear" w:color="auto" w:fill="FFFFFF"/>
            <w:tcMar>
              <w:top w:w="0" w:type="dxa"/>
              <w:left w:w="20" w:type="dxa"/>
              <w:bottom w:w="0" w:type="dxa"/>
              <w:right w:w="20" w:type="dxa"/>
            </w:tcMar>
            <w:vAlign w:val="bottom"/>
          </w:tcPr>
          <w:p w14:paraId="7C209075" w14:textId="77777777" w:rsidR="00834A75" w:rsidRDefault="00834A75">
            <w:pPr>
              <w:rPr>
                <w:rFonts w:ascii="宋体"/>
              </w:rPr>
            </w:pPr>
          </w:p>
        </w:tc>
        <w:tc>
          <w:tcPr>
            <w:tcW w:w="0" w:type="auto"/>
            <w:gridSpan w:val="3"/>
            <w:shd w:val="clear" w:color="auto" w:fill="FFFFFF"/>
            <w:tcMar>
              <w:top w:w="0" w:type="dxa"/>
              <w:left w:w="20" w:type="dxa"/>
              <w:bottom w:w="0" w:type="dxa"/>
              <w:right w:w="20" w:type="dxa"/>
            </w:tcMar>
            <w:vAlign w:val="bottom"/>
          </w:tcPr>
          <w:p w14:paraId="7C209076" w14:textId="77777777" w:rsidR="00834A75" w:rsidRDefault="00834A75">
            <w:pPr>
              <w:rPr>
                <w:rFonts w:ascii="宋体"/>
              </w:rPr>
            </w:pPr>
          </w:p>
        </w:tc>
        <w:tc>
          <w:tcPr>
            <w:tcW w:w="0" w:type="auto"/>
            <w:gridSpan w:val="3"/>
            <w:shd w:val="clear" w:color="auto" w:fill="auto"/>
            <w:vAlign w:val="bottom"/>
          </w:tcPr>
          <w:p w14:paraId="7C209077" w14:textId="77777777" w:rsidR="00834A75" w:rsidRDefault="00834A75">
            <w:pPr>
              <w:rPr>
                <w:rFonts w:ascii="宋体"/>
                <w:vanish/>
              </w:rPr>
            </w:pPr>
          </w:p>
        </w:tc>
        <w:tc>
          <w:tcPr>
            <w:tcW w:w="0" w:type="auto"/>
            <w:gridSpan w:val="3"/>
            <w:shd w:val="clear" w:color="auto" w:fill="auto"/>
            <w:vAlign w:val="bottom"/>
          </w:tcPr>
          <w:p w14:paraId="7C209078" w14:textId="77777777" w:rsidR="00834A75" w:rsidRDefault="00834A75">
            <w:pPr>
              <w:rPr>
                <w:rFonts w:ascii="宋体"/>
                <w:vanish/>
              </w:rPr>
            </w:pPr>
          </w:p>
        </w:tc>
        <w:tc>
          <w:tcPr>
            <w:tcW w:w="0" w:type="auto"/>
            <w:gridSpan w:val="3"/>
            <w:shd w:val="clear" w:color="auto" w:fill="auto"/>
            <w:vAlign w:val="bottom"/>
          </w:tcPr>
          <w:p w14:paraId="7C209079" w14:textId="77777777" w:rsidR="00834A75" w:rsidRDefault="00834A75">
            <w:pPr>
              <w:rPr>
                <w:rFonts w:ascii="宋体"/>
                <w:vanish/>
              </w:rPr>
            </w:pPr>
          </w:p>
        </w:tc>
        <w:tc>
          <w:tcPr>
            <w:tcW w:w="0" w:type="auto"/>
            <w:gridSpan w:val="3"/>
            <w:shd w:val="clear" w:color="auto" w:fill="auto"/>
            <w:vAlign w:val="bottom"/>
          </w:tcPr>
          <w:p w14:paraId="7C20907A" w14:textId="77777777" w:rsidR="00834A75" w:rsidRDefault="00834A75">
            <w:pPr>
              <w:rPr>
                <w:rFonts w:ascii="宋体"/>
                <w:vanish/>
              </w:rPr>
            </w:pPr>
          </w:p>
        </w:tc>
        <w:tc>
          <w:tcPr>
            <w:tcW w:w="0" w:type="auto"/>
            <w:gridSpan w:val="3"/>
            <w:shd w:val="clear" w:color="auto" w:fill="auto"/>
            <w:vAlign w:val="bottom"/>
          </w:tcPr>
          <w:p w14:paraId="7C20907B" w14:textId="77777777" w:rsidR="00834A75" w:rsidRDefault="00834A75">
            <w:pPr>
              <w:rPr>
                <w:rFonts w:ascii="宋体"/>
                <w:vanish/>
              </w:rPr>
            </w:pPr>
          </w:p>
        </w:tc>
        <w:tc>
          <w:tcPr>
            <w:tcW w:w="0" w:type="auto"/>
            <w:gridSpan w:val="3"/>
            <w:shd w:val="clear" w:color="auto" w:fill="auto"/>
            <w:vAlign w:val="bottom"/>
          </w:tcPr>
          <w:p w14:paraId="7C20907C" w14:textId="77777777" w:rsidR="00834A75" w:rsidRDefault="00834A75">
            <w:pPr>
              <w:rPr>
                <w:rFonts w:ascii="宋体"/>
                <w:vanish/>
              </w:rPr>
            </w:pPr>
          </w:p>
        </w:tc>
        <w:tc>
          <w:tcPr>
            <w:tcW w:w="0" w:type="auto"/>
            <w:gridSpan w:val="3"/>
            <w:shd w:val="clear" w:color="auto" w:fill="auto"/>
            <w:vAlign w:val="bottom"/>
          </w:tcPr>
          <w:p w14:paraId="7C20907D" w14:textId="77777777" w:rsidR="00834A75" w:rsidRDefault="00834A75">
            <w:pPr>
              <w:rPr>
                <w:rFonts w:ascii="宋体"/>
                <w:vanish/>
              </w:rPr>
            </w:pPr>
          </w:p>
        </w:tc>
        <w:tc>
          <w:tcPr>
            <w:tcW w:w="0" w:type="auto"/>
            <w:gridSpan w:val="3"/>
            <w:shd w:val="clear" w:color="auto" w:fill="auto"/>
            <w:vAlign w:val="bottom"/>
          </w:tcPr>
          <w:p w14:paraId="7C20907E" w14:textId="77777777" w:rsidR="00834A75" w:rsidRDefault="00834A75">
            <w:pPr>
              <w:rPr>
                <w:rFonts w:ascii="宋体"/>
                <w:vanish/>
              </w:rPr>
            </w:pPr>
          </w:p>
        </w:tc>
      </w:tr>
      <w:tr w:rsidR="00834A75" w14:paraId="7C209097" w14:textId="77777777">
        <w:tc>
          <w:tcPr>
            <w:tcW w:w="0" w:type="auto"/>
            <w:gridSpan w:val="3"/>
            <w:shd w:val="clear" w:color="auto" w:fill="E2EFD9"/>
            <w:tcMar>
              <w:top w:w="40" w:type="dxa"/>
              <w:left w:w="155" w:type="dxa"/>
              <w:bottom w:w="40" w:type="dxa"/>
              <w:right w:w="20" w:type="dxa"/>
            </w:tcMar>
            <w:vAlign w:val="bottom"/>
          </w:tcPr>
          <w:p w14:paraId="7C209080" w14:textId="77777777" w:rsidR="00834A75" w:rsidRDefault="00A6708C">
            <w:pPr>
              <w:textAlignment w:val="bottom"/>
            </w:pPr>
            <w:r>
              <w:rPr>
                <w:rFonts w:ascii="sans-serif" w:eastAsia="sans-serif" w:hAnsi="sans-serif" w:cs="sans-serif"/>
                <w:color w:val="000000"/>
                <w:sz w:val="20"/>
                <w:szCs w:val="20"/>
              </w:rPr>
              <w:t>Total operating expenses</w:t>
            </w:r>
          </w:p>
        </w:tc>
        <w:tc>
          <w:tcPr>
            <w:tcW w:w="0" w:type="auto"/>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7C209081" w14:textId="77777777" w:rsidR="00834A75" w:rsidRDefault="00A6708C">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E2EFD9"/>
            <w:tcMar>
              <w:top w:w="40" w:type="dxa"/>
              <w:left w:w="0" w:type="dxa"/>
              <w:bottom w:w="40" w:type="dxa"/>
              <w:right w:w="0" w:type="dxa"/>
            </w:tcMar>
            <w:vAlign w:val="bottom"/>
          </w:tcPr>
          <w:p w14:paraId="7C209082" w14:textId="77777777" w:rsidR="00834A75" w:rsidRDefault="00A6708C">
            <w:pPr>
              <w:jc w:val="right"/>
              <w:textAlignment w:val="bottom"/>
            </w:pPr>
            <w:r>
              <w:rPr>
                <w:rFonts w:ascii="sans-serif" w:eastAsia="sans-serif" w:hAnsi="sans-serif" w:cs="sans-serif"/>
                <w:color w:val="000000"/>
                <w:sz w:val="20"/>
                <w:szCs w:val="20"/>
              </w:rPr>
              <w:t>3,563 </w:t>
            </w:r>
          </w:p>
        </w:tc>
        <w:tc>
          <w:tcPr>
            <w:tcW w:w="0" w:type="auto"/>
            <w:tcBorders>
              <w:top w:val="single" w:sz="8" w:space="0" w:color="000000"/>
              <w:bottom w:val="double" w:sz="6" w:space="0" w:color="000000"/>
            </w:tcBorders>
            <w:shd w:val="clear" w:color="auto" w:fill="E2EFD9"/>
            <w:tcMar>
              <w:top w:w="40" w:type="dxa"/>
              <w:left w:w="0" w:type="dxa"/>
              <w:bottom w:w="40" w:type="dxa"/>
              <w:right w:w="20" w:type="dxa"/>
            </w:tcMar>
            <w:vAlign w:val="bottom"/>
          </w:tcPr>
          <w:p w14:paraId="7C209083" w14:textId="77777777" w:rsidR="00834A75" w:rsidRDefault="00834A75">
            <w:pPr>
              <w:jc w:val="right"/>
              <w:rPr>
                <w:rFonts w:ascii="宋体"/>
              </w:rPr>
            </w:pPr>
          </w:p>
        </w:tc>
        <w:tc>
          <w:tcPr>
            <w:tcW w:w="0" w:type="auto"/>
            <w:gridSpan w:val="3"/>
            <w:shd w:val="clear" w:color="auto" w:fill="E2EFD9"/>
            <w:tcMar>
              <w:top w:w="0" w:type="dxa"/>
              <w:left w:w="20" w:type="dxa"/>
              <w:bottom w:w="0" w:type="dxa"/>
              <w:right w:w="20" w:type="dxa"/>
            </w:tcMar>
            <w:vAlign w:val="bottom"/>
          </w:tcPr>
          <w:p w14:paraId="7C209084" w14:textId="77777777" w:rsidR="00834A75" w:rsidRDefault="00834A75">
            <w:pPr>
              <w:rPr>
                <w:rFonts w:ascii="宋体"/>
              </w:rPr>
            </w:pPr>
          </w:p>
        </w:tc>
        <w:tc>
          <w:tcPr>
            <w:tcW w:w="0" w:type="auto"/>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7C209085" w14:textId="77777777" w:rsidR="00834A75" w:rsidRDefault="00A6708C">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E2EFD9"/>
            <w:tcMar>
              <w:top w:w="40" w:type="dxa"/>
              <w:left w:w="0" w:type="dxa"/>
              <w:bottom w:w="40" w:type="dxa"/>
              <w:right w:w="0" w:type="dxa"/>
            </w:tcMar>
            <w:vAlign w:val="bottom"/>
          </w:tcPr>
          <w:p w14:paraId="7C209086" w14:textId="77777777" w:rsidR="00834A75" w:rsidRDefault="00A6708C">
            <w:pPr>
              <w:jc w:val="right"/>
              <w:textAlignment w:val="bottom"/>
            </w:pPr>
            <w:r>
              <w:rPr>
                <w:rFonts w:ascii="sans-serif" w:eastAsia="sans-serif" w:hAnsi="sans-serif" w:cs="sans-serif"/>
                <w:color w:val="000000"/>
                <w:sz w:val="20"/>
                <w:szCs w:val="20"/>
              </w:rPr>
              <w:t>1,673 </w:t>
            </w:r>
          </w:p>
        </w:tc>
        <w:tc>
          <w:tcPr>
            <w:tcW w:w="0" w:type="auto"/>
            <w:tcBorders>
              <w:top w:val="single" w:sz="8" w:space="0" w:color="000000"/>
              <w:bottom w:val="double" w:sz="6" w:space="0" w:color="000000"/>
            </w:tcBorders>
            <w:shd w:val="clear" w:color="auto" w:fill="E2EFD9"/>
            <w:tcMar>
              <w:top w:w="40" w:type="dxa"/>
              <w:left w:w="0" w:type="dxa"/>
              <w:bottom w:w="40" w:type="dxa"/>
              <w:right w:w="20" w:type="dxa"/>
            </w:tcMar>
            <w:vAlign w:val="bottom"/>
          </w:tcPr>
          <w:p w14:paraId="7C209087" w14:textId="77777777" w:rsidR="00834A75" w:rsidRDefault="00834A75">
            <w:pPr>
              <w:jc w:val="right"/>
              <w:rPr>
                <w:rFonts w:ascii="宋体"/>
              </w:rPr>
            </w:pPr>
          </w:p>
        </w:tc>
        <w:tc>
          <w:tcPr>
            <w:tcW w:w="0" w:type="auto"/>
            <w:gridSpan w:val="3"/>
            <w:shd w:val="clear" w:color="auto" w:fill="E2EFD9"/>
            <w:tcMar>
              <w:top w:w="0" w:type="dxa"/>
              <w:left w:w="20" w:type="dxa"/>
              <w:bottom w:w="0" w:type="dxa"/>
              <w:right w:w="20" w:type="dxa"/>
            </w:tcMar>
            <w:vAlign w:val="bottom"/>
          </w:tcPr>
          <w:p w14:paraId="7C209088" w14:textId="77777777" w:rsidR="00834A75" w:rsidRDefault="00834A75">
            <w:pPr>
              <w:rPr>
                <w:rFonts w:ascii="宋体"/>
              </w:rPr>
            </w:pPr>
          </w:p>
        </w:tc>
        <w:tc>
          <w:tcPr>
            <w:tcW w:w="0" w:type="auto"/>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7C209089" w14:textId="77777777" w:rsidR="00834A75" w:rsidRDefault="00A6708C">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E2EFD9"/>
            <w:tcMar>
              <w:top w:w="40" w:type="dxa"/>
              <w:left w:w="0" w:type="dxa"/>
              <w:bottom w:w="40" w:type="dxa"/>
              <w:right w:w="0" w:type="dxa"/>
            </w:tcMar>
            <w:vAlign w:val="bottom"/>
          </w:tcPr>
          <w:p w14:paraId="7C20908A" w14:textId="77777777" w:rsidR="00834A75" w:rsidRDefault="00A6708C">
            <w:pPr>
              <w:jc w:val="right"/>
              <w:textAlignment w:val="bottom"/>
            </w:pPr>
            <w:r>
              <w:rPr>
                <w:rFonts w:ascii="sans-serif" w:eastAsia="sans-serif" w:hAnsi="sans-serif" w:cs="sans-serif"/>
                <w:color w:val="000000"/>
                <w:sz w:val="20"/>
                <w:szCs w:val="20"/>
              </w:rPr>
              <w:t>1,890 </w:t>
            </w:r>
          </w:p>
        </w:tc>
        <w:tc>
          <w:tcPr>
            <w:tcW w:w="0" w:type="auto"/>
            <w:tcBorders>
              <w:top w:val="single" w:sz="8" w:space="0" w:color="000000"/>
              <w:bottom w:val="double" w:sz="6" w:space="0" w:color="000000"/>
            </w:tcBorders>
            <w:shd w:val="clear" w:color="auto" w:fill="E2EFD9"/>
            <w:tcMar>
              <w:top w:w="40" w:type="dxa"/>
              <w:left w:w="0" w:type="dxa"/>
              <w:bottom w:w="40" w:type="dxa"/>
              <w:right w:w="20" w:type="dxa"/>
            </w:tcMar>
            <w:vAlign w:val="bottom"/>
          </w:tcPr>
          <w:p w14:paraId="7C20908B" w14:textId="77777777" w:rsidR="00834A75" w:rsidRDefault="00834A75">
            <w:pPr>
              <w:jc w:val="right"/>
              <w:rPr>
                <w:rFonts w:ascii="宋体"/>
              </w:rPr>
            </w:pPr>
          </w:p>
        </w:tc>
        <w:tc>
          <w:tcPr>
            <w:tcW w:w="0" w:type="auto"/>
            <w:gridSpan w:val="3"/>
            <w:shd w:val="clear" w:color="auto" w:fill="E2EFD9"/>
            <w:tcMar>
              <w:top w:w="0" w:type="dxa"/>
              <w:left w:w="20" w:type="dxa"/>
              <w:bottom w:w="0" w:type="dxa"/>
              <w:right w:w="20" w:type="dxa"/>
            </w:tcMar>
            <w:vAlign w:val="bottom"/>
          </w:tcPr>
          <w:p w14:paraId="7C20908C" w14:textId="77777777" w:rsidR="00834A75" w:rsidRDefault="00834A75">
            <w:pPr>
              <w:rPr>
                <w:rFonts w:ascii="宋体"/>
              </w:rPr>
            </w:pPr>
          </w:p>
        </w:tc>
        <w:tc>
          <w:tcPr>
            <w:tcW w:w="0" w:type="auto"/>
            <w:gridSpan w:val="2"/>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7C20908D" w14:textId="77777777" w:rsidR="00834A75" w:rsidRDefault="00A6708C">
            <w:pPr>
              <w:jc w:val="right"/>
              <w:textAlignment w:val="bottom"/>
            </w:pPr>
            <w:r>
              <w:rPr>
                <w:rFonts w:ascii="sans-serif" w:eastAsia="sans-serif" w:hAnsi="sans-serif" w:cs="sans-serif"/>
                <w:color w:val="000000"/>
                <w:sz w:val="20"/>
                <w:szCs w:val="20"/>
              </w:rPr>
              <w:t>113 </w:t>
            </w:r>
          </w:p>
        </w:tc>
        <w:tc>
          <w:tcPr>
            <w:tcW w:w="0" w:type="auto"/>
            <w:tcBorders>
              <w:top w:val="single" w:sz="8" w:space="0" w:color="000000"/>
              <w:bottom w:val="double" w:sz="6" w:space="0" w:color="000000"/>
            </w:tcBorders>
            <w:shd w:val="clear" w:color="auto" w:fill="E2EFD9"/>
            <w:tcMar>
              <w:top w:w="40" w:type="dxa"/>
              <w:left w:w="0" w:type="dxa"/>
              <w:bottom w:w="40" w:type="dxa"/>
              <w:right w:w="20" w:type="dxa"/>
            </w:tcMar>
            <w:vAlign w:val="bottom"/>
          </w:tcPr>
          <w:p w14:paraId="7C20908E" w14:textId="77777777" w:rsidR="00834A75" w:rsidRDefault="00A6708C">
            <w:pPr>
              <w:jc w:val="right"/>
              <w:textAlignment w:val="bottom"/>
            </w:pPr>
            <w:r>
              <w:rPr>
                <w:rFonts w:ascii="sans-serif" w:eastAsia="sans-serif" w:hAnsi="sans-serif" w:cs="sans-serif"/>
                <w:color w:val="000000"/>
                <w:sz w:val="20"/>
                <w:szCs w:val="20"/>
              </w:rPr>
              <w:t>%</w:t>
            </w:r>
          </w:p>
        </w:tc>
        <w:tc>
          <w:tcPr>
            <w:tcW w:w="0" w:type="auto"/>
            <w:gridSpan w:val="3"/>
            <w:shd w:val="clear" w:color="auto" w:fill="auto"/>
            <w:vAlign w:val="bottom"/>
          </w:tcPr>
          <w:p w14:paraId="7C20908F" w14:textId="77777777" w:rsidR="00834A75" w:rsidRDefault="00834A75">
            <w:pPr>
              <w:rPr>
                <w:rFonts w:ascii="宋体"/>
                <w:vanish/>
              </w:rPr>
            </w:pPr>
          </w:p>
        </w:tc>
        <w:tc>
          <w:tcPr>
            <w:tcW w:w="0" w:type="auto"/>
            <w:gridSpan w:val="3"/>
            <w:shd w:val="clear" w:color="auto" w:fill="auto"/>
            <w:vAlign w:val="bottom"/>
          </w:tcPr>
          <w:p w14:paraId="7C209090" w14:textId="77777777" w:rsidR="00834A75" w:rsidRDefault="00834A75">
            <w:pPr>
              <w:rPr>
                <w:rFonts w:ascii="宋体"/>
                <w:vanish/>
              </w:rPr>
            </w:pPr>
          </w:p>
        </w:tc>
        <w:tc>
          <w:tcPr>
            <w:tcW w:w="0" w:type="auto"/>
            <w:gridSpan w:val="3"/>
            <w:shd w:val="clear" w:color="auto" w:fill="auto"/>
            <w:vAlign w:val="bottom"/>
          </w:tcPr>
          <w:p w14:paraId="7C209091" w14:textId="77777777" w:rsidR="00834A75" w:rsidRDefault="00834A75">
            <w:pPr>
              <w:rPr>
                <w:rFonts w:ascii="宋体"/>
                <w:vanish/>
              </w:rPr>
            </w:pPr>
          </w:p>
        </w:tc>
        <w:tc>
          <w:tcPr>
            <w:tcW w:w="0" w:type="auto"/>
            <w:gridSpan w:val="3"/>
            <w:shd w:val="clear" w:color="auto" w:fill="auto"/>
            <w:vAlign w:val="bottom"/>
          </w:tcPr>
          <w:p w14:paraId="7C209092" w14:textId="77777777" w:rsidR="00834A75" w:rsidRDefault="00834A75">
            <w:pPr>
              <w:rPr>
                <w:rFonts w:ascii="宋体"/>
                <w:vanish/>
              </w:rPr>
            </w:pPr>
          </w:p>
        </w:tc>
        <w:tc>
          <w:tcPr>
            <w:tcW w:w="0" w:type="auto"/>
            <w:gridSpan w:val="3"/>
            <w:shd w:val="clear" w:color="auto" w:fill="auto"/>
            <w:vAlign w:val="bottom"/>
          </w:tcPr>
          <w:p w14:paraId="7C209093" w14:textId="77777777" w:rsidR="00834A75" w:rsidRDefault="00834A75">
            <w:pPr>
              <w:rPr>
                <w:rFonts w:ascii="宋体"/>
                <w:vanish/>
              </w:rPr>
            </w:pPr>
          </w:p>
        </w:tc>
        <w:tc>
          <w:tcPr>
            <w:tcW w:w="0" w:type="auto"/>
            <w:gridSpan w:val="3"/>
            <w:shd w:val="clear" w:color="auto" w:fill="auto"/>
            <w:vAlign w:val="bottom"/>
          </w:tcPr>
          <w:p w14:paraId="7C209094" w14:textId="77777777" w:rsidR="00834A75" w:rsidRDefault="00834A75">
            <w:pPr>
              <w:rPr>
                <w:rFonts w:ascii="宋体"/>
                <w:vanish/>
              </w:rPr>
            </w:pPr>
          </w:p>
        </w:tc>
        <w:tc>
          <w:tcPr>
            <w:tcW w:w="0" w:type="auto"/>
            <w:gridSpan w:val="3"/>
            <w:shd w:val="clear" w:color="auto" w:fill="auto"/>
            <w:vAlign w:val="bottom"/>
          </w:tcPr>
          <w:p w14:paraId="7C209095" w14:textId="77777777" w:rsidR="00834A75" w:rsidRDefault="00834A75">
            <w:pPr>
              <w:rPr>
                <w:rFonts w:ascii="宋体"/>
                <w:vanish/>
              </w:rPr>
            </w:pPr>
          </w:p>
        </w:tc>
        <w:tc>
          <w:tcPr>
            <w:tcW w:w="0" w:type="auto"/>
            <w:gridSpan w:val="3"/>
            <w:shd w:val="clear" w:color="auto" w:fill="auto"/>
            <w:vAlign w:val="bottom"/>
          </w:tcPr>
          <w:p w14:paraId="7C209096" w14:textId="77777777" w:rsidR="00834A75" w:rsidRDefault="00834A75">
            <w:pPr>
              <w:rPr>
                <w:rFonts w:ascii="宋体"/>
                <w:vanish/>
              </w:rPr>
            </w:pPr>
          </w:p>
        </w:tc>
      </w:tr>
    </w:tbl>
    <w:p w14:paraId="7C209098" w14:textId="77777777" w:rsidR="00834A75" w:rsidRDefault="00A6708C">
      <w:pPr>
        <w:spacing w:before="120" w:after="120"/>
        <w:jc w:val="both"/>
      </w:pPr>
      <w:r>
        <w:rPr>
          <w:rFonts w:ascii="sans-serif" w:eastAsia="sans-serif" w:hAnsi="sans-serif" w:cs="sans-serif"/>
          <w:b/>
          <w:bCs/>
          <w:color w:val="000000"/>
          <w:sz w:val="20"/>
          <w:szCs w:val="20"/>
        </w:rPr>
        <w:t>Research and Development</w:t>
      </w:r>
    </w:p>
    <w:p w14:paraId="7C209099" w14:textId="77777777" w:rsidR="00834A75" w:rsidRDefault="00A6708C">
      <w:pPr>
        <w:spacing w:before="120" w:after="120"/>
        <w:jc w:val="both"/>
      </w:pPr>
      <w:r>
        <w:rPr>
          <w:rFonts w:ascii="sans-serif" w:eastAsia="sans-serif" w:hAnsi="sans-serif" w:cs="sans-serif"/>
          <w:color w:val="000000"/>
          <w:sz w:val="20"/>
          <w:szCs w:val="20"/>
        </w:rPr>
        <w:t xml:space="preserve">Research and development expenses </w:t>
      </w:r>
      <w:r>
        <w:rPr>
          <w:rFonts w:ascii="sans-serif" w:eastAsia="sans-serif" w:hAnsi="sans-serif" w:cs="sans-serif"/>
          <w:color w:val="000000"/>
          <w:sz w:val="20"/>
          <w:szCs w:val="20"/>
        </w:rPr>
        <w:t>increased by 40% during the first quarter of fiscal year 2023 compared to the first quarter of fiscal year 2022, primarily driven by compensation-related costs, including for employee growth and stock-based compensation, and engineering development costs. </w:t>
      </w:r>
    </w:p>
    <w:p w14:paraId="7C20909A" w14:textId="77777777" w:rsidR="00834A75" w:rsidRDefault="00A6708C">
      <w:pPr>
        <w:spacing w:before="120" w:after="120"/>
        <w:jc w:val="both"/>
      </w:pPr>
      <w:r>
        <w:rPr>
          <w:rFonts w:ascii="sans-serif" w:eastAsia="sans-serif" w:hAnsi="sans-serif" w:cs="sans-serif"/>
          <w:b/>
          <w:bCs/>
          <w:color w:val="000000"/>
          <w:sz w:val="20"/>
          <w:szCs w:val="20"/>
        </w:rPr>
        <w:t>Sales, General and Administrative</w:t>
      </w:r>
    </w:p>
    <w:p w14:paraId="7C20909B" w14:textId="77777777" w:rsidR="00834A75" w:rsidRDefault="00A6708C">
      <w:pPr>
        <w:spacing w:before="120" w:after="120"/>
        <w:jc w:val="both"/>
      </w:pPr>
      <w:r>
        <w:rPr>
          <w:rFonts w:ascii="sans-serif" w:eastAsia="sans-serif" w:hAnsi="sans-serif" w:cs="sans-serif"/>
          <w:color w:val="000000"/>
          <w:sz w:val="20"/>
          <w:szCs w:val="20"/>
        </w:rPr>
        <w:t>Sales, general and administrative expenses increased by 14% during the first quarter of fiscal year 2023 compared to the first quarter of fiscal year 2022, primarily driven by compensation-related costs, associated with e</w:t>
      </w:r>
      <w:r>
        <w:rPr>
          <w:rFonts w:ascii="sans-serif" w:eastAsia="sans-serif" w:hAnsi="sans-serif" w:cs="sans-serif"/>
          <w:color w:val="000000"/>
          <w:sz w:val="20"/>
          <w:szCs w:val="20"/>
        </w:rPr>
        <w:t>mployee growth and stock-based compensation, partially offset by lower legal fees.</w:t>
      </w:r>
    </w:p>
    <w:p w14:paraId="7C20909C" w14:textId="77777777" w:rsidR="00834A75" w:rsidRDefault="00A6708C">
      <w:pPr>
        <w:spacing w:before="120"/>
      </w:pPr>
      <w:r>
        <w:rPr>
          <w:rFonts w:ascii="sans-serif" w:eastAsia="sans-serif" w:hAnsi="sans-serif" w:cs="sans-serif"/>
          <w:b/>
          <w:bCs/>
          <w:color w:val="000000"/>
          <w:sz w:val="20"/>
          <w:szCs w:val="20"/>
        </w:rPr>
        <w:t>Acquisition Termination Cost</w:t>
      </w:r>
    </w:p>
    <w:p w14:paraId="7C20909D" w14:textId="77777777" w:rsidR="00834A75" w:rsidRDefault="00A6708C">
      <w:pPr>
        <w:spacing w:before="120" w:after="120"/>
        <w:jc w:val="both"/>
      </w:pPr>
      <w:r>
        <w:rPr>
          <w:rFonts w:ascii="sans-serif" w:eastAsia="sans-serif" w:hAnsi="sans-serif" w:cs="sans-serif"/>
          <w:color w:val="000000"/>
          <w:sz w:val="20"/>
          <w:szCs w:val="20"/>
        </w:rPr>
        <w:t xml:space="preserve">We recorded an acquisition termination cost related to the Arm transaction of $1.35 billion in the first quarter of fiscal year 2023 reflecting </w:t>
      </w:r>
      <w:r>
        <w:rPr>
          <w:rFonts w:ascii="sans-serif" w:eastAsia="sans-serif" w:hAnsi="sans-serif" w:cs="sans-serif"/>
          <w:color w:val="000000"/>
          <w:sz w:val="20"/>
          <w:szCs w:val="20"/>
        </w:rPr>
        <w:t>the write-off of the prepayment provided at signing in September 2020.</w:t>
      </w:r>
    </w:p>
    <w:p w14:paraId="7C20909E" w14:textId="77777777" w:rsidR="00834A75" w:rsidRDefault="00834A75">
      <w:pPr>
        <w:spacing w:before="240" w:after="60"/>
      </w:pPr>
    </w:p>
    <w:p w14:paraId="7C20909F" w14:textId="77777777" w:rsidR="00834A75" w:rsidRDefault="00A6708C">
      <w:pPr>
        <w:spacing w:after="180"/>
        <w:jc w:val="center"/>
      </w:pPr>
      <w:r>
        <w:rPr>
          <w:rFonts w:ascii="sans-serif" w:eastAsia="sans-serif" w:hAnsi="sans-serif" w:cs="sans-serif"/>
          <w:color w:val="000000"/>
          <w:sz w:val="20"/>
          <w:szCs w:val="20"/>
        </w:rPr>
        <w:t>26</w:t>
      </w:r>
    </w:p>
    <w:p w14:paraId="7C2090A0" w14:textId="77777777" w:rsidR="00834A75" w:rsidRDefault="00A6708C">
      <w:r>
        <w:pict w14:anchorId="7C209369">
          <v:rect id="_x0000_i1050" style="width:415.3pt;height:1.5pt" o:hralign="center" o:hrstd="t" o:hr="t" fillcolor="#a0a0a0" stroked="f"/>
        </w:pict>
      </w:r>
    </w:p>
    <w:p w14:paraId="7C2090A1" w14:textId="77777777" w:rsidR="00834A75" w:rsidRDefault="00834A75">
      <w:pPr>
        <w:spacing w:after="180"/>
        <w:jc w:val="both"/>
      </w:pPr>
    </w:p>
    <w:p w14:paraId="7C2090A2" w14:textId="77777777" w:rsidR="00834A75" w:rsidRDefault="00834A75">
      <w:pPr>
        <w:spacing w:after="180"/>
        <w:jc w:val="both"/>
      </w:pPr>
    </w:p>
    <w:p w14:paraId="7C2090A3" w14:textId="77777777" w:rsidR="00834A75" w:rsidRDefault="00834A75">
      <w:pPr>
        <w:spacing w:after="180"/>
        <w:jc w:val="both"/>
      </w:pPr>
    </w:p>
    <w:p w14:paraId="7C2090A4" w14:textId="77777777" w:rsidR="00834A75" w:rsidRDefault="00A6708C">
      <w:pPr>
        <w:spacing w:before="240" w:after="60"/>
      </w:pPr>
      <w:r>
        <w:rPr>
          <w:rFonts w:ascii="sans-serif" w:eastAsia="sans-serif" w:hAnsi="sans-serif" w:cs="sans-serif"/>
          <w:b/>
          <w:bCs/>
          <w:color w:val="76B900"/>
          <w:sz w:val="20"/>
          <w:szCs w:val="20"/>
        </w:rPr>
        <w:t>Other Income (Expense), Net</w:t>
      </w:r>
    </w:p>
    <w:p w14:paraId="7C2090A5" w14:textId="77777777" w:rsidR="00834A75" w:rsidRDefault="00A6708C">
      <w:pPr>
        <w:spacing w:before="120" w:after="120"/>
        <w:jc w:val="both"/>
      </w:pPr>
      <w:r>
        <w:rPr>
          <w:rFonts w:ascii="sans-serif" w:eastAsia="sans-serif" w:hAnsi="sans-serif" w:cs="sans-serif"/>
          <w:color w:val="000000"/>
          <w:sz w:val="20"/>
          <w:szCs w:val="20"/>
        </w:rPr>
        <w:t xml:space="preserve">Interest income consists of interest earned on cash, cash equivalents and marketable securities. Interest income was $18 million and $6 million for </w:t>
      </w:r>
      <w:r>
        <w:rPr>
          <w:rFonts w:ascii="sans-serif" w:eastAsia="sans-serif" w:hAnsi="sans-serif" w:cs="sans-serif"/>
          <w:color w:val="000000"/>
          <w:sz w:val="20"/>
          <w:szCs w:val="20"/>
        </w:rPr>
        <w:t>the first quarter of fiscal years 2023 and 2022, respectively. The increase in interest income was primarily due to higher interest rates earned on our investments and higher cash balances.</w:t>
      </w:r>
    </w:p>
    <w:p w14:paraId="7C2090A6" w14:textId="77777777" w:rsidR="00834A75" w:rsidRDefault="00A6708C">
      <w:pPr>
        <w:spacing w:before="120" w:after="120"/>
        <w:jc w:val="both"/>
      </w:pPr>
      <w:r>
        <w:rPr>
          <w:rFonts w:ascii="sans-serif" w:eastAsia="sans-serif" w:hAnsi="sans-serif" w:cs="sans-serif"/>
          <w:color w:val="000000"/>
          <w:sz w:val="20"/>
          <w:szCs w:val="20"/>
        </w:rPr>
        <w:t>Interest expense is primarily comprised of coupon interest and deb</w:t>
      </w:r>
      <w:r>
        <w:rPr>
          <w:rFonts w:ascii="sans-serif" w:eastAsia="sans-serif" w:hAnsi="sans-serif" w:cs="sans-serif"/>
          <w:color w:val="000000"/>
          <w:sz w:val="20"/>
          <w:szCs w:val="20"/>
        </w:rPr>
        <w:t>t discount amortization related to our notes. Interest expense was $68 million and $53 million during the first quarter of fiscal years 2023 and 2022, respectively. The increase in expense reflects interest on the $5.00 billion note issued in June 2021.</w:t>
      </w:r>
    </w:p>
    <w:p w14:paraId="7C2090A7" w14:textId="77777777" w:rsidR="00834A75" w:rsidRDefault="00A6708C">
      <w:pPr>
        <w:spacing w:before="120" w:after="120"/>
        <w:jc w:val="both"/>
      </w:pPr>
      <w:r>
        <w:rPr>
          <w:rFonts w:ascii="sans-serif" w:eastAsia="sans-serif" w:hAnsi="sans-serif" w:cs="sans-serif"/>
          <w:color w:val="000000"/>
          <w:sz w:val="20"/>
          <w:szCs w:val="20"/>
        </w:rPr>
        <w:t>Other, net, consists primarily of realized or unrealized gains and losses from investments in non-affiliated entities and the impact of changes in foreign currency rates. Other, net, was an expense of $13 million and income of $135 million during the first</w:t>
      </w:r>
      <w:r>
        <w:rPr>
          <w:rFonts w:ascii="sans-serif" w:eastAsia="sans-serif" w:hAnsi="sans-serif" w:cs="sans-serif"/>
          <w:color w:val="000000"/>
          <w:sz w:val="20"/>
          <w:szCs w:val="20"/>
        </w:rPr>
        <w:t xml:space="preserve"> quarter of fiscal years 2023 and 2022, respectively. Changes in other, net, compared to the first quarter of fiscal year 2022 were primarily driven by mark-to-market impact from public trading equity investments and changes in value from our non-affiliate</w:t>
      </w:r>
      <w:r>
        <w:rPr>
          <w:rFonts w:ascii="sans-serif" w:eastAsia="sans-serif" w:hAnsi="sans-serif" w:cs="sans-serif"/>
          <w:color w:val="000000"/>
          <w:sz w:val="20"/>
          <w:szCs w:val="20"/>
        </w:rPr>
        <w:t xml:space="preserve">d private investments. Refer to Note 8 of the Notes to Condensed Consolidated Financial Statements for additional information regarding our investments in non-affiliated entities. </w:t>
      </w:r>
    </w:p>
    <w:p w14:paraId="7C2090A8" w14:textId="77777777" w:rsidR="00834A75" w:rsidRDefault="00A6708C">
      <w:pPr>
        <w:spacing w:before="240" w:after="60"/>
        <w:jc w:val="both"/>
      </w:pPr>
      <w:r>
        <w:rPr>
          <w:rFonts w:ascii="sans-serif" w:eastAsia="sans-serif" w:hAnsi="sans-serif" w:cs="sans-serif"/>
          <w:b/>
          <w:bCs/>
          <w:color w:val="76B900"/>
          <w:sz w:val="20"/>
          <w:szCs w:val="20"/>
        </w:rPr>
        <w:t>Income Taxes</w:t>
      </w:r>
    </w:p>
    <w:p w14:paraId="7C2090A9" w14:textId="77777777" w:rsidR="00834A75" w:rsidRDefault="00A6708C">
      <w:pPr>
        <w:spacing w:after="180"/>
        <w:jc w:val="both"/>
      </w:pPr>
      <w:r>
        <w:rPr>
          <w:rFonts w:ascii="sans-serif" w:eastAsia="sans-serif" w:hAnsi="sans-serif" w:cs="sans-serif"/>
          <w:color w:val="000000"/>
          <w:sz w:val="20"/>
          <w:szCs w:val="20"/>
        </w:rPr>
        <w:t>We recognized an income tax expense of $187 million and $132 m</w:t>
      </w:r>
      <w:r>
        <w:rPr>
          <w:rFonts w:ascii="sans-serif" w:eastAsia="sans-serif" w:hAnsi="sans-serif" w:cs="sans-serif"/>
          <w:color w:val="000000"/>
          <w:sz w:val="20"/>
          <w:szCs w:val="20"/>
        </w:rPr>
        <w:t>illion for the first quarter of fiscal years 2023 and 2022, respectively. The income tax expense as a percentage of income before income tax was 10.3% and 6.5% for the first quarter of fiscal years 2023 and 2022, respectively.</w:t>
      </w:r>
    </w:p>
    <w:p w14:paraId="7C2090AA" w14:textId="77777777" w:rsidR="00834A75" w:rsidRDefault="00A6708C">
      <w:pPr>
        <w:spacing w:before="120" w:after="120"/>
        <w:jc w:val="both"/>
      </w:pPr>
      <w:r>
        <w:rPr>
          <w:rFonts w:ascii="sans-serif" w:eastAsia="sans-serif" w:hAnsi="sans-serif" w:cs="sans-serif"/>
          <w:color w:val="000000"/>
          <w:sz w:val="20"/>
          <w:szCs w:val="20"/>
        </w:rPr>
        <w:t>The increase in our effective</w:t>
      </w:r>
      <w:r>
        <w:rPr>
          <w:rFonts w:ascii="sans-serif" w:eastAsia="sans-serif" w:hAnsi="sans-serif" w:cs="sans-serif"/>
          <w:color w:val="000000"/>
          <w:sz w:val="20"/>
          <w:szCs w:val="20"/>
        </w:rPr>
        <w:t xml:space="preserve"> tax rate was primarily due to an increase in the amount of earnings subject to U.S. tax, the Arm acquisition termination cost recorded in the first quarter of fiscal year 2023 which did not result in any material tax benefit, and a decreased impact of tax</w:t>
      </w:r>
      <w:r>
        <w:rPr>
          <w:rFonts w:ascii="sans-serif" w:eastAsia="sans-serif" w:hAnsi="sans-serif" w:cs="sans-serif"/>
          <w:color w:val="000000"/>
          <w:sz w:val="20"/>
          <w:szCs w:val="20"/>
        </w:rPr>
        <w:t xml:space="preserve"> benefit from the U.S. federal research tax credit, partially offset by the increased benefits from the foreign-derived intangible income deduction and stock-based compensation. If our stock price declines, the future tax benefits from stock-based compensa</w:t>
      </w:r>
      <w:r>
        <w:rPr>
          <w:rFonts w:ascii="sans-serif" w:eastAsia="sans-serif" w:hAnsi="sans-serif" w:cs="sans-serif"/>
          <w:color w:val="000000"/>
          <w:sz w:val="20"/>
          <w:szCs w:val="20"/>
        </w:rPr>
        <w:t>tion may decline, resulting in an increase in tax expense.</w:t>
      </w:r>
    </w:p>
    <w:p w14:paraId="7C2090AB" w14:textId="77777777" w:rsidR="00834A75" w:rsidRDefault="00A6708C">
      <w:pPr>
        <w:spacing w:before="240" w:after="120"/>
        <w:jc w:val="both"/>
      </w:pPr>
      <w:r>
        <w:rPr>
          <w:rFonts w:ascii="sans-serif" w:eastAsia="sans-serif" w:hAnsi="sans-serif" w:cs="sans-serif"/>
          <w:b/>
          <w:bCs/>
          <w:color w:val="76B900"/>
          <w:sz w:val="22"/>
          <w:szCs w:val="22"/>
        </w:rPr>
        <w:t>Liquidity and Capital Resources </w:t>
      </w:r>
    </w:p>
    <w:tbl>
      <w:tblPr>
        <w:tblW w:w="4985" w:type="pct"/>
        <w:tblCellMar>
          <w:top w:w="15" w:type="dxa"/>
          <w:left w:w="15" w:type="dxa"/>
          <w:bottom w:w="15" w:type="dxa"/>
          <w:right w:w="15" w:type="dxa"/>
        </w:tblCellMar>
        <w:tblLook w:val="04A0" w:firstRow="1" w:lastRow="0" w:firstColumn="1" w:lastColumn="0" w:noHBand="0" w:noVBand="1"/>
      </w:tblPr>
      <w:tblGrid>
        <w:gridCol w:w="40"/>
        <w:gridCol w:w="5266"/>
        <w:gridCol w:w="36"/>
        <w:gridCol w:w="122"/>
        <w:gridCol w:w="1290"/>
        <w:gridCol w:w="36"/>
        <w:gridCol w:w="36"/>
        <w:gridCol w:w="36"/>
        <w:gridCol w:w="36"/>
        <w:gridCol w:w="122"/>
        <w:gridCol w:w="1255"/>
        <w:gridCol w:w="36"/>
      </w:tblGrid>
      <w:tr w:rsidR="00834A75" w14:paraId="7C2090B8" w14:textId="77777777">
        <w:tc>
          <w:tcPr>
            <w:tcW w:w="50" w:type="pct"/>
            <w:shd w:val="clear" w:color="auto" w:fill="auto"/>
            <w:vAlign w:val="bottom"/>
          </w:tcPr>
          <w:p w14:paraId="7C2090AC" w14:textId="77777777" w:rsidR="00834A75" w:rsidRDefault="00834A75">
            <w:pPr>
              <w:rPr>
                <w:rFonts w:ascii="宋体"/>
              </w:rPr>
            </w:pPr>
          </w:p>
        </w:tc>
        <w:tc>
          <w:tcPr>
            <w:tcW w:w="3192" w:type="pct"/>
            <w:shd w:val="clear" w:color="auto" w:fill="auto"/>
            <w:vAlign w:val="bottom"/>
          </w:tcPr>
          <w:p w14:paraId="7C2090AD" w14:textId="77777777" w:rsidR="00834A75" w:rsidRDefault="00834A75">
            <w:pPr>
              <w:rPr>
                <w:rFonts w:ascii="宋体"/>
              </w:rPr>
            </w:pPr>
          </w:p>
        </w:tc>
        <w:tc>
          <w:tcPr>
            <w:tcW w:w="5" w:type="pct"/>
            <w:shd w:val="clear" w:color="auto" w:fill="auto"/>
            <w:vAlign w:val="bottom"/>
          </w:tcPr>
          <w:p w14:paraId="7C2090AE" w14:textId="77777777" w:rsidR="00834A75" w:rsidRDefault="00834A75">
            <w:pPr>
              <w:rPr>
                <w:rFonts w:ascii="宋体"/>
              </w:rPr>
            </w:pPr>
          </w:p>
        </w:tc>
        <w:tc>
          <w:tcPr>
            <w:tcW w:w="50" w:type="pct"/>
            <w:shd w:val="clear" w:color="auto" w:fill="auto"/>
            <w:vAlign w:val="bottom"/>
          </w:tcPr>
          <w:p w14:paraId="7C2090AF" w14:textId="77777777" w:rsidR="00834A75" w:rsidRDefault="00834A75">
            <w:pPr>
              <w:rPr>
                <w:rFonts w:ascii="宋体"/>
              </w:rPr>
            </w:pPr>
          </w:p>
        </w:tc>
        <w:tc>
          <w:tcPr>
            <w:tcW w:w="802" w:type="pct"/>
            <w:shd w:val="clear" w:color="auto" w:fill="auto"/>
            <w:vAlign w:val="bottom"/>
          </w:tcPr>
          <w:p w14:paraId="7C2090B0" w14:textId="77777777" w:rsidR="00834A75" w:rsidRDefault="00834A75">
            <w:pPr>
              <w:rPr>
                <w:rFonts w:ascii="宋体"/>
              </w:rPr>
            </w:pPr>
          </w:p>
        </w:tc>
        <w:tc>
          <w:tcPr>
            <w:tcW w:w="5" w:type="pct"/>
            <w:shd w:val="clear" w:color="auto" w:fill="auto"/>
            <w:vAlign w:val="bottom"/>
          </w:tcPr>
          <w:p w14:paraId="7C2090B1" w14:textId="77777777" w:rsidR="00834A75" w:rsidRDefault="00834A75">
            <w:pPr>
              <w:rPr>
                <w:rFonts w:ascii="宋体"/>
              </w:rPr>
            </w:pPr>
          </w:p>
        </w:tc>
        <w:tc>
          <w:tcPr>
            <w:tcW w:w="5" w:type="pct"/>
            <w:shd w:val="clear" w:color="auto" w:fill="auto"/>
            <w:vAlign w:val="bottom"/>
          </w:tcPr>
          <w:p w14:paraId="7C2090B2" w14:textId="77777777" w:rsidR="00834A75" w:rsidRDefault="00834A75">
            <w:pPr>
              <w:rPr>
                <w:rFonts w:ascii="宋体"/>
              </w:rPr>
            </w:pPr>
          </w:p>
        </w:tc>
        <w:tc>
          <w:tcPr>
            <w:tcW w:w="26" w:type="pct"/>
            <w:shd w:val="clear" w:color="auto" w:fill="auto"/>
            <w:vAlign w:val="bottom"/>
          </w:tcPr>
          <w:p w14:paraId="7C2090B3" w14:textId="77777777" w:rsidR="00834A75" w:rsidRDefault="00834A75">
            <w:pPr>
              <w:rPr>
                <w:rFonts w:ascii="宋体"/>
              </w:rPr>
            </w:pPr>
          </w:p>
        </w:tc>
        <w:tc>
          <w:tcPr>
            <w:tcW w:w="5" w:type="pct"/>
            <w:shd w:val="clear" w:color="auto" w:fill="auto"/>
            <w:vAlign w:val="bottom"/>
          </w:tcPr>
          <w:p w14:paraId="7C2090B4" w14:textId="77777777" w:rsidR="00834A75" w:rsidRDefault="00834A75">
            <w:pPr>
              <w:rPr>
                <w:rFonts w:ascii="宋体"/>
              </w:rPr>
            </w:pPr>
          </w:p>
        </w:tc>
        <w:tc>
          <w:tcPr>
            <w:tcW w:w="50" w:type="pct"/>
            <w:shd w:val="clear" w:color="auto" w:fill="auto"/>
            <w:vAlign w:val="bottom"/>
          </w:tcPr>
          <w:p w14:paraId="7C2090B5" w14:textId="77777777" w:rsidR="00834A75" w:rsidRDefault="00834A75">
            <w:pPr>
              <w:rPr>
                <w:rFonts w:ascii="宋体"/>
              </w:rPr>
            </w:pPr>
          </w:p>
        </w:tc>
        <w:tc>
          <w:tcPr>
            <w:tcW w:w="802" w:type="pct"/>
            <w:shd w:val="clear" w:color="auto" w:fill="auto"/>
            <w:vAlign w:val="bottom"/>
          </w:tcPr>
          <w:p w14:paraId="7C2090B6" w14:textId="77777777" w:rsidR="00834A75" w:rsidRDefault="00834A75">
            <w:pPr>
              <w:rPr>
                <w:rFonts w:ascii="宋体"/>
              </w:rPr>
            </w:pPr>
          </w:p>
        </w:tc>
        <w:tc>
          <w:tcPr>
            <w:tcW w:w="5" w:type="pct"/>
            <w:shd w:val="clear" w:color="auto" w:fill="auto"/>
            <w:vAlign w:val="bottom"/>
          </w:tcPr>
          <w:p w14:paraId="7C2090B7" w14:textId="77777777" w:rsidR="00834A75" w:rsidRDefault="00834A75">
            <w:pPr>
              <w:rPr>
                <w:rFonts w:ascii="宋体"/>
              </w:rPr>
            </w:pPr>
          </w:p>
        </w:tc>
      </w:tr>
      <w:tr w:rsidR="00834A75" w14:paraId="7C2090BD" w14:textId="77777777">
        <w:tc>
          <w:tcPr>
            <w:tcW w:w="0" w:type="auto"/>
            <w:gridSpan w:val="3"/>
            <w:shd w:val="clear" w:color="auto" w:fill="auto"/>
            <w:tcMar>
              <w:top w:w="40" w:type="dxa"/>
              <w:left w:w="20" w:type="dxa"/>
              <w:bottom w:w="40" w:type="dxa"/>
              <w:right w:w="20" w:type="dxa"/>
            </w:tcMar>
            <w:vAlign w:val="bottom"/>
          </w:tcPr>
          <w:p w14:paraId="7C2090B9" w14:textId="77777777" w:rsidR="00834A75" w:rsidRDefault="00A6708C">
            <w:pPr>
              <w:textAlignment w:val="bottom"/>
            </w:pPr>
            <w:r>
              <w:rPr>
                <w:rFonts w:ascii="sans-serif" w:eastAsia="sans-serif" w:hAnsi="sans-serif" w:cs="sans-serif"/>
                <w:color w:val="000000"/>
                <w:sz w:val="18"/>
                <w:szCs w:val="18"/>
              </w:rPr>
              <w:t> </w:t>
            </w:r>
          </w:p>
        </w:tc>
        <w:tc>
          <w:tcPr>
            <w:tcW w:w="0" w:type="auto"/>
            <w:gridSpan w:val="3"/>
            <w:shd w:val="clear" w:color="auto" w:fill="auto"/>
            <w:tcMar>
              <w:top w:w="40" w:type="dxa"/>
              <w:left w:w="20" w:type="dxa"/>
              <w:bottom w:w="40" w:type="dxa"/>
              <w:right w:w="20" w:type="dxa"/>
            </w:tcMar>
            <w:vAlign w:val="bottom"/>
          </w:tcPr>
          <w:p w14:paraId="7C2090BA" w14:textId="77777777" w:rsidR="00834A75" w:rsidRDefault="00A6708C">
            <w:pPr>
              <w:jc w:val="center"/>
              <w:textAlignment w:val="bottom"/>
            </w:pPr>
            <w:r>
              <w:rPr>
                <w:rFonts w:ascii="sans-serif" w:eastAsia="sans-serif" w:hAnsi="sans-serif" w:cs="sans-serif"/>
                <w:b/>
                <w:bCs/>
                <w:color w:val="000000"/>
                <w:sz w:val="20"/>
                <w:szCs w:val="20"/>
              </w:rPr>
              <w:t>May 1, 2022</w:t>
            </w:r>
          </w:p>
        </w:tc>
        <w:tc>
          <w:tcPr>
            <w:tcW w:w="0" w:type="auto"/>
            <w:gridSpan w:val="3"/>
            <w:shd w:val="clear" w:color="auto" w:fill="auto"/>
            <w:tcMar>
              <w:top w:w="0" w:type="dxa"/>
              <w:left w:w="20" w:type="dxa"/>
              <w:bottom w:w="0" w:type="dxa"/>
              <w:right w:w="20" w:type="dxa"/>
            </w:tcMar>
            <w:vAlign w:val="bottom"/>
          </w:tcPr>
          <w:p w14:paraId="7C2090BB" w14:textId="77777777" w:rsidR="00834A75" w:rsidRDefault="00834A75">
            <w:pPr>
              <w:rPr>
                <w:rFonts w:ascii="宋体"/>
              </w:rPr>
            </w:pPr>
          </w:p>
        </w:tc>
        <w:tc>
          <w:tcPr>
            <w:tcW w:w="0" w:type="auto"/>
            <w:gridSpan w:val="3"/>
            <w:shd w:val="clear" w:color="auto" w:fill="auto"/>
            <w:tcMar>
              <w:top w:w="40" w:type="dxa"/>
              <w:left w:w="20" w:type="dxa"/>
              <w:bottom w:w="40" w:type="dxa"/>
              <w:right w:w="20" w:type="dxa"/>
            </w:tcMar>
            <w:vAlign w:val="bottom"/>
          </w:tcPr>
          <w:p w14:paraId="7C2090BC" w14:textId="77777777" w:rsidR="00834A75" w:rsidRDefault="00A6708C">
            <w:pPr>
              <w:jc w:val="center"/>
              <w:textAlignment w:val="bottom"/>
            </w:pPr>
            <w:r>
              <w:rPr>
                <w:rFonts w:ascii="sans-serif" w:eastAsia="sans-serif" w:hAnsi="sans-serif" w:cs="sans-serif"/>
                <w:b/>
                <w:bCs/>
                <w:color w:val="000000"/>
                <w:sz w:val="20"/>
                <w:szCs w:val="20"/>
              </w:rPr>
              <w:t>January 30, 2022</w:t>
            </w:r>
          </w:p>
        </w:tc>
      </w:tr>
      <w:tr w:rsidR="00834A75" w14:paraId="7C2090C2" w14:textId="77777777">
        <w:trPr>
          <w:trHeight w:val="60"/>
        </w:trPr>
        <w:tc>
          <w:tcPr>
            <w:tcW w:w="0" w:type="auto"/>
            <w:gridSpan w:val="3"/>
            <w:shd w:val="clear" w:color="auto" w:fill="auto"/>
            <w:tcMar>
              <w:top w:w="0" w:type="dxa"/>
              <w:left w:w="20" w:type="dxa"/>
              <w:bottom w:w="0" w:type="dxa"/>
              <w:right w:w="20" w:type="dxa"/>
            </w:tcMar>
            <w:vAlign w:val="bottom"/>
          </w:tcPr>
          <w:p w14:paraId="7C2090BE" w14:textId="77777777" w:rsidR="00834A75" w:rsidRDefault="00834A75">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C2090BF" w14:textId="77777777" w:rsidR="00834A75" w:rsidRDefault="00834A75">
            <w:pPr>
              <w:rPr>
                <w:rFonts w:ascii="宋体"/>
              </w:rPr>
            </w:pPr>
          </w:p>
        </w:tc>
        <w:tc>
          <w:tcPr>
            <w:tcW w:w="0" w:type="auto"/>
            <w:gridSpan w:val="3"/>
            <w:shd w:val="clear" w:color="auto" w:fill="auto"/>
            <w:tcMar>
              <w:top w:w="0" w:type="dxa"/>
              <w:left w:w="20" w:type="dxa"/>
              <w:bottom w:w="0" w:type="dxa"/>
              <w:right w:w="20" w:type="dxa"/>
            </w:tcMar>
            <w:vAlign w:val="bottom"/>
          </w:tcPr>
          <w:p w14:paraId="7C2090C0" w14:textId="77777777" w:rsidR="00834A75" w:rsidRDefault="00834A75">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C2090C1" w14:textId="77777777" w:rsidR="00834A75" w:rsidRDefault="00834A75">
            <w:pPr>
              <w:rPr>
                <w:rFonts w:ascii="宋体"/>
              </w:rPr>
            </w:pPr>
          </w:p>
        </w:tc>
      </w:tr>
      <w:tr w:rsidR="00834A75" w14:paraId="7C2090C5" w14:textId="77777777">
        <w:tc>
          <w:tcPr>
            <w:tcW w:w="0" w:type="auto"/>
            <w:gridSpan w:val="3"/>
            <w:shd w:val="clear" w:color="auto" w:fill="auto"/>
            <w:tcMar>
              <w:top w:w="40" w:type="dxa"/>
              <w:left w:w="20" w:type="dxa"/>
              <w:bottom w:w="40" w:type="dxa"/>
              <w:right w:w="20" w:type="dxa"/>
            </w:tcMar>
            <w:vAlign w:val="bottom"/>
          </w:tcPr>
          <w:p w14:paraId="7C2090C3" w14:textId="77777777" w:rsidR="00834A75" w:rsidRDefault="00A6708C">
            <w:pPr>
              <w:textAlignment w:val="bottom"/>
            </w:pPr>
            <w:r>
              <w:rPr>
                <w:rFonts w:ascii="sans-serif" w:eastAsia="sans-serif" w:hAnsi="sans-serif" w:cs="sans-serif"/>
                <w:color w:val="000000"/>
                <w:sz w:val="18"/>
                <w:szCs w:val="18"/>
              </w:rPr>
              <w:t> </w:t>
            </w:r>
          </w:p>
        </w:tc>
        <w:tc>
          <w:tcPr>
            <w:tcW w:w="0" w:type="auto"/>
            <w:gridSpan w:val="9"/>
            <w:shd w:val="clear" w:color="auto" w:fill="auto"/>
            <w:tcMar>
              <w:top w:w="40" w:type="dxa"/>
              <w:left w:w="20" w:type="dxa"/>
              <w:bottom w:w="40" w:type="dxa"/>
              <w:right w:w="20" w:type="dxa"/>
            </w:tcMar>
            <w:vAlign w:val="bottom"/>
          </w:tcPr>
          <w:p w14:paraId="7C2090C4" w14:textId="77777777" w:rsidR="00834A75" w:rsidRDefault="00A6708C">
            <w:pPr>
              <w:jc w:val="center"/>
              <w:textAlignment w:val="bottom"/>
            </w:pPr>
            <w:r>
              <w:rPr>
                <w:rFonts w:ascii="sans-serif" w:eastAsia="sans-serif" w:hAnsi="sans-serif" w:cs="sans-serif"/>
                <w:i/>
                <w:iCs/>
                <w:color w:val="000000"/>
                <w:sz w:val="20"/>
                <w:szCs w:val="20"/>
              </w:rPr>
              <w:t>(In millions)</w:t>
            </w:r>
          </w:p>
        </w:tc>
      </w:tr>
      <w:tr w:rsidR="00834A75" w14:paraId="7C2090CE" w14:textId="77777777">
        <w:tc>
          <w:tcPr>
            <w:tcW w:w="0" w:type="auto"/>
            <w:gridSpan w:val="3"/>
            <w:shd w:val="clear" w:color="auto" w:fill="E2EFD9"/>
            <w:tcMar>
              <w:top w:w="40" w:type="dxa"/>
              <w:left w:w="20" w:type="dxa"/>
              <w:bottom w:w="40" w:type="dxa"/>
              <w:right w:w="20" w:type="dxa"/>
            </w:tcMar>
            <w:vAlign w:val="bottom"/>
          </w:tcPr>
          <w:p w14:paraId="7C2090C6" w14:textId="77777777" w:rsidR="00834A75" w:rsidRDefault="00A6708C">
            <w:pPr>
              <w:textAlignment w:val="bottom"/>
            </w:pPr>
            <w:r>
              <w:rPr>
                <w:rFonts w:ascii="sans-serif" w:eastAsia="sans-serif" w:hAnsi="sans-serif" w:cs="sans-serif"/>
                <w:color w:val="000000"/>
                <w:sz w:val="20"/>
                <w:szCs w:val="20"/>
              </w:rPr>
              <w:t>Cash and cash equivalents</w:t>
            </w:r>
          </w:p>
        </w:tc>
        <w:tc>
          <w:tcPr>
            <w:tcW w:w="0" w:type="auto"/>
            <w:shd w:val="clear" w:color="auto" w:fill="E2EFD9"/>
            <w:tcMar>
              <w:top w:w="40" w:type="dxa"/>
              <w:left w:w="20" w:type="dxa"/>
              <w:bottom w:w="40" w:type="dxa"/>
              <w:right w:w="0" w:type="dxa"/>
            </w:tcMar>
            <w:vAlign w:val="bottom"/>
          </w:tcPr>
          <w:p w14:paraId="7C2090C7" w14:textId="77777777" w:rsidR="00834A75" w:rsidRDefault="00A6708C">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7C2090C8" w14:textId="77777777" w:rsidR="00834A75" w:rsidRDefault="00A6708C">
            <w:pPr>
              <w:jc w:val="right"/>
              <w:textAlignment w:val="bottom"/>
            </w:pPr>
            <w:r>
              <w:rPr>
                <w:rFonts w:ascii="sans-serif" w:eastAsia="sans-serif" w:hAnsi="sans-serif" w:cs="sans-serif"/>
                <w:color w:val="000000"/>
                <w:sz w:val="20"/>
                <w:szCs w:val="20"/>
              </w:rPr>
              <w:t>3,887 </w:t>
            </w:r>
          </w:p>
        </w:tc>
        <w:tc>
          <w:tcPr>
            <w:tcW w:w="0" w:type="auto"/>
            <w:shd w:val="clear" w:color="auto" w:fill="E2EFD9"/>
            <w:tcMar>
              <w:top w:w="40" w:type="dxa"/>
              <w:left w:w="0" w:type="dxa"/>
              <w:bottom w:w="40" w:type="dxa"/>
              <w:right w:w="20" w:type="dxa"/>
            </w:tcMar>
            <w:vAlign w:val="bottom"/>
          </w:tcPr>
          <w:p w14:paraId="7C2090C9" w14:textId="77777777" w:rsidR="00834A75" w:rsidRDefault="00834A75">
            <w:pPr>
              <w:jc w:val="right"/>
              <w:rPr>
                <w:rFonts w:ascii="宋体"/>
              </w:rPr>
            </w:pPr>
          </w:p>
        </w:tc>
        <w:tc>
          <w:tcPr>
            <w:tcW w:w="0" w:type="auto"/>
            <w:gridSpan w:val="3"/>
            <w:shd w:val="clear" w:color="auto" w:fill="E2EFD9"/>
            <w:tcMar>
              <w:top w:w="0" w:type="dxa"/>
              <w:left w:w="20" w:type="dxa"/>
              <w:bottom w:w="0" w:type="dxa"/>
              <w:right w:w="20" w:type="dxa"/>
            </w:tcMar>
            <w:vAlign w:val="bottom"/>
          </w:tcPr>
          <w:p w14:paraId="7C2090CA" w14:textId="77777777" w:rsidR="00834A75" w:rsidRDefault="00834A75">
            <w:pPr>
              <w:rPr>
                <w:rFonts w:ascii="宋体"/>
              </w:rPr>
            </w:pPr>
          </w:p>
        </w:tc>
        <w:tc>
          <w:tcPr>
            <w:tcW w:w="0" w:type="auto"/>
            <w:shd w:val="clear" w:color="auto" w:fill="E2EFD9"/>
            <w:tcMar>
              <w:top w:w="40" w:type="dxa"/>
              <w:left w:w="20" w:type="dxa"/>
              <w:bottom w:w="40" w:type="dxa"/>
              <w:right w:w="0" w:type="dxa"/>
            </w:tcMar>
            <w:vAlign w:val="bottom"/>
          </w:tcPr>
          <w:p w14:paraId="7C2090CB" w14:textId="77777777" w:rsidR="00834A75" w:rsidRDefault="00A6708C">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7C2090CC" w14:textId="77777777" w:rsidR="00834A75" w:rsidRDefault="00A6708C">
            <w:pPr>
              <w:jc w:val="right"/>
              <w:textAlignment w:val="bottom"/>
            </w:pPr>
            <w:r>
              <w:rPr>
                <w:rFonts w:ascii="sans-serif" w:eastAsia="sans-serif" w:hAnsi="sans-serif" w:cs="sans-serif"/>
                <w:color w:val="000000"/>
                <w:sz w:val="20"/>
                <w:szCs w:val="20"/>
              </w:rPr>
              <w:t>1,990 </w:t>
            </w:r>
          </w:p>
        </w:tc>
        <w:tc>
          <w:tcPr>
            <w:tcW w:w="0" w:type="auto"/>
            <w:shd w:val="clear" w:color="auto" w:fill="E2EFD9"/>
            <w:tcMar>
              <w:top w:w="40" w:type="dxa"/>
              <w:left w:w="0" w:type="dxa"/>
              <w:bottom w:w="40" w:type="dxa"/>
              <w:right w:w="20" w:type="dxa"/>
            </w:tcMar>
            <w:vAlign w:val="bottom"/>
          </w:tcPr>
          <w:p w14:paraId="7C2090CD" w14:textId="77777777" w:rsidR="00834A75" w:rsidRDefault="00834A75">
            <w:pPr>
              <w:jc w:val="right"/>
              <w:rPr>
                <w:rFonts w:ascii="宋体"/>
              </w:rPr>
            </w:pPr>
          </w:p>
        </w:tc>
      </w:tr>
      <w:tr w:rsidR="00834A75" w14:paraId="7C2090D5" w14:textId="77777777">
        <w:tc>
          <w:tcPr>
            <w:tcW w:w="0" w:type="auto"/>
            <w:gridSpan w:val="3"/>
            <w:shd w:val="clear" w:color="auto" w:fill="FFFFFF"/>
            <w:tcMar>
              <w:top w:w="40" w:type="dxa"/>
              <w:left w:w="20" w:type="dxa"/>
              <w:bottom w:w="40" w:type="dxa"/>
              <w:right w:w="20" w:type="dxa"/>
            </w:tcMar>
            <w:vAlign w:val="bottom"/>
          </w:tcPr>
          <w:p w14:paraId="7C2090CF" w14:textId="77777777" w:rsidR="00834A75" w:rsidRDefault="00A6708C">
            <w:pPr>
              <w:textAlignment w:val="bottom"/>
            </w:pPr>
            <w:r>
              <w:rPr>
                <w:rFonts w:ascii="sans-serif" w:eastAsia="sans-serif" w:hAnsi="sans-serif" w:cs="sans-serif"/>
                <w:color w:val="000000"/>
                <w:sz w:val="20"/>
                <w:szCs w:val="20"/>
              </w:rPr>
              <w:t>Marketable securities</w:t>
            </w:r>
          </w:p>
        </w:tc>
        <w:tc>
          <w:tcPr>
            <w:tcW w:w="0" w:type="auto"/>
            <w:gridSpan w:val="2"/>
            <w:shd w:val="clear" w:color="auto" w:fill="FFFFFF"/>
            <w:tcMar>
              <w:top w:w="40" w:type="dxa"/>
              <w:left w:w="20" w:type="dxa"/>
              <w:bottom w:w="40" w:type="dxa"/>
              <w:right w:w="0" w:type="dxa"/>
            </w:tcMar>
            <w:vAlign w:val="bottom"/>
          </w:tcPr>
          <w:p w14:paraId="7C2090D0" w14:textId="77777777" w:rsidR="00834A75" w:rsidRDefault="00A6708C">
            <w:pPr>
              <w:jc w:val="right"/>
              <w:textAlignment w:val="bottom"/>
            </w:pPr>
            <w:r>
              <w:rPr>
                <w:rFonts w:ascii="sans-serif" w:eastAsia="sans-serif" w:hAnsi="sans-serif" w:cs="sans-serif"/>
                <w:color w:val="000000"/>
                <w:sz w:val="20"/>
                <w:szCs w:val="20"/>
              </w:rPr>
              <w:t>16,451 </w:t>
            </w:r>
          </w:p>
        </w:tc>
        <w:tc>
          <w:tcPr>
            <w:tcW w:w="0" w:type="auto"/>
            <w:shd w:val="clear" w:color="auto" w:fill="FFFFFF"/>
            <w:tcMar>
              <w:top w:w="40" w:type="dxa"/>
              <w:left w:w="0" w:type="dxa"/>
              <w:bottom w:w="40" w:type="dxa"/>
              <w:right w:w="20" w:type="dxa"/>
            </w:tcMar>
            <w:vAlign w:val="bottom"/>
          </w:tcPr>
          <w:p w14:paraId="7C2090D1" w14:textId="77777777" w:rsidR="00834A75" w:rsidRDefault="00834A75">
            <w:pPr>
              <w:jc w:val="right"/>
              <w:rPr>
                <w:rFonts w:ascii="宋体"/>
              </w:rPr>
            </w:pPr>
          </w:p>
        </w:tc>
        <w:tc>
          <w:tcPr>
            <w:tcW w:w="0" w:type="auto"/>
            <w:gridSpan w:val="3"/>
            <w:shd w:val="clear" w:color="auto" w:fill="FFFFFF"/>
            <w:tcMar>
              <w:top w:w="0" w:type="dxa"/>
              <w:left w:w="20" w:type="dxa"/>
              <w:bottom w:w="0" w:type="dxa"/>
              <w:right w:w="20" w:type="dxa"/>
            </w:tcMar>
            <w:vAlign w:val="bottom"/>
          </w:tcPr>
          <w:p w14:paraId="7C2090D2" w14:textId="77777777" w:rsidR="00834A75" w:rsidRDefault="00834A75">
            <w:pPr>
              <w:rPr>
                <w:rFonts w:ascii="宋体"/>
              </w:rPr>
            </w:pPr>
          </w:p>
        </w:tc>
        <w:tc>
          <w:tcPr>
            <w:tcW w:w="0" w:type="auto"/>
            <w:gridSpan w:val="2"/>
            <w:shd w:val="clear" w:color="auto" w:fill="FFFFFF"/>
            <w:tcMar>
              <w:top w:w="40" w:type="dxa"/>
              <w:left w:w="20" w:type="dxa"/>
              <w:bottom w:w="40" w:type="dxa"/>
              <w:right w:w="0" w:type="dxa"/>
            </w:tcMar>
            <w:vAlign w:val="bottom"/>
          </w:tcPr>
          <w:p w14:paraId="7C2090D3" w14:textId="77777777" w:rsidR="00834A75" w:rsidRDefault="00A6708C">
            <w:pPr>
              <w:jc w:val="right"/>
              <w:textAlignment w:val="bottom"/>
            </w:pPr>
            <w:r>
              <w:rPr>
                <w:rFonts w:ascii="sans-serif" w:eastAsia="sans-serif" w:hAnsi="sans-serif" w:cs="sans-serif"/>
                <w:color w:val="000000"/>
                <w:sz w:val="20"/>
                <w:szCs w:val="20"/>
              </w:rPr>
              <w:t>19,218 </w:t>
            </w:r>
          </w:p>
        </w:tc>
        <w:tc>
          <w:tcPr>
            <w:tcW w:w="0" w:type="auto"/>
            <w:shd w:val="clear" w:color="auto" w:fill="FFFFFF"/>
            <w:tcMar>
              <w:top w:w="40" w:type="dxa"/>
              <w:left w:w="0" w:type="dxa"/>
              <w:bottom w:w="40" w:type="dxa"/>
              <w:right w:w="20" w:type="dxa"/>
            </w:tcMar>
            <w:vAlign w:val="bottom"/>
          </w:tcPr>
          <w:p w14:paraId="7C2090D4" w14:textId="77777777" w:rsidR="00834A75" w:rsidRDefault="00834A75">
            <w:pPr>
              <w:jc w:val="right"/>
              <w:rPr>
                <w:rFonts w:ascii="宋体"/>
              </w:rPr>
            </w:pPr>
          </w:p>
        </w:tc>
      </w:tr>
      <w:tr w:rsidR="00834A75" w14:paraId="7C2090DE" w14:textId="77777777">
        <w:tc>
          <w:tcPr>
            <w:tcW w:w="0" w:type="auto"/>
            <w:gridSpan w:val="3"/>
            <w:shd w:val="clear" w:color="auto" w:fill="E2EFD9"/>
            <w:tcMar>
              <w:top w:w="40" w:type="dxa"/>
              <w:left w:w="20" w:type="dxa"/>
              <w:bottom w:w="40" w:type="dxa"/>
              <w:right w:w="20" w:type="dxa"/>
            </w:tcMar>
            <w:vAlign w:val="bottom"/>
          </w:tcPr>
          <w:p w14:paraId="7C2090D6" w14:textId="77777777" w:rsidR="00834A75" w:rsidRDefault="00A6708C">
            <w:pPr>
              <w:textAlignment w:val="bottom"/>
            </w:pPr>
            <w:r>
              <w:rPr>
                <w:rFonts w:ascii="sans-serif" w:eastAsia="sans-serif" w:hAnsi="sans-serif" w:cs="sans-serif"/>
                <w:color w:val="000000"/>
                <w:sz w:val="20"/>
                <w:szCs w:val="20"/>
              </w:rPr>
              <w:t>Cash, cash equivalents and marketable securities</w:t>
            </w:r>
          </w:p>
        </w:tc>
        <w:tc>
          <w:tcPr>
            <w:tcW w:w="0" w:type="auto"/>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7C2090D7" w14:textId="77777777" w:rsidR="00834A75" w:rsidRDefault="00A6708C">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E2EFD9"/>
            <w:tcMar>
              <w:top w:w="40" w:type="dxa"/>
              <w:left w:w="0" w:type="dxa"/>
              <w:bottom w:w="40" w:type="dxa"/>
              <w:right w:w="0" w:type="dxa"/>
            </w:tcMar>
            <w:vAlign w:val="bottom"/>
          </w:tcPr>
          <w:p w14:paraId="7C2090D8" w14:textId="77777777" w:rsidR="00834A75" w:rsidRDefault="00A6708C">
            <w:pPr>
              <w:jc w:val="right"/>
              <w:textAlignment w:val="bottom"/>
            </w:pPr>
            <w:r>
              <w:rPr>
                <w:rFonts w:ascii="sans-serif" w:eastAsia="sans-serif" w:hAnsi="sans-serif" w:cs="sans-serif"/>
                <w:color w:val="000000"/>
                <w:sz w:val="20"/>
                <w:szCs w:val="20"/>
              </w:rPr>
              <w:t>20,338 </w:t>
            </w:r>
          </w:p>
        </w:tc>
        <w:tc>
          <w:tcPr>
            <w:tcW w:w="0" w:type="auto"/>
            <w:tcBorders>
              <w:top w:val="single" w:sz="8" w:space="0" w:color="000000"/>
              <w:bottom w:val="double" w:sz="6" w:space="0" w:color="000000"/>
            </w:tcBorders>
            <w:shd w:val="clear" w:color="auto" w:fill="E2EFD9"/>
            <w:tcMar>
              <w:top w:w="40" w:type="dxa"/>
              <w:left w:w="0" w:type="dxa"/>
              <w:bottom w:w="40" w:type="dxa"/>
              <w:right w:w="20" w:type="dxa"/>
            </w:tcMar>
            <w:vAlign w:val="bottom"/>
          </w:tcPr>
          <w:p w14:paraId="7C2090D9" w14:textId="77777777" w:rsidR="00834A75" w:rsidRDefault="00834A75">
            <w:pPr>
              <w:jc w:val="right"/>
              <w:rPr>
                <w:rFonts w:ascii="宋体"/>
              </w:rPr>
            </w:pPr>
          </w:p>
        </w:tc>
        <w:tc>
          <w:tcPr>
            <w:tcW w:w="0" w:type="auto"/>
            <w:gridSpan w:val="3"/>
            <w:shd w:val="clear" w:color="auto" w:fill="E2EFD9"/>
            <w:tcMar>
              <w:top w:w="0" w:type="dxa"/>
              <w:left w:w="20" w:type="dxa"/>
              <w:bottom w:w="0" w:type="dxa"/>
              <w:right w:w="20" w:type="dxa"/>
            </w:tcMar>
            <w:vAlign w:val="bottom"/>
          </w:tcPr>
          <w:p w14:paraId="7C2090DA" w14:textId="77777777" w:rsidR="00834A75" w:rsidRDefault="00834A75">
            <w:pPr>
              <w:rPr>
                <w:rFonts w:ascii="宋体"/>
              </w:rPr>
            </w:pPr>
          </w:p>
        </w:tc>
        <w:tc>
          <w:tcPr>
            <w:tcW w:w="0" w:type="auto"/>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7C2090DB" w14:textId="77777777" w:rsidR="00834A75" w:rsidRDefault="00A6708C">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E2EFD9"/>
            <w:tcMar>
              <w:top w:w="40" w:type="dxa"/>
              <w:left w:w="0" w:type="dxa"/>
              <w:bottom w:w="40" w:type="dxa"/>
              <w:right w:w="0" w:type="dxa"/>
            </w:tcMar>
            <w:vAlign w:val="bottom"/>
          </w:tcPr>
          <w:p w14:paraId="7C2090DC" w14:textId="77777777" w:rsidR="00834A75" w:rsidRDefault="00A6708C">
            <w:pPr>
              <w:jc w:val="right"/>
              <w:textAlignment w:val="bottom"/>
            </w:pPr>
            <w:r>
              <w:rPr>
                <w:rFonts w:ascii="sans-serif" w:eastAsia="sans-serif" w:hAnsi="sans-serif" w:cs="sans-serif"/>
                <w:color w:val="000000"/>
                <w:sz w:val="20"/>
                <w:szCs w:val="20"/>
              </w:rPr>
              <w:t>21,208 </w:t>
            </w:r>
          </w:p>
        </w:tc>
        <w:tc>
          <w:tcPr>
            <w:tcW w:w="0" w:type="auto"/>
            <w:tcBorders>
              <w:top w:val="single" w:sz="8" w:space="0" w:color="000000"/>
              <w:bottom w:val="double" w:sz="6" w:space="0" w:color="000000"/>
            </w:tcBorders>
            <w:shd w:val="clear" w:color="auto" w:fill="E2EFD9"/>
            <w:tcMar>
              <w:top w:w="40" w:type="dxa"/>
              <w:left w:w="0" w:type="dxa"/>
              <w:bottom w:w="40" w:type="dxa"/>
              <w:right w:w="20" w:type="dxa"/>
            </w:tcMar>
            <w:vAlign w:val="bottom"/>
          </w:tcPr>
          <w:p w14:paraId="7C2090DD" w14:textId="77777777" w:rsidR="00834A75" w:rsidRDefault="00834A75">
            <w:pPr>
              <w:jc w:val="right"/>
              <w:rPr>
                <w:rFonts w:ascii="宋体"/>
              </w:rPr>
            </w:pPr>
          </w:p>
        </w:tc>
      </w:tr>
    </w:tbl>
    <w:p w14:paraId="7C2090DF" w14:textId="77777777" w:rsidR="00834A75" w:rsidRDefault="00834A75">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40"/>
        <w:gridCol w:w="5289"/>
        <w:gridCol w:w="36"/>
        <w:gridCol w:w="122"/>
        <w:gridCol w:w="1291"/>
        <w:gridCol w:w="36"/>
        <w:gridCol w:w="36"/>
        <w:gridCol w:w="36"/>
        <w:gridCol w:w="36"/>
        <w:gridCol w:w="122"/>
        <w:gridCol w:w="1256"/>
        <w:gridCol w:w="36"/>
      </w:tblGrid>
      <w:tr w:rsidR="00834A75" w14:paraId="7C2090EC" w14:textId="77777777">
        <w:tc>
          <w:tcPr>
            <w:tcW w:w="50" w:type="pct"/>
            <w:shd w:val="clear" w:color="auto" w:fill="auto"/>
            <w:vAlign w:val="bottom"/>
          </w:tcPr>
          <w:p w14:paraId="7C2090E0" w14:textId="77777777" w:rsidR="00834A75" w:rsidRDefault="00834A75">
            <w:pPr>
              <w:rPr>
                <w:rFonts w:ascii="宋体"/>
              </w:rPr>
            </w:pPr>
          </w:p>
        </w:tc>
        <w:tc>
          <w:tcPr>
            <w:tcW w:w="3197" w:type="pct"/>
            <w:shd w:val="clear" w:color="auto" w:fill="auto"/>
            <w:vAlign w:val="bottom"/>
          </w:tcPr>
          <w:p w14:paraId="7C2090E1" w14:textId="77777777" w:rsidR="00834A75" w:rsidRDefault="00834A75">
            <w:pPr>
              <w:rPr>
                <w:rFonts w:ascii="宋体"/>
              </w:rPr>
            </w:pPr>
          </w:p>
        </w:tc>
        <w:tc>
          <w:tcPr>
            <w:tcW w:w="5" w:type="pct"/>
            <w:shd w:val="clear" w:color="auto" w:fill="auto"/>
            <w:vAlign w:val="bottom"/>
          </w:tcPr>
          <w:p w14:paraId="7C2090E2" w14:textId="77777777" w:rsidR="00834A75" w:rsidRDefault="00834A75">
            <w:pPr>
              <w:rPr>
                <w:rFonts w:ascii="宋体"/>
              </w:rPr>
            </w:pPr>
          </w:p>
        </w:tc>
        <w:tc>
          <w:tcPr>
            <w:tcW w:w="50" w:type="pct"/>
            <w:shd w:val="clear" w:color="auto" w:fill="auto"/>
            <w:vAlign w:val="bottom"/>
          </w:tcPr>
          <w:p w14:paraId="7C2090E3" w14:textId="77777777" w:rsidR="00834A75" w:rsidRDefault="00834A75">
            <w:pPr>
              <w:rPr>
                <w:rFonts w:ascii="宋体"/>
              </w:rPr>
            </w:pPr>
          </w:p>
        </w:tc>
        <w:tc>
          <w:tcPr>
            <w:tcW w:w="800" w:type="pct"/>
            <w:shd w:val="clear" w:color="auto" w:fill="auto"/>
            <w:vAlign w:val="bottom"/>
          </w:tcPr>
          <w:p w14:paraId="7C2090E4" w14:textId="77777777" w:rsidR="00834A75" w:rsidRDefault="00834A75">
            <w:pPr>
              <w:rPr>
                <w:rFonts w:ascii="宋体"/>
              </w:rPr>
            </w:pPr>
          </w:p>
        </w:tc>
        <w:tc>
          <w:tcPr>
            <w:tcW w:w="5" w:type="pct"/>
            <w:shd w:val="clear" w:color="auto" w:fill="auto"/>
            <w:vAlign w:val="bottom"/>
          </w:tcPr>
          <w:p w14:paraId="7C2090E5" w14:textId="77777777" w:rsidR="00834A75" w:rsidRDefault="00834A75">
            <w:pPr>
              <w:rPr>
                <w:rFonts w:ascii="宋体"/>
              </w:rPr>
            </w:pPr>
          </w:p>
        </w:tc>
        <w:tc>
          <w:tcPr>
            <w:tcW w:w="5" w:type="pct"/>
            <w:shd w:val="clear" w:color="auto" w:fill="auto"/>
            <w:vAlign w:val="bottom"/>
          </w:tcPr>
          <w:p w14:paraId="7C2090E6" w14:textId="77777777" w:rsidR="00834A75" w:rsidRDefault="00834A75">
            <w:pPr>
              <w:rPr>
                <w:rFonts w:ascii="宋体"/>
              </w:rPr>
            </w:pPr>
          </w:p>
        </w:tc>
        <w:tc>
          <w:tcPr>
            <w:tcW w:w="26" w:type="pct"/>
            <w:shd w:val="clear" w:color="auto" w:fill="auto"/>
            <w:vAlign w:val="bottom"/>
          </w:tcPr>
          <w:p w14:paraId="7C2090E7" w14:textId="77777777" w:rsidR="00834A75" w:rsidRDefault="00834A75">
            <w:pPr>
              <w:rPr>
                <w:rFonts w:ascii="宋体"/>
              </w:rPr>
            </w:pPr>
          </w:p>
        </w:tc>
        <w:tc>
          <w:tcPr>
            <w:tcW w:w="5" w:type="pct"/>
            <w:shd w:val="clear" w:color="auto" w:fill="auto"/>
            <w:vAlign w:val="bottom"/>
          </w:tcPr>
          <w:p w14:paraId="7C2090E8" w14:textId="77777777" w:rsidR="00834A75" w:rsidRDefault="00834A75">
            <w:pPr>
              <w:rPr>
                <w:rFonts w:ascii="宋体"/>
              </w:rPr>
            </w:pPr>
          </w:p>
        </w:tc>
        <w:tc>
          <w:tcPr>
            <w:tcW w:w="50" w:type="pct"/>
            <w:shd w:val="clear" w:color="auto" w:fill="auto"/>
            <w:vAlign w:val="bottom"/>
          </w:tcPr>
          <w:p w14:paraId="7C2090E9" w14:textId="77777777" w:rsidR="00834A75" w:rsidRDefault="00834A75">
            <w:pPr>
              <w:rPr>
                <w:rFonts w:ascii="宋体"/>
              </w:rPr>
            </w:pPr>
          </w:p>
        </w:tc>
        <w:tc>
          <w:tcPr>
            <w:tcW w:w="800" w:type="pct"/>
            <w:shd w:val="clear" w:color="auto" w:fill="auto"/>
            <w:vAlign w:val="bottom"/>
          </w:tcPr>
          <w:p w14:paraId="7C2090EA" w14:textId="77777777" w:rsidR="00834A75" w:rsidRDefault="00834A75">
            <w:pPr>
              <w:rPr>
                <w:rFonts w:ascii="宋体"/>
              </w:rPr>
            </w:pPr>
          </w:p>
        </w:tc>
        <w:tc>
          <w:tcPr>
            <w:tcW w:w="5" w:type="pct"/>
            <w:shd w:val="clear" w:color="auto" w:fill="auto"/>
            <w:vAlign w:val="bottom"/>
          </w:tcPr>
          <w:p w14:paraId="7C2090EB" w14:textId="77777777" w:rsidR="00834A75" w:rsidRDefault="00834A75">
            <w:pPr>
              <w:rPr>
                <w:rFonts w:ascii="宋体"/>
              </w:rPr>
            </w:pPr>
          </w:p>
        </w:tc>
      </w:tr>
      <w:tr w:rsidR="00834A75" w14:paraId="7C2090EF" w14:textId="77777777">
        <w:tc>
          <w:tcPr>
            <w:tcW w:w="0" w:type="auto"/>
            <w:gridSpan w:val="3"/>
            <w:shd w:val="clear" w:color="auto" w:fill="auto"/>
            <w:tcMar>
              <w:top w:w="40" w:type="dxa"/>
              <w:left w:w="20" w:type="dxa"/>
              <w:bottom w:w="40" w:type="dxa"/>
              <w:right w:w="20" w:type="dxa"/>
            </w:tcMar>
            <w:vAlign w:val="bottom"/>
          </w:tcPr>
          <w:p w14:paraId="7C2090ED" w14:textId="77777777" w:rsidR="00834A75" w:rsidRDefault="00A6708C">
            <w:pPr>
              <w:textAlignment w:val="bottom"/>
            </w:pPr>
            <w:r>
              <w:rPr>
                <w:rFonts w:ascii="sans-serif" w:eastAsia="sans-serif" w:hAnsi="sans-serif" w:cs="sans-serif"/>
                <w:color w:val="000000"/>
                <w:sz w:val="18"/>
                <w:szCs w:val="18"/>
              </w:rPr>
              <w:t> </w:t>
            </w:r>
          </w:p>
        </w:tc>
        <w:tc>
          <w:tcPr>
            <w:tcW w:w="0" w:type="auto"/>
            <w:gridSpan w:val="9"/>
            <w:shd w:val="clear" w:color="auto" w:fill="auto"/>
            <w:tcMar>
              <w:top w:w="40" w:type="dxa"/>
              <w:left w:w="20" w:type="dxa"/>
              <w:bottom w:w="40" w:type="dxa"/>
              <w:right w:w="20" w:type="dxa"/>
            </w:tcMar>
            <w:vAlign w:val="bottom"/>
          </w:tcPr>
          <w:p w14:paraId="7C2090EE" w14:textId="77777777" w:rsidR="00834A75" w:rsidRDefault="00A6708C">
            <w:pPr>
              <w:jc w:val="center"/>
              <w:textAlignment w:val="bottom"/>
            </w:pPr>
            <w:r>
              <w:rPr>
                <w:rFonts w:ascii="sans-serif" w:eastAsia="sans-serif" w:hAnsi="sans-serif" w:cs="sans-serif"/>
                <w:b/>
                <w:bCs/>
                <w:color w:val="000000"/>
                <w:sz w:val="20"/>
                <w:szCs w:val="20"/>
              </w:rPr>
              <w:t>Three Months Ended</w:t>
            </w:r>
          </w:p>
        </w:tc>
      </w:tr>
      <w:tr w:rsidR="00834A75" w14:paraId="7C2090F4" w14:textId="77777777">
        <w:tc>
          <w:tcPr>
            <w:tcW w:w="0" w:type="auto"/>
            <w:gridSpan w:val="3"/>
            <w:shd w:val="clear" w:color="auto" w:fill="auto"/>
            <w:tcMar>
              <w:top w:w="0" w:type="dxa"/>
              <w:left w:w="20" w:type="dxa"/>
              <w:bottom w:w="0" w:type="dxa"/>
              <w:right w:w="20" w:type="dxa"/>
            </w:tcMar>
            <w:vAlign w:val="bottom"/>
          </w:tcPr>
          <w:p w14:paraId="7C2090F0" w14:textId="77777777" w:rsidR="00834A75" w:rsidRDefault="00834A75">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C2090F1" w14:textId="77777777" w:rsidR="00834A75" w:rsidRDefault="00A6708C">
            <w:pPr>
              <w:jc w:val="center"/>
              <w:textAlignment w:val="bottom"/>
            </w:pPr>
            <w:r>
              <w:rPr>
                <w:rFonts w:ascii="sans-serif" w:eastAsia="sans-serif" w:hAnsi="sans-serif" w:cs="sans-serif"/>
                <w:b/>
                <w:bCs/>
                <w:color w:val="000000"/>
                <w:sz w:val="20"/>
                <w:szCs w:val="20"/>
              </w:rPr>
              <w:t>May 1, 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C2090F2" w14:textId="77777777" w:rsidR="00834A75" w:rsidRDefault="00834A75">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C2090F3" w14:textId="77777777" w:rsidR="00834A75" w:rsidRDefault="00A6708C">
            <w:pPr>
              <w:jc w:val="center"/>
              <w:textAlignment w:val="bottom"/>
            </w:pPr>
            <w:r>
              <w:rPr>
                <w:rFonts w:ascii="sans-serif" w:eastAsia="sans-serif" w:hAnsi="sans-serif" w:cs="sans-serif"/>
                <w:b/>
                <w:bCs/>
                <w:color w:val="000000"/>
                <w:sz w:val="20"/>
                <w:szCs w:val="20"/>
              </w:rPr>
              <w:t>May 2, 2021</w:t>
            </w:r>
          </w:p>
        </w:tc>
      </w:tr>
      <w:tr w:rsidR="00834A75" w14:paraId="7C2090F9" w14:textId="77777777">
        <w:trPr>
          <w:trHeight w:val="60"/>
        </w:trPr>
        <w:tc>
          <w:tcPr>
            <w:tcW w:w="0" w:type="auto"/>
            <w:gridSpan w:val="3"/>
            <w:shd w:val="clear" w:color="auto" w:fill="auto"/>
            <w:tcMar>
              <w:top w:w="0" w:type="dxa"/>
              <w:left w:w="20" w:type="dxa"/>
              <w:bottom w:w="0" w:type="dxa"/>
              <w:right w:w="20" w:type="dxa"/>
            </w:tcMar>
            <w:vAlign w:val="bottom"/>
          </w:tcPr>
          <w:p w14:paraId="7C2090F5" w14:textId="77777777" w:rsidR="00834A75" w:rsidRDefault="00834A75">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C2090F6" w14:textId="77777777" w:rsidR="00834A75" w:rsidRDefault="00834A75">
            <w:pPr>
              <w:rPr>
                <w:rFonts w:ascii="宋体"/>
              </w:rPr>
            </w:pPr>
          </w:p>
        </w:tc>
        <w:tc>
          <w:tcPr>
            <w:tcW w:w="0" w:type="auto"/>
            <w:gridSpan w:val="3"/>
            <w:shd w:val="clear" w:color="auto" w:fill="auto"/>
            <w:tcMar>
              <w:top w:w="0" w:type="dxa"/>
              <w:left w:w="20" w:type="dxa"/>
              <w:bottom w:w="0" w:type="dxa"/>
              <w:right w:w="20" w:type="dxa"/>
            </w:tcMar>
            <w:vAlign w:val="bottom"/>
          </w:tcPr>
          <w:p w14:paraId="7C2090F7" w14:textId="77777777" w:rsidR="00834A75" w:rsidRDefault="00834A75">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C2090F8" w14:textId="77777777" w:rsidR="00834A75" w:rsidRDefault="00834A75">
            <w:pPr>
              <w:rPr>
                <w:rFonts w:ascii="宋体"/>
              </w:rPr>
            </w:pPr>
          </w:p>
        </w:tc>
      </w:tr>
      <w:tr w:rsidR="00834A75" w14:paraId="7C2090FC" w14:textId="77777777">
        <w:tc>
          <w:tcPr>
            <w:tcW w:w="0" w:type="auto"/>
            <w:gridSpan w:val="3"/>
            <w:shd w:val="clear" w:color="auto" w:fill="auto"/>
            <w:tcMar>
              <w:top w:w="40" w:type="dxa"/>
              <w:left w:w="20" w:type="dxa"/>
              <w:bottom w:w="40" w:type="dxa"/>
              <w:right w:w="20" w:type="dxa"/>
            </w:tcMar>
            <w:vAlign w:val="bottom"/>
          </w:tcPr>
          <w:p w14:paraId="7C2090FA" w14:textId="77777777" w:rsidR="00834A75" w:rsidRDefault="00A6708C">
            <w:pPr>
              <w:textAlignment w:val="bottom"/>
            </w:pPr>
            <w:r>
              <w:rPr>
                <w:rFonts w:ascii="sans-serif" w:eastAsia="sans-serif" w:hAnsi="sans-serif" w:cs="sans-serif"/>
                <w:color w:val="000000"/>
                <w:sz w:val="18"/>
                <w:szCs w:val="18"/>
              </w:rPr>
              <w:t> </w:t>
            </w:r>
          </w:p>
        </w:tc>
        <w:tc>
          <w:tcPr>
            <w:tcW w:w="0" w:type="auto"/>
            <w:gridSpan w:val="9"/>
            <w:shd w:val="clear" w:color="auto" w:fill="auto"/>
            <w:tcMar>
              <w:top w:w="40" w:type="dxa"/>
              <w:left w:w="20" w:type="dxa"/>
              <w:bottom w:w="40" w:type="dxa"/>
              <w:right w:w="20" w:type="dxa"/>
            </w:tcMar>
            <w:vAlign w:val="bottom"/>
          </w:tcPr>
          <w:p w14:paraId="7C2090FB" w14:textId="77777777" w:rsidR="00834A75" w:rsidRDefault="00A6708C">
            <w:pPr>
              <w:jc w:val="center"/>
              <w:textAlignment w:val="bottom"/>
            </w:pPr>
            <w:r>
              <w:rPr>
                <w:rFonts w:ascii="sans-serif" w:eastAsia="sans-serif" w:hAnsi="sans-serif" w:cs="sans-serif"/>
                <w:i/>
                <w:iCs/>
                <w:color w:val="000000"/>
                <w:sz w:val="20"/>
                <w:szCs w:val="20"/>
              </w:rPr>
              <w:t>(In millions)</w:t>
            </w:r>
          </w:p>
        </w:tc>
      </w:tr>
      <w:tr w:rsidR="00834A75" w14:paraId="7C209105" w14:textId="77777777">
        <w:tc>
          <w:tcPr>
            <w:tcW w:w="0" w:type="auto"/>
            <w:gridSpan w:val="3"/>
            <w:shd w:val="clear" w:color="auto" w:fill="E2EFD9"/>
            <w:tcMar>
              <w:top w:w="40" w:type="dxa"/>
              <w:left w:w="20" w:type="dxa"/>
              <w:bottom w:w="40" w:type="dxa"/>
              <w:right w:w="20" w:type="dxa"/>
            </w:tcMar>
            <w:vAlign w:val="bottom"/>
          </w:tcPr>
          <w:p w14:paraId="7C2090FD" w14:textId="77777777" w:rsidR="00834A75" w:rsidRDefault="00A6708C">
            <w:pPr>
              <w:textAlignment w:val="bottom"/>
            </w:pPr>
            <w:r>
              <w:rPr>
                <w:rFonts w:ascii="sans-serif" w:eastAsia="sans-serif" w:hAnsi="sans-serif" w:cs="sans-serif"/>
                <w:color w:val="000000"/>
                <w:sz w:val="20"/>
                <w:szCs w:val="20"/>
              </w:rPr>
              <w:t>Net cash provided by operating activities</w:t>
            </w:r>
          </w:p>
        </w:tc>
        <w:tc>
          <w:tcPr>
            <w:tcW w:w="0" w:type="auto"/>
            <w:shd w:val="clear" w:color="auto" w:fill="E2EFD9"/>
            <w:tcMar>
              <w:top w:w="40" w:type="dxa"/>
              <w:left w:w="20" w:type="dxa"/>
              <w:bottom w:w="40" w:type="dxa"/>
              <w:right w:w="0" w:type="dxa"/>
            </w:tcMar>
            <w:vAlign w:val="bottom"/>
          </w:tcPr>
          <w:p w14:paraId="7C2090FE" w14:textId="77777777" w:rsidR="00834A75" w:rsidRDefault="00A6708C">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7C2090FF" w14:textId="77777777" w:rsidR="00834A75" w:rsidRDefault="00A6708C">
            <w:pPr>
              <w:jc w:val="right"/>
              <w:textAlignment w:val="bottom"/>
            </w:pPr>
            <w:r>
              <w:rPr>
                <w:rFonts w:ascii="sans-serif" w:eastAsia="sans-serif" w:hAnsi="sans-serif" w:cs="sans-serif"/>
                <w:color w:val="000000"/>
                <w:sz w:val="20"/>
                <w:szCs w:val="20"/>
              </w:rPr>
              <w:t>1,731 </w:t>
            </w:r>
          </w:p>
        </w:tc>
        <w:tc>
          <w:tcPr>
            <w:tcW w:w="0" w:type="auto"/>
            <w:shd w:val="clear" w:color="auto" w:fill="E2EFD9"/>
            <w:tcMar>
              <w:top w:w="40" w:type="dxa"/>
              <w:left w:w="0" w:type="dxa"/>
              <w:bottom w:w="40" w:type="dxa"/>
              <w:right w:w="20" w:type="dxa"/>
            </w:tcMar>
            <w:vAlign w:val="bottom"/>
          </w:tcPr>
          <w:p w14:paraId="7C209100" w14:textId="77777777" w:rsidR="00834A75" w:rsidRDefault="00834A75">
            <w:pPr>
              <w:jc w:val="right"/>
              <w:rPr>
                <w:rFonts w:ascii="宋体"/>
              </w:rPr>
            </w:pPr>
          </w:p>
        </w:tc>
        <w:tc>
          <w:tcPr>
            <w:tcW w:w="0" w:type="auto"/>
            <w:gridSpan w:val="3"/>
            <w:shd w:val="clear" w:color="auto" w:fill="E2EFD9"/>
            <w:tcMar>
              <w:top w:w="0" w:type="dxa"/>
              <w:left w:w="20" w:type="dxa"/>
              <w:bottom w:w="0" w:type="dxa"/>
              <w:right w:w="20" w:type="dxa"/>
            </w:tcMar>
            <w:vAlign w:val="bottom"/>
          </w:tcPr>
          <w:p w14:paraId="7C209101" w14:textId="77777777" w:rsidR="00834A75" w:rsidRDefault="00834A75">
            <w:pPr>
              <w:rPr>
                <w:rFonts w:ascii="宋体"/>
              </w:rPr>
            </w:pPr>
          </w:p>
        </w:tc>
        <w:tc>
          <w:tcPr>
            <w:tcW w:w="0" w:type="auto"/>
            <w:shd w:val="clear" w:color="auto" w:fill="E2EFD9"/>
            <w:tcMar>
              <w:top w:w="40" w:type="dxa"/>
              <w:left w:w="20" w:type="dxa"/>
              <w:bottom w:w="40" w:type="dxa"/>
              <w:right w:w="0" w:type="dxa"/>
            </w:tcMar>
            <w:vAlign w:val="bottom"/>
          </w:tcPr>
          <w:p w14:paraId="7C209102" w14:textId="77777777" w:rsidR="00834A75" w:rsidRDefault="00A6708C">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7C209103" w14:textId="77777777" w:rsidR="00834A75" w:rsidRDefault="00A6708C">
            <w:pPr>
              <w:jc w:val="right"/>
              <w:textAlignment w:val="bottom"/>
            </w:pPr>
            <w:r>
              <w:rPr>
                <w:rFonts w:ascii="sans-serif" w:eastAsia="sans-serif" w:hAnsi="sans-serif" w:cs="sans-serif"/>
                <w:color w:val="000000"/>
                <w:sz w:val="20"/>
                <w:szCs w:val="20"/>
              </w:rPr>
              <w:t>1,874 </w:t>
            </w:r>
          </w:p>
        </w:tc>
        <w:tc>
          <w:tcPr>
            <w:tcW w:w="0" w:type="auto"/>
            <w:shd w:val="clear" w:color="auto" w:fill="E2EFD9"/>
            <w:tcMar>
              <w:top w:w="40" w:type="dxa"/>
              <w:left w:w="0" w:type="dxa"/>
              <w:bottom w:w="40" w:type="dxa"/>
              <w:right w:w="20" w:type="dxa"/>
            </w:tcMar>
            <w:vAlign w:val="bottom"/>
          </w:tcPr>
          <w:p w14:paraId="7C209104" w14:textId="77777777" w:rsidR="00834A75" w:rsidRDefault="00834A75">
            <w:pPr>
              <w:jc w:val="right"/>
              <w:rPr>
                <w:rFonts w:ascii="宋体"/>
              </w:rPr>
            </w:pPr>
          </w:p>
        </w:tc>
      </w:tr>
      <w:tr w:rsidR="00834A75" w14:paraId="7C20910E" w14:textId="77777777">
        <w:tc>
          <w:tcPr>
            <w:tcW w:w="0" w:type="auto"/>
            <w:gridSpan w:val="3"/>
            <w:shd w:val="clear" w:color="auto" w:fill="FFFFFF"/>
            <w:tcMar>
              <w:top w:w="40" w:type="dxa"/>
              <w:left w:w="20" w:type="dxa"/>
              <w:bottom w:w="40" w:type="dxa"/>
              <w:right w:w="20" w:type="dxa"/>
            </w:tcMar>
            <w:vAlign w:val="bottom"/>
          </w:tcPr>
          <w:p w14:paraId="7C209106" w14:textId="77777777" w:rsidR="00834A75" w:rsidRDefault="00A6708C">
            <w:pPr>
              <w:textAlignment w:val="bottom"/>
            </w:pPr>
            <w:r>
              <w:rPr>
                <w:rFonts w:ascii="sans-serif" w:eastAsia="sans-serif" w:hAnsi="sans-serif" w:cs="sans-serif"/>
                <w:color w:val="000000"/>
                <w:sz w:val="20"/>
                <w:szCs w:val="20"/>
              </w:rPr>
              <w:t xml:space="preserve">Net cash provided by (used in) </w:t>
            </w:r>
            <w:r>
              <w:rPr>
                <w:rFonts w:ascii="sans-serif" w:eastAsia="sans-serif" w:hAnsi="sans-serif" w:cs="sans-serif"/>
                <w:color w:val="000000"/>
                <w:sz w:val="20"/>
                <w:szCs w:val="20"/>
              </w:rPr>
              <w:t>investing activities</w:t>
            </w:r>
          </w:p>
        </w:tc>
        <w:tc>
          <w:tcPr>
            <w:tcW w:w="0" w:type="auto"/>
            <w:shd w:val="clear" w:color="auto" w:fill="FFFFFF"/>
            <w:tcMar>
              <w:top w:w="40" w:type="dxa"/>
              <w:left w:w="20" w:type="dxa"/>
              <w:bottom w:w="40" w:type="dxa"/>
              <w:right w:w="0" w:type="dxa"/>
            </w:tcMar>
            <w:vAlign w:val="bottom"/>
          </w:tcPr>
          <w:p w14:paraId="7C209107" w14:textId="77777777" w:rsidR="00834A75" w:rsidRDefault="00A6708C">
            <w:pPr>
              <w:textAlignment w:val="bottom"/>
            </w:pPr>
            <w:r>
              <w:rPr>
                <w:rFonts w:ascii="sans-serif" w:eastAsia="sans-serif" w:hAnsi="sans-serif" w:cs="sans-serif"/>
                <w:color w:val="000000"/>
                <w:sz w:val="20"/>
                <w:szCs w:val="20"/>
              </w:rPr>
              <w:t>$</w:t>
            </w:r>
          </w:p>
        </w:tc>
        <w:tc>
          <w:tcPr>
            <w:tcW w:w="0" w:type="auto"/>
            <w:shd w:val="clear" w:color="auto" w:fill="FFFFFF"/>
            <w:tcMar>
              <w:top w:w="40" w:type="dxa"/>
              <w:left w:w="0" w:type="dxa"/>
              <w:bottom w:w="40" w:type="dxa"/>
              <w:right w:w="0" w:type="dxa"/>
            </w:tcMar>
            <w:vAlign w:val="bottom"/>
          </w:tcPr>
          <w:p w14:paraId="7C209108" w14:textId="77777777" w:rsidR="00834A75" w:rsidRDefault="00A6708C">
            <w:pPr>
              <w:jc w:val="right"/>
              <w:textAlignment w:val="bottom"/>
            </w:pPr>
            <w:r>
              <w:rPr>
                <w:rFonts w:ascii="sans-serif" w:eastAsia="sans-serif" w:hAnsi="sans-serif" w:cs="sans-serif"/>
                <w:color w:val="000000"/>
                <w:sz w:val="20"/>
                <w:szCs w:val="20"/>
              </w:rPr>
              <w:t>2,612 </w:t>
            </w:r>
          </w:p>
        </w:tc>
        <w:tc>
          <w:tcPr>
            <w:tcW w:w="0" w:type="auto"/>
            <w:shd w:val="clear" w:color="auto" w:fill="FFFFFF"/>
            <w:tcMar>
              <w:top w:w="40" w:type="dxa"/>
              <w:left w:w="0" w:type="dxa"/>
              <w:bottom w:w="40" w:type="dxa"/>
              <w:right w:w="20" w:type="dxa"/>
            </w:tcMar>
            <w:vAlign w:val="bottom"/>
          </w:tcPr>
          <w:p w14:paraId="7C209109" w14:textId="77777777" w:rsidR="00834A75" w:rsidRDefault="00834A75">
            <w:pPr>
              <w:jc w:val="right"/>
              <w:rPr>
                <w:rFonts w:ascii="宋体"/>
              </w:rPr>
            </w:pPr>
          </w:p>
        </w:tc>
        <w:tc>
          <w:tcPr>
            <w:tcW w:w="0" w:type="auto"/>
            <w:gridSpan w:val="3"/>
            <w:shd w:val="clear" w:color="auto" w:fill="FFFFFF"/>
            <w:tcMar>
              <w:top w:w="0" w:type="dxa"/>
              <w:left w:w="20" w:type="dxa"/>
              <w:bottom w:w="0" w:type="dxa"/>
              <w:right w:w="20" w:type="dxa"/>
            </w:tcMar>
            <w:vAlign w:val="bottom"/>
          </w:tcPr>
          <w:p w14:paraId="7C20910A" w14:textId="77777777" w:rsidR="00834A75" w:rsidRDefault="00834A75">
            <w:pPr>
              <w:rPr>
                <w:rFonts w:ascii="宋体"/>
              </w:rPr>
            </w:pPr>
          </w:p>
        </w:tc>
        <w:tc>
          <w:tcPr>
            <w:tcW w:w="0" w:type="auto"/>
            <w:shd w:val="clear" w:color="auto" w:fill="FFFFFF"/>
            <w:tcMar>
              <w:top w:w="40" w:type="dxa"/>
              <w:left w:w="20" w:type="dxa"/>
              <w:bottom w:w="40" w:type="dxa"/>
              <w:right w:w="0" w:type="dxa"/>
            </w:tcMar>
            <w:vAlign w:val="bottom"/>
          </w:tcPr>
          <w:p w14:paraId="7C20910B" w14:textId="77777777" w:rsidR="00834A75" w:rsidRDefault="00A6708C">
            <w:pPr>
              <w:textAlignment w:val="bottom"/>
            </w:pPr>
            <w:r>
              <w:rPr>
                <w:rFonts w:ascii="sans-serif" w:eastAsia="sans-serif" w:hAnsi="sans-serif" w:cs="sans-serif"/>
                <w:color w:val="000000"/>
                <w:sz w:val="20"/>
                <w:szCs w:val="20"/>
              </w:rPr>
              <w:t>$</w:t>
            </w:r>
          </w:p>
        </w:tc>
        <w:tc>
          <w:tcPr>
            <w:tcW w:w="0" w:type="auto"/>
            <w:shd w:val="clear" w:color="auto" w:fill="FFFFFF"/>
            <w:tcMar>
              <w:top w:w="40" w:type="dxa"/>
              <w:left w:w="0" w:type="dxa"/>
              <w:bottom w:w="40" w:type="dxa"/>
              <w:right w:w="0" w:type="dxa"/>
            </w:tcMar>
            <w:vAlign w:val="bottom"/>
          </w:tcPr>
          <w:p w14:paraId="7C20910C" w14:textId="77777777" w:rsidR="00834A75" w:rsidRDefault="00A6708C">
            <w:pPr>
              <w:jc w:val="right"/>
              <w:textAlignment w:val="bottom"/>
            </w:pPr>
            <w:r>
              <w:rPr>
                <w:rFonts w:ascii="sans-serif" w:eastAsia="sans-serif" w:hAnsi="sans-serif" w:cs="sans-serif"/>
                <w:color w:val="000000"/>
                <w:sz w:val="20"/>
                <w:szCs w:val="20"/>
              </w:rPr>
              <w:t>(1,272)</w:t>
            </w:r>
          </w:p>
        </w:tc>
        <w:tc>
          <w:tcPr>
            <w:tcW w:w="0" w:type="auto"/>
            <w:shd w:val="clear" w:color="auto" w:fill="FFFFFF"/>
            <w:tcMar>
              <w:top w:w="40" w:type="dxa"/>
              <w:left w:w="0" w:type="dxa"/>
              <w:bottom w:w="40" w:type="dxa"/>
              <w:right w:w="20" w:type="dxa"/>
            </w:tcMar>
            <w:vAlign w:val="bottom"/>
          </w:tcPr>
          <w:p w14:paraId="7C20910D" w14:textId="77777777" w:rsidR="00834A75" w:rsidRDefault="00834A75">
            <w:pPr>
              <w:jc w:val="right"/>
              <w:rPr>
                <w:rFonts w:ascii="宋体"/>
              </w:rPr>
            </w:pPr>
          </w:p>
        </w:tc>
      </w:tr>
      <w:tr w:rsidR="00834A75" w14:paraId="7C209117" w14:textId="77777777">
        <w:tc>
          <w:tcPr>
            <w:tcW w:w="0" w:type="auto"/>
            <w:gridSpan w:val="3"/>
            <w:shd w:val="clear" w:color="auto" w:fill="E2EFD9"/>
            <w:tcMar>
              <w:top w:w="40" w:type="dxa"/>
              <w:left w:w="20" w:type="dxa"/>
              <w:bottom w:w="40" w:type="dxa"/>
              <w:right w:w="20" w:type="dxa"/>
            </w:tcMar>
            <w:vAlign w:val="bottom"/>
          </w:tcPr>
          <w:p w14:paraId="7C20910F" w14:textId="77777777" w:rsidR="00834A75" w:rsidRDefault="00A6708C">
            <w:pPr>
              <w:textAlignment w:val="bottom"/>
            </w:pPr>
            <w:r>
              <w:rPr>
                <w:rFonts w:ascii="sans-serif" w:eastAsia="sans-serif" w:hAnsi="sans-serif" w:cs="sans-serif"/>
                <w:color w:val="000000"/>
                <w:sz w:val="20"/>
                <w:szCs w:val="20"/>
              </w:rPr>
              <w:t>Net cash used in financing activities</w:t>
            </w:r>
          </w:p>
        </w:tc>
        <w:tc>
          <w:tcPr>
            <w:tcW w:w="0" w:type="auto"/>
            <w:shd w:val="clear" w:color="auto" w:fill="E2EFD9"/>
            <w:tcMar>
              <w:top w:w="40" w:type="dxa"/>
              <w:left w:w="20" w:type="dxa"/>
              <w:bottom w:w="40" w:type="dxa"/>
              <w:right w:w="0" w:type="dxa"/>
            </w:tcMar>
            <w:vAlign w:val="bottom"/>
          </w:tcPr>
          <w:p w14:paraId="7C209110" w14:textId="77777777" w:rsidR="00834A75" w:rsidRDefault="00A6708C">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7C209111" w14:textId="77777777" w:rsidR="00834A75" w:rsidRDefault="00A6708C">
            <w:pPr>
              <w:jc w:val="right"/>
              <w:textAlignment w:val="bottom"/>
            </w:pPr>
            <w:r>
              <w:rPr>
                <w:rFonts w:ascii="sans-serif" w:eastAsia="sans-serif" w:hAnsi="sans-serif" w:cs="sans-serif"/>
                <w:color w:val="000000"/>
                <w:sz w:val="20"/>
                <w:szCs w:val="20"/>
              </w:rPr>
              <w:t>(2,446)</w:t>
            </w:r>
          </w:p>
        </w:tc>
        <w:tc>
          <w:tcPr>
            <w:tcW w:w="0" w:type="auto"/>
            <w:shd w:val="clear" w:color="auto" w:fill="E2EFD9"/>
            <w:tcMar>
              <w:top w:w="40" w:type="dxa"/>
              <w:left w:w="0" w:type="dxa"/>
              <w:bottom w:w="40" w:type="dxa"/>
              <w:right w:w="20" w:type="dxa"/>
            </w:tcMar>
            <w:vAlign w:val="bottom"/>
          </w:tcPr>
          <w:p w14:paraId="7C209112" w14:textId="77777777" w:rsidR="00834A75" w:rsidRDefault="00834A75">
            <w:pPr>
              <w:jc w:val="right"/>
              <w:rPr>
                <w:rFonts w:ascii="宋体"/>
              </w:rPr>
            </w:pPr>
          </w:p>
        </w:tc>
        <w:tc>
          <w:tcPr>
            <w:tcW w:w="0" w:type="auto"/>
            <w:gridSpan w:val="3"/>
            <w:shd w:val="clear" w:color="auto" w:fill="E2EFD9"/>
            <w:tcMar>
              <w:top w:w="0" w:type="dxa"/>
              <w:left w:w="20" w:type="dxa"/>
              <w:bottom w:w="0" w:type="dxa"/>
              <w:right w:w="20" w:type="dxa"/>
            </w:tcMar>
            <w:vAlign w:val="bottom"/>
          </w:tcPr>
          <w:p w14:paraId="7C209113" w14:textId="77777777" w:rsidR="00834A75" w:rsidRDefault="00834A75">
            <w:pPr>
              <w:rPr>
                <w:rFonts w:ascii="宋体"/>
              </w:rPr>
            </w:pPr>
          </w:p>
        </w:tc>
        <w:tc>
          <w:tcPr>
            <w:tcW w:w="0" w:type="auto"/>
            <w:shd w:val="clear" w:color="auto" w:fill="E2EFD9"/>
            <w:tcMar>
              <w:top w:w="40" w:type="dxa"/>
              <w:left w:w="20" w:type="dxa"/>
              <w:bottom w:w="40" w:type="dxa"/>
              <w:right w:w="0" w:type="dxa"/>
            </w:tcMar>
            <w:vAlign w:val="bottom"/>
          </w:tcPr>
          <w:p w14:paraId="7C209114" w14:textId="77777777" w:rsidR="00834A75" w:rsidRDefault="00A6708C">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7C209115" w14:textId="77777777" w:rsidR="00834A75" w:rsidRDefault="00A6708C">
            <w:pPr>
              <w:jc w:val="right"/>
              <w:textAlignment w:val="bottom"/>
            </w:pPr>
            <w:r>
              <w:rPr>
                <w:rFonts w:ascii="sans-serif" w:eastAsia="sans-serif" w:hAnsi="sans-serif" w:cs="sans-serif"/>
                <w:color w:val="000000"/>
                <w:sz w:val="20"/>
                <w:szCs w:val="20"/>
              </w:rPr>
              <w:t>(471)</w:t>
            </w:r>
          </w:p>
        </w:tc>
        <w:tc>
          <w:tcPr>
            <w:tcW w:w="0" w:type="auto"/>
            <w:shd w:val="clear" w:color="auto" w:fill="E2EFD9"/>
            <w:tcMar>
              <w:top w:w="40" w:type="dxa"/>
              <w:left w:w="0" w:type="dxa"/>
              <w:bottom w:w="40" w:type="dxa"/>
              <w:right w:w="20" w:type="dxa"/>
            </w:tcMar>
            <w:vAlign w:val="bottom"/>
          </w:tcPr>
          <w:p w14:paraId="7C209116" w14:textId="77777777" w:rsidR="00834A75" w:rsidRDefault="00834A75">
            <w:pPr>
              <w:jc w:val="right"/>
              <w:rPr>
                <w:rFonts w:ascii="宋体"/>
              </w:rPr>
            </w:pPr>
          </w:p>
        </w:tc>
      </w:tr>
    </w:tbl>
    <w:p w14:paraId="7C209118" w14:textId="77777777" w:rsidR="00834A75" w:rsidRDefault="00A6708C">
      <w:pPr>
        <w:spacing w:before="360" w:after="180"/>
        <w:jc w:val="both"/>
      </w:pPr>
      <w:r>
        <w:rPr>
          <w:rFonts w:ascii="sans-serif" w:eastAsia="sans-serif" w:hAnsi="sans-serif" w:cs="sans-serif"/>
          <w:color w:val="000000"/>
          <w:sz w:val="20"/>
          <w:szCs w:val="20"/>
        </w:rPr>
        <w:t>As of May 1, 2022, we had $20.34 billion in cash, cash equivalents and marketable securities, a decrease of $0.87 billion from the end of fiscal year 2022. Our investment policy requires the purchase of highly rated fixed income securities, the diversifica</w:t>
      </w:r>
      <w:r>
        <w:rPr>
          <w:rFonts w:ascii="sans-serif" w:eastAsia="sans-serif" w:hAnsi="sans-serif" w:cs="sans-serif"/>
          <w:color w:val="000000"/>
          <w:sz w:val="20"/>
          <w:szCs w:val="20"/>
        </w:rPr>
        <w:t xml:space="preserve">tion of investment types and credit exposures, and certain maturity limits on our portfolio. </w:t>
      </w:r>
    </w:p>
    <w:p w14:paraId="7C209119" w14:textId="77777777" w:rsidR="00834A75" w:rsidRDefault="00A6708C">
      <w:pPr>
        <w:spacing w:before="120" w:after="120"/>
        <w:jc w:val="both"/>
      </w:pPr>
      <w:r>
        <w:rPr>
          <w:rFonts w:ascii="sans-serif" w:eastAsia="sans-serif" w:hAnsi="sans-serif" w:cs="sans-serif"/>
          <w:color w:val="000000"/>
          <w:sz w:val="20"/>
          <w:szCs w:val="20"/>
        </w:rPr>
        <w:t>Cash provided by operating activities decreased in the first quarter of fiscal year 2023 compared to the first quarter of fiscal year 2022, primarily due to advan</w:t>
      </w:r>
      <w:r>
        <w:rPr>
          <w:rFonts w:ascii="sans-serif" w:eastAsia="sans-serif" w:hAnsi="sans-serif" w:cs="sans-serif"/>
          <w:color w:val="000000"/>
          <w:sz w:val="20"/>
          <w:szCs w:val="20"/>
        </w:rPr>
        <w:t>ced payments on supply agreements in the first quarter of fiscal year 2023 partially offset by an increase in net income adjusted for certain non-cash items, such as the Arm acquisition termination cost of $1.35 billion during the first quarter of fiscal y</w:t>
      </w:r>
      <w:r>
        <w:rPr>
          <w:rFonts w:ascii="sans-serif" w:eastAsia="sans-serif" w:hAnsi="sans-serif" w:cs="sans-serif"/>
          <w:color w:val="000000"/>
          <w:sz w:val="20"/>
          <w:szCs w:val="20"/>
        </w:rPr>
        <w:t>ear 2023.</w:t>
      </w:r>
    </w:p>
    <w:p w14:paraId="7C20911A" w14:textId="77777777" w:rsidR="00834A75" w:rsidRDefault="00A6708C">
      <w:pPr>
        <w:spacing w:before="120" w:after="120"/>
        <w:jc w:val="both"/>
      </w:pPr>
      <w:r>
        <w:rPr>
          <w:rFonts w:ascii="sans-serif" w:eastAsia="sans-serif" w:hAnsi="sans-serif" w:cs="sans-serif"/>
          <w:color w:val="000000"/>
          <w:sz w:val="20"/>
          <w:szCs w:val="20"/>
        </w:rPr>
        <w:t xml:space="preserve">Cash provided by investing activities increased in the first quarter of fiscal year 2023 compared to cash used in the first quarter of fiscal year 2022, primarily driven by higher marketable securities sales and maturities and lower purchases of </w:t>
      </w:r>
      <w:r>
        <w:rPr>
          <w:rFonts w:ascii="sans-serif" w:eastAsia="sans-serif" w:hAnsi="sans-serif" w:cs="sans-serif"/>
          <w:color w:val="000000"/>
          <w:sz w:val="20"/>
          <w:szCs w:val="20"/>
        </w:rPr>
        <w:t>marketable securities.</w:t>
      </w:r>
    </w:p>
    <w:p w14:paraId="7C20911B" w14:textId="77777777" w:rsidR="00834A75" w:rsidRDefault="00A6708C">
      <w:pPr>
        <w:spacing w:after="180"/>
        <w:jc w:val="center"/>
      </w:pPr>
      <w:r>
        <w:rPr>
          <w:rFonts w:ascii="sans-serif" w:eastAsia="sans-serif" w:hAnsi="sans-serif" w:cs="sans-serif"/>
          <w:color w:val="000000"/>
          <w:sz w:val="20"/>
          <w:szCs w:val="20"/>
        </w:rPr>
        <w:t>27</w:t>
      </w:r>
    </w:p>
    <w:p w14:paraId="7C20911C" w14:textId="77777777" w:rsidR="00834A75" w:rsidRDefault="00A6708C">
      <w:r>
        <w:pict w14:anchorId="7C20936A">
          <v:rect id="_x0000_i1051" style="width:415.3pt;height:1.5pt" o:hralign="center" o:hrstd="t" o:hr="t" fillcolor="#a0a0a0" stroked="f"/>
        </w:pict>
      </w:r>
    </w:p>
    <w:p w14:paraId="7C20911D" w14:textId="77777777" w:rsidR="00834A75" w:rsidRDefault="00834A75">
      <w:pPr>
        <w:spacing w:after="180"/>
        <w:jc w:val="both"/>
      </w:pPr>
    </w:p>
    <w:p w14:paraId="7C20911E" w14:textId="77777777" w:rsidR="00834A75" w:rsidRDefault="00834A75">
      <w:pPr>
        <w:spacing w:after="180"/>
        <w:jc w:val="both"/>
      </w:pPr>
    </w:p>
    <w:p w14:paraId="7C20911F" w14:textId="77777777" w:rsidR="00834A75" w:rsidRDefault="00834A75">
      <w:pPr>
        <w:spacing w:after="180"/>
        <w:jc w:val="both"/>
      </w:pPr>
    </w:p>
    <w:p w14:paraId="7C209120" w14:textId="77777777" w:rsidR="00834A75" w:rsidRDefault="00A6708C">
      <w:pPr>
        <w:spacing w:before="120" w:after="120"/>
        <w:jc w:val="both"/>
      </w:pPr>
      <w:r>
        <w:rPr>
          <w:rFonts w:ascii="sans-serif" w:eastAsia="sans-serif" w:hAnsi="sans-serif" w:cs="sans-serif"/>
          <w:color w:val="000000"/>
          <w:sz w:val="20"/>
          <w:szCs w:val="20"/>
        </w:rPr>
        <w:t>Cash used in financing activities increased in the first quarter of fiscal year 2023 compared to the first quarter of fiscal year 2022, which primarily reflects share repurchases in the first quarter of fiscal year 2023.</w:t>
      </w:r>
    </w:p>
    <w:p w14:paraId="7C209121" w14:textId="77777777" w:rsidR="00834A75" w:rsidRDefault="00A6708C">
      <w:pPr>
        <w:spacing w:after="180"/>
        <w:jc w:val="both"/>
      </w:pPr>
      <w:r>
        <w:rPr>
          <w:rFonts w:ascii="sans-serif" w:eastAsia="sans-serif" w:hAnsi="sans-serif" w:cs="sans-serif"/>
          <w:b/>
          <w:bCs/>
          <w:color w:val="000000"/>
          <w:sz w:val="20"/>
          <w:szCs w:val="20"/>
        </w:rPr>
        <w:t>Liquidity</w:t>
      </w:r>
    </w:p>
    <w:p w14:paraId="7C209122" w14:textId="77777777" w:rsidR="00834A75" w:rsidRDefault="00A6708C">
      <w:pPr>
        <w:spacing w:after="180"/>
        <w:jc w:val="both"/>
      </w:pPr>
      <w:r>
        <w:rPr>
          <w:rFonts w:ascii="sans-serif" w:eastAsia="sans-serif" w:hAnsi="sans-serif" w:cs="sans-serif"/>
          <w:color w:val="000000"/>
          <w:sz w:val="20"/>
          <w:szCs w:val="20"/>
        </w:rPr>
        <w:t>Our primary sources of liquidity are our cash and cash equivalents, our marketable securities, and the cash generated by our operations. As of May 1, 2022, we had $20.34 billion in cash, cash equivalents, and marketable securities. Our marketable</w:t>
      </w:r>
      <w:r>
        <w:rPr>
          <w:rFonts w:ascii="sans-serif" w:eastAsia="sans-serif" w:hAnsi="sans-serif" w:cs="sans-serif"/>
          <w:color w:val="000000"/>
          <w:sz w:val="20"/>
          <w:szCs w:val="20"/>
        </w:rPr>
        <w:t xml:space="preserve"> securities consist of debt securities issued by the U.S. government and its agencies, highly rated corporations and financial institutions, and foreign government entities, as well as certificates of deposit issued by highly rated financial institutions. </w:t>
      </w:r>
      <w:r>
        <w:rPr>
          <w:rFonts w:ascii="sans-serif" w:eastAsia="sans-serif" w:hAnsi="sans-serif" w:cs="sans-serif"/>
          <w:color w:val="000000"/>
          <w:sz w:val="20"/>
          <w:szCs w:val="20"/>
        </w:rPr>
        <w:t>These marketable securities are primarily denominated in U.S. dollars. Refer to Note 7 of the Notes to Condensed Consolidated Financial Statements for additional information. We believe that we have sufficient liquidity to meet our operating requirements f</w:t>
      </w:r>
      <w:r>
        <w:rPr>
          <w:rFonts w:ascii="sans-serif" w:eastAsia="sans-serif" w:hAnsi="sans-serif" w:cs="sans-serif"/>
          <w:color w:val="000000"/>
          <w:sz w:val="20"/>
          <w:szCs w:val="20"/>
        </w:rPr>
        <w:t>or at least the next twelve months, and for the foreseeable future, including our future supply obligations and additional supply. We continuously evaluate our liquidity and capital resources, including our access to external capital, to ensure we can fina</w:t>
      </w:r>
      <w:r>
        <w:rPr>
          <w:rFonts w:ascii="sans-serif" w:eastAsia="sans-serif" w:hAnsi="sans-serif" w:cs="sans-serif"/>
          <w:color w:val="000000"/>
          <w:sz w:val="20"/>
          <w:szCs w:val="20"/>
        </w:rPr>
        <w:t>nce our future capital requirements.</w:t>
      </w:r>
    </w:p>
    <w:p w14:paraId="7C209123" w14:textId="77777777" w:rsidR="00834A75" w:rsidRDefault="00A6708C">
      <w:pPr>
        <w:spacing w:after="180"/>
        <w:jc w:val="both"/>
      </w:pPr>
      <w:r>
        <w:rPr>
          <w:rFonts w:ascii="sans-serif" w:eastAsia="sans-serif" w:hAnsi="sans-serif" w:cs="sans-serif"/>
          <w:color w:val="000000"/>
          <w:sz w:val="20"/>
          <w:szCs w:val="20"/>
        </w:rPr>
        <w:t xml:space="preserve">We have approximately $1.38 billion of cash, cash equivalents, and marketable securities held outside the U.S. for which we have not accrued any related foreign or state taxes if we repatriate these amounts to the U.S. </w:t>
      </w:r>
      <w:r>
        <w:rPr>
          <w:rFonts w:ascii="sans-serif" w:eastAsia="sans-serif" w:hAnsi="sans-serif" w:cs="sans-serif"/>
          <w:color w:val="000000"/>
          <w:sz w:val="20"/>
          <w:szCs w:val="20"/>
        </w:rPr>
        <w:t>Other than that, substantially all of our cash, cash equivalents and marketable securities held outside of the U.S. as of May 1, 2022 are available for use in the U.S. without incurring additional U.S. federal income taxes. We utilized almost all of our ac</w:t>
      </w:r>
      <w:r>
        <w:rPr>
          <w:rFonts w:ascii="sans-serif" w:eastAsia="sans-serif" w:hAnsi="sans-serif" w:cs="sans-serif"/>
          <w:color w:val="000000"/>
          <w:sz w:val="20"/>
          <w:szCs w:val="20"/>
        </w:rPr>
        <w:t>cumulated U.S. federal research tax credits during fiscal year 2022, resulting in higher cash tax payments starting in fiscal year 2023. In addition, beginning in fiscal year 2023, the 2017 Tax Cuts and Jobs Act requires taxpayers to capitalize research an</w:t>
      </w:r>
      <w:r>
        <w:rPr>
          <w:rFonts w:ascii="sans-serif" w:eastAsia="sans-serif" w:hAnsi="sans-serif" w:cs="sans-serif"/>
          <w:color w:val="000000"/>
          <w:sz w:val="20"/>
          <w:szCs w:val="20"/>
        </w:rPr>
        <w:t>d development expenditures and to amortize domestic expenditures over five years and foreign expenditures over fifteen years. This will impact cash flows from operations and will result in significantly higher cash tax payments starting in fiscal year 2023</w:t>
      </w:r>
      <w:r>
        <w:rPr>
          <w:rFonts w:ascii="sans-serif" w:eastAsia="sans-serif" w:hAnsi="sans-serif" w:cs="sans-serif"/>
          <w:color w:val="000000"/>
          <w:sz w:val="20"/>
          <w:szCs w:val="20"/>
        </w:rPr>
        <w:t>.</w:t>
      </w:r>
    </w:p>
    <w:p w14:paraId="7C209124" w14:textId="77777777" w:rsidR="00834A75" w:rsidRDefault="00A6708C">
      <w:pPr>
        <w:spacing w:before="120" w:after="120"/>
        <w:jc w:val="both"/>
      </w:pPr>
      <w:r>
        <w:rPr>
          <w:rFonts w:ascii="sans-serif" w:eastAsia="sans-serif" w:hAnsi="sans-serif" w:cs="sans-serif"/>
          <w:b/>
          <w:bCs/>
          <w:color w:val="000000"/>
          <w:sz w:val="20"/>
          <w:szCs w:val="20"/>
        </w:rPr>
        <w:t>Capital Return to Shareholders</w:t>
      </w:r>
    </w:p>
    <w:p w14:paraId="7C209125" w14:textId="77777777" w:rsidR="00834A75" w:rsidRDefault="00A6708C">
      <w:r>
        <w:rPr>
          <w:rFonts w:ascii="sans-serif" w:eastAsia="sans-serif" w:hAnsi="sans-serif" w:cs="sans-serif"/>
          <w:color w:val="000000"/>
          <w:sz w:val="20"/>
          <w:szCs w:val="20"/>
        </w:rPr>
        <w:t>During the first quarter of fiscal year 2023, we returned $2.00 billion in share repurchases and $100 million in cash dividends. On May 23, 2022, our Board of Directors increased and extended our share repurchase program to</w:t>
      </w:r>
      <w:r>
        <w:rPr>
          <w:rFonts w:ascii="sans-serif" w:eastAsia="sans-serif" w:hAnsi="sans-serif" w:cs="sans-serif"/>
          <w:color w:val="000000"/>
          <w:sz w:val="20"/>
          <w:szCs w:val="20"/>
        </w:rPr>
        <w:t xml:space="preserve"> repurchase additional common stock up to a total of $15 billion through December 2023.</w:t>
      </w:r>
    </w:p>
    <w:p w14:paraId="7C209126" w14:textId="77777777" w:rsidR="00834A75" w:rsidRDefault="00834A75"/>
    <w:p w14:paraId="7C209127" w14:textId="77777777" w:rsidR="00834A75" w:rsidRDefault="00A6708C">
      <w:pPr>
        <w:spacing w:after="180"/>
        <w:jc w:val="both"/>
      </w:pPr>
      <w:r>
        <w:rPr>
          <w:rFonts w:ascii="sans-serif" w:eastAsia="sans-serif" w:hAnsi="sans-serif" w:cs="sans-serif"/>
          <w:color w:val="000000"/>
          <w:sz w:val="20"/>
          <w:szCs w:val="20"/>
        </w:rPr>
        <w:t>Our cash dividend program and the payment of future cash dividends under that program are subject to the continuing determination by our Board of Directors that the di</w:t>
      </w:r>
      <w:r>
        <w:rPr>
          <w:rFonts w:ascii="sans-serif" w:eastAsia="sans-serif" w:hAnsi="sans-serif" w:cs="sans-serif"/>
          <w:color w:val="000000"/>
          <w:sz w:val="20"/>
          <w:szCs w:val="20"/>
        </w:rPr>
        <w:t xml:space="preserve">vidend program and the declaration of dividends are in the best interests of our shareholders. </w:t>
      </w:r>
    </w:p>
    <w:p w14:paraId="7C209128" w14:textId="77777777" w:rsidR="00834A75" w:rsidRDefault="00A6708C">
      <w:pPr>
        <w:spacing w:after="180"/>
        <w:jc w:val="both"/>
      </w:pPr>
      <w:r>
        <w:rPr>
          <w:rFonts w:ascii="sans-serif" w:eastAsia="sans-serif" w:hAnsi="sans-serif" w:cs="sans-serif"/>
          <w:b/>
          <w:bCs/>
          <w:color w:val="000000"/>
          <w:sz w:val="20"/>
          <w:szCs w:val="20"/>
        </w:rPr>
        <w:t>Outstanding Indebtedness and Commercial Paper</w:t>
      </w:r>
    </w:p>
    <w:p w14:paraId="7C209129" w14:textId="77777777" w:rsidR="00834A75" w:rsidRDefault="00A6708C">
      <w:pPr>
        <w:spacing w:before="120" w:after="120"/>
        <w:jc w:val="both"/>
      </w:pPr>
      <w:r>
        <w:rPr>
          <w:rFonts w:ascii="sans-serif" w:eastAsia="sans-serif" w:hAnsi="sans-serif" w:cs="sans-serif"/>
          <w:color w:val="000000"/>
          <w:sz w:val="20"/>
          <w:szCs w:val="20"/>
        </w:rPr>
        <w:t xml:space="preserve">As of May 1, 2022, we had outstanding: </w:t>
      </w:r>
    </w:p>
    <w:p w14:paraId="7C20912A" w14:textId="77777777" w:rsidR="00834A75" w:rsidRDefault="00A6708C">
      <w:pPr>
        <w:spacing w:after="120"/>
        <w:ind w:hanging="360"/>
        <w:jc w:val="both"/>
      </w:pPr>
      <w:r>
        <w:rPr>
          <w:rFonts w:ascii="sans-serif" w:eastAsia="sans-serif" w:hAnsi="sans-serif" w:cs="sans-serif"/>
          <w:color w:val="000000"/>
          <w:sz w:val="20"/>
          <w:szCs w:val="20"/>
        </w:rPr>
        <w:t>•$1.25 billion of Notes Due 2023;</w:t>
      </w:r>
    </w:p>
    <w:p w14:paraId="7C20912B" w14:textId="77777777" w:rsidR="00834A75" w:rsidRDefault="00A6708C">
      <w:pPr>
        <w:spacing w:after="120"/>
        <w:ind w:hanging="360"/>
        <w:jc w:val="both"/>
      </w:pPr>
      <w:r>
        <w:rPr>
          <w:rFonts w:ascii="sans-serif" w:eastAsia="sans-serif" w:hAnsi="sans-serif" w:cs="sans-serif"/>
          <w:color w:val="000000"/>
          <w:sz w:val="20"/>
          <w:szCs w:val="20"/>
        </w:rPr>
        <w:t>•$1.25 billion of Notes Due 2024;</w:t>
      </w:r>
    </w:p>
    <w:p w14:paraId="7C20912C" w14:textId="77777777" w:rsidR="00834A75" w:rsidRDefault="00A6708C">
      <w:pPr>
        <w:spacing w:after="120"/>
        <w:ind w:hanging="360"/>
        <w:jc w:val="both"/>
      </w:pPr>
      <w:r>
        <w:rPr>
          <w:rFonts w:ascii="sans-serif" w:eastAsia="sans-serif" w:hAnsi="sans-serif" w:cs="sans-serif"/>
          <w:color w:val="000000"/>
          <w:sz w:val="20"/>
          <w:szCs w:val="20"/>
        </w:rPr>
        <w:t>•$1.00</w:t>
      </w:r>
      <w:r>
        <w:rPr>
          <w:rFonts w:ascii="sans-serif" w:eastAsia="sans-serif" w:hAnsi="sans-serif" w:cs="sans-serif"/>
          <w:color w:val="000000"/>
          <w:sz w:val="20"/>
          <w:szCs w:val="20"/>
        </w:rPr>
        <w:t xml:space="preserve"> billion of Notes Due 2026;</w:t>
      </w:r>
    </w:p>
    <w:p w14:paraId="7C20912D" w14:textId="77777777" w:rsidR="00834A75" w:rsidRDefault="00A6708C">
      <w:pPr>
        <w:spacing w:after="120"/>
        <w:ind w:hanging="360"/>
        <w:jc w:val="both"/>
      </w:pPr>
      <w:r>
        <w:rPr>
          <w:rFonts w:ascii="sans-serif" w:eastAsia="sans-serif" w:hAnsi="sans-serif" w:cs="sans-serif"/>
          <w:color w:val="000000"/>
          <w:sz w:val="20"/>
          <w:szCs w:val="20"/>
        </w:rPr>
        <w:t>•$1.25 billion of Notes Due 2028;</w:t>
      </w:r>
    </w:p>
    <w:p w14:paraId="7C20912E" w14:textId="77777777" w:rsidR="00834A75" w:rsidRDefault="00A6708C">
      <w:pPr>
        <w:spacing w:after="120"/>
        <w:ind w:hanging="360"/>
        <w:jc w:val="both"/>
      </w:pPr>
      <w:r>
        <w:rPr>
          <w:rFonts w:ascii="sans-serif" w:eastAsia="sans-serif" w:hAnsi="sans-serif" w:cs="sans-serif"/>
          <w:color w:val="000000"/>
          <w:sz w:val="20"/>
          <w:szCs w:val="20"/>
        </w:rPr>
        <w:t>•$1.50 billion of Notes Due 2030;</w:t>
      </w:r>
    </w:p>
    <w:p w14:paraId="7C20912F" w14:textId="77777777" w:rsidR="00834A75" w:rsidRDefault="00A6708C">
      <w:pPr>
        <w:spacing w:after="120"/>
        <w:ind w:hanging="360"/>
        <w:jc w:val="both"/>
      </w:pPr>
      <w:r>
        <w:rPr>
          <w:rFonts w:ascii="sans-serif" w:eastAsia="sans-serif" w:hAnsi="sans-serif" w:cs="sans-serif"/>
          <w:color w:val="000000"/>
          <w:sz w:val="20"/>
          <w:szCs w:val="20"/>
        </w:rPr>
        <w:t xml:space="preserve">•$1.25 billion of Notes Due 2031; </w:t>
      </w:r>
    </w:p>
    <w:p w14:paraId="7C209130" w14:textId="77777777" w:rsidR="00834A75" w:rsidRDefault="00A6708C">
      <w:pPr>
        <w:spacing w:after="120"/>
        <w:ind w:hanging="360"/>
        <w:jc w:val="both"/>
      </w:pPr>
      <w:r>
        <w:rPr>
          <w:rFonts w:ascii="sans-serif" w:eastAsia="sans-serif" w:hAnsi="sans-serif" w:cs="sans-serif"/>
          <w:color w:val="000000"/>
          <w:sz w:val="20"/>
          <w:szCs w:val="20"/>
        </w:rPr>
        <w:t>•$1.00 billion of Notes Due 2040;</w:t>
      </w:r>
    </w:p>
    <w:p w14:paraId="7C209131" w14:textId="77777777" w:rsidR="00834A75" w:rsidRDefault="00A6708C">
      <w:pPr>
        <w:spacing w:after="120"/>
        <w:ind w:hanging="360"/>
        <w:jc w:val="both"/>
      </w:pPr>
      <w:r>
        <w:rPr>
          <w:rFonts w:ascii="sans-serif" w:eastAsia="sans-serif" w:hAnsi="sans-serif" w:cs="sans-serif"/>
          <w:color w:val="000000"/>
          <w:sz w:val="20"/>
          <w:szCs w:val="20"/>
        </w:rPr>
        <w:t>•$2.00 billion of Notes Due 2050; and</w:t>
      </w:r>
    </w:p>
    <w:p w14:paraId="7C209132" w14:textId="77777777" w:rsidR="00834A75" w:rsidRDefault="00A6708C">
      <w:pPr>
        <w:spacing w:after="120"/>
        <w:ind w:hanging="360"/>
        <w:jc w:val="both"/>
      </w:pPr>
      <w:r>
        <w:rPr>
          <w:rFonts w:ascii="sans-serif" w:eastAsia="sans-serif" w:hAnsi="sans-serif" w:cs="sans-serif"/>
          <w:color w:val="000000"/>
          <w:sz w:val="20"/>
          <w:szCs w:val="20"/>
        </w:rPr>
        <w:t>•$500 million of Notes Due 2060.</w:t>
      </w:r>
    </w:p>
    <w:p w14:paraId="7C209133" w14:textId="77777777" w:rsidR="00834A75" w:rsidRDefault="00A6708C">
      <w:pPr>
        <w:spacing w:before="120" w:after="120"/>
        <w:jc w:val="both"/>
      </w:pPr>
      <w:r>
        <w:rPr>
          <w:rFonts w:ascii="sans-serif" w:eastAsia="sans-serif" w:hAnsi="sans-serif" w:cs="sans-serif"/>
          <w:color w:val="000000"/>
          <w:sz w:val="20"/>
          <w:szCs w:val="20"/>
        </w:rPr>
        <w:t>We have a $575 milli</w:t>
      </w:r>
      <w:r>
        <w:rPr>
          <w:rFonts w:ascii="sans-serif" w:eastAsia="sans-serif" w:hAnsi="sans-serif" w:cs="sans-serif"/>
          <w:color w:val="000000"/>
          <w:sz w:val="20"/>
          <w:szCs w:val="20"/>
        </w:rPr>
        <w:t>on commercial paper program to support general corporate purposes. As of May 1, 2022, we had not issued any commercial paper.</w:t>
      </w:r>
    </w:p>
    <w:p w14:paraId="7C209134" w14:textId="77777777" w:rsidR="00834A75" w:rsidRDefault="00A6708C">
      <w:pPr>
        <w:spacing w:before="120" w:after="120"/>
        <w:jc w:val="both"/>
      </w:pPr>
      <w:r>
        <w:rPr>
          <w:rFonts w:ascii="sans-serif" w:eastAsia="sans-serif" w:hAnsi="sans-serif" w:cs="sans-serif"/>
          <w:b/>
          <w:bCs/>
          <w:color w:val="000000"/>
          <w:sz w:val="20"/>
          <w:szCs w:val="20"/>
        </w:rPr>
        <w:t>Contractual Obligations</w:t>
      </w:r>
    </w:p>
    <w:p w14:paraId="7C209135" w14:textId="77777777" w:rsidR="00834A75" w:rsidRDefault="00A6708C">
      <w:pPr>
        <w:spacing w:before="120" w:after="120"/>
        <w:jc w:val="both"/>
      </w:pPr>
      <w:r>
        <w:rPr>
          <w:rFonts w:ascii="sans-serif" w:eastAsia="sans-serif" w:hAnsi="sans-serif" w:cs="sans-serif"/>
          <w:color w:val="000000"/>
          <w:sz w:val="20"/>
          <w:szCs w:val="20"/>
        </w:rPr>
        <w:t>We have unrecognized tax benefits of $800 million, which includes related interest and penalties of $67 million recorded in non-current income tax payable as of May 1, 2022. We are unable to reasonably estimate the timing of any potential tax liability, in</w:t>
      </w:r>
      <w:r>
        <w:rPr>
          <w:rFonts w:ascii="sans-serif" w:eastAsia="sans-serif" w:hAnsi="sans-serif" w:cs="sans-serif"/>
          <w:color w:val="000000"/>
          <w:sz w:val="20"/>
          <w:szCs w:val="20"/>
        </w:rPr>
        <w:t xml:space="preserve">terest payments, or penalties in individual years due to uncertainties in the underlying income tax positions and the timing of the effective settlement of such tax positions. We are currently under examination by the </w:t>
      </w:r>
    </w:p>
    <w:p w14:paraId="7C209136" w14:textId="77777777" w:rsidR="00834A75" w:rsidRDefault="00A6708C">
      <w:pPr>
        <w:spacing w:after="180"/>
        <w:jc w:val="center"/>
      </w:pPr>
      <w:r>
        <w:rPr>
          <w:rFonts w:ascii="sans-serif" w:eastAsia="sans-serif" w:hAnsi="sans-serif" w:cs="sans-serif"/>
          <w:color w:val="000000"/>
          <w:sz w:val="20"/>
          <w:szCs w:val="20"/>
        </w:rPr>
        <w:t>28</w:t>
      </w:r>
    </w:p>
    <w:p w14:paraId="7C209137" w14:textId="77777777" w:rsidR="00834A75" w:rsidRDefault="00A6708C">
      <w:r>
        <w:pict w14:anchorId="7C20936B">
          <v:rect id="_x0000_i1052" style="width:415.3pt;height:1.5pt" o:hralign="center" o:hrstd="t" o:hr="t" fillcolor="#a0a0a0" stroked="f"/>
        </w:pict>
      </w:r>
    </w:p>
    <w:p w14:paraId="7C209138" w14:textId="77777777" w:rsidR="00834A75" w:rsidRDefault="00834A75">
      <w:pPr>
        <w:spacing w:after="180"/>
        <w:jc w:val="both"/>
      </w:pPr>
    </w:p>
    <w:p w14:paraId="7C209139" w14:textId="77777777" w:rsidR="00834A75" w:rsidRDefault="00834A75">
      <w:pPr>
        <w:spacing w:after="180"/>
        <w:jc w:val="both"/>
      </w:pPr>
    </w:p>
    <w:p w14:paraId="7C20913A" w14:textId="77777777" w:rsidR="00834A75" w:rsidRDefault="00834A75">
      <w:pPr>
        <w:spacing w:after="180"/>
        <w:jc w:val="both"/>
      </w:pPr>
    </w:p>
    <w:p w14:paraId="7C20913B" w14:textId="77777777" w:rsidR="00834A75" w:rsidRDefault="00A6708C">
      <w:pPr>
        <w:spacing w:before="120" w:after="120"/>
        <w:jc w:val="both"/>
      </w:pPr>
      <w:r>
        <w:rPr>
          <w:rFonts w:ascii="sans-serif" w:eastAsia="sans-serif" w:hAnsi="sans-serif" w:cs="sans-serif"/>
          <w:color w:val="000000"/>
          <w:sz w:val="20"/>
          <w:szCs w:val="20"/>
        </w:rPr>
        <w:t xml:space="preserve">Internal Revenue Service for </w:t>
      </w:r>
      <w:r>
        <w:rPr>
          <w:rFonts w:ascii="sans-serif" w:eastAsia="sans-serif" w:hAnsi="sans-serif" w:cs="sans-serif"/>
          <w:color w:val="000000"/>
          <w:sz w:val="20"/>
          <w:szCs w:val="20"/>
        </w:rPr>
        <w:t>our fiscal years 2018 and 2019. Refer to Note 6 of the Notes to Condensed Consolidated Financial Statements for further information.</w:t>
      </w:r>
    </w:p>
    <w:p w14:paraId="7C20913C" w14:textId="77777777" w:rsidR="00834A75" w:rsidRDefault="00A6708C">
      <w:pPr>
        <w:spacing w:after="180"/>
        <w:jc w:val="both"/>
      </w:pPr>
      <w:r>
        <w:rPr>
          <w:rFonts w:ascii="sans-serif" w:eastAsia="sans-serif" w:hAnsi="sans-serif" w:cs="sans-serif"/>
          <w:color w:val="000000"/>
          <w:sz w:val="20"/>
          <w:szCs w:val="20"/>
        </w:rPr>
        <w:t>Other than the contractual obligations described above, there were no material changes outside the ordinary course of busin</w:t>
      </w:r>
      <w:r>
        <w:rPr>
          <w:rFonts w:ascii="sans-serif" w:eastAsia="sans-serif" w:hAnsi="sans-serif" w:cs="sans-serif"/>
          <w:color w:val="000000"/>
          <w:sz w:val="20"/>
          <w:szCs w:val="20"/>
        </w:rPr>
        <w:t>ess in our contractual obligations from those disclosed in our Annual Report on Form 10-K for the fiscal year ended January 30, 2022. Refer to Item 7, “Management’s Discussion and Analysis of Financial Condition and Results of Operations - Liquidity and Ca</w:t>
      </w:r>
      <w:r>
        <w:rPr>
          <w:rFonts w:ascii="sans-serif" w:eastAsia="sans-serif" w:hAnsi="sans-serif" w:cs="sans-serif"/>
          <w:color w:val="000000"/>
          <w:sz w:val="20"/>
          <w:szCs w:val="20"/>
        </w:rPr>
        <w:t>pital Resources” in our Annual Report on Form 10-K for the fiscal year ended January 30, 2022 for a description of our contractual obligations. For a description of our operating lease obligations, long-term debt, and purchase obligations, refer to Note 3,</w:t>
      </w:r>
      <w:r>
        <w:rPr>
          <w:rFonts w:ascii="sans-serif" w:eastAsia="sans-serif" w:hAnsi="sans-serif" w:cs="sans-serif"/>
          <w:color w:val="000000"/>
          <w:sz w:val="20"/>
          <w:szCs w:val="20"/>
        </w:rPr>
        <w:t xml:space="preserve"> Note 12, and Note 13 of the Notes to Condensed Consolidated Financial Statements, respectively.</w:t>
      </w:r>
    </w:p>
    <w:p w14:paraId="7C20913D" w14:textId="77777777" w:rsidR="00834A75" w:rsidRDefault="00A6708C">
      <w:pPr>
        <w:spacing w:before="240" w:after="120"/>
        <w:jc w:val="both"/>
      </w:pPr>
      <w:r>
        <w:rPr>
          <w:rFonts w:ascii="sans-serif" w:eastAsia="sans-serif" w:hAnsi="sans-serif" w:cs="sans-serif"/>
          <w:b/>
          <w:bCs/>
          <w:color w:val="76B900"/>
          <w:sz w:val="22"/>
          <w:szCs w:val="22"/>
        </w:rPr>
        <w:t>Climate Change</w:t>
      </w:r>
    </w:p>
    <w:p w14:paraId="7C20913E" w14:textId="77777777" w:rsidR="00834A75" w:rsidRDefault="00A6708C">
      <w:pPr>
        <w:spacing w:after="180"/>
        <w:jc w:val="both"/>
      </w:pPr>
      <w:r>
        <w:rPr>
          <w:rFonts w:ascii="sans-serif" w:eastAsia="sans-serif" w:hAnsi="sans-serif" w:cs="sans-serif"/>
          <w:color w:val="000000"/>
          <w:sz w:val="20"/>
          <w:szCs w:val="20"/>
        </w:rPr>
        <w:t>To date, there has been no material impact to our results of operations associated with global sustainability regulations, compliance, costs fro</w:t>
      </w:r>
      <w:r>
        <w:rPr>
          <w:rFonts w:ascii="sans-serif" w:eastAsia="sans-serif" w:hAnsi="sans-serif" w:cs="sans-serif"/>
          <w:color w:val="000000"/>
          <w:sz w:val="20"/>
          <w:szCs w:val="20"/>
        </w:rPr>
        <w:t>m sourcing renewable energy or climate-related business trends. There are no material current climate change regulations impacting us, however, we are monitoring potential regulation changes in California, the United States, the United Kingdom, the Europea</w:t>
      </w:r>
      <w:r>
        <w:rPr>
          <w:rFonts w:ascii="sans-serif" w:eastAsia="sans-serif" w:hAnsi="sans-serif" w:cs="sans-serif"/>
          <w:color w:val="000000"/>
          <w:sz w:val="20"/>
          <w:szCs w:val="20"/>
        </w:rPr>
        <w:t>n Union and other jurisdictions. We believe that climate change has not had a material impact to our revenue to date. We have not experienced any significant physical effects of climate change to date on our operations and results, nor any significant impa</w:t>
      </w:r>
      <w:r>
        <w:rPr>
          <w:rFonts w:ascii="sans-serif" w:eastAsia="sans-serif" w:hAnsi="sans-serif" w:cs="sans-serif"/>
          <w:color w:val="000000"/>
          <w:sz w:val="20"/>
          <w:szCs w:val="20"/>
        </w:rPr>
        <w:t>cts on the cost or availability of insurance. In fiscal year 2024, we plan to launch Earth-2, an AI supercomputer dedicated to predicting the impacts of climate change.</w:t>
      </w:r>
    </w:p>
    <w:p w14:paraId="7C20913F" w14:textId="77777777" w:rsidR="00834A75" w:rsidRDefault="00A6708C">
      <w:pPr>
        <w:spacing w:before="240" w:after="120"/>
        <w:jc w:val="both"/>
      </w:pPr>
      <w:r>
        <w:rPr>
          <w:rFonts w:ascii="sans-serif" w:eastAsia="sans-serif" w:hAnsi="sans-serif" w:cs="sans-serif"/>
          <w:b/>
          <w:bCs/>
          <w:color w:val="76B900"/>
          <w:sz w:val="22"/>
          <w:szCs w:val="22"/>
        </w:rPr>
        <w:t>Adoption of New and Recently Issued Accounting Pronouncements</w:t>
      </w:r>
    </w:p>
    <w:p w14:paraId="7C209140" w14:textId="77777777" w:rsidR="00834A75" w:rsidRDefault="00A6708C">
      <w:pPr>
        <w:spacing w:after="180"/>
        <w:jc w:val="both"/>
      </w:pPr>
      <w:r>
        <w:rPr>
          <w:rFonts w:ascii="sans-serif" w:eastAsia="sans-serif" w:hAnsi="sans-serif" w:cs="sans-serif"/>
          <w:color w:val="000000"/>
          <w:sz w:val="20"/>
          <w:szCs w:val="20"/>
        </w:rPr>
        <w:t xml:space="preserve">Refer to Note 1 of the </w:t>
      </w:r>
      <w:r>
        <w:rPr>
          <w:rFonts w:ascii="sans-serif" w:eastAsia="sans-serif" w:hAnsi="sans-serif" w:cs="sans-serif"/>
          <w:color w:val="000000"/>
          <w:sz w:val="20"/>
          <w:szCs w:val="20"/>
        </w:rPr>
        <w:t>Notes to Condensed Consolidated Financial Statements for a discussion of adoption of a new and recently issued accounting pronouncement.</w:t>
      </w:r>
    </w:p>
    <w:p w14:paraId="7C209141" w14:textId="77777777" w:rsidR="00834A75" w:rsidRDefault="00A6708C">
      <w:pPr>
        <w:spacing w:before="240" w:after="120"/>
        <w:jc w:val="both"/>
      </w:pPr>
      <w:r>
        <w:rPr>
          <w:rFonts w:ascii="sans-serif" w:eastAsia="sans-serif" w:hAnsi="sans-serif" w:cs="sans-serif"/>
          <w:b/>
          <w:bCs/>
          <w:color w:val="76B900"/>
          <w:sz w:val="22"/>
          <w:szCs w:val="22"/>
        </w:rPr>
        <w:t>ITEM 3. QUANTITATIVE AND QUALITATIVE DISCLOSURES ABOUT MARKET RISK</w:t>
      </w:r>
    </w:p>
    <w:p w14:paraId="7C209142" w14:textId="77777777" w:rsidR="00834A75" w:rsidRDefault="00A6708C">
      <w:pPr>
        <w:spacing w:before="240" w:after="60"/>
        <w:jc w:val="both"/>
      </w:pPr>
      <w:r>
        <w:rPr>
          <w:rFonts w:ascii="sans-serif" w:eastAsia="sans-serif" w:hAnsi="sans-serif" w:cs="sans-serif"/>
          <w:b/>
          <w:bCs/>
          <w:color w:val="76B900"/>
          <w:sz w:val="20"/>
          <w:szCs w:val="20"/>
        </w:rPr>
        <w:t>Investment and Interest Rate Risk</w:t>
      </w:r>
    </w:p>
    <w:p w14:paraId="7C209143" w14:textId="77777777" w:rsidR="00834A75" w:rsidRDefault="00A6708C">
      <w:pPr>
        <w:spacing w:after="180"/>
        <w:jc w:val="both"/>
      </w:pPr>
      <w:r>
        <w:rPr>
          <w:rFonts w:ascii="sans-serif" w:eastAsia="sans-serif" w:hAnsi="sans-serif" w:cs="sans-serif"/>
          <w:color w:val="000000"/>
          <w:sz w:val="20"/>
          <w:szCs w:val="20"/>
        </w:rPr>
        <w:t>Financial market r</w:t>
      </w:r>
      <w:r>
        <w:rPr>
          <w:rFonts w:ascii="sans-serif" w:eastAsia="sans-serif" w:hAnsi="sans-serif" w:cs="sans-serif"/>
          <w:color w:val="000000"/>
          <w:sz w:val="20"/>
          <w:szCs w:val="20"/>
        </w:rPr>
        <w:t>isks related to investment and interest rate risk are described in our Annual Report on Form 10-K for the fiscal year ended January 30, 2022. As of May 1, 2022, there have been no material changes, including the impact of the COVID-19 pandemic, to the fina</w:t>
      </w:r>
      <w:r>
        <w:rPr>
          <w:rFonts w:ascii="sans-serif" w:eastAsia="sans-serif" w:hAnsi="sans-serif" w:cs="sans-serif"/>
          <w:color w:val="000000"/>
          <w:sz w:val="20"/>
          <w:szCs w:val="20"/>
        </w:rPr>
        <w:t>ncial market risks described as of January 30, 2022.</w:t>
      </w:r>
    </w:p>
    <w:p w14:paraId="7C209144" w14:textId="77777777" w:rsidR="00834A75" w:rsidRDefault="00A6708C">
      <w:pPr>
        <w:spacing w:before="240" w:after="60"/>
        <w:jc w:val="both"/>
      </w:pPr>
      <w:r>
        <w:rPr>
          <w:rFonts w:ascii="sans-serif" w:eastAsia="sans-serif" w:hAnsi="sans-serif" w:cs="sans-serif"/>
          <w:b/>
          <w:bCs/>
          <w:color w:val="76B900"/>
          <w:sz w:val="20"/>
          <w:szCs w:val="20"/>
        </w:rPr>
        <w:t xml:space="preserve">Foreign Exchange Rate Risk </w:t>
      </w:r>
    </w:p>
    <w:p w14:paraId="7C209145" w14:textId="77777777" w:rsidR="00834A75" w:rsidRDefault="00A6708C">
      <w:pPr>
        <w:spacing w:after="180"/>
        <w:jc w:val="both"/>
      </w:pPr>
      <w:r>
        <w:rPr>
          <w:rFonts w:ascii="sans-serif" w:eastAsia="sans-serif" w:hAnsi="sans-serif" w:cs="sans-serif"/>
          <w:color w:val="000000"/>
          <w:sz w:val="20"/>
          <w:szCs w:val="20"/>
        </w:rPr>
        <w:t>The impact of foreign currency transactions related to foreign exchange rate risk is described in our Annual Report on Form 10-K for the fiscal year ended January 30, 2022. As</w:t>
      </w:r>
      <w:r>
        <w:rPr>
          <w:rFonts w:ascii="sans-serif" w:eastAsia="sans-serif" w:hAnsi="sans-serif" w:cs="sans-serif"/>
          <w:color w:val="000000"/>
          <w:sz w:val="20"/>
          <w:szCs w:val="20"/>
        </w:rPr>
        <w:t xml:space="preserve"> of May 1, 2022, there have been no material changes, including the impact of the COVID-19 pandemic, to the foreign exchange rate risks described as of January 30, 2022.</w:t>
      </w:r>
    </w:p>
    <w:p w14:paraId="7C209146" w14:textId="77777777" w:rsidR="00834A75" w:rsidRDefault="00A6708C">
      <w:pPr>
        <w:spacing w:after="180"/>
        <w:jc w:val="both"/>
      </w:pPr>
      <w:r>
        <w:rPr>
          <w:rFonts w:ascii="sans-serif" w:eastAsia="sans-serif" w:hAnsi="sans-serif" w:cs="sans-serif"/>
          <w:color w:val="000000"/>
          <w:sz w:val="20"/>
          <w:szCs w:val="20"/>
        </w:rPr>
        <w:t>Refer to Note 11 of the Notes to Condensed Consolidated Financial Statements for addit</w:t>
      </w:r>
      <w:r>
        <w:rPr>
          <w:rFonts w:ascii="sans-serif" w:eastAsia="sans-serif" w:hAnsi="sans-serif" w:cs="sans-serif"/>
          <w:color w:val="000000"/>
          <w:sz w:val="20"/>
          <w:szCs w:val="20"/>
        </w:rPr>
        <w:t>ional information.</w:t>
      </w:r>
    </w:p>
    <w:p w14:paraId="7C209147" w14:textId="77777777" w:rsidR="00834A75" w:rsidRDefault="00A6708C">
      <w:pPr>
        <w:spacing w:before="240" w:after="120"/>
        <w:jc w:val="both"/>
      </w:pPr>
      <w:r>
        <w:rPr>
          <w:rFonts w:ascii="sans-serif" w:eastAsia="sans-serif" w:hAnsi="sans-serif" w:cs="sans-serif"/>
          <w:b/>
          <w:bCs/>
          <w:color w:val="76B900"/>
          <w:sz w:val="22"/>
          <w:szCs w:val="22"/>
        </w:rPr>
        <w:t>ITEM 4. CONTROLS AND PROCEDURES</w:t>
      </w:r>
    </w:p>
    <w:p w14:paraId="7C209148" w14:textId="77777777" w:rsidR="00834A75" w:rsidRDefault="00A6708C">
      <w:pPr>
        <w:spacing w:before="240" w:after="60"/>
        <w:jc w:val="both"/>
      </w:pPr>
      <w:r>
        <w:rPr>
          <w:rFonts w:ascii="sans-serif" w:eastAsia="sans-serif" w:hAnsi="sans-serif" w:cs="sans-serif"/>
          <w:b/>
          <w:bCs/>
          <w:color w:val="76B900"/>
          <w:sz w:val="20"/>
          <w:szCs w:val="20"/>
        </w:rPr>
        <w:t>Controls and Procedures</w:t>
      </w:r>
    </w:p>
    <w:p w14:paraId="7C209149" w14:textId="77777777" w:rsidR="00834A75" w:rsidRDefault="00A6708C">
      <w:pPr>
        <w:spacing w:before="120" w:after="120"/>
        <w:jc w:val="both"/>
      </w:pPr>
      <w:r>
        <w:rPr>
          <w:rFonts w:ascii="sans-serif" w:eastAsia="sans-serif" w:hAnsi="sans-serif" w:cs="sans-serif"/>
          <w:b/>
          <w:bCs/>
          <w:color w:val="000000"/>
          <w:sz w:val="20"/>
          <w:szCs w:val="20"/>
        </w:rPr>
        <w:t>Disclosure Controls and Procedures</w:t>
      </w:r>
    </w:p>
    <w:p w14:paraId="7C20914A" w14:textId="77777777" w:rsidR="00834A75" w:rsidRDefault="00A6708C">
      <w:pPr>
        <w:spacing w:after="180"/>
        <w:jc w:val="both"/>
      </w:pPr>
      <w:r>
        <w:rPr>
          <w:rFonts w:ascii="sans-serif" w:eastAsia="sans-serif" w:hAnsi="sans-serif" w:cs="sans-serif"/>
          <w:color w:val="000000"/>
          <w:sz w:val="20"/>
          <w:szCs w:val="20"/>
        </w:rPr>
        <w:t>Based on their evaluation as of May 1, 2022, our management, including our Chief Executive Officer and Chief Financial Officer, has concluded that</w:t>
      </w:r>
      <w:r>
        <w:rPr>
          <w:rFonts w:ascii="sans-serif" w:eastAsia="sans-serif" w:hAnsi="sans-serif" w:cs="sans-serif"/>
          <w:color w:val="000000"/>
          <w:sz w:val="20"/>
          <w:szCs w:val="20"/>
        </w:rPr>
        <w:t xml:space="preserve"> our disclosure controls and procedures (as defined in Rule 13a-15(e) under the Securities Exchange Act of 1934, as amended) were effective to provide reasonable assurance.</w:t>
      </w:r>
    </w:p>
    <w:p w14:paraId="7C20914B" w14:textId="77777777" w:rsidR="00834A75" w:rsidRDefault="00A6708C">
      <w:pPr>
        <w:spacing w:before="120" w:after="120"/>
        <w:jc w:val="both"/>
      </w:pPr>
      <w:r>
        <w:rPr>
          <w:rFonts w:ascii="sans-serif" w:eastAsia="sans-serif" w:hAnsi="sans-serif" w:cs="sans-serif"/>
          <w:b/>
          <w:bCs/>
          <w:color w:val="000000"/>
          <w:sz w:val="20"/>
          <w:szCs w:val="20"/>
        </w:rPr>
        <w:t>Changes in Internal Control Over Financial Reporting</w:t>
      </w:r>
    </w:p>
    <w:p w14:paraId="7C20914C" w14:textId="77777777" w:rsidR="00834A75" w:rsidRDefault="00A6708C">
      <w:pPr>
        <w:spacing w:after="180"/>
        <w:jc w:val="both"/>
      </w:pPr>
      <w:r>
        <w:rPr>
          <w:rFonts w:ascii="sans-serif" w:eastAsia="sans-serif" w:hAnsi="sans-serif" w:cs="sans-serif"/>
          <w:color w:val="000000"/>
          <w:sz w:val="20"/>
          <w:szCs w:val="20"/>
        </w:rPr>
        <w:t xml:space="preserve">There have been no changes in our internal control over financial reporting during the first quarter of fiscal year 2023 that have materially affected, or are reasonably likely to materially affect, our internal control over financial reporting. In fiscal </w:t>
      </w:r>
      <w:r>
        <w:rPr>
          <w:rFonts w:ascii="sans-serif" w:eastAsia="sans-serif" w:hAnsi="sans-serif" w:cs="sans-serif"/>
          <w:color w:val="000000"/>
          <w:sz w:val="20"/>
          <w:szCs w:val="20"/>
        </w:rPr>
        <w:t>year 2022, we began an upgrade of our enterprise resource planning, or ERP, system, which will update much of our existing core financial systems. The ERP system is designed to accurately maintain our financial records used to report operating results. The</w:t>
      </w:r>
      <w:r>
        <w:rPr>
          <w:rFonts w:ascii="sans-serif" w:eastAsia="sans-serif" w:hAnsi="sans-serif" w:cs="sans-serif"/>
          <w:color w:val="000000"/>
          <w:sz w:val="20"/>
          <w:szCs w:val="20"/>
        </w:rPr>
        <w:t xml:space="preserve"> upgrade will occur in phases with the consolidated financial reporting and general ledger module to be implemented in fiscal year 2023. We will continue to evaluate each quarter whether there are changes that affect our internal control over financial rep</w:t>
      </w:r>
      <w:r>
        <w:rPr>
          <w:rFonts w:ascii="sans-serif" w:eastAsia="sans-serif" w:hAnsi="sans-serif" w:cs="sans-serif"/>
          <w:color w:val="000000"/>
          <w:sz w:val="20"/>
          <w:szCs w:val="20"/>
        </w:rPr>
        <w:t xml:space="preserve">orting. </w:t>
      </w:r>
    </w:p>
    <w:p w14:paraId="7C20914D" w14:textId="77777777" w:rsidR="00834A75" w:rsidRDefault="00834A75">
      <w:pPr>
        <w:spacing w:after="180"/>
        <w:jc w:val="both"/>
      </w:pPr>
    </w:p>
    <w:p w14:paraId="7C20914E" w14:textId="77777777" w:rsidR="00834A75" w:rsidRDefault="00A6708C">
      <w:pPr>
        <w:spacing w:after="180"/>
        <w:jc w:val="center"/>
      </w:pPr>
      <w:r>
        <w:rPr>
          <w:rFonts w:ascii="sans-serif" w:eastAsia="sans-serif" w:hAnsi="sans-serif" w:cs="sans-serif"/>
          <w:color w:val="000000"/>
          <w:sz w:val="20"/>
          <w:szCs w:val="20"/>
        </w:rPr>
        <w:t>29</w:t>
      </w:r>
    </w:p>
    <w:p w14:paraId="7C20914F" w14:textId="77777777" w:rsidR="00834A75" w:rsidRDefault="00A6708C">
      <w:r>
        <w:pict w14:anchorId="7C20936C">
          <v:rect id="_x0000_i1053" style="width:415.3pt;height:1.5pt" o:hralign="center" o:hrstd="t" o:hr="t" fillcolor="#a0a0a0" stroked="f"/>
        </w:pict>
      </w:r>
    </w:p>
    <w:p w14:paraId="7C209150" w14:textId="77777777" w:rsidR="00834A75" w:rsidRDefault="00834A75">
      <w:pPr>
        <w:spacing w:after="180"/>
        <w:jc w:val="both"/>
      </w:pPr>
    </w:p>
    <w:p w14:paraId="7C209151" w14:textId="77777777" w:rsidR="00834A75" w:rsidRDefault="00834A75">
      <w:pPr>
        <w:spacing w:after="180"/>
        <w:jc w:val="both"/>
      </w:pPr>
    </w:p>
    <w:p w14:paraId="7C209152" w14:textId="77777777" w:rsidR="00834A75" w:rsidRDefault="00834A75">
      <w:pPr>
        <w:spacing w:after="180"/>
        <w:jc w:val="both"/>
      </w:pPr>
    </w:p>
    <w:p w14:paraId="7C209153" w14:textId="77777777" w:rsidR="00834A75" w:rsidRDefault="00A6708C">
      <w:pPr>
        <w:spacing w:before="120" w:after="120"/>
        <w:jc w:val="both"/>
      </w:pPr>
      <w:r>
        <w:rPr>
          <w:rFonts w:ascii="sans-serif" w:eastAsia="sans-serif" w:hAnsi="sans-serif" w:cs="sans-serif"/>
          <w:b/>
          <w:bCs/>
          <w:color w:val="000000"/>
          <w:sz w:val="20"/>
          <w:szCs w:val="20"/>
        </w:rPr>
        <w:t>Inherent Limitations on Effectiveness of Controls</w:t>
      </w:r>
    </w:p>
    <w:p w14:paraId="7C209154" w14:textId="77777777" w:rsidR="00834A75" w:rsidRDefault="00A6708C">
      <w:pPr>
        <w:spacing w:after="180"/>
        <w:jc w:val="both"/>
      </w:pPr>
      <w:r>
        <w:rPr>
          <w:rFonts w:ascii="sans-serif" w:eastAsia="sans-serif" w:hAnsi="sans-serif" w:cs="sans-serif"/>
          <w:color w:val="000000"/>
          <w:sz w:val="20"/>
          <w:szCs w:val="20"/>
        </w:rPr>
        <w:t>Our management, including our Chief Executive Officer and Chief Financial Officer, does not expect that our disclosure controls and procedures or our internal controls, will prevent all er</w:t>
      </w:r>
      <w:r>
        <w:rPr>
          <w:rFonts w:ascii="sans-serif" w:eastAsia="sans-serif" w:hAnsi="sans-serif" w:cs="sans-serif"/>
          <w:color w:val="000000"/>
          <w:sz w:val="20"/>
          <w:szCs w:val="20"/>
        </w:rPr>
        <w:t>ror and all fraud. A control system, no matter how well conceived and operated, can provide only reasonable, not absolute, assurance that the objectives of the control system are met. Further, the design of a control system must reflect the fact that there</w:t>
      </w:r>
      <w:r>
        <w:rPr>
          <w:rFonts w:ascii="sans-serif" w:eastAsia="sans-serif" w:hAnsi="sans-serif" w:cs="sans-serif"/>
          <w:color w:val="000000"/>
          <w:sz w:val="20"/>
          <w:szCs w:val="20"/>
        </w:rPr>
        <w:t xml:space="preserve"> are resource constraints, and the benefits of controls must be considered relative to their costs. Because of the inherent limitations in all control systems, no evaluation of controls can provide absolute assurance that all control issues and instances o</w:t>
      </w:r>
      <w:r>
        <w:rPr>
          <w:rFonts w:ascii="sans-serif" w:eastAsia="sans-serif" w:hAnsi="sans-serif" w:cs="sans-serif"/>
          <w:color w:val="000000"/>
          <w:sz w:val="20"/>
          <w:szCs w:val="20"/>
        </w:rPr>
        <w:t>f fraud, if any, within NVIDIA have been detected.</w:t>
      </w:r>
    </w:p>
    <w:p w14:paraId="7C209155" w14:textId="77777777" w:rsidR="00834A75" w:rsidRDefault="00A6708C">
      <w:pPr>
        <w:spacing w:before="240" w:after="120"/>
        <w:jc w:val="both"/>
      </w:pPr>
      <w:r>
        <w:rPr>
          <w:rFonts w:ascii="sans-serif" w:eastAsia="sans-serif" w:hAnsi="sans-serif" w:cs="sans-serif"/>
          <w:b/>
          <w:bCs/>
          <w:color w:val="76B900"/>
          <w:sz w:val="22"/>
          <w:szCs w:val="22"/>
        </w:rPr>
        <w:t>PART II. OTHER INFORMATION</w:t>
      </w:r>
    </w:p>
    <w:p w14:paraId="7C209156" w14:textId="77777777" w:rsidR="00834A75" w:rsidRDefault="00A6708C">
      <w:pPr>
        <w:spacing w:before="240" w:after="120"/>
        <w:jc w:val="both"/>
      </w:pPr>
      <w:r>
        <w:rPr>
          <w:rFonts w:ascii="sans-serif" w:eastAsia="sans-serif" w:hAnsi="sans-serif" w:cs="sans-serif"/>
          <w:b/>
          <w:bCs/>
          <w:color w:val="76B900"/>
          <w:sz w:val="22"/>
          <w:szCs w:val="22"/>
        </w:rPr>
        <w:t>ITEM 1. LEGAL PROCEEDINGS</w:t>
      </w:r>
    </w:p>
    <w:p w14:paraId="7C209157" w14:textId="77777777" w:rsidR="00834A75" w:rsidRDefault="00A6708C">
      <w:pPr>
        <w:spacing w:after="180"/>
        <w:jc w:val="both"/>
      </w:pPr>
      <w:r>
        <w:rPr>
          <w:rFonts w:ascii="sans-serif" w:eastAsia="sans-serif" w:hAnsi="sans-serif" w:cs="sans-serif"/>
          <w:color w:val="000000"/>
          <w:sz w:val="20"/>
          <w:szCs w:val="20"/>
        </w:rPr>
        <w:t>Refer to Part I, Item 1, Note 13 of the Notes to Condensed Consolidated Financial Statements for a discussion of significant developments in our legal p</w:t>
      </w:r>
      <w:r>
        <w:rPr>
          <w:rFonts w:ascii="sans-serif" w:eastAsia="sans-serif" w:hAnsi="sans-serif" w:cs="sans-serif"/>
          <w:color w:val="000000"/>
          <w:sz w:val="20"/>
          <w:szCs w:val="20"/>
        </w:rPr>
        <w:t>roceedings since January 30, 2022. Also refer to Item 3, “Legal Proceedings” in our Annual Report on Form 10-K for the fiscal year ended January 30, 2022 for a prior discussion of our legal proceedings.</w:t>
      </w:r>
    </w:p>
    <w:p w14:paraId="7C209158" w14:textId="77777777" w:rsidR="00834A75" w:rsidRDefault="00A6708C">
      <w:pPr>
        <w:spacing w:before="240" w:after="120"/>
        <w:jc w:val="both"/>
      </w:pPr>
      <w:r>
        <w:rPr>
          <w:rFonts w:ascii="sans-serif" w:eastAsia="sans-serif" w:hAnsi="sans-serif" w:cs="sans-serif"/>
          <w:b/>
          <w:bCs/>
          <w:color w:val="76B900"/>
          <w:sz w:val="22"/>
          <w:szCs w:val="22"/>
        </w:rPr>
        <w:t>ITEM 1A. RISK FACTORS</w:t>
      </w:r>
    </w:p>
    <w:p w14:paraId="7C209159" w14:textId="77777777" w:rsidR="00834A75" w:rsidRDefault="00A6708C">
      <w:pPr>
        <w:spacing w:after="180"/>
        <w:jc w:val="both"/>
      </w:pPr>
      <w:r>
        <w:rPr>
          <w:rFonts w:ascii="sans-serif" w:eastAsia="sans-serif" w:hAnsi="sans-serif" w:cs="sans-serif"/>
          <w:color w:val="000000"/>
          <w:sz w:val="20"/>
          <w:szCs w:val="20"/>
        </w:rPr>
        <w:t>Other than the risk factors lis</w:t>
      </w:r>
      <w:r>
        <w:rPr>
          <w:rFonts w:ascii="sans-serif" w:eastAsia="sans-serif" w:hAnsi="sans-serif" w:cs="sans-serif"/>
          <w:color w:val="000000"/>
          <w:sz w:val="20"/>
          <w:szCs w:val="20"/>
        </w:rPr>
        <w:t>ted below, there have been no material changes from the risk factors previously described under Item 1A of our Annual Report on Form 10-K for the fiscal year ended January 30, 2022.</w:t>
      </w:r>
    </w:p>
    <w:p w14:paraId="7C20915A" w14:textId="77777777" w:rsidR="00834A75" w:rsidRDefault="00A6708C">
      <w:pPr>
        <w:spacing w:after="180"/>
        <w:jc w:val="both"/>
      </w:pPr>
      <w:r>
        <w:rPr>
          <w:rFonts w:ascii="sans-serif" w:eastAsia="sans-serif" w:hAnsi="sans-serif" w:cs="sans-serif"/>
          <w:color w:val="000000"/>
          <w:sz w:val="20"/>
          <w:szCs w:val="20"/>
        </w:rPr>
        <w:t>Before you buy our common stock, you should know that making such an inves</w:t>
      </w:r>
      <w:r>
        <w:rPr>
          <w:rFonts w:ascii="sans-serif" w:eastAsia="sans-serif" w:hAnsi="sans-serif" w:cs="sans-serif"/>
          <w:color w:val="000000"/>
          <w:sz w:val="20"/>
          <w:szCs w:val="20"/>
        </w:rPr>
        <w:t>tment involves some risks including, but not limited to, the risks described in Item 1A of our Annual Report on Form 10-K for the fiscal year ended January 30, 2022 and below. Additionally, any one of those risks could harm our business, financial conditio</w:t>
      </w:r>
      <w:r>
        <w:rPr>
          <w:rFonts w:ascii="sans-serif" w:eastAsia="sans-serif" w:hAnsi="sans-serif" w:cs="sans-serif"/>
          <w:color w:val="000000"/>
          <w:sz w:val="20"/>
          <w:szCs w:val="20"/>
        </w:rPr>
        <w:t>n and results of operations, which could cause our stock price to decline. Additional risks and uncertainties not presently known to us or that we currently deem immaterial may also impair our business operations.</w:t>
      </w:r>
    </w:p>
    <w:p w14:paraId="7C20915B" w14:textId="77777777" w:rsidR="00834A75" w:rsidRDefault="00A6708C">
      <w:pPr>
        <w:spacing w:before="120" w:after="120"/>
        <w:jc w:val="both"/>
      </w:pPr>
      <w:r>
        <w:rPr>
          <w:rFonts w:ascii="sans-serif" w:eastAsia="sans-serif" w:hAnsi="sans-serif" w:cs="sans-serif"/>
          <w:b/>
          <w:bCs/>
          <w:color w:val="000000"/>
          <w:sz w:val="20"/>
          <w:szCs w:val="20"/>
        </w:rPr>
        <w:t>If we fail to estimate customer demand pro</w:t>
      </w:r>
      <w:r>
        <w:rPr>
          <w:rFonts w:ascii="sans-serif" w:eastAsia="sans-serif" w:hAnsi="sans-serif" w:cs="sans-serif"/>
          <w:b/>
          <w:bCs/>
          <w:color w:val="000000"/>
          <w:sz w:val="20"/>
          <w:szCs w:val="20"/>
        </w:rPr>
        <w:t>perly, there may be a mismatch between supply and demand, and our financial results could be harmed.</w:t>
      </w:r>
    </w:p>
    <w:p w14:paraId="7C20915C" w14:textId="77777777" w:rsidR="00834A75" w:rsidRDefault="00A6708C">
      <w:pPr>
        <w:spacing w:after="180"/>
        <w:jc w:val="both"/>
      </w:pPr>
      <w:r>
        <w:rPr>
          <w:rFonts w:ascii="sans-serif" w:eastAsia="sans-serif" w:hAnsi="sans-serif" w:cs="sans-serif"/>
          <w:color w:val="000000"/>
          <w:sz w:val="20"/>
          <w:szCs w:val="20"/>
        </w:rPr>
        <w:t>Demand for our products is based on many factors, including our product introductions and transitions, time to market, competitor product releases and anno</w:t>
      </w:r>
      <w:r>
        <w:rPr>
          <w:rFonts w:ascii="sans-serif" w:eastAsia="sans-serif" w:hAnsi="sans-serif" w:cs="sans-serif"/>
          <w:color w:val="000000"/>
          <w:sz w:val="20"/>
          <w:szCs w:val="20"/>
        </w:rPr>
        <w:t>uncements, competing technologies, and changes in macroeconomic conditions, including rising inflation, all of which can impact the timing and volume of our revenue. Product transitions are complex and can negatively impact our revenue as we manage shipmen</w:t>
      </w:r>
      <w:r>
        <w:rPr>
          <w:rFonts w:ascii="sans-serif" w:eastAsia="sans-serif" w:hAnsi="sans-serif" w:cs="sans-serif"/>
          <w:color w:val="000000"/>
          <w:sz w:val="20"/>
          <w:szCs w:val="20"/>
        </w:rPr>
        <w:t>ts of legacy prior architecture products and channel partners prepare and adjust to support new products. We sell most of our products through channel partners, who sell to retailers, distributors, and/or end customers. As a result, the decisions made by o</w:t>
      </w:r>
      <w:r>
        <w:rPr>
          <w:rFonts w:ascii="sans-serif" w:eastAsia="sans-serif" w:hAnsi="sans-serif" w:cs="sans-serif"/>
          <w:color w:val="000000"/>
          <w:sz w:val="20"/>
          <w:szCs w:val="20"/>
        </w:rPr>
        <w:t xml:space="preserve">ur channel partners, retailers and distributors in response to changing market conditions and changes in end user demand for our products could impact our ability to properly forecast demand. </w:t>
      </w:r>
    </w:p>
    <w:p w14:paraId="7C20915D" w14:textId="77777777" w:rsidR="00834A75" w:rsidRDefault="00A6708C">
      <w:pPr>
        <w:spacing w:after="180"/>
        <w:jc w:val="both"/>
      </w:pPr>
      <w:r>
        <w:rPr>
          <w:rFonts w:ascii="sans-serif" w:eastAsia="sans-serif" w:hAnsi="sans-serif" w:cs="sans-serif"/>
          <w:color w:val="000000"/>
          <w:sz w:val="20"/>
          <w:szCs w:val="20"/>
        </w:rPr>
        <w:t xml:space="preserve">GPUs have use cases in addition to their designed and marketed </w:t>
      </w:r>
      <w:r>
        <w:rPr>
          <w:rFonts w:ascii="sans-serif" w:eastAsia="sans-serif" w:hAnsi="sans-serif" w:cs="sans-serif"/>
          <w:color w:val="000000"/>
          <w:sz w:val="20"/>
          <w:szCs w:val="20"/>
        </w:rPr>
        <w:t>use case, such as for digital currency mining, including blockchain-based platforms such as Ethereum. It is difficult for us to estimate with any reasonable degree of precision the past or current impact of cryptocurrency mining, or forecast the future imp</w:t>
      </w:r>
      <w:r>
        <w:rPr>
          <w:rFonts w:ascii="sans-serif" w:eastAsia="sans-serif" w:hAnsi="sans-serif" w:cs="sans-serif"/>
          <w:color w:val="000000"/>
          <w:sz w:val="20"/>
          <w:szCs w:val="20"/>
        </w:rPr>
        <w:t xml:space="preserve">act of cryptocurrency mining, on demand for our products. Volatility in the cryptocurrency market, including new compute technologies, price changes in cryptocurrencies, government cryptocurrency policies and regulations, new cryptocurrency standards, and </w:t>
      </w:r>
      <w:r>
        <w:rPr>
          <w:rFonts w:ascii="sans-serif" w:eastAsia="sans-serif" w:hAnsi="sans-serif" w:cs="sans-serif"/>
          <w:color w:val="000000"/>
          <w:sz w:val="20"/>
          <w:szCs w:val="20"/>
        </w:rPr>
        <w:t>changes in the method of verifying blockchain transactions, have impacted and can in the future impact cryptocurrency mining and demand for our products and can further impact our ability to estimate demand for our products. Changes to cryptocurrency stand</w:t>
      </w:r>
      <w:r>
        <w:rPr>
          <w:rFonts w:ascii="sans-serif" w:eastAsia="sans-serif" w:hAnsi="sans-serif" w:cs="sans-serif"/>
          <w:color w:val="000000"/>
          <w:sz w:val="20"/>
          <w:szCs w:val="20"/>
        </w:rPr>
        <w:t>ards and processes including, but not limited to, the pending Ethereum 2.0 standard may decrease the usage of GPUs for Ethereum mining as well as create increased aftermarket resales of our GPUs, impact retail prices for our GPUs, increase returns of our p</w:t>
      </w:r>
      <w:r>
        <w:rPr>
          <w:rFonts w:ascii="sans-serif" w:eastAsia="sans-serif" w:hAnsi="sans-serif" w:cs="sans-serif"/>
          <w:color w:val="000000"/>
          <w:sz w:val="20"/>
          <w:szCs w:val="20"/>
        </w:rPr>
        <w:t>roducts in the distribution channel, and may reduce demand for our new GPUs. We have introduced Lite Hash Rate, or LHR, GeForce GPUs with limited Ethereum mining capability and provided CMP products in an effort to address demand from gamers and direct min</w:t>
      </w:r>
      <w:r>
        <w:rPr>
          <w:rFonts w:ascii="sans-serif" w:eastAsia="sans-serif" w:hAnsi="sans-serif" w:cs="sans-serif"/>
          <w:color w:val="000000"/>
          <w:sz w:val="20"/>
          <w:szCs w:val="20"/>
        </w:rPr>
        <w:t>ers to CMP. Attempts in the aftermarket to improve the hash rate capabilities of our LHR cards have been successful and our gaming cards may become more attractive to miners, increasing demand for our gaming GPUs and limiting our ability to supply our gami</w:t>
      </w:r>
      <w:r>
        <w:rPr>
          <w:rFonts w:ascii="sans-serif" w:eastAsia="sans-serif" w:hAnsi="sans-serif" w:cs="sans-serif"/>
          <w:color w:val="000000"/>
          <w:sz w:val="20"/>
          <w:szCs w:val="20"/>
        </w:rPr>
        <w:t>ng cards to non-mining customers. We cannot predict whether our strategy of using LHR cards and CMP will achieve our desired outcome. In addition, our new products or previously sold products may be resold online or on the unauthorized “gray market,” which</w:t>
      </w:r>
      <w:r>
        <w:rPr>
          <w:rFonts w:ascii="sans-serif" w:eastAsia="sans-serif" w:hAnsi="sans-serif" w:cs="sans-serif"/>
          <w:color w:val="000000"/>
          <w:sz w:val="20"/>
          <w:szCs w:val="20"/>
        </w:rPr>
        <w:t xml:space="preserve"> also makes demand forecasting difficult. Gray market products or reseller marketplaces compete with our distribution channels.</w:t>
      </w:r>
    </w:p>
    <w:p w14:paraId="7C20915E" w14:textId="77777777" w:rsidR="00834A75" w:rsidRDefault="00A6708C">
      <w:pPr>
        <w:spacing w:after="180"/>
        <w:jc w:val="center"/>
      </w:pPr>
      <w:r>
        <w:rPr>
          <w:rFonts w:ascii="sans-serif" w:eastAsia="sans-serif" w:hAnsi="sans-serif" w:cs="sans-serif"/>
          <w:color w:val="000000"/>
          <w:sz w:val="20"/>
          <w:szCs w:val="20"/>
        </w:rPr>
        <w:t>30</w:t>
      </w:r>
    </w:p>
    <w:p w14:paraId="7C20915F" w14:textId="77777777" w:rsidR="00834A75" w:rsidRDefault="00A6708C">
      <w:r>
        <w:pict w14:anchorId="7C20936D">
          <v:rect id="_x0000_i1054" style="width:415.3pt;height:1.5pt" o:hralign="center" o:hrstd="t" o:hr="t" fillcolor="#a0a0a0" stroked="f"/>
        </w:pict>
      </w:r>
    </w:p>
    <w:p w14:paraId="7C209160" w14:textId="77777777" w:rsidR="00834A75" w:rsidRDefault="00834A75">
      <w:pPr>
        <w:spacing w:after="180"/>
        <w:jc w:val="both"/>
      </w:pPr>
    </w:p>
    <w:p w14:paraId="7C209161" w14:textId="77777777" w:rsidR="00834A75" w:rsidRDefault="00834A75">
      <w:pPr>
        <w:spacing w:after="180"/>
        <w:jc w:val="both"/>
      </w:pPr>
    </w:p>
    <w:p w14:paraId="7C209162" w14:textId="77777777" w:rsidR="00834A75" w:rsidRDefault="00834A75">
      <w:pPr>
        <w:spacing w:after="180"/>
        <w:jc w:val="both"/>
      </w:pPr>
    </w:p>
    <w:p w14:paraId="7C209163" w14:textId="77777777" w:rsidR="00834A75" w:rsidRDefault="00A6708C">
      <w:pPr>
        <w:spacing w:after="180"/>
        <w:jc w:val="both"/>
      </w:pPr>
      <w:r>
        <w:rPr>
          <w:rFonts w:ascii="sans-serif" w:eastAsia="sans-serif" w:hAnsi="sans-serif" w:cs="sans-serif"/>
          <w:color w:val="000000"/>
          <w:sz w:val="20"/>
          <w:szCs w:val="20"/>
        </w:rPr>
        <w:t>Consumer and enterprise behavior during the COVID-19 pandemic, such as increased demand for our Gaming, Data Center, and</w:t>
      </w:r>
      <w:r>
        <w:rPr>
          <w:rFonts w:ascii="sans-serif" w:eastAsia="sans-serif" w:hAnsi="sans-serif" w:cs="sans-serif"/>
          <w:color w:val="000000"/>
          <w:sz w:val="20"/>
          <w:szCs w:val="20"/>
        </w:rPr>
        <w:t xml:space="preserve"> workstation products, has made it more difficult for us to estimate future demand and may have changed pre-pandemic behaviors. These challenges may be more pronounced or volatile in the future on both a global and regional basis and may continue in the fu</w:t>
      </w:r>
      <w:r>
        <w:rPr>
          <w:rFonts w:ascii="sans-serif" w:eastAsia="sans-serif" w:hAnsi="sans-serif" w:cs="sans-serif"/>
          <w:color w:val="000000"/>
          <w:sz w:val="20"/>
          <w:szCs w:val="20"/>
        </w:rPr>
        <w:t>ture when the effects of the pandemic subside. Restrictions that may be imposed or reinstated as the pandemic continues, such as recent lockdown measures due to COVID-19 containment efforts in China, may negatively impact customer demand for our products.</w:t>
      </w:r>
    </w:p>
    <w:p w14:paraId="7C209164" w14:textId="77777777" w:rsidR="00834A75" w:rsidRDefault="00A6708C">
      <w:pPr>
        <w:spacing w:after="180"/>
        <w:jc w:val="both"/>
      </w:pPr>
      <w:r>
        <w:rPr>
          <w:rFonts w:ascii="sans-serif" w:eastAsia="sans-serif" w:hAnsi="sans-serif" w:cs="sans-serif"/>
          <w:color w:val="000000"/>
          <w:sz w:val="20"/>
          <w:szCs w:val="20"/>
        </w:rPr>
        <w:t>Our manufacturing lead times are very long and in some cases extend twelve months or longer, which requires us to make estimates of customers’ future demand. These conditions could lead to a significant mismatch between supply and demand, giving rise to pr</w:t>
      </w:r>
      <w:r>
        <w:rPr>
          <w:rFonts w:ascii="sans-serif" w:eastAsia="sans-serif" w:hAnsi="sans-serif" w:cs="sans-serif"/>
          <w:color w:val="000000"/>
          <w:sz w:val="20"/>
          <w:szCs w:val="20"/>
        </w:rPr>
        <w:t>oduct shortages or excess inventory. To shorten shipment lead times and deliver more quickly to our customers, we may build finished products and maintain inventory for anticipated demand that does not materialize. Demand for our products may be perishable</w:t>
      </w:r>
      <w:r>
        <w:rPr>
          <w:rFonts w:ascii="sans-serif" w:eastAsia="sans-serif" w:hAnsi="sans-serif" w:cs="sans-serif"/>
          <w:color w:val="000000"/>
          <w:sz w:val="20"/>
          <w:szCs w:val="20"/>
        </w:rPr>
        <w:t xml:space="preserve"> or may disappear. We may not be able to reduce our inventory purchase commitments if customers cancel or defer orders or choose to purchase from our competitors. We may write-down our inventory to the lower of cost or net realizable value or excess invent</w:t>
      </w:r>
      <w:r>
        <w:rPr>
          <w:rFonts w:ascii="sans-serif" w:eastAsia="sans-serif" w:hAnsi="sans-serif" w:cs="sans-serif"/>
          <w:color w:val="000000"/>
          <w:sz w:val="20"/>
          <w:szCs w:val="20"/>
        </w:rPr>
        <w:t xml:space="preserve">ory, and we could experience a reduction in average selling prices if we incorrectly forecast product demand. </w:t>
      </w:r>
    </w:p>
    <w:p w14:paraId="7C209165" w14:textId="77777777" w:rsidR="00834A75" w:rsidRDefault="00A6708C">
      <w:pPr>
        <w:spacing w:after="180"/>
        <w:jc w:val="both"/>
      </w:pPr>
      <w:r>
        <w:rPr>
          <w:rFonts w:ascii="sans-serif" w:eastAsia="sans-serif" w:hAnsi="sans-serif" w:cs="sans-serif"/>
          <w:color w:val="000000"/>
          <w:sz w:val="20"/>
          <w:szCs w:val="20"/>
        </w:rPr>
        <w:t>Situations that may result in excess inventory, cancellation penalties or related impairments include:</w:t>
      </w:r>
    </w:p>
    <w:p w14:paraId="7C209166" w14:textId="77777777" w:rsidR="00834A75" w:rsidRDefault="00A6708C">
      <w:pPr>
        <w:spacing w:after="180"/>
        <w:ind w:hanging="360"/>
        <w:jc w:val="both"/>
      </w:pPr>
      <w:r>
        <w:rPr>
          <w:rFonts w:ascii="sans-serif" w:eastAsia="sans-serif" w:hAnsi="sans-serif" w:cs="sans-serif"/>
          <w:color w:val="000000"/>
          <w:sz w:val="20"/>
          <w:szCs w:val="20"/>
        </w:rPr>
        <w:t xml:space="preserve">•changes in business and economic </w:t>
      </w:r>
      <w:r>
        <w:rPr>
          <w:rFonts w:ascii="sans-serif" w:eastAsia="sans-serif" w:hAnsi="sans-serif" w:cs="sans-serif"/>
          <w:color w:val="000000"/>
          <w:sz w:val="20"/>
          <w:szCs w:val="20"/>
        </w:rPr>
        <w:t>conditions resulting in decreased consumer confidence, including downturns in our target markets and/or overall economy, rising inflation, and changes in the credit market;</w:t>
      </w:r>
    </w:p>
    <w:p w14:paraId="7C209167" w14:textId="77777777" w:rsidR="00834A75" w:rsidRDefault="00A6708C">
      <w:pPr>
        <w:spacing w:after="180"/>
        <w:ind w:hanging="360"/>
        <w:jc w:val="both"/>
      </w:pPr>
      <w:r>
        <w:rPr>
          <w:rFonts w:ascii="sans-serif" w:eastAsia="sans-serif" w:hAnsi="sans-serif" w:cs="sans-serif"/>
          <w:color w:val="000000"/>
          <w:sz w:val="20"/>
          <w:szCs w:val="20"/>
        </w:rPr>
        <w:t>•sudden or sustained government lockdowns or actions to control COVID-19 case sprea</w:t>
      </w:r>
      <w:r>
        <w:rPr>
          <w:rFonts w:ascii="sans-serif" w:eastAsia="sans-serif" w:hAnsi="sans-serif" w:cs="sans-serif"/>
          <w:color w:val="000000"/>
          <w:sz w:val="20"/>
          <w:szCs w:val="20"/>
        </w:rPr>
        <w:t>d;</w:t>
      </w:r>
    </w:p>
    <w:p w14:paraId="7C209168" w14:textId="77777777" w:rsidR="00834A75" w:rsidRDefault="00A6708C">
      <w:pPr>
        <w:spacing w:after="180"/>
        <w:ind w:hanging="360"/>
        <w:jc w:val="both"/>
      </w:pPr>
      <w:r>
        <w:rPr>
          <w:rFonts w:ascii="sans-serif" w:eastAsia="sans-serif" w:hAnsi="sans-serif" w:cs="sans-serif"/>
          <w:color w:val="000000"/>
          <w:sz w:val="20"/>
          <w:szCs w:val="20"/>
        </w:rPr>
        <w:t>•higher incidence of inventory obsolescence because of rapidly changing technology or customer requirements;</w:t>
      </w:r>
    </w:p>
    <w:p w14:paraId="7C209169" w14:textId="77777777" w:rsidR="00834A75" w:rsidRDefault="00A6708C">
      <w:pPr>
        <w:spacing w:after="180"/>
        <w:ind w:hanging="360"/>
        <w:jc w:val="both"/>
      </w:pPr>
      <w:r>
        <w:rPr>
          <w:rFonts w:ascii="sans-serif" w:eastAsia="sans-serif" w:hAnsi="sans-serif" w:cs="sans-serif"/>
          <w:color w:val="000000"/>
          <w:sz w:val="20"/>
          <w:szCs w:val="20"/>
        </w:rPr>
        <w:t xml:space="preserve">•new product introductions resulting in less demand for existing products or inconsistent spikes in demand due to unexpected end use cases; </w:t>
      </w:r>
    </w:p>
    <w:p w14:paraId="7C20916A" w14:textId="77777777" w:rsidR="00834A75" w:rsidRDefault="00A6708C">
      <w:pPr>
        <w:spacing w:after="180"/>
        <w:ind w:hanging="360"/>
        <w:jc w:val="both"/>
      </w:pPr>
      <w:r>
        <w:rPr>
          <w:rFonts w:ascii="sans-serif" w:eastAsia="sans-serif" w:hAnsi="sans-serif" w:cs="sans-serif"/>
          <w:color w:val="000000"/>
          <w:sz w:val="20"/>
          <w:szCs w:val="20"/>
        </w:rPr>
        <w:t>•in</w:t>
      </w:r>
      <w:r>
        <w:rPr>
          <w:rFonts w:ascii="sans-serif" w:eastAsia="sans-serif" w:hAnsi="sans-serif" w:cs="sans-serif"/>
          <w:color w:val="000000"/>
          <w:sz w:val="20"/>
          <w:szCs w:val="20"/>
        </w:rPr>
        <w:t>crease in demand for competitive products, including competitive actions;</w:t>
      </w:r>
    </w:p>
    <w:p w14:paraId="7C20916B" w14:textId="77777777" w:rsidR="00834A75" w:rsidRDefault="00A6708C">
      <w:pPr>
        <w:spacing w:after="180"/>
        <w:ind w:hanging="360"/>
        <w:jc w:val="both"/>
      </w:pPr>
      <w:r>
        <w:rPr>
          <w:rFonts w:ascii="sans-serif" w:eastAsia="sans-serif" w:hAnsi="sans-serif" w:cs="sans-serif"/>
          <w:color w:val="000000"/>
          <w:sz w:val="20"/>
          <w:szCs w:val="20"/>
        </w:rPr>
        <w:t>•fluctuations in demand for our products related to cryptocurrency mining; or</w:t>
      </w:r>
    </w:p>
    <w:p w14:paraId="7C20916C" w14:textId="77777777" w:rsidR="00834A75" w:rsidRDefault="00A6708C">
      <w:pPr>
        <w:spacing w:after="180"/>
        <w:ind w:hanging="360"/>
        <w:jc w:val="both"/>
      </w:pPr>
      <w:r>
        <w:rPr>
          <w:rFonts w:ascii="sans-serif" w:eastAsia="sans-serif" w:hAnsi="sans-serif" w:cs="sans-serif"/>
          <w:color w:val="000000"/>
          <w:sz w:val="20"/>
          <w:szCs w:val="20"/>
        </w:rPr>
        <w:t xml:space="preserve">•decrease in future demand, decrease in the cost of supply chain materials, or changes in the design of </w:t>
      </w:r>
      <w:r>
        <w:rPr>
          <w:rFonts w:ascii="sans-serif" w:eastAsia="sans-serif" w:hAnsi="sans-serif" w:cs="sans-serif"/>
          <w:color w:val="000000"/>
          <w:sz w:val="20"/>
          <w:szCs w:val="20"/>
        </w:rPr>
        <w:t>future products where we have entered into long-term supply commitments, including prepayments, particularly to the extent we are placing orders well in advance of our historical lead times and/or before the design of those products is final.</w:t>
      </w:r>
    </w:p>
    <w:p w14:paraId="7C20916D" w14:textId="77777777" w:rsidR="00834A75" w:rsidRDefault="00A6708C">
      <w:pPr>
        <w:spacing w:after="180"/>
        <w:jc w:val="both"/>
      </w:pPr>
      <w:r>
        <w:rPr>
          <w:rFonts w:ascii="sans-serif" w:eastAsia="sans-serif" w:hAnsi="sans-serif" w:cs="sans-serif"/>
          <w:color w:val="000000"/>
          <w:sz w:val="20"/>
          <w:szCs w:val="20"/>
        </w:rPr>
        <w:t>Conversely, i</w:t>
      </w:r>
      <w:r>
        <w:rPr>
          <w:rFonts w:ascii="sans-serif" w:eastAsia="sans-serif" w:hAnsi="sans-serif" w:cs="sans-serif"/>
          <w:color w:val="000000"/>
          <w:sz w:val="20"/>
          <w:szCs w:val="20"/>
        </w:rPr>
        <w:t>f we underestimate our customers' demand for our products, our foundry partners may not have adequate lead-time or capacity to increase production and we may not be able to obtain sufficient inventory to fill orders on a timely basis. Recent COVID-19-relat</w:t>
      </w:r>
      <w:r>
        <w:rPr>
          <w:rFonts w:ascii="sans-serif" w:eastAsia="sans-serif" w:hAnsi="sans-serif" w:cs="sans-serif"/>
          <w:color w:val="000000"/>
          <w:sz w:val="20"/>
          <w:szCs w:val="20"/>
        </w:rPr>
        <w:t>ed disruptions and lockdowns in China have created and may continue to create supply and logistics constraints. The war in Ukraine has further strained global supply chains and could result in a shortage of key materials that our suppliers, including our f</w:t>
      </w:r>
      <w:r>
        <w:rPr>
          <w:rFonts w:ascii="sans-serif" w:eastAsia="sans-serif" w:hAnsi="sans-serif" w:cs="sans-serif"/>
          <w:color w:val="000000"/>
          <w:sz w:val="20"/>
          <w:szCs w:val="20"/>
        </w:rPr>
        <w:t>oundry partners, require to satisfy our needs. In the future, we may also face supply constraints caused by natural disasters or other events. Even if we are able to increase production levels to meet customer demand, we may not be able to do so in a cost-</w:t>
      </w:r>
      <w:r>
        <w:rPr>
          <w:rFonts w:ascii="sans-serif" w:eastAsia="sans-serif" w:hAnsi="sans-serif" w:cs="sans-serif"/>
          <w:color w:val="000000"/>
          <w:sz w:val="20"/>
          <w:szCs w:val="20"/>
        </w:rPr>
        <w:t>effective or timely manner, or our original equipment manufacturers may experience supply constraints. If we fail to fulfill our customers’ orders on a timely basis, or at all, our customer relationships could be damaged, we could lose revenue and market s</w:t>
      </w:r>
      <w:r>
        <w:rPr>
          <w:rFonts w:ascii="sans-serif" w:eastAsia="sans-serif" w:hAnsi="sans-serif" w:cs="sans-serif"/>
          <w:color w:val="000000"/>
          <w:sz w:val="20"/>
          <w:szCs w:val="20"/>
        </w:rPr>
        <w:t xml:space="preserve">hare and our reputation could be harmed. </w:t>
      </w:r>
    </w:p>
    <w:p w14:paraId="7C20916E" w14:textId="77777777" w:rsidR="00834A75" w:rsidRDefault="00A6708C">
      <w:pPr>
        <w:spacing w:after="180"/>
        <w:jc w:val="both"/>
      </w:pPr>
      <w:r>
        <w:rPr>
          <w:rFonts w:ascii="sans-serif" w:eastAsia="sans-serif" w:hAnsi="sans-serif" w:cs="sans-serif"/>
          <w:color w:val="000000"/>
          <w:sz w:val="20"/>
          <w:szCs w:val="20"/>
        </w:rPr>
        <w:t>In periods of shortages impacting the semiconductor industry and/or limited supply or capacity in our supply chain, as we are in today, we have placed orders for certain supply in advance of our historical lead tim</w:t>
      </w:r>
      <w:r>
        <w:rPr>
          <w:rFonts w:ascii="sans-serif" w:eastAsia="sans-serif" w:hAnsi="sans-serif" w:cs="sans-serif"/>
          <w:color w:val="000000"/>
          <w:sz w:val="20"/>
          <w:szCs w:val="20"/>
        </w:rPr>
        <w:t>es, paid premiums and provided deposits to secure future supply and capacity, and may need to continue to do so in the future. For example, while we previously placed orders with approximately six months’ lead time, we have begun placing orders at least tw</w:t>
      </w:r>
      <w:r>
        <w:rPr>
          <w:rFonts w:ascii="sans-serif" w:eastAsia="sans-serif" w:hAnsi="sans-serif" w:cs="sans-serif"/>
          <w:color w:val="000000"/>
          <w:sz w:val="20"/>
          <w:szCs w:val="20"/>
        </w:rPr>
        <w:t>elve months in advance. Our inventory and purchase commitments reflect our demand expectations for our future quarters and long-term supply and capacity needs. However, we may not be able to accurately predict when such periods of shortage will end, nor do</w:t>
      </w:r>
      <w:r>
        <w:rPr>
          <w:rFonts w:ascii="sans-serif" w:eastAsia="sans-serif" w:hAnsi="sans-serif" w:cs="sans-serif"/>
          <w:color w:val="000000"/>
          <w:sz w:val="20"/>
          <w:szCs w:val="20"/>
        </w:rPr>
        <w:t xml:space="preserve"> we know whether those inventory orders accurately address our current and future demand needs. These actions may increase our product costs, in addition to increased costs we have experienced driven by rising inflation, and result in excess inventory, can</w:t>
      </w:r>
      <w:r>
        <w:rPr>
          <w:rFonts w:ascii="sans-serif" w:eastAsia="sans-serif" w:hAnsi="sans-serif" w:cs="sans-serif"/>
          <w:color w:val="000000"/>
          <w:sz w:val="20"/>
          <w:szCs w:val="20"/>
        </w:rPr>
        <w:t>cellation penalties or other charges if there is a partial or complete reduction in long-term demand for our products, negatively impacting our gross margins and our overall financial results. Our supply deliveries and production may be non-linear within a</w:t>
      </w:r>
      <w:r>
        <w:rPr>
          <w:rFonts w:ascii="sans-serif" w:eastAsia="sans-serif" w:hAnsi="sans-serif" w:cs="sans-serif"/>
          <w:color w:val="000000"/>
          <w:sz w:val="20"/>
          <w:szCs w:val="20"/>
        </w:rPr>
        <w:t xml:space="preserve"> quarter or year which could cause changes to expected revenue or cash flows.</w:t>
      </w:r>
    </w:p>
    <w:p w14:paraId="7C20916F" w14:textId="77777777" w:rsidR="00834A75" w:rsidRDefault="00A6708C">
      <w:pPr>
        <w:spacing w:after="180"/>
        <w:jc w:val="center"/>
      </w:pPr>
      <w:r>
        <w:rPr>
          <w:rFonts w:ascii="sans-serif" w:eastAsia="sans-serif" w:hAnsi="sans-serif" w:cs="sans-serif"/>
          <w:color w:val="000000"/>
          <w:sz w:val="20"/>
          <w:szCs w:val="20"/>
        </w:rPr>
        <w:t>31</w:t>
      </w:r>
    </w:p>
    <w:p w14:paraId="7C209170" w14:textId="77777777" w:rsidR="00834A75" w:rsidRDefault="00A6708C">
      <w:r>
        <w:pict w14:anchorId="7C20936E">
          <v:rect id="_x0000_i1055" style="width:415.3pt;height:1.5pt" o:hralign="center" o:hrstd="t" o:hr="t" fillcolor="#a0a0a0" stroked="f"/>
        </w:pict>
      </w:r>
    </w:p>
    <w:p w14:paraId="7C209171" w14:textId="77777777" w:rsidR="00834A75" w:rsidRDefault="00834A75">
      <w:pPr>
        <w:spacing w:after="180"/>
        <w:jc w:val="both"/>
      </w:pPr>
    </w:p>
    <w:p w14:paraId="7C209172" w14:textId="77777777" w:rsidR="00834A75" w:rsidRDefault="00834A75">
      <w:pPr>
        <w:spacing w:after="180"/>
        <w:jc w:val="both"/>
      </w:pPr>
    </w:p>
    <w:p w14:paraId="7C209173" w14:textId="77777777" w:rsidR="00834A75" w:rsidRDefault="00834A75">
      <w:pPr>
        <w:spacing w:after="180"/>
        <w:jc w:val="both"/>
      </w:pPr>
    </w:p>
    <w:p w14:paraId="7C209174" w14:textId="77777777" w:rsidR="00834A75" w:rsidRDefault="00A6708C">
      <w:pPr>
        <w:spacing w:before="120" w:after="120"/>
        <w:jc w:val="both"/>
      </w:pPr>
      <w:r>
        <w:rPr>
          <w:rFonts w:ascii="sans-serif" w:eastAsia="sans-serif" w:hAnsi="sans-serif" w:cs="sans-serif"/>
          <w:b/>
          <w:bCs/>
          <w:color w:val="000000"/>
          <w:sz w:val="20"/>
          <w:szCs w:val="20"/>
        </w:rPr>
        <w:t>We are subject to risks and uncertainties associated with international operations, including adverse economic conditions, which may harm our business.</w:t>
      </w:r>
    </w:p>
    <w:p w14:paraId="7C209175" w14:textId="77777777" w:rsidR="00834A75" w:rsidRDefault="00A6708C">
      <w:pPr>
        <w:spacing w:before="120" w:after="120"/>
        <w:jc w:val="both"/>
      </w:pPr>
      <w:r>
        <w:rPr>
          <w:rFonts w:ascii="sans-serif" w:eastAsia="sans-serif" w:hAnsi="sans-serif" w:cs="sans-serif"/>
          <w:color w:val="000000"/>
          <w:sz w:val="20"/>
          <w:szCs w:val="20"/>
        </w:rPr>
        <w:t>We conduct our bus</w:t>
      </w:r>
      <w:r>
        <w:rPr>
          <w:rFonts w:ascii="sans-serif" w:eastAsia="sans-serif" w:hAnsi="sans-serif" w:cs="sans-serif"/>
          <w:color w:val="000000"/>
          <w:sz w:val="20"/>
          <w:szCs w:val="20"/>
        </w:rPr>
        <w:t>iness and have offices worldwide. Our semiconductor wafers are manufactured, assembled, tested and packaged by third parties located outside of the United States and we generated 77% of our revenue for the first quarter of fiscal year 2023 from sales outsi</w:t>
      </w:r>
      <w:r>
        <w:rPr>
          <w:rFonts w:ascii="sans-serif" w:eastAsia="sans-serif" w:hAnsi="sans-serif" w:cs="sans-serif"/>
          <w:color w:val="000000"/>
          <w:sz w:val="20"/>
          <w:szCs w:val="20"/>
        </w:rPr>
        <w:t>de of the United States. The global nature of our business subjects us to a number of risks and uncertainties, which could have a material adverse effect on our business, financial condition and results of operations, including:</w:t>
      </w:r>
    </w:p>
    <w:p w14:paraId="7C209176" w14:textId="77777777" w:rsidR="00834A75" w:rsidRDefault="00A6708C">
      <w:pPr>
        <w:spacing w:after="180"/>
        <w:ind w:hanging="360"/>
        <w:jc w:val="both"/>
      </w:pPr>
      <w:r>
        <w:rPr>
          <w:rFonts w:ascii="sans-serif" w:eastAsia="sans-serif" w:hAnsi="sans-serif" w:cs="sans-serif"/>
          <w:color w:val="000000"/>
          <w:sz w:val="20"/>
          <w:szCs w:val="20"/>
        </w:rPr>
        <w:t>•domestic and international</w:t>
      </w:r>
      <w:r>
        <w:rPr>
          <w:rFonts w:ascii="sans-serif" w:eastAsia="sans-serif" w:hAnsi="sans-serif" w:cs="sans-serif"/>
          <w:color w:val="000000"/>
          <w:sz w:val="20"/>
          <w:szCs w:val="20"/>
        </w:rPr>
        <w:t xml:space="preserve"> economic and political conditions between countries in which we do business;</w:t>
      </w:r>
    </w:p>
    <w:p w14:paraId="7C209177" w14:textId="77777777" w:rsidR="00834A75" w:rsidRDefault="00A6708C">
      <w:pPr>
        <w:spacing w:after="180"/>
        <w:ind w:hanging="360"/>
        <w:jc w:val="both"/>
      </w:pPr>
      <w:r>
        <w:rPr>
          <w:rFonts w:ascii="sans-serif" w:eastAsia="sans-serif" w:hAnsi="sans-serif" w:cs="sans-serif"/>
          <w:color w:val="000000"/>
          <w:sz w:val="20"/>
          <w:szCs w:val="20"/>
        </w:rPr>
        <w:t>•government lockdowns to control COVID-19 cases;</w:t>
      </w:r>
    </w:p>
    <w:p w14:paraId="7C209178" w14:textId="77777777" w:rsidR="00834A75" w:rsidRDefault="00A6708C">
      <w:pPr>
        <w:spacing w:after="180"/>
        <w:ind w:hanging="360"/>
        <w:jc w:val="both"/>
      </w:pPr>
      <w:r>
        <w:rPr>
          <w:rFonts w:ascii="sans-serif" w:eastAsia="sans-serif" w:hAnsi="sans-serif" w:cs="sans-serif"/>
          <w:color w:val="000000"/>
          <w:sz w:val="20"/>
          <w:szCs w:val="20"/>
        </w:rPr>
        <w:t>•differing legal standards with respect to protection of IP and employment practices;</w:t>
      </w:r>
    </w:p>
    <w:p w14:paraId="7C209179" w14:textId="77777777" w:rsidR="00834A75" w:rsidRDefault="00A6708C">
      <w:pPr>
        <w:spacing w:after="180"/>
        <w:ind w:hanging="360"/>
        <w:jc w:val="both"/>
      </w:pPr>
      <w:r>
        <w:rPr>
          <w:rFonts w:ascii="sans-serif" w:eastAsia="sans-serif" w:hAnsi="sans-serif" w:cs="sans-serif"/>
          <w:color w:val="000000"/>
          <w:sz w:val="20"/>
          <w:szCs w:val="20"/>
        </w:rPr>
        <w:t>•domestic and international business and cu</w:t>
      </w:r>
      <w:r>
        <w:rPr>
          <w:rFonts w:ascii="sans-serif" w:eastAsia="sans-serif" w:hAnsi="sans-serif" w:cs="sans-serif"/>
          <w:color w:val="000000"/>
          <w:sz w:val="20"/>
          <w:szCs w:val="20"/>
        </w:rPr>
        <w:t>ltural practices that differ;</w:t>
      </w:r>
    </w:p>
    <w:p w14:paraId="7C20917A" w14:textId="77777777" w:rsidR="00834A75" w:rsidRDefault="00A6708C">
      <w:pPr>
        <w:spacing w:after="180"/>
        <w:ind w:hanging="360"/>
        <w:jc w:val="both"/>
      </w:pPr>
      <w:r>
        <w:rPr>
          <w:rFonts w:ascii="sans-serif" w:eastAsia="sans-serif" w:hAnsi="sans-serif" w:cs="sans-serif"/>
          <w:color w:val="000000"/>
          <w:sz w:val="20"/>
          <w:szCs w:val="20"/>
        </w:rPr>
        <w:t>•disruptions to capital markets and/or currency fluctuations; and</w:t>
      </w:r>
    </w:p>
    <w:p w14:paraId="7C20917B" w14:textId="77777777" w:rsidR="00834A75" w:rsidRDefault="00A6708C">
      <w:pPr>
        <w:spacing w:after="180"/>
        <w:ind w:hanging="360"/>
        <w:jc w:val="both"/>
      </w:pPr>
      <w:r>
        <w:rPr>
          <w:rFonts w:ascii="sans-serif" w:eastAsia="sans-serif" w:hAnsi="sans-serif" w:cs="sans-serif"/>
          <w:color w:val="000000"/>
          <w:sz w:val="20"/>
          <w:szCs w:val="20"/>
        </w:rPr>
        <w:t>•natural disasters, acts of war or other military actions, terrorism, public health issues, and other catastrophic events.</w:t>
      </w:r>
    </w:p>
    <w:p w14:paraId="7C20917C" w14:textId="77777777" w:rsidR="00834A75" w:rsidRDefault="00A6708C">
      <w:pPr>
        <w:spacing w:after="180"/>
        <w:jc w:val="both"/>
      </w:pPr>
      <w:r>
        <w:rPr>
          <w:rFonts w:ascii="sans-serif" w:eastAsia="sans-serif" w:hAnsi="sans-serif" w:cs="sans-serif"/>
          <w:color w:val="000000"/>
          <w:sz w:val="20"/>
          <w:szCs w:val="20"/>
        </w:rPr>
        <w:t>Adverse changes in global, regional o</w:t>
      </w:r>
      <w:r>
        <w:rPr>
          <w:rFonts w:ascii="sans-serif" w:eastAsia="sans-serif" w:hAnsi="sans-serif" w:cs="sans-serif"/>
          <w:color w:val="000000"/>
          <w:sz w:val="20"/>
          <w:szCs w:val="20"/>
        </w:rPr>
        <w:t>r local economic conditions, including recession or slowing growth, the COVID-19 pandemic or other global or local health issues, changes or uncertainty in fiscal, monetary, or trade policy, higher interest rates, tighter credit, inflation, lower capital e</w:t>
      </w:r>
      <w:r>
        <w:rPr>
          <w:rFonts w:ascii="sans-serif" w:eastAsia="sans-serif" w:hAnsi="sans-serif" w:cs="sans-serif"/>
          <w:color w:val="000000"/>
          <w:sz w:val="20"/>
          <w:szCs w:val="20"/>
        </w:rPr>
        <w:t>xpenditures by businesses including on IT infrastructure, increases in unemployment, and lower consumer confidence and spending, periodically occur. Increased costs for wafers, components, logistics, and other supply chain expenses, driven in part by infla</w:t>
      </w:r>
      <w:r>
        <w:rPr>
          <w:rFonts w:ascii="sans-serif" w:eastAsia="sans-serif" w:hAnsi="sans-serif" w:cs="sans-serif"/>
          <w:color w:val="000000"/>
          <w:sz w:val="20"/>
          <w:szCs w:val="20"/>
        </w:rPr>
        <w:t>tion, have negatively impacted our gross margin and may continue to impact our gross margin. Inflation may also continue to cause increased supply, employee, facilities and infrastructure costs, decreased demand for our products, and volatility in the fina</w:t>
      </w:r>
      <w:r>
        <w:rPr>
          <w:rFonts w:ascii="sans-serif" w:eastAsia="sans-serif" w:hAnsi="sans-serif" w:cs="sans-serif"/>
          <w:color w:val="000000"/>
          <w:sz w:val="20"/>
          <w:szCs w:val="20"/>
        </w:rPr>
        <w:t>ncial markets. To the extent such inflation continues, increases or both, it may reduce our margins and have a material adverse effect on our financial performance.</w:t>
      </w:r>
    </w:p>
    <w:p w14:paraId="7C20917D" w14:textId="77777777" w:rsidR="00834A75" w:rsidRDefault="00A6708C">
      <w:pPr>
        <w:spacing w:after="180"/>
        <w:jc w:val="both"/>
      </w:pPr>
      <w:r>
        <w:rPr>
          <w:rFonts w:ascii="sans-serif" w:eastAsia="sans-serif" w:hAnsi="sans-serif" w:cs="sans-serif"/>
          <w:color w:val="000000"/>
          <w:sz w:val="20"/>
          <w:szCs w:val="20"/>
        </w:rPr>
        <w:t>Economic and industry uncertainty or changes could have adverse, wide-ranging effects on ou</w:t>
      </w:r>
      <w:r>
        <w:rPr>
          <w:rFonts w:ascii="sans-serif" w:eastAsia="sans-serif" w:hAnsi="sans-serif" w:cs="sans-serif"/>
          <w:color w:val="000000"/>
          <w:sz w:val="20"/>
          <w:szCs w:val="20"/>
        </w:rPr>
        <w:t>r business and financial results, including:</w:t>
      </w:r>
    </w:p>
    <w:p w14:paraId="7C20917E" w14:textId="77777777" w:rsidR="00834A75" w:rsidRDefault="00A6708C">
      <w:pPr>
        <w:spacing w:after="180"/>
        <w:ind w:hanging="360"/>
        <w:jc w:val="both"/>
      </w:pPr>
      <w:r>
        <w:rPr>
          <w:rFonts w:ascii="sans-serif" w:eastAsia="sans-serif" w:hAnsi="sans-serif" w:cs="sans-serif"/>
          <w:color w:val="000000"/>
          <w:sz w:val="20"/>
          <w:szCs w:val="20"/>
        </w:rPr>
        <w:t xml:space="preserve">•decrease in demand for our products, services and technologies and those of our customers or licensees; </w:t>
      </w:r>
    </w:p>
    <w:p w14:paraId="7C20917F" w14:textId="77777777" w:rsidR="00834A75" w:rsidRDefault="00A6708C">
      <w:pPr>
        <w:spacing w:after="180"/>
        <w:ind w:hanging="360"/>
        <w:jc w:val="both"/>
      </w:pPr>
      <w:r>
        <w:rPr>
          <w:rFonts w:ascii="sans-serif" w:eastAsia="sans-serif" w:hAnsi="sans-serif" w:cs="sans-serif"/>
          <w:color w:val="000000"/>
          <w:sz w:val="20"/>
          <w:szCs w:val="20"/>
        </w:rPr>
        <w:t xml:space="preserve">•the inability of our suppliers to deliver on their supply commitments to us; </w:t>
      </w:r>
    </w:p>
    <w:p w14:paraId="7C209180" w14:textId="77777777" w:rsidR="00834A75" w:rsidRDefault="00A6708C">
      <w:pPr>
        <w:spacing w:after="180"/>
        <w:ind w:hanging="360"/>
        <w:jc w:val="both"/>
      </w:pPr>
      <w:r>
        <w:rPr>
          <w:rFonts w:ascii="sans-serif" w:eastAsia="sans-serif" w:hAnsi="sans-serif" w:cs="sans-serif"/>
          <w:color w:val="000000"/>
          <w:sz w:val="20"/>
          <w:szCs w:val="20"/>
        </w:rPr>
        <w:t xml:space="preserve">•our customers’ or our licensees’ inability to supply products to customers and/or end users; </w:t>
      </w:r>
    </w:p>
    <w:p w14:paraId="7C209181" w14:textId="77777777" w:rsidR="00834A75" w:rsidRDefault="00A6708C">
      <w:pPr>
        <w:spacing w:after="180"/>
        <w:ind w:hanging="360"/>
        <w:jc w:val="both"/>
      </w:pPr>
      <w:r>
        <w:rPr>
          <w:rFonts w:ascii="sans-serif" w:eastAsia="sans-serif" w:hAnsi="sans-serif" w:cs="sans-serif"/>
          <w:color w:val="000000"/>
          <w:sz w:val="20"/>
          <w:szCs w:val="20"/>
        </w:rPr>
        <w:t xml:space="preserve">•the insolvency of key suppliers, distributors, customers or licensees; </w:t>
      </w:r>
    </w:p>
    <w:p w14:paraId="7C209182" w14:textId="77777777" w:rsidR="00834A75" w:rsidRDefault="00A6708C">
      <w:pPr>
        <w:spacing w:after="180"/>
        <w:ind w:hanging="360"/>
        <w:jc w:val="both"/>
      </w:pPr>
      <w:r>
        <w:rPr>
          <w:rFonts w:ascii="sans-serif" w:eastAsia="sans-serif" w:hAnsi="sans-serif" w:cs="sans-serif"/>
          <w:color w:val="000000"/>
          <w:sz w:val="20"/>
          <w:szCs w:val="20"/>
        </w:rPr>
        <w:t>•limits o</w:t>
      </w:r>
      <w:r>
        <w:rPr>
          <w:rFonts w:ascii="sans-serif" w:eastAsia="sans-serif" w:hAnsi="sans-serif" w:cs="sans-serif"/>
          <w:color w:val="000000"/>
          <w:sz w:val="20"/>
          <w:szCs w:val="20"/>
        </w:rPr>
        <w:t xml:space="preserve">n our ability to forecast operating results and make business decisions; </w:t>
      </w:r>
    </w:p>
    <w:p w14:paraId="7C209183" w14:textId="77777777" w:rsidR="00834A75" w:rsidRDefault="00A6708C">
      <w:pPr>
        <w:spacing w:after="180"/>
        <w:ind w:hanging="360"/>
        <w:jc w:val="both"/>
      </w:pPr>
      <w:r>
        <w:rPr>
          <w:rFonts w:ascii="sans-serif" w:eastAsia="sans-serif" w:hAnsi="sans-serif" w:cs="sans-serif"/>
          <w:color w:val="000000"/>
          <w:sz w:val="20"/>
          <w:szCs w:val="20"/>
        </w:rPr>
        <w:t xml:space="preserve">•difficulties in obtaining capital; </w:t>
      </w:r>
    </w:p>
    <w:p w14:paraId="7C209184" w14:textId="77777777" w:rsidR="00834A75" w:rsidRDefault="00A6708C">
      <w:pPr>
        <w:spacing w:after="180"/>
        <w:ind w:hanging="360"/>
        <w:jc w:val="both"/>
      </w:pPr>
      <w:r>
        <w:rPr>
          <w:rFonts w:ascii="sans-serif" w:eastAsia="sans-serif" w:hAnsi="sans-serif" w:cs="sans-serif"/>
          <w:color w:val="000000"/>
          <w:sz w:val="20"/>
          <w:szCs w:val="20"/>
        </w:rPr>
        <w:t>•reduced profitability may also cause some customers to scale back operations, exit businesses, merge with other manufacturers, or file for bankr</w:t>
      </w:r>
      <w:r>
        <w:rPr>
          <w:rFonts w:ascii="sans-serif" w:eastAsia="sans-serif" w:hAnsi="sans-serif" w:cs="sans-serif"/>
          <w:color w:val="000000"/>
          <w:sz w:val="20"/>
          <w:szCs w:val="20"/>
        </w:rPr>
        <w:t>uptcy protection and potentially cease operations;</w:t>
      </w:r>
    </w:p>
    <w:p w14:paraId="7C209185" w14:textId="77777777" w:rsidR="00834A75" w:rsidRDefault="00A6708C">
      <w:pPr>
        <w:spacing w:after="180"/>
        <w:ind w:hanging="360"/>
        <w:jc w:val="both"/>
      </w:pPr>
      <w:r>
        <w:rPr>
          <w:rFonts w:ascii="sans-serif" w:eastAsia="sans-serif" w:hAnsi="sans-serif" w:cs="sans-serif"/>
          <w:color w:val="000000"/>
          <w:sz w:val="20"/>
          <w:szCs w:val="20"/>
        </w:rPr>
        <w:t>•lead to consolidation or strategic alliances among other equipment manufacturers, which could adversely affect our ability to compete effectively; and</w:t>
      </w:r>
    </w:p>
    <w:p w14:paraId="7C209186" w14:textId="77777777" w:rsidR="00834A75" w:rsidRDefault="00A6708C">
      <w:pPr>
        <w:spacing w:after="180"/>
        <w:ind w:hanging="360"/>
        <w:jc w:val="both"/>
      </w:pPr>
      <w:r>
        <w:rPr>
          <w:rFonts w:ascii="sans-serif" w:eastAsia="sans-serif" w:hAnsi="sans-serif" w:cs="sans-serif"/>
          <w:color w:val="000000"/>
          <w:sz w:val="20"/>
          <w:szCs w:val="20"/>
        </w:rPr>
        <w:t>•increased credit and collectability risks, higher bo</w:t>
      </w:r>
      <w:r>
        <w:rPr>
          <w:rFonts w:ascii="sans-serif" w:eastAsia="sans-serif" w:hAnsi="sans-serif" w:cs="sans-serif"/>
          <w:color w:val="000000"/>
          <w:sz w:val="20"/>
          <w:szCs w:val="20"/>
        </w:rPr>
        <w:t>rrowing costs or reduced availability of capital markets, reduced liquidity, adverse impacts on our suppliers, failures of counterparties including financial institutions and insurers, asset impairments, and declines in the value of our financial instrumen</w:t>
      </w:r>
      <w:r>
        <w:rPr>
          <w:rFonts w:ascii="sans-serif" w:eastAsia="sans-serif" w:hAnsi="sans-serif" w:cs="sans-serif"/>
          <w:color w:val="000000"/>
          <w:sz w:val="20"/>
          <w:szCs w:val="20"/>
        </w:rPr>
        <w:t>ts.</w:t>
      </w:r>
    </w:p>
    <w:p w14:paraId="7C209187" w14:textId="77777777" w:rsidR="00834A75" w:rsidRDefault="00A6708C">
      <w:pPr>
        <w:spacing w:after="180"/>
        <w:jc w:val="both"/>
      </w:pPr>
      <w:r>
        <w:rPr>
          <w:rFonts w:ascii="sans-serif" w:eastAsia="sans-serif" w:hAnsi="sans-serif" w:cs="sans-serif"/>
          <w:color w:val="000000"/>
          <w:sz w:val="20"/>
          <w:szCs w:val="20"/>
        </w:rPr>
        <w:t>We have engineering, sales support operations and manufacturing located in Israel. The State of Israel and companies with business in Israel have been and could in future be the subject of an economic boycott. Other countries have and may continue in t</w:t>
      </w:r>
      <w:r>
        <w:rPr>
          <w:rFonts w:ascii="sans-serif" w:eastAsia="sans-serif" w:hAnsi="sans-serif" w:cs="sans-serif"/>
          <w:color w:val="000000"/>
          <w:sz w:val="20"/>
          <w:szCs w:val="20"/>
        </w:rPr>
        <w:t>he future restrict business with the State of Israel and companies with Israeli operations. Such laws and policies may have adverse effect on our business, financial condition and results of operations.</w:t>
      </w:r>
    </w:p>
    <w:p w14:paraId="7C209188" w14:textId="77777777" w:rsidR="00834A75" w:rsidRDefault="00834A75">
      <w:pPr>
        <w:spacing w:before="120" w:after="120"/>
        <w:jc w:val="both"/>
      </w:pPr>
    </w:p>
    <w:p w14:paraId="7C209189" w14:textId="77777777" w:rsidR="00834A75" w:rsidRDefault="00A6708C">
      <w:pPr>
        <w:spacing w:after="180"/>
        <w:jc w:val="center"/>
      </w:pPr>
      <w:r>
        <w:rPr>
          <w:rFonts w:ascii="sans-serif" w:eastAsia="sans-serif" w:hAnsi="sans-serif" w:cs="sans-serif"/>
          <w:color w:val="000000"/>
          <w:sz w:val="20"/>
          <w:szCs w:val="20"/>
        </w:rPr>
        <w:t>32</w:t>
      </w:r>
    </w:p>
    <w:p w14:paraId="7C20918A" w14:textId="77777777" w:rsidR="00834A75" w:rsidRDefault="00A6708C">
      <w:r>
        <w:pict w14:anchorId="7C20936F">
          <v:rect id="_x0000_i1056" style="width:415.3pt;height:1.5pt" o:hralign="center" o:hrstd="t" o:hr="t" fillcolor="#a0a0a0" stroked="f"/>
        </w:pict>
      </w:r>
    </w:p>
    <w:p w14:paraId="7C20918B" w14:textId="77777777" w:rsidR="00834A75" w:rsidRDefault="00834A75">
      <w:pPr>
        <w:spacing w:after="180"/>
        <w:jc w:val="both"/>
      </w:pPr>
    </w:p>
    <w:p w14:paraId="7C20918C" w14:textId="77777777" w:rsidR="00834A75" w:rsidRDefault="00834A75">
      <w:pPr>
        <w:spacing w:after="180"/>
        <w:jc w:val="both"/>
      </w:pPr>
    </w:p>
    <w:p w14:paraId="7C20918D" w14:textId="77777777" w:rsidR="00834A75" w:rsidRDefault="00834A75">
      <w:pPr>
        <w:spacing w:after="180"/>
        <w:jc w:val="both"/>
      </w:pPr>
    </w:p>
    <w:p w14:paraId="7C20918E" w14:textId="77777777" w:rsidR="00834A75" w:rsidRDefault="00A6708C">
      <w:pPr>
        <w:spacing w:before="120" w:after="120"/>
        <w:jc w:val="both"/>
      </w:pPr>
      <w:r>
        <w:rPr>
          <w:rFonts w:ascii="sans-serif" w:eastAsia="sans-serif" w:hAnsi="sans-serif" w:cs="sans-serif"/>
          <w:b/>
          <w:bCs/>
          <w:color w:val="000000"/>
          <w:sz w:val="20"/>
          <w:szCs w:val="20"/>
        </w:rPr>
        <w:t>Business disruptions could harm our operatio</w:t>
      </w:r>
      <w:r>
        <w:rPr>
          <w:rFonts w:ascii="sans-serif" w:eastAsia="sans-serif" w:hAnsi="sans-serif" w:cs="sans-serif"/>
          <w:b/>
          <w:bCs/>
          <w:color w:val="000000"/>
          <w:sz w:val="20"/>
          <w:szCs w:val="20"/>
        </w:rPr>
        <w:t>ns, lead to a decline in revenue and increase our costs.</w:t>
      </w:r>
    </w:p>
    <w:p w14:paraId="7C20918F" w14:textId="77777777" w:rsidR="00834A75" w:rsidRDefault="00A6708C">
      <w:pPr>
        <w:spacing w:after="180"/>
        <w:jc w:val="both"/>
      </w:pPr>
      <w:r>
        <w:rPr>
          <w:rFonts w:ascii="sans-serif" w:eastAsia="sans-serif" w:hAnsi="sans-serif" w:cs="sans-serif"/>
          <w:color w:val="000000"/>
          <w:sz w:val="20"/>
          <w:szCs w:val="20"/>
        </w:rPr>
        <w:t>Our worldwide operations could be disrupted by natural disasters and extreme weather conditions, power or water shortages, telecommunications failures, cloud service provider outages, terrorist attac</w:t>
      </w:r>
      <w:r>
        <w:rPr>
          <w:rFonts w:ascii="sans-serif" w:eastAsia="sans-serif" w:hAnsi="sans-serif" w:cs="sans-serif"/>
          <w:color w:val="000000"/>
          <w:sz w:val="20"/>
          <w:szCs w:val="20"/>
        </w:rPr>
        <w:t>ks, or acts of violence, political and/or civil unrest, acts of war or other military actions, epidemics or pandemics and other natural or man-made disasters and catastrophic events. Our corporate headquarters, a large portion of our current data center ca</w:t>
      </w:r>
      <w:r>
        <w:rPr>
          <w:rFonts w:ascii="sans-serif" w:eastAsia="sans-serif" w:hAnsi="sans-serif" w:cs="sans-serif"/>
          <w:color w:val="000000"/>
          <w:sz w:val="20"/>
          <w:szCs w:val="20"/>
        </w:rPr>
        <w:t>pacity, and a portion of our research and development activities are located in California, and other critical business operations, finished goods inventory, and some of our suppliers are located in Asia, making our operations vulnerable to natural disaste</w:t>
      </w:r>
      <w:r>
        <w:rPr>
          <w:rFonts w:ascii="sans-serif" w:eastAsia="sans-serif" w:hAnsi="sans-serif" w:cs="sans-serif"/>
          <w:color w:val="000000"/>
          <w:sz w:val="20"/>
          <w:szCs w:val="20"/>
        </w:rPr>
        <w:t>rs such as earthquakes, wildfires, or other business disruptions occurring in these geographical areas. Catastrophic events can also have an impact on third-party vendors who provide us critical infrastructure services for IT and research and development s</w:t>
      </w:r>
      <w:r>
        <w:rPr>
          <w:rFonts w:ascii="sans-serif" w:eastAsia="sans-serif" w:hAnsi="sans-serif" w:cs="sans-serif"/>
          <w:color w:val="000000"/>
          <w:sz w:val="20"/>
          <w:szCs w:val="20"/>
        </w:rPr>
        <w:t>ystems and personnel. Geopolitical and domestic political developments and other events beyond our control, can increase economic volatility globally. Political instability, changes in government or adverse political developments in or around any of the ma</w:t>
      </w:r>
      <w:r>
        <w:rPr>
          <w:rFonts w:ascii="sans-serif" w:eastAsia="sans-serif" w:hAnsi="sans-serif" w:cs="sans-serif"/>
          <w:color w:val="000000"/>
          <w:sz w:val="20"/>
          <w:szCs w:val="20"/>
        </w:rPr>
        <w:t>jor countries in which we do business would also likely harm our business, financial condition and results of operations. Our operations could be harmed and our costs could increase if manufacturing, logistics or other operations are disrupted for any reas</w:t>
      </w:r>
      <w:r>
        <w:rPr>
          <w:rFonts w:ascii="sans-serif" w:eastAsia="sans-serif" w:hAnsi="sans-serif" w:cs="sans-serif"/>
          <w:color w:val="000000"/>
          <w:sz w:val="20"/>
          <w:szCs w:val="20"/>
        </w:rPr>
        <w:t>on, including natural disasters, high heat events or water shortages, information technology system failures, military actions or economic, business, labor, environmental, public health, or political issues. For example, the war in Ukraine has had and will</w:t>
      </w:r>
      <w:r>
        <w:rPr>
          <w:rFonts w:ascii="sans-serif" w:eastAsia="sans-serif" w:hAnsi="sans-serif" w:cs="sans-serif"/>
          <w:color w:val="000000"/>
          <w:sz w:val="20"/>
          <w:szCs w:val="20"/>
        </w:rPr>
        <w:t xml:space="preserve"> likely continue to have a negative impact on our employees or operations both within and outside Russia and Ukraine. Additionally, the ongoing war could result in a shortage of key materials that our suppliers, including our foundry partners, require to s</w:t>
      </w:r>
      <w:r>
        <w:rPr>
          <w:rFonts w:ascii="sans-serif" w:eastAsia="sans-serif" w:hAnsi="sans-serif" w:cs="sans-serif"/>
          <w:color w:val="000000"/>
          <w:sz w:val="20"/>
          <w:szCs w:val="20"/>
        </w:rPr>
        <w:t>atisfy our needs. The ultimate impact on us, our third-party foundries and other suppliers of being located and consolidated in certain geographical areas is unknown. In the event a disaster, war or catastrophic event affects us, the third-party systems on</w:t>
      </w:r>
      <w:r>
        <w:rPr>
          <w:rFonts w:ascii="sans-serif" w:eastAsia="sans-serif" w:hAnsi="sans-serif" w:cs="sans-serif"/>
          <w:color w:val="000000"/>
          <w:sz w:val="20"/>
          <w:szCs w:val="20"/>
        </w:rPr>
        <w:t xml:space="preserve"> which we rely, or our customers, our business could be harmed as a result of declines in revenue, increases in expenses, and substantial expenditures and time spent to fully resume operations. All of these risks and conditions could materially adversely a</w:t>
      </w:r>
      <w:r>
        <w:rPr>
          <w:rFonts w:ascii="sans-serif" w:eastAsia="sans-serif" w:hAnsi="sans-serif" w:cs="sans-serif"/>
          <w:color w:val="000000"/>
          <w:sz w:val="20"/>
          <w:szCs w:val="20"/>
        </w:rPr>
        <w:t>ffect our future sales and operating results.</w:t>
      </w:r>
    </w:p>
    <w:p w14:paraId="7C209190" w14:textId="77777777" w:rsidR="00834A75" w:rsidRDefault="00A6708C">
      <w:pPr>
        <w:spacing w:before="120" w:after="120"/>
        <w:jc w:val="both"/>
      </w:pPr>
      <w:r>
        <w:rPr>
          <w:rFonts w:ascii="sans-serif" w:eastAsia="sans-serif" w:hAnsi="sans-serif" w:cs="sans-serif"/>
          <w:b/>
          <w:bCs/>
          <w:color w:val="000000"/>
          <w:sz w:val="20"/>
          <w:szCs w:val="20"/>
        </w:rPr>
        <w:t>The COVID-19 pandemic continues to impact our business and could materially adversely affect our financial condition and results of operations.</w:t>
      </w:r>
    </w:p>
    <w:p w14:paraId="7C209191" w14:textId="77777777" w:rsidR="00834A75" w:rsidRDefault="00A6708C">
      <w:pPr>
        <w:spacing w:after="180"/>
        <w:jc w:val="both"/>
      </w:pPr>
      <w:r>
        <w:rPr>
          <w:rFonts w:ascii="sans-serif" w:eastAsia="sans-serif" w:hAnsi="sans-serif" w:cs="sans-serif"/>
          <w:color w:val="000000"/>
          <w:sz w:val="20"/>
          <w:szCs w:val="20"/>
        </w:rPr>
        <w:t>The COVID-19 pandemic has impacted, and continues to impact, our w</w:t>
      </w:r>
      <w:r>
        <w:rPr>
          <w:rFonts w:ascii="sans-serif" w:eastAsia="sans-serif" w:hAnsi="sans-serif" w:cs="sans-serif"/>
          <w:color w:val="000000"/>
          <w:sz w:val="20"/>
          <w:szCs w:val="20"/>
        </w:rPr>
        <w:t>orkforce and operations and those of our customers, partners, vendors and suppliers. As the pandemic continues to evolve, the increased duration and impact of economic and demand uncertainty, and the limited availability of our supply chain, logistical ser</w:t>
      </w:r>
      <w:r>
        <w:rPr>
          <w:rFonts w:ascii="sans-serif" w:eastAsia="sans-serif" w:hAnsi="sans-serif" w:cs="sans-serif"/>
          <w:color w:val="000000"/>
          <w:sz w:val="20"/>
          <w:szCs w:val="20"/>
        </w:rPr>
        <w:t>vices and component supply, may have a material net negative impact on our business and financial results. While COVID-19 has driven an increase in sales for certain of our products, the demand may not be sustainable if conditions change. COVID-19 containm</w:t>
      </w:r>
      <w:r>
        <w:rPr>
          <w:rFonts w:ascii="sans-serif" w:eastAsia="sans-serif" w:hAnsi="sans-serif" w:cs="sans-serif"/>
          <w:color w:val="000000"/>
          <w:sz w:val="20"/>
          <w:szCs w:val="20"/>
        </w:rPr>
        <w:t>ent around the world has put restrictions on, among other areas, manufacturing facilities, commerce, and support operations, which could limit our capacity to meet customer demand. For example, recent lockdown measures due to COVID-19 containment efforts i</w:t>
      </w:r>
      <w:r>
        <w:rPr>
          <w:rFonts w:ascii="sans-serif" w:eastAsia="sans-serif" w:hAnsi="sans-serif" w:cs="sans-serif"/>
          <w:color w:val="000000"/>
          <w:sz w:val="20"/>
          <w:szCs w:val="20"/>
        </w:rPr>
        <w:t>n China have impacted end customer sales, disrupted our partners’ operations, created logistics and delivery bottlenecks, and further curtailed supply, and may continue to do so in the future. At the same time, stronger demand globally has limited the avai</w:t>
      </w:r>
      <w:r>
        <w:rPr>
          <w:rFonts w:ascii="sans-serif" w:eastAsia="sans-serif" w:hAnsi="sans-serif" w:cs="sans-serif"/>
          <w:color w:val="000000"/>
          <w:sz w:val="20"/>
          <w:szCs w:val="20"/>
        </w:rPr>
        <w:t xml:space="preserve">lability of capacity and components in our supply chain, which could increase our costs, limit our ability to obtain supply at necessary levels or at all, or cause us to hold excess inventory if demand changes. </w:t>
      </w:r>
    </w:p>
    <w:p w14:paraId="7C209192" w14:textId="77777777" w:rsidR="00834A75" w:rsidRDefault="00A6708C">
      <w:pPr>
        <w:spacing w:after="180"/>
        <w:jc w:val="both"/>
      </w:pPr>
      <w:r>
        <w:rPr>
          <w:rFonts w:ascii="sans-serif" w:eastAsia="sans-serif" w:hAnsi="sans-serif" w:cs="sans-serif"/>
          <w:color w:val="000000"/>
          <w:sz w:val="20"/>
          <w:szCs w:val="20"/>
        </w:rPr>
        <w:t xml:space="preserve">COVID-19’s effect on the global economy and </w:t>
      </w:r>
      <w:r>
        <w:rPr>
          <w:rFonts w:ascii="sans-serif" w:eastAsia="sans-serif" w:hAnsi="sans-serif" w:cs="sans-serif"/>
          <w:color w:val="000000"/>
          <w:sz w:val="20"/>
          <w:szCs w:val="20"/>
        </w:rPr>
        <w:t>our business is difficult to assess or predict. It has resulted in, and may continue to result in, disruption of global financial markets, which could negatively affect our stock price and liquidity. Volatility in the financial markets could impact overall</w:t>
      </w:r>
      <w:r>
        <w:rPr>
          <w:rFonts w:ascii="sans-serif" w:eastAsia="sans-serif" w:hAnsi="sans-serif" w:cs="sans-serif"/>
          <w:color w:val="000000"/>
          <w:sz w:val="20"/>
          <w:szCs w:val="20"/>
        </w:rPr>
        <w:t xml:space="preserve"> technology spending, adversely affecting demand for our products, our business and the value of our common stock.</w:t>
      </w:r>
    </w:p>
    <w:p w14:paraId="7C209193" w14:textId="77777777" w:rsidR="00834A75" w:rsidRDefault="00A6708C">
      <w:pPr>
        <w:spacing w:after="180"/>
        <w:jc w:val="both"/>
      </w:pPr>
      <w:r>
        <w:rPr>
          <w:rFonts w:ascii="sans-serif" w:eastAsia="sans-serif" w:hAnsi="sans-serif" w:cs="sans-serif"/>
          <w:color w:val="000000"/>
          <w:sz w:val="20"/>
          <w:szCs w:val="20"/>
        </w:rPr>
        <w:t>We have modified our business and workforce practices in response to COVID-19, and we may take further actions as required by government regu</w:t>
      </w:r>
      <w:r>
        <w:rPr>
          <w:rFonts w:ascii="sans-serif" w:eastAsia="sans-serif" w:hAnsi="sans-serif" w:cs="sans-serif"/>
          <w:color w:val="000000"/>
          <w:sz w:val="20"/>
          <w:szCs w:val="20"/>
        </w:rPr>
        <w:t>lations or in the best interests of our employees, customers, partners and suppliers. There is no certainty that our actions will be sufficient to mitigate the risks posed by the disease, and our ability to perform critical functions could be harmed. As ou</w:t>
      </w:r>
      <w:r>
        <w:rPr>
          <w:rFonts w:ascii="sans-serif" w:eastAsia="sans-serif" w:hAnsi="sans-serif" w:cs="sans-serif"/>
          <w:color w:val="000000"/>
          <w:sz w:val="20"/>
          <w:szCs w:val="20"/>
        </w:rPr>
        <w:t>r offices begin to reopen, we expect to incur incremental expenses as we resume onsite services and related in-office costs.</w:t>
      </w:r>
    </w:p>
    <w:p w14:paraId="7C209194" w14:textId="77777777" w:rsidR="00834A75" w:rsidRDefault="00A6708C">
      <w:pPr>
        <w:spacing w:after="180"/>
        <w:jc w:val="both"/>
      </w:pPr>
      <w:r>
        <w:rPr>
          <w:rFonts w:ascii="sans-serif" w:eastAsia="sans-serif" w:hAnsi="sans-serif" w:cs="sans-serif"/>
          <w:color w:val="000000"/>
          <w:sz w:val="20"/>
          <w:szCs w:val="20"/>
        </w:rPr>
        <w:t xml:space="preserve">The extent of the impact of the COVID-19 pandemic on our operational and financial performance and our ability to timely </w:t>
      </w:r>
      <w:r>
        <w:rPr>
          <w:rFonts w:ascii="sans-serif" w:eastAsia="sans-serif" w:hAnsi="sans-serif" w:cs="sans-serif"/>
          <w:color w:val="000000"/>
          <w:sz w:val="20"/>
          <w:szCs w:val="20"/>
        </w:rPr>
        <w:t>execute our business strategies may continue to be difficult to measure and predict. We have experienced supply chain and economic disruption, in part as a result of the COVID-19 pandemic which has negatively impacted and could have a material negative imp</w:t>
      </w:r>
      <w:r>
        <w:rPr>
          <w:rFonts w:ascii="sans-serif" w:eastAsia="sans-serif" w:hAnsi="sans-serif" w:cs="sans-serif"/>
          <w:color w:val="000000"/>
          <w:sz w:val="20"/>
          <w:szCs w:val="20"/>
        </w:rPr>
        <w:t>act on our business, results of operations, financial condition, and access to sources of liquidity.</w:t>
      </w:r>
    </w:p>
    <w:p w14:paraId="7C209195" w14:textId="77777777" w:rsidR="00834A75" w:rsidRDefault="00834A75">
      <w:pPr>
        <w:spacing w:before="120" w:after="120"/>
        <w:jc w:val="both"/>
      </w:pPr>
    </w:p>
    <w:p w14:paraId="7C209196" w14:textId="77777777" w:rsidR="00834A75" w:rsidRDefault="00A6708C">
      <w:pPr>
        <w:spacing w:after="180"/>
        <w:jc w:val="center"/>
      </w:pPr>
      <w:r>
        <w:rPr>
          <w:rFonts w:ascii="sans-serif" w:eastAsia="sans-serif" w:hAnsi="sans-serif" w:cs="sans-serif"/>
          <w:color w:val="000000"/>
          <w:sz w:val="20"/>
          <w:szCs w:val="20"/>
        </w:rPr>
        <w:t>33</w:t>
      </w:r>
    </w:p>
    <w:p w14:paraId="7C209197" w14:textId="77777777" w:rsidR="00834A75" w:rsidRDefault="00A6708C">
      <w:r>
        <w:pict w14:anchorId="7C209370">
          <v:rect id="_x0000_i1057" style="width:415.3pt;height:1.5pt" o:hralign="center" o:hrstd="t" o:hr="t" fillcolor="#a0a0a0" stroked="f"/>
        </w:pict>
      </w:r>
    </w:p>
    <w:p w14:paraId="7C209198" w14:textId="77777777" w:rsidR="00834A75" w:rsidRDefault="00834A75">
      <w:pPr>
        <w:spacing w:after="180"/>
        <w:jc w:val="both"/>
      </w:pPr>
    </w:p>
    <w:p w14:paraId="7C209199" w14:textId="77777777" w:rsidR="00834A75" w:rsidRDefault="00834A75">
      <w:pPr>
        <w:spacing w:after="180"/>
        <w:jc w:val="both"/>
      </w:pPr>
    </w:p>
    <w:p w14:paraId="7C20919A" w14:textId="77777777" w:rsidR="00834A75" w:rsidRDefault="00834A75">
      <w:pPr>
        <w:spacing w:after="180"/>
        <w:jc w:val="both"/>
      </w:pPr>
    </w:p>
    <w:p w14:paraId="7C20919B" w14:textId="77777777" w:rsidR="00834A75" w:rsidRDefault="00A6708C">
      <w:pPr>
        <w:spacing w:before="120" w:after="120"/>
        <w:jc w:val="both"/>
      </w:pPr>
      <w:r>
        <w:rPr>
          <w:rFonts w:ascii="sans-serif" w:eastAsia="sans-serif" w:hAnsi="sans-serif" w:cs="sans-serif"/>
          <w:b/>
          <w:bCs/>
          <w:color w:val="000000"/>
          <w:sz w:val="20"/>
          <w:szCs w:val="20"/>
        </w:rPr>
        <w:t xml:space="preserve">Our operations could be affected by the complex laws, rules and regulations to which our business is subject, and political and other </w:t>
      </w:r>
      <w:r>
        <w:rPr>
          <w:rFonts w:ascii="sans-serif" w:eastAsia="sans-serif" w:hAnsi="sans-serif" w:cs="sans-serif"/>
          <w:b/>
          <w:bCs/>
          <w:color w:val="000000"/>
          <w:sz w:val="20"/>
          <w:szCs w:val="20"/>
        </w:rPr>
        <w:t>actions may adversely impact our business.</w:t>
      </w:r>
    </w:p>
    <w:p w14:paraId="7C20919C" w14:textId="77777777" w:rsidR="00834A75" w:rsidRDefault="00A6708C">
      <w:pPr>
        <w:spacing w:after="180"/>
        <w:jc w:val="both"/>
      </w:pPr>
      <w:r>
        <w:rPr>
          <w:rFonts w:ascii="sans-serif" w:eastAsia="sans-serif" w:hAnsi="sans-serif" w:cs="sans-serif"/>
          <w:color w:val="000000"/>
          <w:sz w:val="20"/>
          <w:szCs w:val="20"/>
        </w:rPr>
        <w:t>We are subject to laws and regulations domestically and worldwide, affecting our operations in areas including, but not limited to, IP ownership and infringement; taxes; import and export requirements and tariffs;</w:t>
      </w:r>
      <w:r>
        <w:rPr>
          <w:rFonts w:ascii="sans-serif" w:eastAsia="sans-serif" w:hAnsi="sans-serif" w:cs="sans-serif"/>
          <w:color w:val="000000"/>
          <w:sz w:val="20"/>
          <w:szCs w:val="20"/>
        </w:rPr>
        <w:t xml:space="preserve"> anti-corruption; business acquisitions; foreign exchange controls and cash repatriation restrictions; data privacy requirements; competition and antitrust; advertising; employment; product regulations; cybersecurity; environmental, health, and safety requ</w:t>
      </w:r>
      <w:r>
        <w:rPr>
          <w:rFonts w:ascii="sans-serif" w:eastAsia="sans-serif" w:hAnsi="sans-serif" w:cs="sans-serif"/>
          <w:color w:val="000000"/>
          <w:sz w:val="20"/>
          <w:szCs w:val="20"/>
        </w:rPr>
        <w:t>irements; the responsible use of AI; climate change; cryptocurrency; and consumer laws. Compliance with such requirements can be onerous and expensive, could impact our competitive position, and may impact our business operations negatively. For example, t</w:t>
      </w:r>
      <w:r>
        <w:rPr>
          <w:rFonts w:ascii="sans-serif" w:eastAsia="sans-serif" w:hAnsi="sans-serif" w:cs="sans-serif"/>
          <w:color w:val="000000"/>
          <w:sz w:val="20"/>
          <w:szCs w:val="20"/>
        </w:rPr>
        <w:t>he Foreign Corrupt Practices Act and other anti-corruption laws and regulations prohibit us from engaging in certain business practices. There can be no assurance that our employees, contractors, suppliers, or agents will not violate policies, controls, an</w:t>
      </w:r>
      <w:r>
        <w:rPr>
          <w:rFonts w:ascii="sans-serif" w:eastAsia="sans-serif" w:hAnsi="sans-serif" w:cs="sans-serif"/>
          <w:color w:val="000000"/>
          <w:sz w:val="20"/>
          <w:szCs w:val="20"/>
        </w:rPr>
        <w:t>d procedures that we have designed to help ensure compliance with applicable laws. Violations of these laws and regulations can result in fines; criminal sanctions against us, our officers, or our employees; prohibitions on the conduct of our business; and</w:t>
      </w:r>
      <w:r>
        <w:rPr>
          <w:rFonts w:ascii="sans-serif" w:eastAsia="sans-serif" w:hAnsi="sans-serif" w:cs="sans-serif"/>
          <w:color w:val="000000"/>
          <w:sz w:val="20"/>
          <w:szCs w:val="20"/>
        </w:rPr>
        <w:t xml:space="preserve"> damage to our reputation. Should any of these laws, rules and regulations be amended or expanded, or new ones enacted, we could incur materially greater compliance costs and/or restrictions on our ability to manufacture our products and operate our busine</w:t>
      </w:r>
      <w:r>
        <w:rPr>
          <w:rFonts w:ascii="sans-serif" w:eastAsia="sans-serif" w:hAnsi="sans-serif" w:cs="sans-serif"/>
          <w:color w:val="000000"/>
          <w:sz w:val="20"/>
          <w:szCs w:val="20"/>
        </w:rPr>
        <w:t>ss. For example, we may face increased compliance costs as a result of changes or increases in anti-competition legislation, regulation, administrative rule making, and enforcement activity resulting from growing public concern over concentration of econom</w:t>
      </w:r>
      <w:r>
        <w:rPr>
          <w:rFonts w:ascii="sans-serif" w:eastAsia="sans-serif" w:hAnsi="sans-serif" w:cs="sans-serif"/>
          <w:color w:val="000000"/>
          <w:sz w:val="20"/>
          <w:szCs w:val="20"/>
        </w:rPr>
        <w:t>ic power in corporations.</w:t>
      </w:r>
    </w:p>
    <w:p w14:paraId="7C20919D" w14:textId="77777777" w:rsidR="00834A75" w:rsidRDefault="00A6708C">
      <w:pPr>
        <w:spacing w:after="180"/>
        <w:jc w:val="both"/>
      </w:pPr>
      <w:r>
        <w:rPr>
          <w:rFonts w:ascii="sans-serif" w:eastAsia="sans-serif" w:hAnsi="sans-serif" w:cs="sans-serif"/>
          <w:color w:val="000000"/>
          <w:sz w:val="20"/>
          <w:szCs w:val="20"/>
        </w:rPr>
        <w:t>Government actions, including trade protection and national security policies of U.S. and foreign government bodies, such as tariffs, import or export regulations, including deemed export restrictions, trade and economic sanctions</w:t>
      </w:r>
      <w:r>
        <w:rPr>
          <w:rFonts w:ascii="sans-serif" w:eastAsia="sans-serif" w:hAnsi="sans-serif" w:cs="sans-serif"/>
          <w:color w:val="000000"/>
          <w:sz w:val="20"/>
          <w:szCs w:val="20"/>
        </w:rPr>
        <w:t>, decrees, quotas or other trade barriers and restrictions could affect our ability to ship products, provide services to our customers and employees, do business without an export license with entities on the U.S. Department of Commerce’s U.S. Entity List</w:t>
      </w:r>
      <w:r>
        <w:rPr>
          <w:rFonts w:ascii="sans-serif" w:eastAsia="sans-serif" w:hAnsi="sans-serif" w:cs="sans-serif"/>
          <w:color w:val="000000"/>
          <w:sz w:val="20"/>
          <w:szCs w:val="20"/>
        </w:rPr>
        <w:t xml:space="preserve"> or other U.S. government restricted parties lists (which is expected to change from time to time), and generally fulfill our contractual obligations and have a material adverse effect on our business. For example, in response to the war in Ukraine, the Un</w:t>
      </w:r>
      <w:r>
        <w:rPr>
          <w:rFonts w:ascii="sans-serif" w:eastAsia="sans-serif" w:hAnsi="sans-serif" w:cs="sans-serif"/>
          <w:color w:val="000000"/>
          <w:sz w:val="20"/>
          <w:szCs w:val="20"/>
        </w:rPr>
        <w:t xml:space="preserve">ited States and certain allies have imposed economic sanctions and export control measures and may impose additional sanctions or export control measures, which have and could in the future result in, among other things, severe or complete restrictions on </w:t>
      </w:r>
      <w:r>
        <w:rPr>
          <w:rFonts w:ascii="sans-serif" w:eastAsia="sans-serif" w:hAnsi="sans-serif" w:cs="sans-serif"/>
          <w:color w:val="000000"/>
          <w:sz w:val="20"/>
          <w:szCs w:val="20"/>
        </w:rPr>
        <w:t xml:space="preserve">exports to and other commerce and business dealings involving Russia, Belarus, certain regions of Ukraine, and/or particular entities and individuals. Such actions have limited or blocked, or could in the future limit or block the passage of our products, </w:t>
      </w:r>
      <w:r>
        <w:rPr>
          <w:rFonts w:ascii="sans-serif" w:eastAsia="sans-serif" w:hAnsi="sans-serif" w:cs="sans-serif"/>
          <w:color w:val="000000"/>
          <w:sz w:val="20"/>
          <w:szCs w:val="20"/>
        </w:rPr>
        <w:t>services and support into Russia, Belarus, and certain regions of Ukraine or other regions determined to be supporting Russia, and restrict access by our Russian or Ukrainian employees (both within and outside of Russia and Ukraine) to our systems, negativ</w:t>
      </w:r>
      <w:r>
        <w:rPr>
          <w:rFonts w:ascii="sans-serif" w:eastAsia="sans-serif" w:hAnsi="sans-serif" w:cs="sans-serif"/>
          <w:color w:val="000000"/>
          <w:sz w:val="20"/>
          <w:szCs w:val="20"/>
        </w:rPr>
        <w:t>ely impacting productivity. Given these recent sanctions and export restrictions imposed by the United States and foreign government bodies, during the first quarter of fiscal year 2023, we paused all direct sales and support in Russia. Concurrently, the w</w:t>
      </w:r>
      <w:r>
        <w:rPr>
          <w:rFonts w:ascii="sans-serif" w:eastAsia="sans-serif" w:hAnsi="sans-serif" w:cs="sans-serif"/>
          <w:color w:val="000000"/>
          <w:sz w:val="20"/>
          <w:szCs w:val="20"/>
        </w:rPr>
        <w:t>ar in Ukraine has impacted end customer sales in EMEA and may continue to do so in the future. While we have policies and procedures in place to ensure compliance with sanctions and trade restrictions, our employees, contractors, partners, and agents may t</w:t>
      </w:r>
      <w:r>
        <w:rPr>
          <w:rFonts w:ascii="sans-serif" w:eastAsia="sans-serif" w:hAnsi="sans-serif" w:cs="sans-serif"/>
          <w:color w:val="000000"/>
          <w:sz w:val="20"/>
          <w:szCs w:val="20"/>
        </w:rPr>
        <w:t>ake actions in violations of such policies and applicable law, for which we may be ultimately held responsible. If we were ever found to have violated U.S. export control laws, we may be subject to various penalties available under the laws, any of which c</w:t>
      </w:r>
      <w:r>
        <w:rPr>
          <w:rFonts w:ascii="sans-serif" w:eastAsia="sans-serif" w:hAnsi="sans-serif" w:cs="sans-serif"/>
          <w:color w:val="000000"/>
          <w:sz w:val="20"/>
          <w:szCs w:val="20"/>
        </w:rPr>
        <w:t>ould have a material and adverse impact on our business, operating results and financial condition. Additionally, changes in the public perception of governments in the regions where we operate or plan to operate could negatively impact our business and re</w:t>
      </w:r>
      <w:r>
        <w:rPr>
          <w:rFonts w:ascii="sans-serif" w:eastAsia="sans-serif" w:hAnsi="sans-serif" w:cs="sans-serif"/>
          <w:color w:val="000000"/>
          <w:sz w:val="20"/>
          <w:szCs w:val="20"/>
        </w:rPr>
        <w:t>sults of operations.</w:t>
      </w:r>
    </w:p>
    <w:p w14:paraId="7C20919E" w14:textId="77777777" w:rsidR="00834A75" w:rsidRDefault="00A6708C">
      <w:pPr>
        <w:spacing w:after="180"/>
        <w:jc w:val="both"/>
      </w:pPr>
      <w:r>
        <w:rPr>
          <w:rFonts w:ascii="sans-serif" w:eastAsia="sans-serif" w:hAnsi="sans-serif" w:cs="sans-serif"/>
          <w:color w:val="000000"/>
          <w:sz w:val="20"/>
          <w:szCs w:val="20"/>
        </w:rPr>
        <w:t>Geopolitical tensions and conflicts worldwide, including but not limited to Taiwan, China, Hong Kong, Israel and Korea where the manufacture of our product components and final assembly of our products are concentrated, may result in c</w:t>
      </w:r>
      <w:r>
        <w:rPr>
          <w:rFonts w:ascii="sans-serif" w:eastAsia="sans-serif" w:hAnsi="sans-serif" w:cs="sans-serif"/>
          <w:color w:val="000000"/>
          <w:sz w:val="20"/>
          <w:szCs w:val="20"/>
        </w:rPr>
        <w:t xml:space="preserve">hanging regulatory requirements, trade policies, export controls, import duties and economic disruptions that could impact our operating strategies, product demand, access to global markets, hiring, and profitability. The increasing focus on the strategic </w:t>
      </w:r>
      <w:r>
        <w:rPr>
          <w:rFonts w:ascii="sans-serif" w:eastAsia="sans-serif" w:hAnsi="sans-serif" w:cs="sans-serif"/>
          <w:color w:val="000000"/>
          <w:sz w:val="20"/>
          <w:szCs w:val="20"/>
        </w:rPr>
        <w:t xml:space="preserve">importance of AI technologies may result in additional regulatory restrictions that target products and services capable of enabling or facilitating AI, including some or all of our product and service offerings. Such restrictions could include additional </w:t>
      </w:r>
      <w:r>
        <w:rPr>
          <w:rFonts w:ascii="sans-serif" w:eastAsia="sans-serif" w:hAnsi="sans-serif" w:cs="sans-serif"/>
          <w:color w:val="000000"/>
          <w:sz w:val="20"/>
          <w:szCs w:val="20"/>
        </w:rPr>
        <w:t>unilateral or multilateral export controls on certain products or technology, prohibiting us from exporting those products to customers in one or more markets, including but not limited to China, or could impose other conditions that limit our ability to s</w:t>
      </w:r>
      <w:r>
        <w:rPr>
          <w:rFonts w:ascii="sans-serif" w:eastAsia="sans-serif" w:hAnsi="sans-serif" w:cs="sans-serif"/>
          <w:color w:val="000000"/>
          <w:sz w:val="20"/>
          <w:szCs w:val="20"/>
        </w:rPr>
        <w:t xml:space="preserve">erve demand abroad and could negatively impact our business and financial results. Export controls may be imposed on our technology, products, or services even though competitors are not subject to similar restrictions, creating a competitive disadvantage </w:t>
      </w:r>
      <w:r>
        <w:rPr>
          <w:rFonts w:ascii="sans-serif" w:eastAsia="sans-serif" w:hAnsi="sans-serif" w:cs="sans-serif"/>
          <w:color w:val="000000"/>
          <w:sz w:val="20"/>
          <w:szCs w:val="20"/>
        </w:rPr>
        <w:t>for us and negatively impacting our business and financial results. Increasing use of economic sanctions may also impact demand for our products or services, negatively impacting our business and financial results. Deemed export control limitations could n</w:t>
      </w:r>
      <w:r>
        <w:rPr>
          <w:rFonts w:ascii="sans-serif" w:eastAsia="sans-serif" w:hAnsi="sans-serif" w:cs="sans-serif"/>
          <w:color w:val="000000"/>
          <w:sz w:val="20"/>
          <w:szCs w:val="20"/>
        </w:rPr>
        <w:t>egatively impact the ability of our research and development teams to execute our roadmap or other objectives in a timely manner.</w:t>
      </w:r>
    </w:p>
    <w:p w14:paraId="7C20919F" w14:textId="77777777" w:rsidR="00834A75" w:rsidRDefault="00A6708C">
      <w:pPr>
        <w:spacing w:after="180"/>
        <w:jc w:val="center"/>
      </w:pPr>
      <w:r>
        <w:rPr>
          <w:rFonts w:ascii="sans-serif" w:eastAsia="sans-serif" w:hAnsi="sans-serif" w:cs="sans-serif"/>
          <w:color w:val="000000"/>
          <w:sz w:val="20"/>
          <w:szCs w:val="20"/>
        </w:rPr>
        <w:t>34</w:t>
      </w:r>
    </w:p>
    <w:p w14:paraId="7C2091A0" w14:textId="77777777" w:rsidR="00834A75" w:rsidRDefault="00A6708C">
      <w:r>
        <w:pict w14:anchorId="7C209371">
          <v:rect id="_x0000_i1058" style="width:415.3pt;height:1.5pt" o:hralign="center" o:hrstd="t" o:hr="t" fillcolor="#a0a0a0" stroked="f"/>
        </w:pict>
      </w:r>
    </w:p>
    <w:p w14:paraId="7C2091A1" w14:textId="77777777" w:rsidR="00834A75" w:rsidRDefault="00834A75">
      <w:pPr>
        <w:spacing w:after="180"/>
        <w:jc w:val="both"/>
      </w:pPr>
    </w:p>
    <w:p w14:paraId="7C2091A2" w14:textId="77777777" w:rsidR="00834A75" w:rsidRDefault="00834A75">
      <w:pPr>
        <w:spacing w:after="180"/>
        <w:jc w:val="both"/>
      </w:pPr>
    </w:p>
    <w:p w14:paraId="7C2091A3" w14:textId="77777777" w:rsidR="00834A75" w:rsidRDefault="00834A75">
      <w:pPr>
        <w:spacing w:after="180"/>
        <w:jc w:val="both"/>
      </w:pPr>
    </w:p>
    <w:p w14:paraId="7C2091A4" w14:textId="77777777" w:rsidR="00834A75" w:rsidRDefault="00A6708C">
      <w:pPr>
        <w:spacing w:after="180"/>
        <w:jc w:val="both"/>
      </w:pPr>
      <w:r>
        <w:rPr>
          <w:rFonts w:ascii="sans-serif" w:eastAsia="sans-serif" w:hAnsi="sans-serif" w:cs="sans-serif"/>
          <w:color w:val="000000"/>
          <w:sz w:val="20"/>
          <w:szCs w:val="20"/>
        </w:rPr>
        <w:t>Recent restrictions imposed by the Chinese government on the duration of gaming activities and access to games may adv</w:t>
      </w:r>
      <w:r>
        <w:rPr>
          <w:rFonts w:ascii="sans-serif" w:eastAsia="sans-serif" w:hAnsi="sans-serif" w:cs="sans-serif"/>
          <w:color w:val="000000"/>
          <w:sz w:val="20"/>
          <w:szCs w:val="20"/>
        </w:rPr>
        <w:t>ersely affect our Gaming revenue, and increased oversight of digital platform companies may adversely affect our Data Center revenue. Additionally, revisions to laws or regulations or their interpretation and enforcement could result in increased taxation,</w:t>
      </w:r>
      <w:r>
        <w:rPr>
          <w:rFonts w:ascii="sans-serif" w:eastAsia="sans-serif" w:hAnsi="sans-serif" w:cs="sans-serif"/>
          <w:color w:val="000000"/>
          <w:sz w:val="20"/>
          <w:szCs w:val="20"/>
        </w:rPr>
        <w:t xml:space="preserve"> trade sanctions, the imposition of import duties or tariffs, restrictions and controls on imports or exports, or other retaliatory actions, which could have an adverse effect on our business plans or impact the timing of our shipments.</w:t>
      </w:r>
    </w:p>
    <w:p w14:paraId="7C2091A5" w14:textId="77777777" w:rsidR="00834A75" w:rsidRDefault="00A6708C">
      <w:pPr>
        <w:spacing w:before="120" w:after="120"/>
        <w:jc w:val="both"/>
      </w:pPr>
      <w:r>
        <w:rPr>
          <w:rFonts w:ascii="sans-serif" w:eastAsia="sans-serif" w:hAnsi="sans-serif" w:cs="sans-serif"/>
          <w:b/>
          <w:bCs/>
          <w:color w:val="000000"/>
          <w:sz w:val="20"/>
          <w:szCs w:val="20"/>
        </w:rPr>
        <w:t>We have exposure to</w:t>
      </w:r>
      <w:r>
        <w:rPr>
          <w:rFonts w:ascii="sans-serif" w:eastAsia="sans-serif" w:hAnsi="sans-serif" w:cs="sans-serif"/>
          <w:b/>
          <w:bCs/>
          <w:color w:val="000000"/>
          <w:sz w:val="20"/>
          <w:szCs w:val="20"/>
        </w:rPr>
        <w:t xml:space="preserve"> additional tax liabilities and our operating results may be adversely impacted by higher than expected tax rates and other tax-related factors.</w:t>
      </w:r>
    </w:p>
    <w:p w14:paraId="7C2091A6" w14:textId="77777777" w:rsidR="00834A75" w:rsidRDefault="00A6708C">
      <w:pPr>
        <w:spacing w:after="180"/>
        <w:jc w:val="both"/>
      </w:pPr>
      <w:r>
        <w:rPr>
          <w:rFonts w:ascii="sans-serif" w:eastAsia="sans-serif" w:hAnsi="sans-serif" w:cs="sans-serif"/>
          <w:color w:val="000000"/>
          <w:sz w:val="20"/>
          <w:szCs w:val="20"/>
        </w:rPr>
        <w:t>As a multinational corporation, we are subject to income taxes as well as non-income based taxes, such as payro</w:t>
      </w:r>
      <w:r>
        <w:rPr>
          <w:rFonts w:ascii="sans-serif" w:eastAsia="sans-serif" w:hAnsi="sans-serif" w:cs="sans-serif"/>
          <w:color w:val="000000"/>
          <w:sz w:val="20"/>
          <w:szCs w:val="20"/>
        </w:rPr>
        <w:t>ll, sales, use, value-added, net worth, property and goods and services taxes, in both the United States and various foreign jurisdictions. Our domestic and international tax liabilities are subject to the allocation of revenue and expenses in different ju</w:t>
      </w:r>
      <w:r>
        <w:rPr>
          <w:rFonts w:ascii="sans-serif" w:eastAsia="sans-serif" w:hAnsi="sans-serif" w:cs="sans-serif"/>
          <w:color w:val="000000"/>
          <w:sz w:val="20"/>
          <w:szCs w:val="20"/>
        </w:rPr>
        <w:t xml:space="preserve">risdictions. Significant judgment is required in determining our worldwide provision for income taxes and other tax liabilities. We are regularly under audit by tax authorities in different jurisdictions. For example, we are currently under examination by </w:t>
      </w:r>
      <w:r>
        <w:rPr>
          <w:rFonts w:ascii="sans-serif" w:eastAsia="sans-serif" w:hAnsi="sans-serif" w:cs="sans-serif"/>
          <w:color w:val="000000"/>
          <w:sz w:val="20"/>
          <w:szCs w:val="20"/>
        </w:rPr>
        <w:t>the Internal Revenue Service for our fiscal years 2018 and 2019 and under audit in Germany, Israel and India. Although we believe our tax estimates are reasonable, tax authorities may disagree with certain positions we have taken, and any adverse outcome o</w:t>
      </w:r>
      <w:r>
        <w:rPr>
          <w:rFonts w:ascii="sans-serif" w:eastAsia="sans-serif" w:hAnsi="sans-serif" w:cs="sans-serif"/>
          <w:color w:val="000000"/>
          <w:sz w:val="20"/>
          <w:szCs w:val="20"/>
        </w:rPr>
        <w:t>f such a review or audit could increase our worldwide effective tax rate, increase the amount of non-income taxes imposed on our business, and harm our financial position, results of operations, and cash flows. Further, changes in United States federal, an</w:t>
      </w:r>
      <w:r>
        <w:rPr>
          <w:rFonts w:ascii="sans-serif" w:eastAsia="sans-serif" w:hAnsi="sans-serif" w:cs="sans-serif"/>
          <w:color w:val="000000"/>
          <w:sz w:val="20"/>
          <w:szCs w:val="20"/>
        </w:rPr>
        <w:t>d state or international tax laws applicable to multinational corporations or other fundamental law changes, including proposed changes to existing tax rules and regulations under the current U.S. administration and Congress and as a result of recommendati</w:t>
      </w:r>
      <w:r>
        <w:rPr>
          <w:rFonts w:ascii="sans-serif" w:eastAsia="sans-serif" w:hAnsi="sans-serif" w:cs="sans-serif"/>
          <w:color w:val="000000"/>
          <w:sz w:val="20"/>
          <w:szCs w:val="20"/>
        </w:rPr>
        <w:t>ons from intergovernmental economic organizations such as the Organization for Economic Cooperation and Development, may materially impact our tax expense and cash flows, as we experienced in fiscal year 2018 with the passage of United States tax legislati</w:t>
      </w:r>
      <w:r>
        <w:rPr>
          <w:rFonts w:ascii="sans-serif" w:eastAsia="sans-serif" w:hAnsi="sans-serif" w:cs="sans-serif"/>
          <w:color w:val="000000"/>
          <w:sz w:val="20"/>
          <w:szCs w:val="20"/>
        </w:rPr>
        <w:t>on commonly referred to as the Tax Cuts and Jobs Act.</w:t>
      </w:r>
    </w:p>
    <w:p w14:paraId="7C2091A7" w14:textId="77777777" w:rsidR="00834A75" w:rsidRDefault="00A6708C">
      <w:pPr>
        <w:spacing w:after="180"/>
        <w:jc w:val="both"/>
      </w:pPr>
      <w:r>
        <w:rPr>
          <w:rFonts w:ascii="sans-serif" w:eastAsia="sans-serif" w:hAnsi="sans-serif" w:cs="sans-serif"/>
          <w:color w:val="000000"/>
          <w:sz w:val="20"/>
          <w:szCs w:val="20"/>
        </w:rPr>
        <w:t>Our future effective tax rate may also be affected by such factors as changes in our business or statutory rates, changes in jurisdictions in which our profits are determined to be earned and taxed, cha</w:t>
      </w:r>
      <w:r>
        <w:rPr>
          <w:rFonts w:ascii="sans-serif" w:eastAsia="sans-serif" w:hAnsi="sans-serif" w:cs="sans-serif"/>
          <w:color w:val="000000"/>
          <w:sz w:val="20"/>
          <w:szCs w:val="20"/>
        </w:rPr>
        <w:t>nges in available tax credits, the resolution of issues arising from tax audits, changes in United States generally accepted accounting principles, adjustments to income taxes upon finalization of tax returns, increases in expenses not deductible for tax p</w:t>
      </w:r>
      <w:r>
        <w:rPr>
          <w:rFonts w:ascii="sans-serif" w:eastAsia="sans-serif" w:hAnsi="sans-serif" w:cs="sans-serif"/>
          <w:color w:val="000000"/>
          <w:sz w:val="20"/>
          <w:szCs w:val="20"/>
        </w:rPr>
        <w:t>urposes, changes in the valuation of our deferred tax assets and liabilities and in deferred tax valuation allowances, changing interpretation of existing laws or regulations, the impact of accounting for stock-based compensation and volatility in our stoc</w:t>
      </w:r>
      <w:r>
        <w:rPr>
          <w:rFonts w:ascii="sans-serif" w:eastAsia="sans-serif" w:hAnsi="sans-serif" w:cs="sans-serif"/>
          <w:color w:val="000000"/>
          <w:sz w:val="20"/>
          <w:szCs w:val="20"/>
        </w:rPr>
        <w:t>k price affecting the recognition of excess tax benefits and tax deficiencies within the income tax provision in the period in which they occur, the impact of accounting for business combinations, shifts in the amount of earnings in the United States compa</w:t>
      </w:r>
      <w:r>
        <w:rPr>
          <w:rFonts w:ascii="sans-serif" w:eastAsia="sans-serif" w:hAnsi="sans-serif" w:cs="sans-serif"/>
          <w:color w:val="000000"/>
          <w:sz w:val="20"/>
          <w:szCs w:val="20"/>
        </w:rPr>
        <w:t xml:space="preserve">red with other regions in the world and overall levels of income before tax, changes in the domestic or international organization of our business and structure, as well as the expiration of statute of limitations and settlements of audits. For example, a </w:t>
      </w:r>
      <w:r>
        <w:rPr>
          <w:rFonts w:ascii="sans-serif" w:eastAsia="sans-serif" w:hAnsi="sans-serif" w:cs="sans-serif"/>
          <w:color w:val="000000"/>
          <w:sz w:val="20"/>
          <w:szCs w:val="20"/>
        </w:rPr>
        <w:t>decline in our stock price may result in reduced future tax benefits or in tax deficiencies from stock-based compensation. Any changes in our effective tax rate may impact net income.</w:t>
      </w:r>
    </w:p>
    <w:p w14:paraId="7C2091A8" w14:textId="77777777" w:rsidR="00834A75" w:rsidRDefault="00A6708C">
      <w:pPr>
        <w:spacing w:before="240" w:after="120"/>
        <w:jc w:val="both"/>
      </w:pPr>
      <w:r>
        <w:rPr>
          <w:rFonts w:ascii="sans-serif" w:eastAsia="sans-serif" w:hAnsi="sans-serif" w:cs="sans-serif"/>
          <w:b/>
          <w:bCs/>
          <w:color w:val="76B900"/>
          <w:sz w:val="22"/>
          <w:szCs w:val="22"/>
        </w:rPr>
        <w:t>ITEM 2. UNREGISTERED SALES OF EQUITY SECURITIES AND USE OF PROCEEDS</w:t>
      </w:r>
    </w:p>
    <w:p w14:paraId="7C2091A9" w14:textId="77777777" w:rsidR="00834A75" w:rsidRDefault="00A6708C">
      <w:pPr>
        <w:spacing w:before="240" w:after="60"/>
        <w:jc w:val="both"/>
      </w:pPr>
      <w:r>
        <w:rPr>
          <w:rFonts w:ascii="sans-serif" w:eastAsia="sans-serif" w:hAnsi="sans-serif" w:cs="sans-serif"/>
          <w:b/>
          <w:bCs/>
          <w:color w:val="76B900"/>
          <w:sz w:val="20"/>
          <w:szCs w:val="20"/>
        </w:rPr>
        <w:t>Issu</w:t>
      </w:r>
      <w:r>
        <w:rPr>
          <w:rFonts w:ascii="sans-serif" w:eastAsia="sans-serif" w:hAnsi="sans-serif" w:cs="sans-serif"/>
          <w:b/>
          <w:bCs/>
          <w:color w:val="76B900"/>
          <w:sz w:val="20"/>
          <w:szCs w:val="20"/>
        </w:rPr>
        <w:t>er Purchases of Equity Securities</w:t>
      </w:r>
    </w:p>
    <w:p w14:paraId="7C2091AA" w14:textId="77777777" w:rsidR="00834A75" w:rsidRDefault="00A6708C">
      <w:pPr>
        <w:spacing w:after="180"/>
        <w:jc w:val="both"/>
      </w:pPr>
      <w:r>
        <w:rPr>
          <w:rFonts w:ascii="sans-serif" w:eastAsia="sans-serif" w:hAnsi="sans-serif" w:cs="sans-serif"/>
          <w:color w:val="000000"/>
          <w:sz w:val="20"/>
          <w:szCs w:val="20"/>
        </w:rPr>
        <w:t xml:space="preserve">Beginning August 2004, our Board of Directors authorized us to repurchase our stock. </w:t>
      </w:r>
    </w:p>
    <w:p w14:paraId="7C2091AB" w14:textId="77777777" w:rsidR="00834A75" w:rsidRDefault="00A6708C">
      <w:pPr>
        <w:spacing w:before="120" w:after="120"/>
        <w:jc w:val="both"/>
      </w:pPr>
      <w:r>
        <w:rPr>
          <w:rFonts w:ascii="sans-serif" w:eastAsia="sans-serif" w:hAnsi="sans-serif" w:cs="sans-serif"/>
          <w:color w:val="000000"/>
          <w:sz w:val="20"/>
          <w:szCs w:val="20"/>
        </w:rPr>
        <w:t>Since the inception of our share repurchase program, we have repurchased an aggregate of 1.05 billion shares for a total cost of $9.08 b</w:t>
      </w:r>
      <w:r>
        <w:rPr>
          <w:rFonts w:ascii="sans-serif" w:eastAsia="sans-serif" w:hAnsi="sans-serif" w:cs="sans-serif"/>
          <w:color w:val="000000"/>
          <w:sz w:val="20"/>
          <w:szCs w:val="20"/>
        </w:rPr>
        <w:t xml:space="preserve">illion through May 1, 2022. </w:t>
      </w:r>
    </w:p>
    <w:p w14:paraId="7C2091AC" w14:textId="77777777" w:rsidR="00834A75" w:rsidRDefault="00A6708C">
      <w:pPr>
        <w:spacing w:before="120" w:after="120"/>
        <w:jc w:val="both"/>
      </w:pPr>
      <w:r>
        <w:rPr>
          <w:rFonts w:ascii="sans-serif" w:eastAsia="sans-serif" w:hAnsi="sans-serif" w:cs="sans-serif"/>
          <w:color w:val="000000"/>
          <w:sz w:val="20"/>
          <w:szCs w:val="20"/>
        </w:rPr>
        <w:t>On May 23, 2022, our Board of Directors increased and extended our share repurchase program to repurchase additional common stock up to a total of $15 billion through December 2023.</w:t>
      </w:r>
    </w:p>
    <w:p w14:paraId="7C2091AD" w14:textId="77777777" w:rsidR="00834A75" w:rsidRDefault="00A6708C">
      <w:pPr>
        <w:spacing w:after="180"/>
        <w:jc w:val="both"/>
      </w:pPr>
      <w:r>
        <w:rPr>
          <w:rFonts w:ascii="sans-serif" w:eastAsia="sans-serif" w:hAnsi="sans-serif" w:cs="sans-serif"/>
          <w:color w:val="000000"/>
          <w:sz w:val="20"/>
          <w:szCs w:val="20"/>
        </w:rPr>
        <w:t>The repurchases can be made in the open marke</w:t>
      </w:r>
      <w:r>
        <w:rPr>
          <w:rFonts w:ascii="sans-serif" w:eastAsia="sans-serif" w:hAnsi="sans-serif" w:cs="sans-serif"/>
          <w:color w:val="000000"/>
          <w:sz w:val="20"/>
          <w:szCs w:val="20"/>
        </w:rPr>
        <w:t>t, in privately negotiated transactions, pursuant to a Rule 10b5-1 trading plan or in structured share repurchase programs, and can be made in one or more larger repurchases, in compliance with Rule 10b-18 of the Securities Exchange Act of 1934, as amended</w:t>
      </w:r>
      <w:r>
        <w:rPr>
          <w:rFonts w:ascii="sans-serif" w:eastAsia="sans-serif" w:hAnsi="sans-serif" w:cs="sans-serif"/>
          <w:color w:val="000000"/>
          <w:sz w:val="20"/>
          <w:szCs w:val="20"/>
        </w:rPr>
        <w:t>, subject to market conditions, applicable legal requirements, and other factors. The program does not obligate NVIDIA to acquire any particular amount of common stock and the program may be suspended at any time at our discretion.</w:t>
      </w:r>
    </w:p>
    <w:p w14:paraId="7C2091AE" w14:textId="77777777" w:rsidR="00834A75" w:rsidRDefault="00A6708C">
      <w:pPr>
        <w:spacing w:after="180"/>
        <w:jc w:val="both"/>
      </w:pPr>
      <w:r>
        <w:rPr>
          <w:rFonts w:ascii="sans-serif" w:eastAsia="sans-serif" w:hAnsi="sans-serif" w:cs="sans-serif"/>
          <w:color w:val="000000"/>
          <w:sz w:val="20"/>
          <w:szCs w:val="20"/>
        </w:rPr>
        <w:t xml:space="preserve">In the first quarter of </w:t>
      </w:r>
      <w:r>
        <w:rPr>
          <w:rFonts w:ascii="sans-serif" w:eastAsia="sans-serif" w:hAnsi="sans-serif" w:cs="sans-serif"/>
          <w:color w:val="000000"/>
          <w:sz w:val="20"/>
          <w:szCs w:val="20"/>
        </w:rPr>
        <w:t>fiscal year 2023, we paid $100 million in quarterly cash dividends.</w:t>
      </w:r>
    </w:p>
    <w:p w14:paraId="7C2091AF" w14:textId="77777777" w:rsidR="00834A75" w:rsidRDefault="00834A75">
      <w:pPr>
        <w:spacing w:after="180"/>
        <w:jc w:val="both"/>
      </w:pPr>
    </w:p>
    <w:p w14:paraId="7C2091B0" w14:textId="77777777" w:rsidR="00834A75" w:rsidRDefault="00A6708C">
      <w:pPr>
        <w:spacing w:after="180"/>
        <w:jc w:val="center"/>
      </w:pPr>
      <w:r>
        <w:rPr>
          <w:rFonts w:ascii="sans-serif" w:eastAsia="sans-serif" w:hAnsi="sans-serif" w:cs="sans-serif"/>
          <w:color w:val="000000"/>
          <w:sz w:val="20"/>
          <w:szCs w:val="20"/>
        </w:rPr>
        <w:t>35</w:t>
      </w:r>
    </w:p>
    <w:p w14:paraId="7C2091B1" w14:textId="77777777" w:rsidR="00834A75" w:rsidRDefault="00A6708C">
      <w:r>
        <w:pict w14:anchorId="7C209372">
          <v:rect id="_x0000_i1059" style="width:415.3pt;height:1.5pt" o:hralign="center" o:hrstd="t" o:hr="t" fillcolor="#a0a0a0" stroked="f"/>
        </w:pict>
      </w:r>
    </w:p>
    <w:p w14:paraId="7C2091B2" w14:textId="77777777" w:rsidR="00834A75" w:rsidRDefault="00834A75">
      <w:pPr>
        <w:spacing w:after="180"/>
        <w:jc w:val="both"/>
      </w:pPr>
    </w:p>
    <w:p w14:paraId="7C2091B3" w14:textId="77777777" w:rsidR="00834A75" w:rsidRDefault="00834A75">
      <w:pPr>
        <w:spacing w:after="180"/>
        <w:jc w:val="both"/>
      </w:pPr>
    </w:p>
    <w:p w14:paraId="7C2091B4" w14:textId="77777777" w:rsidR="00834A75" w:rsidRDefault="00834A75">
      <w:pPr>
        <w:spacing w:after="180"/>
        <w:jc w:val="both"/>
      </w:pPr>
    </w:p>
    <w:p w14:paraId="7C2091B5" w14:textId="77777777" w:rsidR="00834A75" w:rsidRDefault="00A6708C">
      <w:pPr>
        <w:spacing w:after="180"/>
        <w:jc w:val="both"/>
      </w:pPr>
      <w:r>
        <w:rPr>
          <w:rFonts w:ascii="sans-serif" w:eastAsia="sans-serif" w:hAnsi="sans-serif" w:cs="sans-serif"/>
          <w:color w:val="000000"/>
          <w:sz w:val="20"/>
          <w:szCs w:val="20"/>
        </w:rPr>
        <w:t>The following table presents details of our share repurchase transactions during the first quarter of fiscal year 2023:</w:t>
      </w:r>
    </w:p>
    <w:tbl>
      <w:tblPr>
        <w:tblW w:w="5000" w:type="pct"/>
        <w:tblCellMar>
          <w:top w:w="15" w:type="dxa"/>
          <w:left w:w="15" w:type="dxa"/>
          <w:bottom w:w="15" w:type="dxa"/>
          <w:right w:w="15" w:type="dxa"/>
        </w:tblCellMar>
        <w:tblLook w:val="04A0" w:firstRow="1" w:lastRow="0" w:firstColumn="1" w:lastColumn="0" w:noHBand="0" w:noVBand="1"/>
      </w:tblPr>
      <w:tblGrid>
        <w:gridCol w:w="38"/>
        <w:gridCol w:w="2337"/>
        <w:gridCol w:w="36"/>
        <w:gridCol w:w="36"/>
        <w:gridCol w:w="36"/>
        <w:gridCol w:w="36"/>
        <w:gridCol w:w="53"/>
        <w:gridCol w:w="1275"/>
        <w:gridCol w:w="36"/>
        <w:gridCol w:w="36"/>
        <w:gridCol w:w="36"/>
        <w:gridCol w:w="36"/>
        <w:gridCol w:w="122"/>
        <w:gridCol w:w="1044"/>
        <w:gridCol w:w="36"/>
        <w:gridCol w:w="36"/>
        <w:gridCol w:w="36"/>
        <w:gridCol w:w="36"/>
        <w:gridCol w:w="56"/>
        <w:gridCol w:w="1311"/>
        <w:gridCol w:w="36"/>
        <w:gridCol w:w="36"/>
        <w:gridCol w:w="36"/>
        <w:gridCol w:w="36"/>
        <w:gridCol w:w="123"/>
        <w:gridCol w:w="1365"/>
        <w:gridCol w:w="36"/>
      </w:tblGrid>
      <w:tr w:rsidR="00834A75" w14:paraId="7C2091D1" w14:textId="77777777">
        <w:tc>
          <w:tcPr>
            <w:tcW w:w="50" w:type="pct"/>
            <w:shd w:val="clear" w:color="auto" w:fill="auto"/>
            <w:vAlign w:val="bottom"/>
          </w:tcPr>
          <w:p w14:paraId="7C2091B6" w14:textId="77777777" w:rsidR="00834A75" w:rsidRDefault="00834A75">
            <w:pPr>
              <w:rPr>
                <w:rFonts w:ascii="宋体"/>
              </w:rPr>
            </w:pPr>
          </w:p>
        </w:tc>
        <w:tc>
          <w:tcPr>
            <w:tcW w:w="1428" w:type="pct"/>
            <w:shd w:val="clear" w:color="auto" w:fill="auto"/>
            <w:vAlign w:val="bottom"/>
          </w:tcPr>
          <w:p w14:paraId="7C2091B7" w14:textId="77777777" w:rsidR="00834A75" w:rsidRDefault="00834A75">
            <w:pPr>
              <w:rPr>
                <w:rFonts w:ascii="宋体"/>
              </w:rPr>
            </w:pPr>
          </w:p>
        </w:tc>
        <w:tc>
          <w:tcPr>
            <w:tcW w:w="5" w:type="pct"/>
            <w:shd w:val="clear" w:color="auto" w:fill="auto"/>
            <w:vAlign w:val="bottom"/>
          </w:tcPr>
          <w:p w14:paraId="7C2091B8" w14:textId="77777777" w:rsidR="00834A75" w:rsidRDefault="00834A75">
            <w:pPr>
              <w:rPr>
                <w:rFonts w:ascii="宋体"/>
              </w:rPr>
            </w:pPr>
          </w:p>
        </w:tc>
        <w:tc>
          <w:tcPr>
            <w:tcW w:w="5" w:type="pct"/>
            <w:shd w:val="clear" w:color="auto" w:fill="auto"/>
            <w:vAlign w:val="bottom"/>
          </w:tcPr>
          <w:p w14:paraId="7C2091B9" w14:textId="77777777" w:rsidR="00834A75" w:rsidRDefault="00834A75">
            <w:pPr>
              <w:rPr>
                <w:rFonts w:ascii="宋体"/>
              </w:rPr>
            </w:pPr>
          </w:p>
        </w:tc>
        <w:tc>
          <w:tcPr>
            <w:tcW w:w="19" w:type="pct"/>
            <w:shd w:val="clear" w:color="auto" w:fill="auto"/>
            <w:vAlign w:val="bottom"/>
          </w:tcPr>
          <w:p w14:paraId="7C2091BA" w14:textId="77777777" w:rsidR="00834A75" w:rsidRDefault="00834A75">
            <w:pPr>
              <w:rPr>
                <w:rFonts w:ascii="宋体"/>
              </w:rPr>
            </w:pPr>
          </w:p>
        </w:tc>
        <w:tc>
          <w:tcPr>
            <w:tcW w:w="5" w:type="pct"/>
            <w:shd w:val="clear" w:color="auto" w:fill="auto"/>
            <w:vAlign w:val="bottom"/>
          </w:tcPr>
          <w:p w14:paraId="7C2091BB" w14:textId="77777777" w:rsidR="00834A75" w:rsidRDefault="00834A75">
            <w:pPr>
              <w:rPr>
                <w:rFonts w:ascii="宋体"/>
              </w:rPr>
            </w:pPr>
          </w:p>
        </w:tc>
        <w:tc>
          <w:tcPr>
            <w:tcW w:w="50" w:type="pct"/>
            <w:shd w:val="clear" w:color="auto" w:fill="auto"/>
            <w:vAlign w:val="bottom"/>
          </w:tcPr>
          <w:p w14:paraId="7C2091BC" w14:textId="77777777" w:rsidR="00834A75" w:rsidRDefault="00834A75">
            <w:pPr>
              <w:rPr>
                <w:rFonts w:ascii="宋体"/>
              </w:rPr>
            </w:pPr>
          </w:p>
        </w:tc>
        <w:tc>
          <w:tcPr>
            <w:tcW w:w="800" w:type="pct"/>
            <w:shd w:val="clear" w:color="auto" w:fill="auto"/>
            <w:vAlign w:val="bottom"/>
          </w:tcPr>
          <w:p w14:paraId="7C2091BD" w14:textId="77777777" w:rsidR="00834A75" w:rsidRDefault="00834A75">
            <w:pPr>
              <w:rPr>
                <w:rFonts w:ascii="宋体"/>
              </w:rPr>
            </w:pPr>
          </w:p>
        </w:tc>
        <w:tc>
          <w:tcPr>
            <w:tcW w:w="5" w:type="pct"/>
            <w:shd w:val="clear" w:color="auto" w:fill="auto"/>
            <w:vAlign w:val="bottom"/>
          </w:tcPr>
          <w:p w14:paraId="7C2091BE" w14:textId="77777777" w:rsidR="00834A75" w:rsidRDefault="00834A75">
            <w:pPr>
              <w:rPr>
                <w:rFonts w:ascii="宋体"/>
              </w:rPr>
            </w:pPr>
          </w:p>
        </w:tc>
        <w:tc>
          <w:tcPr>
            <w:tcW w:w="5" w:type="pct"/>
            <w:shd w:val="clear" w:color="auto" w:fill="auto"/>
            <w:vAlign w:val="bottom"/>
          </w:tcPr>
          <w:p w14:paraId="7C2091BF" w14:textId="77777777" w:rsidR="00834A75" w:rsidRDefault="00834A75">
            <w:pPr>
              <w:rPr>
                <w:rFonts w:ascii="宋体"/>
              </w:rPr>
            </w:pPr>
          </w:p>
        </w:tc>
        <w:tc>
          <w:tcPr>
            <w:tcW w:w="26" w:type="pct"/>
            <w:shd w:val="clear" w:color="auto" w:fill="auto"/>
            <w:vAlign w:val="bottom"/>
          </w:tcPr>
          <w:p w14:paraId="7C2091C0" w14:textId="77777777" w:rsidR="00834A75" w:rsidRDefault="00834A75">
            <w:pPr>
              <w:rPr>
                <w:rFonts w:ascii="宋体"/>
              </w:rPr>
            </w:pPr>
          </w:p>
        </w:tc>
        <w:tc>
          <w:tcPr>
            <w:tcW w:w="5" w:type="pct"/>
            <w:shd w:val="clear" w:color="auto" w:fill="auto"/>
            <w:vAlign w:val="bottom"/>
          </w:tcPr>
          <w:p w14:paraId="7C2091C1" w14:textId="77777777" w:rsidR="00834A75" w:rsidRDefault="00834A75">
            <w:pPr>
              <w:rPr>
                <w:rFonts w:ascii="宋体"/>
              </w:rPr>
            </w:pPr>
          </w:p>
        </w:tc>
        <w:tc>
          <w:tcPr>
            <w:tcW w:w="50" w:type="pct"/>
            <w:shd w:val="clear" w:color="auto" w:fill="auto"/>
            <w:vAlign w:val="bottom"/>
          </w:tcPr>
          <w:p w14:paraId="7C2091C2" w14:textId="77777777" w:rsidR="00834A75" w:rsidRDefault="00834A75">
            <w:pPr>
              <w:rPr>
                <w:rFonts w:ascii="宋体"/>
              </w:rPr>
            </w:pPr>
          </w:p>
        </w:tc>
        <w:tc>
          <w:tcPr>
            <w:tcW w:w="675" w:type="pct"/>
            <w:shd w:val="clear" w:color="auto" w:fill="auto"/>
            <w:vAlign w:val="bottom"/>
          </w:tcPr>
          <w:p w14:paraId="7C2091C3" w14:textId="77777777" w:rsidR="00834A75" w:rsidRDefault="00834A75">
            <w:pPr>
              <w:rPr>
                <w:rFonts w:ascii="宋体"/>
              </w:rPr>
            </w:pPr>
          </w:p>
        </w:tc>
        <w:tc>
          <w:tcPr>
            <w:tcW w:w="5" w:type="pct"/>
            <w:shd w:val="clear" w:color="auto" w:fill="auto"/>
            <w:vAlign w:val="bottom"/>
          </w:tcPr>
          <w:p w14:paraId="7C2091C4" w14:textId="77777777" w:rsidR="00834A75" w:rsidRDefault="00834A75">
            <w:pPr>
              <w:rPr>
                <w:rFonts w:ascii="宋体"/>
              </w:rPr>
            </w:pPr>
          </w:p>
        </w:tc>
        <w:tc>
          <w:tcPr>
            <w:tcW w:w="5" w:type="pct"/>
            <w:shd w:val="clear" w:color="auto" w:fill="auto"/>
            <w:vAlign w:val="bottom"/>
          </w:tcPr>
          <w:p w14:paraId="7C2091C5" w14:textId="77777777" w:rsidR="00834A75" w:rsidRDefault="00834A75">
            <w:pPr>
              <w:rPr>
                <w:rFonts w:ascii="宋体"/>
              </w:rPr>
            </w:pPr>
          </w:p>
        </w:tc>
        <w:tc>
          <w:tcPr>
            <w:tcW w:w="26" w:type="pct"/>
            <w:shd w:val="clear" w:color="auto" w:fill="auto"/>
            <w:vAlign w:val="bottom"/>
          </w:tcPr>
          <w:p w14:paraId="7C2091C6" w14:textId="77777777" w:rsidR="00834A75" w:rsidRDefault="00834A75">
            <w:pPr>
              <w:rPr>
                <w:rFonts w:ascii="宋体"/>
              </w:rPr>
            </w:pPr>
          </w:p>
        </w:tc>
        <w:tc>
          <w:tcPr>
            <w:tcW w:w="5" w:type="pct"/>
            <w:shd w:val="clear" w:color="auto" w:fill="auto"/>
            <w:vAlign w:val="bottom"/>
          </w:tcPr>
          <w:p w14:paraId="7C2091C7" w14:textId="77777777" w:rsidR="00834A75" w:rsidRDefault="00834A75">
            <w:pPr>
              <w:rPr>
                <w:rFonts w:ascii="宋体"/>
              </w:rPr>
            </w:pPr>
          </w:p>
        </w:tc>
        <w:tc>
          <w:tcPr>
            <w:tcW w:w="50" w:type="pct"/>
            <w:shd w:val="clear" w:color="auto" w:fill="auto"/>
            <w:vAlign w:val="bottom"/>
          </w:tcPr>
          <w:p w14:paraId="7C2091C8" w14:textId="77777777" w:rsidR="00834A75" w:rsidRDefault="00834A75">
            <w:pPr>
              <w:rPr>
                <w:rFonts w:ascii="宋体"/>
              </w:rPr>
            </w:pPr>
          </w:p>
        </w:tc>
        <w:tc>
          <w:tcPr>
            <w:tcW w:w="844" w:type="pct"/>
            <w:shd w:val="clear" w:color="auto" w:fill="auto"/>
            <w:vAlign w:val="bottom"/>
          </w:tcPr>
          <w:p w14:paraId="7C2091C9" w14:textId="77777777" w:rsidR="00834A75" w:rsidRDefault="00834A75">
            <w:pPr>
              <w:rPr>
                <w:rFonts w:ascii="宋体"/>
              </w:rPr>
            </w:pPr>
          </w:p>
        </w:tc>
        <w:tc>
          <w:tcPr>
            <w:tcW w:w="5" w:type="pct"/>
            <w:shd w:val="clear" w:color="auto" w:fill="auto"/>
            <w:vAlign w:val="bottom"/>
          </w:tcPr>
          <w:p w14:paraId="7C2091CA" w14:textId="77777777" w:rsidR="00834A75" w:rsidRDefault="00834A75">
            <w:pPr>
              <w:rPr>
                <w:rFonts w:ascii="宋体"/>
              </w:rPr>
            </w:pPr>
          </w:p>
        </w:tc>
        <w:tc>
          <w:tcPr>
            <w:tcW w:w="5" w:type="pct"/>
            <w:shd w:val="clear" w:color="auto" w:fill="auto"/>
            <w:vAlign w:val="bottom"/>
          </w:tcPr>
          <w:p w14:paraId="7C2091CB" w14:textId="77777777" w:rsidR="00834A75" w:rsidRDefault="00834A75">
            <w:pPr>
              <w:rPr>
                <w:rFonts w:ascii="宋体"/>
              </w:rPr>
            </w:pPr>
          </w:p>
        </w:tc>
        <w:tc>
          <w:tcPr>
            <w:tcW w:w="19" w:type="pct"/>
            <w:shd w:val="clear" w:color="auto" w:fill="auto"/>
            <w:vAlign w:val="bottom"/>
          </w:tcPr>
          <w:p w14:paraId="7C2091CC" w14:textId="77777777" w:rsidR="00834A75" w:rsidRDefault="00834A75">
            <w:pPr>
              <w:rPr>
                <w:rFonts w:ascii="宋体"/>
              </w:rPr>
            </w:pPr>
          </w:p>
        </w:tc>
        <w:tc>
          <w:tcPr>
            <w:tcW w:w="5" w:type="pct"/>
            <w:shd w:val="clear" w:color="auto" w:fill="auto"/>
            <w:vAlign w:val="bottom"/>
          </w:tcPr>
          <w:p w14:paraId="7C2091CD" w14:textId="77777777" w:rsidR="00834A75" w:rsidRDefault="00834A75">
            <w:pPr>
              <w:rPr>
                <w:rFonts w:ascii="宋体"/>
              </w:rPr>
            </w:pPr>
          </w:p>
        </w:tc>
        <w:tc>
          <w:tcPr>
            <w:tcW w:w="50" w:type="pct"/>
            <w:shd w:val="clear" w:color="auto" w:fill="auto"/>
            <w:vAlign w:val="bottom"/>
          </w:tcPr>
          <w:p w14:paraId="7C2091CE" w14:textId="77777777" w:rsidR="00834A75" w:rsidRDefault="00834A75">
            <w:pPr>
              <w:rPr>
                <w:rFonts w:ascii="宋体"/>
              </w:rPr>
            </w:pPr>
          </w:p>
        </w:tc>
        <w:tc>
          <w:tcPr>
            <w:tcW w:w="844" w:type="pct"/>
            <w:shd w:val="clear" w:color="auto" w:fill="auto"/>
            <w:vAlign w:val="bottom"/>
          </w:tcPr>
          <w:p w14:paraId="7C2091CF" w14:textId="77777777" w:rsidR="00834A75" w:rsidRDefault="00834A75">
            <w:pPr>
              <w:rPr>
                <w:rFonts w:ascii="宋体"/>
              </w:rPr>
            </w:pPr>
          </w:p>
        </w:tc>
        <w:tc>
          <w:tcPr>
            <w:tcW w:w="5" w:type="pct"/>
            <w:shd w:val="clear" w:color="auto" w:fill="auto"/>
            <w:vAlign w:val="bottom"/>
          </w:tcPr>
          <w:p w14:paraId="7C2091D0" w14:textId="77777777" w:rsidR="00834A75" w:rsidRDefault="00834A75">
            <w:pPr>
              <w:rPr>
                <w:rFonts w:ascii="宋体"/>
              </w:rPr>
            </w:pPr>
          </w:p>
        </w:tc>
      </w:tr>
      <w:tr w:rsidR="00834A75" w14:paraId="7C2091DB" w14:textId="77777777">
        <w:tc>
          <w:tcPr>
            <w:tcW w:w="0" w:type="auto"/>
            <w:gridSpan w:val="3"/>
            <w:shd w:val="clear" w:color="auto" w:fill="auto"/>
            <w:tcMar>
              <w:top w:w="40" w:type="dxa"/>
              <w:left w:w="20" w:type="dxa"/>
              <w:bottom w:w="40" w:type="dxa"/>
              <w:right w:w="20" w:type="dxa"/>
            </w:tcMar>
            <w:vAlign w:val="bottom"/>
          </w:tcPr>
          <w:p w14:paraId="7C2091D2" w14:textId="77777777" w:rsidR="00834A75" w:rsidRDefault="00A6708C">
            <w:pPr>
              <w:jc w:val="center"/>
              <w:textAlignment w:val="bottom"/>
            </w:pPr>
            <w:r>
              <w:rPr>
                <w:rFonts w:ascii="sans-serif" w:eastAsia="sans-serif" w:hAnsi="sans-serif" w:cs="sans-serif"/>
                <w:b/>
                <w:bCs/>
                <w:color w:val="000000"/>
                <w:sz w:val="20"/>
                <w:szCs w:val="20"/>
              </w:rPr>
              <w:t>Period</w:t>
            </w:r>
          </w:p>
        </w:tc>
        <w:tc>
          <w:tcPr>
            <w:tcW w:w="0" w:type="auto"/>
            <w:gridSpan w:val="3"/>
            <w:shd w:val="clear" w:color="auto" w:fill="auto"/>
            <w:tcMar>
              <w:top w:w="0" w:type="dxa"/>
              <w:left w:w="20" w:type="dxa"/>
              <w:bottom w:w="0" w:type="dxa"/>
              <w:right w:w="20" w:type="dxa"/>
            </w:tcMar>
            <w:vAlign w:val="bottom"/>
          </w:tcPr>
          <w:p w14:paraId="7C2091D3" w14:textId="77777777" w:rsidR="00834A75" w:rsidRDefault="00834A75">
            <w:pPr>
              <w:rPr>
                <w:rFonts w:ascii="宋体"/>
              </w:rPr>
            </w:pPr>
          </w:p>
        </w:tc>
        <w:tc>
          <w:tcPr>
            <w:tcW w:w="0" w:type="auto"/>
            <w:gridSpan w:val="3"/>
            <w:shd w:val="clear" w:color="auto" w:fill="auto"/>
            <w:tcMar>
              <w:top w:w="40" w:type="dxa"/>
              <w:left w:w="20" w:type="dxa"/>
              <w:bottom w:w="40" w:type="dxa"/>
              <w:right w:w="20" w:type="dxa"/>
            </w:tcMar>
            <w:vAlign w:val="bottom"/>
          </w:tcPr>
          <w:p w14:paraId="7C2091D4" w14:textId="77777777" w:rsidR="00834A75" w:rsidRDefault="00A6708C">
            <w:pPr>
              <w:jc w:val="center"/>
              <w:textAlignment w:val="bottom"/>
            </w:pPr>
            <w:r>
              <w:rPr>
                <w:rFonts w:ascii="sans-serif" w:eastAsia="sans-serif" w:hAnsi="sans-serif" w:cs="sans-serif"/>
                <w:b/>
                <w:bCs/>
                <w:color w:val="000000"/>
                <w:sz w:val="20"/>
                <w:szCs w:val="20"/>
              </w:rPr>
              <w:t>Total Number of Shares Purchased (In millions)</w:t>
            </w:r>
          </w:p>
        </w:tc>
        <w:tc>
          <w:tcPr>
            <w:tcW w:w="0" w:type="auto"/>
            <w:gridSpan w:val="3"/>
            <w:shd w:val="clear" w:color="auto" w:fill="auto"/>
            <w:tcMar>
              <w:top w:w="0" w:type="dxa"/>
              <w:left w:w="20" w:type="dxa"/>
              <w:bottom w:w="0" w:type="dxa"/>
              <w:right w:w="20" w:type="dxa"/>
            </w:tcMar>
            <w:vAlign w:val="bottom"/>
          </w:tcPr>
          <w:p w14:paraId="7C2091D5" w14:textId="77777777" w:rsidR="00834A75" w:rsidRDefault="00834A75">
            <w:pPr>
              <w:rPr>
                <w:rFonts w:ascii="宋体"/>
              </w:rPr>
            </w:pPr>
          </w:p>
        </w:tc>
        <w:tc>
          <w:tcPr>
            <w:tcW w:w="0" w:type="auto"/>
            <w:gridSpan w:val="3"/>
            <w:shd w:val="clear" w:color="auto" w:fill="auto"/>
            <w:tcMar>
              <w:top w:w="40" w:type="dxa"/>
              <w:left w:w="20" w:type="dxa"/>
              <w:bottom w:w="40" w:type="dxa"/>
              <w:right w:w="20" w:type="dxa"/>
            </w:tcMar>
            <w:vAlign w:val="bottom"/>
          </w:tcPr>
          <w:p w14:paraId="7C2091D6" w14:textId="77777777" w:rsidR="00834A75" w:rsidRDefault="00A6708C">
            <w:pPr>
              <w:jc w:val="center"/>
              <w:textAlignment w:val="bottom"/>
            </w:pPr>
            <w:r>
              <w:rPr>
                <w:rFonts w:ascii="sans-serif" w:eastAsia="sans-serif" w:hAnsi="sans-serif" w:cs="sans-serif"/>
                <w:b/>
                <w:bCs/>
                <w:color w:val="000000"/>
                <w:sz w:val="20"/>
                <w:szCs w:val="20"/>
              </w:rPr>
              <w:t>Average Price Paid per Share</w:t>
            </w:r>
          </w:p>
        </w:tc>
        <w:tc>
          <w:tcPr>
            <w:tcW w:w="0" w:type="auto"/>
            <w:gridSpan w:val="3"/>
            <w:shd w:val="clear" w:color="auto" w:fill="auto"/>
            <w:tcMar>
              <w:top w:w="0" w:type="dxa"/>
              <w:left w:w="20" w:type="dxa"/>
              <w:bottom w:w="0" w:type="dxa"/>
              <w:right w:w="20" w:type="dxa"/>
            </w:tcMar>
            <w:vAlign w:val="bottom"/>
          </w:tcPr>
          <w:p w14:paraId="7C2091D7" w14:textId="77777777" w:rsidR="00834A75" w:rsidRDefault="00834A75">
            <w:pPr>
              <w:rPr>
                <w:rFonts w:ascii="宋体"/>
              </w:rPr>
            </w:pPr>
          </w:p>
        </w:tc>
        <w:tc>
          <w:tcPr>
            <w:tcW w:w="0" w:type="auto"/>
            <w:gridSpan w:val="3"/>
            <w:shd w:val="clear" w:color="auto" w:fill="auto"/>
            <w:tcMar>
              <w:top w:w="40" w:type="dxa"/>
              <w:left w:w="20" w:type="dxa"/>
              <w:bottom w:w="40" w:type="dxa"/>
              <w:right w:w="20" w:type="dxa"/>
            </w:tcMar>
            <w:vAlign w:val="bottom"/>
          </w:tcPr>
          <w:p w14:paraId="7C2091D8" w14:textId="77777777" w:rsidR="00834A75" w:rsidRDefault="00A6708C">
            <w:pPr>
              <w:jc w:val="center"/>
              <w:textAlignment w:val="bottom"/>
            </w:pPr>
            <w:r>
              <w:rPr>
                <w:rFonts w:ascii="sans-serif" w:eastAsia="sans-serif" w:hAnsi="sans-serif" w:cs="sans-serif"/>
                <w:b/>
                <w:bCs/>
                <w:color w:val="000000"/>
                <w:sz w:val="20"/>
                <w:szCs w:val="20"/>
              </w:rPr>
              <w:t>Total Number of Shares Purchased as Part of Publicly Announced Program (In millions)</w:t>
            </w:r>
          </w:p>
        </w:tc>
        <w:tc>
          <w:tcPr>
            <w:tcW w:w="0" w:type="auto"/>
            <w:gridSpan w:val="3"/>
            <w:shd w:val="clear" w:color="auto" w:fill="auto"/>
            <w:tcMar>
              <w:top w:w="0" w:type="dxa"/>
              <w:left w:w="20" w:type="dxa"/>
              <w:bottom w:w="0" w:type="dxa"/>
              <w:right w:w="20" w:type="dxa"/>
            </w:tcMar>
            <w:vAlign w:val="bottom"/>
          </w:tcPr>
          <w:p w14:paraId="7C2091D9" w14:textId="77777777" w:rsidR="00834A75" w:rsidRDefault="00834A75">
            <w:pPr>
              <w:rPr>
                <w:rFonts w:ascii="宋体"/>
              </w:rPr>
            </w:pPr>
          </w:p>
        </w:tc>
        <w:tc>
          <w:tcPr>
            <w:tcW w:w="0" w:type="auto"/>
            <w:gridSpan w:val="3"/>
            <w:shd w:val="clear" w:color="auto" w:fill="auto"/>
            <w:tcMar>
              <w:top w:w="40" w:type="dxa"/>
              <w:left w:w="20" w:type="dxa"/>
              <w:bottom w:w="40" w:type="dxa"/>
              <w:right w:w="20" w:type="dxa"/>
            </w:tcMar>
            <w:vAlign w:val="bottom"/>
          </w:tcPr>
          <w:p w14:paraId="7C2091DA" w14:textId="77777777" w:rsidR="00834A75" w:rsidRDefault="00A6708C">
            <w:pPr>
              <w:jc w:val="center"/>
              <w:textAlignment w:val="bottom"/>
            </w:pPr>
            <w:r>
              <w:rPr>
                <w:rFonts w:ascii="sans-serif" w:eastAsia="sans-serif" w:hAnsi="sans-serif" w:cs="sans-serif"/>
                <w:b/>
                <w:bCs/>
                <w:color w:val="000000"/>
                <w:sz w:val="20"/>
                <w:szCs w:val="20"/>
              </w:rPr>
              <w:t xml:space="preserve">Approximately Dollar </w:t>
            </w:r>
            <w:r>
              <w:rPr>
                <w:rFonts w:ascii="sans-serif" w:eastAsia="sans-serif" w:hAnsi="sans-serif" w:cs="sans-serif"/>
                <w:b/>
                <w:bCs/>
                <w:color w:val="000000"/>
                <w:sz w:val="20"/>
                <w:szCs w:val="20"/>
              </w:rPr>
              <w:t>Value of Shares that May Yet Be Purchased Under the Program (In billions)</w:t>
            </w:r>
          </w:p>
        </w:tc>
      </w:tr>
      <w:tr w:rsidR="00834A75" w14:paraId="7C2091EB" w14:textId="77777777">
        <w:tc>
          <w:tcPr>
            <w:tcW w:w="0" w:type="auto"/>
            <w:gridSpan w:val="3"/>
            <w:tcBorders>
              <w:top w:val="single" w:sz="8" w:space="0" w:color="000000"/>
            </w:tcBorders>
            <w:shd w:val="clear" w:color="auto" w:fill="E2EFD9"/>
            <w:tcMar>
              <w:top w:w="40" w:type="dxa"/>
              <w:left w:w="20" w:type="dxa"/>
              <w:bottom w:w="40" w:type="dxa"/>
              <w:right w:w="20" w:type="dxa"/>
            </w:tcMar>
            <w:vAlign w:val="bottom"/>
          </w:tcPr>
          <w:p w14:paraId="7C2091DC" w14:textId="77777777" w:rsidR="00834A75" w:rsidRDefault="00A6708C">
            <w:pPr>
              <w:textAlignment w:val="bottom"/>
            </w:pPr>
            <w:r>
              <w:rPr>
                <w:rFonts w:ascii="sans-serif" w:eastAsia="sans-serif" w:hAnsi="sans-serif" w:cs="sans-serif"/>
                <w:color w:val="000000"/>
                <w:sz w:val="20"/>
                <w:szCs w:val="20"/>
              </w:rPr>
              <w:t>January 31, 2022 - February 27, 2022</w:t>
            </w:r>
          </w:p>
        </w:tc>
        <w:tc>
          <w:tcPr>
            <w:tcW w:w="0" w:type="auto"/>
            <w:gridSpan w:val="3"/>
            <w:shd w:val="clear" w:color="auto" w:fill="E2EFD9"/>
            <w:tcMar>
              <w:top w:w="0" w:type="dxa"/>
              <w:left w:w="20" w:type="dxa"/>
              <w:bottom w:w="0" w:type="dxa"/>
              <w:right w:w="20" w:type="dxa"/>
            </w:tcMar>
            <w:vAlign w:val="bottom"/>
          </w:tcPr>
          <w:p w14:paraId="7C2091DD" w14:textId="77777777" w:rsidR="00834A75" w:rsidRDefault="00834A75">
            <w:pPr>
              <w:rPr>
                <w:rFonts w:ascii="宋体"/>
              </w:rPr>
            </w:pPr>
          </w:p>
        </w:tc>
        <w:tc>
          <w:tcPr>
            <w:tcW w:w="0" w:type="auto"/>
            <w:gridSpan w:val="2"/>
            <w:tcBorders>
              <w:top w:val="single" w:sz="8" w:space="0" w:color="000000"/>
            </w:tcBorders>
            <w:shd w:val="clear" w:color="auto" w:fill="E2EFD9"/>
            <w:tcMar>
              <w:top w:w="40" w:type="dxa"/>
              <w:left w:w="20" w:type="dxa"/>
              <w:bottom w:w="40" w:type="dxa"/>
              <w:right w:w="0" w:type="dxa"/>
            </w:tcMar>
            <w:vAlign w:val="bottom"/>
          </w:tcPr>
          <w:p w14:paraId="7C2091DE" w14:textId="77777777" w:rsidR="00834A75" w:rsidRDefault="00A6708C">
            <w:pPr>
              <w:jc w:val="right"/>
              <w:textAlignment w:val="bottom"/>
            </w:pPr>
            <w:r>
              <w:rPr>
                <w:rFonts w:ascii="sans-serif" w:eastAsia="sans-serif" w:hAnsi="sans-serif" w:cs="sans-serif"/>
                <w:color w:val="000000"/>
                <w:sz w:val="20"/>
                <w:szCs w:val="20"/>
              </w:rPr>
              <w:t>— </w:t>
            </w:r>
          </w:p>
        </w:tc>
        <w:tc>
          <w:tcPr>
            <w:tcW w:w="0" w:type="auto"/>
            <w:tcBorders>
              <w:top w:val="single" w:sz="8" w:space="0" w:color="000000"/>
            </w:tcBorders>
            <w:shd w:val="clear" w:color="auto" w:fill="E2EFD9"/>
            <w:tcMar>
              <w:top w:w="40" w:type="dxa"/>
              <w:left w:w="0" w:type="dxa"/>
              <w:bottom w:w="40" w:type="dxa"/>
              <w:right w:w="20" w:type="dxa"/>
            </w:tcMar>
            <w:vAlign w:val="bottom"/>
          </w:tcPr>
          <w:p w14:paraId="7C2091DF" w14:textId="77777777" w:rsidR="00834A75" w:rsidRDefault="00834A75">
            <w:pPr>
              <w:jc w:val="right"/>
              <w:rPr>
                <w:rFonts w:ascii="宋体"/>
              </w:rPr>
            </w:pPr>
          </w:p>
        </w:tc>
        <w:tc>
          <w:tcPr>
            <w:tcW w:w="0" w:type="auto"/>
            <w:gridSpan w:val="3"/>
            <w:shd w:val="clear" w:color="auto" w:fill="E2EFD9"/>
            <w:tcMar>
              <w:top w:w="0" w:type="dxa"/>
              <w:left w:w="20" w:type="dxa"/>
              <w:bottom w:w="0" w:type="dxa"/>
              <w:right w:w="20" w:type="dxa"/>
            </w:tcMar>
            <w:vAlign w:val="bottom"/>
          </w:tcPr>
          <w:p w14:paraId="7C2091E0" w14:textId="77777777" w:rsidR="00834A75" w:rsidRDefault="00834A75">
            <w:pPr>
              <w:rPr>
                <w:rFonts w:ascii="宋体"/>
              </w:rPr>
            </w:pPr>
          </w:p>
        </w:tc>
        <w:tc>
          <w:tcPr>
            <w:tcW w:w="0" w:type="auto"/>
            <w:tcBorders>
              <w:top w:val="single" w:sz="8" w:space="0" w:color="000000"/>
            </w:tcBorders>
            <w:shd w:val="clear" w:color="auto" w:fill="E2EFD9"/>
            <w:tcMar>
              <w:top w:w="40" w:type="dxa"/>
              <w:left w:w="20" w:type="dxa"/>
              <w:bottom w:w="40" w:type="dxa"/>
              <w:right w:w="0" w:type="dxa"/>
            </w:tcMar>
            <w:vAlign w:val="bottom"/>
          </w:tcPr>
          <w:p w14:paraId="7C2091E1" w14:textId="77777777" w:rsidR="00834A75" w:rsidRDefault="00A6708C">
            <w:pPr>
              <w:textAlignment w:val="bottom"/>
            </w:pPr>
            <w:r>
              <w:rPr>
                <w:rFonts w:ascii="sans-serif" w:eastAsia="sans-serif" w:hAnsi="sans-serif" w:cs="sans-serif"/>
                <w:color w:val="000000"/>
                <w:sz w:val="20"/>
                <w:szCs w:val="20"/>
              </w:rPr>
              <w:t>$</w:t>
            </w:r>
          </w:p>
        </w:tc>
        <w:tc>
          <w:tcPr>
            <w:tcW w:w="0" w:type="auto"/>
            <w:tcBorders>
              <w:top w:val="single" w:sz="8" w:space="0" w:color="000000"/>
            </w:tcBorders>
            <w:shd w:val="clear" w:color="auto" w:fill="E2EFD9"/>
            <w:tcMar>
              <w:top w:w="40" w:type="dxa"/>
              <w:left w:w="0" w:type="dxa"/>
              <w:bottom w:w="40" w:type="dxa"/>
              <w:right w:w="0" w:type="dxa"/>
            </w:tcMar>
            <w:vAlign w:val="bottom"/>
          </w:tcPr>
          <w:p w14:paraId="7C2091E2" w14:textId="77777777" w:rsidR="00834A75" w:rsidRDefault="00A6708C">
            <w:pPr>
              <w:jc w:val="right"/>
              <w:textAlignment w:val="bottom"/>
            </w:pPr>
            <w:r>
              <w:rPr>
                <w:rFonts w:ascii="sans-serif" w:eastAsia="sans-serif" w:hAnsi="sans-serif" w:cs="sans-serif"/>
                <w:color w:val="000000"/>
                <w:sz w:val="20"/>
                <w:szCs w:val="20"/>
              </w:rPr>
              <w:t>— </w:t>
            </w:r>
          </w:p>
        </w:tc>
        <w:tc>
          <w:tcPr>
            <w:tcW w:w="0" w:type="auto"/>
            <w:tcBorders>
              <w:top w:val="single" w:sz="8" w:space="0" w:color="000000"/>
            </w:tcBorders>
            <w:shd w:val="clear" w:color="auto" w:fill="E2EFD9"/>
            <w:tcMar>
              <w:top w:w="40" w:type="dxa"/>
              <w:left w:w="0" w:type="dxa"/>
              <w:bottom w:w="40" w:type="dxa"/>
              <w:right w:w="20" w:type="dxa"/>
            </w:tcMar>
            <w:vAlign w:val="bottom"/>
          </w:tcPr>
          <w:p w14:paraId="7C2091E3" w14:textId="77777777" w:rsidR="00834A75" w:rsidRDefault="00834A75">
            <w:pPr>
              <w:jc w:val="right"/>
              <w:rPr>
                <w:rFonts w:ascii="宋体"/>
              </w:rPr>
            </w:pPr>
          </w:p>
        </w:tc>
        <w:tc>
          <w:tcPr>
            <w:tcW w:w="0" w:type="auto"/>
            <w:gridSpan w:val="3"/>
            <w:shd w:val="clear" w:color="auto" w:fill="E2EFD9"/>
            <w:tcMar>
              <w:top w:w="0" w:type="dxa"/>
              <w:left w:w="20" w:type="dxa"/>
              <w:bottom w:w="0" w:type="dxa"/>
              <w:right w:w="20" w:type="dxa"/>
            </w:tcMar>
            <w:vAlign w:val="bottom"/>
          </w:tcPr>
          <w:p w14:paraId="7C2091E4" w14:textId="77777777" w:rsidR="00834A75" w:rsidRDefault="00834A75">
            <w:pPr>
              <w:rPr>
                <w:rFonts w:ascii="宋体"/>
              </w:rPr>
            </w:pPr>
          </w:p>
        </w:tc>
        <w:tc>
          <w:tcPr>
            <w:tcW w:w="0" w:type="auto"/>
            <w:gridSpan w:val="2"/>
            <w:tcBorders>
              <w:top w:val="single" w:sz="8" w:space="0" w:color="000000"/>
            </w:tcBorders>
            <w:shd w:val="clear" w:color="auto" w:fill="E2EFD9"/>
            <w:tcMar>
              <w:top w:w="40" w:type="dxa"/>
              <w:left w:w="20" w:type="dxa"/>
              <w:bottom w:w="40" w:type="dxa"/>
              <w:right w:w="0" w:type="dxa"/>
            </w:tcMar>
            <w:vAlign w:val="bottom"/>
          </w:tcPr>
          <w:p w14:paraId="7C2091E5" w14:textId="77777777" w:rsidR="00834A75" w:rsidRDefault="00A6708C">
            <w:pPr>
              <w:jc w:val="right"/>
              <w:textAlignment w:val="bottom"/>
            </w:pPr>
            <w:r>
              <w:rPr>
                <w:rFonts w:ascii="sans-serif" w:eastAsia="sans-serif" w:hAnsi="sans-serif" w:cs="sans-serif"/>
                <w:color w:val="000000"/>
                <w:sz w:val="20"/>
                <w:szCs w:val="20"/>
              </w:rPr>
              <w:t>— </w:t>
            </w:r>
          </w:p>
        </w:tc>
        <w:tc>
          <w:tcPr>
            <w:tcW w:w="0" w:type="auto"/>
            <w:tcBorders>
              <w:top w:val="single" w:sz="8" w:space="0" w:color="000000"/>
            </w:tcBorders>
            <w:shd w:val="clear" w:color="auto" w:fill="E2EFD9"/>
            <w:tcMar>
              <w:top w:w="40" w:type="dxa"/>
              <w:left w:w="0" w:type="dxa"/>
              <w:bottom w:w="40" w:type="dxa"/>
              <w:right w:w="20" w:type="dxa"/>
            </w:tcMar>
            <w:vAlign w:val="bottom"/>
          </w:tcPr>
          <w:p w14:paraId="7C2091E6" w14:textId="77777777" w:rsidR="00834A75" w:rsidRDefault="00834A75">
            <w:pPr>
              <w:jc w:val="right"/>
              <w:rPr>
                <w:rFonts w:ascii="宋体"/>
              </w:rPr>
            </w:pPr>
          </w:p>
        </w:tc>
        <w:tc>
          <w:tcPr>
            <w:tcW w:w="0" w:type="auto"/>
            <w:gridSpan w:val="3"/>
            <w:shd w:val="clear" w:color="auto" w:fill="E2EFD9"/>
            <w:tcMar>
              <w:top w:w="0" w:type="dxa"/>
              <w:left w:w="20" w:type="dxa"/>
              <w:bottom w:w="0" w:type="dxa"/>
              <w:right w:w="20" w:type="dxa"/>
            </w:tcMar>
            <w:vAlign w:val="bottom"/>
          </w:tcPr>
          <w:p w14:paraId="7C2091E7" w14:textId="77777777" w:rsidR="00834A75" w:rsidRDefault="00834A75">
            <w:pPr>
              <w:rPr>
                <w:rFonts w:ascii="宋体"/>
              </w:rPr>
            </w:pPr>
          </w:p>
        </w:tc>
        <w:tc>
          <w:tcPr>
            <w:tcW w:w="0" w:type="auto"/>
            <w:tcBorders>
              <w:top w:val="single" w:sz="8" w:space="0" w:color="000000"/>
            </w:tcBorders>
            <w:shd w:val="clear" w:color="auto" w:fill="E2EFD9"/>
            <w:tcMar>
              <w:top w:w="40" w:type="dxa"/>
              <w:left w:w="20" w:type="dxa"/>
              <w:bottom w:w="40" w:type="dxa"/>
              <w:right w:w="0" w:type="dxa"/>
            </w:tcMar>
            <w:vAlign w:val="bottom"/>
          </w:tcPr>
          <w:p w14:paraId="7C2091E8" w14:textId="77777777" w:rsidR="00834A75" w:rsidRDefault="00A6708C">
            <w:pPr>
              <w:textAlignment w:val="bottom"/>
            </w:pPr>
            <w:r>
              <w:rPr>
                <w:rFonts w:ascii="sans-serif" w:eastAsia="sans-serif" w:hAnsi="sans-serif" w:cs="sans-serif"/>
                <w:color w:val="000000"/>
                <w:sz w:val="20"/>
                <w:szCs w:val="20"/>
              </w:rPr>
              <w:t>$</w:t>
            </w:r>
          </w:p>
        </w:tc>
        <w:tc>
          <w:tcPr>
            <w:tcW w:w="0" w:type="auto"/>
            <w:tcBorders>
              <w:top w:val="single" w:sz="8" w:space="0" w:color="000000"/>
            </w:tcBorders>
            <w:shd w:val="clear" w:color="auto" w:fill="E2EFD9"/>
            <w:tcMar>
              <w:top w:w="40" w:type="dxa"/>
              <w:left w:w="0" w:type="dxa"/>
              <w:bottom w:w="40" w:type="dxa"/>
              <w:right w:w="0" w:type="dxa"/>
            </w:tcMar>
            <w:vAlign w:val="bottom"/>
          </w:tcPr>
          <w:p w14:paraId="7C2091E9" w14:textId="77777777" w:rsidR="00834A75" w:rsidRDefault="00A6708C">
            <w:pPr>
              <w:jc w:val="right"/>
              <w:textAlignment w:val="bottom"/>
            </w:pPr>
            <w:r>
              <w:rPr>
                <w:rFonts w:ascii="sans-serif" w:eastAsia="sans-serif" w:hAnsi="sans-serif" w:cs="sans-serif"/>
                <w:color w:val="000000"/>
                <w:sz w:val="20"/>
                <w:szCs w:val="20"/>
              </w:rPr>
              <w:t>7.24 </w:t>
            </w:r>
          </w:p>
        </w:tc>
        <w:tc>
          <w:tcPr>
            <w:tcW w:w="0" w:type="auto"/>
            <w:tcBorders>
              <w:top w:val="single" w:sz="8" w:space="0" w:color="000000"/>
            </w:tcBorders>
            <w:shd w:val="clear" w:color="auto" w:fill="E2EFD9"/>
            <w:tcMar>
              <w:top w:w="40" w:type="dxa"/>
              <w:left w:w="0" w:type="dxa"/>
              <w:bottom w:w="40" w:type="dxa"/>
              <w:right w:w="20" w:type="dxa"/>
            </w:tcMar>
            <w:vAlign w:val="bottom"/>
          </w:tcPr>
          <w:p w14:paraId="7C2091EA" w14:textId="77777777" w:rsidR="00834A75" w:rsidRDefault="00834A75">
            <w:pPr>
              <w:jc w:val="right"/>
              <w:rPr>
                <w:rFonts w:ascii="宋体"/>
              </w:rPr>
            </w:pPr>
          </w:p>
        </w:tc>
      </w:tr>
      <w:tr w:rsidR="00834A75" w14:paraId="7C2091FB" w14:textId="77777777">
        <w:tc>
          <w:tcPr>
            <w:tcW w:w="0" w:type="auto"/>
            <w:gridSpan w:val="3"/>
            <w:shd w:val="clear" w:color="auto" w:fill="FFFFFF"/>
            <w:tcMar>
              <w:top w:w="40" w:type="dxa"/>
              <w:left w:w="20" w:type="dxa"/>
              <w:bottom w:w="40" w:type="dxa"/>
              <w:right w:w="20" w:type="dxa"/>
            </w:tcMar>
            <w:vAlign w:val="bottom"/>
          </w:tcPr>
          <w:p w14:paraId="7C2091EC" w14:textId="77777777" w:rsidR="00834A75" w:rsidRDefault="00A6708C">
            <w:pPr>
              <w:textAlignment w:val="bottom"/>
            </w:pPr>
            <w:r>
              <w:rPr>
                <w:rFonts w:ascii="sans-serif" w:eastAsia="sans-serif" w:hAnsi="sans-serif" w:cs="sans-serif"/>
                <w:color w:val="000000"/>
                <w:sz w:val="20"/>
                <w:szCs w:val="20"/>
              </w:rPr>
              <w:t>February 28, 2022 - March 27, 2022</w:t>
            </w:r>
          </w:p>
        </w:tc>
        <w:tc>
          <w:tcPr>
            <w:tcW w:w="0" w:type="auto"/>
            <w:gridSpan w:val="3"/>
            <w:shd w:val="clear" w:color="auto" w:fill="FFFFFF"/>
            <w:tcMar>
              <w:top w:w="0" w:type="dxa"/>
              <w:left w:w="20" w:type="dxa"/>
              <w:bottom w:w="0" w:type="dxa"/>
              <w:right w:w="20" w:type="dxa"/>
            </w:tcMar>
            <w:vAlign w:val="bottom"/>
          </w:tcPr>
          <w:p w14:paraId="7C2091ED" w14:textId="77777777" w:rsidR="00834A75" w:rsidRDefault="00834A75">
            <w:pPr>
              <w:rPr>
                <w:rFonts w:ascii="宋体"/>
              </w:rPr>
            </w:pPr>
          </w:p>
        </w:tc>
        <w:tc>
          <w:tcPr>
            <w:tcW w:w="0" w:type="auto"/>
            <w:gridSpan w:val="2"/>
            <w:shd w:val="clear" w:color="auto" w:fill="FFFFFF"/>
            <w:tcMar>
              <w:top w:w="40" w:type="dxa"/>
              <w:left w:w="20" w:type="dxa"/>
              <w:bottom w:w="40" w:type="dxa"/>
              <w:right w:w="0" w:type="dxa"/>
            </w:tcMar>
            <w:vAlign w:val="bottom"/>
          </w:tcPr>
          <w:p w14:paraId="7C2091EE" w14:textId="77777777" w:rsidR="00834A75" w:rsidRDefault="00A6708C">
            <w:pPr>
              <w:jc w:val="right"/>
              <w:textAlignment w:val="bottom"/>
            </w:pPr>
            <w:r>
              <w:rPr>
                <w:rFonts w:ascii="sans-serif" w:eastAsia="sans-serif" w:hAnsi="sans-serif" w:cs="sans-serif"/>
                <w:color w:val="000000"/>
                <w:sz w:val="20"/>
                <w:szCs w:val="20"/>
              </w:rPr>
              <w:t>8.6 </w:t>
            </w:r>
          </w:p>
        </w:tc>
        <w:tc>
          <w:tcPr>
            <w:tcW w:w="0" w:type="auto"/>
            <w:shd w:val="clear" w:color="auto" w:fill="FFFFFF"/>
            <w:tcMar>
              <w:top w:w="40" w:type="dxa"/>
              <w:left w:w="0" w:type="dxa"/>
              <w:bottom w:w="40" w:type="dxa"/>
              <w:right w:w="20" w:type="dxa"/>
            </w:tcMar>
            <w:vAlign w:val="bottom"/>
          </w:tcPr>
          <w:p w14:paraId="7C2091EF" w14:textId="77777777" w:rsidR="00834A75" w:rsidRDefault="00834A75">
            <w:pPr>
              <w:jc w:val="right"/>
              <w:rPr>
                <w:rFonts w:ascii="宋体"/>
              </w:rPr>
            </w:pPr>
          </w:p>
        </w:tc>
        <w:tc>
          <w:tcPr>
            <w:tcW w:w="0" w:type="auto"/>
            <w:gridSpan w:val="3"/>
            <w:shd w:val="clear" w:color="auto" w:fill="FFFFFF"/>
            <w:tcMar>
              <w:top w:w="0" w:type="dxa"/>
              <w:left w:w="20" w:type="dxa"/>
              <w:bottom w:w="0" w:type="dxa"/>
              <w:right w:w="20" w:type="dxa"/>
            </w:tcMar>
            <w:vAlign w:val="bottom"/>
          </w:tcPr>
          <w:p w14:paraId="7C2091F0" w14:textId="77777777" w:rsidR="00834A75" w:rsidRDefault="00834A75">
            <w:pPr>
              <w:rPr>
                <w:rFonts w:ascii="宋体"/>
              </w:rPr>
            </w:pPr>
          </w:p>
        </w:tc>
        <w:tc>
          <w:tcPr>
            <w:tcW w:w="0" w:type="auto"/>
            <w:shd w:val="clear" w:color="auto" w:fill="FFFFFF"/>
            <w:tcMar>
              <w:top w:w="40" w:type="dxa"/>
              <w:left w:w="20" w:type="dxa"/>
              <w:bottom w:w="40" w:type="dxa"/>
              <w:right w:w="0" w:type="dxa"/>
            </w:tcMar>
            <w:vAlign w:val="bottom"/>
          </w:tcPr>
          <w:p w14:paraId="7C2091F1" w14:textId="77777777" w:rsidR="00834A75" w:rsidRDefault="00A6708C">
            <w:pPr>
              <w:textAlignment w:val="bottom"/>
            </w:pPr>
            <w:r>
              <w:rPr>
                <w:rFonts w:ascii="sans-serif" w:eastAsia="sans-serif" w:hAnsi="sans-serif" w:cs="sans-serif"/>
                <w:color w:val="000000"/>
                <w:sz w:val="20"/>
                <w:szCs w:val="20"/>
              </w:rPr>
              <w:t>$</w:t>
            </w:r>
          </w:p>
        </w:tc>
        <w:tc>
          <w:tcPr>
            <w:tcW w:w="0" w:type="auto"/>
            <w:shd w:val="clear" w:color="auto" w:fill="FFFFFF"/>
            <w:tcMar>
              <w:top w:w="40" w:type="dxa"/>
              <w:left w:w="0" w:type="dxa"/>
              <w:bottom w:w="40" w:type="dxa"/>
              <w:right w:w="0" w:type="dxa"/>
            </w:tcMar>
            <w:vAlign w:val="bottom"/>
          </w:tcPr>
          <w:p w14:paraId="7C2091F2" w14:textId="77777777" w:rsidR="00834A75" w:rsidRDefault="00A6708C">
            <w:pPr>
              <w:jc w:val="right"/>
              <w:textAlignment w:val="bottom"/>
            </w:pPr>
            <w:r>
              <w:rPr>
                <w:rFonts w:ascii="sans-serif" w:eastAsia="sans-serif" w:hAnsi="sans-serif" w:cs="sans-serif"/>
                <w:color w:val="000000"/>
                <w:sz w:val="20"/>
                <w:szCs w:val="20"/>
              </w:rPr>
              <w:t>230.82 </w:t>
            </w:r>
          </w:p>
        </w:tc>
        <w:tc>
          <w:tcPr>
            <w:tcW w:w="0" w:type="auto"/>
            <w:shd w:val="clear" w:color="auto" w:fill="FFFFFF"/>
            <w:tcMar>
              <w:top w:w="40" w:type="dxa"/>
              <w:left w:w="0" w:type="dxa"/>
              <w:bottom w:w="40" w:type="dxa"/>
              <w:right w:w="20" w:type="dxa"/>
            </w:tcMar>
            <w:vAlign w:val="bottom"/>
          </w:tcPr>
          <w:p w14:paraId="7C2091F3" w14:textId="77777777" w:rsidR="00834A75" w:rsidRDefault="00834A75">
            <w:pPr>
              <w:jc w:val="right"/>
              <w:rPr>
                <w:rFonts w:ascii="宋体"/>
              </w:rPr>
            </w:pPr>
          </w:p>
        </w:tc>
        <w:tc>
          <w:tcPr>
            <w:tcW w:w="0" w:type="auto"/>
            <w:gridSpan w:val="3"/>
            <w:shd w:val="clear" w:color="auto" w:fill="FFFFFF"/>
            <w:tcMar>
              <w:top w:w="0" w:type="dxa"/>
              <w:left w:w="20" w:type="dxa"/>
              <w:bottom w:w="0" w:type="dxa"/>
              <w:right w:w="20" w:type="dxa"/>
            </w:tcMar>
            <w:vAlign w:val="bottom"/>
          </w:tcPr>
          <w:p w14:paraId="7C2091F4" w14:textId="77777777" w:rsidR="00834A75" w:rsidRDefault="00834A75">
            <w:pPr>
              <w:rPr>
                <w:rFonts w:ascii="宋体"/>
              </w:rPr>
            </w:pPr>
          </w:p>
        </w:tc>
        <w:tc>
          <w:tcPr>
            <w:tcW w:w="0" w:type="auto"/>
            <w:gridSpan w:val="2"/>
            <w:shd w:val="clear" w:color="auto" w:fill="FFFFFF"/>
            <w:tcMar>
              <w:top w:w="40" w:type="dxa"/>
              <w:left w:w="20" w:type="dxa"/>
              <w:bottom w:w="40" w:type="dxa"/>
              <w:right w:w="0" w:type="dxa"/>
            </w:tcMar>
            <w:vAlign w:val="bottom"/>
          </w:tcPr>
          <w:p w14:paraId="7C2091F5" w14:textId="77777777" w:rsidR="00834A75" w:rsidRDefault="00A6708C">
            <w:pPr>
              <w:jc w:val="right"/>
              <w:textAlignment w:val="bottom"/>
            </w:pPr>
            <w:r>
              <w:rPr>
                <w:rFonts w:ascii="sans-serif" w:eastAsia="sans-serif" w:hAnsi="sans-serif" w:cs="sans-serif"/>
                <w:color w:val="000000"/>
                <w:sz w:val="20"/>
                <w:szCs w:val="20"/>
              </w:rPr>
              <w:t>8.6 </w:t>
            </w:r>
          </w:p>
        </w:tc>
        <w:tc>
          <w:tcPr>
            <w:tcW w:w="0" w:type="auto"/>
            <w:shd w:val="clear" w:color="auto" w:fill="FFFFFF"/>
            <w:tcMar>
              <w:top w:w="40" w:type="dxa"/>
              <w:left w:w="0" w:type="dxa"/>
              <w:bottom w:w="40" w:type="dxa"/>
              <w:right w:w="20" w:type="dxa"/>
            </w:tcMar>
            <w:vAlign w:val="bottom"/>
          </w:tcPr>
          <w:p w14:paraId="7C2091F6" w14:textId="77777777" w:rsidR="00834A75" w:rsidRDefault="00834A75">
            <w:pPr>
              <w:jc w:val="right"/>
              <w:rPr>
                <w:rFonts w:ascii="宋体"/>
              </w:rPr>
            </w:pPr>
          </w:p>
        </w:tc>
        <w:tc>
          <w:tcPr>
            <w:tcW w:w="0" w:type="auto"/>
            <w:gridSpan w:val="3"/>
            <w:shd w:val="clear" w:color="auto" w:fill="FFFFFF"/>
            <w:tcMar>
              <w:top w:w="0" w:type="dxa"/>
              <w:left w:w="20" w:type="dxa"/>
              <w:bottom w:w="0" w:type="dxa"/>
              <w:right w:w="20" w:type="dxa"/>
            </w:tcMar>
            <w:vAlign w:val="bottom"/>
          </w:tcPr>
          <w:p w14:paraId="7C2091F7" w14:textId="77777777" w:rsidR="00834A75" w:rsidRDefault="00834A75">
            <w:pPr>
              <w:rPr>
                <w:rFonts w:ascii="宋体"/>
              </w:rPr>
            </w:pPr>
          </w:p>
        </w:tc>
        <w:tc>
          <w:tcPr>
            <w:tcW w:w="0" w:type="auto"/>
            <w:shd w:val="clear" w:color="auto" w:fill="FFFFFF"/>
            <w:tcMar>
              <w:top w:w="40" w:type="dxa"/>
              <w:left w:w="20" w:type="dxa"/>
              <w:bottom w:w="40" w:type="dxa"/>
              <w:right w:w="0" w:type="dxa"/>
            </w:tcMar>
            <w:vAlign w:val="bottom"/>
          </w:tcPr>
          <w:p w14:paraId="7C2091F8" w14:textId="77777777" w:rsidR="00834A75" w:rsidRDefault="00A6708C">
            <w:pPr>
              <w:textAlignment w:val="bottom"/>
            </w:pPr>
            <w:r>
              <w:rPr>
                <w:rFonts w:ascii="sans-serif" w:eastAsia="sans-serif" w:hAnsi="sans-serif" w:cs="sans-serif"/>
                <w:color w:val="000000"/>
                <w:sz w:val="20"/>
                <w:szCs w:val="20"/>
              </w:rPr>
              <w:t>$</w:t>
            </w:r>
          </w:p>
        </w:tc>
        <w:tc>
          <w:tcPr>
            <w:tcW w:w="0" w:type="auto"/>
            <w:shd w:val="clear" w:color="auto" w:fill="FFFFFF"/>
            <w:tcMar>
              <w:top w:w="40" w:type="dxa"/>
              <w:left w:w="0" w:type="dxa"/>
              <w:bottom w:w="40" w:type="dxa"/>
              <w:right w:w="0" w:type="dxa"/>
            </w:tcMar>
            <w:vAlign w:val="bottom"/>
          </w:tcPr>
          <w:p w14:paraId="7C2091F9" w14:textId="77777777" w:rsidR="00834A75" w:rsidRDefault="00A6708C">
            <w:pPr>
              <w:jc w:val="right"/>
              <w:textAlignment w:val="bottom"/>
            </w:pPr>
            <w:r>
              <w:rPr>
                <w:rFonts w:ascii="sans-serif" w:eastAsia="sans-serif" w:hAnsi="sans-serif" w:cs="sans-serif"/>
                <w:color w:val="000000"/>
                <w:sz w:val="20"/>
                <w:szCs w:val="20"/>
              </w:rPr>
              <w:t>5.24 </w:t>
            </w:r>
          </w:p>
        </w:tc>
        <w:tc>
          <w:tcPr>
            <w:tcW w:w="0" w:type="auto"/>
            <w:shd w:val="clear" w:color="auto" w:fill="FFFFFF"/>
            <w:tcMar>
              <w:top w:w="40" w:type="dxa"/>
              <w:left w:w="0" w:type="dxa"/>
              <w:bottom w:w="40" w:type="dxa"/>
              <w:right w:w="20" w:type="dxa"/>
            </w:tcMar>
            <w:vAlign w:val="bottom"/>
          </w:tcPr>
          <w:p w14:paraId="7C2091FA" w14:textId="77777777" w:rsidR="00834A75" w:rsidRDefault="00834A75">
            <w:pPr>
              <w:jc w:val="right"/>
              <w:rPr>
                <w:rFonts w:ascii="宋体"/>
              </w:rPr>
            </w:pPr>
          </w:p>
        </w:tc>
      </w:tr>
      <w:tr w:rsidR="00834A75" w14:paraId="7C20920B" w14:textId="77777777">
        <w:tc>
          <w:tcPr>
            <w:tcW w:w="0" w:type="auto"/>
            <w:gridSpan w:val="3"/>
            <w:shd w:val="clear" w:color="auto" w:fill="E2EFD9"/>
            <w:tcMar>
              <w:top w:w="40" w:type="dxa"/>
              <w:left w:w="20" w:type="dxa"/>
              <w:bottom w:w="40" w:type="dxa"/>
              <w:right w:w="20" w:type="dxa"/>
            </w:tcMar>
            <w:vAlign w:val="bottom"/>
          </w:tcPr>
          <w:p w14:paraId="7C2091FC" w14:textId="77777777" w:rsidR="00834A75" w:rsidRDefault="00A6708C">
            <w:pPr>
              <w:textAlignment w:val="bottom"/>
            </w:pPr>
            <w:r>
              <w:rPr>
                <w:rFonts w:ascii="sans-serif" w:eastAsia="sans-serif" w:hAnsi="sans-serif" w:cs="sans-serif"/>
                <w:color w:val="000000"/>
                <w:sz w:val="20"/>
                <w:szCs w:val="20"/>
              </w:rPr>
              <w:t>March 28, 2022 - May 1, 2022</w:t>
            </w:r>
          </w:p>
        </w:tc>
        <w:tc>
          <w:tcPr>
            <w:tcW w:w="0" w:type="auto"/>
            <w:gridSpan w:val="3"/>
            <w:shd w:val="clear" w:color="auto" w:fill="E2EFD9"/>
            <w:tcMar>
              <w:top w:w="0" w:type="dxa"/>
              <w:left w:w="20" w:type="dxa"/>
              <w:bottom w:w="0" w:type="dxa"/>
              <w:right w:w="20" w:type="dxa"/>
            </w:tcMar>
            <w:vAlign w:val="bottom"/>
          </w:tcPr>
          <w:p w14:paraId="7C2091FD" w14:textId="77777777" w:rsidR="00834A75" w:rsidRDefault="00834A75">
            <w:pPr>
              <w:rPr>
                <w:rFonts w:ascii="宋体"/>
              </w:rPr>
            </w:pPr>
          </w:p>
        </w:tc>
        <w:tc>
          <w:tcPr>
            <w:tcW w:w="0" w:type="auto"/>
            <w:gridSpan w:val="2"/>
            <w:shd w:val="clear" w:color="auto" w:fill="E2EFD9"/>
            <w:tcMar>
              <w:top w:w="40" w:type="dxa"/>
              <w:left w:w="20" w:type="dxa"/>
              <w:bottom w:w="40" w:type="dxa"/>
              <w:right w:w="0" w:type="dxa"/>
            </w:tcMar>
            <w:vAlign w:val="bottom"/>
          </w:tcPr>
          <w:p w14:paraId="7C2091FE" w14:textId="77777777" w:rsidR="00834A75" w:rsidRDefault="00A6708C">
            <w:pPr>
              <w:jc w:val="right"/>
              <w:textAlignment w:val="bottom"/>
            </w:pPr>
            <w:r>
              <w:rPr>
                <w:rFonts w:ascii="sans-serif" w:eastAsia="sans-serif" w:hAnsi="sans-serif" w:cs="sans-serif"/>
                <w:color w:val="000000"/>
                <w:sz w:val="20"/>
                <w:szCs w:val="20"/>
              </w:rPr>
              <w:t>— </w:t>
            </w:r>
          </w:p>
        </w:tc>
        <w:tc>
          <w:tcPr>
            <w:tcW w:w="0" w:type="auto"/>
            <w:shd w:val="clear" w:color="auto" w:fill="E2EFD9"/>
            <w:tcMar>
              <w:top w:w="40" w:type="dxa"/>
              <w:left w:w="0" w:type="dxa"/>
              <w:bottom w:w="40" w:type="dxa"/>
              <w:right w:w="20" w:type="dxa"/>
            </w:tcMar>
            <w:vAlign w:val="bottom"/>
          </w:tcPr>
          <w:p w14:paraId="7C2091FF" w14:textId="77777777" w:rsidR="00834A75" w:rsidRDefault="00834A75">
            <w:pPr>
              <w:jc w:val="right"/>
              <w:rPr>
                <w:rFonts w:ascii="宋体"/>
              </w:rPr>
            </w:pPr>
          </w:p>
        </w:tc>
        <w:tc>
          <w:tcPr>
            <w:tcW w:w="0" w:type="auto"/>
            <w:gridSpan w:val="3"/>
            <w:shd w:val="clear" w:color="auto" w:fill="E2EFD9"/>
            <w:tcMar>
              <w:top w:w="0" w:type="dxa"/>
              <w:left w:w="20" w:type="dxa"/>
              <w:bottom w:w="0" w:type="dxa"/>
              <w:right w:w="20" w:type="dxa"/>
            </w:tcMar>
            <w:vAlign w:val="bottom"/>
          </w:tcPr>
          <w:p w14:paraId="7C209200" w14:textId="77777777" w:rsidR="00834A75" w:rsidRDefault="00834A75">
            <w:pPr>
              <w:rPr>
                <w:rFonts w:ascii="宋体"/>
              </w:rPr>
            </w:pPr>
          </w:p>
        </w:tc>
        <w:tc>
          <w:tcPr>
            <w:tcW w:w="0" w:type="auto"/>
            <w:shd w:val="clear" w:color="auto" w:fill="E2EFD9"/>
            <w:tcMar>
              <w:top w:w="40" w:type="dxa"/>
              <w:left w:w="20" w:type="dxa"/>
              <w:bottom w:w="40" w:type="dxa"/>
              <w:right w:w="0" w:type="dxa"/>
            </w:tcMar>
            <w:vAlign w:val="bottom"/>
          </w:tcPr>
          <w:p w14:paraId="7C209201" w14:textId="77777777" w:rsidR="00834A75" w:rsidRDefault="00A6708C">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7C209202" w14:textId="77777777" w:rsidR="00834A75" w:rsidRDefault="00A6708C">
            <w:pPr>
              <w:jc w:val="right"/>
              <w:textAlignment w:val="bottom"/>
            </w:pPr>
            <w:r>
              <w:rPr>
                <w:rFonts w:ascii="sans-serif" w:eastAsia="sans-serif" w:hAnsi="sans-serif" w:cs="sans-serif"/>
                <w:color w:val="000000"/>
                <w:sz w:val="20"/>
                <w:szCs w:val="20"/>
              </w:rPr>
              <w:t>— </w:t>
            </w:r>
          </w:p>
        </w:tc>
        <w:tc>
          <w:tcPr>
            <w:tcW w:w="0" w:type="auto"/>
            <w:shd w:val="clear" w:color="auto" w:fill="E2EFD9"/>
            <w:tcMar>
              <w:top w:w="40" w:type="dxa"/>
              <w:left w:w="0" w:type="dxa"/>
              <w:bottom w:w="40" w:type="dxa"/>
              <w:right w:w="20" w:type="dxa"/>
            </w:tcMar>
            <w:vAlign w:val="bottom"/>
          </w:tcPr>
          <w:p w14:paraId="7C209203" w14:textId="77777777" w:rsidR="00834A75" w:rsidRDefault="00834A75">
            <w:pPr>
              <w:jc w:val="right"/>
              <w:rPr>
                <w:rFonts w:ascii="宋体"/>
              </w:rPr>
            </w:pPr>
          </w:p>
        </w:tc>
        <w:tc>
          <w:tcPr>
            <w:tcW w:w="0" w:type="auto"/>
            <w:gridSpan w:val="3"/>
            <w:shd w:val="clear" w:color="auto" w:fill="E2EFD9"/>
            <w:tcMar>
              <w:top w:w="0" w:type="dxa"/>
              <w:left w:w="20" w:type="dxa"/>
              <w:bottom w:w="0" w:type="dxa"/>
              <w:right w:w="20" w:type="dxa"/>
            </w:tcMar>
            <w:vAlign w:val="bottom"/>
          </w:tcPr>
          <w:p w14:paraId="7C209204" w14:textId="77777777" w:rsidR="00834A75" w:rsidRDefault="00834A75">
            <w:pPr>
              <w:rPr>
                <w:rFonts w:ascii="宋体"/>
              </w:rPr>
            </w:pPr>
          </w:p>
        </w:tc>
        <w:tc>
          <w:tcPr>
            <w:tcW w:w="0" w:type="auto"/>
            <w:gridSpan w:val="2"/>
            <w:shd w:val="clear" w:color="auto" w:fill="E2EFD9"/>
            <w:tcMar>
              <w:top w:w="40" w:type="dxa"/>
              <w:left w:w="20" w:type="dxa"/>
              <w:bottom w:w="40" w:type="dxa"/>
              <w:right w:w="0" w:type="dxa"/>
            </w:tcMar>
            <w:vAlign w:val="bottom"/>
          </w:tcPr>
          <w:p w14:paraId="7C209205" w14:textId="77777777" w:rsidR="00834A75" w:rsidRDefault="00A6708C">
            <w:pPr>
              <w:jc w:val="right"/>
              <w:textAlignment w:val="bottom"/>
            </w:pPr>
            <w:r>
              <w:rPr>
                <w:rFonts w:ascii="sans-serif" w:eastAsia="sans-serif" w:hAnsi="sans-serif" w:cs="sans-serif"/>
                <w:color w:val="000000"/>
                <w:sz w:val="20"/>
                <w:szCs w:val="20"/>
              </w:rPr>
              <w:t>— </w:t>
            </w:r>
          </w:p>
        </w:tc>
        <w:tc>
          <w:tcPr>
            <w:tcW w:w="0" w:type="auto"/>
            <w:shd w:val="clear" w:color="auto" w:fill="E2EFD9"/>
            <w:tcMar>
              <w:top w:w="40" w:type="dxa"/>
              <w:left w:w="0" w:type="dxa"/>
              <w:bottom w:w="40" w:type="dxa"/>
              <w:right w:w="20" w:type="dxa"/>
            </w:tcMar>
            <w:vAlign w:val="bottom"/>
          </w:tcPr>
          <w:p w14:paraId="7C209206" w14:textId="77777777" w:rsidR="00834A75" w:rsidRDefault="00834A75">
            <w:pPr>
              <w:jc w:val="right"/>
              <w:rPr>
                <w:rFonts w:ascii="宋体"/>
              </w:rPr>
            </w:pPr>
          </w:p>
        </w:tc>
        <w:tc>
          <w:tcPr>
            <w:tcW w:w="0" w:type="auto"/>
            <w:gridSpan w:val="3"/>
            <w:shd w:val="clear" w:color="auto" w:fill="E2EFD9"/>
            <w:tcMar>
              <w:top w:w="0" w:type="dxa"/>
              <w:left w:w="20" w:type="dxa"/>
              <w:bottom w:w="0" w:type="dxa"/>
              <w:right w:w="20" w:type="dxa"/>
            </w:tcMar>
            <w:vAlign w:val="bottom"/>
          </w:tcPr>
          <w:p w14:paraId="7C209207" w14:textId="77777777" w:rsidR="00834A75" w:rsidRDefault="00834A75">
            <w:pPr>
              <w:rPr>
                <w:rFonts w:ascii="宋体"/>
              </w:rPr>
            </w:pPr>
          </w:p>
        </w:tc>
        <w:tc>
          <w:tcPr>
            <w:tcW w:w="0" w:type="auto"/>
            <w:shd w:val="clear" w:color="auto" w:fill="E2EFD9"/>
            <w:tcMar>
              <w:top w:w="40" w:type="dxa"/>
              <w:left w:w="20" w:type="dxa"/>
              <w:bottom w:w="40" w:type="dxa"/>
              <w:right w:w="0" w:type="dxa"/>
            </w:tcMar>
            <w:vAlign w:val="bottom"/>
          </w:tcPr>
          <w:p w14:paraId="7C209208" w14:textId="77777777" w:rsidR="00834A75" w:rsidRDefault="00A6708C">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7C209209" w14:textId="77777777" w:rsidR="00834A75" w:rsidRDefault="00A6708C">
            <w:pPr>
              <w:jc w:val="right"/>
              <w:textAlignment w:val="bottom"/>
            </w:pPr>
            <w:r>
              <w:rPr>
                <w:rFonts w:ascii="sans-serif" w:eastAsia="sans-serif" w:hAnsi="sans-serif" w:cs="sans-serif"/>
                <w:color w:val="000000"/>
                <w:sz w:val="20"/>
                <w:szCs w:val="20"/>
              </w:rPr>
              <w:t>5.24 </w:t>
            </w:r>
          </w:p>
        </w:tc>
        <w:tc>
          <w:tcPr>
            <w:tcW w:w="0" w:type="auto"/>
            <w:shd w:val="clear" w:color="auto" w:fill="E2EFD9"/>
            <w:tcMar>
              <w:top w:w="40" w:type="dxa"/>
              <w:left w:w="0" w:type="dxa"/>
              <w:bottom w:w="40" w:type="dxa"/>
              <w:right w:w="20" w:type="dxa"/>
            </w:tcMar>
            <w:vAlign w:val="bottom"/>
          </w:tcPr>
          <w:p w14:paraId="7C20920A" w14:textId="77777777" w:rsidR="00834A75" w:rsidRDefault="00834A75">
            <w:pPr>
              <w:jc w:val="right"/>
              <w:rPr>
                <w:rFonts w:ascii="宋体"/>
              </w:rPr>
            </w:pPr>
          </w:p>
        </w:tc>
      </w:tr>
      <w:tr w:rsidR="00834A75" w14:paraId="7C209217" w14:textId="77777777">
        <w:tc>
          <w:tcPr>
            <w:tcW w:w="0" w:type="auto"/>
            <w:gridSpan w:val="3"/>
            <w:shd w:val="clear" w:color="auto" w:fill="FFFFFF"/>
            <w:tcMar>
              <w:top w:w="40" w:type="dxa"/>
              <w:left w:w="20" w:type="dxa"/>
              <w:bottom w:w="40" w:type="dxa"/>
              <w:right w:w="20" w:type="dxa"/>
            </w:tcMar>
            <w:vAlign w:val="bottom"/>
          </w:tcPr>
          <w:p w14:paraId="7C20920C" w14:textId="77777777" w:rsidR="00834A75" w:rsidRDefault="00A6708C">
            <w:pPr>
              <w:textAlignment w:val="bottom"/>
            </w:pPr>
            <w:r>
              <w:rPr>
                <w:rFonts w:ascii="sans-serif" w:eastAsia="sans-serif" w:hAnsi="sans-serif" w:cs="sans-serif"/>
                <w:color w:val="000000"/>
                <w:sz w:val="20"/>
                <w:szCs w:val="20"/>
              </w:rPr>
              <w:t>Total</w:t>
            </w:r>
          </w:p>
        </w:tc>
        <w:tc>
          <w:tcPr>
            <w:tcW w:w="0" w:type="auto"/>
            <w:gridSpan w:val="3"/>
            <w:shd w:val="clear" w:color="auto" w:fill="FFFFFF"/>
            <w:tcMar>
              <w:top w:w="0" w:type="dxa"/>
              <w:left w:w="20" w:type="dxa"/>
              <w:bottom w:w="0" w:type="dxa"/>
              <w:right w:w="20" w:type="dxa"/>
            </w:tcMar>
            <w:vAlign w:val="bottom"/>
          </w:tcPr>
          <w:p w14:paraId="7C20920D" w14:textId="77777777" w:rsidR="00834A75" w:rsidRDefault="00834A75">
            <w:pPr>
              <w:rPr>
                <w:rFonts w:ascii="宋体"/>
              </w:rPr>
            </w:pPr>
          </w:p>
        </w:tc>
        <w:tc>
          <w:tcPr>
            <w:tcW w:w="0" w:type="auto"/>
            <w:gridSpan w:val="2"/>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C20920E" w14:textId="77777777" w:rsidR="00834A75" w:rsidRDefault="00A6708C">
            <w:pPr>
              <w:jc w:val="right"/>
              <w:textAlignment w:val="bottom"/>
            </w:pPr>
            <w:r>
              <w:rPr>
                <w:rFonts w:ascii="sans-serif" w:eastAsia="sans-serif" w:hAnsi="sans-serif" w:cs="sans-serif"/>
                <w:color w:val="000000"/>
                <w:sz w:val="20"/>
                <w:szCs w:val="20"/>
              </w:rPr>
              <w:t>8.6 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C20920F" w14:textId="77777777" w:rsidR="00834A75" w:rsidRDefault="00834A75">
            <w:pPr>
              <w:jc w:val="right"/>
              <w:rPr>
                <w:rFonts w:ascii="宋体"/>
              </w:rPr>
            </w:pPr>
          </w:p>
        </w:tc>
        <w:tc>
          <w:tcPr>
            <w:tcW w:w="0" w:type="auto"/>
            <w:gridSpan w:val="3"/>
            <w:shd w:val="clear" w:color="auto" w:fill="FFFFFF"/>
            <w:tcMar>
              <w:top w:w="0" w:type="dxa"/>
              <w:left w:w="20" w:type="dxa"/>
              <w:bottom w:w="0" w:type="dxa"/>
              <w:right w:w="20" w:type="dxa"/>
            </w:tcMar>
            <w:vAlign w:val="bottom"/>
          </w:tcPr>
          <w:p w14:paraId="7C209210" w14:textId="77777777" w:rsidR="00834A75" w:rsidRDefault="00834A75">
            <w:pPr>
              <w:rPr>
                <w:rFonts w:ascii="宋体"/>
              </w:rPr>
            </w:pPr>
          </w:p>
        </w:tc>
        <w:tc>
          <w:tcPr>
            <w:tcW w:w="0" w:type="auto"/>
            <w:gridSpan w:val="3"/>
            <w:shd w:val="clear" w:color="auto" w:fill="FFFFFF"/>
            <w:tcMar>
              <w:top w:w="0" w:type="dxa"/>
              <w:left w:w="20" w:type="dxa"/>
              <w:bottom w:w="0" w:type="dxa"/>
              <w:right w:w="20" w:type="dxa"/>
            </w:tcMar>
            <w:vAlign w:val="bottom"/>
          </w:tcPr>
          <w:p w14:paraId="7C209211" w14:textId="77777777" w:rsidR="00834A75" w:rsidRDefault="00834A75">
            <w:pPr>
              <w:rPr>
                <w:rFonts w:ascii="宋体"/>
              </w:rPr>
            </w:pPr>
          </w:p>
        </w:tc>
        <w:tc>
          <w:tcPr>
            <w:tcW w:w="0" w:type="auto"/>
            <w:gridSpan w:val="3"/>
            <w:shd w:val="clear" w:color="auto" w:fill="FFFFFF"/>
            <w:tcMar>
              <w:top w:w="0" w:type="dxa"/>
              <w:left w:w="20" w:type="dxa"/>
              <w:bottom w:w="0" w:type="dxa"/>
              <w:right w:w="20" w:type="dxa"/>
            </w:tcMar>
            <w:vAlign w:val="bottom"/>
          </w:tcPr>
          <w:p w14:paraId="7C209212" w14:textId="77777777" w:rsidR="00834A75" w:rsidRDefault="00834A75">
            <w:pPr>
              <w:rPr>
                <w:rFonts w:ascii="宋体"/>
              </w:rPr>
            </w:pPr>
          </w:p>
        </w:tc>
        <w:tc>
          <w:tcPr>
            <w:tcW w:w="0" w:type="auto"/>
            <w:gridSpan w:val="2"/>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C209213" w14:textId="77777777" w:rsidR="00834A75" w:rsidRDefault="00A6708C">
            <w:pPr>
              <w:jc w:val="right"/>
              <w:textAlignment w:val="bottom"/>
            </w:pPr>
            <w:r>
              <w:rPr>
                <w:rFonts w:ascii="sans-serif" w:eastAsia="sans-serif" w:hAnsi="sans-serif" w:cs="sans-serif"/>
                <w:color w:val="000000"/>
                <w:sz w:val="20"/>
                <w:szCs w:val="20"/>
              </w:rPr>
              <w:t>8.6 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C209214" w14:textId="77777777" w:rsidR="00834A75" w:rsidRDefault="00834A75">
            <w:pPr>
              <w:jc w:val="right"/>
              <w:rPr>
                <w:rFonts w:ascii="宋体"/>
              </w:rPr>
            </w:pPr>
          </w:p>
        </w:tc>
        <w:tc>
          <w:tcPr>
            <w:tcW w:w="0" w:type="auto"/>
            <w:gridSpan w:val="3"/>
            <w:shd w:val="clear" w:color="auto" w:fill="FFFFFF"/>
            <w:tcMar>
              <w:top w:w="0" w:type="dxa"/>
              <w:left w:w="20" w:type="dxa"/>
              <w:bottom w:w="0" w:type="dxa"/>
              <w:right w:w="20" w:type="dxa"/>
            </w:tcMar>
            <w:vAlign w:val="bottom"/>
          </w:tcPr>
          <w:p w14:paraId="7C209215" w14:textId="77777777" w:rsidR="00834A75" w:rsidRDefault="00834A75">
            <w:pPr>
              <w:rPr>
                <w:rFonts w:ascii="宋体"/>
              </w:rPr>
            </w:pPr>
          </w:p>
        </w:tc>
        <w:tc>
          <w:tcPr>
            <w:tcW w:w="0" w:type="auto"/>
            <w:gridSpan w:val="3"/>
            <w:shd w:val="clear" w:color="auto" w:fill="FFFFFF"/>
            <w:tcMar>
              <w:top w:w="0" w:type="dxa"/>
              <w:left w:w="20" w:type="dxa"/>
              <w:bottom w:w="0" w:type="dxa"/>
              <w:right w:w="20" w:type="dxa"/>
            </w:tcMar>
            <w:vAlign w:val="bottom"/>
          </w:tcPr>
          <w:p w14:paraId="7C209216" w14:textId="77777777" w:rsidR="00834A75" w:rsidRDefault="00834A75">
            <w:pPr>
              <w:rPr>
                <w:rFonts w:ascii="宋体"/>
              </w:rPr>
            </w:pPr>
          </w:p>
        </w:tc>
      </w:tr>
    </w:tbl>
    <w:p w14:paraId="7C209218" w14:textId="77777777" w:rsidR="00834A75" w:rsidRDefault="00A6708C">
      <w:pPr>
        <w:spacing w:before="120" w:after="120"/>
        <w:jc w:val="both"/>
      </w:pPr>
      <w:r>
        <w:rPr>
          <w:rFonts w:ascii="sans-serif" w:eastAsia="sans-serif" w:hAnsi="sans-serif" w:cs="sans-serif"/>
          <w:b/>
          <w:bCs/>
          <w:color w:val="000000"/>
          <w:sz w:val="20"/>
          <w:szCs w:val="20"/>
        </w:rPr>
        <w:t>Restricted Stock Unit Share Withholding</w:t>
      </w:r>
    </w:p>
    <w:p w14:paraId="7C209219" w14:textId="77777777" w:rsidR="00834A75" w:rsidRDefault="00A6708C">
      <w:pPr>
        <w:spacing w:after="180"/>
        <w:jc w:val="both"/>
      </w:pPr>
      <w:r>
        <w:rPr>
          <w:rFonts w:ascii="sans-serif" w:eastAsia="sans-serif" w:hAnsi="sans-serif" w:cs="sans-serif"/>
          <w:color w:val="000000"/>
          <w:sz w:val="20"/>
          <w:szCs w:val="20"/>
        </w:rPr>
        <w:t>We also withhold common stock shares associated with net share settlements to cover tax withholding obligations upon the vesting of restricted stock unit awards under our employee equity incentive program. During the first quarter of fiscal year 2023, we w</w:t>
      </w:r>
      <w:r>
        <w:rPr>
          <w:rFonts w:ascii="sans-serif" w:eastAsia="sans-serif" w:hAnsi="sans-serif" w:cs="sans-serif"/>
          <w:color w:val="000000"/>
          <w:sz w:val="20"/>
          <w:szCs w:val="20"/>
        </w:rPr>
        <w:t xml:space="preserve">ithheld approximately 2 million shares at a total cost of $538 million through net share settlements. </w:t>
      </w:r>
    </w:p>
    <w:p w14:paraId="7C20921A" w14:textId="77777777" w:rsidR="00834A75" w:rsidRDefault="00A6708C">
      <w:pPr>
        <w:spacing w:after="180"/>
        <w:jc w:val="center"/>
      </w:pPr>
      <w:r>
        <w:rPr>
          <w:rFonts w:ascii="sans-serif" w:eastAsia="sans-serif" w:hAnsi="sans-serif" w:cs="sans-serif"/>
          <w:color w:val="000000"/>
          <w:sz w:val="20"/>
          <w:szCs w:val="20"/>
        </w:rPr>
        <w:t>36</w:t>
      </w:r>
    </w:p>
    <w:p w14:paraId="7C20921B" w14:textId="77777777" w:rsidR="00834A75" w:rsidRDefault="00A6708C">
      <w:r>
        <w:pict w14:anchorId="7C209373">
          <v:rect id="_x0000_i1060" style="width:415.3pt;height:1.5pt" o:hralign="center" o:hrstd="t" o:hr="t" fillcolor="#a0a0a0" stroked="f"/>
        </w:pict>
      </w:r>
    </w:p>
    <w:p w14:paraId="7C20921C" w14:textId="77777777" w:rsidR="00834A75" w:rsidRDefault="00834A75">
      <w:pPr>
        <w:spacing w:after="180"/>
        <w:jc w:val="both"/>
      </w:pPr>
    </w:p>
    <w:p w14:paraId="7C20921D" w14:textId="77777777" w:rsidR="00834A75" w:rsidRDefault="00834A75">
      <w:pPr>
        <w:spacing w:after="180"/>
        <w:jc w:val="both"/>
      </w:pPr>
    </w:p>
    <w:p w14:paraId="7C20921E" w14:textId="77777777" w:rsidR="00834A75" w:rsidRDefault="00834A75">
      <w:pPr>
        <w:spacing w:after="180"/>
        <w:jc w:val="both"/>
      </w:pPr>
    </w:p>
    <w:p w14:paraId="7C20921F" w14:textId="77777777" w:rsidR="00834A75" w:rsidRDefault="00A6708C">
      <w:pPr>
        <w:spacing w:before="240" w:after="120"/>
        <w:jc w:val="both"/>
      </w:pPr>
      <w:r>
        <w:rPr>
          <w:rFonts w:ascii="sans-serif" w:eastAsia="sans-serif" w:hAnsi="sans-serif" w:cs="sans-serif"/>
          <w:b/>
          <w:bCs/>
          <w:color w:val="76B900"/>
          <w:sz w:val="22"/>
          <w:szCs w:val="22"/>
        </w:rPr>
        <w:t>ITEM 6. EXHIBITS</w:t>
      </w:r>
    </w:p>
    <w:tbl>
      <w:tblPr>
        <w:tblW w:w="4985" w:type="pct"/>
        <w:tblCellMar>
          <w:top w:w="15" w:type="dxa"/>
          <w:left w:w="15" w:type="dxa"/>
          <w:bottom w:w="15" w:type="dxa"/>
          <w:right w:w="15" w:type="dxa"/>
        </w:tblCellMar>
        <w:tblLook w:val="04A0" w:firstRow="1" w:lastRow="0" w:firstColumn="1" w:lastColumn="0" w:noHBand="0" w:noVBand="1"/>
      </w:tblPr>
      <w:tblGrid>
        <w:gridCol w:w="84"/>
        <w:gridCol w:w="727"/>
        <w:gridCol w:w="38"/>
        <w:gridCol w:w="36"/>
        <w:gridCol w:w="61"/>
        <w:gridCol w:w="36"/>
        <w:gridCol w:w="53"/>
        <w:gridCol w:w="2744"/>
        <w:gridCol w:w="37"/>
        <w:gridCol w:w="36"/>
        <w:gridCol w:w="50"/>
        <w:gridCol w:w="36"/>
        <w:gridCol w:w="71"/>
        <w:gridCol w:w="800"/>
        <w:gridCol w:w="36"/>
        <w:gridCol w:w="36"/>
        <w:gridCol w:w="61"/>
        <w:gridCol w:w="36"/>
        <w:gridCol w:w="70"/>
        <w:gridCol w:w="728"/>
        <w:gridCol w:w="36"/>
        <w:gridCol w:w="36"/>
        <w:gridCol w:w="61"/>
        <w:gridCol w:w="36"/>
        <w:gridCol w:w="53"/>
        <w:gridCol w:w="916"/>
        <w:gridCol w:w="36"/>
        <w:gridCol w:w="36"/>
        <w:gridCol w:w="62"/>
        <w:gridCol w:w="36"/>
        <w:gridCol w:w="54"/>
        <w:gridCol w:w="1136"/>
        <w:gridCol w:w="37"/>
      </w:tblGrid>
      <w:tr w:rsidR="00834A75" w14:paraId="7C209241" w14:textId="77777777">
        <w:tc>
          <w:tcPr>
            <w:tcW w:w="50" w:type="pct"/>
            <w:shd w:val="clear" w:color="auto" w:fill="auto"/>
            <w:vAlign w:val="bottom"/>
          </w:tcPr>
          <w:p w14:paraId="7C209220" w14:textId="77777777" w:rsidR="00834A75" w:rsidRDefault="00834A75">
            <w:pPr>
              <w:rPr>
                <w:rFonts w:ascii="宋体"/>
              </w:rPr>
            </w:pPr>
          </w:p>
        </w:tc>
        <w:tc>
          <w:tcPr>
            <w:tcW w:w="436" w:type="pct"/>
            <w:shd w:val="clear" w:color="auto" w:fill="auto"/>
            <w:vAlign w:val="bottom"/>
          </w:tcPr>
          <w:p w14:paraId="7C209221" w14:textId="77777777" w:rsidR="00834A75" w:rsidRDefault="00834A75">
            <w:pPr>
              <w:rPr>
                <w:rFonts w:ascii="宋体"/>
              </w:rPr>
            </w:pPr>
          </w:p>
        </w:tc>
        <w:tc>
          <w:tcPr>
            <w:tcW w:w="5" w:type="pct"/>
            <w:shd w:val="clear" w:color="auto" w:fill="auto"/>
            <w:vAlign w:val="bottom"/>
          </w:tcPr>
          <w:p w14:paraId="7C209222" w14:textId="77777777" w:rsidR="00834A75" w:rsidRDefault="00834A75">
            <w:pPr>
              <w:rPr>
                <w:rFonts w:ascii="宋体"/>
              </w:rPr>
            </w:pPr>
          </w:p>
        </w:tc>
        <w:tc>
          <w:tcPr>
            <w:tcW w:w="5" w:type="pct"/>
            <w:shd w:val="clear" w:color="auto" w:fill="auto"/>
            <w:vAlign w:val="bottom"/>
          </w:tcPr>
          <w:p w14:paraId="7C209223" w14:textId="77777777" w:rsidR="00834A75" w:rsidRDefault="00834A75">
            <w:pPr>
              <w:rPr>
                <w:rFonts w:ascii="宋体"/>
              </w:rPr>
            </w:pPr>
          </w:p>
        </w:tc>
        <w:tc>
          <w:tcPr>
            <w:tcW w:w="55" w:type="pct"/>
            <w:shd w:val="clear" w:color="auto" w:fill="auto"/>
            <w:vAlign w:val="bottom"/>
          </w:tcPr>
          <w:p w14:paraId="7C209224" w14:textId="77777777" w:rsidR="00834A75" w:rsidRDefault="00834A75">
            <w:pPr>
              <w:rPr>
                <w:rFonts w:ascii="宋体"/>
              </w:rPr>
            </w:pPr>
          </w:p>
        </w:tc>
        <w:tc>
          <w:tcPr>
            <w:tcW w:w="5" w:type="pct"/>
            <w:shd w:val="clear" w:color="auto" w:fill="auto"/>
            <w:vAlign w:val="bottom"/>
          </w:tcPr>
          <w:p w14:paraId="7C209225" w14:textId="77777777" w:rsidR="00834A75" w:rsidRDefault="00834A75">
            <w:pPr>
              <w:rPr>
                <w:rFonts w:ascii="宋体"/>
              </w:rPr>
            </w:pPr>
          </w:p>
        </w:tc>
        <w:tc>
          <w:tcPr>
            <w:tcW w:w="50" w:type="pct"/>
            <w:shd w:val="clear" w:color="auto" w:fill="auto"/>
            <w:vAlign w:val="bottom"/>
          </w:tcPr>
          <w:p w14:paraId="7C209226" w14:textId="77777777" w:rsidR="00834A75" w:rsidRDefault="00834A75">
            <w:pPr>
              <w:rPr>
                <w:rFonts w:ascii="宋体"/>
              </w:rPr>
            </w:pPr>
          </w:p>
        </w:tc>
        <w:tc>
          <w:tcPr>
            <w:tcW w:w="1667" w:type="pct"/>
            <w:shd w:val="clear" w:color="auto" w:fill="auto"/>
            <w:vAlign w:val="bottom"/>
          </w:tcPr>
          <w:p w14:paraId="7C209227" w14:textId="77777777" w:rsidR="00834A75" w:rsidRDefault="00834A75">
            <w:pPr>
              <w:rPr>
                <w:rFonts w:ascii="宋体"/>
              </w:rPr>
            </w:pPr>
          </w:p>
        </w:tc>
        <w:tc>
          <w:tcPr>
            <w:tcW w:w="5" w:type="pct"/>
            <w:shd w:val="clear" w:color="auto" w:fill="auto"/>
            <w:vAlign w:val="bottom"/>
          </w:tcPr>
          <w:p w14:paraId="7C209228" w14:textId="77777777" w:rsidR="00834A75" w:rsidRDefault="00834A75">
            <w:pPr>
              <w:rPr>
                <w:rFonts w:ascii="宋体"/>
              </w:rPr>
            </w:pPr>
          </w:p>
        </w:tc>
        <w:tc>
          <w:tcPr>
            <w:tcW w:w="5" w:type="pct"/>
            <w:shd w:val="clear" w:color="auto" w:fill="auto"/>
            <w:vAlign w:val="bottom"/>
          </w:tcPr>
          <w:p w14:paraId="7C209229" w14:textId="77777777" w:rsidR="00834A75" w:rsidRDefault="00834A75">
            <w:pPr>
              <w:rPr>
                <w:rFonts w:ascii="宋体"/>
              </w:rPr>
            </w:pPr>
          </w:p>
        </w:tc>
        <w:tc>
          <w:tcPr>
            <w:tcW w:w="48" w:type="pct"/>
            <w:shd w:val="clear" w:color="auto" w:fill="auto"/>
            <w:vAlign w:val="bottom"/>
          </w:tcPr>
          <w:p w14:paraId="7C20922A" w14:textId="77777777" w:rsidR="00834A75" w:rsidRDefault="00834A75">
            <w:pPr>
              <w:rPr>
                <w:rFonts w:ascii="宋体"/>
              </w:rPr>
            </w:pPr>
          </w:p>
        </w:tc>
        <w:tc>
          <w:tcPr>
            <w:tcW w:w="5" w:type="pct"/>
            <w:shd w:val="clear" w:color="auto" w:fill="auto"/>
            <w:vAlign w:val="bottom"/>
          </w:tcPr>
          <w:p w14:paraId="7C20922B" w14:textId="77777777" w:rsidR="00834A75" w:rsidRDefault="00834A75">
            <w:pPr>
              <w:rPr>
                <w:rFonts w:ascii="宋体"/>
              </w:rPr>
            </w:pPr>
          </w:p>
        </w:tc>
        <w:tc>
          <w:tcPr>
            <w:tcW w:w="50" w:type="pct"/>
            <w:shd w:val="clear" w:color="auto" w:fill="auto"/>
            <w:vAlign w:val="bottom"/>
          </w:tcPr>
          <w:p w14:paraId="7C20922C" w14:textId="77777777" w:rsidR="00834A75" w:rsidRDefault="00834A75">
            <w:pPr>
              <w:rPr>
                <w:rFonts w:ascii="宋体"/>
              </w:rPr>
            </w:pPr>
          </w:p>
        </w:tc>
        <w:tc>
          <w:tcPr>
            <w:tcW w:w="509" w:type="pct"/>
            <w:shd w:val="clear" w:color="auto" w:fill="auto"/>
            <w:vAlign w:val="bottom"/>
          </w:tcPr>
          <w:p w14:paraId="7C20922D" w14:textId="77777777" w:rsidR="00834A75" w:rsidRDefault="00834A75">
            <w:pPr>
              <w:rPr>
                <w:rFonts w:ascii="宋体"/>
              </w:rPr>
            </w:pPr>
          </w:p>
        </w:tc>
        <w:tc>
          <w:tcPr>
            <w:tcW w:w="5" w:type="pct"/>
            <w:shd w:val="clear" w:color="auto" w:fill="auto"/>
            <w:vAlign w:val="bottom"/>
          </w:tcPr>
          <w:p w14:paraId="7C20922E" w14:textId="77777777" w:rsidR="00834A75" w:rsidRDefault="00834A75">
            <w:pPr>
              <w:rPr>
                <w:rFonts w:ascii="宋体"/>
              </w:rPr>
            </w:pPr>
          </w:p>
        </w:tc>
        <w:tc>
          <w:tcPr>
            <w:tcW w:w="5" w:type="pct"/>
            <w:shd w:val="clear" w:color="auto" w:fill="auto"/>
            <w:vAlign w:val="bottom"/>
          </w:tcPr>
          <w:p w14:paraId="7C20922F" w14:textId="77777777" w:rsidR="00834A75" w:rsidRDefault="00834A75">
            <w:pPr>
              <w:rPr>
                <w:rFonts w:ascii="宋体"/>
              </w:rPr>
            </w:pPr>
          </w:p>
        </w:tc>
        <w:tc>
          <w:tcPr>
            <w:tcW w:w="55" w:type="pct"/>
            <w:shd w:val="clear" w:color="auto" w:fill="auto"/>
            <w:vAlign w:val="bottom"/>
          </w:tcPr>
          <w:p w14:paraId="7C209230" w14:textId="77777777" w:rsidR="00834A75" w:rsidRDefault="00834A75">
            <w:pPr>
              <w:rPr>
                <w:rFonts w:ascii="宋体"/>
              </w:rPr>
            </w:pPr>
          </w:p>
        </w:tc>
        <w:tc>
          <w:tcPr>
            <w:tcW w:w="5" w:type="pct"/>
            <w:shd w:val="clear" w:color="auto" w:fill="auto"/>
            <w:vAlign w:val="bottom"/>
          </w:tcPr>
          <w:p w14:paraId="7C209231" w14:textId="77777777" w:rsidR="00834A75" w:rsidRDefault="00834A75">
            <w:pPr>
              <w:rPr>
                <w:rFonts w:ascii="宋体"/>
              </w:rPr>
            </w:pPr>
          </w:p>
        </w:tc>
        <w:tc>
          <w:tcPr>
            <w:tcW w:w="50" w:type="pct"/>
            <w:shd w:val="clear" w:color="auto" w:fill="auto"/>
            <w:vAlign w:val="bottom"/>
          </w:tcPr>
          <w:p w14:paraId="7C209232" w14:textId="77777777" w:rsidR="00834A75" w:rsidRDefault="00834A75">
            <w:pPr>
              <w:rPr>
                <w:rFonts w:ascii="宋体"/>
              </w:rPr>
            </w:pPr>
          </w:p>
        </w:tc>
        <w:tc>
          <w:tcPr>
            <w:tcW w:w="465" w:type="pct"/>
            <w:shd w:val="clear" w:color="auto" w:fill="auto"/>
            <w:vAlign w:val="bottom"/>
          </w:tcPr>
          <w:p w14:paraId="7C209233" w14:textId="77777777" w:rsidR="00834A75" w:rsidRDefault="00834A75">
            <w:pPr>
              <w:rPr>
                <w:rFonts w:ascii="宋体"/>
              </w:rPr>
            </w:pPr>
          </w:p>
        </w:tc>
        <w:tc>
          <w:tcPr>
            <w:tcW w:w="5" w:type="pct"/>
            <w:shd w:val="clear" w:color="auto" w:fill="auto"/>
            <w:vAlign w:val="bottom"/>
          </w:tcPr>
          <w:p w14:paraId="7C209234" w14:textId="77777777" w:rsidR="00834A75" w:rsidRDefault="00834A75">
            <w:pPr>
              <w:rPr>
                <w:rFonts w:ascii="宋体"/>
              </w:rPr>
            </w:pPr>
          </w:p>
        </w:tc>
        <w:tc>
          <w:tcPr>
            <w:tcW w:w="5" w:type="pct"/>
            <w:shd w:val="clear" w:color="auto" w:fill="auto"/>
            <w:vAlign w:val="bottom"/>
          </w:tcPr>
          <w:p w14:paraId="7C209235" w14:textId="77777777" w:rsidR="00834A75" w:rsidRDefault="00834A75">
            <w:pPr>
              <w:rPr>
                <w:rFonts w:ascii="宋体"/>
              </w:rPr>
            </w:pPr>
          </w:p>
        </w:tc>
        <w:tc>
          <w:tcPr>
            <w:tcW w:w="55" w:type="pct"/>
            <w:shd w:val="clear" w:color="auto" w:fill="auto"/>
            <w:vAlign w:val="bottom"/>
          </w:tcPr>
          <w:p w14:paraId="7C209236" w14:textId="77777777" w:rsidR="00834A75" w:rsidRDefault="00834A75">
            <w:pPr>
              <w:rPr>
                <w:rFonts w:ascii="宋体"/>
              </w:rPr>
            </w:pPr>
          </w:p>
        </w:tc>
        <w:tc>
          <w:tcPr>
            <w:tcW w:w="5" w:type="pct"/>
            <w:shd w:val="clear" w:color="auto" w:fill="auto"/>
            <w:vAlign w:val="bottom"/>
          </w:tcPr>
          <w:p w14:paraId="7C209237" w14:textId="77777777" w:rsidR="00834A75" w:rsidRDefault="00834A75">
            <w:pPr>
              <w:rPr>
                <w:rFonts w:ascii="宋体"/>
              </w:rPr>
            </w:pPr>
          </w:p>
        </w:tc>
        <w:tc>
          <w:tcPr>
            <w:tcW w:w="50" w:type="pct"/>
            <w:shd w:val="clear" w:color="auto" w:fill="auto"/>
            <w:vAlign w:val="bottom"/>
          </w:tcPr>
          <w:p w14:paraId="7C209238" w14:textId="77777777" w:rsidR="00834A75" w:rsidRDefault="00834A75">
            <w:pPr>
              <w:rPr>
                <w:rFonts w:ascii="宋体"/>
              </w:rPr>
            </w:pPr>
          </w:p>
        </w:tc>
        <w:tc>
          <w:tcPr>
            <w:tcW w:w="568" w:type="pct"/>
            <w:shd w:val="clear" w:color="auto" w:fill="auto"/>
            <w:vAlign w:val="bottom"/>
          </w:tcPr>
          <w:p w14:paraId="7C209239" w14:textId="77777777" w:rsidR="00834A75" w:rsidRDefault="00834A75">
            <w:pPr>
              <w:rPr>
                <w:rFonts w:ascii="宋体"/>
              </w:rPr>
            </w:pPr>
          </w:p>
        </w:tc>
        <w:tc>
          <w:tcPr>
            <w:tcW w:w="5" w:type="pct"/>
            <w:shd w:val="clear" w:color="auto" w:fill="auto"/>
            <w:vAlign w:val="bottom"/>
          </w:tcPr>
          <w:p w14:paraId="7C20923A" w14:textId="77777777" w:rsidR="00834A75" w:rsidRDefault="00834A75">
            <w:pPr>
              <w:rPr>
                <w:rFonts w:ascii="宋体"/>
              </w:rPr>
            </w:pPr>
          </w:p>
        </w:tc>
        <w:tc>
          <w:tcPr>
            <w:tcW w:w="5" w:type="pct"/>
            <w:shd w:val="clear" w:color="auto" w:fill="auto"/>
            <w:vAlign w:val="bottom"/>
          </w:tcPr>
          <w:p w14:paraId="7C20923B" w14:textId="77777777" w:rsidR="00834A75" w:rsidRDefault="00834A75">
            <w:pPr>
              <w:rPr>
                <w:rFonts w:ascii="宋体"/>
              </w:rPr>
            </w:pPr>
          </w:p>
        </w:tc>
        <w:tc>
          <w:tcPr>
            <w:tcW w:w="55" w:type="pct"/>
            <w:shd w:val="clear" w:color="auto" w:fill="auto"/>
            <w:vAlign w:val="bottom"/>
          </w:tcPr>
          <w:p w14:paraId="7C20923C" w14:textId="77777777" w:rsidR="00834A75" w:rsidRDefault="00834A75">
            <w:pPr>
              <w:rPr>
                <w:rFonts w:ascii="宋体"/>
              </w:rPr>
            </w:pPr>
          </w:p>
        </w:tc>
        <w:tc>
          <w:tcPr>
            <w:tcW w:w="5" w:type="pct"/>
            <w:shd w:val="clear" w:color="auto" w:fill="auto"/>
            <w:vAlign w:val="bottom"/>
          </w:tcPr>
          <w:p w14:paraId="7C20923D" w14:textId="77777777" w:rsidR="00834A75" w:rsidRDefault="00834A75">
            <w:pPr>
              <w:rPr>
                <w:rFonts w:ascii="宋体"/>
              </w:rPr>
            </w:pPr>
          </w:p>
        </w:tc>
        <w:tc>
          <w:tcPr>
            <w:tcW w:w="50" w:type="pct"/>
            <w:shd w:val="clear" w:color="auto" w:fill="auto"/>
            <w:vAlign w:val="bottom"/>
          </w:tcPr>
          <w:p w14:paraId="7C20923E" w14:textId="77777777" w:rsidR="00834A75" w:rsidRDefault="00834A75">
            <w:pPr>
              <w:rPr>
                <w:rFonts w:ascii="宋体"/>
              </w:rPr>
            </w:pPr>
          </w:p>
        </w:tc>
        <w:tc>
          <w:tcPr>
            <w:tcW w:w="700" w:type="pct"/>
            <w:shd w:val="clear" w:color="auto" w:fill="auto"/>
            <w:vAlign w:val="bottom"/>
          </w:tcPr>
          <w:p w14:paraId="7C20923F" w14:textId="77777777" w:rsidR="00834A75" w:rsidRDefault="00834A75">
            <w:pPr>
              <w:rPr>
                <w:rFonts w:ascii="宋体"/>
              </w:rPr>
            </w:pPr>
          </w:p>
        </w:tc>
        <w:tc>
          <w:tcPr>
            <w:tcW w:w="5" w:type="pct"/>
            <w:shd w:val="clear" w:color="auto" w:fill="auto"/>
            <w:vAlign w:val="bottom"/>
          </w:tcPr>
          <w:p w14:paraId="7C209240" w14:textId="77777777" w:rsidR="00834A75" w:rsidRDefault="00834A75">
            <w:pPr>
              <w:rPr>
                <w:rFonts w:ascii="宋体"/>
              </w:rPr>
            </w:pPr>
          </w:p>
        </w:tc>
      </w:tr>
      <w:tr w:rsidR="00834A75" w14:paraId="7C20924D" w14:textId="77777777">
        <w:tc>
          <w:tcPr>
            <w:tcW w:w="0" w:type="auto"/>
            <w:gridSpan w:val="3"/>
            <w:shd w:val="clear" w:color="auto" w:fill="auto"/>
            <w:tcMar>
              <w:top w:w="40" w:type="dxa"/>
              <w:left w:w="20" w:type="dxa"/>
              <w:bottom w:w="40" w:type="dxa"/>
              <w:right w:w="20" w:type="dxa"/>
            </w:tcMar>
            <w:vAlign w:val="bottom"/>
          </w:tcPr>
          <w:p w14:paraId="7C209242" w14:textId="77777777" w:rsidR="00834A75" w:rsidRDefault="00A6708C">
            <w:pPr>
              <w:jc w:val="center"/>
              <w:textAlignment w:val="bottom"/>
            </w:pPr>
            <w:r>
              <w:rPr>
                <w:rFonts w:ascii="sans-serif" w:eastAsia="sans-serif" w:hAnsi="sans-serif" w:cs="sans-serif"/>
                <w:b/>
                <w:bCs/>
                <w:color w:val="000000"/>
                <w:sz w:val="20"/>
                <w:szCs w:val="20"/>
              </w:rPr>
              <w:t>Exhibit No.</w:t>
            </w:r>
          </w:p>
        </w:tc>
        <w:tc>
          <w:tcPr>
            <w:tcW w:w="0" w:type="auto"/>
            <w:gridSpan w:val="3"/>
            <w:shd w:val="clear" w:color="auto" w:fill="auto"/>
            <w:tcMar>
              <w:top w:w="0" w:type="dxa"/>
              <w:left w:w="20" w:type="dxa"/>
              <w:bottom w:w="0" w:type="dxa"/>
              <w:right w:w="20" w:type="dxa"/>
            </w:tcMar>
            <w:vAlign w:val="bottom"/>
          </w:tcPr>
          <w:p w14:paraId="7C209243" w14:textId="77777777" w:rsidR="00834A75" w:rsidRDefault="00834A75">
            <w:pPr>
              <w:rPr>
                <w:rFonts w:ascii="宋体"/>
              </w:rPr>
            </w:pPr>
          </w:p>
        </w:tc>
        <w:tc>
          <w:tcPr>
            <w:tcW w:w="0" w:type="auto"/>
            <w:gridSpan w:val="3"/>
            <w:shd w:val="clear" w:color="auto" w:fill="auto"/>
            <w:tcMar>
              <w:top w:w="40" w:type="dxa"/>
              <w:left w:w="20" w:type="dxa"/>
              <w:bottom w:w="40" w:type="dxa"/>
              <w:right w:w="20" w:type="dxa"/>
            </w:tcMar>
            <w:vAlign w:val="bottom"/>
          </w:tcPr>
          <w:p w14:paraId="7C209244" w14:textId="77777777" w:rsidR="00834A75" w:rsidRDefault="00A6708C">
            <w:pPr>
              <w:spacing w:before="40" w:after="40"/>
              <w:jc w:val="center"/>
              <w:textAlignment w:val="bottom"/>
            </w:pPr>
            <w:r>
              <w:rPr>
                <w:rFonts w:ascii="sans-serif" w:eastAsia="sans-serif" w:hAnsi="sans-serif" w:cs="sans-serif"/>
                <w:b/>
                <w:bCs/>
                <w:color w:val="000000"/>
                <w:sz w:val="20"/>
                <w:szCs w:val="20"/>
              </w:rPr>
              <w:t> Exhibit Description</w:t>
            </w:r>
          </w:p>
        </w:tc>
        <w:tc>
          <w:tcPr>
            <w:tcW w:w="0" w:type="auto"/>
            <w:gridSpan w:val="3"/>
            <w:shd w:val="clear" w:color="auto" w:fill="auto"/>
            <w:tcMar>
              <w:top w:w="0" w:type="dxa"/>
              <w:left w:w="20" w:type="dxa"/>
              <w:bottom w:w="0" w:type="dxa"/>
              <w:right w:w="20" w:type="dxa"/>
            </w:tcMar>
            <w:vAlign w:val="bottom"/>
          </w:tcPr>
          <w:p w14:paraId="7C209245" w14:textId="77777777" w:rsidR="00834A75" w:rsidRDefault="00834A75">
            <w:pPr>
              <w:rPr>
                <w:rFonts w:ascii="宋体"/>
              </w:rPr>
            </w:pPr>
          </w:p>
        </w:tc>
        <w:tc>
          <w:tcPr>
            <w:tcW w:w="0" w:type="auto"/>
            <w:gridSpan w:val="3"/>
            <w:shd w:val="clear" w:color="auto" w:fill="auto"/>
            <w:tcMar>
              <w:top w:w="40" w:type="dxa"/>
              <w:left w:w="20" w:type="dxa"/>
              <w:bottom w:w="40" w:type="dxa"/>
              <w:right w:w="20" w:type="dxa"/>
            </w:tcMar>
            <w:vAlign w:val="bottom"/>
          </w:tcPr>
          <w:p w14:paraId="7C209246" w14:textId="77777777" w:rsidR="00834A75" w:rsidRDefault="00A6708C">
            <w:pPr>
              <w:jc w:val="center"/>
              <w:textAlignment w:val="bottom"/>
            </w:pPr>
            <w:r>
              <w:rPr>
                <w:rFonts w:ascii="sans-serif" w:eastAsia="sans-serif" w:hAnsi="sans-serif" w:cs="sans-serif"/>
                <w:b/>
                <w:bCs/>
                <w:color w:val="000000"/>
                <w:sz w:val="20"/>
                <w:szCs w:val="20"/>
              </w:rPr>
              <w:t>Schedule</w:t>
            </w:r>
            <w:r>
              <w:rPr>
                <w:rFonts w:ascii="sans-serif" w:eastAsia="sans-serif" w:hAnsi="sans-serif" w:cs="sans-serif"/>
                <w:b/>
                <w:bCs/>
                <w:color w:val="000000"/>
                <w:sz w:val="20"/>
                <w:szCs w:val="20"/>
              </w:rPr>
              <w:br/>
              <w:t>/Form</w:t>
            </w:r>
          </w:p>
        </w:tc>
        <w:tc>
          <w:tcPr>
            <w:tcW w:w="0" w:type="auto"/>
            <w:gridSpan w:val="3"/>
            <w:shd w:val="clear" w:color="auto" w:fill="auto"/>
            <w:tcMar>
              <w:top w:w="0" w:type="dxa"/>
              <w:left w:w="20" w:type="dxa"/>
              <w:bottom w:w="0" w:type="dxa"/>
              <w:right w:w="20" w:type="dxa"/>
            </w:tcMar>
            <w:vAlign w:val="bottom"/>
          </w:tcPr>
          <w:p w14:paraId="7C209247" w14:textId="77777777" w:rsidR="00834A75" w:rsidRDefault="00834A75">
            <w:pPr>
              <w:rPr>
                <w:rFonts w:ascii="宋体"/>
              </w:rPr>
            </w:pPr>
          </w:p>
        </w:tc>
        <w:tc>
          <w:tcPr>
            <w:tcW w:w="0" w:type="auto"/>
            <w:gridSpan w:val="3"/>
            <w:shd w:val="clear" w:color="auto" w:fill="auto"/>
            <w:tcMar>
              <w:top w:w="40" w:type="dxa"/>
              <w:left w:w="20" w:type="dxa"/>
              <w:bottom w:w="40" w:type="dxa"/>
              <w:right w:w="20" w:type="dxa"/>
            </w:tcMar>
            <w:vAlign w:val="bottom"/>
          </w:tcPr>
          <w:p w14:paraId="7C209248" w14:textId="77777777" w:rsidR="00834A75" w:rsidRDefault="00A6708C">
            <w:pPr>
              <w:jc w:val="center"/>
              <w:textAlignment w:val="bottom"/>
            </w:pPr>
            <w:r>
              <w:rPr>
                <w:rFonts w:ascii="sans-serif" w:eastAsia="sans-serif" w:hAnsi="sans-serif" w:cs="sans-serif"/>
                <w:b/>
                <w:bCs/>
                <w:color w:val="000000"/>
                <w:sz w:val="20"/>
                <w:szCs w:val="20"/>
              </w:rPr>
              <w:t>File Number</w:t>
            </w:r>
          </w:p>
        </w:tc>
        <w:tc>
          <w:tcPr>
            <w:tcW w:w="0" w:type="auto"/>
            <w:gridSpan w:val="3"/>
            <w:shd w:val="clear" w:color="auto" w:fill="auto"/>
            <w:tcMar>
              <w:top w:w="0" w:type="dxa"/>
              <w:left w:w="20" w:type="dxa"/>
              <w:bottom w:w="0" w:type="dxa"/>
              <w:right w:w="20" w:type="dxa"/>
            </w:tcMar>
            <w:vAlign w:val="bottom"/>
          </w:tcPr>
          <w:p w14:paraId="7C209249" w14:textId="77777777" w:rsidR="00834A75" w:rsidRDefault="00834A75">
            <w:pPr>
              <w:rPr>
                <w:rFonts w:ascii="宋体"/>
              </w:rPr>
            </w:pPr>
          </w:p>
        </w:tc>
        <w:tc>
          <w:tcPr>
            <w:tcW w:w="0" w:type="auto"/>
            <w:gridSpan w:val="3"/>
            <w:shd w:val="clear" w:color="auto" w:fill="auto"/>
            <w:tcMar>
              <w:top w:w="40" w:type="dxa"/>
              <w:left w:w="20" w:type="dxa"/>
              <w:bottom w:w="40" w:type="dxa"/>
              <w:right w:w="20" w:type="dxa"/>
            </w:tcMar>
            <w:vAlign w:val="bottom"/>
          </w:tcPr>
          <w:p w14:paraId="7C20924A" w14:textId="77777777" w:rsidR="00834A75" w:rsidRDefault="00A6708C">
            <w:pPr>
              <w:jc w:val="center"/>
              <w:textAlignment w:val="bottom"/>
            </w:pPr>
            <w:r>
              <w:rPr>
                <w:rFonts w:ascii="sans-serif" w:eastAsia="sans-serif" w:hAnsi="sans-serif" w:cs="sans-serif"/>
                <w:b/>
                <w:bCs/>
                <w:color w:val="000000"/>
                <w:sz w:val="20"/>
                <w:szCs w:val="20"/>
              </w:rPr>
              <w:t>Exhibit</w:t>
            </w:r>
          </w:p>
        </w:tc>
        <w:tc>
          <w:tcPr>
            <w:tcW w:w="0" w:type="auto"/>
            <w:gridSpan w:val="3"/>
            <w:shd w:val="clear" w:color="auto" w:fill="auto"/>
            <w:tcMar>
              <w:top w:w="0" w:type="dxa"/>
              <w:left w:w="20" w:type="dxa"/>
              <w:bottom w:w="0" w:type="dxa"/>
              <w:right w:w="20" w:type="dxa"/>
            </w:tcMar>
            <w:vAlign w:val="bottom"/>
          </w:tcPr>
          <w:p w14:paraId="7C20924B" w14:textId="77777777" w:rsidR="00834A75" w:rsidRDefault="00834A75">
            <w:pPr>
              <w:rPr>
                <w:rFonts w:ascii="宋体"/>
              </w:rPr>
            </w:pPr>
          </w:p>
        </w:tc>
        <w:tc>
          <w:tcPr>
            <w:tcW w:w="0" w:type="auto"/>
            <w:gridSpan w:val="3"/>
            <w:shd w:val="clear" w:color="auto" w:fill="auto"/>
            <w:tcMar>
              <w:top w:w="40" w:type="dxa"/>
              <w:left w:w="20" w:type="dxa"/>
              <w:bottom w:w="40" w:type="dxa"/>
              <w:right w:w="20" w:type="dxa"/>
            </w:tcMar>
            <w:vAlign w:val="bottom"/>
          </w:tcPr>
          <w:p w14:paraId="7C20924C" w14:textId="77777777" w:rsidR="00834A75" w:rsidRDefault="00A6708C">
            <w:pPr>
              <w:jc w:val="center"/>
              <w:textAlignment w:val="bottom"/>
            </w:pPr>
            <w:r>
              <w:rPr>
                <w:rFonts w:ascii="sans-serif" w:eastAsia="sans-serif" w:hAnsi="sans-serif" w:cs="sans-serif"/>
                <w:b/>
                <w:bCs/>
                <w:color w:val="000000"/>
                <w:sz w:val="20"/>
                <w:szCs w:val="20"/>
              </w:rPr>
              <w:t>Filing Date</w:t>
            </w:r>
          </w:p>
        </w:tc>
      </w:tr>
      <w:tr w:rsidR="00834A75" w14:paraId="7C209259" w14:textId="77777777">
        <w:tc>
          <w:tcPr>
            <w:tcW w:w="0" w:type="auto"/>
            <w:gridSpan w:val="3"/>
            <w:shd w:val="clear" w:color="auto" w:fill="auto"/>
            <w:tcMar>
              <w:top w:w="40" w:type="dxa"/>
              <w:left w:w="20" w:type="dxa"/>
              <w:bottom w:w="40" w:type="dxa"/>
              <w:right w:w="20" w:type="dxa"/>
            </w:tcMar>
          </w:tcPr>
          <w:p w14:paraId="7C20924E" w14:textId="77777777" w:rsidR="00834A75" w:rsidRDefault="00A6708C">
            <w:pPr>
              <w:jc w:val="center"/>
              <w:textAlignment w:val="top"/>
            </w:pPr>
            <w:r>
              <w:rPr>
                <w:rFonts w:ascii="sans-serif" w:eastAsia="sans-serif" w:hAnsi="sans-serif" w:cs="sans-serif"/>
                <w:color w:val="000000"/>
                <w:sz w:val="20"/>
                <w:szCs w:val="20"/>
              </w:rPr>
              <w:t>10.1+</w:t>
            </w:r>
          </w:p>
        </w:tc>
        <w:tc>
          <w:tcPr>
            <w:tcW w:w="0" w:type="auto"/>
            <w:gridSpan w:val="3"/>
            <w:shd w:val="clear" w:color="auto" w:fill="auto"/>
            <w:tcMar>
              <w:top w:w="0" w:type="dxa"/>
              <w:left w:w="20" w:type="dxa"/>
              <w:bottom w:w="0" w:type="dxa"/>
              <w:right w:w="20" w:type="dxa"/>
            </w:tcMar>
            <w:vAlign w:val="bottom"/>
          </w:tcPr>
          <w:p w14:paraId="7C20924F" w14:textId="77777777" w:rsidR="00834A75" w:rsidRDefault="00834A75">
            <w:pPr>
              <w:rPr>
                <w:rFonts w:ascii="宋体"/>
              </w:rPr>
            </w:pPr>
          </w:p>
        </w:tc>
        <w:tc>
          <w:tcPr>
            <w:tcW w:w="0" w:type="auto"/>
            <w:gridSpan w:val="3"/>
            <w:shd w:val="clear" w:color="auto" w:fill="auto"/>
            <w:tcMar>
              <w:top w:w="40" w:type="dxa"/>
              <w:left w:w="20" w:type="dxa"/>
              <w:bottom w:w="40" w:type="dxa"/>
              <w:right w:w="20" w:type="dxa"/>
            </w:tcMar>
            <w:vAlign w:val="bottom"/>
          </w:tcPr>
          <w:p w14:paraId="7C209250" w14:textId="77777777" w:rsidR="00834A75" w:rsidRDefault="00A6708C">
            <w:pPr>
              <w:textAlignment w:val="bottom"/>
            </w:pPr>
            <w:hyperlink r:id="rId32" w:history="1">
              <w:r>
                <w:rPr>
                  <w:rStyle w:val="a5"/>
                  <w:rFonts w:ascii="sans-serif" w:eastAsia="sans-serif" w:hAnsi="sans-serif" w:cs="sans-serif"/>
                  <w:sz w:val="20"/>
                  <w:szCs w:val="20"/>
                </w:rPr>
                <w:t>Fiscal Year 2023 Variable Compensation Plan</w:t>
              </w:r>
            </w:hyperlink>
          </w:p>
        </w:tc>
        <w:tc>
          <w:tcPr>
            <w:tcW w:w="0" w:type="auto"/>
            <w:gridSpan w:val="3"/>
            <w:shd w:val="clear" w:color="auto" w:fill="auto"/>
            <w:tcMar>
              <w:top w:w="0" w:type="dxa"/>
              <w:left w:w="20" w:type="dxa"/>
              <w:bottom w:w="0" w:type="dxa"/>
              <w:right w:w="20" w:type="dxa"/>
            </w:tcMar>
            <w:vAlign w:val="bottom"/>
          </w:tcPr>
          <w:p w14:paraId="7C209251" w14:textId="77777777" w:rsidR="00834A75" w:rsidRDefault="00834A75">
            <w:pPr>
              <w:rPr>
                <w:rFonts w:ascii="宋体"/>
              </w:rPr>
            </w:pPr>
          </w:p>
        </w:tc>
        <w:tc>
          <w:tcPr>
            <w:tcW w:w="0" w:type="auto"/>
            <w:gridSpan w:val="3"/>
            <w:shd w:val="clear" w:color="auto" w:fill="auto"/>
            <w:tcMar>
              <w:top w:w="40" w:type="dxa"/>
              <w:left w:w="20" w:type="dxa"/>
              <w:bottom w:w="40" w:type="dxa"/>
              <w:right w:w="20" w:type="dxa"/>
            </w:tcMar>
          </w:tcPr>
          <w:p w14:paraId="7C209252" w14:textId="77777777" w:rsidR="00834A75" w:rsidRDefault="00A6708C">
            <w:pPr>
              <w:jc w:val="center"/>
              <w:textAlignment w:val="top"/>
            </w:pPr>
            <w:r>
              <w:rPr>
                <w:rFonts w:ascii="sans-serif" w:eastAsia="sans-serif" w:hAnsi="sans-serif" w:cs="sans-serif"/>
                <w:color w:val="000000"/>
                <w:sz w:val="20"/>
                <w:szCs w:val="20"/>
              </w:rPr>
              <w:t>8-K</w:t>
            </w:r>
          </w:p>
        </w:tc>
        <w:tc>
          <w:tcPr>
            <w:tcW w:w="0" w:type="auto"/>
            <w:gridSpan w:val="3"/>
            <w:shd w:val="clear" w:color="auto" w:fill="auto"/>
            <w:tcMar>
              <w:top w:w="0" w:type="dxa"/>
              <w:left w:w="20" w:type="dxa"/>
              <w:bottom w:w="0" w:type="dxa"/>
              <w:right w:w="20" w:type="dxa"/>
            </w:tcMar>
            <w:vAlign w:val="bottom"/>
          </w:tcPr>
          <w:p w14:paraId="7C209253" w14:textId="77777777" w:rsidR="00834A75" w:rsidRDefault="00834A75">
            <w:pPr>
              <w:rPr>
                <w:rFonts w:ascii="宋体"/>
              </w:rPr>
            </w:pPr>
          </w:p>
        </w:tc>
        <w:tc>
          <w:tcPr>
            <w:tcW w:w="0" w:type="auto"/>
            <w:gridSpan w:val="3"/>
            <w:shd w:val="clear" w:color="auto" w:fill="auto"/>
            <w:tcMar>
              <w:top w:w="40" w:type="dxa"/>
              <w:left w:w="20" w:type="dxa"/>
              <w:bottom w:w="40" w:type="dxa"/>
              <w:right w:w="20" w:type="dxa"/>
            </w:tcMar>
          </w:tcPr>
          <w:p w14:paraId="7C209254" w14:textId="77777777" w:rsidR="00834A75" w:rsidRDefault="00A6708C">
            <w:pPr>
              <w:jc w:val="center"/>
              <w:textAlignment w:val="top"/>
            </w:pPr>
            <w:r>
              <w:rPr>
                <w:rFonts w:ascii="sans-serif" w:eastAsia="sans-serif" w:hAnsi="sans-serif" w:cs="sans-serif"/>
                <w:color w:val="000000"/>
                <w:sz w:val="20"/>
                <w:szCs w:val="20"/>
              </w:rPr>
              <w:t>0-23985</w:t>
            </w:r>
          </w:p>
        </w:tc>
        <w:tc>
          <w:tcPr>
            <w:tcW w:w="0" w:type="auto"/>
            <w:gridSpan w:val="3"/>
            <w:shd w:val="clear" w:color="auto" w:fill="auto"/>
            <w:tcMar>
              <w:top w:w="0" w:type="dxa"/>
              <w:left w:w="20" w:type="dxa"/>
              <w:bottom w:w="0" w:type="dxa"/>
              <w:right w:w="20" w:type="dxa"/>
            </w:tcMar>
            <w:vAlign w:val="bottom"/>
          </w:tcPr>
          <w:p w14:paraId="7C209255" w14:textId="77777777" w:rsidR="00834A75" w:rsidRDefault="00834A75">
            <w:pPr>
              <w:rPr>
                <w:rFonts w:ascii="宋体"/>
              </w:rPr>
            </w:pPr>
          </w:p>
        </w:tc>
        <w:tc>
          <w:tcPr>
            <w:tcW w:w="0" w:type="auto"/>
            <w:gridSpan w:val="3"/>
            <w:shd w:val="clear" w:color="auto" w:fill="auto"/>
            <w:tcMar>
              <w:top w:w="40" w:type="dxa"/>
              <w:left w:w="20" w:type="dxa"/>
              <w:bottom w:w="40" w:type="dxa"/>
              <w:right w:w="20" w:type="dxa"/>
            </w:tcMar>
          </w:tcPr>
          <w:p w14:paraId="7C209256" w14:textId="77777777" w:rsidR="00834A75" w:rsidRDefault="00A6708C">
            <w:pPr>
              <w:jc w:val="center"/>
              <w:textAlignment w:val="top"/>
            </w:pPr>
            <w:r>
              <w:rPr>
                <w:rFonts w:ascii="sans-serif" w:eastAsia="sans-serif" w:hAnsi="sans-serif" w:cs="sans-serif"/>
                <w:color w:val="000000"/>
                <w:sz w:val="20"/>
                <w:szCs w:val="20"/>
              </w:rPr>
              <w:t>10.1</w:t>
            </w:r>
          </w:p>
        </w:tc>
        <w:tc>
          <w:tcPr>
            <w:tcW w:w="0" w:type="auto"/>
            <w:gridSpan w:val="3"/>
            <w:shd w:val="clear" w:color="auto" w:fill="auto"/>
            <w:tcMar>
              <w:top w:w="0" w:type="dxa"/>
              <w:left w:w="20" w:type="dxa"/>
              <w:bottom w:w="0" w:type="dxa"/>
              <w:right w:w="20" w:type="dxa"/>
            </w:tcMar>
            <w:vAlign w:val="bottom"/>
          </w:tcPr>
          <w:p w14:paraId="7C209257" w14:textId="77777777" w:rsidR="00834A75" w:rsidRDefault="00834A75">
            <w:pPr>
              <w:rPr>
                <w:rFonts w:ascii="宋体"/>
              </w:rPr>
            </w:pPr>
          </w:p>
        </w:tc>
        <w:tc>
          <w:tcPr>
            <w:tcW w:w="0" w:type="auto"/>
            <w:gridSpan w:val="3"/>
            <w:shd w:val="clear" w:color="auto" w:fill="auto"/>
            <w:tcMar>
              <w:top w:w="40" w:type="dxa"/>
              <w:left w:w="20" w:type="dxa"/>
              <w:bottom w:w="40" w:type="dxa"/>
              <w:right w:w="20" w:type="dxa"/>
            </w:tcMar>
          </w:tcPr>
          <w:p w14:paraId="7C209258" w14:textId="77777777" w:rsidR="00834A75" w:rsidRDefault="00A6708C">
            <w:pPr>
              <w:jc w:val="center"/>
              <w:textAlignment w:val="top"/>
            </w:pPr>
            <w:r>
              <w:rPr>
                <w:rFonts w:ascii="sans-serif" w:eastAsia="sans-serif" w:hAnsi="sans-serif" w:cs="sans-serif"/>
                <w:color w:val="000000"/>
                <w:sz w:val="20"/>
                <w:szCs w:val="20"/>
              </w:rPr>
              <w:t>3/9/2022</w:t>
            </w:r>
          </w:p>
        </w:tc>
      </w:tr>
      <w:tr w:rsidR="00834A75" w14:paraId="7C209265" w14:textId="77777777">
        <w:tc>
          <w:tcPr>
            <w:tcW w:w="0" w:type="auto"/>
            <w:gridSpan w:val="3"/>
            <w:shd w:val="clear" w:color="auto" w:fill="auto"/>
            <w:tcMar>
              <w:top w:w="40" w:type="dxa"/>
              <w:left w:w="20" w:type="dxa"/>
              <w:bottom w:w="40" w:type="dxa"/>
              <w:right w:w="20" w:type="dxa"/>
            </w:tcMar>
          </w:tcPr>
          <w:p w14:paraId="7C20925A" w14:textId="77777777" w:rsidR="00834A75" w:rsidRDefault="00A6708C">
            <w:pPr>
              <w:jc w:val="center"/>
              <w:textAlignment w:val="top"/>
            </w:pPr>
            <w:r>
              <w:rPr>
                <w:rFonts w:ascii="sans-serif" w:eastAsia="sans-serif" w:hAnsi="sans-serif" w:cs="sans-serif"/>
                <w:color w:val="000000"/>
                <w:sz w:val="20"/>
                <w:szCs w:val="20"/>
              </w:rPr>
              <w:t>31.1*</w:t>
            </w:r>
          </w:p>
        </w:tc>
        <w:tc>
          <w:tcPr>
            <w:tcW w:w="0" w:type="auto"/>
            <w:gridSpan w:val="3"/>
            <w:shd w:val="clear" w:color="auto" w:fill="auto"/>
            <w:tcMar>
              <w:top w:w="0" w:type="dxa"/>
              <w:left w:w="20" w:type="dxa"/>
              <w:bottom w:w="0" w:type="dxa"/>
              <w:right w:w="20" w:type="dxa"/>
            </w:tcMar>
            <w:vAlign w:val="bottom"/>
          </w:tcPr>
          <w:p w14:paraId="7C20925B" w14:textId="77777777" w:rsidR="00834A75" w:rsidRDefault="00834A75">
            <w:pPr>
              <w:rPr>
                <w:rFonts w:ascii="宋体"/>
              </w:rPr>
            </w:pPr>
          </w:p>
        </w:tc>
        <w:tc>
          <w:tcPr>
            <w:tcW w:w="0" w:type="auto"/>
            <w:gridSpan w:val="3"/>
            <w:shd w:val="clear" w:color="auto" w:fill="auto"/>
            <w:tcMar>
              <w:top w:w="40" w:type="dxa"/>
              <w:left w:w="20" w:type="dxa"/>
              <w:bottom w:w="40" w:type="dxa"/>
              <w:right w:w="20" w:type="dxa"/>
            </w:tcMar>
          </w:tcPr>
          <w:p w14:paraId="7C20925C" w14:textId="77777777" w:rsidR="00834A75" w:rsidRDefault="00A6708C">
            <w:pPr>
              <w:textAlignment w:val="top"/>
            </w:pPr>
            <w:hyperlink r:id="rId33" w:history="1">
              <w:r>
                <w:rPr>
                  <w:rStyle w:val="a5"/>
                  <w:rFonts w:ascii="sans-serif" w:eastAsia="sans-serif" w:hAnsi="sans-serif" w:cs="sans-serif"/>
                  <w:sz w:val="20"/>
                  <w:szCs w:val="20"/>
                </w:rPr>
                <w:t>Certification of Chief Executive Officer as required by Rule 13a-14(a) of the Securities Exchange Act of 1934</w:t>
              </w:r>
            </w:hyperlink>
          </w:p>
        </w:tc>
        <w:tc>
          <w:tcPr>
            <w:tcW w:w="0" w:type="auto"/>
            <w:gridSpan w:val="3"/>
            <w:shd w:val="clear" w:color="auto" w:fill="auto"/>
            <w:tcMar>
              <w:top w:w="0" w:type="dxa"/>
              <w:left w:w="20" w:type="dxa"/>
              <w:bottom w:w="0" w:type="dxa"/>
              <w:right w:w="20" w:type="dxa"/>
            </w:tcMar>
            <w:vAlign w:val="bottom"/>
          </w:tcPr>
          <w:p w14:paraId="7C20925D" w14:textId="77777777" w:rsidR="00834A75" w:rsidRDefault="00834A75">
            <w:pPr>
              <w:rPr>
                <w:rFonts w:ascii="宋体"/>
              </w:rPr>
            </w:pPr>
          </w:p>
        </w:tc>
        <w:tc>
          <w:tcPr>
            <w:tcW w:w="0" w:type="auto"/>
            <w:gridSpan w:val="3"/>
            <w:shd w:val="clear" w:color="auto" w:fill="auto"/>
            <w:tcMar>
              <w:top w:w="0" w:type="dxa"/>
              <w:left w:w="20" w:type="dxa"/>
              <w:bottom w:w="0" w:type="dxa"/>
              <w:right w:w="20" w:type="dxa"/>
            </w:tcMar>
            <w:vAlign w:val="bottom"/>
          </w:tcPr>
          <w:p w14:paraId="7C20925E" w14:textId="77777777" w:rsidR="00834A75" w:rsidRDefault="00834A75">
            <w:pPr>
              <w:rPr>
                <w:rFonts w:ascii="宋体"/>
              </w:rPr>
            </w:pPr>
          </w:p>
        </w:tc>
        <w:tc>
          <w:tcPr>
            <w:tcW w:w="0" w:type="auto"/>
            <w:gridSpan w:val="3"/>
            <w:shd w:val="clear" w:color="auto" w:fill="auto"/>
            <w:tcMar>
              <w:top w:w="0" w:type="dxa"/>
              <w:left w:w="20" w:type="dxa"/>
              <w:bottom w:w="0" w:type="dxa"/>
              <w:right w:w="20" w:type="dxa"/>
            </w:tcMar>
            <w:vAlign w:val="bottom"/>
          </w:tcPr>
          <w:p w14:paraId="7C20925F" w14:textId="77777777" w:rsidR="00834A75" w:rsidRDefault="00834A75">
            <w:pPr>
              <w:rPr>
                <w:rFonts w:ascii="宋体"/>
              </w:rPr>
            </w:pPr>
          </w:p>
        </w:tc>
        <w:tc>
          <w:tcPr>
            <w:tcW w:w="0" w:type="auto"/>
            <w:gridSpan w:val="3"/>
            <w:shd w:val="clear" w:color="auto" w:fill="auto"/>
            <w:tcMar>
              <w:top w:w="0" w:type="dxa"/>
              <w:left w:w="20" w:type="dxa"/>
              <w:bottom w:w="0" w:type="dxa"/>
              <w:right w:w="20" w:type="dxa"/>
            </w:tcMar>
            <w:vAlign w:val="bottom"/>
          </w:tcPr>
          <w:p w14:paraId="7C209260" w14:textId="77777777" w:rsidR="00834A75" w:rsidRDefault="00834A75">
            <w:pPr>
              <w:rPr>
                <w:rFonts w:ascii="宋体"/>
              </w:rPr>
            </w:pPr>
          </w:p>
        </w:tc>
        <w:tc>
          <w:tcPr>
            <w:tcW w:w="0" w:type="auto"/>
            <w:gridSpan w:val="3"/>
            <w:shd w:val="clear" w:color="auto" w:fill="auto"/>
            <w:tcMar>
              <w:top w:w="0" w:type="dxa"/>
              <w:left w:w="20" w:type="dxa"/>
              <w:bottom w:w="0" w:type="dxa"/>
              <w:right w:w="20" w:type="dxa"/>
            </w:tcMar>
            <w:vAlign w:val="bottom"/>
          </w:tcPr>
          <w:p w14:paraId="7C209261" w14:textId="77777777" w:rsidR="00834A75" w:rsidRDefault="00834A75">
            <w:pPr>
              <w:rPr>
                <w:rFonts w:ascii="宋体"/>
              </w:rPr>
            </w:pPr>
          </w:p>
        </w:tc>
        <w:tc>
          <w:tcPr>
            <w:tcW w:w="0" w:type="auto"/>
            <w:gridSpan w:val="3"/>
            <w:shd w:val="clear" w:color="auto" w:fill="auto"/>
            <w:tcMar>
              <w:top w:w="0" w:type="dxa"/>
              <w:left w:w="20" w:type="dxa"/>
              <w:bottom w:w="0" w:type="dxa"/>
              <w:right w:w="20" w:type="dxa"/>
            </w:tcMar>
            <w:vAlign w:val="bottom"/>
          </w:tcPr>
          <w:p w14:paraId="7C209262" w14:textId="77777777" w:rsidR="00834A75" w:rsidRDefault="00834A75">
            <w:pPr>
              <w:rPr>
                <w:rFonts w:ascii="宋体"/>
              </w:rPr>
            </w:pPr>
          </w:p>
        </w:tc>
        <w:tc>
          <w:tcPr>
            <w:tcW w:w="0" w:type="auto"/>
            <w:gridSpan w:val="3"/>
            <w:shd w:val="clear" w:color="auto" w:fill="auto"/>
            <w:tcMar>
              <w:top w:w="0" w:type="dxa"/>
              <w:left w:w="20" w:type="dxa"/>
              <w:bottom w:w="0" w:type="dxa"/>
              <w:right w:w="20" w:type="dxa"/>
            </w:tcMar>
            <w:vAlign w:val="bottom"/>
          </w:tcPr>
          <w:p w14:paraId="7C209263" w14:textId="77777777" w:rsidR="00834A75" w:rsidRDefault="00834A75">
            <w:pPr>
              <w:rPr>
                <w:rFonts w:ascii="宋体"/>
              </w:rPr>
            </w:pPr>
          </w:p>
        </w:tc>
        <w:tc>
          <w:tcPr>
            <w:tcW w:w="0" w:type="auto"/>
            <w:gridSpan w:val="3"/>
            <w:shd w:val="clear" w:color="auto" w:fill="auto"/>
            <w:tcMar>
              <w:top w:w="0" w:type="dxa"/>
              <w:left w:w="20" w:type="dxa"/>
              <w:bottom w:w="0" w:type="dxa"/>
              <w:right w:w="20" w:type="dxa"/>
            </w:tcMar>
            <w:vAlign w:val="bottom"/>
          </w:tcPr>
          <w:p w14:paraId="7C209264" w14:textId="77777777" w:rsidR="00834A75" w:rsidRDefault="00834A75">
            <w:pPr>
              <w:rPr>
                <w:rFonts w:ascii="宋体"/>
              </w:rPr>
            </w:pPr>
          </w:p>
        </w:tc>
      </w:tr>
      <w:tr w:rsidR="00834A75" w14:paraId="7C209271" w14:textId="77777777">
        <w:tc>
          <w:tcPr>
            <w:tcW w:w="0" w:type="auto"/>
            <w:gridSpan w:val="3"/>
            <w:shd w:val="clear" w:color="auto" w:fill="auto"/>
            <w:tcMar>
              <w:top w:w="40" w:type="dxa"/>
              <w:left w:w="20" w:type="dxa"/>
              <w:bottom w:w="40" w:type="dxa"/>
              <w:right w:w="20" w:type="dxa"/>
            </w:tcMar>
          </w:tcPr>
          <w:p w14:paraId="7C209266" w14:textId="77777777" w:rsidR="00834A75" w:rsidRDefault="00A6708C">
            <w:pPr>
              <w:jc w:val="center"/>
              <w:textAlignment w:val="top"/>
            </w:pPr>
            <w:r>
              <w:rPr>
                <w:rFonts w:ascii="sans-serif" w:eastAsia="sans-serif" w:hAnsi="sans-serif" w:cs="sans-serif"/>
                <w:color w:val="000000"/>
                <w:sz w:val="20"/>
                <w:szCs w:val="20"/>
              </w:rPr>
              <w:t>31.2*</w:t>
            </w:r>
          </w:p>
        </w:tc>
        <w:tc>
          <w:tcPr>
            <w:tcW w:w="0" w:type="auto"/>
            <w:gridSpan w:val="3"/>
            <w:shd w:val="clear" w:color="auto" w:fill="auto"/>
            <w:tcMar>
              <w:top w:w="0" w:type="dxa"/>
              <w:left w:w="20" w:type="dxa"/>
              <w:bottom w:w="0" w:type="dxa"/>
              <w:right w:w="20" w:type="dxa"/>
            </w:tcMar>
            <w:vAlign w:val="bottom"/>
          </w:tcPr>
          <w:p w14:paraId="7C209267" w14:textId="77777777" w:rsidR="00834A75" w:rsidRDefault="00834A75">
            <w:pPr>
              <w:rPr>
                <w:rFonts w:ascii="宋体"/>
              </w:rPr>
            </w:pPr>
          </w:p>
        </w:tc>
        <w:tc>
          <w:tcPr>
            <w:tcW w:w="0" w:type="auto"/>
            <w:gridSpan w:val="3"/>
            <w:shd w:val="clear" w:color="auto" w:fill="auto"/>
            <w:tcMar>
              <w:top w:w="40" w:type="dxa"/>
              <w:left w:w="20" w:type="dxa"/>
              <w:bottom w:w="40" w:type="dxa"/>
              <w:right w:w="20" w:type="dxa"/>
            </w:tcMar>
          </w:tcPr>
          <w:p w14:paraId="7C209268" w14:textId="77777777" w:rsidR="00834A75" w:rsidRDefault="00A6708C">
            <w:pPr>
              <w:textAlignment w:val="top"/>
            </w:pPr>
            <w:hyperlink r:id="rId34" w:history="1">
              <w:r>
                <w:rPr>
                  <w:rStyle w:val="a5"/>
                  <w:rFonts w:ascii="sans-serif" w:eastAsia="sans-serif" w:hAnsi="sans-serif" w:cs="sans-serif"/>
                  <w:sz w:val="20"/>
                  <w:szCs w:val="20"/>
                </w:rPr>
                <w:t>Certification of Chief Financial Officer as required by Rule 13a-14(a) of the Securities Exchange Act of 1934</w:t>
              </w:r>
            </w:hyperlink>
          </w:p>
        </w:tc>
        <w:tc>
          <w:tcPr>
            <w:tcW w:w="0" w:type="auto"/>
            <w:gridSpan w:val="3"/>
            <w:shd w:val="clear" w:color="auto" w:fill="auto"/>
            <w:tcMar>
              <w:top w:w="0" w:type="dxa"/>
              <w:left w:w="20" w:type="dxa"/>
              <w:bottom w:w="0" w:type="dxa"/>
              <w:right w:w="20" w:type="dxa"/>
            </w:tcMar>
            <w:vAlign w:val="bottom"/>
          </w:tcPr>
          <w:p w14:paraId="7C209269" w14:textId="77777777" w:rsidR="00834A75" w:rsidRDefault="00834A75">
            <w:pPr>
              <w:rPr>
                <w:rFonts w:ascii="宋体"/>
              </w:rPr>
            </w:pPr>
          </w:p>
        </w:tc>
        <w:tc>
          <w:tcPr>
            <w:tcW w:w="0" w:type="auto"/>
            <w:gridSpan w:val="3"/>
            <w:shd w:val="clear" w:color="auto" w:fill="auto"/>
            <w:tcMar>
              <w:top w:w="0" w:type="dxa"/>
              <w:left w:w="20" w:type="dxa"/>
              <w:bottom w:w="0" w:type="dxa"/>
              <w:right w:w="20" w:type="dxa"/>
            </w:tcMar>
            <w:vAlign w:val="bottom"/>
          </w:tcPr>
          <w:p w14:paraId="7C20926A" w14:textId="77777777" w:rsidR="00834A75" w:rsidRDefault="00834A75">
            <w:pPr>
              <w:rPr>
                <w:rFonts w:ascii="宋体"/>
              </w:rPr>
            </w:pPr>
          </w:p>
        </w:tc>
        <w:tc>
          <w:tcPr>
            <w:tcW w:w="0" w:type="auto"/>
            <w:gridSpan w:val="3"/>
            <w:shd w:val="clear" w:color="auto" w:fill="auto"/>
            <w:tcMar>
              <w:top w:w="0" w:type="dxa"/>
              <w:left w:w="20" w:type="dxa"/>
              <w:bottom w:w="0" w:type="dxa"/>
              <w:right w:w="20" w:type="dxa"/>
            </w:tcMar>
            <w:vAlign w:val="bottom"/>
          </w:tcPr>
          <w:p w14:paraId="7C20926B" w14:textId="77777777" w:rsidR="00834A75" w:rsidRDefault="00834A75">
            <w:pPr>
              <w:rPr>
                <w:rFonts w:ascii="宋体"/>
              </w:rPr>
            </w:pPr>
          </w:p>
        </w:tc>
        <w:tc>
          <w:tcPr>
            <w:tcW w:w="0" w:type="auto"/>
            <w:gridSpan w:val="3"/>
            <w:shd w:val="clear" w:color="auto" w:fill="auto"/>
            <w:tcMar>
              <w:top w:w="0" w:type="dxa"/>
              <w:left w:w="20" w:type="dxa"/>
              <w:bottom w:w="0" w:type="dxa"/>
              <w:right w:w="20" w:type="dxa"/>
            </w:tcMar>
            <w:vAlign w:val="bottom"/>
          </w:tcPr>
          <w:p w14:paraId="7C20926C" w14:textId="77777777" w:rsidR="00834A75" w:rsidRDefault="00834A75">
            <w:pPr>
              <w:rPr>
                <w:rFonts w:ascii="宋体"/>
              </w:rPr>
            </w:pPr>
          </w:p>
        </w:tc>
        <w:tc>
          <w:tcPr>
            <w:tcW w:w="0" w:type="auto"/>
            <w:gridSpan w:val="3"/>
            <w:shd w:val="clear" w:color="auto" w:fill="auto"/>
            <w:tcMar>
              <w:top w:w="0" w:type="dxa"/>
              <w:left w:w="20" w:type="dxa"/>
              <w:bottom w:w="0" w:type="dxa"/>
              <w:right w:w="20" w:type="dxa"/>
            </w:tcMar>
            <w:vAlign w:val="bottom"/>
          </w:tcPr>
          <w:p w14:paraId="7C20926D" w14:textId="77777777" w:rsidR="00834A75" w:rsidRDefault="00834A75">
            <w:pPr>
              <w:rPr>
                <w:rFonts w:ascii="宋体"/>
              </w:rPr>
            </w:pPr>
          </w:p>
        </w:tc>
        <w:tc>
          <w:tcPr>
            <w:tcW w:w="0" w:type="auto"/>
            <w:gridSpan w:val="3"/>
            <w:shd w:val="clear" w:color="auto" w:fill="auto"/>
            <w:tcMar>
              <w:top w:w="0" w:type="dxa"/>
              <w:left w:w="20" w:type="dxa"/>
              <w:bottom w:w="0" w:type="dxa"/>
              <w:right w:w="20" w:type="dxa"/>
            </w:tcMar>
            <w:vAlign w:val="bottom"/>
          </w:tcPr>
          <w:p w14:paraId="7C20926E" w14:textId="77777777" w:rsidR="00834A75" w:rsidRDefault="00834A75">
            <w:pPr>
              <w:rPr>
                <w:rFonts w:ascii="宋体"/>
              </w:rPr>
            </w:pPr>
          </w:p>
        </w:tc>
        <w:tc>
          <w:tcPr>
            <w:tcW w:w="0" w:type="auto"/>
            <w:gridSpan w:val="3"/>
            <w:shd w:val="clear" w:color="auto" w:fill="auto"/>
            <w:tcMar>
              <w:top w:w="0" w:type="dxa"/>
              <w:left w:w="20" w:type="dxa"/>
              <w:bottom w:w="0" w:type="dxa"/>
              <w:right w:w="20" w:type="dxa"/>
            </w:tcMar>
            <w:vAlign w:val="bottom"/>
          </w:tcPr>
          <w:p w14:paraId="7C20926F" w14:textId="77777777" w:rsidR="00834A75" w:rsidRDefault="00834A75">
            <w:pPr>
              <w:rPr>
                <w:rFonts w:ascii="宋体"/>
              </w:rPr>
            </w:pPr>
          </w:p>
        </w:tc>
        <w:tc>
          <w:tcPr>
            <w:tcW w:w="0" w:type="auto"/>
            <w:gridSpan w:val="3"/>
            <w:shd w:val="clear" w:color="auto" w:fill="auto"/>
            <w:tcMar>
              <w:top w:w="0" w:type="dxa"/>
              <w:left w:w="20" w:type="dxa"/>
              <w:bottom w:w="0" w:type="dxa"/>
              <w:right w:w="20" w:type="dxa"/>
            </w:tcMar>
            <w:vAlign w:val="bottom"/>
          </w:tcPr>
          <w:p w14:paraId="7C209270" w14:textId="77777777" w:rsidR="00834A75" w:rsidRDefault="00834A75">
            <w:pPr>
              <w:rPr>
                <w:rFonts w:ascii="宋体"/>
              </w:rPr>
            </w:pPr>
          </w:p>
        </w:tc>
      </w:tr>
      <w:tr w:rsidR="00834A75" w14:paraId="7C20927D" w14:textId="77777777">
        <w:tc>
          <w:tcPr>
            <w:tcW w:w="0" w:type="auto"/>
            <w:gridSpan w:val="3"/>
            <w:shd w:val="clear" w:color="auto" w:fill="auto"/>
            <w:tcMar>
              <w:top w:w="40" w:type="dxa"/>
              <w:left w:w="20" w:type="dxa"/>
              <w:bottom w:w="40" w:type="dxa"/>
              <w:right w:w="20" w:type="dxa"/>
            </w:tcMar>
          </w:tcPr>
          <w:p w14:paraId="7C209272" w14:textId="77777777" w:rsidR="00834A75" w:rsidRDefault="00A6708C">
            <w:pPr>
              <w:jc w:val="center"/>
              <w:textAlignment w:val="top"/>
            </w:pPr>
            <w:r>
              <w:rPr>
                <w:rFonts w:ascii="sans-serif" w:eastAsia="sans-serif" w:hAnsi="sans-serif" w:cs="sans-serif"/>
                <w:color w:val="000000"/>
                <w:sz w:val="20"/>
                <w:szCs w:val="20"/>
              </w:rPr>
              <w:t>32.1#*</w:t>
            </w:r>
          </w:p>
        </w:tc>
        <w:tc>
          <w:tcPr>
            <w:tcW w:w="0" w:type="auto"/>
            <w:gridSpan w:val="3"/>
            <w:shd w:val="clear" w:color="auto" w:fill="auto"/>
            <w:tcMar>
              <w:top w:w="0" w:type="dxa"/>
              <w:left w:w="20" w:type="dxa"/>
              <w:bottom w:w="0" w:type="dxa"/>
              <w:right w:w="20" w:type="dxa"/>
            </w:tcMar>
            <w:vAlign w:val="bottom"/>
          </w:tcPr>
          <w:p w14:paraId="7C209273" w14:textId="77777777" w:rsidR="00834A75" w:rsidRDefault="00834A75">
            <w:pPr>
              <w:rPr>
                <w:rFonts w:ascii="宋体"/>
              </w:rPr>
            </w:pPr>
          </w:p>
        </w:tc>
        <w:tc>
          <w:tcPr>
            <w:tcW w:w="0" w:type="auto"/>
            <w:gridSpan w:val="3"/>
            <w:shd w:val="clear" w:color="auto" w:fill="auto"/>
            <w:tcMar>
              <w:top w:w="40" w:type="dxa"/>
              <w:left w:w="20" w:type="dxa"/>
              <w:bottom w:w="40" w:type="dxa"/>
              <w:right w:w="20" w:type="dxa"/>
            </w:tcMar>
          </w:tcPr>
          <w:p w14:paraId="7C209274" w14:textId="77777777" w:rsidR="00834A75" w:rsidRDefault="00A6708C">
            <w:pPr>
              <w:textAlignment w:val="top"/>
            </w:pPr>
            <w:hyperlink r:id="rId35" w:history="1">
              <w:r>
                <w:rPr>
                  <w:rStyle w:val="a5"/>
                  <w:rFonts w:ascii="sans-serif" w:eastAsia="sans-serif" w:hAnsi="sans-serif" w:cs="sans-serif"/>
                  <w:sz w:val="20"/>
                  <w:szCs w:val="20"/>
                </w:rPr>
                <w:t>Certification of Chief Executive Officer as required by Rule 13a-14(b) of the Securities Exchange Act of 1934</w:t>
              </w:r>
            </w:hyperlink>
          </w:p>
        </w:tc>
        <w:tc>
          <w:tcPr>
            <w:tcW w:w="0" w:type="auto"/>
            <w:gridSpan w:val="3"/>
            <w:shd w:val="clear" w:color="auto" w:fill="auto"/>
            <w:tcMar>
              <w:top w:w="0" w:type="dxa"/>
              <w:left w:w="20" w:type="dxa"/>
              <w:bottom w:w="0" w:type="dxa"/>
              <w:right w:w="20" w:type="dxa"/>
            </w:tcMar>
            <w:vAlign w:val="bottom"/>
          </w:tcPr>
          <w:p w14:paraId="7C209275" w14:textId="77777777" w:rsidR="00834A75" w:rsidRDefault="00834A75">
            <w:pPr>
              <w:rPr>
                <w:rFonts w:ascii="宋体"/>
              </w:rPr>
            </w:pPr>
          </w:p>
        </w:tc>
        <w:tc>
          <w:tcPr>
            <w:tcW w:w="0" w:type="auto"/>
            <w:gridSpan w:val="3"/>
            <w:shd w:val="clear" w:color="auto" w:fill="auto"/>
            <w:tcMar>
              <w:top w:w="0" w:type="dxa"/>
              <w:left w:w="20" w:type="dxa"/>
              <w:bottom w:w="0" w:type="dxa"/>
              <w:right w:w="20" w:type="dxa"/>
            </w:tcMar>
            <w:vAlign w:val="bottom"/>
          </w:tcPr>
          <w:p w14:paraId="7C209276" w14:textId="77777777" w:rsidR="00834A75" w:rsidRDefault="00834A75">
            <w:pPr>
              <w:rPr>
                <w:rFonts w:ascii="宋体"/>
              </w:rPr>
            </w:pPr>
          </w:p>
        </w:tc>
        <w:tc>
          <w:tcPr>
            <w:tcW w:w="0" w:type="auto"/>
            <w:gridSpan w:val="3"/>
            <w:shd w:val="clear" w:color="auto" w:fill="auto"/>
            <w:tcMar>
              <w:top w:w="0" w:type="dxa"/>
              <w:left w:w="20" w:type="dxa"/>
              <w:bottom w:w="0" w:type="dxa"/>
              <w:right w:w="20" w:type="dxa"/>
            </w:tcMar>
            <w:vAlign w:val="bottom"/>
          </w:tcPr>
          <w:p w14:paraId="7C209277" w14:textId="77777777" w:rsidR="00834A75" w:rsidRDefault="00834A75">
            <w:pPr>
              <w:rPr>
                <w:rFonts w:ascii="宋体"/>
              </w:rPr>
            </w:pPr>
          </w:p>
        </w:tc>
        <w:tc>
          <w:tcPr>
            <w:tcW w:w="0" w:type="auto"/>
            <w:gridSpan w:val="3"/>
            <w:shd w:val="clear" w:color="auto" w:fill="auto"/>
            <w:tcMar>
              <w:top w:w="0" w:type="dxa"/>
              <w:left w:w="20" w:type="dxa"/>
              <w:bottom w:w="0" w:type="dxa"/>
              <w:right w:w="20" w:type="dxa"/>
            </w:tcMar>
            <w:vAlign w:val="bottom"/>
          </w:tcPr>
          <w:p w14:paraId="7C209278" w14:textId="77777777" w:rsidR="00834A75" w:rsidRDefault="00834A75">
            <w:pPr>
              <w:rPr>
                <w:rFonts w:ascii="宋体"/>
              </w:rPr>
            </w:pPr>
          </w:p>
        </w:tc>
        <w:tc>
          <w:tcPr>
            <w:tcW w:w="0" w:type="auto"/>
            <w:gridSpan w:val="3"/>
            <w:shd w:val="clear" w:color="auto" w:fill="auto"/>
            <w:tcMar>
              <w:top w:w="0" w:type="dxa"/>
              <w:left w:w="20" w:type="dxa"/>
              <w:bottom w:w="0" w:type="dxa"/>
              <w:right w:w="20" w:type="dxa"/>
            </w:tcMar>
            <w:vAlign w:val="bottom"/>
          </w:tcPr>
          <w:p w14:paraId="7C209279" w14:textId="77777777" w:rsidR="00834A75" w:rsidRDefault="00834A75">
            <w:pPr>
              <w:rPr>
                <w:rFonts w:ascii="宋体"/>
              </w:rPr>
            </w:pPr>
          </w:p>
        </w:tc>
        <w:tc>
          <w:tcPr>
            <w:tcW w:w="0" w:type="auto"/>
            <w:gridSpan w:val="3"/>
            <w:shd w:val="clear" w:color="auto" w:fill="auto"/>
            <w:tcMar>
              <w:top w:w="0" w:type="dxa"/>
              <w:left w:w="20" w:type="dxa"/>
              <w:bottom w:w="0" w:type="dxa"/>
              <w:right w:w="20" w:type="dxa"/>
            </w:tcMar>
            <w:vAlign w:val="bottom"/>
          </w:tcPr>
          <w:p w14:paraId="7C20927A" w14:textId="77777777" w:rsidR="00834A75" w:rsidRDefault="00834A75">
            <w:pPr>
              <w:rPr>
                <w:rFonts w:ascii="宋体"/>
              </w:rPr>
            </w:pPr>
          </w:p>
        </w:tc>
        <w:tc>
          <w:tcPr>
            <w:tcW w:w="0" w:type="auto"/>
            <w:gridSpan w:val="3"/>
            <w:shd w:val="clear" w:color="auto" w:fill="auto"/>
            <w:tcMar>
              <w:top w:w="0" w:type="dxa"/>
              <w:left w:w="20" w:type="dxa"/>
              <w:bottom w:w="0" w:type="dxa"/>
              <w:right w:w="20" w:type="dxa"/>
            </w:tcMar>
            <w:vAlign w:val="bottom"/>
          </w:tcPr>
          <w:p w14:paraId="7C20927B" w14:textId="77777777" w:rsidR="00834A75" w:rsidRDefault="00834A75">
            <w:pPr>
              <w:rPr>
                <w:rFonts w:ascii="宋体"/>
              </w:rPr>
            </w:pPr>
          </w:p>
        </w:tc>
        <w:tc>
          <w:tcPr>
            <w:tcW w:w="0" w:type="auto"/>
            <w:gridSpan w:val="3"/>
            <w:shd w:val="clear" w:color="auto" w:fill="auto"/>
            <w:tcMar>
              <w:top w:w="0" w:type="dxa"/>
              <w:left w:w="20" w:type="dxa"/>
              <w:bottom w:w="0" w:type="dxa"/>
              <w:right w:w="20" w:type="dxa"/>
            </w:tcMar>
            <w:vAlign w:val="bottom"/>
          </w:tcPr>
          <w:p w14:paraId="7C20927C" w14:textId="77777777" w:rsidR="00834A75" w:rsidRDefault="00834A75">
            <w:pPr>
              <w:rPr>
                <w:rFonts w:ascii="宋体"/>
              </w:rPr>
            </w:pPr>
          </w:p>
        </w:tc>
      </w:tr>
      <w:tr w:rsidR="00834A75" w14:paraId="7C209289" w14:textId="77777777">
        <w:tc>
          <w:tcPr>
            <w:tcW w:w="0" w:type="auto"/>
            <w:gridSpan w:val="3"/>
            <w:shd w:val="clear" w:color="auto" w:fill="auto"/>
            <w:tcMar>
              <w:top w:w="40" w:type="dxa"/>
              <w:left w:w="20" w:type="dxa"/>
              <w:bottom w:w="40" w:type="dxa"/>
              <w:right w:w="20" w:type="dxa"/>
            </w:tcMar>
          </w:tcPr>
          <w:p w14:paraId="7C20927E" w14:textId="77777777" w:rsidR="00834A75" w:rsidRDefault="00A6708C">
            <w:pPr>
              <w:jc w:val="center"/>
              <w:textAlignment w:val="top"/>
            </w:pPr>
            <w:r>
              <w:rPr>
                <w:rFonts w:ascii="sans-serif" w:eastAsia="sans-serif" w:hAnsi="sans-serif" w:cs="sans-serif"/>
                <w:color w:val="000000"/>
                <w:sz w:val="20"/>
                <w:szCs w:val="20"/>
              </w:rPr>
              <w:t>32.2#*</w:t>
            </w:r>
          </w:p>
        </w:tc>
        <w:tc>
          <w:tcPr>
            <w:tcW w:w="0" w:type="auto"/>
            <w:gridSpan w:val="3"/>
            <w:shd w:val="clear" w:color="auto" w:fill="auto"/>
            <w:tcMar>
              <w:top w:w="0" w:type="dxa"/>
              <w:left w:w="20" w:type="dxa"/>
              <w:bottom w:w="0" w:type="dxa"/>
              <w:right w:w="20" w:type="dxa"/>
            </w:tcMar>
            <w:vAlign w:val="bottom"/>
          </w:tcPr>
          <w:p w14:paraId="7C20927F" w14:textId="77777777" w:rsidR="00834A75" w:rsidRDefault="00834A75">
            <w:pPr>
              <w:rPr>
                <w:rFonts w:ascii="宋体"/>
              </w:rPr>
            </w:pPr>
          </w:p>
        </w:tc>
        <w:tc>
          <w:tcPr>
            <w:tcW w:w="0" w:type="auto"/>
            <w:gridSpan w:val="3"/>
            <w:shd w:val="clear" w:color="auto" w:fill="auto"/>
            <w:tcMar>
              <w:top w:w="40" w:type="dxa"/>
              <w:left w:w="20" w:type="dxa"/>
              <w:bottom w:w="40" w:type="dxa"/>
              <w:right w:w="20" w:type="dxa"/>
            </w:tcMar>
          </w:tcPr>
          <w:p w14:paraId="7C209280" w14:textId="77777777" w:rsidR="00834A75" w:rsidRDefault="00A6708C">
            <w:pPr>
              <w:textAlignment w:val="top"/>
            </w:pPr>
            <w:hyperlink r:id="rId36" w:history="1">
              <w:r>
                <w:rPr>
                  <w:rStyle w:val="a5"/>
                  <w:rFonts w:ascii="sans-serif" w:eastAsia="sans-serif" w:hAnsi="sans-serif" w:cs="sans-serif"/>
                  <w:sz w:val="20"/>
                  <w:szCs w:val="20"/>
                </w:rPr>
                <w:t>Certification of Chief Financial Officer as required by Rule 13a-14(b) of the Securities Exchange Act of 1934</w:t>
              </w:r>
            </w:hyperlink>
          </w:p>
        </w:tc>
        <w:tc>
          <w:tcPr>
            <w:tcW w:w="0" w:type="auto"/>
            <w:gridSpan w:val="3"/>
            <w:shd w:val="clear" w:color="auto" w:fill="auto"/>
            <w:tcMar>
              <w:top w:w="0" w:type="dxa"/>
              <w:left w:w="20" w:type="dxa"/>
              <w:bottom w:w="0" w:type="dxa"/>
              <w:right w:w="20" w:type="dxa"/>
            </w:tcMar>
            <w:vAlign w:val="bottom"/>
          </w:tcPr>
          <w:p w14:paraId="7C209281" w14:textId="77777777" w:rsidR="00834A75" w:rsidRDefault="00834A75">
            <w:pPr>
              <w:rPr>
                <w:rFonts w:ascii="宋体"/>
              </w:rPr>
            </w:pPr>
          </w:p>
        </w:tc>
        <w:tc>
          <w:tcPr>
            <w:tcW w:w="0" w:type="auto"/>
            <w:gridSpan w:val="3"/>
            <w:shd w:val="clear" w:color="auto" w:fill="auto"/>
            <w:tcMar>
              <w:top w:w="0" w:type="dxa"/>
              <w:left w:w="20" w:type="dxa"/>
              <w:bottom w:w="0" w:type="dxa"/>
              <w:right w:w="20" w:type="dxa"/>
            </w:tcMar>
            <w:vAlign w:val="bottom"/>
          </w:tcPr>
          <w:p w14:paraId="7C209282" w14:textId="77777777" w:rsidR="00834A75" w:rsidRDefault="00834A75">
            <w:pPr>
              <w:rPr>
                <w:rFonts w:ascii="宋体"/>
              </w:rPr>
            </w:pPr>
          </w:p>
        </w:tc>
        <w:tc>
          <w:tcPr>
            <w:tcW w:w="0" w:type="auto"/>
            <w:gridSpan w:val="3"/>
            <w:shd w:val="clear" w:color="auto" w:fill="auto"/>
            <w:tcMar>
              <w:top w:w="0" w:type="dxa"/>
              <w:left w:w="20" w:type="dxa"/>
              <w:bottom w:w="0" w:type="dxa"/>
              <w:right w:w="20" w:type="dxa"/>
            </w:tcMar>
            <w:vAlign w:val="bottom"/>
          </w:tcPr>
          <w:p w14:paraId="7C209283" w14:textId="77777777" w:rsidR="00834A75" w:rsidRDefault="00834A75">
            <w:pPr>
              <w:rPr>
                <w:rFonts w:ascii="宋体"/>
              </w:rPr>
            </w:pPr>
          </w:p>
        </w:tc>
        <w:tc>
          <w:tcPr>
            <w:tcW w:w="0" w:type="auto"/>
            <w:gridSpan w:val="3"/>
            <w:shd w:val="clear" w:color="auto" w:fill="auto"/>
            <w:tcMar>
              <w:top w:w="0" w:type="dxa"/>
              <w:left w:w="20" w:type="dxa"/>
              <w:bottom w:w="0" w:type="dxa"/>
              <w:right w:w="20" w:type="dxa"/>
            </w:tcMar>
            <w:vAlign w:val="bottom"/>
          </w:tcPr>
          <w:p w14:paraId="7C209284" w14:textId="77777777" w:rsidR="00834A75" w:rsidRDefault="00834A75">
            <w:pPr>
              <w:rPr>
                <w:rFonts w:ascii="宋体"/>
              </w:rPr>
            </w:pPr>
          </w:p>
        </w:tc>
        <w:tc>
          <w:tcPr>
            <w:tcW w:w="0" w:type="auto"/>
            <w:gridSpan w:val="3"/>
            <w:shd w:val="clear" w:color="auto" w:fill="auto"/>
            <w:tcMar>
              <w:top w:w="0" w:type="dxa"/>
              <w:left w:w="20" w:type="dxa"/>
              <w:bottom w:w="0" w:type="dxa"/>
              <w:right w:w="20" w:type="dxa"/>
            </w:tcMar>
            <w:vAlign w:val="bottom"/>
          </w:tcPr>
          <w:p w14:paraId="7C209285" w14:textId="77777777" w:rsidR="00834A75" w:rsidRDefault="00834A75">
            <w:pPr>
              <w:rPr>
                <w:rFonts w:ascii="宋体"/>
              </w:rPr>
            </w:pPr>
          </w:p>
        </w:tc>
        <w:tc>
          <w:tcPr>
            <w:tcW w:w="0" w:type="auto"/>
            <w:gridSpan w:val="3"/>
            <w:shd w:val="clear" w:color="auto" w:fill="auto"/>
            <w:tcMar>
              <w:top w:w="0" w:type="dxa"/>
              <w:left w:w="20" w:type="dxa"/>
              <w:bottom w:w="0" w:type="dxa"/>
              <w:right w:w="20" w:type="dxa"/>
            </w:tcMar>
            <w:vAlign w:val="bottom"/>
          </w:tcPr>
          <w:p w14:paraId="7C209286" w14:textId="77777777" w:rsidR="00834A75" w:rsidRDefault="00834A75">
            <w:pPr>
              <w:rPr>
                <w:rFonts w:ascii="宋体"/>
              </w:rPr>
            </w:pPr>
          </w:p>
        </w:tc>
        <w:tc>
          <w:tcPr>
            <w:tcW w:w="0" w:type="auto"/>
            <w:gridSpan w:val="3"/>
            <w:shd w:val="clear" w:color="auto" w:fill="auto"/>
            <w:tcMar>
              <w:top w:w="0" w:type="dxa"/>
              <w:left w:w="20" w:type="dxa"/>
              <w:bottom w:w="0" w:type="dxa"/>
              <w:right w:w="20" w:type="dxa"/>
            </w:tcMar>
            <w:vAlign w:val="bottom"/>
          </w:tcPr>
          <w:p w14:paraId="7C209287" w14:textId="77777777" w:rsidR="00834A75" w:rsidRDefault="00834A75">
            <w:pPr>
              <w:rPr>
                <w:rFonts w:ascii="宋体"/>
              </w:rPr>
            </w:pPr>
          </w:p>
        </w:tc>
        <w:tc>
          <w:tcPr>
            <w:tcW w:w="0" w:type="auto"/>
            <w:gridSpan w:val="3"/>
            <w:shd w:val="clear" w:color="auto" w:fill="auto"/>
            <w:tcMar>
              <w:top w:w="0" w:type="dxa"/>
              <w:left w:w="20" w:type="dxa"/>
              <w:bottom w:w="0" w:type="dxa"/>
              <w:right w:w="20" w:type="dxa"/>
            </w:tcMar>
            <w:vAlign w:val="bottom"/>
          </w:tcPr>
          <w:p w14:paraId="7C209288" w14:textId="77777777" w:rsidR="00834A75" w:rsidRDefault="00834A75">
            <w:pPr>
              <w:rPr>
                <w:rFonts w:ascii="宋体"/>
              </w:rPr>
            </w:pPr>
          </w:p>
        </w:tc>
      </w:tr>
      <w:tr w:rsidR="00834A75" w14:paraId="7C209295" w14:textId="77777777">
        <w:tc>
          <w:tcPr>
            <w:tcW w:w="0" w:type="auto"/>
            <w:gridSpan w:val="3"/>
            <w:shd w:val="clear" w:color="auto" w:fill="auto"/>
            <w:tcMar>
              <w:top w:w="40" w:type="dxa"/>
              <w:left w:w="20" w:type="dxa"/>
              <w:bottom w:w="40" w:type="dxa"/>
              <w:right w:w="20" w:type="dxa"/>
            </w:tcMar>
          </w:tcPr>
          <w:p w14:paraId="7C20928A" w14:textId="77777777" w:rsidR="00834A75" w:rsidRDefault="00A6708C">
            <w:pPr>
              <w:jc w:val="center"/>
              <w:textAlignment w:val="top"/>
            </w:pPr>
            <w:r>
              <w:rPr>
                <w:rFonts w:ascii="sans-serif" w:eastAsia="sans-serif" w:hAnsi="sans-serif" w:cs="sans-serif"/>
                <w:color w:val="000000"/>
                <w:sz w:val="20"/>
                <w:szCs w:val="20"/>
              </w:rPr>
              <w:t>101.INS*</w:t>
            </w:r>
          </w:p>
        </w:tc>
        <w:tc>
          <w:tcPr>
            <w:tcW w:w="0" w:type="auto"/>
            <w:gridSpan w:val="3"/>
            <w:shd w:val="clear" w:color="auto" w:fill="auto"/>
            <w:tcMar>
              <w:top w:w="0" w:type="dxa"/>
              <w:left w:w="20" w:type="dxa"/>
              <w:bottom w:w="0" w:type="dxa"/>
              <w:right w:w="20" w:type="dxa"/>
            </w:tcMar>
            <w:vAlign w:val="bottom"/>
          </w:tcPr>
          <w:p w14:paraId="7C20928B" w14:textId="77777777" w:rsidR="00834A75" w:rsidRDefault="00834A75">
            <w:pPr>
              <w:rPr>
                <w:rFonts w:ascii="宋体"/>
              </w:rPr>
            </w:pPr>
          </w:p>
        </w:tc>
        <w:tc>
          <w:tcPr>
            <w:tcW w:w="0" w:type="auto"/>
            <w:gridSpan w:val="3"/>
            <w:shd w:val="clear" w:color="auto" w:fill="auto"/>
            <w:tcMar>
              <w:top w:w="40" w:type="dxa"/>
              <w:left w:w="20" w:type="dxa"/>
              <w:bottom w:w="40" w:type="dxa"/>
              <w:right w:w="20" w:type="dxa"/>
            </w:tcMar>
          </w:tcPr>
          <w:p w14:paraId="7C20928C" w14:textId="77777777" w:rsidR="00834A75" w:rsidRDefault="00A6708C">
            <w:pPr>
              <w:textAlignment w:val="top"/>
            </w:pPr>
            <w:r>
              <w:rPr>
                <w:rFonts w:ascii="sans-serif" w:eastAsia="sans-serif" w:hAnsi="sans-serif" w:cs="sans-serif"/>
                <w:color w:val="000000"/>
                <w:sz w:val="20"/>
                <w:szCs w:val="20"/>
              </w:rPr>
              <w:t xml:space="preserve">Inline XBRL </w:t>
            </w:r>
            <w:r>
              <w:rPr>
                <w:rFonts w:ascii="sans-serif" w:eastAsia="sans-serif" w:hAnsi="sans-serif" w:cs="sans-serif"/>
                <w:color w:val="000000"/>
                <w:sz w:val="20"/>
                <w:szCs w:val="20"/>
              </w:rPr>
              <w:t>Instance Document - the instance document does not appear in the Interactive Data File because its XBRL tags are embedded within the Inline XBRL document.</w:t>
            </w:r>
          </w:p>
        </w:tc>
        <w:tc>
          <w:tcPr>
            <w:tcW w:w="0" w:type="auto"/>
            <w:gridSpan w:val="3"/>
            <w:shd w:val="clear" w:color="auto" w:fill="auto"/>
            <w:tcMar>
              <w:top w:w="0" w:type="dxa"/>
              <w:left w:w="20" w:type="dxa"/>
              <w:bottom w:w="0" w:type="dxa"/>
              <w:right w:w="20" w:type="dxa"/>
            </w:tcMar>
            <w:vAlign w:val="bottom"/>
          </w:tcPr>
          <w:p w14:paraId="7C20928D" w14:textId="77777777" w:rsidR="00834A75" w:rsidRDefault="00834A75">
            <w:pPr>
              <w:rPr>
                <w:rFonts w:ascii="宋体"/>
              </w:rPr>
            </w:pPr>
          </w:p>
        </w:tc>
        <w:tc>
          <w:tcPr>
            <w:tcW w:w="0" w:type="auto"/>
            <w:gridSpan w:val="3"/>
            <w:shd w:val="clear" w:color="auto" w:fill="auto"/>
            <w:tcMar>
              <w:top w:w="0" w:type="dxa"/>
              <w:left w:w="20" w:type="dxa"/>
              <w:bottom w:w="0" w:type="dxa"/>
              <w:right w:w="20" w:type="dxa"/>
            </w:tcMar>
            <w:vAlign w:val="bottom"/>
          </w:tcPr>
          <w:p w14:paraId="7C20928E" w14:textId="77777777" w:rsidR="00834A75" w:rsidRDefault="00834A75">
            <w:pPr>
              <w:rPr>
                <w:rFonts w:ascii="宋体"/>
              </w:rPr>
            </w:pPr>
          </w:p>
        </w:tc>
        <w:tc>
          <w:tcPr>
            <w:tcW w:w="0" w:type="auto"/>
            <w:gridSpan w:val="3"/>
            <w:shd w:val="clear" w:color="auto" w:fill="auto"/>
            <w:tcMar>
              <w:top w:w="0" w:type="dxa"/>
              <w:left w:w="20" w:type="dxa"/>
              <w:bottom w:w="0" w:type="dxa"/>
              <w:right w:w="20" w:type="dxa"/>
            </w:tcMar>
            <w:vAlign w:val="bottom"/>
          </w:tcPr>
          <w:p w14:paraId="7C20928F" w14:textId="77777777" w:rsidR="00834A75" w:rsidRDefault="00834A75">
            <w:pPr>
              <w:rPr>
                <w:rFonts w:ascii="宋体"/>
              </w:rPr>
            </w:pPr>
          </w:p>
        </w:tc>
        <w:tc>
          <w:tcPr>
            <w:tcW w:w="0" w:type="auto"/>
            <w:gridSpan w:val="3"/>
            <w:shd w:val="clear" w:color="auto" w:fill="auto"/>
            <w:tcMar>
              <w:top w:w="0" w:type="dxa"/>
              <w:left w:w="20" w:type="dxa"/>
              <w:bottom w:w="0" w:type="dxa"/>
              <w:right w:w="20" w:type="dxa"/>
            </w:tcMar>
            <w:vAlign w:val="bottom"/>
          </w:tcPr>
          <w:p w14:paraId="7C209290" w14:textId="77777777" w:rsidR="00834A75" w:rsidRDefault="00834A75">
            <w:pPr>
              <w:rPr>
                <w:rFonts w:ascii="宋体"/>
              </w:rPr>
            </w:pPr>
          </w:p>
        </w:tc>
        <w:tc>
          <w:tcPr>
            <w:tcW w:w="0" w:type="auto"/>
            <w:gridSpan w:val="3"/>
            <w:shd w:val="clear" w:color="auto" w:fill="auto"/>
            <w:tcMar>
              <w:top w:w="0" w:type="dxa"/>
              <w:left w:w="20" w:type="dxa"/>
              <w:bottom w:w="0" w:type="dxa"/>
              <w:right w:w="20" w:type="dxa"/>
            </w:tcMar>
            <w:vAlign w:val="bottom"/>
          </w:tcPr>
          <w:p w14:paraId="7C209291" w14:textId="77777777" w:rsidR="00834A75" w:rsidRDefault="00834A75">
            <w:pPr>
              <w:rPr>
                <w:rFonts w:ascii="宋体"/>
              </w:rPr>
            </w:pPr>
          </w:p>
        </w:tc>
        <w:tc>
          <w:tcPr>
            <w:tcW w:w="0" w:type="auto"/>
            <w:gridSpan w:val="3"/>
            <w:shd w:val="clear" w:color="auto" w:fill="auto"/>
            <w:tcMar>
              <w:top w:w="0" w:type="dxa"/>
              <w:left w:w="20" w:type="dxa"/>
              <w:bottom w:w="0" w:type="dxa"/>
              <w:right w:w="20" w:type="dxa"/>
            </w:tcMar>
            <w:vAlign w:val="bottom"/>
          </w:tcPr>
          <w:p w14:paraId="7C209292" w14:textId="77777777" w:rsidR="00834A75" w:rsidRDefault="00834A75">
            <w:pPr>
              <w:rPr>
                <w:rFonts w:ascii="宋体"/>
              </w:rPr>
            </w:pPr>
          </w:p>
        </w:tc>
        <w:tc>
          <w:tcPr>
            <w:tcW w:w="0" w:type="auto"/>
            <w:gridSpan w:val="3"/>
            <w:shd w:val="clear" w:color="auto" w:fill="auto"/>
            <w:tcMar>
              <w:top w:w="0" w:type="dxa"/>
              <w:left w:w="20" w:type="dxa"/>
              <w:bottom w:w="0" w:type="dxa"/>
              <w:right w:w="20" w:type="dxa"/>
            </w:tcMar>
            <w:vAlign w:val="bottom"/>
          </w:tcPr>
          <w:p w14:paraId="7C209293" w14:textId="77777777" w:rsidR="00834A75" w:rsidRDefault="00834A75">
            <w:pPr>
              <w:rPr>
                <w:rFonts w:ascii="宋体"/>
              </w:rPr>
            </w:pPr>
          </w:p>
        </w:tc>
        <w:tc>
          <w:tcPr>
            <w:tcW w:w="0" w:type="auto"/>
            <w:gridSpan w:val="3"/>
            <w:shd w:val="clear" w:color="auto" w:fill="auto"/>
            <w:tcMar>
              <w:top w:w="0" w:type="dxa"/>
              <w:left w:w="20" w:type="dxa"/>
              <w:bottom w:w="0" w:type="dxa"/>
              <w:right w:w="20" w:type="dxa"/>
            </w:tcMar>
            <w:vAlign w:val="bottom"/>
          </w:tcPr>
          <w:p w14:paraId="7C209294" w14:textId="77777777" w:rsidR="00834A75" w:rsidRDefault="00834A75">
            <w:pPr>
              <w:rPr>
                <w:rFonts w:ascii="宋体"/>
              </w:rPr>
            </w:pPr>
          </w:p>
        </w:tc>
      </w:tr>
      <w:tr w:rsidR="00834A75" w14:paraId="7C2092A1" w14:textId="77777777">
        <w:tc>
          <w:tcPr>
            <w:tcW w:w="0" w:type="auto"/>
            <w:gridSpan w:val="3"/>
            <w:shd w:val="clear" w:color="auto" w:fill="auto"/>
            <w:tcMar>
              <w:top w:w="40" w:type="dxa"/>
              <w:left w:w="20" w:type="dxa"/>
              <w:bottom w:w="40" w:type="dxa"/>
              <w:right w:w="20" w:type="dxa"/>
            </w:tcMar>
          </w:tcPr>
          <w:p w14:paraId="7C209296" w14:textId="77777777" w:rsidR="00834A75" w:rsidRDefault="00A6708C">
            <w:pPr>
              <w:jc w:val="center"/>
              <w:textAlignment w:val="top"/>
            </w:pPr>
            <w:r>
              <w:rPr>
                <w:rFonts w:ascii="sans-serif" w:eastAsia="sans-serif" w:hAnsi="sans-serif" w:cs="sans-serif"/>
                <w:color w:val="000000"/>
                <w:sz w:val="20"/>
                <w:szCs w:val="20"/>
              </w:rPr>
              <w:t>101.SCH*</w:t>
            </w:r>
          </w:p>
        </w:tc>
        <w:tc>
          <w:tcPr>
            <w:tcW w:w="0" w:type="auto"/>
            <w:gridSpan w:val="3"/>
            <w:shd w:val="clear" w:color="auto" w:fill="auto"/>
            <w:tcMar>
              <w:top w:w="0" w:type="dxa"/>
              <w:left w:w="20" w:type="dxa"/>
              <w:bottom w:w="0" w:type="dxa"/>
              <w:right w:w="20" w:type="dxa"/>
            </w:tcMar>
            <w:vAlign w:val="bottom"/>
          </w:tcPr>
          <w:p w14:paraId="7C209297" w14:textId="77777777" w:rsidR="00834A75" w:rsidRDefault="00834A75">
            <w:pPr>
              <w:rPr>
                <w:rFonts w:ascii="宋体"/>
              </w:rPr>
            </w:pPr>
          </w:p>
        </w:tc>
        <w:tc>
          <w:tcPr>
            <w:tcW w:w="0" w:type="auto"/>
            <w:gridSpan w:val="3"/>
            <w:shd w:val="clear" w:color="auto" w:fill="auto"/>
            <w:tcMar>
              <w:top w:w="40" w:type="dxa"/>
              <w:left w:w="20" w:type="dxa"/>
              <w:bottom w:w="40" w:type="dxa"/>
              <w:right w:w="20" w:type="dxa"/>
            </w:tcMar>
          </w:tcPr>
          <w:p w14:paraId="7C209298" w14:textId="77777777" w:rsidR="00834A75" w:rsidRDefault="00A6708C">
            <w:pPr>
              <w:textAlignment w:val="top"/>
            </w:pPr>
            <w:r>
              <w:rPr>
                <w:rFonts w:ascii="sans-serif" w:eastAsia="sans-serif" w:hAnsi="sans-serif" w:cs="sans-serif"/>
                <w:color w:val="000000"/>
                <w:sz w:val="20"/>
                <w:szCs w:val="20"/>
              </w:rPr>
              <w:t>Inline XBRL Taxonomy Extension Schema Document</w:t>
            </w:r>
          </w:p>
        </w:tc>
        <w:tc>
          <w:tcPr>
            <w:tcW w:w="0" w:type="auto"/>
            <w:gridSpan w:val="3"/>
            <w:shd w:val="clear" w:color="auto" w:fill="auto"/>
            <w:tcMar>
              <w:top w:w="0" w:type="dxa"/>
              <w:left w:w="20" w:type="dxa"/>
              <w:bottom w:w="0" w:type="dxa"/>
              <w:right w:w="20" w:type="dxa"/>
            </w:tcMar>
            <w:vAlign w:val="bottom"/>
          </w:tcPr>
          <w:p w14:paraId="7C209299" w14:textId="77777777" w:rsidR="00834A75" w:rsidRDefault="00834A75">
            <w:pPr>
              <w:rPr>
                <w:rFonts w:ascii="宋体"/>
              </w:rPr>
            </w:pPr>
          </w:p>
        </w:tc>
        <w:tc>
          <w:tcPr>
            <w:tcW w:w="0" w:type="auto"/>
            <w:gridSpan w:val="3"/>
            <w:shd w:val="clear" w:color="auto" w:fill="auto"/>
            <w:tcMar>
              <w:top w:w="0" w:type="dxa"/>
              <w:left w:w="20" w:type="dxa"/>
              <w:bottom w:w="0" w:type="dxa"/>
              <w:right w:w="20" w:type="dxa"/>
            </w:tcMar>
            <w:vAlign w:val="bottom"/>
          </w:tcPr>
          <w:p w14:paraId="7C20929A" w14:textId="77777777" w:rsidR="00834A75" w:rsidRDefault="00834A75">
            <w:pPr>
              <w:rPr>
                <w:rFonts w:ascii="宋体"/>
              </w:rPr>
            </w:pPr>
          </w:p>
        </w:tc>
        <w:tc>
          <w:tcPr>
            <w:tcW w:w="0" w:type="auto"/>
            <w:gridSpan w:val="3"/>
            <w:shd w:val="clear" w:color="auto" w:fill="auto"/>
            <w:tcMar>
              <w:top w:w="0" w:type="dxa"/>
              <w:left w:w="20" w:type="dxa"/>
              <w:bottom w:w="0" w:type="dxa"/>
              <w:right w:w="20" w:type="dxa"/>
            </w:tcMar>
            <w:vAlign w:val="bottom"/>
          </w:tcPr>
          <w:p w14:paraId="7C20929B" w14:textId="77777777" w:rsidR="00834A75" w:rsidRDefault="00834A75">
            <w:pPr>
              <w:rPr>
                <w:rFonts w:ascii="宋体"/>
              </w:rPr>
            </w:pPr>
          </w:p>
        </w:tc>
        <w:tc>
          <w:tcPr>
            <w:tcW w:w="0" w:type="auto"/>
            <w:gridSpan w:val="3"/>
            <w:shd w:val="clear" w:color="auto" w:fill="auto"/>
            <w:tcMar>
              <w:top w:w="0" w:type="dxa"/>
              <w:left w:w="20" w:type="dxa"/>
              <w:bottom w:w="0" w:type="dxa"/>
              <w:right w:w="20" w:type="dxa"/>
            </w:tcMar>
            <w:vAlign w:val="bottom"/>
          </w:tcPr>
          <w:p w14:paraId="7C20929C" w14:textId="77777777" w:rsidR="00834A75" w:rsidRDefault="00834A75">
            <w:pPr>
              <w:rPr>
                <w:rFonts w:ascii="宋体"/>
              </w:rPr>
            </w:pPr>
          </w:p>
        </w:tc>
        <w:tc>
          <w:tcPr>
            <w:tcW w:w="0" w:type="auto"/>
            <w:gridSpan w:val="3"/>
            <w:shd w:val="clear" w:color="auto" w:fill="auto"/>
            <w:tcMar>
              <w:top w:w="0" w:type="dxa"/>
              <w:left w:w="20" w:type="dxa"/>
              <w:bottom w:w="0" w:type="dxa"/>
              <w:right w:w="20" w:type="dxa"/>
            </w:tcMar>
            <w:vAlign w:val="bottom"/>
          </w:tcPr>
          <w:p w14:paraId="7C20929D" w14:textId="77777777" w:rsidR="00834A75" w:rsidRDefault="00834A75">
            <w:pPr>
              <w:rPr>
                <w:rFonts w:ascii="宋体"/>
              </w:rPr>
            </w:pPr>
          </w:p>
        </w:tc>
        <w:tc>
          <w:tcPr>
            <w:tcW w:w="0" w:type="auto"/>
            <w:gridSpan w:val="3"/>
            <w:shd w:val="clear" w:color="auto" w:fill="auto"/>
            <w:tcMar>
              <w:top w:w="0" w:type="dxa"/>
              <w:left w:w="20" w:type="dxa"/>
              <w:bottom w:w="0" w:type="dxa"/>
              <w:right w:w="20" w:type="dxa"/>
            </w:tcMar>
            <w:vAlign w:val="bottom"/>
          </w:tcPr>
          <w:p w14:paraId="7C20929E" w14:textId="77777777" w:rsidR="00834A75" w:rsidRDefault="00834A75">
            <w:pPr>
              <w:rPr>
                <w:rFonts w:ascii="宋体"/>
              </w:rPr>
            </w:pPr>
          </w:p>
        </w:tc>
        <w:tc>
          <w:tcPr>
            <w:tcW w:w="0" w:type="auto"/>
            <w:gridSpan w:val="3"/>
            <w:shd w:val="clear" w:color="auto" w:fill="auto"/>
            <w:tcMar>
              <w:top w:w="0" w:type="dxa"/>
              <w:left w:w="20" w:type="dxa"/>
              <w:bottom w:w="0" w:type="dxa"/>
              <w:right w:w="20" w:type="dxa"/>
            </w:tcMar>
            <w:vAlign w:val="bottom"/>
          </w:tcPr>
          <w:p w14:paraId="7C20929F" w14:textId="77777777" w:rsidR="00834A75" w:rsidRDefault="00834A75">
            <w:pPr>
              <w:rPr>
                <w:rFonts w:ascii="宋体"/>
              </w:rPr>
            </w:pPr>
          </w:p>
        </w:tc>
        <w:tc>
          <w:tcPr>
            <w:tcW w:w="0" w:type="auto"/>
            <w:gridSpan w:val="3"/>
            <w:shd w:val="clear" w:color="auto" w:fill="auto"/>
            <w:tcMar>
              <w:top w:w="0" w:type="dxa"/>
              <w:left w:w="20" w:type="dxa"/>
              <w:bottom w:w="0" w:type="dxa"/>
              <w:right w:w="20" w:type="dxa"/>
            </w:tcMar>
            <w:vAlign w:val="bottom"/>
          </w:tcPr>
          <w:p w14:paraId="7C2092A0" w14:textId="77777777" w:rsidR="00834A75" w:rsidRDefault="00834A75">
            <w:pPr>
              <w:rPr>
                <w:rFonts w:ascii="宋体"/>
              </w:rPr>
            </w:pPr>
          </w:p>
        </w:tc>
      </w:tr>
      <w:tr w:rsidR="00834A75" w14:paraId="7C2092AD" w14:textId="77777777">
        <w:tc>
          <w:tcPr>
            <w:tcW w:w="0" w:type="auto"/>
            <w:gridSpan w:val="3"/>
            <w:shd w:val="clear" w:color="auto" w:fill="auto"/>
            <w:tcMar>
              <w:top w:w="40" w:type="dxa"/>
              <w:left w:w="20" w:type="dxa"/>
              <w:bottom w:w="40" w:type="dxa"/>
              <w:right w:w="20" w:type="dxa"/>
            </w:tcMar>
          </w:tcPr>
          <w:p w14:paraId="7C2092A2" w14:textId="77777777" w:rsidR="00834A75" w:rsidRDefault="00A6708C">
            <w:pPr>
              <w:jc w:val="center"/>
              <w:textAlignment w:val="top"/>
            </w:pPr>
            <w:r>
              <w:rPr>
                <w:rFonts w:ascii="sans-serif" w:eastAsia="sans-serif" w:hAnsi="sans-serif" w:cs="sans-serif"/>
                <w:color w:val="000000"/>
                <w:sz w:val="20"/>
                <w:szCs w:val="20"/>
              </w:rPr>
              <w:t>101.CAL*</w:t>
            </w:r>
          </w:p>
        </w:tc>
        <w:tc>
          <w:tcPr>
            <w:tcW w:w="0" w:type="auto"/>
            <w:gridSpan w:val="3"/>
            <w:shd w:val="clear" w:color="auto" w:fill="auto"/>
            <w:tcMar>
              <w:top w:w="0" w:type="dxa"/>
              <w:left w:w="20" w:type="dxa"/>
              <w:bottom w:w="0" w:type="dxa"/>
              <w:right w:w="20" w:type="dxa"/>
            </w:tcMar>
            <w:vAlign w:val="bottom"/>
          </w:tcPr>
          <w:p w14:paraId="7C2092A3" w14:textId="77777777" w:rsidR="00834A75" w:rsidRDefault="00834A75">
            <w:pPr>
              <w:rPr>
                <w:rFonts w:ascii="宋体"/>
              </w:rPr>
            </w:pPr>
          </w:p>
        </w:tc>
        <w:tc>
          <w:tcPr>
            <w:tcW w:w="0" w:type="auto"/>
            <w:gridSpan w:val="3"/>
            <w:shd w:val="clear" w:color="auto" w:fill="auto"/>
            <w:tcMar>
              <w:top w:w="40" w:type="dxa"/>
              <w:left w:w="20" w:type="dxa"/>
              <w:bottom w:w="40" w:type="dxa"/>
              <w:right w:w="20" w:type="dxa"/>
            </w:tcMar>
          </w:tcPr>
          <w:p w14:paraId="7C2092A4" w14:textId="77777777" w:rsidR="00834A75" w:rsidRDefault="00A6708C">
            <w:pPr>
              <w:textAlignment w:val="top"/>
            </w:pPr>
            <w:r>
              <w:rPr>
                <w:rFonts w:ascii="sans-serif" w:eastAsia="sans-serif" w:hAnsi="sans-serif" w:cs="sans-serif"/>
                <w:color w:val="000000"/>
                <w:sz w:val="20"/>
                <w:szCs w:val="20"/>
              </w:rPr>
              <w:t xml:space="preserve">Inline XBRL </w:t>
            </w:r>
            <w:r>
              <w:rPr>
                <w:rFonts w:ascii="sans-serif" w:eastAsia="sans-serif" w:hAnsi="sans-serif" w:cs="sans-serif"/>
                <w:color w:val="000000"/>
                <w:sz w:val="20"/>
                <w:szCs w:val="20"/>
              </w:rPr>
              <w:t>Taxonomy Extension Calculation Linkbase Document</w:t>
            </w:r>
          </w:p>
        </w:tc>
        <w:tc>
          <w:tcPr>
            <w:tcW w:w="0" w:type="auto"/>
            <w:gridSpan w:val="3"/>
            <w:shd w:val="clear" w:color="auto" w:fill="auto"/>
            <w:tcMar>
              <w:top w:w="0" w:type="dxa"/>
              <w:left w:w="20" w:type="dxa"/>
              <w:bottom w:w="0" w:type="dxa"/>
              <w:right w:w="20" w:type="dxa"/>
            </w:tcMar>
            <w:vAlign w:val="bottom"/>
          </w:tcPr>
          <w:p w14:paraId="7C2092A5" w14:textId="77777777" w:rsidR="00834A75" w:rsidRDefault="00834A75">
            <w:pPr>
              <w:rPr>
                <w:rFonts w:ascii="宋体"/>
              </w:rPr>
            </w:pPr>
          </w:p>
        </w:tc>
        <w:tc>
          <w:tcPr>
            <w:tcW w:w="0" w:type="auto"/>
            <w:gridSpan w:val="3"/>
            <w:shd w:val="clear" w:color="auto" w:fill="auto"/>
            <w:tcMar>
              <w:top w:w="0" w:type="dxa"/>
              <w:left w:w="20" w:type="dxa"/>
              <w:bottom w:w="0" w:type="dxa"/>
              <w:right w:w="20" w:type="dxa"/>
            </w:tcMar>
            <w:vAlign w:val="bottom"/>
          </w:tcPr>
          <w:p w14:paraId="7C2092A6" w14:textId="77777777" w:rsidR="00834A75" w:rsidRDefault="00834A75">
            <w:pPr>
              <w:rPr>
                <w:rFonts w:ascii="宋体"/>
              </w:rPr>
            </w:pPr>
          </w:p>
        </w:tc>
        <w:tc>
          <w:tcPr>
            <w:tcW w:w="0" w:type="auto"/>
            <w:gridSpan w:val="3"/>
            <w:shd w:val="clear" w:color="auto" w:fill="auto"/>
            <w:tcMar>
              <w:top w:w="0" w:type="dxa"/>
              <w:left w:w="20" w:type="dxa"/>
              <w:bottom w:w="0" w:type="dxa"/>
              <w:right w:w="20" w:type="dxa"/>
            </w:tcMar>
            <w:vAlign w:val="bottom"/>
          </w:tcPr>
          <w:p w14:paraId="7C2092A7" w14:textId="77777777" w:rsidR="00834A75" w:rsidRDefault="00834A75">
            <w:pPr>
              <w:rPr>
                <w:rFonts w:ascii="宋体"/>
              </w:rPr>
            </w:pPr>
          </w:p>
        </w:tc>
        <w:tc>
          <w:tcPr>
            <w:tcW w:w="0" w:type="auto"/>
            <w:gridSpan w:val="3"/>
            <w:shd w:val="clear" w:color="auto" w:fill="auto"/>
            <w:tcMar>
              <w:top w:w="0" w:type="dxa"/>
              <w:left w:w="20" w:type="dxa"/>
              <w:bottom w:w="0" w:type="dxa"/>
              <w:right w:w="20" w:type="dxa"/>
            </w:tcMar>
            <w:vAlign w:val="bottom"/>
          </w:tcPr>
          <w:p w14:paraId="7C2092A8" w14:textId="77777777" w:rsidR="00834A75" w:rsidRDefault="00834A75">
            <w:pPr>
              <w:rPr>
                <w:rFonts w:ascii="宋体"/>
              </w:rPr>
            </w:pPr>
          </w:p>
        </w:tc>
        <w:tc>
          <w:tcPr>
            <w:tcW w:w="0" w:type="auto"/>
            <w:gridSpan w:val="3"/>
            <w:shd w:val="clear" w:color="auto" w:fill="auto"/>
            <w:tcMar>
              <w:top w:w="0" w:type="dxa"/>
              <w:left w:w="20" w:type="dxa"/>
              <w:bottom w:w="0" w:type="dxa"/>
              <w:right w:w="20" w:type="dxa"/>
            </w:tcMar>
            <w:vAlign w:val="bottom"/>
          </w:tcPr>
          <w:p w14:paraId="7C2092A9" w14:textId="77777777" w:rsidR="00834A75" w:rsidRDefault="00834A75">
            <w:pPr>
              <w:rPr>
                <w:rFonts w:ascii="宋体"/>
              </w:rPr>
            </w:pPr>
          </w:p>
        </w:tc>
        <w:tc>
          <w:tcPr>
            <w:tcW w:w="0" w:type="auto"/>
            <w:gridSpan w:val="3"/>
            <w:shd w:val="clear" w:color="auto" w:fill="auto"/>
            <w:tcMar>
              <w:top w:w="0" w:type="dxa"/>
              <w:left w:w="20" w:type="dxa"/>
              <w:bottom w:w="0" w:type="dxa"/>
              <w:right w:w="20" w:type="dxa"/>
            </w:tcMar>
            <w:vAlign w:val="bottom"/>
          </w:tcPr>
          <w:p w14:paraId="7C2092AA" w14:textId="77777777" w:rsidR="00834A75" w:rsidRDefault="00834A75">
            <w:pPr>
              <w:rPr>
                <w:rFonts w:ascii="宋体"/>
              </w:rPr>
            </w:pPr>
          </w:p>
        </w:tc>
        <w:tc>
          <w:tcPr>
            <w:tcW w:w="0" w:type="auto"/>
            <w:gridSpan w:val="3"/>
            <w:shd w:val="clear" w:color="auto" w:fill="auto"/>
            <w:tcMar>
              <w:top w:w="0" w:type="dxa"/>
              <w:left w:w="20" w:type="dxa"/>
              <w:bottom w:w="0" w:type="dxa"/>
              <w:right w:w="20" w:type="dxa"/>
            </w:tcMar>
            <w:vAlign w:val="bottom"/>
          </w:tcPr>
          <w:p w14:paraId="7C2092AB" w14:textId="77777777" w:rsidR="00834A75" w:rsidRDefault="00834A75">
            <w:pPr>
              <w:rPr>
                <w:rFonts w:ascii="宋体"/>
              </w:rPr>
            </w:pPr>
          </w:p>
        </w:tc>
        <w:tc>
          <w:tcPr>
            <w:tcW w:w="0" w:type="auto"/>
            <w:gridSpan w:val="3"/>
            <w:shd w:val="clear" w:color="auto" w:fill="auto"/>
            <w:tcMar>
              <w:top w:w="0" w:type="dxa"/>
              <w:left w:w="20" w:type="dxa"/>
              <w:bottom w:w="0" w:type="dxa"/>
              <w:right w:w="20" w:type="dxa"/>
            </w:tcMar>
            <w:vAlign w:val="bottom"/>
          </w:tcPr>
          <w:p w14:paraId="7C2092AC" w14:textId="77777777" w:rsidR="00834A75" w:rsidRDefault="00834A75">
            <w:pPr>
              <w:rPr>
                <w:rFonts w:ascii="宋体"/>
              </w:rPr>
            </w:pPr>
          </w:p>
        </w:tc>
      </w:tr>
      <w:tr w:rsidR="00834A75" w14:paraId="7C2092B9" w14:textId="77777777">
        <w:tc>
          <w:tcPr>
            <w:tcW w:w="0" w:type="auto"/>
            <w:gridSpan w:val="3"/>
            <w:shd w:val="clear" w:color="auto" w:fill="auto"/>
            <w:tcMar>
              <w:top w:w="40" w:type="dxa"/>
              <w:left w:w="20" w:type="dxa"/>
              <w:bottom w:w="40" w:type="dxa"/>
              <w:right w:w="20" w:type="dxa"/>
            </w:tcMar>
          </w:tcPr>
          <w:p w14:paraId="7C2092AE" w14:textId="77777777" w:rsidR="00834A75" w:rsidRDefault="00A6708C">
            <w:pPr>
              <w:jc w:val="center"/>
              <w:textAlignment w:val="top"/>
            </w:pPr>
            <w:r>
              <w:rPr>
                <w:rFonts w:ascii="sans-serif" w:eastAsia="sans-serif" w:hAnsi="sans-serif" w:cs="sans-serif"/>
                <w:color w:val="000000"/>
                <w:sz w:val="20"/>
                <w:szCs w:val="20"/>
              </w:rPr>
              <w:t>101.DEF*</w:t>
            </w:r>
          </w:p>
        </w:tc>
        <w:tc>
          <w:tcPr>
            <w:tcW w:w="0" w:type="auto"/>
            <w:gridSpan w:val="3"/>
            <w:shd w:val="clear" w:color="auto" w:fill="auto"/>
            <w:tcMar>
              <w:top w:w="0" w:type="dxa"/>
              <w:left w:w="20" w:type="dxa"/>
              <w:bottom w:w="0" w:type="dxa"/>
              <w:right w:w="20" w:type="dxa"/>
            </w:tcMar>
            <w:vAlign w:val="bottom"/>
          </w:tcPr>
          <w:p w14:paraId="7C2092AF" w14:textId="77777777" w:rsidR="00834A75" w:rsidRDefault="00834A75">
            <w:pPr>
              <w:rPr>
                <w:rFonts w:ascii="宋体"/>
              </w:rPr>
            </w:pPr>
          </w:p>
        </w:tc>
        <w:tc>
          <w:tcPr>
            <w:tcW w:w="0" w:type="auto"/>
            <w:gridSpan w:val="3"/>
            <w:shd w:val="clear" w:color="auto" w:fill="auto"/>
            <w:tcMar>
              <w:top w:w="40" w:type="dxa"/>
              <w:left w:w="20" w:type="dxa"/>
              <w:bottom w:w="40" w:type="dxa"/>
              <w:right w:w="20" w:type="dxa"/>
            </w:tcMar>
          </w:tcPr>
          <w:p w14:paraId="7C2092B0" w14:textId="77777777" w:rsidR="00834A75" w:rsidRDefault="00A6708C">
            <w:pPr>
              <w:textAlignment w:val="top"/>
            </w:pPr>
            <w:r>
              <w:rPr>
                <w:rFonts w:ascii="sans-serif" w:eastAsia="sans-serif" w:hAnsi="sans-serif" w:cs="sans-serif"/>
                <w:color w:val="000000"/>
                <w:sz w:val="20"/>
                <w:szCs w:val="20"/>
              </w:rPr>
              <w:t>Inline XBRL Taxonomy Extension Definition Linkbase Document</w:t>
            </w:r>
          </w:p>
        </w:tc>
        <w:tc>
          <w:tcPr>
            <w:tcW w:w="0" w:type="auto"/>
            <w:gridSpan w:val="3"/>
            <w:shd w:val="clear" w:color="auto" w:fill="auto"/>
            <w:tcMar>
              <w:top w:w="0" w:type="dxa"/>
              <w:left w:w="20" w:type="dxa"/>
              <w:bottom w:w="0" w:type="dxa"/>
              <w:right w:w="20" w:type="dxa"/>
            </w:tcMar>
            <w:vAlign w:val="bottom"/>
          </w:tcPr>
          <w:p w14:paraId="7C2092B1" w14:textId="77777777" w:rsidR="00834A75" w:rsidRDefault="00834A75">
            <w:pPr>
              <w:rPr>
                <w:rFonts w:ascii="宋体"/>
              </w:rPr>
            </w:pPr>
          </w:p>
        </w:tc>
        <w:tc>
          <w:tcPr>
            <w:tcW w:w="0" w:type="auto"/>
            <w:gridSpan w:val="3"/>
            <w:shd w:val="clear" w:color="auto" w:fill="auto"/>
            <w:tcMar>
              <w:top w:w="0" w:type="dxa"/>
              <w:left w:w="20" w:type="dxa"/>
              <w:bottom w:w="0" w:type="dxa"/>
              <w:right w:w="20" w:type="dxa"/>
            </w:tcMar>
            <w:vAlign w:val="bottom"/>
          </w:tcPr>
          <w:p w14:paraId="7C2092B2" w14:textId="77777777" w:rsidR="00834A75" w:rsidRDefault="00834A75">
            <w:pPr>
              <w:rPr>
                <w:rFonts w:ascii="宋体"/>
              </w:rPr>
            </w:pPr>
          </w:p>
        </w:tc>
        <w:tc>
          <w:tcPr>
            <w:tcW w:w="0" w:type="auto"/>
            <w:gridSpan w:val="3"/>
            <w:shd w:val="clear" w:color="auto" w:fill="auto"/>
            <w:tcMar>
              <w:top w:w="0" w:type="dxa"/>
              <w:left w:w="20" w:type="dxa"/>
              <w:bottom w:w="0" w:type="dxa"/>
              <w:right w:w="20" w:type="dxa"/>
            </w:tcMar>
            <w:vAlign w:val="bottom"/>
          </w:tcPr>
          <w:p w14:paraId="7C2092B3" w14:textId="77777777" w:rsidR="00834A75" w:rsidRDefault="00834A75">
            <w:pPr>
              <w:rPr>
                <w:rFonts w:ascii="宋体"/>
              </w:rPr>
            </w:pPr>
          </w:p>
        </w:tc>
        <w:tc>
          <w:tcPr>
            <w:tcW w:w="0" w:type="auto"/>
            <w:gridSpan w:val="3"/>
            <w:shd w:val="clear" w:color="auto" w:fill="auto"/>
            <w:tcMar>
              <w:top w:w="0" w:type="dxa"/>
              <w:left w:w="20" w:type="dxa"/>
              <w:bottom w:w="0" w:type="dxa"/>
              <w:right w:w="20" w:type="dxa"/>
            </w:tcMar>
            <w:vAlign w:val="bottom"/>
          </w:tcPr>
          <w:p w14:paraId="7C2092B4" w14:textId="77777777" w:rsidR="00834A75" w:rsidRDefault="00834A75">
            <w:pPr>
              <w:rPr>
                <w:rFonts w:ascii="宋体"/>
              </w:rPr>
            </w:pPr>
          </w:p>
        </w:tc>
        <w:tc>
          <w:tcPr>
            <w:tcW w:w="0" w:type="auto"/>
            <w:gridSpan w:val="3"/>
            <w:shd w:val="clear" w:color="auto" w:fill="auto"/>
            <w:tcMar>
              <w:top w:w="0" w:type="dxa"/>
              <w:left w:w="20" w:type="dxa"/>
              <w:bottom w:w="0" w:type="dxa"/>
              <w:right w:w="20" w:type="dxa"/>
            </w:tcMar>
            <w:vAlign w:val="bottom"/>
          </w:tcPr>
          <w:p w14:paraId="7C2092B5" w14:textId="77777777" w:rsidR="00834A75" w:rsidRDefault="00834A75">
            <w:pPr>
              <w:rPr>
                <w:rFonts w:ascii="宋体"/>
              </w:rPr>
            </w:pPr>
          </w:p>
        </w:tc>
        <w:tc>
          <w:tcPr>
            <w:tcW w:w="0" w:type="auto"/>
            <w:gridSpan w:val="3"/>
            <w:shd w:val="clear" w:color="auto" w:fill="auto"/>
            <w:tcMar>
              <w:top w:w="0" w:type="dxa"/>
              <w:left w:w="20" w:type="dxa"/>
              <w:bottom w:w="0" w:type="dxa"/>
              <w:right w:w="20" w:type="dxa"/>
            </w:tcMar>
            <w:vAlign w:val="bottom"/>
          </w:tcPr>
          <w:p w14:paraId="7C2092B6" w14:textId="77777777" w:rsidR="00834A75" w:rsidRDefault="00834A75">
            <w:pPr>
              <w:rPr>
                <w:rFonts w:ascii="宋体"/>
              </w:rPr>
            </w:pPr>
          </w:p>
        </w:tc>
        <w:tc>
          <w:tcPr>
            <w:tcW w:w="0" w:type="auto"/>
            <w:gridSpan w:val="3"/>
            <w:shd w:val="clear" w:color="auto" w:fill="auto"/>
            <w:tcMar>
              <w:top w:w="0" w:type="dxa"/>
              <w:left w:w="20" w:type="dxa"/>
              <w:bottom w:w="0" w:type="dxa"/>
              <w:right w:w="20" w:type="dxa"/>
            </w:tcMar>
            <w:vAlign w:val="bottom"/>
          </w:tcPr>
          <w:p w14:paraId="7C2092B7" w14:textId="77777777" w:rsidR="00834A75" w:rsidRDefault="00834A75">
            <w:pPr>
              <w:rPr>
                <w:rFonts w:ascii="宋体"/>
              </w:rPr>
            </w:pPr>
          </w:p>
        </w:tc>
        <w:tc>
          <w:tcPr>
            <w:tcW w:w="0" w:type="auto"/>
            <w:gridSpan w:val="3"/>
            <w:shd w:val="clear" w:color="auto" w:fill="auto"/>
            <w:tcMar>
              <w:top w:w="0" w:type="dxa"/>
              <w:left w:w="20" w:type="dxa"/>
              <w:bottom w:w="0" w:type="dxa"/>
              <w:right w:w="20" w:type="dxa"/>
            </w:tcMar>
            <w:vAlign w:val="bottom"/>
          </w:tcPr>
          <w:p w14:paraId="7C2092B8" w14:textId="77777777" w:rsidR="00834A75" w:rsidRDefault="00834A75">
            <w:pPr>
              <w:rPr>
                <w:rFonts w:ascii="宋体"/>
              </w:rPr>
            </w:pPr>
          </w:p>
        </w:tc>
      </w:tr>
      <w:tr w:rsidR="00834A75" w14:paraId="7C2092C5" w14:textId="77777777">
        <w:tc>
          <w:tcPr>
            <w:tcW w:w="0" w:type="auto"/>
            <w:gridSpan w:val="3"/>
            <w:shd w:val="clear" w:color="auto" w:fill="auto"/>
            <w:tcMar>
              <w:top w:w="40" w:type="dxa"/>
              <w:left w:w="20" w:type="dxa"/>
              <w:bottom w:w="40" w:type="dxa"/>
              <w:right w:w="20" w:type="dxa"/>
            </w:tcMar>
          </w:tcPr>
          <w:p w14:paraId="7C2092BA" w14:textId="77777777" w:rsidR="00834A75" w:rsidRDefault="00A6708C">
            <w:pPr>
              <w:jc w:val="center"/>
              <w:textAlignment w:val="top"/>
            </w:pPr>
            <w:r>
              <w:rPr>
                <w:rFonts w:ascii="sans-serif" w:eastAsia="sans-serif" w:hAnsi="sans-serif" w:cs="sans-serif"/>
                <w:color w:val="000000"/>
                <w:sz w:val="20"/>
                <w:szCs w:val="20"/>
              </w:rPr>
              <w:t>101.LAB*</w:t>
            </w:r>
          </w:p>
        </w:tc>
        <w:tc>
          <w:tcPr>
            <w:tcW w:w="0" w:type="auto"/>
            <w:gridSpan w:val="3"/>
            <w:shd w:val="clear" w:color="auto" w:fill="auto"/>
            <w:tcMar>
              <w:top w:w="0" w:type="dxa"/>
              <w:left w:w="20" w:type="dxa"/>
              <w:bottom w:w="0" w:type="dxa"/>
              <w:right w:w="20" w:type="dxa"/>
            </w:tcMar>
            <w:vAlign w:val="bottom"/>
          </w:tcPr>
          <w:p w14:paraId="7C2092BB" w14:textId="77777777" w:rsidR="00834A75" w:rsidRDefault="00834A75">
            <w:pPr>
              <w:rPr>
                <w:rFonts w:ascii="宋体"/>
              </w:rPr>
            </w:pPr>
          </w:p>
        </w:tc>
        <w:tc>
          <w:tcPr>
            <w:tcW w:w="0" w:type="auto"/>
            <w:gridSpan w:val="3"/>
            <w:shd w:val="clear" w:color="auto" w:fill="auto"/>
            <w:tcMar>
              <w:top w:w="40" w:type="dxa"/>
              <w:left w:w="20" w:type="dxa"/>
              <w:bottom w:w="40" w:type="dxa"/>
              <w:right w:w="20" w:type="dxa"/>
            </w:tcMar>
          </w:tcPr>
          <w:p w14:paraId="7C2092BC" w14:textId="77777777" w:rsidR="00834A75" w:rsidRDefault="00A6708C">
            <w:pPr>
              <w:textAlignment w:val="top"/>
            </w:pPr>
            <w:r>
              <w:rPr>
                <w:rFonts w:ascii="sans-serif" w:eastAsia="sans-serif" w:hAnsi="sans-serif" w:cs="sans-serif"/>
                <w:color w:val="000000"/>
                <w:sz w:val="20"/>
                <w:szCs w:val="20"/>
              </w:rPr>
              <w:t>Inline XBRL Taxonomy Extension Labels Linkbase Document</w:t>
            </w:r>
          </w:p>
        </w:tc>
        <w:tc>
          <w:tcPr>
            <w:tcW w:w="0" w:type="auto"/>
            <w:gridSpan w:val="3"/>
            <w:shd w:val="clear" w:color="auto" w:fill="auto"/>
            <w:tcMar>
              <w:top w:w="0" w:type="dxa"/>
              <w:left w:w="20" w:type="dxa"/>
              <w:bottom w:w="0" w:type="dxa"/>
              <w:right w:w="20" w:type="dxa"/>
            </w:tcMar>
            <w:vAlign w:val="bottom"/>
          </w:tcPr>
          <w:p w14:paraId="7C2092BD" w14:textId="77777777" w:rsidR="00834A75" w:rsidRDefault="00834A75">
            <w:pPr>
              <w:rPr>
                <w:rFonts w:ascii="宋体"/>
              </w:rPr>
            </w:pPr>
          </w:p>
        </w:tc>
        <w:tc>
          <w:tcPr>
            <w:tcW w:w="0" w:type="auto"/>
            <w:gridSpan w:val="3"/>
            <w:shd w:val="clear" w:color="auto" w:fill="auto"/>
            <w:tcMar>
              <w:top w:w="0" w:type="dxa"/>
              <w:left w:w="20" w:type="dxa"/>
              <w:bottom w:w="0" w:type="dxa"/>
              <w:right w:w="20" w:type="dxa"/>
            </w:tcMar>
            <w:vAlign w:val="bottom"/>
          </w:tcPr>
          <w:p w14:paraId="7C2092BE" w14:textId="77777777" w:rsidR="00834A75" w:rsidRDefault="00834A75">
            <w:pPr>
              <w:rPr>
                <w:rFonts w:ascii="宋体"/>
              </w:rPr>
            </w:pPr>
          </w:p>
        </w:tc>
        <w:tc>
          <w:tcPr>
            <w:tcW w:w="0" w:type="auto"/>
            <w:gridSpan w:val="3"/>
            <w:shd w:val="clear" w:color="auto" w:fill="auto"/>
            <w:tcMar>
              <w:top w:w="0" w:type="dxa"/>
              <w:left w:w="20" w:type="dxa"/>
              <w:bottom w:w="0" w:type="dxa"/>
              <w:right w:w="20" w:type="dxa"/>
            </w:tcMar>
            <w:vAlign w:val="bottom"/>
          </w:tcPr>
          <w:p w14:paraId="7C2092BF" w14:textId="77777777" w:rsidR="00834A75" w:rsidRDefault="00834A75">
            <w:pPr>
              <w:rPr>
                <w:rFonts w:ascii="宋体"/>
              </w:rPr>
            </w:pPr>
          </w:p>
        </w:tc>
        <w:tc>
          <w:tcPr>
            <w:tcW w:w="0" w:type="auto"/>
            <w:gridSpan w:val="3"/>
            <w:shd w:val="clear" w:color="auto" w:fill="auto"/>
            <w:tcMar>
              <w:top w:w="0" w:type="dxa"/>
              <w:left w:w="20" w:type="dxa"/>
              <w:bottom w:w="0" w:type="dxa"/>
              <w:right w:w="20" w:type="dxa"/>
            </w:tcMar>
            <w:vAlign w:val="bottom"/>
          </w:tcPr>
          <w:p w14:paraId="7C2092C0" w14:textId="77777777" w:rsidR="00834A75" w:rsidRDefault="00834A75">
            <w:pPr>
              <w:rPr>
                <w:rFonts w:ascii="宋体"/>
              </w:rPr>
            </w:pPr>
          </w:p>
        </w:tc>
        <w:tc>
          <w:tcPr>
            <w:tcW w:w="0" w:type="auto"/>
            <w:gridSpan w:val="3"/>
            <w:shd w:val="clear" w:color="auto" w:fill="auto"/>
            <w:tcMar>
              <w:top w:w="0" w:type="dxa"/>
              <w:left w:w="20" w:type="dxa"/>
              <w:bottom w:w="0" w:type="dxa"/>
              <w:right w:w="20" w:type="dxa"/>
            </w:tcMar>
            <w:vAlign w:val="bottom"/>
          </w:tcPr>
          <w:p w14:paraId="7C2092C1" w14:textId="77777777" w:rsidR="00834A75" w:rsidRDefault="00834A75">
            <w:pPr>
              <w:rPr>
                <w:rFonts w:ascii="宋体"/>
              </w:rPr>
            </w:pPr>
          </w:p>
        </w:tc>
        <w:tc>
          <w:tcPr>
            <w:tcW w:w="0" w:type="auto"/>
            <w:gridSpan w:val="3"/>
            <w:shd w:val="clear" w:color="auto" w:fill="auto"/>
            <w:tcMar>
              <w:top w:w="0" w:type="dxa"/>
              <w:left w:w="20" w:type="dxa"/>
              <w:bottom w:w="0" w:type="dxa"/>
              <w:right w:w="20" w:type="dxa"/>
            </w:tcMar>
            <w:vAlign w:val="bottom"/>
          </w:tcPr>
          <w:p w14:paraId="7C2092C2" w14:textId="77777777" w:rsidR="00834A75" w:rsidRDefault="00834A75">
            <w:pPr>
              <w:rPr>
                <w:rFonts w:ascii="宋体"/>
              </w:rPr>
            </w:pPr>
          </w:p>
        </w:tc>
        <w:tc>
          <w:tcPr>
            <w:tcW w:w="0" w:type="auto"/>
            <w:gridSpan w:val="3"/>
            <w:shd w:val="clear" w:color="auto" w:fill="auto"/>
            <w:tcMar>
              <w:top w:w="0" w:type="dxa"/>
              <w:left w:w="20" w:type="dxa"/>
              <w:bottom w:w="0" w:type="dxa"/>
              <w:right w:w="20" w:type="dxa"/>
            </w:tcMar>
            <w:vAlign w:val="bottom"/>
          </w:tcPr>
          <w:p w14:paraId="7C2092C3" w14:textId="77777777" w:rsidR="00834A75" w:rsidRDefault="00834A75">
            <w:pPr>
              <w:rPr>
                <w:rFonts w:ascii="宋体"/>
              </w:rPr>
            </w:pPr>
          </w:p>
        </w:tc>
        <w:tc>
          <w:tcPr>
            <w:tcW w:w="0" w:type="auto"/>
            <w:gridSpan w:val="3"/>
            <w:shd w:val="clear" w:color="auto" w:fill="auto"/>
            <w:tcMar>
              <w:top w:w="0" w:type="dxa"/>
              <w:left w:w="20" w:type="dxa"/>
              <w:bottom w:w="0" w:type="dxa"/>
              <w:right w:w="20" w:type="dxa"/>
            </w:tcMar>
            <w:vAlign w:val="bottom"/>
          </w:tcPr>
          <w:p w14:paraId="7C2092C4" w14:textId="77777777" w:rsidR="00834A75" w:rsidRDefault="00834A75">
            <w:pPr>
              <w:rPr>
                <w:rFonts w:ascii="宋体"/>
              </w:rPr>
            </w:pPr>
          </w:p>
        </w:tc>
      </w:tr>
      <w:tr w:rsidR="00834A75" w14:paraId="7C2092D1" w14:textId="77777777">
        <w:tc>
          <w:tcPr>
            <w:tcW w:w="0" w:type="auto"/>
            <w:gridSpan w:val="3"/>
            <w:shd w:val="clear" w:color="auto" w:fill="auto"/>
            <w:tcMar>
              <w:top w:w="40" w:type="dxa"/>
              <w:left w:w="20" w:type="dxa"/>
              <w:bottom w:w="40" w:type="dxa"/>
              <w:right w:w="20" w:type="dxa"/>
            </w:tcMar>
          </w:tcPr>
          <w:p w14:paraId="7C2092C6" w14:textId="77777777" w:rsidR="00834A75" w:rsidRDefault="00A6708C">
            <w:pPr>
              <w:jc w:val="center"/>
              <w:textAlignment w:val="top"/>
            </w:pPr>
            <w:r>
              <w:rPr>
                <w:rFonts w:ascii="sans-serif" w:eastAsia="sans-serif" w:hAnsi="sans-serif" w:cs="sans-serif"/>
                <w:color w:val="000000"/>
                <w:sz w:val="20"/>
                <w:szCs w:val="20"/>
              </w:rPr>
              <w:t>101.PRE*</w:t>
            </w:r>
          </w:p>
        </w:tc>
        <w:tc>
          <w:tcPr>
            <w:tcW w:w="0" w:type="auto"/>
            <w:gridSpan w:val="3"/>
            <w:shd w:val="clear" w:color="auto" w:fill="auto"/>
            <w:tcMar>
              <w:top w:w="0" w:type="dxa"/>
              <w:left w:w="20" w:type="dxa"/>
              <w:bottom w:w="0" w:type="dxa"/>
              <w:right w:w="20" w:type="dxa"/>
            </w:tcMar>
            <w:vAlign w:val="bottom"/>
          </w:tcPr>
          <w:p w14:paraId="7C2092C7" w14:textId="77777777" w:rsidR="00834A75" w:rsidRDefault="00834A75">
            <w:pPr>
              <w:rPr>
                <w:rFonts w:ascii="宋体"/>
              </w:rPr>
            </w:pPr>
          </w:p>
        </w:tc>
        <w:tc>
          <w:tcPr>
            <w:tcW w:w="0" w:type="auto"/>
            <w:gridSpan w:val="3"/>
            <w:shd w:val="clear" w:color="auto" w:fill="auto"/>
            <w:tcMar>
              <w:top w:w="40" w:type="dxa"/>
              <w:left w:w="20" w:type="dxa"/>
              <w:bottom w:w="40" w:type="dxa"/>
              <w:right w:w="20" w:type="dxa"/>
            </w:tcMar>
          </w:tcPr>
          <w:p w14:paraId="7C2092C8" w14:textId="77777777" w:rsidR="00834A75" w:rsidRDefault="00A6708C">
            <w:pPr>
              <w:textAlignment w:val="top"/>
            </w:pPr>
            <w:r>
              <w:rPr>
                <w:rFonts w:ascii="sans-serif" w:eastAsia="sans-serif" w:hAnsi="sans-serif" w:cs="sans-serif"/>
                <w:color w:val="000000"/>
                <w:sz w:val="20"/>
                <w:szCs w:val="20"/>
              </w:rPr>
              <w:t xml:space="preserve">Inline XBRL Taxonomy </w:t>
            </w:r>
            <w:r>
              <w:rPr>
                <w:rFonts w:ascii="sans-serif" w:eastAsia="sans-serif" w:hAnsi="sans-serif" w:cs="sans-serif"/>
                <w:color w:val="000000"/>
                <w:sz w:val="20"/>
                <w:szCs w:val="20"/>
              </w:rPr>
              <w:t>Extension Presentation Linkbase Document</w:t>
            </w:r>
          </w:p>
        </w:tc>
        <w:tc>
          <w:tcPr>
            <w:tcW w:w="0" w:type="auto"/>
            <w:gridSpan w:val="3"/>
            <w:shd w:val="clear" w:color="auto" w:fill="auto"/>
            <w:tcMar>
              <w:top w:w="0" w:type="dxa"/>
              <w:left w:w="20" w:type="dxa"/>
              <w:bottom w:w="0" w:type="dxa"/>
              <w:right w:w="20" w:type="dxa"/>
            </w:tcMar>
            <w:vAlign w:val="bottom"/>
          </w:tcPr>
          <w:p w14:paraId="7C2092C9" w14:textId="77777777" w:rsidR="00834A75" w:rsidRDefault="00834A75">
            <w:pPr>
              <w:rPr>
                <w:rFonts w:ascii="宋体"/>
              </w:rPr>
            </w:pPr>
          </w:p>
        </w:tc>
        <w:tc>
          <w:tcPr>
            <w:tcW w:w="0" w:type="auto"/>
            <w:gridSpan w:val="3"/>
            <w:shd w:val="clear" w:color="auto" w:fill="auto"/>
            <w:tcMar>
              <w:top w:w="0" w:type="dxa"/>
              <w:left w:w="20" w:type="dxa"/>
              <w:bottom w:w="0" w:type="dxa"/>
              <w:right w:w="20" w:type="dxa"/>
            </w:tcMar>
            <w:vAlign w:val="bottom"/>
          </w:tcPr>
          <w:p w14:paraId="7C2092CA" w14:textId="77777777" w:rsidR="00834A75" w:rsidRDefault="00834A75">
            <w:pPr>
              <w:rPr>
                <w:rFonts w:ascii="宋体"/>
              </w:rPr>
            </w:pPr>
          </w:p>
        </w:tc>
        <w:tc>
          <w:tcPr>
            <w:tcW w:w="0" w:type="auto"/>
            <w:gridSpan w:val="3"/>
            <w:shd w:val="clear" w:color="auto" w:fill="auto"/>
            <w:tcMar>
              <w:top w:w="0" w:type="dxa"/>
              <w:left w:w="20" w:type="dxa"/>
              <w:bottom w:w="0" w:type="dxa"/>
              <w:right w:w="20" w:type="dxa"/>
            </w:tcMar>
            <w:vAlign w:val="bottom"/>
          </w:tcPr>
          <w:p w14:paraId="7C2092CB" w14:textId="77777777" w:rsidR="00834A75" w:rsidRDefault="00834A75">
            <w:pPr>
              <w:rPr>
                <w:rFonts w:ascii="宋体"/>
              </w:rPr>
            </w:pPr>
          </w:p>
        </w:tc>
        <w:tc>
          <w:tcPr>
            <w:tcW w:w="0" w:type="auto"/>
            <w:gridSpan w:val="3"/>
            <w:shd w:val="clear" w:color="auto" w:fill="auto"/>
            <w:tcMar>
              <w:top w:w="0" w:type="dxa"/>
              <w:left w:w="20" w:type="dxa"/>
              <w:bottom w:w="0" w:type="dxa"/>
              <w:right w:w="20" w:type="dxa"/>
            </w:tcMar>
            <w:vAlign w:val="bottom"/>
          </w:tcPr>
          <w:p w14:paraId="7C2092CC" w14:textId="77777777" w:rsidR="00834A75" w:rsidRDefault="00834A75">
            <w:pPr>
              <w:rPr>
                <w:rFonts w:ascii="宋体"/>
              </w:rPr>
            </w:pPr>
          </w:p>
        </w:tc>
        <w:tc>
          <w:tcPr>
            <w:tcW w:w="0" w:type="auto"/>
            <w:gridSpan w:val="3"/>
            <w:shd w:val="clear" w:color="auto" w:fill="auto"/>
            <w:tcMar>
              <w:top w:w="0" w:type="dxa"/>
              <w:left w:w="20" w:type="dxa"/>
              <w:bottom w:w="0" w:type="dxa"/>
              <w:right w:w="20" w:type="dxa"/>
            </w:tcMar>
            <w:vAlign w:val="bottom"/>
          </w:tcPr>
          <w:p w14:paraId="7C2092CD" w14:textId="77777777" w:rsidR="00834A75" w:rsidRDefault="00834A75">
            <w:pPr>
              <w:rPr>
                <w:rFonts w:ascii="宋体"/>
              </w:rPr>
            </w:pPr>
          </w:p>
        </w:tc>
        <w:tc>
          <w:tcPr>
            <w:tcW w:w="0" w:type="auto"/>
            <w:gridSpan w:val="3"/>
            <w:shd w:val="clear" w:color="auto" w:fill="auto"/>
            <w:tcMar>
              <w:top w:w="0" w:type="dxa"/>
              <w:left w:w="20" w:type="dxa"/>
              <w:bottom w:w="0" w:type="dxa"/>
              <w:right w:w="20" w:type="dxa"/>
            </w:tcMar>
            <w:vAlign w:val="bottom"/>
          </w:tcPr>
          <w:p w14:paraId="7C2092CE" w14:textId="77777777" w:rsidR="00834A75" w:rsidRDefault="00834A75">
            <w:pPr>
              <w:rPr>
                <w:rFonts w:ascii="宋体"/>
              </w:rPr>
            </w:pPr>
          </w:p>
        </w:tc>
        <w:tc>
          <w:tcPr>
            <w:tcW w:w="0" w:type="auto"/>
            <w:gridSpan w:val="3"/>
            <w:shd w:val="clear" w:color="auto" w:fill="auto"/>
            <w:tcMar>
              <w:top w:w="0" w:type="dxa"/>
              <w:left w:w="20" w:type="dxa"/>
              <w:bottom w:w="0" w:type="dxa"/>
              <w:right w:w="20" w:type="dxa"/>
            </w:tcMar>
            <w:vAlign w:val="bottom"/>
          </w:tcPr>
          <w:p w14:paraId="7C2092CF" w14:textId="77777777" w:rsidR="00834A75" w:rsidRDefault="00834A75">
            <w:pPr>
              <w:rPr>
                <w:rFonts w:ascii="宋体"/>
              </w:rPr>
            </w:pPr>
          </w:p>
        </w:tc>
        <w:tc>
          <w:tcPr>
            <w:tcW w:w="0" w:type="auto"/>
            <w:gridSpan w:val="3"/>
            <w:shd w:val="clear" w:color="auto" w:fill="auto"/>
            <w:tcMar>
              <w:top w:w="0" w:type="dxa"/>
              <w:left w:w="20" w:type="dxa"/>
              <w:bottom w:w="0" w:type="dxa"/>
              <w:right w:w="20" w:type="dxa"/>
            </w:tcMar>
            <w:vAlign w:val="bottom"/>
          </w:tcPr>
          <w:p w14:paraId="7C2092D0" w14:textId="77777777" w:rsidR="00834A75" w:rsidRDefault="00834A75">
            <w:pPr>
              <w:rPr>
                <w:rFonts w:ascii="宋体"/>
              </w:rPr>
            </w:pPr>
          </w:p>
        </w:tc>
      </w:tr>
      <w:tr w:rsidR="00834A75" w14:paraId="7C2092DD" w14:textId="77777777">
        <w:tc>
          <w:tcPr>
            <w:tcW w:w="0" w:type="auto"/>
            <w:gridSpan w:val="3"/>
            <w:shd w:val="clear" w:color="auto" w:fill="auto"/>
            <w:tcMar>
              <w:top w:w="40" w:type="dxa"/>
              <w:left w:w="20" w:type="dxa"/>
              <w:bottom w:w="40" w:type="dxa"/>
              <w:right w:w="20" w:type="dxa"/>
            </w:tcMar>
          </w:tcPr>
          <w:p w14:paraId="7C2092D2" w14:textId="77777777" w:rsidR="00834A75" w:rsidRDefault="00A6708C">
            <w:pPr>
              <w:jc w:val="center"/>
              <w:textAlignment w:val="top"/>
            </w:pPr>
            <w:r>
              <w:rPr>
                <w:rFonts w:ascii="sans-serif" w:eastAsia="sans-serif" w:hAnsi="sans-serif" w:cs="sans-serif"/>
                <w:color w:val="000000"/>
                <w:sz w:val="20"/>
                <w:szCs w:val="20"/>
              </w:rPr>
              <w:t>104</w:t>
            </w:r>
          </w:p>
        </w:tc>
        <w:tc>
          <w:tcPr>
            <w:tcW w:w="0" w:type="auto"/>
            <w:gridSpan w:val="3"/>
            <w:shd w:val="clear" w:color="auto" w:fill="auto"/>
            <w:tcMar>
              <w:top w:w="0" w:type="dxa"/>
              <w:left w:w="20" w:type="dxa"/>
              <w:bottom w:w="0" w:type="dxa"/>
              <w:right w:w="20" w:type="dxa"/>
            </w:tcMar>
            <w:vAlign w:val="bottom"/>
          </w:tcPr>
          <w:p w14:paraId="7C2092D3" w14:textId="77777777" w:rsidR="00834A75" w:rsidRDefault="00834A75">
            <w:pPr>
              <w:rPr>
                <w:rFonts w:ascii="宋体"/>
              </w:rPr>
            </w:pPr>
          </w:p>
        </w:tc>
        <w:tc>
          <w:tcPr>
            <w:tcW w:w="0" w:type="auto"/>
            <w:gridSpan w:val="3"/>
            <w:shd w:val="clear" w:color="auto" w:fill="auto"/>
            <w:tcMar>
              <w:top w:w="40" w:type="dxa"/>
              <w:left w:w="20" w:type="dxa"/>
              <w:bottom w:w="40" w:type="dxa"/>
              <w:right w:w="20" w:type="dxa"/>
            </w:tcMar>
          </w:tcPr>
          <w:p w14:paraId="7C2092D4" w14:textId="77777777" w:rsidR="00834A75" w:rsidRDefault="00A6708C">
            <w:pPr>
              <w:textAlignment w:val="top"/>
            </w:pPr>
            <w:r>
              <w:rPr>
                <w:rFonts w:ascii="sans-serif" w:eastAsia="sans-serif" w:hAnsi="sans-serif" w:cs="sans-serif"/>
                <w:color w:val="000000"/>
                <w:sz w:val="20"/>
                <w:szCs w:val="20"/>
              </w:rPr>
              <w:t>Cover Page Interactive Data File - the cover page interactive data file does not appear in the Interactive Data File because its XBRL tags are embedded within the Inline XBRL document.</w:t>
            </w:r>
          </w:p>
        </w:tc>
        <w:tc>
          <w:tcPr>
            <w:tcW w:w="0" w:type="auto"/>
            <w:gridSpan w:val="3"/>
            <w:shd w:val="clear" w:color="auto" w:fill="auto"/>
            <w:tcMar>
              <w:top w:w="0" w:type="dxa"/>
              <w:left w:w="20" w:type="dxa"/>
              <w:bottom w:w="0" w:type="dxa"/>
              <w:right w:w="20" w:type="dxa"/>
            </w:tcMar>
            <w:vAlign w:val="bottom"/>
          </w:tcPr>
          <w:p w14:paraId="7C2092D5" w14:textId="77777777" w:rsidR="00834A75" w:rsidRDefault="00834A75">
            <w:pPr>
              <w:rPr>
                <w:rFonts w:ascii="宋体"/>
              </w:rPr>
            </w:pPr>
          </w:p>
        </w:tc>
        <w:tc>
          <w:tcPr>
            <w:tcW w:w="0" w:type="auto"/>
            <w:gridSpan w:val="3"/>
            <w:shd w:val="clear" w:color="auto" w:fill="auto"/>
            <w:tcMar>
              <w:top w:w="0" w:type="dxa"/>
              <w:left w:w="20" w:type="dxa"/>
              <w:bottom w:w="0" w:type="dxa"/>
              <w:right w:w="20" w:type="dxa"/>
            </w:tcMar>
            <w:vAlign w:val="bottom"/>
          </w:tcPr>
          <w:p w14:paraId="7C2092D6" w14:textId="77777777" w:rsidR="00834A75" w:rsidRDefault="00834A75">
            <w:pPr>
              <w:rPr>
                <w:rFonts w:ascii="宋体"/>
              </w:rPr>
            </w:pPr>
          </w:p>
        </w:tc>
        <w:tc>
          <w:tcPr>
            <w:tcW w:w="0" w:type="auto"/>
            <w:gridSpan w:val="3"/>
            <w:shd w:val="clear" w:color="auto" w:fill="auto"/>
            <w:tcMar>
              <w:top w:w="0" w:type="dxa"/>
              <w:left w:w="20" w:type="dxa"/>
              <w:bottom w:w="0" w:type="dxa"/>
              <w:right w:w="20" w:type="dxa"/>
            </w:tcMar>
            <w:vAlign w:val="bottom"/>
          </w:tcPr>
          <w:p w14:paraId="7C2092D7" w14:textId="77777777" w:rsidR="00834A75" w:rsidRDefault="00834A75">
            <w:pPr>
              <w:rPr>
                <w:rFonts w:ascii="宋体"/>
              </w:rPr>
            </w:pPr>
          </w:p>
        </w:tc>
        <w:tc>
          <w:tcPr>
            <w:tcW w:w="0" w:type="auto"/>
            <w:gridSpan w:val="3"/>
            <w:shd w:val="clear" w:color="auto" w:fill="auto"/>
            <w:tcMar>
              <w:top w:w="0" w:type="dxa"/>
              <w:left w:w="20" w:type="dxa"/>
              <w:bottom w:w="0" w:type="dxa"/>
              <w:right w:w="20" w:type="dxa"/>
            </w:tcMar>
            <w:vAlign w:val="bottom"/>
          </w:tcPr>
          <w:p w14:paraId="7C2092D8" w14:textId="77777777" w:rsidR="00834A75" w:rsidRDefault="00834A75">
            <w:pPr>
              <w:rPr>
                <w:rFonts w:ascii="宋体"/>
              </w:rPr>
            </w:pPr>
          </w:p>
        </w:tc>
        <w:tc>
          <w:tcPr>
            <w:tcW w:w="0" w:type="auto"/>
            <w:gridSpan w:val="3"/>
            <w:shd w:val="clear" w:color="auto" w:fill="auto"/>
            <w:tcMar>
              <w:top w:w="0" w:type="dxa"/>
              <w:left w:w="20" w:type="dxa"/>
              <w:bottom w:w="0" w:type="dxa"/>
              <w:right w:w="20" w:type="dxa"/>
            </w:tcMar>
            <w:vAlign w:val="bottom"/>
          </w:tcPr>
          <w:p w14:paraId="7C2092D9" w14:textId="77777777" w:rsidR="00834A75" w:rsidRDefault="00834A75">
            <w:pPr>
              <w:rPr>
                <w:rFonts w:ascii="宋体"/>
              </w:rPr>
            </w:pPr>
          </w:p>
        </w:tc>
        <w:tc>
          <w:tcPr>
            <w:tcW w:w="0" w:type="auto"/>
            <w:gridSpan w:val="3"/>
            <w:shd w:val="clear" w:color="auto" w:fill="auto"/>
            <w:tcMar>
              <w:top w:w="0" w:type="dxa"/>
              <w:left w:w="20" w:type="dxa"/>
              <w:bottom w:w="0" w:type="dxa"/>
              <w:right w:w="20" w:type="dxa"/>
            </w:tcMar>
            <w:vAlign w:val="bottom"/>
          </w:tcPr>
          <w:p w14:paraId="7C2092DA" w14:textId="77777777" w:rsidR="00834A75" w:rsidRDefault="00834A75">
            <w:pPr>
              <w:rPr>
                <w:rFonts w:ascii="宋体"/>
              </w:rPr>
            </w:pPr>
          </w:p>
        </w:tc>
        <w:tc>
          <w:tcPr>
            <w:tcW w:w="0" w:type="auto"/>
            <w:gridSpan w:val="3"/>
            <w:shd w:val="clear" w:color="auto" w:fill="auto"/>
            <w:tcMar>
              <w:top w:w="0" w:type="dxa"/>
              <w:left w:w="20" w:type="dxa"/>
              <w:bottom w:w="0" w:type="dxa"/>
              <w:right w:w="20" w:type="dxa"/>
            </w:tcMar>
            <w:vAlign w:val="bottom"/>
          </w:tcPr>
          <w:p w14:paraId="7C2092DB" w14:textId="77777777" w:rsidR="00834A75" w:rsidRDefault="00834A75">
            <w:pPr>
              <w:rPr>
                <w:rFonts w:ascii="宋体"/>
              </w:rPr>
            </w:pPr>
          </w:p>
        </w:tc>
        <w:tc>
          <w:tcPr>
            <w:tcW w:w="0" w:type="auto"/>
            <w:gridSpan w:val="3"/>
            <w:shd w:val="clear" w:color="auto" w:fill="auto"/>
            <w:tcMar>
              <w:top w:w="0" w:type="dxa"/>
              <w:left w:w="20" w:type="dxa"/>
              <w:bottom w:w="0" w:type="dxa"/>
              <w:right w:w="20" w:type="dxa"/>
            </w:tcMar>
            <w:vAlign w:val="bottom"/>
          </w:tcPr>
          <w:p w14:paraId="7C2092DC" w14:textId="77777777" w:rsidR="00834A75" w:rsidRDefault="00834A75">
            <w:pPr>
              <w:rPr>
                <w:rFonts w:ascii="宋体"/>
              </w:rPr>
            </w:pPr>
          </w:p>
        </w:tc>
      </w:tr>
    </w:tbl>
    <w:p w14:paraId="7C2092DE" w14:textId="77777777" w:rsidR="00834A75" w:rsidRDefault="00A6708C">
      <w:pPr>
        <w:spacing w:after="180"/>
        <w:jc w:val="both"/>
      </w:pPr>
      <w:r>
        <w:rPr>
          <w:rFonts w:ascii="sans-serif" w:eastAsia="sans-serif" w:hAnsi="sans-serif" w:cs="sans-serif"/>
          <w:color w:val="000000"/>
          <w:sz w:val="20"/>
          <w:szCs w:val="20"/>
        </w:rPr>
        <w:t xml:space="preserve">+ </w:t>
      </w:r>
      <w:r>
        <w:rPr>
          <w:rFonts w:ascii="sans-serif" w:eastAsia="sans-serif" w:hAnsi="sans-serif" w:cs="sans-serif"/>
          <w:color w:val="000000"/>
          <w:sz w:val="20"/>
          <w:szCs w:val="20"/>
        </w:rPr>
        <w:t>Management contract or compensatory plan or arrangement.</w:t>
      </w:r>
    </w:p>
    <w:p w14:paraId="7C2092DF" w14:textId="77777777" w:rsidR="00834A75" w:rsidRDefault="00A6708C">
      <w:pPr>
        <w:spacing w:after="180"/>
        <w:jc w:val="both"/>
      </w:pPr>
      <w:r>
        <w:rPr>
          <w:rFonts w:ascii="sans-serif" w:eastAsia="sans-serif" w:hAnsi="sans-serif" w:cs="sans-serif"/>
          <w:color w:val="000000"/>
          <w:sz w:val="20"/>
          <w:szCs w:val="20"/>
        </w:rPr>
        <w:t>* Filed herewith.</w:t>
      </w:r>
    </w:p>
    <w:p w14:paraId="7C2092E0" w14:textId="77777777" w:rsidR="00834A75" w:rsidRDefault="00A6708C">
      <w:pPr>
        <w:spacing w:after="180"/>
        <w:jc w:val="both"/>
      </w:pPr>
      <w:r>
        <w:rPr>
          <w:rFonts w:ascii="sans-serif" w:eastAsia="sans-serif" w:hAnsi="sans-serif" w:cs="sans-serif"/>
          <w:color w:val="000000"/>
          <w:sz w:val="20"/>
          <w:szCs w:val="20"/>
        </w:rPr>
        <w:t># In accordance with Item 601(b)(32)(ii) of Regulation S-K and SEC Release Nos. 33-8238 and 34-47986, Final Rule: Management's Reports on Internal Control Over Financial Reporting a</w:t>
      </w:r>
      <w:r>
        <w:rPr>
          <w:rFonts w:ascii="sans-serif" w:eastAsia="sans-serif" w:hAnsi="sans-serif" w:cs="sans-serif"/>
          <w:color w:val="000000"/>
          <w:sz w:val="20"/>
          <w:szCs w:val="20"/>
        </w:rPr>
        <w:t>nd Certification of Disclosure in Exchange Act Periodic Reports, the certifications furnished in Exhibits 32.1 and 32.2 hereto are deemed to accompany this Quarterly Report on Form 10-Q and will not be deemed “filed” for purpose of Section 18 of the Exchan</w:t>
      </w:r>
      <w:r>
        <w:rPr>
          <w:rFonts w:ascii="sans-serif" w:eastAsia="sans-serif" w:hAnsi="sans-serif" w:cs="sans-serif"/>
          <w:color w:val="000000"/>
          <w:sz w:val="20"/>
          <w:szCs w:val="20"/>
        </w:rPr>
        <w:t>ge Act. Such certifications will not be deemed to be incorporated by reference into any filing under the Securities Act or the Exchange Act, except to the extent that the registrant specifically incorporates it by reference.</w:t>
      </w:r>
    </w:p>
    <w:p w14:paraId="7C2092E1" w14:textId="77777777" w:rsidR="00834A75" w:rsidRDefault="00A6708C">
      <w:pPr>
        <w:spacing w:after="180"/>
        <w:jc w:val="both"/>
      </w:pPr>
      <w:r>
        <w:rPr>
          <w:rFonts w:ascii="sans-serif" w:eastAsia="sans-serif" w:hAnsi="sans-serif" w:cs="sans-serif"/>
          <w:color w:val="000000"/>
          <w:sz w:val="20"/>
          <w:szCs w:val="20"/>
        </w:rPr>
        <w:t>Copies of above exhibits not co</w:t>
      </w:r>
      <w:r>
        <w:rPr>
          <w:rFonts w:ascii="sans-serif" w:eastAsia="sans-serif" w:hAnsi="sans-serif" w:cs="sans-serif"/>
          <w:color w:val="000000"/>
          <w:sz w:val="20"/>
          <w:szCs w:val="20"/>
        </w:rPr>
        <w:t>ntained herein are available to any shareholder upon written request to:</w:t>
      </w:r>
    </w:p>
    <w:p w14:paraId="7C2092E2" w14:textId="77777777" w:rsidR="00834A75" w:rsidRDefault="00A6708C">
      <w:pPr>
        <w:spacing w:after="180"/>
        <w:jc w:val="both"/>
      </w:pPr>
      <w:r>
        <w:rPr>
          <w:rFonts w:ascii="sans-serif" w:eastAsia="sans-serif" w:hAnsi="sans-serif" w:cs="sans-serif"/>
          <w:color w:val="000000"/>
          <w:sz w:val="20"/>
          <w:szCs w:val="20"/>
        </w:rPr>
        <w:t>Investor Relations: NVIDIA Corporation, 2788 San Tomas Expressway, Santa Clara, CA 95051.</w:t>
      </w:r>
    </w:p>
    <w:p w14:paraId="7C2092E3" w14:textId="77777777" w:rsidR="00834A75" w:rsidRDefault="00A6708C">
      <w:pPr>
        <w:spacing w:after="180"/>
        <w:jc w:val="center"/>
      </w:pPr>
      <w:r>
        <w:rPr>
          <w:rFonts w:ascii="sans-serif" w:eastAsia="sans-serif" w:hAnsi="sans-serif" w:cs="sans-serif"/>
          <w:color w:val="000000"/>
          <w:sz w:val="20"/>
          <w:szCs w:val="20"/>
        </w:rPr>
        <w:t>37</w:t>
      </w:r>
    </w:p>
    <w:p w14:paraId="7C2092E4" w14:textId="77777777" w:rsidR="00834A75" w:rsidRDefault="00A6708C">
      <w:r>
        <w:pict w14:anchorId="7C209374">
          <v:rect id="_x0000_i1061" style="width:415.3pt;height:1.5pt" o:hralign="center" o:hrstd="t" o:hr="t" fillcolor="#a0a0a0" stroked="f"/>
        </w:pict>
      </w:r>
    </w:p>
    <w:p w14:paraId="7C2092E5" w14:textId="77777777" w:rsidR="00834A75" w:rsidRDefault="00834A75">
      <w:pPr>
        <w:spacing w:after="180"/>
        <w:jc w:val="both"/>
      </w:pPr>
    </w:p>
    <w:p w14:paraId="7C2092E6" w14:textId="77777777" w:rsidR="00834A75" w:rsidRDefault="00834A75">
      <w:pPr>
        <w:spacing w:after="180"/>
        <w:jc w:val="both"/>
      </w:pPr>
    </w:p>
    <w:p w14:paraId="7C2092E7" w14:textId="77777777" w:rsidR="00834A75" w:rsidRDefault="00834A75">
      <w:pPr>
        <w:spacing w:after="180"/>
        <w:jc w:val="both"/>
      </w:pPr>
    </w:p>
    <w:p w14:paraId="7C2092E8" w14:textId="77777777" w:rsidR="00834A75" w:rsidRDefault="00A6708C">
      <w:pPr>
        <w:spacing w:after="180"/>
        <w:jc w:val="center"/>
      </w:pPr>
      <w:r>
        <w:rPr>
          <w:rFonts w:ascii="sans-serif" w:eastAsia="sans-serif" w:hAnsi="sans-serif" w:cs="sans-serif"/>
          <w:b/>
          <w:bCs/>
          <w:color w:val="000000"/>
          <w:sz w:val="20"/>
          <w:szCs w:val="20"/>
        </w:rPr>
        <w:t>SIGNATURE</w:t>
      </w:r>
    </w:p>
    <w:p w14:paraId="7C2092E9" w14:textId="77777777" w:rsidR="00834A75" w:rsidRDefault="00A6708C">
      <w:pPr>
        <w:spacing w:after="180"/>
        <w:jc w:val="both"/>
      </w:pPr>
      <w:r>
        <w:rPr>
          <w:rFonts w:ascii="sans-serif" w:eastAsia="sans-serif" w:hAnsi="sans-serif" w:cs="sans-serif"/>
          <w:color w:val="000000"/>
          <w:sz w:val="20"/>
          <w:szCs w:val="20"/>
        </w:rPr>
        <w:t xml:space="preserve">Pursuant to the requirements of the Securities Exchange Act of 1934, the </w:t>
      </w:r>
      <w:r>
        <w:rPr>
          <w:rFonts w:ascii="sans-serif" w:eastAsia="sans-serif" w:hAnsi="sans-serif" w:cs="sans-serif"/>
          <w:color w:val="000000"/>
          <w:sz w:val="20"/>
          <w:szCs w:val="20"/>
        </w:rPr>
        <w:t>registrant has duly caused this report to be signed on its behalf by the undersigned, thereunto duly authorized.</w:t>
      </w:r>
    </w:p>
    <w:p w14:paraId="7C2092EA" w14:textId="77777777" w:rsidR="00834A75" w:rsidRDefault="00A6708C">
      <w:pPr>
        <w:spacing w:after="180"/>
        <w:jc w:val="both"/>
      </w:pPr>
      <w:r>
        <w:rPr>
          <w:rFonts w:ascii="sans-serif" w:eastAsia="sans-serif" w:hAnsi="sans-serif" w:cs="sans-serif"/>
          <w:color w:val="000000"/>
          <w:sz w:val="20"/>
          <w:szCs w:val="20"/>
        </w:rPr>
        <w:t xml:space="preserve">Date: May 27, 2022 </w:t>
      </w:r>
    </w:p>
    <w:tbl>
      <w:tblPr>
        <w:tblW w:w="5000" w:type="pct"/>
        <w:tblCellMar>
          <w:top w:w="15" w:type="dxa"/>
          <w:left w:w="15" w:type="dxa"/>
          <w:bottom w:w="15" w:type="dxa"/>
          <w:right w:w="15" w:type="dxa"/>
        </w:tblCellMar>
        <w:tblLook w:val="04A0" w:firstRow="1" w:lastRow="0" w:firstColumn="1" w:lastColumn="0" w:noHBand="0" w:noVBand="1"/>
      </w:tblPr>
      <w:tblGrid>
        <w:gridCol w:w="69"/>
        <w:gridCol w:w="3472"/>
        <w:gridCol w:w="36"/>
        <w:gridCol w:w="69"/>
        <w:gridCol w:w="1480"/>
        <w:gridCol w:w="37"/>
        <w:gridCol w:w="69"/>
        <w:gridCol w:w="1481"/>
        <w:gridCol w:w="36"/>
        <w:gridCol w:w="70"/>
        <w:gridCol w:w="1481"/>
        <w:gridCol w:w="36"/>
      </w:tblGrid>
      <w:tr w:rsidR="00834A75" w14:paraId="7C2092F7" w14:textId="77777777">
        <w:tc>
          <w:tcPr>
            <w:tcW w:w="50" w:type="pct"/>
            <w:shd w:val="clear" w:color="auto" w:fill="auto"/>
            <w:vAlign w:val="bottom"/>
          </w:tcPr>
          <w:p w14:paraId="7C2092EB" w14:textId="77777777" w:rsidR="00834A75" w:rsidRDefault="00834A75">
            <w:pPr>
              <w:rPr>
                <w:rFonts w:ascii="宋体"/>
              </w:rPr>
            </w:pPr>
          </w:p>
        </w:tc>
        <w:tc>
          <w:tcPr>
            <w:tcW w:w="2090" w:type="pct"/>
            <w:shd w:val="clear" w:color="auto" w:fill="auto"/>
            <w:vAlign w:val="bottom"/>
          </w:tcPr>
          <w:p w14:paraId="7C2092EC" w14:textId="77777777" w:rsidR="00834A75" w:rsidRDefault="00834A75">
            <w:pPr>
              <w:rPr>
                <w:rFonts w:ascii="宋体"/>
              </w:rPr>
            </w:pPr>
          </w:p>
        </w:tc>
        <w:tc>
          <w:tcPr>
            <w:tcW w:w="5" w:type="pct"/>
            <w:shd w:val="clear" w:color="auto" w:fill="auto"/>
            <w:vAlign w:val="bottom"/>
          </w:tcPr>
          <w:p w14:paraId="7C2092ED" w14:textId="77777777" w:rsidR="00834A75" w:rsidRDefault="00834A75">
            <w:pPr>
              <w:rPr>
                <w:rFonts w:ascii="宋体"/>
              </w:rPr>
            </w:pPr>
          </w:p>
        </w:tc>
        <w:tc>
          <w:tcPr>
            <w:tcW w:w="50" w:type="pct"/>
            <w:shd w:val="clear" w:color="auto" w:fill="auto"/>
            <w:vAlign w:val="bottom"/>
          </w:tcPr>
          <w:p w14:paraId="7C2092EE" w14:textId="77777777" w:rsidR="00834A75" w:rsidRDefault="00834A75">
            <w:pPr>
              <w:rPr>
                <w:rFonts w:ascii="宋体"/>
              </w:rPr>
            </w:pPr>
          </w:p>
        </w:tc>
        <w:tc>
          <w:tcPr>
            <w:tcW w:w="896" w:type="pct"/>
            <w:shd w:val="clear" w:color="auto" w:fill="auto"/>
            <w:vAlign w:val="bottom"/>
          </w:tcPr>
          <w:p w14:paraId="7C2092EF" w14:textId="77777777" w:rsidR="00834A75" w:rsidRDefault="00834A75">
            <w:pPr>
              <w:rPr>
                <w:rFonts w:ascii="宋体"/>
              </w:rPr>
            </w:pPr>
          </w:p>
        </w:tc>
        <w:tc>
          <w:tcPr>
            <w:tcW w:w="5" w:type="pct"/>
            <w:shd w:val="clear" w:color="auto" w:fill="auto"/>
            <w:vAlign w:val="bottom"/>
          </w:tcPr>
          <w:p w14:paraId="7C2092F0" w14:textId="77777777" w:rsidR="00834A75" w:rsidRDefault="00834A75">
            <w:pPr>
              <w:rPr>
                <w:rFonts w:ascii="宋体"/>
              </w:rPr>
            </w:pPr>
          </w:p>
        </w:tc>
        <w:tc>
          <w:tcPr>
            <w:tcW w:w="50" w:type="pct"/>
            <w:shd w:val="clear" w:color="auto" w:fill="auto"/>
            <w:vAlign w:val="bottom"/>
          </w:tcPr>
          <w:p w14:paraId="7C2092F1" w14:textId="77777777" w:rsidR="00834A75" w:rsidRDefault="00834A75">
            <w:pPr>
              <w:rPr>
                <w:rFonts w:ascii="宋体"/>
              </w:rPr>
            </w:pPr>
          </w:p>
        </w:tc>
        <w:tc>
          <w:tcPr>
            <w:tcW w:w="896" w:type="pct"/>
            <w:shd w:val="clear" w:color="auto" w:fill="auto"/>
            <w:vAlign w:val="bottom"/>
          </w:tcPr>
          <w:p w14:paraId="7C2092F2" w14:textId="77777777" w:rsidR="00834A75" w:rsidRDefault="00834A75">
            <w:pPr>
              <w:rPr>
                <w:rFonts w:ascii="宋体"/>
              </w:rPr>
            </w:pPr>
          </w:p>
        </w:tc>
        <w:tc>
          <w:tcPr>
            <w:tcW w:w="5" w:type="pct"/>
            <w:shd w:val="clear" w:color="auto" w:fill="auto"/>
            <w:vAlign w:val="bottom"/>
          </w:tcPr>
          <w:p w14:paraId="7C2092F3" w14:textId="77777777" w:rsidR="00834A75" w:rsidRDefault="00834A75">
            <w:pPr>
              <w:rPr>
                <w:rFonts w:ascii="宋体"/>
              </w:rPr>
            </w:pPr>
          </w:p>
        </w:tc>
        <w:tc>
          <w:tcPr>
            <w:tcW w:w="50" w:type="pct"/>
            <w:shd w:val="clear" w:color="auto" w:fill="auto"/>
            <w:vAlign w:val="bottom"/>
          </w:tcPr>
          <w:p w14:paraId="7C2092F4" w14:textId="77777777" w:rsidR="00834A75" w:rsidRDefault="00834A75">
            <w:pPr>
              <w:rPr>
                <w:rFonts w:ascii="宋体"/>
              </w:rPr>
            </w:pPr>
          </w:p>
        </w:tc>
        <w:tc>
          <w:tcPr>
            <w:tcW w:w="896" w:type="pct"/>
            <w:shd w:val="clear" w:color="auto" w:fill="auto"/>
            <w:vAlign w:val="bottom"/>
          </w:tcPr>
          <w:p w14:paraId="7C2092F5" w14:textId="77777777" w:rsidR="00834A75" w:rsidRDefault="00834A75">
            <w:pPr>
              <w:rPr>
                <w:rFonts w:ascii="宋体"/>
              </w:rPr>
            </w:pPr>
          </w:p>
        </w:tc>
        <w:tc>
          <w:tcPr>
            <w:tcW w:w="5" w:type="pct"/>
            <w:shd w:val="clear" w:color="auto" w:fill="auto"/>
            <w:vAlign w:val="bottom"/>
          </w:tcPr>
          <w:p w14:paraId="7C2092F6" w14:textId="77777777" w:rsidR="00834A75" w:rsidRDefault="00834A75">
            <w:pPr>
              <w:rPr>
                <w:rFonts w:ascii="宋体"/>
              </w:rPr>
            </w:pPr>
          </w:p>
        </w:tc>
      </w:tr>
      <w:tr w:rsidR="00834A75" w14:paraId="7C2092FA" w14:textId="77777777">
        <w:tc>
          <w:tcPr>
            <w:tcW w:w="0" w:type="auto"/>
            <w:gridSpan w:val="3"/>
            <w:shd w:val="clear" w:color="auto" w:fill="auto"/>
            <w:tcMar>
              <w:top w:w="40" w:type="dxa"/>
              <w:left w:w="20" w:type="dxa"/>
              <w:bottom w:w="40" w:type="dxa"/>
              <w:right w:w="20" w:type="dxa"/>
            </w:tcMar>
          </w:tcPr>
          <w:p w14:paraId="7C2092F8" w14:textId="77777777" w:rsidR="00834A75" w:rsidRDefault="00A6708C">
            <w:pPr>
              <w:textAlignment w:val="top"/>
            </w:pPr>
            <w:r>
              <w:rPr>
                <w:rFonts w:ascii="sans-serif" w:eastAsia="sans-serif" w:hAnsi="sans-serif" w:cs="sans-serif"/>
                <w:color w:val="000000"/>
                <w:sz w:val="20"/>
                <w:szCs w:val="20"/>
              </w:rPr>
              <w:t> </w:t>
            </w:r>
          </w:p>
        </w:tc>
        <w:tc>
          <w:tcPr>
            <w:tcW w:w="0" w:type="auto"/>
            <w:gridSpan w:val="9"/>
            <w:shd w:val="clear" w:color="auto" w:fill="auto"/>
            <w:tcMar>
              <w:top w:w="40" w:type="dxa"/>
              <w:left w:w="20" w:type="dxa"/>
              <w:bottom w:w="40" w:type="dxa"/>
              <w:right w:w="20" w:type="dxa"/>
            </w:tcMar>
            <w:vAlign w:val="bottom"/>
          </w:tcPr>
          <w:p w14:paraId="7C2092F9" w14:textId="77777777" w:rsidR="00834A75" w:rsidRDefault="00A6708C">
            <w:pPr>
              <w:textAlignment w:val="bottom"/>
            </w:pPr>
            <w:r>
              <w:rPr>
                <w:rFonts w:ascii="sans-serif" w:eastAsia="sans-serif" w:hAnsi="sans-serif" w:cs="sans-serif"/>
                <w:color w:val="000000"/>
                <w:sz w:val="20"/>
                <w:szCs w:val="20"/>
              </w:rPr>
              <w:t>NVIDIA Corporation </w:t>
            </w:r>
          </w:p>
        </w:tc>
      </w:tr>
      <w:tr w:rsidR="00834A75" w14:paraId="7C2092FE" w14:textId="77777777">
        <w:tc>
          <w:tcPr>
            <w:tcW w:w="0" w:type="auto"/>
            <w:gridSpan w:val="3"/>
            <w:shd w:val="clear" w:color="auto" w:fill="auto"/>
            <w:tcMar>
              <w:top w:w="40" w:type="dxa"/>
              <w:left w:w="20" w:type="dxa"/>
              <w:bottom w:w="40" w:type="dxa"/>
              <w:right w:w="20" w:type="dxa"/>
            </w:tcMar>
            <w:vAlign w:val="bottom"/>
          </w:tcPr>
          <w:p w14:paraId="7C2092FB" w14:textId="77777777" w:rsidR="00834A75" w:rsidRDefault="00A6708C">
            <w:pPr>
              <w:jc w:val="right"/>
              <w:textAlignment w:val="bottom"/>
            </w:pPr>
            <w:r>
              <w:rPr>
                <w:rFonts w:ascii="sans-serif" w:eastAsia="sans-serif" w:hAnsi="sans-serif" w:cs="sans-serif"/>
                <w:color w:val="000000"/>
                <w:sz w:val="20"/>
                <w:szCs w:val="20"/>
              </w:rPr>
              <w:t>By:  </w:t>
            </w:r>
          </w:p>
        </w:tc>
        <w:tc>
          <w:tcPr>
            <w:tcW w:w="0" w:type="auto"/>
            <w:gridSpan w:val="3"/>
            <w:shd w:val="clear" w:color="auto" w:fill="auto"/>
            <w:tcMar>
              <w:top w:w="40" w:type="dxa"/>
              <w:left w:w="20" w:type="dxa"/>
              <w:bottom w:w="40" w:type="dxa"/>
              <w:right w:w="20" w:type="dxa"/>
            </w:tcMar>
            <w:vAlign w:val="bottom"/>
          </w:tcPr>
          <w:p w14:paraId="7C2092FC" w14:textId="77777777" w:rsidR="00834A75" w:rsidRDefault="00A6708C">
            <w:pPr>
              <w:textAlignment w:val="bottom"/>
            </w:pPr>
            <w:r>
              <w:rPr>
                <w:rFonts w:ascii="sans-serif" w:eastAsia="sans-serif" w:hAnsi="sans-serif" w:cs="sans-serif"/>
                <w:color w:val="000000"/>
                <w:sz w:val="20"/>
                <w:szCs w:val="20"/>
              </w:rPr>
              <w:t> /s/ Colette M. Kress</w:t>
            </w:r>
          </w:p>
        </w:tc>
        <w:tc>
          <w:tcPr>
            <w:tcW w:w="0" w:type="auto"/>
            <w:gridSpan w:val="6"/>
            <w:shd w:val="clear" w:color="auto" w:fill="auto"/>
            <w:tcMar>
              <w:top w:w="0" w:type="dxa"/>
              <w:left w:w="20" w:type="dxa"/>
              <w:bottom w:w="0" w:type="dxa"/>
              <w:right w:w="20" w:type="dxa"/>
            </w:tcMar>
            <w:vAlign w:val="bottom"/>
          </w:tcPr>
          <w:p w14:paraId="7C2092FD" w14:textId="77777777" w:rsidR="00834A75" w:rsidRDefault="00834A75">
            <w:pPr>
              <w:rPr>
                <w:rFonts w:ascii="宋体"/>
              </w:rPr>
            </w:pPr>
          </w:p>
        </w:tc>
      </w:tr>
      <w:tr w:rsidR="00834A75" w14:paraId="7C209302" w14:textId="77777777">
        <w:trPr>
          <w:trHeight w:val="60"/>
        </w:trPr>
        <w:tc>
          <w:tcPr>
            <w:tcW w:w="0" w:type="auto"/>
            <w:gridSpan w:val="3"/>
            <w:shd w:val="clear" w:color="auto" w:fill="auto"/>
            <w:tcMar>
              <w:top w:w="0" w:type="dxa"/>
              <w:left w:w="20" w:type="dxa"/>
              <w:bottom w:w="0" w:type="dxa"/>
              <w:right w:w="20" w:type="dxa"/>
            </w:tcMar>
            <w:vAlign w:val="bottom"/>
          </w:tcPr>
          <w:p w14:paraId="7C2092FF" w14:textId="77777777" w:rsidR="00834A75" w:rsidRDefault="00834A75">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C209300" w14:textId="77777777" w:rsidR="00834A75" w:rsidRDefault="00834A75">
            <w:pPr>
              <w:rPr>
                <w:rFonts w:ascii="宋体"/>
              </w:rPr>
            </w:pPr>
          </w:p>
        </w:tc>
        <w:tc>
          <w:tcPr>
            <w:tcW w:w="0" w:type="auto"/>
            <w:gridSpan w:val="6"/>
            <w:shd w:val="clear" w:color="auto" w:fill="auto"/>
            <w:tcMar>
              <w:top w:w="0" w:type="dxa"/>
              <w:left w:w="20" w:type="dxa"/>
              <w:bottom w:w="0" w:type="dxa"/>
              <w:right w:w="20" w:type="dxa"/>
            </w:tcMar>
            <w:vAlign w:val="bottom"/>
          </w:tcPr>
          <w:p w14:paraId="7C209301" w14:textId="77777777" w:rsidR="00834A75" w:rsidRDefault="00834A75">
            <w:pPr>
              <w:rPr>
                <w:rFonts w:ascii="宋体"/>
              </w:rPr>
            </w:pPr>
          </w:p>
        </w:tc>
      </w:tr>
      <w:tr w:rsidR="00834A75" w14:paraId="7C209305" w14:textId="77777777">
        <w:tc>
          <w:tcPr>
            <w:tcW w:w="0" w:type="auto"/>
            <w:gridSpan w:val="3"/>
            <w:shd w:val="clear" w:color="auto" w:fill="auto"/>
            <w:tcMar>
              <w:top w:w="40" w:type="dxa"/>
              <w:left w:w="20" w:type="dxa"/>
              <w:bottom w:w="40" w:type="dxa"/>
              <w:right w:w="20" w:type="dxa"/>
            </w:tcMar>
          </w:tcPr>
          <w:p w14:paraId="7C209303" w14:textId="77777777" w:rsidR="00834A75" w:rsidRDefault="00A6708C">
            <w:pPr>
              <w:textAlignment w:val="top"/>
            </w:pPr>
            <w:r>
              <w:rPr>
                <w:rFonts w:ascii="sans-serif" w:eastAsia="sans-serif" w:hAnsi="sans-serif" w:cs="sans-serif"/>
                <w:color w:val="000000"/>
                <w:sz w:val="20"/>
                <w:szCs w:val="20"/>
              </w:rPr>
              <w:t> </w:t>
            </w:r>
          </w:p>
        </w:tc>
        <w:tc>
          <w:tcPr>
            <w:tcW w:w="0" w:type="auto"/>
            <w:gridSpan w:val="9"/>
            <w:shd w:val="clear" w:color="auto" w:fill="auto"/>
            <w:tcMar>
              <w:top w:w="40" w:type="dxa"/>
              <w:left w:w="20" w:type="dxa"/>
              <w:bottom w:w="40" w:type="dxa"/>
              <w:right w:w="20" w:type="dxa"/>
            </w:tcMar>
            <w:vAlign w:val="bottom"/>
          </w:tcPr>
          <w:p w14:paraId="7C209304" w14:textId="77777777" w:rsidR="00834A75" w:rsidRDefault="00A6708C">
            <w:pPr>
              <w:textAlignment w:val="bottom"/>
            </w:pPr>
            <w:r>
              <w:rPr>
                <w:rFonts w:ascii="sans-serif" w:eastAsia="sans-serif" w:hAnsi="sans-serif" w:cs="sans-serif"/>
                <w:color w:val="000000"/>
                <w:sz w:val="20"/>
                <w:szCs w:val="20"/>
              </w:rPr>
              <w:t>Colette M. Kress</w:t>
            </w:r>
          </w:p>
        </w:tc>
      </w:tr>
      <w:tr w:rsidR="00834A75" w14:paraId="7C209308" w14:textId="77777777">
        <w:tc>
          <w:tcPr>
            <w:tcW w:w="0" w:type="auto"/>
            <w:gridSpan w:val="3"/>
            <w:shd w:val="clear" w:color="auto" w:fill="auto"/>
            <w:tcMar>
              <w:top w:w="40" w:type="dxa"/>
              <w:left w:w="20" w:type="dxa"/>
              <w:bottom w:w="40" w:type="dxa"/>
              <w:right w:w="20" w:type="dxa"/>
            </w:tcMar>
          </w:tcPr>
          <w:p w14:paraId="7C209306" w14:textId="77777777" w:rsidR="00834A75" w:rsidRDefault="00A6708C">
            <w:pPr>
              <w:textAlignment w:val="top"/>
            </w:pPr>
            <w:r>
              <w:rPr>
                <w:rFonts w:ascii="sans-serif" w:eastAsia="sans-serif" w:hAnsi="sans-serif" w:cs="sans-serif"/>
                <w:color w:val="000000"/>
                <w:sz w:val="20"/>
                <w:szCs w:val="20"/>
              </w:rPr>
              <w:t> </w:t>
            </w:r>
          </w:p>
        </w:tc>
        <w:tc>
          <w:tcPr>
            <w:tcW w:w="0" w:type="auto"/>
            <w:gridSpan w:val="9"/>
            <w:shd w:val="clear" w:color="auto" w:fill="auto"/>
            <w:tcMar>
              <w:top w:w="40" w:type="dxa"/>
              <w:left w:w="20" w:type="dxa"/>
              <w:bottom w:w="40" w:type="dxa"/>
              <w:right w:w="20" w:type="dxa"/>
            </w:tcMar>
            <w:vAlign w:val="bottom"/>
          </w:tcPr>
          <w:p w14:paraId="7C209307" w14:textId="77777777" w:rsidR="00834A75" w:rsidRDefault="00A6708C">
            <w:pPr>
              <w:textAlignment w:val="bottom"/>
            </w:pPr>
            <w:r>
              <w:rPr>
                <w:rFonts w:ascii="sans-serif" w:eastAsia="sans-serif" w:hAnsi="sans-serif" w:cs="sans-serif"/>
                <w:color w:val="000000"/>
                <w:sz w:val="20"/>
                <w:szCs w:val="20"/>
              </w:rPr>
              <w:t xml:space="preserve">Executive Vice </w:t>
            </w:r>
            <w:r>
              <w:rPr>
                <w:rFonts w:ascii="sans-serif" w:eastAsia="sans-serif" w:hAnsi="sans-serif" w:cs="sans-serif"/>
                <w:color w:val="000000"/>
                <w:sz w:val="20"/>
                <w:szCs w:val="20"/>
              </w:rPr>
              <w:t>President and Chief Financial Officer (Duly Authorized Officer and Principal Financial Officer)</w:t>
            </w:r>
          </w:p>
        </w:tc>
      </w:tr>
    </w:tbl>
    <w:p w14:paraId="7C209309" w14:textId="77777777" w:rsidR="00834A75" w:rsidRDefault="00834A75">
      <w:pPr>
        <w:spacing w:after="180"/>
        <w:jc w:val="both"/>
      </w:pPr>
    </w:p>
    <w:p w14:paraId="7C20930A" w14:textId="77777777" w:rsidR="00834A75" w:rsidRDefault="00A6708C">
      <w:pPr>
        <w:spacing w:after="180"/>
        <w:jc w:val="center"/>
      </w:pPr>
      <w:r>
        <w:rPr>
          <w:rFonts w:ascii="sans-serif" w:eastAsia="sans-serif" w:hAnsi="sans-serif" w:cs="sans-serif"/>
          <w:color w:val="000000"/>
          <w:sz w:val="20"/>
          <w:szCs w:val="20"/>
        </w:rPr>
        <w:t>38</w:t>
      </w:r>
    </w:p>
    <w:p w14:paraId="7C20930B" w14:textId="77777777" w:rsidR="00834A75" w:rsidRDefault="00A6708C">
      <w:r>
        <w:rPr>
          <w:rFonts w:ascii="宋体" w:eastAsia="宋体" w:hAnsi="宋体" w:cs="宋体"/>
        </w:rPr>
        <w:t xml:space="preserve">Copy and Paste Below Content. </w:t>
      </w:r>
      <w:r>
        <w:rPr>
          <w:rFonts w:ascii="宋体" w:eastAsia="宋体" w:hAnsi="宋体" w:cs="宋体"/>
          <w:noProof/>
        </w:rPr>
        <mc:AlternateContent>
          <mc:Choice Requires="wps">
            <w:drawing>
              <wp:inline distT="0" distB="0" distL="114300" distR="114300" wp14:anchorId="7C209375" wp14:editId="7C209376">
                <wp:extent cx="635" cy="0"/>
                <wp:effectExtent l="0" t="0" r="0" b="0"/>
                <wp:docPr id="61" name="矩形 6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WAAAAZHJzL1BLAQIUABQAAAAIAIdO4kDw40idzgAAAP8AAAAPAAAAAAAAAAEAIAAA&#10;ADgAAABkcnMvZG93bnJldi54bWxQSwECFAAUAAAACACHTuJAJj6G+gACAAAaBAAADgAAAAAAAAAB&#10;ACAAAAAzAQAAZHJzL2Uyb0RvYy54bWxQSwUGAAAAAAYABgBZAQAApQUAAAAA&#10;">
                <v:fill on="f" focussize="0,0"/>
                <v:stroke color="#000000" joinstyle="miter"/>
                <v:imagedata o:title=""/>
                <o:lock v:ext="edit" aspectratio="t"/>
                <w10:wrap type="none"/>
                <w10:anchorlock/>
              </v:rect>
            </w:pict>
          </mc:Fallback>
        </mc:AlternateConten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34A75" w14:paraId="7C20930D" w14:textId="77777777">
        <w:trPr>
          <w:tblCellSpacing w:w="15" w:type="dxa"/>
        </w:trPr>
        <w:tc>
          <w:tcPr>
            <w:tcW w:w="0" w:type="auto"/>
            <w:shd w:val="clear" w:color="auto" w:fill="auto"/>
            <w:vAlign w:val="center"/>
          </w:tcPr>
          <w:p w14:paraId="7C20930C" w14:textId="77777777" w:rsidR="00834A75" w:rsidRDefault="00834A75">
            <w:pPr>
              <w:rPr>
                <w:rFonts w:ascii="宋体"/>
              </w:rPr>
            </w:pPr>
          </w:p>
        </w:tc>
      </w:tr>
    </w:tbl>
    <w:p w14:paraId="7C20930E" w14:textId="77777777" w:rsidR="00834A75" w:rsidRDefault="00834A75">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34A75" w14:paraId="7C209310" w14:textId="77777777">
        <w:trPr>
          <w:tblCellSpacing w:w="15" w:type="dxa"/>
        </w:trPr>
        <w:tc>
          <w:tcPr>
            <w:tcW w:w="0" w:type="auto"/>
            <w:shd w:val="clear" w:color="auto" w:fill="auto"/>
            <w:vAlign w:val="center"/>
          </w:tcPr>
          <w:p w14:paraId="7C20930F" w14:textId="77777777" w:rsidR="00834A75" w:rsidRDefault="00834A75">
            <w:pPr>
              <w:rPr>
                <w:rFonts w:ascii="宋体"/>
              </w:rPr>
            </w:pPr>
          </w:p>
        </w:tc>
      </w:tr>
    </w:tbl>
    <w:p w14:paraId="7C209311" w14:textId="77777777" w:rsidR="00834A75" w:rsidRDefault="00834A75">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34A75" w14:paraId="7C209313" w14:textId="77777777">
        <w:trPr>
          <w:tblCellSpacing w:w="15" w:type="dxa"/>
        </w:trPr>
        <w:tc>
          <w:tcPr>
            <w:tcW w:w="0" w:type="auto"/>
            <w:shd w:val="clear" w:color="auto" w:fill="auto"/>
            <w:vAlign w:val="center"/>
          </w:tcPr>
          <w:p w14:paraId="7C209312" w14:textId="77777777" w:rsidR="00834A75" w:rsidRDefault="00834A75">
            <w:pPr>
              <w:rPr>
                <w:rFonts w:ascii="宋体"/>
              </w:rPr>
            </w:pPr>
          </w:p>
        </w:tc>
      </w:tr>
    </w:tbl>
    <w:p w14:paraId="7C209314" w14:textId="77777777" w:rsidR="00834A75" w:rsidRDefault="00834A75">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34A75" w14:paraId="7C209316" w14:textId="77777777">
        <w:trPr>
          <w:tblCellSpacing w:w="15" w:type="dxa"/>
        </w:trPr>
        <w:tc>
          <w:tcPr>
            <w:tcW w:w="0" w:type="auto"/>
            <w:shd w:val="clear" w:color="auto" w:fill="auto"/>
            <w:vAlign w:val="center"/>
          </w:tcPr>
          <w:p w14:paraId="7C209315" w14:textId="77777777" w:rsidR="00834A75" w:rsidRDefault="00834A75">
            <w:pPr>
              <w:rPr>
                <w:rFonts w:ascii="宋体"/>
              </w:rPr>
            </w:pPr>
          </w:p>
        </w:tc>
      </w:tr>
    </w:tbl>
    <w:p w14:paraId="7C209317" w14:textId="77777777" w:rsidR="00834A75" w:rsidRDefault="00A6708C">
      <w:r>
        <w:rPr>
          <w:rFonts w:ascii="宋体" w:eastAsia="宋体" w:hAnsi="宋体" w:cs="宋体"/>
        </w:rPr>
        <w:t xml:space="preserve">Previous Next </w:t>
      </w:r>
    </w:p>
    <w:p w14:paraId="7C209318" w14:textId="77777777" w:rsidR="00834A75" w:rsidRDefault="00A6708C">
      <w:pPr>
        <w:pStyle w:val="a3"/>
      </w:pPr>
      <w:r>
        <w:t>Settings</w:t>
      </w:r>
    </w:p>
    <w:p w14:paraId="7C209319" w14:textId="77777777" w:rsidR="00834A75" w:rsidRDefault="00A6708C">
      <w:pPr>
        <w:pStyle w:val="Style4"/>
      </w:pPr>
      <w:r>
        <w:t>窗体顶端</w:t>
      </w:r>
    </w:p>
    <w:p w14:paraId="7C20931A" w14:textId="77777777" w:rsidR="00834A75" w:rsidRDefault="00A6708C">
      <w:r>
        <w:rPr>
          <w:rFonts w:ascii="宋体" w:eastAsia="宋体" w:hAnsi="宋体" w:cs="宋体"/>
        </w:rPr>
        <w:t xml:space="preserve">Hover over Fact for quick information. </w:t>
      </w:r>
      <w:r>
        <w:rPr>
          <w:rFonts w:ascii="宋体" w:eastAsia="宋体" w:hAnsi="宋体" w:cs="宋体"/>
          <w:noProof/>
        </w:rPr>
        <mc:AlternateContent>
          <mc:Choice Requires="wps">
            <w:drawing>
              <wp:inline distT="0" distB="0" distL="114300" distR="114300" wp14:anchorId="7C209377" wp14:editId="7C209378">
                <wp:extent cx="635" cy="0"/>
                <wp:effectExtent l="0" t="0" r="0" b="0"/>
                <wp:docPr id="62" name="矩形 6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DoExIcBAgAAGgQAAA4AAAAAAAAA&#10;AQAgAAAAMwEAAGRycy9lMm9Eb2MueG1sUEsFBgAAAAAGAAYAWQEAAKYFAAAAAA==&#10;">
                <v:fill on="f" focussize="0,0"/>
                <v:stroke color="#000000" joinstyle="miter"/>
                <v:imagedata o:title=""/>
                <o:lock v:ext="edit" aspectratio="t"/>
                <w10:wrap type="none"/>
                <w10:anchorlock/>
              </v:rect>
            </w:pict>
          </mc:Fallback>
        </mc:AlternateContent>
      </w:r>
      <w:r>
        <w:rPr>
          <w:rFonts w:ascii="宋体" w:eastAsia="宋体" w:hAnsi="宋体" w:cs="宋体"/>
        </w:rPr>
        <w:t xml:space="preserve"> </w:t>
      </w:r>
    </w:p>
    <w:p w14:paraId="7C20931B" w14:textId="77777777" w:rsidR="00834A75" w:rsidRDefault="00A6708C">
      <w:r>
        <w:rPr>
          <w:rFonts w:ascii="宋体" w:eastAsia="宋体" w:hAnsi="宋体" w:cs="宋体"/>
        </w:rPr>
        <w:t xml:space="preserve">Auto Scrolling Position </w:t>
      </w:r>
      <w:r>
        <w:rPr>
          <w:rFonts w:ascii="宋体" w:eastAsia="宋体" w:hAnsi="宋体" w:cs="宋体"/>
          <w:noProof/>
        </w:rPr>
        <mc:AlternateContent>
          <mc:Choice Requires="wps">
            <w:drawing>
              <wp:inline distT="0" distB="0" distL="114300" distR="114300" wp14:anchorId="7C209379" wp14:editId="7C20937A">
                <wp:extent cx="635" cy="0"/>
                <wp:effectExtent l="0" t="0" r="0" b="0"/>
                <wp:docPr id="60" name="矩形 6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WAAAAZHJzL1BLAQIUABQAAAAIAIdO4kDw40idzgAAAP8AAAAPAAAAAAAAAAEAIAAA&#10;ADgAAABkcnMvZG93bnJldi54bWxQSwECFAAUAAAACACHTuJA7dVoZwACAAAaBAAADgAAAAAAAAAB&#10;ACAAAAAzAQAAZHJzL2Uyb0RvYy54bWxQSwUGAAAAAAYABgBZAQAApQUAAAAA&#10;">
                <v:fill on="f" focussize="0,0"/>
                <v:stroke color="#000000" joinstyle="miter"/>
                <v:imagedata o:title=""/>
                <o:lock v:ext="edit" aspectratio="t"/>
                <w10:wrap type="none"/>
                <w10:anchorlock/>
              </v:rect>
            </w:pict>
          </mc:Fallback>
        </mc:AlternateContent>
      </w:r>
      <w:r>
        <w:rPr>
          <w:rFonts w:ascii="宋体" w:eastAsia="宋体" w:hAnsi="宋体" w:cs="宋体"/>
        </w:rPr>
        <w:t xml:space="preserve"> Selecting a fact from the Sections Menu or the Fact Menu will automatically scroll that element to the (Top, or Middle) of the viewer window. This setting will have no use on IE 10, or Safari. </w:t>
      </w:r>
    </w:p>
    <w:p w14:paraId="7C20931C" w14:textId="77777777" w:rsidR="00834A75" w:rsidRDefault="00A6708C">
      <w:r>
        <w:pict w14:anchorId="7C20937B">
          <v:rect id="_x0000_i1062" style="width:415.3pt;height:1.5pt" o:hralign="center" o:hrstd="t" o:hr="t" fillcolor="#a0a0a0" stroked="f"/>
        </w:pict>
      </w:r>
    </w:p>
    <w:p w14:paraId="7C20931D" w14:textId="77777777" w:rsidR="00834A75" w:rsidRDefault="00A6708C">
      <w:r>
        <w:rPr>
          <w:rFonts w:ascii="宋体" w:eastAsia="宋体" w:hAnsi="宋体" w:cs="宋体"/>
        </w:rPr>
        <w:t xml:space="preserve">Tagged Data </w:t>
      </w:r>
    </w:p>
    <w:p w14:paraId="7C20931E" w14:textId="77777777" w:rsidR="00834A75" w:rsidRDefault="00A6708C">
      <w:r>
        <w:rPr>
          <w:rFonts w:ascii="monospace" w:eastAsia="monospace" w:hAnsi="monospace" w:cs="monospace"/>
          <w:noProof/>
        </w:rPr>
        <mc:AlternateContent>
          <mc:Choice Requires="wps">
            <w:drawing>
              <wp:inline distT="0" distB="0" distL="114300" distR="114300" wp14:anchorId="7C20937C" wp14:editId="7C20937D">
                <wp:extent cx="635" cy="0"/>
                <wp:effectExtent l="0" t="0" r="0" b="0"/>
                <wp:docPr id="63" name="矩形 6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PHvKhoBAgAAGgQAAA4AAAAAAAAA&#10;AQAgAAAAMwEAAGRycy9lMm9Eb2MueG1sUEsFBgAAAAAGAAYAWQEAAKYFAAAAAA==&#10;">
                <v:fill on="f" focussize="0,0"/>
                <v:stroke color="#000000" joinstyle="miter"/>
                <v:imagedata o:title=""/>
                <o:lock v:ext="edit" aspectratio="t"/>
                <w10:wrap type="none"/>
                <w10:anchorlock/>
              </v:rect>
            </w:pict>
          </mc:Fallback>
        </mc:AlternateContent>
      </w:r>
    </w:p>
    <w:p w14:paraId="7C20931F" w14:textId="77777777" w:rsidR="00834A75" w:rsidRDefault="00A6708C">
      <w:r>
        <w:rPr>
          <w:rFonts w:ascii="宋体" w:eastAsia="宋体" w:hAnsi="宋体" w:cs="宋体"/>
        </w:rPr>
        <w:t>Save</w:t>
      </w:r>
    </w:p>
    <w:p w14:paraId="7C209320" w14:textId="77777777" w:rsidR="00834A75" w:rsidRDefault="00A6708C">
      <w:r>
        <w:rPr>
          <w:rFonts w:ascii="宋体" w:eastAsia="宋体" w:hAnsi="宋体" w:cs="宋体"/>
        </w:rPr>
        <w:t>Reset</w:t>
      </w:r>
    </w:p>
    <w:p w14:paraId="7C209321" w14:textId="77777777" w:rsidR="00834A75" w:rsidRDefault="00A6708C">
      <w:r>
        <w:pict w14:anchorId="7C20937E">
          <v:rect id="_x0000_i1063" style="width:415.3pt;height:1.5pt" o:hralign="center" o:hrstd="t" o:hr="t" fillcolor="#a0a0a0" stroked="f"/>
        </w:pict>
      </w:r>
    </w:p>
    <w:p w14:paraId="7C209322" w14:textId="77777777" w:rsidR="00834A75" w:rsidRDefault="00A6708C">
      <w:r>
        <w:rPr>
          <w:rFonts w:ascii="宋体" w:eastAsia="宋体" w:hAnsi="宋体" w:cs="宋体"/>
        </w:rPr>
        <w:t xml:space="preserve">Search Results </w:t>
      </w:r>
    </w:p>
    <w:p w14:paraId="7C209323" w14:textId="77777777" w:rsidR="00834A75" w:rsidRDefault="00A6708C">
      <w:r>
        <w:rPr>
          <w:rFonts w:ascii="monospace" w:eastAsia="monospace" w:hAnsi="monospace" w:cs="monospace"/>
          <w:noProof/>
        </w:rPr>
        <mc:AlternateContent>
          <mc:Choice Requires="wps">
            <w:drawing>
              <wp:inline distT="0" distB="0" distL="114300" distR="114300" wp14:anchorId="7C20937F" wp14:editId="7C209380">
                <wp:extent cx="635" cy="0"/>
                <wp:effectExtent l="0" t="0" r="0" b="0"/>
                <wp:docPr id="58" name="矩形 5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WAAAAZHJzL1BLAQIUABQAAAAIAIdO4kDw40idzgAAAP8AAAAPAAAAAAAAAAEAIAAA&#10;ADgAAABkcnMvZG93bnJldi54bWxQSwECFAAUAAAACACHTuJARoBFRwACAAAaBAAADgAAAAAAAAAB&#10;ACAAAAAzAQAAZHJzL2Uyb0RvYy54bWxQSwUGAAAAAAYABgBZAQAApQUAAAAA&#10;">
                <v:fill on="f" focussize="0,0"/>
                <v:stroke color="#000000" joinstyle="miter"/>
                <v:imagedata o:title=""/>
                <o:lock v:ext="edit" aspectratio="t"/>
                <w10:wrap type="none"/>
                <w10:anchorlock/>
              </v:rect>
            </w:pict>
          </mc:Fallback>
        </mc:AlternateContent>
      </w:r>
    </w:p>
    <w:p w14:paraId="7C209324" w14:textId="77777777" w:rsidR="00834A75" w:rsidRDefault="00A6708C">
      <w:r>
        <w:rPr>
          <w:rFonts w:ascii="宋体" w:eastAsia="宋体" w:hAnsi="宋体" w:cs="宋体"/>
        </w:rPr>
        <w:t>Save</w:t>
      </w:r>
    </w:p>
    <w:p w14:paraId="7C209325" w14:textId="77777777" w:rsidR="00834A75" w:rsidRDefault="00A6708C">
      <w:r>
        <w:rPr>
          <w:rFonts w:ascii="宋体" w:eastAsia="宋体" w:hAnsi="宋体" w:cs="宋体"/>
        </w:rPr>
        <w:t>Reset</w:t>
      </w:r>
    </w:p>
    <w:p w14:paraId="7C209326" w14:textId="77777777" w:rsidR="00834A75" w:rsidRDefault="00A6708C">
      <w:r>
        <w:pict w14:anchorId="7C209381">
          <v:rect id="_x0000_i1064" style="width:415.3pt;height:1.5pt" o:hralign="center" o:hrstd="t" o:hr="t" fillcolor="#a0a0a0" stroked="f"/>
        </w:pict>
      </w:r>
    </w:p>
    <w:p w14:paraId="7C209327" w14:textId="77777777" w:rsidR="00834A75" w:rsidRDefault="00A6708C">
      <w:r>
        <w:rPr>
          <w:rFonts w:ascii="宋体" w:eastAsia="宋体" w:hAnsi="宋体" w:cs="宋体"/>
        </w:rPr>
        <w:t xml:space="preserve">Selected Fact </w:t>
      </w:r>
    </w:p>
    <w:p w14:paraId="7C209328" w14:textId="77777777" w:rsidR="00834A75" w:rsidRDefault="00A6708C">
      <w:r>
        <w:rPr>
          <w:rFonts w:ascii="monospace" w:eastAsia="monospace" w:hAnsi="monospace" w:cs="monospace"/>
          <w:noProof/>
        </w:rPr>
        <mc:AlternateContent>
          <mc:Choice Requires="wps">
            <w:drawing>
              <wp:inline distT="0" distB="0" distL="114300" distR="114300" wp14:anchorId="7C209382" wp14:editId="7C209383">
                <wp:extent cx="635" cy="0"/>
                <wp:effectExtent l="0" t="0" r="0" b="0"/>
                <wp:docPr id="57" name="矩形 5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GtUfhQBAgAAGgQAAA4AAAAAAAAA&#10;AQAgAAAAMwEAAGRycy9lMm9Eb2MueG1sUEsFBgAAAAAGAAYAWQEAAKYFAAAAAA==&#10;">
                <v:fill on="f" focussize="0,0"/>
                <v:stroke color="#000000" joinstyle="miter"/>
                <v:imagedata o:title=""/>
                <o:lock v:ext="edit" aspectratio="t"/>
                <w10:wrap type="none"/>
                <w10:anchorlock/>
              </v:rect>
            </w:pict>
          </mc:Fallback>
        </mc:AlternateContent>
      </w:r>
    </w:p>
    <w:p w14:paraId="7C209329" w14:textId="77777777" w:rsidR="00834A75" w:rsidRDefault="00A6708C">
      <w:r>
        <w:rPr>
          <w:rFonts w:ascii="宋体" w:eastAsia="宋体" w:hAnsi="宋体" w:cs="宋体"/>
        </w:rPr>
        <w:t>Save</w:t>
      </w:r>
    </w:p>
    <w:p w14:paraId="7C20932A" w14:textId="77777777" w:rsidR="00834A75" w:rsidRDefault="00A6708C">
      <w:r>
        <w:rPr>
          <w:rFonts w:ascii="宋体" w:eastAsia="宋体" w:hAnsi="宋体" w:cs="宋体"/>
        </w:rPr>
        <w:t>Reset</w:t>
      </w:r>
    </w:p>
    <w:p w14:paraId="7C20932B" w14:textId="77777777" w:rsidR="00834A75" w:rsidRDefault="00A6708C">
      <w:r>
        <w:pict w14:anchorId="7C209384">
          <v:rect id="_x0000_i1065" style="width:415.3pt;height:1.5pt" o:hralign="center" o:hrstd="t" o:hr="t" fillcolor="#a0a0a0" stroked="f"/>
        </w:pict>
      </w:r>
    </w:p>
    <w:p w14:paraId="7C20932C" w14:textId="77777777" w:rsidR="00834A75" w:rsidRDefault="00A6708C">
      <w:r>
        <w:rPr>
          <w:rFonts w:ascii="宋体" w:eastAsia="宋体" w:hAnsi="宋体" w:cs="宋体"/>
        </w:rPr>
        <w:t xml:space="preserve">Tag Shading (hover) </w:t>
      </w:r>
    </w:p>
    <w:p w14:paraId="7C20932D" w14:textId="77777777" w:rsidR="00834A75" w:rsidRDefault="00A6708C">
      <w:r>
        <w:rPr>
          <w:rFonts w:ascii="monospace" w:eastAsia="monospace" w:hAnsi="monospace" w:cs="monospace"/>
          <w:noProof/>
        </w:rPr>
        <mc:AlternateContent>
          <mc:Choice Requires="wps">
            <w:drawing>
              <wp:inline distT="0" distB="0" distL="114300" distR="114300" wp14:anchorId="7C209385" wp14:editId="7C209386">
                <wp:extent cx="635" cy="0"/>
                <wp:effectExtent l="0" t="0" r="0" b="0"/>
                <wp:docPr id="59" name="矩形 5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I1rq9oBAgAAGgQAAA4AAAAAAAAA&#10;AQAgAAAAMwEAAGRycy9lMm9Eb2MueG1sUEsFBgAAAAAGAAYAWQEAAKYFAAAAAA==&#10;">
                <v:fill on="f" focussize="0,0"/>
                <v:stroke color="#000000" joinstyle="miter"/>
                <v:imagedata o:title=""/>
                <o:lock v:ext="edit" aspectratio="t"/>
                <w10:wrap type="none"/>
                <w10:anchorlock/>
              </v:rect>
            </w:pict>
          </mc:Fallback>
        </mc:AlternateContent>
      </w:r>
    </w:p>
    <w:p w14:paraId="7C20932E" w14:textId="77777777" w:rsidR="00834A75" w:rsidRDefault="00A6708C">
      <w:r>
        <w:rPr>
          <w:rFonts w:ascii="宋体" w:eastAsia="宋体" w:hAnsi="宋体" w:cs="宋体"/>
        </w:rPr>
        <w:t>Save</w:t>
      </w:r>
    </w:p>
    <w:p w14:paraId="7C20932F" w14:textId="77777777" w:rsidR="00834A75" w:rsidRDefault="00A6708C">
      <w:r>
        <w:rPr>
          <w:rFonts w:ascii="宋体" w:eastAsia="宋体" w:hAnsi="宋体" w:cs="宋体"/>
        </w:rPr>
        <w:t>Reset</w:t>
      </w:r>
    </w:p>
    <w:p w14:paraId="7C209330" w14:textId="77777777" w:rsidR="00834A75" w:rsidRDefault="00A6708C">
      <w:pPr>
        <w:pStyle w:val="Style5"/>
      </w:pPr>
      <w:r>
        <w:t>窗体底端</w:t>
      </w:r>
    </w:p>
    <w:p w14:paraId="7C209331" w14:textId="77777777" w:rsidR="00834A75" w:rsidRDefault="00A6708C">
      <w:r>
        <w:rPr>
          <w:rFonts w:ascii="宋体" w:eastAsia="宋体" w:hAnsi="宋体" w:cs="宋体"/>
        </w:rPr>
        <w:t xml:space="preserve">Copy and Paste Below Content. </w:t>
      </w:r>
      <w:r>
        <w:rPr>
          <w:rFonts w:ascii="宋体" w:eastAsia="宋体" w:hAnsi="宋体" w:cs="宋体"/>
          <w:noProof/>
        </w:rPr>
        <mc:AlternateContent>
          <mc:Choice Requires="wps">
            <w:drawing>
              <wp:inline distT="0" distB="0" distL="114300" distR="114300" wp14:anchorId="7C209387" wp14:editId="7C209388">
                <wp:extent cx="635" cy="0"/>
                <wp:effectExtent l="0" t="0" r="0" b="0"/>
                <wp:docPr id="65" name="矩形 6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WAAAAZHJzL1BLAQIUABQAAAAIAIdO4kDw40idzgAAAP8AAAAPAAAAAAAAAAEAIAAA&#10;ADgAAABkcnMvZG93bnJldi54bWxQSwECFAAUAAAACACHTuJAyZuu4AACAAAaBAAADgAAAAAAAAAB&#10;ACAAAAAzAQAAZHJzL2Uyb0RvYy54bWxQSwUGAAAAAAYABgBZAQAApQUAAAAA&#10;">
                <v:fill on="f" focussize="0,0"/>
                <v:stroke color="#000000" joinstyle="miter"/>
                <v:imagedata o:title=""/>
                <o:lock v:ext="edit" aspectratio="t"/>
                <w10:wrap type="none"/>
                <w10:anchorlock/>
              </v:rect>
            </w:pict>
          </mc:Fallback>
        </mc:AlternateConten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34A75" w14:paraId="7C209333" w14:textId="77777777">
        <w:trPr>
          <w:tblCellSpacing w:w="15" w:type="dxa"/>
        </w:trPr>
        <w:tc>
          <w:tcPr>
            <w:tcW w:w="0" w:type="auto"/>
            <w:shd w:val="clear" w:color="auto" w:fill="auto"/>
            <w:vAlign w:val="center"/>
          </w:tcPr>
          <w:p w14:paraId="7C209332" w14:textId="77777777" w:rsidR="00834A75" w:rsidRDefault="00834A75">
            <w:pPr>
              <w:rPr>
                <w:rFonts w:ascii="宋体"/>
              </w:rPr>
            </w:pPr>
          </w:p>
        </w:tc>
      </w:tr>
    </w:tbl>
    <w:p w14:paraId="7C209334" w14:textId="77777777" w:rsidR="00834A75" w:rsidRDefault="00834A75">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34A75" w14:paraId="7C209336" w14:textId="77777777">
        <w:trPr>
          <w:tblCellSpacing w:w="15" w:type="dxa"/>
        </w:trPr>
        <w:tc>
          <w:tcPr>
            <w:tcW w:w="0" w:type="auto"/>
            <w:shd w:val="clear" w:color="auto" w:fill="auto"/>
            <w:vAlign w:val="center"/>
          </w:tcPr>
          <w:p w14:paraId="7C209335" w14:textId="77777777" w:rsidR="00834A75" w:rsidRDefault="00834A75">
            <w:pPr>
              <w:rPr>
                <w:rFonts w:ascii="宋体"/>
              </w:rPr>
            </w:pPr>
          </w:p>
        </w:tc>
      </w:tr>
    </w:tbl>
    <w:p w14:paraId="7C209337" w14:textId="77777777" w:rsidR="00834A75" w:rsidRDefault="00834A75">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34A75" w14:paraId="7C209339" w14:textId="77777777">
        <w:trPr>
          <w:tblCellSpacing w:w="15" w:type="dxa"/>
        </w:trPr>
        <w:tc>
          <w:tcPr>
            <w:tcW w:w="0" w:type="auto"/>
            <w:shd w:val="clear" w:color="auto" w:fill="auto"/>
            <w:vAlign w:val="center"/>
          </w:tcPr>
          <w:p w14:paraId="7C209338" w14:textId="77777777" w:rsidR="00834A75" w:rsidRDefault="00834A75">
            <w:pPr>
              <w:rPr>
                <w:rFonts w:ascii="宋体"/>
              </w:rPr>
            </w:pPr>
          </w:p>
        </w:tc>
      </w:tr>
    </w:tbl>
    <w:p w14:paraId="7C20933A" w14:textId="77777777" w:rsidR="00834A75" w:rsidRDefault="00834A75">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34A75" w14:paraId="7C20933C" w14:textId="77777777">
        <w:trPr>
          <w:tblCellSpacing w:w="15" w:type="dxa"/>
        </w:trPr>
        <w:tc>
          <w:tcPr>
            <w:tcW w:w="0" w:type="auto"/>
            <w:shd w:val="clear" w:color="auto" w:fill="auto"/>
            <w:vAlign w:val="center"/>
          </w:tcPr>
          <w:p w14:paraId="7C20933B" w14:textId="77777777" w:rsidR="00834A75" w:rsidRDefault="00834A75">
            <w:pPr>
              <w:rPr>
                <w:rFonts w:ascii="宋体"/>
              </w:rPr>
            </w:pPr>
          </w:p>
        </w:tc>
      </w:tr>
    </w:tbl>
    <w:p w14:paraId="7C20933D" w14:textId="77777777" w:rsidR="00834A75" w:rsidRDefault="00A6708C">
      <w:r>
        <w:rPr>
          <w:rFonts w:ascii="宋体" w:eastAsia="宋体" w:hAnsi="宋体" w:cs="宋体"/>
        </w:rPr>
        <w:t xml:space="preserve">Previous Next </w:t>
      </w:r>
    </w:p>
    <w:p w14:paraId="7C20933E" w14:textId="77777777" w:rsidR="00834A75" w:rsidRDefault="00A6708C">
      <w:pPr>
        <w:pStyle w:val="a3"/>
      </w:pPr>
      <w:r>
        <w:t xml:space="preserve">Nested Facts / </w:t>
      </w:r>
    </w:p>
    <w:p w14:paraId="7C20933F" w14:textId="77777777" w:rsidR="00834A75" w:rsidRDefault="00A6708C">
      <w:r>
        <w:rPr>
          <w:rFonts w:ascii="宋体" w:eastAsia="宋体" w:hAnsi="宋体" w:cs="宋体"/>
        </w:rPr>
        <w:t xml:space="preserve">Previous Next </w:t>
      </w:r>
    </w:p>
    <w:p w14:paraId="7C209340" w14:textId="77777777" w:rsidR="00834A75" w:rsidRDefault="00A6708C">
      <w:r>
        <w:rPr>
          <w:rFonts w:ascii="宋体" w:eastAsia="宋体" w:hAnsi="宋体" w:cs="宋体"/>
        </w:rPr>
        <w:t xml:space="preserve">Copy and Paste Below Content. </w:t>
      </w:r>
      <w:r>
        <w:rPr>
          <w:rFonts w:ascii="宋体" w:eastAsia="宋体" w:hAnsi="宋体" w:cs="宋体"/>
          <w:noProof/>
        </w:rPr>
        <mc:AlternateContent>
          <mc:Choice Requires="wps">
            <w:drawing>
              <wp:inline distT="0" distB="0" distL="114300" distR="114300" wp14:anchorId="7C209389" wp14:editId="7C20938A">
                <wp:extent cx="635" cy="0"/>
                <wp:effectExtent l="0" t="0" r="0" b="0"/>
                <wp:docPr id="64" name="矩形 6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AJwQH0BAgAAGgQAAA4AAAAAAAAA&#10;AQAgAAAAMwEAAGRycy9lMm9Eb2MueG1sUEsFBgAAAAAGAAYAWQEAAKYFAAAAAA==&#10;">
                <v:fill on="f" focussize="0,0"/>
                <v:stroke color="#000000" joinstyle="miter"/>
                <v:imagedata o:title=""/>
                <o:lock v:ext="edit" aspectratio="t"/>
                <w10:wrap type="none"/>
                <w10:anchorlock/>
              </v:rect>
            </w:pict>
          </mc:Fallback>
        </mc:AlternateConten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34A75" w14:paraId="7C209342" w14:textId="77777777">
        <w:trPr>
          <w:tblCellSpacing w:w="15" w:type="dxa"/>
        </w:trPr>
        <w:tc>
          <w:tcPr>
            <w:tcW w:w="0" w:type="auto"/>
            <w:shd w:val="clear" w:color="auto" w:fill="auto"/>
            <w:vAlign w:val="center"/>
          </w:tcPr>
          <w:p w14:paraId="7C209341" w14:textId="77777777" w:rsidR="00834A75" w:rsidRDefault="00834A75">
            <w:pPr>
              <w:rPr>
                <w:rFonts w:ascii="宋体"/>
              </w:rPr>
            </w:pPr>
          </w:p>
        </w:tc>
      </w:tr>
    </w:tbl>
    <w:p w14:paraId="7C209343" w14:textId="77777777" w:rsidR="00834A75" w:rsidRDefault="00834A75">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34A75" w14:paraId="7C209345" w14:textId="77777777">
        <w:trPr>
          <w:tblCellSpacing w:w="15" w:type="dxa"/>
        </w:trPr>
        <w:tc>
          <w:tcPr>
            <w:tcW w:w="0" w:type="auto"/>
            <w:shd w:val="clear" w:color="auto" w:fill="auto"/>
            <w:vAlign w:val="center"/>
          </w:tcPr>
          <w:p w14:paraId="7C209344" w14:textId="77777777" w:rsidR="00834A75" w:rsidRDefault="00834A75">
            <w:pPr>
              <w:rPr>
                <w:rFonts w:ascii="宋体"/>
              </w:rPr>
            </w:pPr>
          </w:p>
        </w:tc>
      </w:tr>
    </w:tbl>
    <w:p w14:paraId="7C209346" w14:textId="77777777" w:rsidR="00834A75" w:rsidRDefault="00834A75">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34A75" w14:paraId="7C209348" w14:textId="77777777">
        <w:trPr>
          <w:tblCellSpacing w:w="15" w:type="dxa"/>
        </w:trPr>
        <w:tc>
          <w:tcPr>
            <w:tcW w:w="0" w:type="auto"/>
            <w:shd w:val="clear" w:color="auto" w:fill="auto"/>
            <w:vAlign w:val="center"/>
          </w:tcPr>
          <w:p w14:paraId="7C209347" w14:textId="77777777" w:rsidR="00834A75" w:rsidRDefault="00834A75">
            <w:pPr>
              <w:rPr>
                <w:rFonts w:ascii="宋体"/>
              </w:rPr>
            </w:pPr>
          </w:p>
        </w:tc>
      </w:tr>
    </w:tbl>
    <w:p w14:paraId="7C209349" w14:textId="77777777" w:rsidR="00834A75" w:rsidRDefault="00834A75">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34A75" w14:paraId="7C20934B" w14:textId="77777777">
        <w:trPr>
          <w:tblCellSpacing w:w="15" w:type="dxa"/>
        </w:trPr>
        <w:tc>
          <w:tcPr>
            <w:tcW w:w="0" w:type="auto"/>
            <w:shd w:val="clear" w:color="auto" w:fill="auto"/>
            <w:vAlign w:val="center"/>
          </w:tcPr>
          <w:p w14:paraId="7C20934A" w14:textId="77777777" w:rsidR="00834A75" w:rsidRDefault="00834A75">
            <w:pPr>
              <w:rPr>
                <w:rFonts w:ascii="宋体"/>
              </w:rPr>
            </w:pPr>
          </w:p>
        </w:tc>
      </w:tr>
    </w:tbl>
    <w:p w14:paraId="7C20934C" w14:textId="77777777" w:rsidR="00834A75" w:rsidRDefault="00A6708C">
      <w:r>
        <w:rPr>
          <w:rFonts w:ascii="宋体" w:eastAsia="宋体" w:hAnsi="宋体" w:cs="宋体"/>
        </w:rPr>
        <w:t xml:space="preserve">Previous Next </w:t>
      </w:r>
    </w:p>
    <w:p w14:paraId="7C20934D" w14:textId="77777777" w:rsidR="00834A75" w:rsidRDefault="00834A75"/>
    <w:sectPr w:rsidR="00834A75">
      <w:pgSz w:w="11906" w:h="16839"/>
      <w:pgMar w:top="1440" w:right="1800" w:bottom="1440" w:left="1800" w:header="851" w:footer="992" w:gutter="0"/>
      <w:cols w:space="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9CF9C5" w14:textId="77777777" w:rsidR="00A6708C" w:rsidRDefault="00A6708C" w:rsidP="00A6708C">
      <w:r>
        <w:separator/>
      </w:r>
    </w:p>
  </w:endnote>
  <w:endnote w:type="continuationSeparator" w:id="0">
    <w:p w14:paraId="3FA5171B" w14:textId="77777777" w:rsidR="00A6708C" w:rsidRDefault="00A6708C" w:rsidP="00A670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ans-serif">
    <w:altName w:val="Calibri"/>
    <w:charset w:val="00"/>
    <w:family w:val="auto"/>
    <w:pitch w:val="default"/>
  </w:font>
  <w:font w:name="monospace">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A6B777" w14:textId="77777777" w:rsidR="00A6708C" w:rsidRDefault="00A6708C" w:rsidP="00A6708C">
      <w:r>
        <w:separator/>
      </w:r>
    </w:p>
  </w:footnote>
  <w:footnote w:type="continuationSeparator" w:id="0">
    <w:p w14:paraId="6421D77B" w14:textId="77777777" w:rsidR="00A6708C" w:rsidRDefault="00A6708C" w:rsidP="00A6708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FE8F0E0A"/>
    <w:rsid w:val="FE8F0E0A"/>
    <w:rsid w:val="00834A75"/>
    <w:rsid w:val="00A670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C20770A"/>
  <w15:docId w15:val="{8B1B0CAF-EFFE-419B-A2DC-2A26F1786E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rFonts w:asciiTheme="minorEastAsia" w:eastAsiaTheme="minorEastAsia" w:hAnsiTheme="minorEastAsia"/>
      <w:sz w:val="24"/>
      <w:szCs w:val="24"/>
    </w:rPr>
  </w:style>
  <w:style w:type="paragraph" w:styleId="2">
    <w:name w:val="heading 2"/>
    <w:basedOn w:val="a"/>
    <w:next w:val="a"/>
    <w:semiHidden/>
    <w:unhideWhenUsed/>
    <w:qFormat/>
    <w:pPr>
      <w:spacing w:beforeAutospacing="1" w:afterAutospacing="1"/>
      <w:outlineLvl w:val="1"/>
    </w:pPr>
    <w:rPr>
      <w:rFonts w:ascii="宋体" w:eastAsia="宋体" w:hAnsi="宋体" w:hint="eastAsia"/>
      <w:b/>
      <w:bCs/>
      <w:sz w:val="36"/>
      <w:szCs w:val="36"/>
    </w:rPr>
  </w:style>
  <w:style w:type="paragraph" w:styleId="5">
    <w:name w:val="heading 5"/>
    <w:basedOn w:val="a"/>
    <w:next w:val="a"/>
    <w:semiHidden/>
    <w:unhideWhenUsed/>
    <w:qFormat/>
    <w:pPr>
      <w:spacing w:beforeAutospacing="1" w:afterAutospacing="1"/>
      <w:outlineLvl w:val="4"/>
    </w:pPr>
    <w:rPr>
      <w:rFonts w:ascii="宋体" w:eastAsia="宋体" w:hAnsi="宋体" w:hint="eastAsia"/>
      <w:b/>
      <w:bCs/>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Autospacing="1" w:afterAutospacing="1"/>
    </w:pPr>
    <w:rPr>
      <w:rFonts w:ascii="宋体" w:eastAsia="宋体" w:hAnsi="宋体"/>
    </w:rPr>
  </w:style>
  <w:style w:type="character" w:styleId="a4">
    <w:name w:val="Strong"/>
    <w:basedOn w:val="a0"/>
    <w:qFormat/>
    <w:rPr>
      <w:b/>
    </w:rPr>
  </w:style>
  <w:style w:type="character" w:styleId="a5">
    <w:name w:val="Hyperlink"/>
    <w:basedOn w:val="a0"/>
    <w:rPr>
      <w:color w:val="0000FF"/>
      <w:u w:val="single"/>
    </w:rPr>
  </w:style>
  <w:style w:type="character" w:customStyle="1" w:styleId="15">
    <w:name w:val="15"/>
    <w:basedOn w:val="a0"/>
    <w:rPr>
      <w:rFonts w:ascii="Times New Roman" w:hAnsi="Times New Roman" w:cs="Times New Roman" w:hint="default"/>
      <w:b/>
    </w:rPr>
  </w:style>
  <w:style w:type="character" w:customStyle="1" w:styleId="16">
    <w:name w:val="16"/>
    <w:basedOn w:val="a0"/>
    <w:rPr>
      <w:rFonts w:ascii="Times New Roman" w:hAnsi="Times New Roman" w:cs="Times New Roman" w:hint="default"/>
      <w:color w:val="0000FF"/>
      <w:u w:val="single"/>
    </w:rPr>
  </w:style>
  <w:style w:type="paragraph" w:customStyle="1" w:styleId="z-1">
    <w:name w:val="z-窗体顶端1"/>
    <w:basedOn w:val="a"/>
    <w:pPr>
      <w:pBdr>
        <w:bottom w:val="single" w:sz="6" w:space="1" w:color="auto"/>
      </w:pBdr>
      <w:jc w:val="center"/>
    </w:pPr>
    <w:rPr>
      <w:rFonts w:ascii="Arial" w:eastAsia="宋体" w:hAnsi="宋体"/>
      <w:vanish/>
      <w:sz w:val="16"/>
      <w:szCs w:val="16"/>
    </w:rPr>
  </w:style>
  <w:style w:type="character" w:customStyle="1" w:styleId="10">
    <w:name w:val="10"/>
    <w:basedOn w:val="a0"/>
    <w:rPr>
      <w:rFonts w:ascii="Times New Roman" w:hAnsi="Times New Roman" w:cs="Times New Roman" w:hint="default"/>
    </w:rPr>
  </w:style>
  <w:style w:type="paragraph" w:customStyle="1" w:styleId="z-10">
    <w:name w:val="z-窗体底端1"/>
    <w:basedOn w:val="a"/>
    <w:pPr>
      <w:pBdr>
        <w:top w:val="single" w:sz="6" w:space="1" w:color="auto"/>
      </w:pBdr>
      <w:jc w:val="center"/>
    </w:pPr>
    <w:rPr>
      <w:rFonts w:ascii="Arial" w:eastAsia="宋体" w:hAnsi="宋体"/>
      <w:vanish/>
      <w:sz w:val="16"/>
      <w:szCs w:val="16"/>
    </w:rPr>
  </w:style>
  <w:style w:type="paragraph" w:customStyle="1" w:styleId="Style4">
    <w:name w:val="_Style 4"/>
    <w:basedOn w:val="a"/>
    <w:next w:val="a"/>
    <w:pPr>
      <w:pBdr>
        <w:bottom w:val="single" w:sz="6" w:space="1" w:color="auto"/>
      </w:pBdr>
      <w:jc w:val="center"/>
    </w:pPr>
    <w:rPr>
      <w:rFonts w:ascii="Arial" w:eastAsia="宋体"/>
      <w:vanish/>
      <w:sz w:val="16"/>
    </w:rPr>
  </w:style>
  <w:style w:type="paragraph" w:customStyle="1" w:styleId="Style5">
    <w:name w:val="_Style 5"/>
    <w:basedOn w:val="a"/>
    <w:next w:val="a"/>
    <w:pPr>
      <w:pBdr>
        <w:top w:val="single" w:sz="6" w:space="1" w:color="auto"/>
      </w:pBdr>
      <w:jc w:val="center"/>
    </w:pPr>
    <w:rPr>
      <w:rFonts w:ascii="Arial" w:eastAsia="宋体"/>
      <w:vanish/>
      <w:sz w:val="16"/>
    </w:rPr>
  </w:style>
  <w:style w:type="paragraph" w:styleId="a6">
    <w:name w:val="header"/>
    <w:basedOn w:val="a"/>
    <w:link w:val="a7"/>
    <w:rsid w:val="00A6708C"/>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rsid w:val="00A6708C"/>
    <w:rPr>
      <w:rFonts w:asciiTheme="minorEastAsia" w:eastAsiaTheme="minorEastAsia" w:hAnsiTheme="minorEastAsia"/>
      <w:sz w:val="18"/>
      <w:szCs w:val="18"/>
    </w:rPr>
  </w:style>
  <w:style w:type="paragraph" w:styleId="a8">
    <w:name w:val="footer"/>
    <w:basedOn w:val="a"/>
    <w:link w:val="a9"/>
    <w:rsid w:val="00A6708C"/>
    <w:pPr>
      <w:tabs>
        <w:tab w:val="center" w:pos="4153"/>
        <w:tab w:val="right" w:pos="8306"/>
      </w:tabs>
      <w:snapToGrid w:val="0"/>
    </w:pPr>
    <w:rPr>
      <w:sz w:val="18"/>
      <w:szCs w:val="18"/>
    </w:rPr>
  </w:style>
  <w:style w:type="character" w:customStyle="1" w:styleId="a9">
    <w:name w:val="页脚 字符"/>
    <w:basedOn w:val="a0"/>
    <w:link w:val="a8"/>
    <w:rsid w:val="00A6708C"/>
    <w:rPr>
      <w:rFonts w:asciiTheme="minorEastAsia" w:eastAsiaTheme="minorEastAsia" w:hAnsiTheme="minorEastAsi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https://www.sec.gov/ix?doc=/Archives/edgar/data/0001045810/000104581022000079/nvda-20220501.htm" TargetMode="External"/><Relationship Id="rId18" Type="http://schemas.openxmlformats.org/officeDocument/2006/relationships/hyperlink" Target="https://www.sec.gov/ix?doc=/Archives/edgar/data/0001045810/000104581022000079/nvda-20220501.htm" TargetMode="External"/><Relationship Id="rId26" Type="http://schemas.openxmlformats.org/officeDocument/2006/relationships/hyperlink" Target="https://www.sec.gov/ix?doc=/Archives/edgar/data/0001045810/000104581022000079/nvda-20220501.htm" TargetMode="External"/><Relationship Id="rId21" Type="http://schemas.openxmlformats.org/officeDocument/2006/relationships/hyperlink" Target="https://www.sec.gov/ix?doc=/Archives/edgar/data/0001045810/000104581022000079/nvda-20220501.htm" TargetMode="External"/><Relationship Id="rId34" Type="http://schemas.openxmlformats.org/officeDocument/2006/relationships/hyperlink" Target="https://www.sec.gov/Archives/edgar/data/0001045810/000104581022000079/nvda2023q1ex312.htm" TargetMode="External"/><Relationship Id="rId7" Type="http://schemas.openxmlformats.org/officeDocument/2006/relationships/hyperlink" Target="https://www.sec.gov/ix?doc=/Archives/edgar/data/0001045810/000104581022000079/nvda-20220501.htm" TargetMode="External"/><Relationship Id="rId12" Type="http://schemas.openxmlformats.org/officeDocument/2006/relationships/hyperlink" Target="https://www.sec.gov/ix?doc=/Archives/edgar/data/0001045810/000104581022000079/nvda-20220501.htm" TargetMode="External"/><Relationship Id="rId17" Type="http://schemas.openxmlformats.org/officeDocument/2006/relationships/hyperlink" Target="https://www.sec.gov/ix?doc=/Archives/edgar/data/0001045810/000104581022000079/nvda-20220501.htm" TargetMode="External"/><Relationship Id="rId25" Type="http://schemas.openxmlformats.org/officeDocument/2006/relationships/hyperlink" Target="https://www.sec.gov/ix?doc=/Archives/edgar/data/0001045810/000104581022000079/nvda-20220501.htm" TargetMode="External"/><Relationship Id="rId33" Type="http://schemas.openxmlformats.org/officeDocument/2006/relationships/hyperlink" Target="https://www.sec.gov/Archives/edgar/data/0001045810/000104581022000079/nvda2023q1ex311.htm" TargetMode="External"/><Relationship Id="rId38"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s://www.sec.gov/ix?doc=/Archives/edgar/data/0001045810/000104581022000079/nvda-20220501.htm" TargetMode="External"/><Relationship Id="rId20" Type="http://schemas.openxmlformats.org/officeDocument/2006/relationships/hyperlink" Target="https://www.sec.gov/ix?doc=/Archives/edgar/data/0001045810/000104581022000079/nvda-20220501.htm" TargetMode="External"/><Relationship Id="rId29" Type="http://schemas.openxmlformats.org/officeDocument/2006/relationships/hyperlink" Target="https://www.sec.gov/ix?doc=/Archives/edgar/data/0001045810/000104581022000079/nvda-20220501.htm" TargetMode="External"/><Relationship Id="rId1" Type="http://schemas.openxmlformats.org/officeDocument/2006/relationships/styles" Target="styles.xml"/><Relationship Id="rId11" Type="http://schemas.openxmlformats.org/officeDocument/2006/relationships/hyperlink" Target="https://www.sec.gov/ix?doc=/Archives/edgar/data/0001045810/000104581022000079/nvda-20220501.htm" TargetMode="External"/><Relationship Id="rId24" Type="http://schemas.openxmlformats.org/officeDocument/2006/relationships/hyperlink" Target="https://www.sec.gov/ix?doc=/Archives/edgar/data/0001045810/000104581022000079/nvda-20220501.htm" TargetMode="External"/><Relationship Id="rId32" Type="http://schemas.openxmlformats.org/officeDocument/2006/relationships/hyperlink" Target="http://www.sec.gov/Archives/edgar/data/0001045810/000104581022000023/exhibit101fy2023variableco.htm" TargetMode="External"/><Relationship Id="rId37"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hyperlink" Target="https://www.sec.gov/ix?doc=/Archives/edgar/data/0001045810/000104581022000079/nvda-20220501.htm" TargetMode="External"/><Relationship Id="rId23" Type="http://schemas.openxmlformats.org/officeDocument/2006/relationships/hyperlink" Target="https://www.sec.gov/ix?doc=/Archives/edgar/data/0001045810/000104581022000079/nvda-20220501.htm" TargetMode="External"/><Relationship Id="rId28" Type="http://schemas.openxmlformats.org/officeDocument/2006/relationships/hyperlink" Target="https://www.sec.gov/ix?doc=/Archives/edgar/data/0001045810/000104581022000079/nvda-20220501.htm" TargetMode="External"/><Relationship Id="rId36" Type="http://schemas.openxmlformats.org/officeDocument/2006/relationships/hyperlink" Target="https://www.sec.gov/Archives/edgar/data/0001045810/000104581022000079/nvda2023q1ex322.htm" TargetMode="External"/><Relationship Id="rId10" Type="http://schemas.openxmlformats.org/officeDocument/2006/relationships/hyperlink" Target="https://www.sec.gov/ix?doc=/Archives/edgar/data/0001045810/000104581022000079/nvda-20220501.htm" TargetMode="External"/><Relationship Id="rId19" Type="http://schemas.openxmlformats.org/officeDocument/2006/relationships/hyperlink" Target="https://www.sec.gov/ix?doc=/Archives/edgar/data/0001045810/000104581022000079/nvda-20220501.htm" TargetMode="External"/><Relationship Id="rId31" Type="http://schemas.openxmlformats.org/officeDocument/2006/relationships/hyperlink" Target="https://www.sec.gov/ix?doc=/Archives/edgar/data/0001045810/000104581022000079/nvda-20220501.htm" TargetMode="External"/><Relationship Id="rId4" Type="http://schemas.openxmlformats.org/officeDocument/2006/relationships/footnotes" Target="footnotes.xml"/><Relationship Id="rId9" Type="http://schemas.openxmlformats.org/officeDocument/2006/relationships/hyperlink" Target="https://www.sec.gov/ix?doc=/Archives/edgar/data/0001045810/000104581022000079/nvda-20220501.htm" TargetMode="External"/><Relationship Id="rId14" Type="http://schemas.openxmlformats.org/officeDocument/2006/relationships/hyperlink" Target="https://www.sec.gov/ix?doc=/Archives/edgar/data/0001045810/000104581022000079/nvda-20220501.htm" TargetMode="External"/><Relationship Id="rId22" Type="http://schemas.openxmlformats.org/officeDocument/2006/relationships/hyperlink" Target="https://www.sec.gov/ix?doc=/Archives/edgar/data/0001045810/000104581022000079/nvda-20220501.htm" TargetMode="External"/><Relationship Id="rId27" Type="http://schemas.openxmlformats.org/officeDocument/2006/relationships/hyperlink" Target="https://www.sec.gov/ix?doc=/Archives/edgar/data/0001045810/000104581022000079/nvda-20220501.htm" TargetMode="External"/><Relationship Id="rId30" Type="http://schemas.openxmlformats.org/officeDocument/2006/relationships/hyperlink" Target="https://www.sec.gov/ix?doc=/Archives/edgar/data/0001045810/000104581022000079/nvda-20220501.htm" TargetMode="External"/><Relationship Id="rId35" Type="http://schemas.openxmlformats.org/officeDocument/2006/relationships/hyperlink" Target="https://www.sec.gov/Archives/edgar/data/0001045810/000104581022000079/nvda2023q1ex321.htm" TargetMode="External"/><Relationship Id="rId8" Type="http://schemas.openxmlformats.org/officeDocument/2006/relationships/hyperlink" Target="https://www.sec.gov/ix?doc=/Archives/edgar/data/0001045810/000104581022000079/nvda-20220501.htm" TargetMode="External"/><Relationship Id="rId3"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20395</Words>
  <Characters>116252</Characters>
  <Application>Microsoft Office Word</Application>
  <DocSecurity>0</DocSecurity>
  <Lines>968</Lines>
  <Paragraphs>272</Paragraphs>
  <ScaleCrop>false</ScaleCrop>
  <Company/>
  <LinksUpToDate>false</LinksUpToDate>
  <CharactersWithSpaces>136375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徐馨润</dc:creator>
  <cp:lastModifiedBy>Yue Chongjian</cp:lastModifiedBy>
  <cp:revision>2</cp:revision>
  <dcterms:created xsi:type="dcterms:W3CDTF">2023-02-11T19:54:00Z</dcterms:created>
  <dcterms:modified xsi:type="dcterms:W3CDTF">2023-02-13T11:27:00Z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2052-5.1.1.7662</vt:lpwstr>
  </property>
  <property fmtid="{D5CDD505-2E9C-101B-9397-08002B2CF9AE}" pid="3" name="ICV">
    <vt:lpwstr>CC37F585F1403BA10182E763C6471E5A</vt:lpwstr>
  </property>
</Properties>
</file>