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01EF5" w14:textId="370A4D02" w:rsidR="00BF3A3A" w:rsidRDefault="00A76802">
      <w:pPr>
        <w:rPr>
          <w:vanish/>
        </w:rPr>
      </w:pPr>
      <w:r>
        <w:rPr>
          <w:rFonts w:ascii="宋体" w:eastAsia="宋体" w:hAnsi="宋体" w:cs="宋体"/>
        </w:rPr>
        <w:t xml:space="preserve"> </w:t>
      </w:r>
      <w:r>
        <w:rPr>
          <w:rFonts w:ascii="宋体" w:eastAsia="宋体" w:hAnsi="宋体" w:cs="宋体"/>
          <w:vanish/>
        </w:rPr>
        <w:t>00010458101/292023Q2FALSE00010458102022-01-312022-07-3100010458102022-08-19xbrli:shares00010458102022-05-022022-07-31iso4217:USD00010458102021-05-032021-08-0100010458102021-02-012021-08-01iso4217:USDxbrli:shares00010458102022-07-3100010458102022-01-3000010</w:t>
      </w:r>
      <w:r>
        <w:rPr>
          <w:rFonts w:ascii="宋体" w:eastAsia="宋体" w:hAnsi="宋体" w:cs="宋体"/>
          <w:vanish/>
        </w:rPr>
        <w:t>45810us-gaap:CommonStockMember2022-05-010001045810us-gaap:AdditionalPaidInCapitalMember2022-05-010001045810us-gaap:TreasuryStockMember2022-05-010001045810us-gaap:AccumulatedOtherComprehensiveIncomeMember2022-05-010001045810us-gaap:RetainedEarningsMember202</w:t>
      </w:r>
      <w:r>
        <w:rPr>
          <w:rFonts w:ascii="宋体" w:eastAsia="宋体" w:hAnsi="宋体" w:cs="宋体"/>
          <w:vanish/>
        </w:rPr>
        <w:t>2-05-0100010458102022-05-010001045810us-gaap:RetainedEarningsMember2022-05-022022-07-310001045810us-gaap:AccumulatedOtherComprehensiveIncomeMember2022-05-022022-07-310001045810us-gaap:CommonStockMember2022-05-022022-07-310001045810us-gaap:AdditionalPaidInC</w:t>
      </w:r>
      <w:r>
        <w:rPr>
          <w:rFonts w:ascii="宋体" w:eastAsia="宋体" w:hAnsi="宋体" w:cs="宋体"/>
          <w:vanish/>
        </w:rPr>
        <w:t>apitalMember2022-05-022022-07-310001045810us-gaap:CommonStockMember2022-07-310001045810us-gaap:AdditionalPaidInCapitalMember2022-07-310001045810us-gaap:TreasuryStockMember2022-07-310001045810us-gaap:AccumulatedOtherComprehensiveIncomeMember2022-07-31000104</w:t>
      </w:r>
      <w:r>
        <w:rPr>
          <w:rFonts w:ascii="宋体" w:eastAsia="宋体" w:hAnsi="宋体" w:cs="宋体"/>
          <w:vanish/>
        </w:rPr>
        <w:t>5810us-gaap:RetainedEarningsMember2022-07-310001045810us-gaap:CommonStockMember2021-05-020001045810us-gaap:AdditionalPaidInCapitalMember2021-05-020001045810us-gaap:TreasuryStockMember2021-05-020001045810us-gaap:AccumulatedOtherComprehensiveIncomeMember2021</w:t>
      </w:r>
      <w:r>
        <w:rPr>
          <w:rFonts w:ascii="宋体" w:eastAsia="宋体" w:hAnsi="宋体" w:cs="宋体"/>
          <w:vanish/>
        </w:rPr>
        <w:t>-05-020001045810us-gaap:RetainedEarningsMember2021-05-0200010458102021-05-020001045810us-gaap:RetainedEarningsMember2021-05-032021-08-010001045810us-gaap:AccumulatedOtherComprehensiveIncomeMember2021-05-032021-08-010001045810us-gaap:CommonStockMember2021-0</w:t>
      </w:r>
      <w:r>
        <w:rPr>
          <w:rFonts w:ascii="宋体" w:eastAsia="宋体" w:hAnsi="宋体" w:cs="宋体"/>
          <w:vanish/>
        </w:rPr>
        <w:t>5-032021-08-010001045810us-gaap:AdditionalPaidInCapitalMember2021-05-032021-08-010001045810us-gaap:TreasuryStockMember2021-05-032021-08-010001045810us-gaap:CommonStockMember2021-08-010001045810us-gaap:AdditionalPaidInCapitalMember2021-08-010001045810us-gaa</w:t>
      </w:r>
      <w:r>
        <w:rPr>
          <w:rFonts w:ascii="宋体" w:eastAsia="宋体" w:hAnsi="宋体" w:cs="宋体"/>
          <w:vanish/>
        </w:rPr>
        <w:t>p:TreasuryStockMember2021-08-010001045810us-gaap:AccumulatedOtherComprehensiveIncomeMember2021-08-010001045810us-gaap:RetainedEarningsMember2021-08-0100010458102021-08-010001045810us-gaap:CommonStockMember2022-01-300001045810us-gaap:AdditionalPaidInCapital</w:t>
      </w:r>
      <w:r>
        <w:rPr>
          <w:rFonts w:ascii="宋体" w:eastAsia="宋体" w:hAnsi="宋体" w:cs="宋体"/>
          <w:vanish/>
        </w:rPr>
        <w:t>Member2022-01-300001045810us-gaap:TreasuryStockMember2022-01-300001045810us-gaap:AccumulatedOtherComprehensiveIncomeMember2022-01-300001045810us-gaap:RetainedEarningsMember2022-01-300001045810us-gaap:RetainedEarningsMember2022-01-312022-07-310001045810us-g</w:t>
      </w:r>
      <w:r>
        <w:rPr>
          <w:rFonts w:ascii="宋体" w:eastAsia="宋体" w:hAnsi="宋体" w:cs="宋体"/>
          <w:vanish/>
        </w:rPr>
        <w:t>aap:AccumulatedOtherComprehensiveIncomeMember2022-01-312022-07-310001045810us-gaap:CommonStockMember2022-01-312022-07-310001045810us-gaap:AdditionalPaidInCapitalMember2022-01-312022-07-310001045810us-gaap:CommonStockMember2021-01-310001045810us-gaap:Additi</w:t>
      </w:r>
      <w:r>
        <w:rPr>
          <w:rFonts w:ascii="宋体" w:eastAsia="宋体" w:hAnsi="宋体" w:cs="宋体"/>
          <w:vanish/>
        </w:rPr>
        <w:t>onalPaidInCapitalMember2021-01-310001045810us-gaap:TreasuryStockMember2021-01-310001045810us-gaap:AccumulatedOtherComprehensiveIncomeMember2021-01-310001045810us-gaap:RetainedEarningsMember2021-01-3100010458102021-01-310001045810us-gaap:RetainedEarningsMem</w:t>
      </w:r>
      <w:r>
        <w:rPr>
          <w:rFonts w:ascii="宋体" w:eastAsia="宋体" w:hAnsi="宋体" w:cs="宋体"/>
          <w:vanish/>
        </w:rPr>
        <w:t>ber2021-02-012021-08-010001045810us-gaap:AccumulatedOtherComprehensiveIncomeMember2021-02-012021-08-010001045810us-gaap:CommonStockMember2021-02-012021-08-010001045810us-gaap:AdditionalPaidInCapitalMember2021-02-012021-08-010001045810us-gaap:TreasuryStockM</w:t>
      </w:r>
      <w:r>
        <w:rPr>
          <w:rFonts w:ascii="宋体" w:eastAsia="宋体" w:hAnsi="宋体" w:cs="宋体"/>
          <w:vanish/>
        </w:rPr>
        <w:t>ember2021-02-012021-08-010001045810nvda:ArmLimitedMember2022-01-312022-05-010001045810srt:MinimumMember2022-07-310001045810srt:MaximumMember2022-07-31xbrli:pure0001045810us-gaap:CostOfSalesMember2022-05-022022-07-310001045810us-gaap:CostOfSalesMember2021-0</w:t>
      </w:r>
      <w:r>
        <w:rPr>
          <w:rFonts w:ascii="宋体" w:eastAsia="宋体" w:hAnsi="宋体" w:cs="宋体"/>
          <w:vanish/>
        </w:rPr>
        <w:t>5-032021-08-010001045810us-gaap:CostOfSalesMember2022-01-312022-07-310001045810us-gaap:CostOfSalesMember2021-02-012021-08-010001045810us-gaap:ResearchAndDevelopmentExpenseMember2022-05-022022-07-310001045810us-gaap:ResearchAndDevelopmentExpenseMember2021-0</w:t>
      </w:r>
      <w:r>
        <w:rPr>
          <w:rFonts w:ascii="宋体" w:eastAsia="宋体" w:hAnsi="宋体" w:cs="宋体"/>
          <w:vanish/>
        </w:rPr>
        <w:t>5-032021-08-010001045810us-gaap:ResearchAndDevelopmentExpenseMember2022-01-312022-07-310001045810us-gaap:ResearchAndDevelopmentExpenseMember2021-02-012021-08-010001045810us-gaap:SellingGeneralAndAdministrativeExpensesMember2022-05-022022-07-310001045810us-</w:t>
      </w:r>
      <w:r>
        <w:rPr>
          <w:rFonts w:ascii="宋体" w:eastAsia="宋体" w:hAnsi="宋体" w:cs="宋体"/>
          <w:vanish/>
        </w:rPr>
        <w:t>gaap:SellingGeneralAndAdministrativeExpensesMember2021-05-032021-08-010001045810us-gaap:SellingGeneralAndAdministrativeExpensesMember2022-01-312022-07-310001045810us-gaap:SellingGeneralAndAdministrativeExpensesMember2021-02-012021-08-010001045810nvda:RSUsP</w:t>
      </w:r>
      <w:r>
        <w:rPr>
          <w:rFonts w:ascii="宋体" w:eastAsia="宋体" w:hAnsi="宋体" w:cs="宋体"/>
          <w:vanish/>
        </w:rPr>
        <w:t>SUsandMarketbasedPSUsMember2022-01-312022-07-310001045810nvda:ShareBasedCompensationArrangementsByShareBasedPaymentAwardEmployeeStockPurchasePlanMember2022-01-312022-07-310001045810us-gaap:CorporateDebtSecuritiesMember2022-07-310001045810us-gaap:USTreasury</w:t>
      </w:r>
      <w:r>
        <w:rPr>
          <w:rFonts w:ascii="宋体" w:eastAsia="宋体" w:hAnsi="宋体" w:cs="宋体"/>
          <w:vanish/>
        </w:rPr>
        <w:t>SecuritiesMember2022-07-310001045810us-gaap:USGovernmentAgenciesDebtSecuritiesMember2022-07-310001045810us-gaap:CertificatesOfDepositMember2022-07-310001045810us-gaap:MoneyMarketFundsMember2022-07-310001045810us-gaap:ForeignGovernmentDebtMember2022-07-3100</w:t>
      </w:r>
      <w:r>
        <w:rPr>
          <w:rFonts w:ascii="宋体" w:eastAsia="宋体" w:hAnsi="宋体" w:cs="宋体"/>
          <w:vanish/>
        </w:rPr>
        <w:t>01045810us-gaap:CorporateDebtSecuritiesMember2022-01-300001045810us-gaap:USTreasurySecuritiesMember2022-01-300001045810us-gaap:USGovernmentAgenciesDebtSecuritiesMember2022-01-300001045810us-gaap:CertificatesOfDepositMember2022-01-300001045810us-gaap:MoneyM</w:t>
      </w:r>
      <w:r>
        <w:rPr>
          <w:rFonts w:ascii="宋体" w:eastAsia="宋体" w:hAnsi="宋体" w:cs="宋体"/>
          <w:vanish/>
        </w:rPr>
        <w:t>arketFundsMember2022-01-300001045810us-gaap:ForeignGovernmentDebtMember2022-01-300001045810us-gaap:FairValueInputsLevel1Memberus-gaap:MoneyMarketFundsMember2022-07-310001045810us-gaap:FairValueInputsLevel1Memberus-gaap:MoneyMarketFundsMember2022-01-3000010</w:t>
      </w:r>
      <w:r>
        <w:rPr>
          <w:rFonts w:ascii="宋体" w:eastAsia="宋体" w:hAnsi="宋体" w:cs="宋体"/>
          <w:vanish/>
        </w:rPr>
        <w:t>45810us-gaap:CorporateDebtSecuritiesMemberus-gaap:FairValueInputsLevel2Member2022-07-310001045810us-gaap:CorporateDebtSecuritiesMemberus-gaap:FairValueInputsLevel2Member2022-01-300001045810us-gaap:USTreasurySecuritiesMemberus-gaap:FairValueInputsLevel2Memb</w:t>
      </w:r>
      <w:r>
        <w:rPr>
          <w:rFonts w:ascii="宋体" w:eastAsia="宋体" w:hAnsi="宋体" w:cs="宋体"/>
          <w:vanish/>
        </w:rPr>
        <w:t>er2022-07-310001045810us-gaap:USTreasurySecuritiesMemberus-gaap:FairValueInputsLevel2Member2022-01-300001045810us-gaap:USGovernmentAgenciesDebtSecuritiesMemberus-gaap:FairValueInputsLevel2Member2022-07-310001045810us-gaap:USGovernmentAgenciesDebtSecurities</w:t>
      </w:r>
      <w:r>
        <w:rPr>
          <w:rFonts w:ascii="宋体" w:eastAsia="宋体" w:hAnsi="宋体" w:cs="宋体"/>
          <w:vanish/>
        </w:rPr>
        <w:t>Memberus-gaap:FairValueInputsLevel2Member2022-01-300001045810us-gaap:FairValueInputsLevel2Memberus-gaap:CertificatesOfDepositMember2022-07-310001045810us-gaap:FairValueInputsLevel2Memberus-gaap:CertificatesOfDepositMember2022-01-300001045810us-gaap:Foreign</w:t>
      </w:r>
      <w:r>
        <w:rPr>
          <w:rFonts w:ascii="宋体" w:eastAsia="宋体" w:hAnsi="宋体" w:cs="宋体"/>
          <w:vanish/>
        </w:rPr>
        <w:t>GovernmentDebtMemberus-gaap:FairValueInputsLevel2Member2022-07-310001045810us-gaap:ForeignGovernmentDebtMemberus-gaap:FairValueInputsLevel2Member2022-01-300001045810us-gaap:FairValueInputsLevel1Membernvda:PubliclyHeldEquitySecuritiesMember2022-07-310001045</w:t>
      </w:r>
      <w:r>
        <w:rPr>
          <w:rFonts w:ascii="宋体" w:eastAsia="宋体" w:hAnsi="宋体" w:cs="宋体"/>
          <w:vanish/>
        </w:rPr>
        <w:t>810us-gaap:FairValueInputsLevel1Membernvda:PubliclyHeldEquitySecuritiesMember2022-01-300001045810us-gaap:FairValueInputsLevel3Membernvda:PrivatelyHeldEquitySecuritiesMember2022-07-310001045810us-gaap:FairValueInputsLevel3Membernvda:PrivatelyHeldEquitySecur</w:t>
      </w:r>
      <w:r>
        <w:rPr>
          <w:rFonts w:ascii="宋体" w:eastAsia="宋体" w:hAnsi="宋体" w:cs="宋体"/>
          <w:vanish/>
        </w:rPr>
        <w:t>itiesMember2022-01-300001045810nvda:A2023NotesMember2022-07-310001045810nvda:A2023NotesMemberus-gaap:FairValueInputsLevel2Member2022-07-310001045810nvda:A2023NotesMemberus-gaap:FairValueInputsLevel2Member2022-01-300001045810nvda:A2024NotesMember2022-07-310</w:t>
      </w:r>
      <w:r>
        <w:rPr>
          <w:rFonts w:ascii="宋体" w:eastAsia="宋体" w:hAnsi="宋体" w:cs="宋体"/>
          <w:vanish/>
        </w:rPr>
        <w:t>001045810nvda:A2024NotesMemberus-gaap:FairValueInputsLevel2Member2022-07-310001045810nvda:A2024NotesMemberus-gaap:FairValueInputsLevel2Member2022-01-300001045810nvda:A2026NotesMember2022-07-310001045810nvda:A2026NotesMemberus-gaap:FairValueInputsLevel2Memb</w:t>
      </w:r>
      <w:r>
        <w:rPr>
          <w:rFonts w:ascii="宋体" w:eastAsia="宋体" w:hAnsi="宋体" w:cs="宋体"/>
          <w:vanish/>
        </w:rPr>
        <w:t>er2022-07-310001045810nvda:A2026NotesMemberus-gaap:FairValueInputsLevel2Member2022-01-300001045810nvda:A2028NotesMember2022-07-310001045810nvda:A2028NotesMemberus-gaap:FairValueInputsLevel2Member2022-07-310001045810nvda:A2028NotesMemberus-gaap:FairValueInp</w:t>
      </w:r>
      <w:r>
        <w:rPr>
          <w:rFonts w:ascii="宋体" w:eastAsia="宋体" w:hAnsi="宋体" w:cs="宋体"/>
          <w:vanish/>
        </w:rPr>
        <w:t>utsLevel2Member2022-01-300001045810nvda:A2030NotesMember2022-07-310001045810nvda:A2030NotesMemberus-gaap:FairValueInputsLevel2Member2022-07-310001045810nvda:A2030NotesMemberus-gaap:FairValueInputsLevel2Member2022-01-300001045810nvda:A2031NotesMember2022-07</w:t>
      </w:r>
      <w:r>
        <w:rPr>
          <w:rFonts w:ascii="宋体" w:eastAsia="宋体" w:hAnsi="宋体" w:cs="宋体"/>
          <w:vanish/>
        </w:rPr>
        <w:t>-310001045810nvda:A2031NotesMemberus-gaap:FairValueInputsLevel2Member2022-07-310001045810nvda:A2031NotesMemberus-gaap:FairValueInputsLevel2Member2022-01-300001045810nvda:A2040NotesMember2022-07-310001045810nvda:A2040NotesMemberus-gaap:FairValueInputsLevel2</w:t>
      </w:r>
      <w:r>
        <w:rPr>
          <w:rFonts w:ascii="宋体" w:eastAsia="宋体" w:hAnsi="宋体" w:cs="宋体"/>
          <w:vanish/>
        </w:rPr>
        <w:t>Member2022-07-310001045810nvda:A2040NotesMemberus-gaap:FairValueInputsLevel2Member2022-01-300001045810nvda:A2050NotesMember2022-07-310001045810nvda:A2050NotesMemberus-gaap:FairValueInputsLevel2Member2022-07-310001045810nvda:A2050NotesMemberus-gaap:FairValu</w:t>
      </w:r>
      <w:r>
        <w:rPr>
          <w:rFonts w:ascii="宋体" w:eastAsia="宋体" w:hAnsi="宋体" w:cs="宋体"/>
          <w:vanish/>
        </w:rPr>
        <w:t>eInputsLevel2Member2022-01-300001045810nvda:A2060NotesMember2022-07-310001045810nvda:A2060NotesMemberus-gaap:FairValueInputsLevel2Member2022-07-310001045810nvda:A2060NotesMemberus-gaap:FairValueInputsLevel2Member2022-01-300001045810nvda:IntangibleAssetsAri</w:t>
      </w:r>
      <w:r>
        <w:rPr>
          <w:rFonts w:ascii="宋体" w:eastAsia="宋体" w:hAnsi="宋体" w:cs="宋体"/>
          <w:vanish/>
        </w:rPr>
        <w:t>singFromBusinessCombinationMember2022-07-310001045810nvda:IntangibleAssetsArisingFromBusinessCombinationMember2022-01-300001045810nvda:PatentsAndLicensedTechnologyMember2022-07-310001045810nvda:PatentsAndLicensedTechnologyMember2022-01-300001045810nvda:Mel</w:t>
      </w:r>
      <w:r>
        <w:rPr>
          <w:rFonts w:ascii="宋体" w:eastAsia="宋体" w:hAnsi="宋体" w:cs="宋体"/>
          <w:vanish/>
        </w:rPr>
        <w:t>lanoxTechnologiesLtdMemberus-gaap:InProcessResearchAndDevelopmentMember2022-01-300001045810nvda:ComputeAndNetworkingMember2022-01-312022-07-310001045810nvda:GraphicsMember2022-01-312022-07-3100010458102022-08-012022-07-310001045810us-gaap:ForeignExchangeFo</w:t>
      </w:r>
      <w:r>
        <w:rPr>
          <w:rFonts w:ascii="宋体" w:eastAsia="宋体" w:hAnsi="宋体" w:cs="宋体"/>
          <w:vanish/>
        </w:rPr>
        <w:t>rwardMember2022-01-312022-07-310001045810nvda:A2023NotesMember2022-01-312022-07-310001045810nvda:A2023NotesMember2022-01-300001045810nvda:A2024NotesMember2022-01-312022-07-310001045810nvda:A2024NotesMember2022-01-300001045810nvda:A2026NotesMember2022-01-31</w:t>
      </w:r>
      <w:r>
        <w:rPr>
          <w:rFonts w:ascii="宋体" w:eastAsia="宋体" w:hAnsi="宋体" w:cs="宋体"/>
          <w:vanish/>
        </w:rPr>
        <w:t>2022-07-310001045810nvda:A2026NotesMember2022-01-300001045810nvda:A2028NotesMember2022-01-312022-07-310001045810nvda:A2028NotesMember2022-01-300001045810nvda:A2030NotesMember2022-01-312022-07-310001045810nvda:A2030NotesMember2022-01-300001045810nvda:A2031N</w:t>
      </w:r>
      <w:r>
        <w:rPr>
          <w:rFonts w:ascii="宋体" w:eastAsia="宋体" w:hAnsi="宋体" w:cs="宋体"/>
          <w:vanish/>
        </w:rPr>
        <w:t>otesMember2022-01-312022-07-310001045810nvda:A2031NotesMember2022-01-300001045810nvda:A2040NotesMember2022-01-312022-07-310001045810nvda:A2040NotesMember2022-01-300001045810nvda:A2050NotesMember2022-01-312022-07-310001045810nvda:A2050NotesMember2022-01-300</w:t>
      </w:r>
      <w:r>
        <w:rPr>
          <w:rFonts w:ascii="宋体" w:eastAsia="宋体" w:hAnsi="宋体" w:cs="宋体"/>
          <w:vanish/>
        </w:rPr>
        <w:t>001045810nvda:A2060NotesMember2022-01-312022-07-310001045810nvda:A2060NotesMember2022-01-300001045810us-gaap:CommercialPaperMember2022-07-310001045810nvda:AdministrativeOrderIssuedByTheSECMember2022-05-022022-05-31nvda:segment0001045810nvda:GraphicsMemberu</w:t>
      </w:r>
      <w:r>
        <w:rPr>
          <w:rFonts w:ascii="宋体" w:eastAsia="宋体" w:hAnsi="宋体" w:cs="宋体"/>
          <w:vanish/>
        </w:rPr>
        <w:t>s-gaap:OperatingSegmentsMember2022-05-022022-07-310001045810nvda:ComputeAndNetworkingMemberus-gaap:OperatingSegmentsMember2022-05-022022-07-310001045810us-gaap:CorporateNonSegmentMember2022-05-022022-07-310001045810nvda:GraphicsMemberus-gaap:OperatingSegme</w:t>
      </w:r>
      <w:r>
        <w:rPr>
          <w:rFonts w:ascii="宋体" w:eastAsia="宋体" w:hAnsi="宋体" w:cs="宋体"/>
          <w:vanish/>
        </w:rPr>
        <w:t>ntsMember2021-05-032021-08-010001045810nvda:ComputeAndNetworkingMemberus-gaap:OperatingSegmentsMember2021-05-032021-08-010001045810us-gaap:CorporateNonSegmentMember2021-05-032021-08-010001045810nvda:GraphicsMemberus-gaap:OperatingSegmentsMember2022-01-3120</w:t>
      </w:r>
      <w:r>
        <w:rPr>
          <w:rFonts w:ascii="宋体" w:eastAsia="宋体" w:hAnsi="宋体" w:cs="宋体"/>
          <w:vanish/>
        </w:rPr>
        <w:t>22-07-310001045810nvda:ComputeAndNetworkingMemberus-gaap:OperatingSegmentsMember2022-01-312022-07-310001045810us-gaap:CorporateNonSegmentMember2022-01-312022-07-310001045810nvda:GraphicsMemberus-gaap:OperatingSegmentsMember2021-02-012021-08-010001045810nvd</w:t>
      </w:r>
      <w:r>
        <w:rPr>
          <w:rFonts w:ascii="宋体" w:eastAsia="宋体" w:hAnsi="宋体" w:cs="宋体"/>
          <w:vanish/>
        </w:rPr>
        <w:t>a:ComputeAndNetworkingMemberus-gaap:OperatingSegmentsMember2021-02-012021-08-010001045810us-gaap:CorporateNonSegmentMember2021-02-012021-08-010001045810country:US2022-05-022022-07-310001045810country:US2021-05-032021-08-010001045810country:US2022-01-312022</w:t>
      </w:r>
      <w:r>
        <w:rPr>
          <w:rFonts w:ascii="宋体" w:eastAsia="宋体" w:hAnsi="宋体" w:cs="宋体"/>
          <w:vanish/>
        </w:rPr>
        <w:t>-07-310001045810country:US2021-02-012021-08-010001045810nvda:ChinaIncludingHongKongMember2022-05-022022-07-310001045810nvda:ChinaIncludingHongKongMember2021-05-032021-08-010001045810nvda:ChinaIncludingHongKongMember2022-01-312022-07-310001045810nvda:ChinaI</w:t>
      </w:r>
      <w:r>
        <w:rPr>
          <w:rFonts w:ascii="宋体" w:eastAsia="宋体" w:hAnsi="宋体" w:cs="宋体"/>
          <w:vanish/>
        </w:rPr>
        <w:t>ncludingHongKongMember2021-02-012021-08-010001045810country:TW2022-05-022022-07-310001045810country:TW2021-05-032021-08-010001045810country:TW2022-01-312022-07-310001045810country:TW2021-02-012021-08-010001045810nvda:AllOtherCountriesNotSeparatelyDisclosed</w:t>
      </w:r>
      <w:r>
        <w:rPr>
          <w:rFonts w:ascii="宋体" w:eastAsia="宋体" w:hAnsi="宋体" w:cs="宋体"/>
          <w:vanish/>
        </w:rPr>
        <w:t>Member2022-05-022022-07-310001045810nvda:AllOtherCountriesNotSeparatelyDisclosedMember2021-05-032021-08-010001045810nvda:AllOtherCountriesNotSeparatelyDisclosedMember2022-01-312022-07-310001045810nvda:AllOtherCountriesNotSeparatelyDisclosedMember2021-02-01</w:t>
      </w:r>
      <w:r>
        <w:rPr>
          <w:rFonts w:ascii="宋体" w:eastAsia="宋体" w:hAnsi="宋体" w:cs="宋体"/>
          <w:vanish/>
        </w:rPr>
        <w:t>2021-08-010001045810nvda:GamingMember2022-05-022022-07-310001045810nvda:GamingMember2021-05-032021-08-010001045810nvda:GamingMember2022-01-312022-07-310001045810nvda:GamingMember2021-02-012021-08-010001045810nvda:DataCenterMember2022-05-022022-07-310001045</w:t>
      </w:r>
      <w:r>
        <w:rPr>
          <w:rFonts w:ascii="宋体" w:eastAsia="宋体" w:hAnsi="宋体" w:cs="宋体"/>
          <w:vanish/>
        </w:rPr>
        <w:t>810nvda:DataCenterMember2021-05-032021-08-010001045810nvda:DataCenterMember2022-01-312022-07-310001045810nvda:DataCenterMember2021-02-012021-08-010001045810nvda:ProfessionalVisualizationMember2022-05-022022-07-310001045810nvda:ProfessionalVisualizationMemb</w:t>
      </w:r>
      <w:r>
        <w:rPr>
          <w:rFonts w:ascii="宋体" w:eastAsia="宋体" w:hAnsi="宋体" w:cs="宋体"/>
          <w:vanish/>
        </w:rPr>
        <w:t>er2021-05-032021-08-010001045810nvda:ProfessionalVisualizationMember2022-01-312022-07-310001045810nvda:ProfessionalVisualizationMember2021-02-012021-08-010001045810nvda:AutomotiveMember2022-05-022022-07-310001045810nvda:AutomotiveMember2021-05-032021-08-01</w:t>
      </w:r>
      <w:r>
        <w:rPr>
          <w:rFonts w:ascii="宋体" w:eastAsia="宋体" w:hAnsi="宋体" w:cs="宋体"/>
          <w:vanish/>
        </w:rPr>
        <w:t>0001045810nvda:AutomotiveMember2022-01-312022-07-310001045810nvda:AutomotiveMember2021-02-012021-08-010001045810nvda:OEMAndOtherMember2022-05-022022-07-310001045810nvda:OEMAndOtherMember2021-05-032021-08-010001045810nvda:OEMAndOtherMember2022-01-312022-07-</w:t>
      </w:r>
      <w:r>
        <w:rPr>
          <w:rFonts w:ascii="宋体" w:eastAsia="宋体" w:hAnsi="宋体" w:cs="宋体"/>
          <w:vanish/>
        </w:rPr>
        <w:t>310001045810nvda:OEMAndOtherMember2021-02-012021-08-010001045810us-gaap:CustomerConcentrationRiskMembernvda:TwoCustomersMemberus-gaap:AccountsReceivableMember2022-01-312022-07-310001045810us-gaap:CustomerConcentrationRiskMembernvda:TwoCustomersMemberus-gaa</w:t>
      </w:r>
      <w:r>
        <w:rPr>
          <w:rFonts w:ascii="宋体" w:eastAsia="宋体" w:hAnsi="宋体" w:cs="宋体"/>
          <w:vanish/>
        </w:rPr>
        <w:t>p:AccountsReceivableMember2021-02-012022-01-30</w:t>
      </w:r>
    </w:p>
    <w:p w14:paraId="19501EF6" w14:textId="77777777" w:rsidR="00BF3A3A" w:rsidRDefault="00BF3A3A">
      <w:pPr>
        <w:spacing w:after="180"/>
        <w:jc w:val="both"/>
      </w:pPr>
    </w:p>
    <w:p w14:paraId="19501EF7" w14:textId="77777777" w:rsidR="00BF3A3A" w:rsidRDefault="00A76802">
      <w:pPr>
        <w:jc w:val="center"/>
      </w:pPr>
      <w:r>
        <w:rPr>
          <w:rFonts w:ascii="sans-serif" w:eastAsia="sans-serif" w:hAnsi="sans-serif" w:cs="sans-serif"/>
          <w:b/>
          <w:bCs/>
          <w:color w:val="000000"/>
          <w:sz w:val="18"/>
          <w:szCs w:val="18"/>
        </w:rPr>
        <w:t>UNITED STATES</w:t>
      </w:r>
    </w:p>
    <w:p w14:paraId="19501EF8" w14:textId="77777777" w:rsidR="00BF3A3A" w:rsidRDefault="00A76802">
      <w:pPr>
        <w:jc w:val="center"/>
      </w:pPr>
      <w:r>
        <w:rPr>
          <w:rFonts w:ascii="sans-serif" w:eastAsia="sans-serif" w:hAnsi="sans-serif" w:cs="sans-serif"/>
          <w:b/>
          <w:bCs/>
          <w:color w:val="000000"/>
          <w:sz w:val="18"/>
          <w:szCs w:val="18"/>
        </w:rPr>
        <w:t>SECURITIES AND EXCHANGE COMMISSION</w:t>
      </w:r>
    </w:p>
    <w:p w14:paraId="19501EF9" w14:textId="77777777" w:rsidR="00BF3A3A" w:rsidRDefault="00A76802">
      <w:pPr>
        <w:jc w:val="center"/>
      </w:pPr>
      <w:r>
        <w:rPr>
          <w:rFonts w:ascii="sans-serif" w:eastAsia="sans-serif" w:hAnsi="sans-serif" w:cs="sans-serif"/>
          <w:b/>
          <w:bCs/>
          <w:color w:val="000000"/>
          <w:sz w:val="18"/>
          <w:szCs w:val="18"/>
        </w:rPr>
        <w:t>Washington, D.C. 20549</w:t>
      </w:r>
    </w:p>
    <w:tbl>
      <w:tblPr>
        <w:tblW w:w="1389" w:type="pct"/>
        <w:jc w:val="center"/>
        <w:tblCellMar>
          <w:top w:w="15" w:type="dxa"/>
          <w:left w:w="15" w:type="dxa"/>
          <w:bottom w:w="15" w:type="dxa"/>
          <w:right w:w="15" w:type="dxa"/>
        </w:tblCellMar>
        <w:tblLook w:val="04A0" w:firstRow="1" w:lastRow="0" w:firstColumn="1" w:lastColumn="0" w:noHBand="0" w:noVBand="1"/>
      </w:tblPr>
      <w:tblGrid>
        <w:gridCol w:w="36"/>
        <w:gridCol w:w="2244"/>
        <w:gridCol w:w="36"/>
      </w:tblGrid>
      <w:tr w:rsidR="00BF3A3A" w14:paraId="19501EFD" w14:textId="77777777">
        <w:trPr>
          <w:jc w:val="center"/>
        </w:trPr>
        <w:tc>
          <w:tcPr>
            <w:tcW w:w="50" w:type="pct"/>
            <w:shd w:val="clear" w:color="auto" w:fill="auto"/>
            <w:vAlign w:val="bottom"/>
          </w:tcPr>
          <w:p w14:paraId="19501EFA" w14:textId="77777777" w:rsidR="00BF3A3A" w:rsidRDefault="00BF3A3A">
            <w:pPr>
              <w:rPr>
                <w:rFonts w:ascii="宋体"/>
              </w:rPr>
            </w:pPr>
          </w:p>
        </w:tc>
        <w:tc>
          <w:tcPr>
            <w:tcW w:w="4945" w:type="pct"/>
            <w:shd w:val="clear" w:color="auto" w:fill="auto"/>
            <w:vAlign w:val="bottom"/>
          </w:tcPr>
          <w:p w14:paraId="19501EFB" w14:textId="77777777" w:rsidR="00BF3A3A" w:rsidRDefault="00BF3A3A">
            <w:pPr>
              <w:rPr>
                <w:rFonts w:ascii="宋体"/>
              </w:rPr>
            </w:pPr>
          </w:p>
        </w:tc>
        <w:tc>
          <w:tcPr>
            <w:tcW w:w="5" w:type="pct"/>
            <w:shd w:val="clear" w:color="auto" w:fill="auto"/>
            <w:vAlign w:val="bottom"/>
          </w:tcPr>
          <w:p w14:paraId="19501EFC" w14:textId="77777777" w:rsidR="00BF3A3A" w:rsidRDefault="00BF3A3A">
            <w:pPr>
              <w:rPr>
                <w:rFonts w:ascii="宋体"/>
              </w:rPr>
            </w:pPr>
          </w:p>
        </w:tc>
      </w:tr>
      <w:tr w:rsidR="00BF3A3A" w14:paraId="19501EFF"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19501EFE" w14:textId="77777777" w:rsidR="00BF3A3A" w:rsidRDefault="00BF3A3A">
            <w:pPr>
              <w:rPr>
                <w:rFonts w:ascii="宋体"/>
              </w:rPr>
            </w:pPr>
          </w:p>
        </w:tc>
      </w:tr>
    </w:tbl>
    <w:p w14:paraId="19501F00" w14:textId="77777777" w:rsidR="00BF3A3A" w:rsidRDefault="00A76802">
      <w:pPr>
        <w:jc w:val="center"/>
      </w:pPr>
      <w:r>
        <w:rPr>
          <w:rFonts w:ascii="sans-serif" w:eastAsia="sans-serif" w:hAnsi="sans-serif" w:cs="sans-serif"/>
          <w:b/>
          <w:bCs/>
          <w:color w:val="000000"/>
          <w:sz w:val="28"/>
          <w:szCs w:val="28"/>
        </w:rPr>
        <w:t xml:space="preserve">FORM 10-Q </w:t>
      </w:r>
    </w:p>
    <w:tbl>
      <w:tblPr>
        <w:tblW w:w="4743" w:type="pct"/>
        <w:jc w:val="center"/>
        <w:tblCellMar>
          <w:top w:w="15" w:type="dxa"/>
          <w:left w:w="15" w:type="dxa"/>
          <w:bottom w:w="15" w:type="dxa"/>
          <w:right w:w="15" w:type="dxa"/>
        </w:tblCellMar>
        <w:tblLook w:val="04A0" w:firstRow="1" w:lastRow="0" w:firstColumn="1" w:lastColumn="0" w:noHBand="0" w:noVBand="1"/>
      </w:tblPr>
      <w:tblGrid>
        <w:gridCol w:w="65"/>
        <w:gridCol w:w="176"/>
        <w:gridCol w:w="36"/>
        <w:gridCol w:w="65"/>
        <w:gridCol w:w="7530"/>
        <w:gridCol w:w="36"/>
      </w:tblGrid>
      <w:tr w:rsidR="00BF3A3A" w14:paraId="19501F07" w14:textId="77777777">
        <w:trPr>
          <w:jc w:val="center"/>
        </w:trPr>
        <w:tc>
          <w:tcPr>
            <w:tcW w:w="50" w:type="pct"/>
            <w:shd w:val="clear" w:color="auto" w:fill="auto"/>
            <w:vAlign w:val="bottom"/>
          </w:tcPr>
          <w:p w14:paraId="19501F01" w14:textId="77777777" w:rsidR="00BF3A3A" w:rsidRDefault="00BF3A3A">
            <w:pPr>
              <w:rPr>
                <w:rFonts w:ascii="宋体"/>
              </w:rPr>
            </w:pPr>
          </w:p>
        </w:tc>
        <w:tc>
          <w:tcPr>
            <w:tcW w:w="120" w:type="pct"/>
            <w:shd w:val="clear" w:color="auto" w:fill="auto"/>
            <w:vAlign w:val="bottom"/>
          </w:tcPr>
          <w:p w14:paraId="19501F02" w14:textId="77777777" w:rsidR="00BF3A3A" w:rsidRDefault="00BF3A3A">
            <w:pPr>
              <w:rPr>
                <w:rFonts w:ascii="宋体"/>
              </w:rPr>
            </w:pPr>
          </w:p>
        </w:tc>
        <w:tc>
          <w:tcPr>
            <w:tcW w:w="5" w:type="pct"/>
            <w:shd w:val="clear" w:color="auto" w:fill="auto"/>
            <w:vAlign w:val="bottom"/>
          </w:tcPr>
          <w:p w14:paraId="19501F03" w14:textId="77777777" w:rsidR="00BF3A3A" w:rsidRDefault="00BF3A3A">
            <w:pPr>
              <w:rPr>
                <w:rFonts w:ascii="宋体"/>
              </w:rPr>
            </w:pPr>
          </w:p>
        </w:tc>
        <w:tc>
          <w:tcPr>
            <w:tcW w:w="50" w:type="pct"/>
            <w:shd w:val="clear" w:color="auto" w:fill="auto"/>
            <w:vAlign w:val="bottom"/>
          </w:tcPr>
          <w:p w14:paraId="19501F04" w14:textId="77777777" w:rsidR="00BF3A3A" w:rsidRDefault="00BF3A3A">
            <w:pPr>
              <w:rPr>
                <w:rFonts w:ascii="宋体"/>
              </w:rPr>
            </w:pPr>
          </w:p>
        </w:tc>
        <w:tc>
          <w:tcPr>
            <w:tcW w:w="4769" w:type="pct"/>
            <w:shd w:val="clear" w:color="auto" w:fill="auto"/>
            <w:vAlign w:val="bottom"/>
          </w:tcPr>
          <w:p w14:paraId="19501F05" w14:textId="77777777" w:rsidR="00BF3A3A" w:rsidRDefault="00BF3A3A">
            <w:pPr>
              <w:rPr>
                <w:rFonts w:ascii="宋体"/>
              </w:rPr>
            </w:pPr>
          </w:p>
        </w:tc>
        <w:tc>
          <w:tcPr>
            <w:tcW w:w="5" w:type="pct"/>
            <w:shd w:val="clear" w:color="auto" w:fill="auto"/>
            <w:vAlign w:val="bottom"/>
          </w:tcPr>
          <w:p w14:paraId="19501F06" w14:textId="77777777" w:rsidR="00BF3A3A" w:rsidRDefault="00BF3A3A">
            <w:pPr>
              <w:rPr>
                <w:rFonts w:ascii="宋体"/>
              </w:rPr>
            </w:pPr>
          </w:p>
        </w:tc>
      </w:tr>
      <w:tr w:rsidR="00BF3A3A" w14:paraId="19501F0A" w14:textId="77777777">
        <w:trPr>
          <w:jc w:val="center"/>
        </w:trPr>
        <w:tc>
          <w:tcPr>
            <w:tcW w:w="0" w:type="auto"/>
            <w:gridSpan w:val="3"/>
            <w:shd w:val="clear" w:color="auto" w:fill="auto"/>
            <w:tcMar>
              <w:top w:w="40" w:type="dxa"/>
              <w:left w:w="20" w:type="dxa"/>
              <w:bottom w:w="40" w:type="dxa"/>
              <w:right w:w="20" w:type="dxa"/>
            </w:tcMar>
          </w:tcPr>
          <w:p w14:paraId="19501F08" w14:textId="77777777" w:rsidR="00BF3A3A" w:rsidRDefault="00A76802">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19501F09" w14:textId="77777777" w:rsidR="00BF3A3A" w:rsidRDefault="00A76802">
            <w:pPr>
              <w:textAlignment w:val="top"/>
            </w:pPr>
            <w:r>
              <w:rPr>
                <w:rFonts w:ascii="sans-serif" w:eastAsia="sans-serif" w:hAnsi="sans-serif" w:cs="sans-serif"/>
                <w:b/>
                <w:bCs/>
                <w:color w:val="000000"/>
                <w:sz w:val="18"/>
                <w:szCs w:val="18"/>
              </w:rPr>
              <w:t>QUARTERLY REPORT PURSUANT TO SECTION 13 OR 15(d) OF THE SECURITIES EXCHANGE ACT OF 1934</w:t>
            </w:r>
          </w:p>
        </w:tc>
      </w:tr>
    </w:tbl>
    <w:p w14:paraId="19501F0B" w14:textId="77777777" w:rsidR="00BF3A3A" w:rsidRDefault="00A76802">
      <w:pPr>
        <w:ind w:firstLine="450"/>
        <w:jc w:val="both"/>
      </w:pPr>
      <w:r>
        <w:rPr>
          <w:rFonts w:ascii="sans-serif" w:eastAsia="sans-serif" w:hAnsi="sans-serif" w:cs="sans-serif"/>
          <w:b/>
          <w:bCs/>
          <w:color w:val="000000"/>
          <w:sz w:val="18"/>
          <w:szCs w:val="18"/>
        </w:rPr>
        <w:t xml:space="preserve">For the </w:t>
      </w:r>
      <w:r>
        <w:rPr>
          <w:rFonts w:ascii="sans-serif" w:eastAsia="sans-serif" w:hAnsi="sans-serif" w:cs="sans-serif"/>
          <w:b/>
          <w:bCs/>
          <w:color w:val="000000"/>
          <w:sz w:val="18"/>
          <w:szCs w:val="18"/>
        </w:rPr>
        <w:t>quarterly period ended July 31, 2022</w:t>
      </w:r>
    </w:p>
    <w:p w14:paraId="19501F0C" w14:textId="77777777" w:rsidR="00BF3A3A" w:rsidRDefault="00A76802">
      <w:pPr>
        <w:jc w:val="center"/>
      </w:pPr>
      <w:r>
        <w:rPr>
          <w:rFonts w:ascii="sans-serif" w:eastAsia="sans-serif" w:hAnsi="sans-serif" w:cs="sans-serif"/>
          <w:b/>
          <w:bCs/>
          <w:color w:val="000000"/>
          <w:sz w:val="18"/>
          <w:szCs w:val="18"/>
        </w:rPr>
        <w:t>OR</w:t>
      </w:r>
    </w:p>
    <w:tbl>
      <w:tblPr>
        <w:tblW w:w="4743" w:type="pct"/>
        <w:jc w:val="center"/>
        <w:tblCellMar>
          <w:top w:w="15" w:type="dxa"/>
          <w:left w:w="15" w:type="dxa"/>
          <w:bottom w:w="15" w:type="dxa"/>
          <w:right w:w="15" w:type="dxa"/>
        </w:tblCellMar>
        <w:tblLook w:val="04A0" w:firstRow="1" w:lastRow="0" w:firstColumn="1" w:lastColumn="0" w:noHBand="0" w:noVBand="1"/>
      </w:tblPr>
      <w:tblGrid>
        <w:gridCol w:w="65"/>
        <w:gridCol w:w="176"/>
        <w:gridCol w:w="36"/>
        <w:gridCol w:w="65"/>
        <w:gridCol w:w="7530"/>
        <w:gridCol w:w="36"/>
      </w:tblGrid>
      <w:tr w:rsidR="00BF3A3A" w14:paraId="19501F13" w14:textId="77777777">
        <w:trPr>
          <w:jc w:val="center"/>
        </w:trPr>
        <w:tc>
          <w:tcPr>
            <w:tcW w:w="50" w:type="pct"/>
            <w:shd w:val="clear" w:color="auto" w:fill="auto"/>
            <w:vAlign w:val="bottom"/>
          </w:tcPr>
          <w:p w14:paraId="19501F0D" w14:textId="77777777" w:rsidR="00BF3A3A" w:rsidRDefault="00BF3A3A">
            <w:pPr>
              <w:rPr>
                <w:rFonts w:ascii="宋体"/>
              </w:rPr>
            </w:pPr>
          </w:p>
        </w:tc>
        <w:tc>
          <w:tcPr>
            <w:tcW w:w="120" w:type="pct"/>
            <w:shd w:val="clear" w:color="auto" w:fill="auto"/>
            <w:vAlign w:val="bottom"/>
          </w:tcPr>
          <w:p w14:paraId="19501F0E" w14:textId="77777777" w:rsidR="00BF3A3A" w:rsidRDefault="00BF3A3A">
            <w:pPr>
              <w:rPr>
                <w:rFonts w:ascii="宋体"/>
              </w:rPr>
            </w:pPr>
          </w:p>
        </w:tc>
        <w:tc>
          <w:tcPr>
            <w:tcW w:w="5" w:type="pct"/>
            <w:shd w:val="clear" w:color="auto" w:fill="auto"/>
            <w:vAlign w:val="bottom"/>
          </w:tcPr>
          <w:p w14:paraId="19501F0F" w14:textId="77777777" w:rsidR="00BF3A3A" w:rsidRDefault="00BF3A3A">
            <w:pPr>
              <w:rPr>
                <w:rFonts w:ascii="宋体"/>
              </w:rPr>
            </w:pPr>
          </w:p>
        </w:tc>
        <w:tc>
          <w:tcPr>
            <w:tcW w:w="50" w:type="pct"/>
            <w:shd w:val="clear" w:color="auto" w:fill="auto"/>
            <w:vAlign w:val="bottom"/>
          </w:tcPr>
          <w:p w14:paraId="19501F10" w14:textId="77777777" w:rsidR="00BF3A3A" w:rsidRDefault="00BF3A3A">
            <w:pPr>
              <w:rPr>
                <w:rFonts w:ascii="宋体"/>
              </w:rPr>
            </w:pPr>
          </w:p>
        </w:tc>
        <w:tc>
          <w:tcPr>
            <w:tcW w:w="4769" w:type="pct"/>
            <w:shd w:val="clear" w:color="auto" w:fill="auto"/>
            <w:vAlign w:val="bottom"/>
          </w:tcPr>
          <w:p w14:paraId="19501F11" w14:textId="77777777" w:rsidR="00BF3A3A" w:rsidRDefault="00BF3A3A">
            <w:pPr>
              <w:rPr>
                <w:rFonts w:ascii="宋体"/>
              </w:rPr>
            </w:pPr>
          </w:p>
        </w:tc>
        <w:tc>
          <w:tcPr>
            <w:tcW w:w="5" w:type="pct"/>
            <w:shd w:val="clear" w:color="auto" w:fill="auto"/>
            <w:vAlign w:val="bottom"/>
          </w:tcPr>
          <w:p w14:paraId="19501F12" w14:textId="77777777" w:rsidR="00BF3A3A" w:rsidRDefault="00BF3A3A">
            <w:pPr>
              <w:rPr>
                <w:rFonts w:ascii="宋体"/>
              </w:rPr>
            </w:pPr>
          </w:p>
        </w:tc>
      </w:tr>
      <w:tr w:rsidR="00BF3A3A" w14:paraId="19501F16" w14:textId="77777777">
        <w:trPr>
          <w:jc w:val="center"/>
        </w:trPr>
        <w:tc>
          <w:tcPr>
            <w:tcW w:w="0" w:type="auto"/>
            <w:gridSpan w:val="3"/>
            <w:shd w:val="clear" w:color="auto" w:fill="auto"/>
            <w:tcMar>
              <w:top w:w="40" w:type="dxa"/>
              <w:left w:w="20" w:type="dxa"/>
              <w:bottom w:w="40" w:type="dxa"/>
              <w:right w:w="20" w:type="dxa"/>
            </w:tcMar>
          </w:tcPr>
          <w:p w14:paraId="19501F14" w14:textId="77777777" w:rsidR="00BF3A3A" w:rsidRDefault="00A76802">
            <w:pPr>
              <w:textAlignment w:val="top"/>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tcPr>
          <w:p w14:paraId="19501F15" w14:textId="77777777" w:rsidR="00BF3A3A" w:rsidRDefault="00A76802">
            <w:pPr>
              <w:textAlignment w:val="top"/>
            </w:pPr>
            <w:r>
              <w:rPr>
                <w:rFonts w:ascii="sans-serif" w:eastAsia="sans-serif" w:hAnsi="sans-serif" w:cs="sans-serif"/>
                <w:b/>
                <w:bCs/>
                <w:color w:val="000000"/>
                <w:sz w:val="18"/>
                <w:szCs w:val="18"/>
              </w:rPr>
              <w:t>TRANSITION REPORT PURSUANT TO SECTION 13 OR 15(d) OF THE SECURITIES EXCHANGE ACT OF 1934</w:t>
            </w:r>
          </w:p>
        </w:tc>
      </w:tr>
    </w:tbl>
    <w:p w14:paraId="19501F17" w14:textId="77777777" w:rsidR="00BF3A3A" w:rsidRDefault="00A76802">
      <w:pPr>
        <w:jc w:val="center"/>
      </w:pPr>
      <w:r>
        <w:rPr>
          <w:rFonts w:ascii="sans-serif" w:eastAsia="sans-serif" w:hAnsi="sans-serif" w:cs="sans-serif"/>
          <w:b/>
          <w:bCs/>
          <w:color w:val="000000"/>
          <w:sz w:val="16"/>
          <w:szCs w:val="16"/>
        </w:rPr>
        <w:t xml:space="preserve">Commission file number: 0-23985 </w:t>
      </w:r>
    </w:p>
    <w:p w14:paraId="19501F18" w14:textId="77777777" w:rsidR="00BF3A3A" w:rsidRDefault="00A76802">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/NVIDIA /./Inline XBRL Viewer1_files/nvda-20220731_g1.jpg"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9503FC4" wp14:editId="19503FC5">
            <wp:extent cx="304800" cy="304800"/>
            <wp:effectExtent l="0" t="0" r="0" b="0"/>
            <wp:docPr id="6"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19501F19" w14:textId="77777777" w:rsidR="00BF3A3A" w:rsidRDefault="00BF3A3A">
      <w:pPr>
        <w:jc w:val="center"/>
      </w:pPr>
    </w:p>
    <w:p w14:paraId="19501F1A" w14:textId="77777777" w:rsidR="00BF3A3A" w:rsidRDefault="00A76802">
      <w:pPr>
        <w:jc w:val="center"/>
      </w:pPr>
      <w:r>
        <w:rPr>
          <w:rFonts w:ascii="sans-serif" w:eastAsia="sans-serif" w:hAnsi="sans-serif" w:cs="sans-serif"/>
          <w:b/>
          <w:bCs/>
          <w:color w:val="000000"/>
          <w:sz w:val="28"/>
          <w:szCs w:val="28"/>
        </w:rPr>
        <w:t>NVIDIA CORPORATION</w:t>
      </w:r>
    </w:p>
    <w:p w14:paraId="19501F1B" w14:textId="77777777" w:rsidR="00BF3A3A" w:rsidRDefault="00A76802">
      <w:pPr>
        <w:jc w:val="center"/>
      </w:pPr>
      <w:r>
        <w:rPr>
          <w:rFonts w:ascii="sans-serif" w:eastAsia="sans-serif" w:hAnsi="sans-serif" w:cs="sans-serif"/>
          <w:b/>
          <w:bCs/>
          <w:color w:val="000000"/>
          <w:sz w:val="16"/>
          <w:szCs w:val="16"/>
        </w:rPr>
        <w:t xml:space="preserve">(Exact name of registrant as specified in its charter) </w:t>
      </w:r>
    </w:p>
    <w:tbl>
      <w:tblPr>
        <w:tblW w:w="4736" w:type="pct"/>
        <w:jc w:val="center"/>
        <w:tblCellMar>
          <w:top w:w="15" w:type="dxa"/>
          <w:left w:w="15" w:type="dxa"/>
          <w:bottom w:w="15" w:type="dxa"/>
          <w:right w:w="15" w:type="dxa"/>
        </w:tblCellMar>
        <w:tblLook w:val="04A0" w:firstRow="1" w:lastRow="0" w:firstColumn="1" w:lastColumn="0" w:noHBand="0" w:noVBand="1"/>
      </w:tblPr>
      <w:tblGrid>
        <w:gridCol w:w="64"/>
        <w:gridCol w:w="3846"/>
        <w:gridCol w:w="37"/>
        <w:gridCol w:w="65"/>
        <w:gridCol w:w="3847"/>
        <w:gridCol w:w="37"/>
      </w:tblGrid>
      <w:tr w:rsidR="00BF3A3A" w14:paraId="19501F22" w14:textId="77777777">
        <w:trPr>
          <w:jc w:val="center"/>
        </w:trPr>
        <w:tc>
          <w:tcPr>
            <w:tcW w:w="50" w:type="pct"/>
            <w:shd w:val="clear" w:color="auto" w:fill="auto"/>
            <w:vAlign w:val="bottom"/>
          </w:tcPr>
          <w:p w14:paraId="19501F1C" w14:textId="77777777" w:rsidR="00BF3A3A" w:rsidRDefault="00BF3A3A">
            <w:pPr>
              <w:rPr>
                <w:rFonts w:ascii="宋体"/>
              </w:rPr>
            </w:pPr>
          </w:p>
        </w:tc>
        <w:tc>
          <w:tcPr>
            <w:tcW w:w="2445" w:type="pct"/>
            <w:shd w:val="clear" w:color="auto" w:fill="auto"/>
            <w:vAlign w:val="bottom"/>
          </w:tcPr>
          <w:p w14:paraId="19501F1D" w14:textId="77777777" w:rsidR="00BF3A3A" w:rsidRDefault="00BF3A3A">
            <w:pPr>
              <w:rPr>
                <w:rFonts w:ascii="宋体"/>
              </w:rPr>
            </w:pPr>
          </w:p>
        </w:tc>
        <w:tc>
          <w:tcPr>
            <w:tcW w:w="5" w:type="pct"/>
            <w:shd w:val="clear" w:color="auto" w:fill="auto"/>
            <w:vAlign w:val="bottom"/>
          </w:tcPr>
          <w:p w14:paraId="19501F1E" w14:textId="77777777" w:rsidR="00BF3A3A" w:rsidRDefault="00BF3A3A">
            <w:pPr>
              <w:rPr>
                <w:rFonts w:ascii="宋体"/>
              </w:rPr>
            </w:pPr>
          </w:p>
        </w:tc>
        <w:tc>
          <w:tcPr>
            <w:tcW w:w="50" w:type="pct"/>
            <w:shd w:val="clear" w:color="auto" w:fill="auto"/>
            <w:vAlign w:val="bottom"/>
          </w:tcPr>
          <w:p w14:paraId="19501F1F" w14:textId="77777777" w:rsidR="00BF3A3A" w:rsidRDefault="00BF3A3A">
            <w:pPr>
              <w:rPr>
                <w:rFonts w:ascii="宋体"/>
              </w:rPr>
            </w:pPr>
          </w:p>
        </w:tc>
        <w:tc>
          <w:tcPr>
            <w:tcW w:w="2445" w:type="pct"/>
            <w:shd w:val="clear" w:color="auto" w:fill="auto"/>
            <w:vAlign w:val="bottom"/>
          </w:tcPr>
          <w:p w14:paraId="19501F20" w14:textId="77777777" w:rsidR="00BF3A3A" w:rsidRDefault="00BF3A3A">
            <w:pPr>
              <w:rPr>
                <w:rFonts w:ascii="宋体"/>
              </w:rPr>
            </w:pPr>
          </w:p>
        </w:tc>
        <w:tc>
          <w:tcPr>
            <w:tcW w:w="5" w:type="pct"/>
            <w:shd w:val="clear" w:color="auto" w:fill="auto"/>
            <w:vAlign w:val="bottom"/>
          </w:tcPr>
          <w:p w14:paraId="19501F21" w14:textId="77777777" w:rsidR="00BF3A3A" w:rsidRDefault="00BF3A3A">
            <w:pPr>
              <w:rPr>
                <w:rFonts w:ascii="宋体"/>
              </w:rPr>
            </w:pPr>
          </w:p>
        </w:tc>
      </w:tr>
      <w:tr w:rsidR="00BF3A3A" w14:paraId="19501F25" w14:textId="77777777">
        <w:trPr>
          <w:jc w:val="center"/>
        </w:trPr>
        <w:tc>
          <w:tcPr>
            <w:tcW w:w="0" w:type="auto"/>
            <w:gridSpan w:val="3"/>
            <w:shd w:val="clear" w:color="auto" w:fill="auto"/>
            <w:tcMar>
              <w:top w:w="40" w:type="dxa"/>
              <w:left w:w="20" w:type="dxa"/>
              <w:bottom w:w="40" w:type="dxa"/>
              <w:right w:w="20" w:type="dxa"/>
            </w:tcMar>
          </w:tcPr>
          <w:p w14:paraId="19501F23" w14:textId="77777777" w:rsidR="00BF3A3A" w:rsidRDefault="00A76802">
            <w:pPr>
              <w:jc w:val="center"/>
              <w:textAlignment w:val="top"/>
            </w:pPr>
            <w:r>
              <w:rPr>
                <w:rFonts w:ascii="sans-serif" w:eastAsia="sans-serif" w:hAnsi="sans-serif" w:cs="sans-serif"/>
                <w:b/>
                <w:bCs/>
                <w:color w:val="000000"/>
                <w:sz w:val="18"/>
                <w:szCs w:val="18"/>
              </w:rPr>
              <w:t>Delaware</w:t>
            </w:r>
          </w:p>
        </w:tc>
        <w:tc>
          <w:tcPr>
            <w:tcW w:w="0" w:type="auto"/>
            <w:gridSpan w:val="3"/>
            <w:shd w:val="clear" w:color="auto" w:fill="auto"/>
            <w:tcMar>
              <w:top w:w="40" w:type="dxa"/>
              <w:left w:w="20" w:type="dxa"/>
              <w:bottom w:w="40" w:type="dxa"/>
              <w:right w:w="20" w:type="dxa"/>
            </w:tcMar>
          </w:tcPr>
          <w:p w14:paraId="19501F24" w14:textId="77777777" w:rsidR="00BF3A3A" w:rsidRDefault="00A76802">
            <w:pPr>
              <w:jc w:val="center"/>
              <w:textAlignment w:val="top"/>
            </w:pPr>
            <w:r>
              <w:rPr>
                <w:rFonts w:ascii="sans-serif" w:eastAsia="sans-serif" w:hAnsi="sans-serif" w:cs="sans-serif"/>
                <w:b/>
                <w:bCs/>
                <w:color w:val="000000"/>
                <w:sz w:val="18"/>
                <w:szCs w:val="18"/>
              </w:rPr>
              <w:t>94-3177549</w:t>
            </w:r>
          </w:p>
        </w:tc>
      </w:tr>
      <w:tr w:rsidR="00BF3A3A" w14:paraId="19501F28" w14:textId="77777777">
        <w:trPr>
          <w:jc w:val="center"/>
        </w:trPr>
        <w:tc>
          <w:tcPr>
            <w:tcW w:w="0" w:type="auto"/>
            <w:gridSpan w:val="3"/>
            <w:shd w:val="clear" w:color="auto" w:fill="auto"/>
            <w:tcMar>
              <w:top w:w="40" w:type="dxa"/>
              <w:left w:w="20" w:type="dxa"/>
              <w:bottom w:w="40" w:type="dxa"/>
              <w:right w:w="20" w:type="dxa"/>
            </w:tcMar>
          </w:tcPr>
          <w:p w14:paraId="19501F26" w14:textId="77777777" w:rsidR="00BF3A3A" w:rsidRDefault="00A76802">
            <w:pPr>
              <w:jc w:val="center"/>
              <w:textAlignment w:val="top"/>
            </w:pPr>
            <w:r>
              <w:rPr>
                <w:rFonts w:ascii="sans-serif" w:eastAsia="sans-serif" w:hAnsi="sans-serif" w:cs="sans-serif"/>
                <w:b/>
                <w:bCs/>
                <w:color w:val="000000"/>
                <w:sz w:val="18"/>
                <w:szCs w:val="18"/>
              </w:rPr>
              <w:t>(State or Other Jurisdiction of</w:t>
            </w:r>
          </w:p>
        </w:tc>
        <w:tc>
          <w:tcPr>
            <w:tcW w:w="0" w:type="auto"/>
            <w:gridSpan w:val="3"/>
            <w:shd w:val="clear" w:color="auto" w:fill="auto"/>
            <w:tcMar>
              <w:top w:w="40" w:type="dxa"/>
              <w:left w:w="20" w:type="dxa"/>
              <w:bottom w:w="40" w:type="dxa"/>
              <w:right w:w="20" w:type="dxa"/>
            </w:tcMar>
          </w:tcPr>
          <w:p w14:paraId="19501F27" w14:textId="77777777" w:rsidR="00BF3A3A" w:rsidRDefault="00A76802">
            <w:pPr>
              <w:jc w:val="center"/>
              <w:textAlignment w:val="top"/>
            </w:pPr>
            <w:r>
              <w:rPr>
                <w:rFonts w:ascii="sans-serif" w:eastAsia="sans-serif" w:hAnsi="sans-serif" w:cs="sans-serif"/>
                <w:b/>
                <w:bCs/>
                <w:color w:val="000000"/>
                <w:sz w:val="18"/>
                <w:szCs w:val="18"/>
              </w:rPr>
              <w:t>(I.R.S. Employer</w:t>
            </w:r>
          </w:p>
        </w:tc>
      </w:tr>
      <w:tr w:rsidR="00BF3A3A" w14:paraId="19501F2B" w14:textId="77777777">
        <w:trPr>
          <w:jc w:val="center"/>
        </w:trPr>
        <w:tc>
          <w:tcPr>
            <w:tcW w:w="0" w:type="auto"/>
            <w:gridSpan w:val="3"/>
            <w:shd w:val="clear" w:color="auto" w:fill="auto"/>
            <w:tcMar>
              <w:top w:w="40" w:type="dxa"/>
              <w:left w:w="20" w:type="dxa"/>
              <w:bottom w:w="40" w:type="dxa"/>
              <w:right w:w="20" w:type="dxa"/>
            </w:tcMar>
          </w:tcPr>
          <w:p w14:paraId="19501F29" w14:textId="77777777" w:rsidR="00BF3A3A" w:rsidRDefault="00A76802">
            <w:pPr>
              <w:jc w:val="center"/>
              <w:textAlignment w:val="top"/>
            </w:pPr>
            <w:r>
              <w:rPr>
                <w:rFonts w:ascii="sans-serif" w:eastAsia="sans-serif" w:hAnsi="sans-serif" w:cs="sans-serif"/>
                <w:b/>
                <w:bCs/>
                <w:color w:val="000000"/>
                <w:sz w:val="18"/>
                <w:szCs w:val="18"/>
              </w:rPr>
              <w:t>Incorporation or Organization)</w:t>
            </w:r>
          </w:p>
        </w:tc>
        <w:tc>
          <w:tcPr>
            <w:tcW w:w="0" w:type="auto"/>
            <w:gridSpan w:val="3"/>
            <w:shd w:val="clear" w:color="auto" w:fill="auto"/>
            <w:tcMar>
              <w:top w:w="40" w:type="dxa"/>
              <w:left w:w="20" w:type="dxa"/>
              <w:bottom w:w="40" w:type="dxa"/>
              <w:right w:w="20" w:type="dxa"/>
            </w:tcMar>
          </w:tcPr>
          <w:p w14:paraId="19501F2A" w14:textId="77777777" w:rsidR="00BF3A3A" w:rsidRDefault="00A76802">
            <w:pPr>
              <w:jc w:val="center"/>
              <w:textAlignment w:val="top"/>
            </w:pPr>
            <w:r>
              <w:rPr>
                <w:rFonts w:ascii="sans-serif" w:eastAsia="sans-serif" w:hAnsi="sans-serif" w:cs="sans-serif"/>
                <w:b/>
                <w:bCs/>
                <w:color w:val="000000"/>
                <w:sz w:val="18"/>
                <w:szCs w:val="18"/>
              </w:rPr>
              <w:t>Identification No.)</w:t>
            </w:r>
          </w:p>
        </w:tc>
      </w:tr>
    </w:tbl>
    <w:p w14:paraId="19501F2C" w14:textId="77777777" w:rsidR="00BF3A3A" w:rsidRDefault="00A76802">
      <w:pPr>
        <w:jc w:val="center"/>
      </w:pPr>
      <w:r>
        <w:rPr>
          <w:rFonts w:ascii="sans-serif" w:eastAsia="sans-serif" w:hAnsi="sans-serif" w:cs="sans-serif"/>
          <w:b/>
          <w:bCs/>
          <w:color w:val="000000"/>
          <w:sz w:val="18"/>
          <w:szCs w:val="18"/>
        </w:rPr>
        <w:t xml:space="preserve">2788 San Tomas Expressway </w:t>
      </w:r>
    </w:p>
    <w:p w14:paraId="19501F2D" w14:textId="77777777" w:rsidR="00BF3A3A" w:rsidRDefault="00A76802">
      <w:pPr>
        <w:jc w:val="center"/>
      </w:pPr>
      <w:r>
        <w:rPr>
          <w:rFonts w:ascii="sans-serif" w:eastAsia="sans-serif" w:hAnsi="sans-serif" w:cs="sans-serif"/>
          <w:b/>
          <w:bCs/>
          <w:color w:val="000000"/>
          <w:sz w:val="18"/>
          <w:szCs w:val="18"/>
        </w:rPr>
        <w:t xml:space="preserve">Santa Clara, California 95051 </w:t>
      </w:r>
    </w:p>
    <w:p w14:paraId="19501F2E" w14:textId="77777777" w:rsidR="00BF3A3A" w:rsidRDefault="00A76802">
      <w:pPr>
        <w:jc w:val="center"/>
      </w:pPr>
      <w:r>
        <w:rPr>
          <w:rFonts w:ascii="sans-serif" w:eastAsia="sans-serif" w:hAnsi="sans-serif" w:cs="sans-serif"/>
          <w:b/>
          <w:bCs/>
          <w:color w:val="000000"/>
          <w:sz w:val="18"/>
          <w:szCs w:val="18"/>
        </w:rPr>
        <w:t xml:space="preserve">(408) 486-2000 </w:t>
      </w:r>
    </w:p>
    <w:p w14:paraId="19501F2F" w14:textId="77777777" w:rsidR="00BF3A3A" w:rsidRDefault="00A76802">
      <w:pPr>
        <w:jc w:val="center"/>
      </w:pPr>
      <w:r>
        <w:rPr>
          <w:rFonts w:ascii="sans-serif" w:eastAsia="sans-serif" w:hAnsi="sans-serif" w:cs="sans-serif"/>
          <w:b/>
          <w:bCs/>
          <w:color w:val="000000"/>
          <w:sz w:val="16"/>
          <w:szCs w:val="16"/>
        </w:rPr>
        <w:t>(Address, including zip code, and telephone number,</w:t>
      </w:r>
    </w:p>
    <w:p w14:paraId="19501F30" w14:textId="77777777" w:rsidR="00BF3A3A" w:rsidRDefault="00A76802">
      <w:pPr>
        <w:spacing w:after="180"/>
        <w:jc w:val="center"/>
      </w:pPr>
      <w:r>
        <w:rPr>
          <w:rFonts w:ascii="sans-serif" w:eastAsia="sans-serif" w:hAnsi="sans-serif" w:cs="sans-serif"/>
          <w:b/>
          <w:bCs/>
          <w:color w:val="000000"/>
          <w:sz w:val="16"/>
          <w:szCs w:val="16"/>
        </w:rPr>
        <w:t>including area code, of principal executive offices)</w:t>
      </w:r>
    </w:p>
    <w:p w14:paraId="19501F31" w14:textId="77777777" w:rsidR="00BF3A3A" w:rsidRDefault="00A76802">
      <w:pPr>
        <w:jc w:val="center"/>
      </w:pPr>
      <w:r>
        <w:rPr>
          <w:rFonts w:ascii="sans-serif" w:eastAsia="sans-serif" w:hAnsi="sans-serif" w:cs="sans-serif"/>
          <w:b/>
          <w:bCs/>
          <w:color w:val="000000"/>
          <w:sz w:val="16"/>
          <w:szCs w:val="16"/>
        </w:rPr>
        <w:t>N/A</w:t>
      </w:r>
    </w:p>
    <w:p w14:paraId="19501F32" w14:textId="77777777" w:rsidR="00BF3A3A" w:rsidRDefault="00A76802">
      <w:pPr>
        <w:spacing w:after="180"/>
        <w:jc w:val="center"/>
      </w:pPr>
      <w:r>
        <w:rPr>
          <w:rFonts w:ascii="sans-serif" w:eastAsia="sans-serif" w:hAnsi="sans-serif" w:cs="sans-serif"/>
          <w:b/>
          <w:bCs/>
          <w:color w:val="000000"/>
          <w:sz w:val="16"/>
          <w:szCs w:val="16"/>
        </w:rPr>
        <w:t>(Former name, former address and former fiscal year if changed since last report)</w:t>
      </w:r>
    </w:p>
    <w:p w14:paraId="19501F33" w14:textId="77777777" w:rsidR="00BF3A3A" w:rsidRDefault="00A76802">
      <w:pPr>
        <w:spacing w:after="180"/>
        <w:jc w:val="center"/>
      </w:pPr>
      <w:r>
        <w:rPr>
          <w:rFonts w:ascii="sans-serif" w:eastAsia="sans-serif" w:hAnsi="sans-serif" w:cs="sans-serif"/>
          <w:b/>
          <w:bCs/>
          <w:color w:val="000000"/>
          <w:sz w:val="18"/>
          <w:szCs w:val="18"/>
        </w:rPr>
        <w:t>Securities registe</w:t>
      </w:r>
      <w:r>
        <w:rPr>
          <w:rFonts w:ascii="sans-serif" w:eastAsia="sans-serif" w:hAnsi="sans-serif" w:cs="sans-serif"/>
          <w:b/>
          <w:bCs/>
          <w:color w:val="000000"/>
          <w:sz w:val="18"/>
          <w:szCs w:val="18"/>
        </w:rPr>
        <w:t>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672"/>
        <w:gridCol w:w="37"/>
        <w:gridCol w:w="69"/>
        <w:gridCol w:w="2546"/>
        <w:gridCol w:w="36"/>
        <w:gridCol w:w="70"/>
        <w:gridCol w:w="2801"/>
        <w:gridCol w:w="36"/>
      </w:tblGrid>
      <w:tr w:rsidR="00BF3A3A" w14:paraId="19501F3D" w14:textId="77777777">
        <w:trPr>
          <w:jc w:val="center"/>
        </w:trPr>
        <w:tc>
          <w:tcPr>
            <w:tcW w:w="50" w:type="pct"/>
            <w:shd w:val="clear" w:color="auto" w:fill="auto"/>
            <w:vAlign w:val="bottom"/>
          </w:tcPr>
          <w:p w14:paraId="19501F34" w14:textId="77777777" w:rsidR="00BF3A3A" w:rsidRDefault="00BF3A3A">
            <w:pPr>
              <w:rPr>
                <w:rFonts w:ascii="宋体"/>
              </w:rPr>
            </w:pPr>
          </w:p>
        </w:tc>
        <w:tc>
          <w:tcPr>
            <w:tcW w:w="1611" w:type="pct"/>
            <w:shd w:val="clear" w:color="auto" w:fill="auto"/>
            <w:vAlign w:val="bottom"/>
          </w:tcPr>
          <w:p w14:paraId="19501F35" w14:textId="77777777" w:rsidR="00BF3A3A" w:rsidRDefault="00BF3A3A">
            <w:pPr>
              <w:rPr>
                <w:rFonts w:ascii="宋体"/>
              </w:rPr>
            </w:pPr>
          </w:p>
        </w:tc>
        <w:tc>
          <w:tcPr>
            <w:tcW w:w="5" w:type="pct"/>
            <w:shd w:val="clear" w:color="auto" w:fill="auto"/>
            <w:vAlign w:val="bottom"/>
          </w:tcPr>
          <w:p w14:paraId="19501F36" w14:textId="77777777" w:rsidR="00BF3A3A" w:rsidRDefault="00BF3A3A">
            <w:pPr>
              <w:rPr>
                <w:rFonts w:ascii="宋体"/>
              </w:rPr>
            </w:pPr>
          </w:p>
        </w:tc>
        <w:tc>
          <w:tcPr>
            <w:tcW w:w="50" w:type="pct"/>
            <w:shd w:val="clear" w:color="auto" w:fill="auto"/>
            <w:vAlign w:val="bottom"/>
          </w:tcPr>
          <w:p w14:paraId="19501F37" w14:textId="77777777" w:rsidR="00BF3A3A" w:rsidRDefault="00BF3A3A">
            <w:pPr>
              <w:rPr>
                <w:rFonts w:ascii="宋体"/>
              </w:rPr>
            </w:pPr>
          </w:p>
        </w:tc>
        <w:tc>
          <w:tcPr>
            <w:tcW w:w="1535" w:type="pct"/>
            <w:shd w:val="clear" w:color="auto" w:fill="auto"/>
            <w:vAlign w:val="bottom"/>
          </w:tcPr>
          <w:p w14:paraId="19501F38" w14:textId="77777777" w:rsidR="00BF3A3A" w:rsidRDefault="00BF3A3A">
            <w:pPr>
              <w:rPr>
                <w:rFonts w:ascii="宋体"/>
              </w:rPr>
            </w:pPr>
          </w:p>
        </w:tc>
        <w:tc>
          <w:tcPr>
            <w:tcW w:w="5" w:type="pct"/>
            <w:shd w:val="clear" w:color="auto" w:fill="auto"/>
            <w:vAlign w:val="bottom"/>
          </w:tcPr>
          <w:p w14:paraId="19501F39" w14:textId="77777777" w:rsidR="00BF3A3A" w:rsidRDefault="00BF3A3A">
            <w:pPr>
              <w:rPr>
                <w:rFonts w:ascii="宋体"/>
              </w:rPr>
            </w:pPr>
          </w:p>
        </w:tc>
        <w:tc>
          <w:tcPr>
            <w:tcW w:w="50" w:type="pct"/>
            <w:shd w:val="clear" w:color="auto" w:fill="auto"/>
            <w:vAlign w:val="bottom"/>
          </w:tcPr>
          <w:p w14:paraId="19501F3A" w14:textId="77777777" w:rsidR="00BF3A3A" w:rsidRDefault="00BF3A3A">
            <w:pPr>
              <w:rPr>
                <w:rFonts w:ascii="宋体"/>
              </w:rPr>
            </w:pPr>
          </w:p>
        </w:tc>
        <w:tc>
          <w:tcPr>
            <w:tcW w:w="1688" w:type="pct"/>
            <w:shd w:val="clear" w:color="auto" w:fill="auto"/>
            <w:vAlign w:val="bottom"/>
          </w:tcPr>
          <w:p w14:paraId="19501F3B" w14:textId="77777777" w:rsidR="00BF3A3A" w:rsidRDefault="00BF3A3A">
            <w:pPr>
              <w:rPr>
                <w:rFonts w:ascii="宋体"/>
              </w:rPr>
            </w:pPr>
          </w:p>
        </w:tc>
        <w:tc>
          <w:tcPr>
            <w:tcW w:w="5" w:type="pct"/>
            <w:shd w:val="clear" w:color="auto" w:fill="auto"/>
            <w:vAlign w:val="bottom"/>
          </w:tcPr>
          <w:p w14:paraId="19501F3C" w14:textId="77777777" w:rsidR="00BF3A3A" w:rsidRDefault="00BF3A3A">
            <w:pPr>
              <w:rPr>
                <w:rFonts w:ascii="宋体"/>
              </w:rPr>
            </w:pPr>
          </w:p>
        </w:tc>
      </w:tr>
      <w:tr w:rsidR="00BF3A3A" w14:paraId="19501F41" w14:textId="77777777">
        <w:trPr>
          <w:jc w:val="center"/>
        </w:trPr>
        <w:tc>
          <w:tcPr>
            <w:tcW w:w="0" w:type="auto"/>
            <w:gridSpan w:val="3"/>
            <w:shd w:val="clear" w:color="auto" w:fill="auto"/>
            <w:tcMar>
              <w:top w:w="40" w:type="dxa"/>
              <w:left w:w="20" w:type="dxa"/>
              <w:bottom w:w="40" w:type="dxa"/>
              <w:right w:w="20" w:type="dxa"/>
            </w:tcMar>
            <w:vAlign w:val="bottom"/>
          </w:tcPr>
          <w:p w14:paraId="19501F3E" w14:textId="77777777" w:rsidR="00BF3A3A" w:rsidRDefault="00A76802">
            <w:pPr>
              <w:jc w:val="center"/>
              <w:textAlignment w:val="bottom"/>
            </w:pPr>
            <w:r>
              <w:rPr>
                <w:rFonts w:ascii="sans-serif" w:eastAsia="sans-serif" w:hAnsi="sans-serif" w:cs="sans-serif"/>
                <w:b/>
                <w:bCs/>
                <w:color w:val="000000"/>
                <w:sz w:val="18"/>
                <w:szCs w:val="18"/>
              </w:rPr>
              <w:t>Title of each class</w:t>
            </w:r>
          </w:p>
        </w:tc>
        <w:tc>
          <w:tcPr>
            <w:tcW w:w="0" w:type="auto"/>
            <w:gridSpan w:val="3"/>
            <w:shd w:val="clear" w:color="auto" w:fill="auto"/>
            <w:tcMar>
              <w:top w:w="40" w:type="dxa"/>
              <w:left w:w="20" w:type="dxa"/>
              <w:bottom w:w="40" w:type="dxa"/>
              <w:right w:w="20" w:type="dxa"/>
            </w:tcMar>
            <w:vAlign w:val="bottom"/>
          </w:tcPr>
          <w:p w14:paraId="19501F3F" w14:textId="77777777" w:rsidR="00BF3A3A" w:rsidRDefault="00A76802">
            <w:pPr>
              <w:jc w:val="center"/>
              <w:textAlignment w:val="bottom"/>
            </w:pPr>
            <w:r>
              <w:rPr>
                <w:rFonts w:ascii="sans-serif" w:eastAsia="sans-serif" w:hAnsi="sans-serif" w:cs="sans-serif"/>
                <w:b/>
                <w:bCs/>
                <w:color w:val="000000"/>
                <w:sz w:val="18"/>
                <w:szCs w:val="18"/>
              </w:rPr>
              <w:t>Trading Symbol(s)</w:t>
            </w:r>
          </w:p>
        </w:tc>
        <w:tc>
          <w:tcPr>
            <w:tcW w:w="0" w:type="auto"/>
            <w:gridSpan w:val="3"/>
            <w:shd w:val="clear" w:color="auto" w:fill="auto"/>
            <w:tcMar>
              <w:top w:w="40" w:type="dxa"/>
              <w:left w:w="20" w:type="dxa"/>
              <w:bottom w:w="40" w:type="dxa"/>
              <w:right w:w="20" w:type="dxa"/>
            </w:tcMar>
            <w:vAlign w:val="bottom"/>
          </w:tcPr>
          <w:p w14:paraId="19501F40" w14:textId="77777777" w:rsidR="00BF3A3A" w:rsidRDefault="00A76802">
            <w:pPr>
              <w:jc w:val="center"/>
              <w:textAlignment w:val="bottom"/>
            </w:pPr>
            <w:r>
              <w:rPr>
                <w:rFonts w:ascii="sans-serif" w:eastAsia="sans-serif" w:hAnsi="sans-serif" w:cs="sans-serif"/>
                <w:b/>
                <w:bCs/>
                <w:color w:val="000000"/>
                <w:sz w:val="18"/>
                <w:szCs w:val="18"/>
              </w:rPr>
              <w:t>Name of each exchange on which registered</w:t>
            </w:r>
          </w:p>
        </w:tc>
      </w:tr>
      <w:tr w:rsidR="00BF3A3A" w14:paraId="19501F45" w14:textId="77777777">
        <w:trPr>
          <w:jc w:val="center"/>
        </w:trPr>
        <w:tc>
          <w:tcPr>
            <w:tcW w:w="0" w:type="auto"/>
            <w:gridSpan w:val="3"/>
            <w:shd w:val="clear" w:color="auto" w:fill="auto"/>
            <w:tcMar>
              <w:top w:w="40" w:type="dxa"/>
              <w:left w:w="20" w:type="dxa"/>
              <w:bottom w:w="40" w:type="dxa"/>
              <w:right w:w="20" w:type="dxa"/>
            </w:tcMar>
            <w:vAlign w:val="bottom"/>
          </w:tcPr>
          <w:p w14:paraId="19501F42" w14:textId="77777777" w:rsidR="00BF3A3A" w:rsidRDefault="00A76802">
            <w:pPr>
              <w:jc w:val="center"/>
              <w:textAlignment w:val="bottom"/>
            </w:pPr>
            <w:r>
              <w:rPr>
                <w:rFonts w:ascii="sans-serif" w:eastAsia="sans-serif" w:hAnsi="sans-serif" w:cs="sans-serif"/>
                <w:color w:val="000000"/>
                <w:sz w:val="18"/>
                <w:szCs w:val="18"/>
              </w:rPr>
              <w:t>Common Stock, $0.001 par value per share</w:t>
            </w:r>
          </w:p>
        </w:tc>
        <w:tc>
          <w:tcPr>
            <w:tcW w:w="0" w:type="auto"/>
            <w:gridSpan w:val="3"/>
            <w:shd w:val="clear" w:color="auto" w:fill="auto"/>
            <w:tcMar>
              <w:top w:w="40" w:type="dxa"/>
              <w:left w:w="20" w:type="dxa"/>
              <w:bottom w:w="40" w:type="dxa"/>
              <w:right w:w="20" w:type="dxa"/>
            </w:tcMar>
            <w:vAlign w:val="bottom"/>
          </w:tcPr>
          <w:p w14:paraId="19501F43" w14:textId="77777777" w:rsidR="00BF3A3A" w:rsidRDefault="00A76802">
            <w:pPr>
              <w:jc w:val="center"/>
              <w:textAlignment w:val="bottom"/>
            </w:pPr>
            <w:r>
              <w:rPr>
                <w:rFonts w:ascii="sans-serif" w:eastAsia="sans-serif" w:hAnsi="sans-serif" w:cs="sans-serif"/>
                <w:color w:val="000000"/>
                <w:sz w:val="18"/>
                <w:szCs w:val="18"/>
              </w:rPr>
              <w:t>NVDA</w:t>
            </w:r>
          </w:p>
        </w:tc>
        <w:tc>
          <w:tcPr>
            <w:tcW w:w="0" w:type="auto"/>
            <w:gridSpan w:val="3"/>
            <w:shd w:val="clear" w:color="auto" w:fill="auto"/>
            <w:tcMar>
              <w:top w:w="40" w:type="dxa"/>
              <w:left w:w="20" w:type="dxa"/>
              <w:bottom w:w="40" w:type="dxa"/>
              <w:right w:w="20" w:type="dxa"/>
            </w:tcMar>
            <w:vAlign w:val="bottom"/>
          </w:tcPr>
          <w:p w14:paraId="19501F44" w14:textId="77777777" w:rsidR="00BF3A3A" w:rsidRDefault="00A76802">
            <w:pPr>
              <w:jc w:val="center"/>
              <w:textAlignment w:val="bottom"/>
            </w:pPr>
            <w:r>
              <w:rPr>
                <w:rFonts w:ascii="sans-serif" w:eastAsia="sans-serif" w:hAnsi="sans-serif" w:cs="sans-serif"/>
                <w:color w:val="000000"/>
                <w:sz w:val="18"/>
                <w:szCs w:val="18"/>
              </w:rPr>
              <w:t>The Nasdaq Global Select Market</w:t>
            </w:r>
          </w:p>
        </w:tc>
      </w:tr>
    </w:tbl>
    <w:p w14:paraId="19501F46" w14:textId="77777777" w:rsidR="00BF3A3A" w:rsidRDefault="00A76802">
      <w:pPr>
        <w:spacing w:after="180"/>
      </w:pPr>
      <w:r>
        <w:rPr>
          <w:rFonts w:ascii="sans-serif" w:eastAsia="sans-serif" w:hAnsi="sans-serif" w:cs="sans-serif"/>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sans-serif" w:eastAsia="sans-serif" w:hAnsi="sans-serif" w:cs="sans-serif"/>
          <w:color w:val="000000"/>
          <w:sz w:val="18"/>
          <w:szCs w:val="18"/>
        </w:rPr>
        <w:t xml:space="preserve">uch reports), and (2) has been subject to such filing requirements for the past 90 days.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19501F47" w14:textId="77777777" w:rsidR="00BF3A3A" w:rsidRDefault="00A76802">
      <w:pPr>
        <w:spacing w:after="180"/>
        <w:jc w:val="both"/>
      </w:pPr>
      <w:r>
        <w:rPr>
          <w:rFonts w:ascii="sans-serif" w:eastAsia="sans-serif" w:hAnsi="sans-serif" w:cs="sans-serif"/>
          <w:color w:val="00000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sans-serif" w:eastAsia="sans-serif" w:hAnsi="sans-serif" w:cs="sans-serif"/>
          <w:color w:val="000000"/>
          <w:sz w:val="18"/>
          <w:szCs w:val="18"/>
        </w:rPr>
        <w:t xml:space="preserve">t the registrant was required to submit such files).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19501F48" w14:textId="77777777" w:rsidR="00BF3A3A" w:rsidRDefault="00A76802">
      <w:r>
        <w:rPr>
          <w:rFonts w:ascii="sans-serif" w:eastAsia="sans-serif" w:hAnsi="sans-serif" w:cs="sans-serif"/>
          <w:color w:val="000000"/>
          <w:sz w:val="18"/>
          <w:szCs w:val="18"/>
        </w:rPr>
        <w:t>Indicate by check mark whether the registrant is a large accelerated filer, an accelerated filer, a non-accelerated filer, a smaller reporting company, or an emerging growth company. See defin</w:t>
      </w:r>
      <w:r>
        <w:rPr>
          <w:rFonts w:ascii="sans-serif" w:eastAsia="sans-serif" w:hAnsi="sans-serif" w:cs="sans-serif"/>
          <w:color w:val="000000"/>
          <w:sz w:val="18"/>
          <w:szCs w:val="18"/>
        </w:rPr>
        <w:t>itions of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51"/>
        <w:gridCol w:w="1265"/>
        <w:gridCol w:w="36"/>
        <w:gridCol w:w="37"/>
        <w:gridCol w:w="196"/>
        <w:gridCol w:w="36"/>
        <w:gridCol w:w="49"/>
        <w:gridCol w:w="1249"/>
        <w:gridCol w:w="36"/>
        <w:gridCol w:w="37"/>
        <w:gridCol w:w="196"/>
        <w:gridCol w:w="36"/>
        <w:gridCol w:w="68"/>
        <w:gridCol w:w="1231"/>
        <w:gridCol w:w="36"/>
        <w:gridCol w:w="37"/>
        <w:gridCol w:w="196"/>
        <w:gridCol w:w="36"/>
        <w:gridCol w:w="37"/>
        <w:gridCol w:w="1412"/>
        <w:gridCol w:w="36"/>
        <w:gridCol w:w="37"/>
        <w:gridCol w:w="196"/>
        <w:gridCol w:w="36"/>
        <w:gridCol w:w="37"/>
        <w:gridCol w:w="1412"/>
        <w:gridCol w:w="36"/>
        <w:gridCol w:w="37"/>
        <w:gridCol w:w="196"/>
        <w:gridCol w:w="36"/>
      </w:tblGrid>
      <w:tr w:rsidR="00BF3A3A" w14:paraId="19501F67" w14:textId="77777777">
        <w:tc>
          <w:tcPr>
            <w:tcW w:w="50" w:type="pct"/>
            <w:shd w:val="clear" w:color="auto" w:fill="auto"/>
            <w:vAlign w:val="bottom"/>
          </w:tcPr>
          <w:p w14:paraId="19501F49" w14:textId="77777777" w:rsidR="00BF3A3A" w:rsidRDefault="00BF3A3A">
            <w:pPr>
              <w:rPr>
                <w:rFonts w:ascii="宋体"/>
              </w:rPr>
            </w:pPr>
          </w:p>
        </w:tc>
        <w:tc>
          <w:tcPr>
            <w:tcW w:w="777" w:type="pct"/>
            <w:shd w:val="clear" w:color="auto" w:fill="auto"/>
            <w:vAlign w:val="bottom"/>
          </w:tcPr>
          <w:p w14:paraId="19501F4A" w14:textId="77777777" w:rsidR="00BF3A3A" w:rsidRDefault="00BF3A3A">
            <w:pPr>
              <w:rPr>
                <w:rFonts w:ascii="宋体"/>
              </w:rPr>
            </w:pPr>
          </w:p>
        </w:tc>
        <w:tc>
          <w:tcPr>
            <w:tcW w:w="5" w:type="pct"/>
            <w:shd w:val="clear" w:color="auto" w:fill="auto"/>
            <w:vAlign w:val="bottom"/>
          </w:tcPr>
          <w:p w14:paraId="19501F4B" w14:textId="77777777" w:rsidR="00BF3A3A" w:rsidRDefault="00BF3A3A">
            <w:pPr>
              <w:rPr>
                <w:rFonts w:ascii="宋体"/>
              </w:rPr>
            </w:pPr>
          </w:p>
        </w:tc>
        <w:tc>
          <w:tcPr>
            <w:tcW w:w="5" w:type="pct"/>
            <w:shd w:val="clear" w:color="auto" w:fill="auto"/>
            <w:vAlign w:val="bottom"/>
          </w:tcPr>
          <w:p w14:paraId="19501F4C" w14:textId="77777777" w:rsidR="00BF3A3A" w:rsidRDefault="00BF3A3A">
            <w:pPr>
              <w:rPr>
                <w:rFonts w:ascii="宋体"/>
              </w:rPr>
            </w:pPr>
          </w:p>
        </w:tc>
        <w:tc>
          <w:tcPr>
            <w:tcW w:w="121" w:type="pct"/>
            <w:shd w:val="clear" w:color="auto" w:fill="auto"/>
            <w:vAlign w:val="bottom"/>
          </w:tcPr>
          <w:p w14:paraId="19501F4D" w14:textId="77777777" w:rsidR="00BF3A3A" w:rsidRDefault="00BF3A3A">
            <w:pPr>
              <w:rPr>
                <w:rFonts w:ascii="宋体"/>
              </w:rPr>
            </w:pPr>
          </w:p>
        </w:tc>
        <w:tc>
          <w:tcPr>
            <w:tcW w:w="5" w:type="pct"/>
            <w:shd w:val="clear" w:color="auto" w:fill="auto"/>
            <w:vAlign w:val="bottom"/>
          </w:tcPr>
          <w:p w14:paraId="19501F4E" w14:textId="77777777" w:rsidR="00BF3A3A" w:rsidRDefault="00BF3A3A">
            <w:pPr>
              <w:rPr>
                <w:rFonts w:ascii="宋体"/>
              </w:rPr>
            </w:pPr>
          </w:p>
        </w:tc>
        <w:tc>
          <w:tcPr>
            <w:tcW w:w="50" w:type="pct"/>
            <w:shd w:val="clear" w:color="auto" w:fill="auto"/>
            <w:vAlign w:val="bottom"/>
          </w:tcPr>
          <w:p w14:paraId="19501F4F" w14:textId="77777777" w:rsidR="00BF3A3A" w:rsidRDefault="00BF3A3A">
            <w:pPr>
              <w:rPr>
                <w:rFonts w:ascii="宋体"/>
              </w:rPr>
            </w:pPr>
          </w:p>
        </w:tc>
        <w:tc>
          <w:tcPr>
            <w:tcW w:w="777" w:type="pct"/>
            <w:shd w:val="clear" w:color="auto" w:fill="auto"/>
            <w:vAlign w:val="bottom"/>
          </w:tcPr>
          <w:p w14:paraId="19501F50" w14:textId="77777777" w:rsidR="00BF3A3A" w:rsidRDefault="00BF3A3A">
            <w:pPr>
              <w:rPr>
                <w:rFonts w:ascii="宋体"/>
              </w:rPr>
            </w:pPr>
          </w:p>
        </w:tc>
        <w:tc>
          <w:tcPr>
            <w:tcW w:w="5" w:type="pct"/>
            <w:shd w:val="clear" w:color="auto" w:fill="auto"/>
            <w:vAlign w:val="bottom"/>
          </w:tcPr>
          <w:p w14:paraId="19501F51" w14:textId="77777777" w:rsidR="00BF3A3A" w:rsidRDefault="00BF3A3A">
            <w:pPr>
              <w:rPr>
                <w:rFonts w:ascii="宋体"/>
              </w:rPr>
            </w:pPr>
          </w:p>
        </w:tc>
        <w:tc>
          <w:tcPr>
            <w:tcW w:w="5" w:type="pct"/>
            <w:shd w:val="clear" w:color="auto" w:fill="auto"/>
            <w:vAlign w:val="bottom"/>
          </w:tcPr>
          <w:p w14:paraId="19501F52" w14:textId="77777777" w:rsidR="00BF3A3A" w:rsidRDefault="00BF3A3A">
            <w:pPr>
              <w:rPr>
                <w:rFonts w:ascii="宋体"/>
              </w:rPr>
            </w:pPr>
          </w:p>
        </w:tc>
        <w:tc>
          <w:tcPr>
            <w:tcW w:w="121" w:type="pct"/>
            <w:shd w:val="clear" w:color="auto" w:fill="auto"/>
            <w:vAlign w:val="bottom"/>
          </w:tcPr>
          <w:p w14:paraId="19501F53" w14:textId="77777777" w:rsidR="00BF3A3A" w:rsidRDefault="00BF3A3A">
            <w:pPr>
              <w:rPr>
                <w:rFonts w:ascii="宋体"/>
              </w:rPr>
            </w:pPr>
          </w:p>
        </w:tc>
        <w:tc>
          <w:tcPr>
            <w:tcW w:w="5" w:type="pct"/>
            <w:shd w:val="clear" w:color="auto" w:fill="auto"/>
            <w:vAlign w:val="bottom"/>
          </w:tcPr>
          <w:p w14:paraId="19501F54" w14:textId="77777777" w:rsidR="00BF3A3A" w:rsidRDefault="00BF3A3A">
            <w:pPr>
              <w:rPr>
                <w:rFonts w:ascii="宋体"/>
              </w:rPr>
            </w:pPr>
          </w:p>
        </w:tc>
        <w:tc>
          <w:tcPr>
            <w:tcW w:w="50" w:type="pct"/>
            <w:shd w:val="clear" w:color="auto" w:fill="auto"/>
            <w:vAlign w:val="bottom"/>
          </w:tcPr>
          <w:p w14:paraId="19501F55" w14:textId="77777777" w:rsidR="00BF3A3A" w:rsidRDefault="00BF3A3A">
            <w:pPr>
              <w:rPr>
                <w:rFonts w:ascii="宋体"/>
              </w:rPr>
            </w:pPr>
          </w:p>
        </w:tc>
        <w:tc>
          <w:tcPr>
            <w:tcW w:w="777" w:type="pct"/>
            <w:shd w:val="clear" w:color="auto" w:fill="auto"/>
            <w:vAlign w:val="bottom"/>
          </w:tcPr>
          <w:p w14:paraId="19501F56" w14:textId="77777777" w:rsidR="00BF3A3A" w:rsidRDefault="00BF3A3A">
            <w:pPr>
              <w:rPr>
                <w:rFonts w:ascii="宋体"/>
              </w:rPr>
            </w:pPr>
          </w:p>
        </w:tc>
        <w:tc>
          <w:tcPr>
            <w:tcW w:w="5" w:type="pct"/>
            <w:shd w:val="clear" w:color="auto" w:fill="auto"/>
            <w:vAlign w:val="bottom"/>
          </w:tcPr>
          <w:p w14:paraId="19501F57" w14:textId="77777777" w:rsidR="00BF3A3A" w:rsidRDefault="00BF3A3A">
            <w:pPr>
              <w:rPr>
                <w:rFonts w:ascii="宋体"/>
              </w:rPr>
            </w:pPr>
          </w:p>
        </w:tc>
        <w:tc>
          <w:tcPr>
            <w:tcW w:w="5" w:type="pct"/>
            <w:shd w:val="clear" w:color="auto" w:fill="auto"/>
            <w:vAlign w:val="bottom"/>
          </w:tcPr>
          <w:p w14:paraId="19501F58" w14:textId="77777777" w:rsidR="00BF3A3A" w:rsidRDefault="00BF3A3A">
            <w:pPr>
              <w:rPr>
                <w:rFonts w:ascii="宋体"/>
              </w:rPr>
            </w:pPr>
          </w:p>
        </w:tc>
        <w:tc>
          <w:tcPr>
            <w:tcW w:w="121" w:type="pct"/>
            <w:shd w:val="clear" w:color="auto" w:fill="auto"/>
            <w:vAlign w:val="bottom"/>
          </w:tcPr>
          <w:p w14:paraId="19501F59" w14:textId="77777777" w:rsidR="00BF3A3A" w:rsidRDefault="00BF3A3A">
            <w:pPr>
              <w:rPr>
                <w:rFonts w:ascii="宋体"/>
              </w:rPr>
            </w:pPr>
          </w:p>
        </w:tc>
        <w:tc>
          <w:tcPr>
            <w:tcW w:w="5" w:type="pct"/>
            <w:shd w:val="clear" w:color="auto" w:fill="auto"/>
            <w:vAlign w:val="bottom"/>
          </w:tcPr>
          <w:p w14:paraId="19501F5A" w14:textId="77777777" w:rsidR="00BF3A3A" w:rsidRDefault="00BF3A3A">
            <w:pPr>
              <w:rPr>
                <w:rFonts w:ascii="宋体"/>
              </w:rPr>
            </w:pPr>
          </w:p>
        </w:tc>
        <w:tc>
          <w:tcPr>
            <w:tcW w:w="50" w:type="pct"/>
            <w:shd w:val="clear" w:color="auto" w:fill="auto"/>
            <w:vAlign w:val="bottom"/>
          </w:tcPr>
          <w:p w14:paraId="19501F5B" w14:textId="77777777" w:rsidR="00BF3A3A" w:rsidRDefault="00BF3A3A">
            <w:pPr>
              <w:rPr>
                <w:rFonts w:ascii="宋体"/>
              </w:rPr>
            </w:pPr>
          </w:p>
        </w:tc>
        <w:tc>
          <w:tcPr>
            <w:tcW w:w="867" w:type="pct"/>
            <w:shd w:val="clear" w:color="auto" w:fill="auto"/>
            <w:vAlign w:val="bottom"/>
          </w:tcPr>
          <w:p w14:paraId="19501F5C" w14:textId="77777777" w:rsidR="00BF3A3A" w:rsidRDefault="00BF3A3A">
            <w:pPr>
              <w:rPr>
                <w:rFonts w:ascii="宋体"/>
              </w:rPr>
            </w:pPr>
          </w:p>
        </w:tc>
        <w:tc>
          <w:tcPr>
            <w:tcW w:w="5" w:type="pct"/>
            <w:shd w:val="clear" w:color="auto" w:fill="auto"/>
            <w:vAlign w:val="bottom"/>
          </w:tcPr>
          <w:p w14:paraId="19501F5D" w14:textId="77777777" w:rsidR="00BF3A3A" w:rsidRDefault="00BF3A3A">
            <w:pPr>
              <w:rPr>
                <w:rFonts w:ascii="宋体"/>
              </w:rPr>
            </w:pPr>
          </w:p>
        </w:tc>
        <w:tc>
          <w:tcPr>
            <w:tcW w:w="5" w:type="pct"/>
            <w:shd w:val="clear" w:color="auto" w:fill="auto"/>
            <w:vAlign w:val="bottom"/>
          </w:tcPr>
          <w:p w14:paraId="19501F5E" w14:textId="77777777" w:rsidR="00BF3A3A" w:rsidRDefault="00BF3A3A">
            <w:pPr>
              <w:rPr>
                <w:rFonts w:ascii="宋体"/>
              </w:rPr>
            </w:pPr>
          </w:p>
        </w:tc>
        <w:tc>
          <w:tcPr>
            <w:tcW w:w="121" w:type="pct"/>
            <w:shd w:val="clear" w:color="auto" w:fill="auto"/>
            <w:vAlign w:val="bottom"/>
          </w:tcPr>
          <w:p w14:paraId="19501F5F" w14:textId="77777777" w:rsidR="00BF3A3A" w:rsidRDefault="00BF3A3A">
            <w:pPr>
              <w:rPr>
                <w:rFonts w:ascii="宋体"/>
              </w:rPr>
            </w:pPr>
          </w:p>
        </w:tc>
        <w:tc>
          <w:tcPr>
            <w:tcW w:w="5" w:type="pct"/>
            <w:shd w:val="clear" w:color="auto" w:fill="auto"/>
            <w:vAlign w:val="bottom"/>
          </w:tcPr>
          <w:p w14:paraId="19501F60" w14:textId="77777777" w:rsidR="00BF3A3A" w:rsidRDefault="00BF3A3A">
            <w:pPr>
              <w:rPr>
                <w:rFonts w:ascii="宋体"/>
              </w:rPr>
            </w:pPr>
          </w:p>
        </w:tc>
        <w:tc>
          <w:tcPr>
            <w:tcW w:w="50" w:type="pct"/>
            <w:shd w:val="clear" w:color="auto" w:fill="auto"/>
            <w:vAlign w:val="bottom"/>
          </w:tcPr>
          <w:p w14:paraId="19501F61" w14:textId="77777777" w:rsidR="00BF3A3A" w:rsidRDefault="00BF3A3A">
            <w:pPr>
              <w:rPr>
                <w:rFonts w:ascii="宋体"/>
              </w:rPr>
            </w:pPr>
          </w:p>
        </w:tc>
        <w:tc>
          <w:tcPr>
            <w:tcW w:w="867" w:type="pct"/>
            <w:shd w:val="clear" w:color="auto" w:fill="auto"/>
            <w:vAlign w:val="bottom"/>
          </w:tcPr>
          <w:p w14:paraId="19501F62" w14:textId="77777777" w:rsidR="00BF3A3A" w:rsidRDefault="00BF3A3A">
            <w:pPr>
              <w:rPr>
                <w:rFonts w:ascii="宋体"/>
              </w:rPr>
            </w:pPr>
          </w:p>
        </w:tc>
        <w:tc>
          <w:tcPr>
            <w:tcW w:w="5" w:type="pct"/>
            <w:shd w:val="clear" w:color="auto" w:fill="auto"/>
            <w:vAlign w:val="bottom"/>
          </w:tcPr>
          <w:p w14:paraId="19501F63" w14:textId="77777777" w:rsidR="00BF3A3A" w:rsidRDefault="00BF3A3A">
            <w:pPr>
              <w:rPr>
                <w:rFonts w:ascii="宋体"/>
              </w:rPr>
            </w:pPr>
          </w:p>
        </w:tc>
        <w:tc>
          <w:tcPr>
            <w:tcW w:w="5" w:type="pct"/>
            <w:shd w:val="clear" w:color="auto" w:fill="auto"/>
            <w:vAlign w:val="bottom"/>
          </w:tcPr>
          <w:p w14:paraId="19501F64" w14:textId="77777777" w:rsidR="00BF3A3A" w:rsidRDefault="00BF3A3A">
            <w:pPr>
              <w:rPr>
                <w:rFonts w:ascii="宋体"/>
              </w:rPr>
            </w:pPr>
          </w:p>
        </w:tc>
        <w:tc>
          <w:tcPr>
            <w:tcW w:w="121" w:type="pct"/>
            <w:shd w:val="clear" w:color="auto" w:fill="auto"/>
            <w:vAlign w:val="bottom"/>
          </w:tcPr>
          <w:p w14:paraId="19501F65" w14:textId="77777777" w:rsidR="00BF3A3A" w:rsidRDefault="00BF3A3A">
            <w:pPr>
              <w:rPr>
                <w:rFonts w:ascii="宋体"/>
              </w:rPr>
            </w:pPr>
          </w:p>
        </w:tc>
        <w:tc>
          <w:tcPr>
            <w:tcW w:w="5" w:type="pct"/>
            <w:shd w:val="clear" w:color="auto" w:fill="auto"/>
            <w:vAlign w:val="bottom"/>
          </w:tcPr>
          <w:p w14:paraId="19501F66" w14:textId="77777777" w:rsidR="00BF3A3A" w:rsidRDefault="00BF3A3A">
            <w:pPr>
              <w:rPr>
                <w:rFonts w:ascii="宋体"/>
              </w:rPr>
            </w:pPr>
          </w:p>
        </w:tc>
      </w:tr>
      <w:tr w:rsidR="00BF3A3A" w14:paraId="19501F72" w14:textId="77777777">
        <w:tc>
          <w:tcPr>
            <w:tcW w:w="0" w:type="auto"/>
            <w:gridSpan w:val="3"/>
            <w:shd w:val="clear" w:color="auto" w:fill="auto"/>
            <w:tcMar>
              <w:top w:w="40" w:type="dxa"/>
              <w:left w:w="20" w:type="dxa"/>
              <w:bottom w:w="40" w:type="dxa"/>
              <w:right w:w="20" w:type="dxa"/>
            </w:tcMar>
            <w:vAlign w:val="bottom"/>
          </w:tcPr>
          <w:p w14:paraId="19501F68" w14:textId="77777777" w:rsidR="00BF3A3A" w:rsidRDefault="00A76802">
            <w:pPr>
              <w:jc w:val="center"/>
              <w:textAlignment w:val="bottom"/>
            </w:pPr>
            <w:r>
              <w:rPr>
                <w:rFonts w:ascii="sans-serif" w:eastAsia="sans-serif" w:hAnsi="sans-serif" w:cs="sans-serif"/>
                <w:color w:val="000000"/>
                <w:sz w:val="16"/>
                <w:szCs w:val="16"/>
              </w:rPr>
              <w:lastRenderedPageBreak/>
              <w:t>Large accelerated filer</w:t>
            </w:r>
          </w:p>
        </w:tc>
        <w:tc>
          <w:tcPr>
            <w:tcW w:w="0" w:type="auto"/>
            <w:gridSpan w:val="3"/>
            <w:shd w:val="clear" w:color="auto" w:fill="auto"/>
            <w:tcMar>
              <w:top w:w="40" w:type="dxa"/>
              <w:left w:w="20" w:type="dxa"/>
              <w:bottom w:w="40" w:type="dxa"/>
              <w:right w:w="20" w:type="dxa"/>
            </w:tcMar>
            <w:vAlign w:val="bottom"/>
          </w:tcPr>
          <w:p w14:paraId="19501F69" w14:textId="77777777" w:rsidR="00BF3A3A" w:rsidRDefault="00A76802">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19501F6A" w14:textId="77777777" w:rsidR="00BF3A3A" w:rsidRDefault="00A76802">
            <w:pPr>
              <w:jc w:val="center"/>
              <w:textAlignment w:val="bottom"/>
            </w:pPr>
            <w:r>
              <w:rPr>
                <w:rFonts w:ascii="sans-serif" w:eastAsia="sans-serif" w:hAnsi="sans-serif" w:cs="sans-serif"/>
                <w:color w:val="000000"/>
                <w:sz w:val="16"/>
                <w:szCs w:val="16"/>
              </w:rPr>
              <w:t>Accelerated filer</w:t>
            </w:r>
          </w:p>
        </w:tc>
        <w:tc>
          <w:tcPr>
            <w:tcW w:w="0" w:type="auto"/>
            <w:gridSpan w:val="3"/>
            <w:shd w:val="clear" w:color="auto" w:fill="auto"/>
            <w:tcMar>
              <w:top w:w="40" w:type="dxa"/>
              <w:left w:w="20" w:type="dxa"/>
              <w:bottom w:w="40" w:type="dxa"/>
              <w:right w:w="20" w:type="dxa"/>
            </w:tcMar>
            <w:vAlign w:val="bottom"/>
          </w:tcPr>
          <w:p w14:paraId="19501F6B" w14:textId="77777777" w:rsidR="00BF3A3A" w:rsidRDefault="00A76802">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19501F6C" w14:textId="77777777" w:rsidR="00BF3A3A" w:rsidRDefault="00A76802">
            <w:pPr>
              <w:jc w:val="center"/>
              <w:textAlignment w:val="bottom"/>
            </w:pPr>
            <w:r>
              <w:rPr>
                <w:rFonts w:ascii="sans-serif" w:eastAsia="sans-serif" w:hAnsi="sans-serif" w:cs="sans-serif"/>
                <w:color w:val="000000"/>
                <w:sz w:val="16"/>
                <w:szCs w:val="16"/>
              </w:rPr>
              <w:t>Non-accelerated filer</w:t>
            </w:r>
          </w:p>
        </w:tc>
        <w:tc>
          <w:tcPr>
            <w:tcW w:w="0" w:type="auto"/>
            <w:gridSpan w:val="3"/>
            <w:shd w:val="clear" w:color="auto" w:fill="auto"/>
            <w:tcMar>
              <w:top w:w="40" w:type="dxa"/>
              <w:left w:w="20" w:type="dxa"/>
              <w:bottom w:w="40" w:type="dxa"/>
              <w:right w:w="20" w:type="dxa"/>
            </w:tcMar>
            <w:vAlign w:val="bottom"/>
          </w:tcPr>
          <w:p w14:paraId="19501F6D" w14:textId="77777777" w:rsidR="00BF3A3A" w:rsidRDefault="00A76802">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19501F6E" w14:textId="77777777" w:rsidR="00BF3A3A" w:rsidRDefault="00A76802">
            <w:pPr>
              <w:jc w:val="center"/>
              <w:textAlignment w:val="bottom"/>
            </w:pPr>
            <w:r>
              <w:rPr>
                <w:rFonts w:ascii="sans-serif" w:eastAsia="sans-serif" w:hAnsi="sans-serif" w:cs="sans-serif"/>
                <w:color w:val="000000"/>
                <w:sz w:val="16"/>
                <w:szCs w:val="16"/>
              </w:rPr>
              <w:t>Smaller reporting company</w:t>
            </w:r>
          </w:p>
        </w:tc>
        <w:tc>
          <w:tcPr>
            <w:tcW w:w="0" w:type="auto"/>
            <w:gridSpan w:val="3"/>
            <w:shd w:val="clear" w:color="auto" w:fill="auto"/>
            <w:tcMar>
              <w:top w:w="40" w:type="dxa"/>
              <w:left w:w="20" w:type="dxa"/>
              <w:bottom w:w="40" w:type="dxa"/>
              <w:right w:w="20" w:type="dxa"/>
            </w:tcMar>
            <w:vAlign w:val="bottom"/>
          </w:tcPr>
          <w:p w14:paraId="19501F6F" w14:textId="77777777" w:rsidR="00BF3A3A" w:rsidRDefault="00A76802">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19501F70" w14:textId="77777777" w:rsidR="00BF3A3A" w:rsidRDefault="00A76802">
            <w:pPr>
              <w:jc w:val="center"/>
              <w:textAlignment w:val="bottom"/>
            </w:pPr>
            <w:r>
              <w:rPr>
                <w:rFonts w:ascii="sans-serif" w:eastAsia="sans-serif" w:hAnsi="sans-serif" w:cs="sans-serif"/>
                <w:color w:val="000000"/>
                <w:sz w:val="16"/>
                <w:szCs w:val="16"/>
              </w:rPr>
              <w:t>Emerging growth company</w:t>
            </w:r>
          </w:p>
        </w:tc>
        <w:tc>
          <w:tcPr>
            <w:tcW w:w="0" w:type="auto"/>
            <w:gridSpan w:val="3"/>
            <w:shd w:val="clear" w:color="auto" w:fill="auto"/>
            <w:tcMar>
              <w:top w:w="40" w:type="dxa"/>
              <w:left w:w="20" w:type="dxa"/>
              <w:bottom w:w="40" w:type="dxa"/>
              <w:right w:w="20" w:type="dxa"/>
            </w:tcMar>
            <w:vAlign w:val="bottom"/>
          </w:tcPr>
          <w:p w14:paraId="19501F71" w14:textId="77777777" w:rsidR="00BF3A3A" w:rsidRDefault="00A76802">
            <w:pPr>
              <w:jc w:val="center"/>
              <w:textAlignment w:val="bottom"/>
            </w:pPr>
            <w:r>
              <w:rPr>
                <w:rFonts w:ascii="Times New Roman" w:eastAsia="宋体" w:hAnsi="Times New Roman"/>
                <w:color w:val="000000"/>
                <w:sz w:val="20"/>
                <w:szCs w:val="20"/>
              </w:rPr>
              <w:t>☐</w:t>
            </w:r>
          </w:p>
        </w:tc>
      </w:tr>
    </w:tbl>
    <w:p w14:paraId="19501F73" w14:textId="77777777" w:rsidR="00BF3A3A" w:rsidRDefault="00A76802">
      <w:pPr>
        <w:spacing w:after="180"/>
        <w:jc w:val="both"/>
      </w:pPr>
      <w:r>
        <w:rPr>
          <w:rFonts w:ascii="sans-serif" w:eastAsia="sans-serif" w:hAnsi="sans-serif" w:cs="sans-serif"/>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Times New Roman" w:eastAsia="宋体" w:hAnsi="Times New Roman"/>
          <w:color w:val="000000"/>
          <w:sz w:val="20"/>
          <w:szCs w:val="20"/>
        </w:rPr>
        <w:t>☐</w:t>
      </w:r>
    </w:p>
    <w:p w14:paraId="19501F74" w14:textId="77777777" w:rsidR="00BF3A3A" w:rsidRDefault="00A76802">
      <w:pPr>
        <w:spacing w:after="180"/>
        <w:jc w:val="both"/>
      </w:pPr>
      <w:r>
        <w:rPr>
          <w:rFonts w:ascii="sans-serif" w:eastAsia="sans-serif" w:hAnsi="sans-serif" w:cs="sans-serif"/>
          <w:color w:val="000000"/>
          <w:sz w:val="18"/>
          <w:szCs w:val="18"/>
        </w:rPr>
        <w:t>Ind</w:t>
      </w:r>
      <w:r>
        <w:rPr>
          <w:rFonts w:ascii="sans-serif" w:eastAsia="sans-serif" w:hAnsi="sans-serif" w:cs="sans-serif"/>
          <w:color w:val="000000"/>
          <w:sz w:val="18"/>
          <w:szCs w:val="18"/>
        </w:rPr>
        <w:t xml:space="preserve">icate by check mark whether the registrant is a shell company (as defined in Rule 12b-2 of the Exchange Act). Yes </w:t>
      </w:r>
      <w:r>
        <w:rPr>
          <w:rFonts w:ascii="Times New Roman" w:eastAsia="宋体" w:hAnsi="Times New Roman"/>
          <w:color w:val="000000"/>
          <w:sz w:val="20"/>
          <w:szCs w:val="20"/>
        </w:rPr>
        <w:t>☐</w:t>
      </w:r>
      <w:r>
        <w:rPr>
          <w:rFonts w:ascii="sans-serif" w:eastAsia="sans-serif" w:hAnsi="sans-serif" w:cs="sans-serif"/>
          <w:color w:val="000000"/>
          <w:sz w:val="18"/>
          <w:szCs w:val="18"/>
        </w:rPr>
        <w:t xml:space="preserve"> No </w:t>
      </w:r>
      <w:r>
        <w:rPr>
          <w:rFonts w:ascii="Times New Roman" w:eastAsia="宋体" w:hAnsi="Times New Roman"/>
          <w:color w:val="000000"/>
          <w:sz w:val="20"/>
          <w:szCs w:val="20"/>
        </w:rPr>
        <w:t>☒</w:t>
      </w:r>
    </w:p>
    <w:p w14:paraId="19501F75" w14:textId="77777777" w:rsidR="00BF3A3A" w:rsidRDefault="00A76802">
      <w:pPr>
        <w:jc w:val="both"/>
      </w:pPr>
      <w:r>
        <w:rPr>
          <w:rFonts w:ascii="sans-serif" w:eastAsia="sans-serif" w:hAnsi="sans-serif" w:cs="sans-serif"/>
          <w:color w:val="000000"/>
          <w:sz w:val="18"/>
          <w:szCs w:val="18"/>
        </w:rPr>
        <w:t>The number of shares of common stock, $0.001 par value, outstanding as of August 19, 2022, was 2.49 billion.</w:t>
      </w:r>
    </w:p>
    <w:p w14:paraId="19501F76" w14:textId="77777777" w:rsidR="00BF3A3A" w:rsidRDefault="00BF3A3A">
      <w:pPr>
        <w:spacing w:after="180"/>
        <w:jc w:val="both"/>
      </w:pPr>
    </w:p>
    <w:p w14:paraId="19501F77" w14:textId="77777777" w:rsidR="00BF3A3A" w:rsidRDefault="00A76802">
      <w:r>
        <w:pict w14:anchorId="19503FC6">
          <v:rect id="_x0000_i1025" style="width:415.3pt;height:1.5pt" o:hralign="center" o:hrstd="t" o:hr="t" fillcolor="#a0a0a0" stroked="f"/>
        </w:pict>
      </w:r>
    </w:p>
    <w:p w14:paraId="19501F78" w14:textId="77777777" w:rsidR="00BF3A3A" w:rsidRDefault="00BF3A3A">
      <w:pPr>
        <w:spacing w:after="180"/>
        <w:jc w:val="both"/>
      </w:pPr>
    </w:p>
    <w:p w14:paraId="19501F79" w14:textId="77777777" w:rsidR="00BF3A3A" w:rsidRDefault="00A76802">
      <w:pPr>
        <w:jc w:val="center"/>
      </w:pPr>
      <w:r>
        <w:rPr>
          <w:rFonts w:ascii="sans-serif" w:eastAsia="sans-serif" w:hAnsi="sans-serif" w:cs="sans-serif"/>
          <w:b/>
          <w:bCs/>
          <w:color w:val="000000"/>
          <w:sz w:val="20"/>
          <w:szCs w:val="20"/>
        </w:rPr>
        <w:t xml:space="preserve">NVIDIA </w:t>
      </w:r>
      <w:r>
        <w:rPr>
          <w:rFonts w:ascii="sans-serif" w:eastAsia="sans-serif" w:hAnsi="sans-serif" w:cs="sans-serif"/>
          <w:b/>
          <w:bCs/>
          <w:color w:val="000000"/>
          <w:sz w:val="20"/>
          <w:szCs w:val="20"/>
        </w:rPr>
        <w:t>CORPORATION</w:t>
      </w:r>
    </w:p>
    <w:p w14:paraId="19501F7A" w14:textId="77777777" w:rsidR="00BF3A3A" w:rsidRDefault="00A76802">
      <w:pPr>
        <w:jc w:val="center"/>
      </w:pPr>
      <w:r>
        <w:rPr>
          <w:rFonts w:ascii="sans-serif" w:eastAsia="sans-serif" w:hAnsi="sans-serif" w:cs="sans-serif"/>
          <w:b/>
          <w:bCs/>
          <w:color w:val="000000"/>
          <w:sz w:val="20"/>
          <w:szCs w:val="20"/>
        </w:rPr>
        <w:t>FORM 10-Q</w:t>
      </w:r>
    </w:p>
    <w:p w14:paraId="19501F7B" w14:textId="77777777" w:rsidR="00BF3A3A" w:rsidRDefault="00A76802">
      <w:pPr>
        <w:spacing w:after="180"/>
        <w:jc w:val="center"/>
      </w:pPr>
      <w:r>
        <w:rPr>
          <w:rFonts w:ascii="sans-serif" w:eastAsia="sans-serif" w:hAnsi="sans-serif" w:cs="sans-serif"/>
          <w:b/>
          <w:bCs/>
          <w:color w:val="000000"/>
          <w:sz w:val="20"/>
          <w:szCs w:val="20"/>
        </w:rPr>
        <w:t xml:space="preserve">FOR THE QUARTER ENDED July 31, 2022 </w:t>
      </w:r>
    </w:p>
    <w:p w14:paraId="19501F7C" w14:textId="77777777" w:rsidR="00BF3A3A" w:rsidRDefault="00A76802">
      <w:pPr>
        <w:jc w:val="center"/>
      </w:pPr>
      <w:r>
        <w:rPr>
          <w:rFonts w:ascii="sans-serif" w:eastAsia="sans-serif" w:hAnsi="sans-serif" w:cs="sans-serif"/>
          <w:b/>
          <w:bCs/>
          <w:color w:val="000000"/>
          <w:sz w:val="20"/>
          <w:szCs w:val="20"/>
        </w:rPr>
        <w:t>TABLE OF CONTENTS</w:t>
      </w:r>
    </w:p>
    <w:tbl>
      <w:tblPr>
        <w:tblW w:w="4920" w:type="pct"/>
        <w:jc w:val="center"/>
        <w:tblCellMar>
          <w:top w:w="15" w:type="dxa"/>
          <w:left w:w="15" w:type="dxa"/>
          <w:bottom w:w="15" w:type="dxa"/>
          <w:right w:w="15" w:type="dxa"/>
        </w:tblCellMar>
        <w:tblLook w:val="04A0" w:firstRow="1" w:lastRow="0" w:firstColumn="1" w:lastColumn="0" w:noHBand="0" w:noVBand="1"/>
      </w:tblPr>
      <w:tblGrid>
        <w:gridCol w:w="82"/>
        <w:gridCol w:w="725"/>
        <w:gridCol w:w="36"/>
        <w:gridCol w:w="61"/>
        <w:gridCol w:w="6632"/>
        <w:gridCol w:w="36"/>
        <w:gridCol w:w="61"/>
        <w:gridCol w:w="534"/>
        <w:gridCol w:w="36"/>
      </w:tblGrid>
      <w:tr w:rsidR="00BF3A3A" w14:paraId="19501F86" w14:textId="77777777">
        <w:trPr>
          <w:jc w:val="center"/>
        </w:trPr>
        <w:tc>
          <w:tcPr>
            <w:tcW w:w="50" w:type="pct"/>
            <w:shd w:val="clear" w:color="auto" w:fill="auto"/>
            <w:vAlign w:val="bottom"/>
          </w:tcPr>
          <w:p w14:paraId="19501F7D" w14:textId="77777777" w:rsidR="00BF3A3A" w:rsidRDefault="00BF3A3A">
            <w:pPr>
              <w:rPr>
                <w:rFonts w:ascii="宋体"/>
              </w:rPr>
            </w:pPr>
          </w:p>
        </w:tc>
        <w:tc>
          <w:tcPr>
            <w:tcW w:w="442" w:type="pct"/>
            <w:shd w:val="clear" w:color="auto" w:fill="auto"/>
            <w:vAlign w:val="bottom"/>
          </w:tcPr>
          <w:p w14:paraId="19501F7E" w14:textId="77777777" w:rsidR="00BF3A3A" w:rsidRDefault="00BF3A3A">
            <w:pPr>
              <w:rPr>
                <w:rFonts w:ascii="宋体"/>
              </w:rPr>
            </w:pPr>
          </w:p>
        </w:tc>
        <w:tc>
          <w:tcPr>
            <w:tcW w:w="5" w:type="pct"/>
            <w:shd w:val="clear" w:color="auto" w:fill="auto"/>
            <w:vAlign w:val="bottom"/>
          </w:tcPr>
          <w:p w14:paraId="19501F7F" w14:textId="77777777" w:rsidR="00BF3A3A" w:rsidRDefault="00BF3A3A">
            <w:pPr>
              <w:rPr>
                <w:rFonts w:ascii="宋体"/>
              </w:rPr>
            </w:pPr>
          </w:p>
        </w:tc>
        <w:tc>
          <w:tcPr>
            <w:tcW w:w="50" w:type="pct"/>
            <w:shd w:val="clear" w:color="auto" w:fill="auto"/>
            <w:vAlign w:val="bottom"/>
          </w:tcPr>
          <w:p w14:paraId="19501F80" w14:textId="77777777" w:rsidR="00BF3A3A" w:rsidRDefault="00BF3A3A">
            <w:pPr>
              <w:rPr>
                <w:rFonts w:ascii="宋体"/>
              </w:rPr>
            </w:pPr>
          </w:p>
        </w:tc>
        <w:tc>
          <w:tcPr>
            <w:tcW w:w="4053" w:type="pct"/>
            <w:shd w:val="clear" w:color="auto" w:fill="auto"/>
            <w:vAlign w:val="bottom"/>
          </w:tcPr>
          <w:p w14:paraId="19501F81" w14:textId="77777777" w:rsidR="00BF3A3A" w:rsidRDefault="00BF3A3A">
            <w:pPr>
              <w:rPr>
                <w:rFonts w:ascii="宋体"/>
              </w:rPr>
            </w:pPr>
          </w:p>
        </w:tc>
        <w:tc>
          <w:tcPr>
            <w:tcW w:w="5" w:type="pct"/>
            <w:shd w:val="clear" w:color="auto" w:fill="auto"/>
            <w:vAlign w:val="bottom"/>
          </w:tcPr>
          <w:p w14:paraId="19501F82" w14:textId="77777777" w:rsidR="00BF3A3A" w:rsidRDefault="00BF3A3A">
            <w:pPr>
              <w:rPr>
                <w:rFonts w:ascii="宋体"/>
              </w:rPr>
            </w:pPr>
          </w:p>
        </w:tc>
        <w:tc>
          <w:tcPr>
            <w:tcW w:w="50" w:type="pct"/>
            <w:shd w:val="clear" w:color="auto" w:fill="auto"/>
            <w:vAlign w:val="bottom"/>
          </w:tcPr>
          <w:p w14:paraId="19501F83" w14:textId="77777777" w:rsidR="00BF3A3A" w:rsidRDefault="00BF3A3A">
            <w:pPr>
              <w:rPr>
                <w:rFonts w:ascii="宋体"/>
              </w:rPr>
            </w:pPr>
          </w:p>
        </w:tc>
        <w:tc>
          <w:tcPr>
            <w:tcW w:w="338" w:type="pct"/>
            <w:shd w:val="clear" w:color="auto" w:fill="auto"/>
            <w:vAlign w:val="bottom"/>
          </w:tcPr>
          <w:p w14:paraId="19501F84" w14:textId="77777777" w:rsidR="00BF3A3A" w:rsidRDefault="00BF3A3A">
            <w:pPr>
              <w:rPr>
                <w:rFonts w:ascii="宋体"/>
              </w:rPr>
            </w:pPr>
          </w:p>
        </w:tc>
        <w:tc>
          <w:tcPr>
            <w:tcW w:w="5" w:type="pct"/>
            <w:shd w:val="clear" w:color="auto" w:fill="auto"/>
            <w:vAlign w:val="bottom"/>
          </w:tcPr>
          <w:p w14:paraId="19501F85" w14:textId="77777777" w:rsidR="00BF3A3A" w:rsidRDefault="00BF3A3A">
            <w:pPr>
              <w:rPr>
                <w:rFonts w:ascii="宋体"/>
              </w:rPr>
            </w:pPr>
          </w:p>
        </w:tc>
      </w:tr>
      <w:tr w:rsidR="00BF3A3A" w14:paraId="19501F8A" w14:textId="77777777">
        <w:trPr>
          <w:jc w:val="center"/>
        </w:trPr>
        <w:tc>
          <w:tcPr>
            <w:tcW w:w="0" w:type="auto"/>
            <w:gridSpan w:val="3"/>
            <w:shd w:val="clear" w:color="auto" w:fill="auto"/>
            <w:tcMar>
              <w:top w:w="40" w:type="dxa"/>
              <w:left w:w="20" w:type="dxa"/>
              <w:bottom w:w="40" w:type="dxa"/>
              <w:right w:w="20" w:type="dxa"/>
            </w:tcMar>
            <w:vAlign w:val="bottom"/>
          </w:tcPr>
          <w:p w14:paraId="19501F87"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9501F88"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9501F89" w14:textId="77777777" w:rsidR="00BF3A3A" w:rsidRDefault="00A76802">
            <w:pPr>
              <w:jc w:val="right"/>
              <w:textAlignment w:val="bottom"/>
            </w:pPr>
            <w:r>
              <w:rPr>
                <w:rFonts w:ascii="sans-serif" w:eastAsia="sans-serif" w:hAnsi="sans-serif" w:cs="sans-serif"/>
                <w:b/>
                <w:bCs/>
                <w:color w:val="000000"/>
                <w:sz w:val="20"/>
                <w:szCs w:val="20"/>
              </w:rPr>
              <w:t>Page</w:t>
            </w:r>
          </w:p>
        </w:tc>
      </w:tr>
      <w:tr w:rsidR="00BF3A3A" w14:paraId="19501F8E" w14:textId="77777777">
        <w:trPr>
          <w:jc w:val="center"/>
        </w:trPr>
        <w:tc>
          <w:tcPr>
            <w:tcW w:w="0" w:type="auto"/>
            <w:gridSpan w:val="3"/>
            <w:shd w:val="clear" w:color="auto" w:fill="auto"/>
            <w:tcMar>
              <w:top w:w="40" w:type="dxa"/>
              <w:left w:w="20" w:type="dxa"/>
              <w:bottom w:w="40" w:type="dxa"/>
              <w:right w:w="20" w:type="dxa"/>
            </w:tcMar>
            <w:vAlign w:val="bottom"/>
          </w:tcPr>
          <w:p w14:paraId="19501F8B"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9501F8C" w14:textId="77777777" w:rsidR="00BF3A3A" w:rsidRDefault="00A76802">
            <w:pPr>
              <w:jc w:val="center"/>
              <w:textAlignment w:val="bottom"/>
            </w:pPr>
            <w:hyperlink r:id="rId7" w:anchor="iddff599c684c453992c7d11bd14caa14_10" w:history="1">
              <w:r>
                <w:rPr>
                  <w:rStyle w:val="a5"/>
                  <w:rFonts w:ascii="sans-serif" w:eastAsia="sans-serif" w:hAnsi="sans-serif" w:cs="sans-serif"/>
                  <w:b/>
                  <w:bCs/>
                  <w:sz w:val="20"/>
                  <w:szCs w:val="20"/>
                </w:rPr>
                <w:t>PART I : FINANCIAL INFORMATION</w:t>
              </w:r>
            </w:hyperlink>
          </w:p>
        </w:tc>
        <w:tc>
          <w:tcPr>
            <w:tcW w:w="0" w:type="auto"/>
            <w:gridSpan w:val="3"/>
            <w:shd w:val="clear" w:color="auto" w:fill="auto"/>
            <w:tcMar>
              <w:top w:w="40" w:type="dxa"/>
              <w:left w:w="20" w:type="dxa"/>
              <w:bottom w:w="40" w:type="dxa"/>
              <w:right w:w="20" w:type="dxa"/>
            </w:tcMar>
            <w:vAlign w:val="bottom"/>
          </w:tcPr>
          <w:p w14:paraId="19501F8D" w14:textId="77777777" w:rsidR="00BF3A3A" w:rsidRDefault="00A76802">
            <w:pPr>
              <w:jc w:val="right"/>
              <w:textAlignment w:val="bottom"/>
            </w:pPr>
            <w:r>
              <w:rPr>
                <w:rFonts w:ascii="sans-serif" w:eastAsia="sans-serif" w:hAnsi="sans-serif" w:cs="sans-serif"/>
                <w:color w:val="000000"/>
                <w:sz w:val="20"/>
                <w:szCs w:val="20"/>
              </w:rPr>
              <w:t> </w:t>
            </w:r>
          </w:p>
        </w:tc>
      </w:tr>
      <w:tr w:rsidR="00BF3A3A" w14:paraId="19501F92" w14:textId="77777777">
        <w:trPr>
          <w:trHeight w:val="60"/>
          <w:jc w:val="center"/>
        </w:trPr>
        <w:tc>
          <w:tcPr>
            <w:tcW w:w="0" w:type="auto"/>
            <w:gridSpan w:val="3"/>
            <w:shd w:val="clear" w:color="auto" w:fill="auto"/>
            <w:tcMar>
              <w:top w:w="0" w:type="dxa"/>
              <w:left w:w="20" w:type="dxa"/>
              <w:bottom w:w="0" w:type="dxa"/>
              <w:right w:w="20" w:type="dxa"/>
            </w:tcMar>
            <w:vAlign w:val="bottom"/>
          </w:tcPr>
          <w:p w14:paraId="19501F8F"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1F90"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1F91" w14:textId="77777777" w:rsidR="00BF3A3A" w:rsidRDefault="00BF3A3A">
            <w:pPr>
              <w:rPr>
                <w:rFonts w:ascii="宋体"/>
              </w:rPr>
            </w:pPr>
          </w:p>
        </w:tc>
      </w:tr>
      <w:tr w:rsidR="00BF3A3A" w14:paraId="19501F96" w14:textId="77777777">
        <w:trPr>
          <w:jc w:val="center"/>
        </w:trPr>
        <w:tc>
          <w:tcPr>
            <w:tcW w:w="0" w:type="auto"/>
            <w:gridSpan w:val="3"/>
            <w:shd w:val="clear" w:color="auto" w:fill="auto"/>
            <w:tcMar>
              <w:top w:w="40" w:type="dxa"/>
              <w:left w:w="20" w:type="dxa"/>
              <w:bottom w:w="40" w:type="dxa"/>
              <w:right w:w="20" w:type="dxa"/>
            </w:tcMar>
            <w:vAlign w:val="bottom"/>
          </w:tcPr>
          <w:p w14:paraId="19501F93" w14:textId="77777777" w:rsidR="00BF3A3A" w:rsidRDefault="00A76802">
            <w:pPr>
              <w:textAlignment w:val="bottom"/>
            </w:pPr>
            <w:hyperlink r:id="rId8" w:anchor="iddff599c684c453992c7d11bd14caa14_13" w:history="1">
              <w:r>
                <w:rPr>
                  <w:rStyle w:val="a5"/>
                  <w:rFonts w:ascii="sans-serif" w:eastAsia="sans-serif" w:hAnsi="sans-serif" w:cs="sans-serif"/>
                  <w:sz w:val="20"/>
                  <w:szCs w:val="20"/>
                </w:rPr>
                <w:t>Item 1.</w:t>
              </w:r>
            </w:hyperlink>
          </w:p>
        </w:tc>
        <w:tc>
          <w:tcPr>
            <w:tcW w:w="0" w:type="auto"/>
            <w:gridSpan w:val="3"/>
            <w:shd w:val="clear" w:color="auto" w:fill="auto"/>
            <w:tcMar>
              <w:top w:w="40" w:type="dxa"/>
              <w:left w:w="20" w:type="dxa"/>
              <w:bottom w:w="40" w:type="dxa"/>
              <w:right w:w="20" w:type="dxa"/>
            </w:tcMar>
            <w:vAlign w:val="bottom"/>
          </w:tcPr>
          <w:p w14:paraId="19501F94" w14:textId="77777777" w:rsidR="00BF3A3A" w:rsidRDefault="00A76802">
            <w:pPr>
              <w:jc w:val="both"/>
              <w:textAlignment w:val="bottom"/>
            </w:pPr>
            <w:r>
              <w:rPr>
                <w:rFonts w:ascii="sans-serif" w:eastAsia="sans-serif" w:hAnsi="sans-serif" w:cs="sans-serif"/>
                <w:color w:val="000000"/>
                <w:sz w:val="20"/>
                <w:szCs w:val="20"/>
              </w:rPr>
              <w:t>Financial Statements (Unaudited)</w:t>
            </w:r>
          </w:p>
        </w:tc>
        <w:tc>
          <w:tcPr>
            <w:tcW w:w="0" w:type="auto"/>
            <w:gridSpan w:val="3"/>
            <w:shd w:val="clear" w:color="auto" w:fill="auto"/>
            <w:tcMar>
              <w:top w:w="40" w:type="dxa"/>
              <w:left w:w="20" w:type="dxa"/>
              <w:bottom w:w="40" w:type="dxa"/>
              <w:right w:w="20" w:type="dxa"/>
            </w:tcMar>
            <w:vAlign w:val="bottom"/>
          </w:tcPr>
          <w:p w14:paraId="19501F95" w14:textId="77777777" w:rsidR="00BF3A3A" w:rsidRDefault="00A76802">
            <w:pPr>
              <w:textAlignment w:val="bottom"/>
            </w:pPr>
            <w:r>
              <w:rPr>
                <w:rFonts w:ascii="sans-serif" w:eastAsia="sans-serif" w:hAnsi="sans-serif" w:cs="sans-serif"/>
                <w:color w:val="000000"/>
                <w:sz w:val="20"/>
                <w:szCs w:val="20"/>
              </w:rPr>
              <w:t> </w:t>
            </w:r>
          </w:p>
        </w:tc>
      </w:tr>
      <w:tr w:rsidR="00BF3A3A" w14:paraId="19501F9A" w14:textId="77777777">
        <w:trPr>
          <w:trHeight w:val="60"/>
          <w:jc w:val="center"/>
        </w:trPr>
        <w:tc>
          <w:tcPr>
            <w:tcW w:w="0" w:type="auto"/>
            <w:gridSpan w:val="3"/>
            <w:shd w:val="clear" w:color="auto" w:fill="auto"/>
            <w:tcMar>
              <w:top w:w="0" w:type="dxa"/>
              <w:left w:w="20" w:type="dxa"/>
              <w:bottom w:w="0" w:type="dxa"/>
              <w:right w:w="20" w:type="dxa"/>
            </w:tcMar>
            <w:vAlign w:val="bottom"/>
          </w:tcPr>
          <w:p w14:paraId="19501F97"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1F98"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1F99" w14:textId="77777777" w:rsidR="00BF3A3A" w:rsidRDefault="00BF3A3A">
            <w:pPr>
              <w:rPr>
                <w:rFonts w:ascii="宋体"/>
              </w:rPr>
            </w:pPr>
          </w:p>
        </w:tc>
      </w:tr>
      <w:tr w:rsidR="00BF3A3A" w14:paraId="19501F9E" w14:textId="77777777">
        <w:trPr>
          <w:jc w:val="center"/>
        </w:trPr>
        <w:tc>
          <w:tcPr>
            <w:tcW w:w="0" w:type="auto"/>
            <w:gridSpan w:val="3"/>
            <w:shd w:val="clear" w:color="auto" w:fill="auto"/>
            <w:tcMar>
              <w:top w:w="40" w:type="dxa"/>
              <w:left w:w="20" w:type="dxa"/>
              <w:bottom w:w="40" w:type="dxa"/>
              <w:right w:w="20" w:type="dxa"/>
            </w:tcMar>
            <w:vAlign w:val="bottom"/>
          </w:tcPr>
          <w:p w14:paraId="19501F9B"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9501F9C" w14:textId="77777777" w:rsidR="00BF3A3A" w:rsidRDefault="00A76802">
            <w:pPr>
              <w:textAlignment w:val="bottom"/>
            </w:pPr>
            <w:r>
              <w:rPr>
                <w:rFonts w:ascii="sans-serif" w:eastAsia="sans-serif" w:hAnsi="sans-serif" w:cs="sans-serif"/>
                <w:color w:val="000000"/>
                <w:sz w:val="20"/>
                <w:szCs w:val="20"/>
              </w:rPr>
              <w:t xml:space="preserve">a) Condensed Consolidated Statements of Income </w:t>
            </w:r>
            <w:r>
              <w:rPr>
                <w:rFonts w:ascii="sans-serif" w:eastAsia="sans-serif" w:hAnsi="sans-serif" w:cs="sans-serif"/>
                <w:color w:val="000000"/>
                <w:sz w:val="20"/>
                <w:szCs w:val="20"/>
              </w:rPr>
              <w:t>for the three and six months ended July 31, 2022 and August 1, 2021</w:t>
            </w:r>
          </w:p>
        </w:tc>
        <w:tc>
          <w:tcPr>
            <w:tcW w:w="0" w:type="auto"/>
            <w:gridSpan w:val="3"/>
            <w:shd w:val="clear" w:color="auto" w:fill="auto"/>
            <w:tcMar>
              <w:top w:w="40" w:type="dxa"/>
              <w:left w:w="20" w:type="dxa"/>
              <w:bottom w:w="40" w:type="dxa"/>
              <w:right w:w="20" w:type="dxa"/>
            </w:tcMar>
            <w:vAlign w:val="bottom"/>
          </w:tcPr>
          <w:p w14:paraId="19501F9D" w14:textId="77777777" w:rsidR="00BF3A3A" w:rsidRDefault="00A76802">
            <w:pPr>
              <w:jc w:val="right"/>
              <w:textAlignment w:val="bottom"/>
            </w:pPr>
            <w:hyperlink r:id="rId9" w:anchor="iddff599c684c453992c7d11bd14caa14_16" w:history="1">
              <w:r>
                <w:rPr>
                  <w:rStyle w:val="a5"/>
                  <w:rFonts w:ascii="sans-serif" w:eastAsia="sans-serif" w:hAnsi="sans-serif" w:cs="sans-serif"/>
                  <w:sz w:val="20"/>
                  <w:szCs w:val="20"/>
                </w:rPr>
                <w:t>3</w:t>
              </w:r>
            </w:hyperlink>
          </w:p>
        </w:tc>
      </w:tr>
      <w:tr w:rsidR="00BF3A3A" w14:paraId="19501FA2" w14:textId="77777777">
        <w:trPr>
          <w:jc w:val="center"/>
          <w:hidden/>
        </w:trPr>
        <w:tc>
          <w:tcPr>
            <w:tcW w:w="0" w:type="auto"/>
            <w:gridSpan w:val="3"/>
            <w:shd w:val="clear" w:color="auto" w:fill="auto"/>
            <w:vAlign w:val="bottom"/>
          </w:tcPr>
          <w:p w14:paraId="19501F9F" w14:textId="77777777" w:rsidR="00BF3A3A" w:rsidRDefault="00BF3A3A">
            <w:pPr>
              <w:rPr>
                <w:rFonts w:ascii="宋体"/>
                <w:vanish/>
              </w:rPr>
            </w:pPr>
          </w:p>
        </w:tc>
        <w:tc>
          <w:tcPr>
            <w:tcW w:w="0" w:type="auto"/>
            <w:gridSpan w:val="3"/>
            <w:shd w:val="clear" w:color="auto" w:fill="auto"/>
            <w:vAlign w:val="bottom"/>
          </w:tcPr>
          <w:p w14:paraId="19501FA0" w14:textId="77777777" w:rsidR="00BF3A3A" w:rsidRDefault="00BF3A3A">
            <w:pPr>
              <w:rPr>
                <w:rFonts w:ascii="宋体"/>
                <w:vanish/>
              </w:rPr>
            </w:pPr>
          </w:p>
        </w:tc>
        <w:tc>
          <w:tcPr>
            <w:tcW w:w="0" w:type="auto"/>
            <w:gridSpan w:val="3"/>
            <w:shd w:val="clear" w:color="auto" w:fill="auto"/>
            <w:vAlign w:val="bottom"/>
          </w:tcPr>
          <w:p w14:paraId="19501FA1" w14:textId="77777777" w:rsidR="00BF3A3A" w:rsidRDefault="00BF3A3A">
            <w:pPr>
              <w:rPr>
                <w:rFonts w:ascii="宋体"/>
                <w:vanish/>
              </w:rPr>
            </w:pPr>
          </w:p>
        </w:tc>
      </w:tr>
      <w:tr w:rsidR="00BF3A3A" w14:paraId="19501FA6" w14:textId="77777777">
        <w:trPr>
          <w:jc w:val="center"/>
        </w:trPr>
        <w:tc>
          <w:tcPr>
            <w:tcW w:w="0" w:type="auto"/>
            <w:gridSpan w:val="3"/>
            <w:shd w:val="clear" w:color="auto" w:fill="auto"/>
            <w:tcMar>
              <w:top w:w="0" w:type="dxa"/>
              <w:left w:w="20" w:type="dxa"/>
              <w:bottom w:w="0" w:type="dxa"/>
              <w:right w:w="20" w:type="dxa"/>
            </w:tcMar>
            <w:vAlign w:val="bottom"/>
          </w:tcPr>
          <w:p w14:paraId="19501FA3"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1FA4" w14:textId="77777777" w:rsidR="00BF3A3A" w:rsidRDefault="00A76802">
            <w:pPr>
              <w:textAlignment w:val="bottom"/>
            </w:pPr>
            <w:r>
              <w:rPr>
                <w:rFonts w:ascii="sans-serif" w:eastAsia="sans-serif" w:hAnsi="sans-serif" w:cs="sans-serif"/>
                <w:color w:val="000000"/>
                <w:sz w:val="20"/>
                <w:szCs w:val="20"/>
              </w:rPr>
              <w:t xml:space="preserve">b) Condensed </w:t>
            </w:r>
            <w:r>
              <w:rPr>
                <w:rFonts w:ascii="sans-serif" w:eastAsia="sans-serif" w:hAnsi="sans-serif" w:cs="sans-serif"/>
                <w:color w:val="000000"/>
                <w:sz w:val="20"/>
                <w:szCs w:val="20"/>
              </w:rPr>
              <w:t>Consolidated Statements of Comprehensive Income for the three and six months ended July 31, 2022 and August 1, 2021</w:t>
            </w:r>
          </w:p>
        </w:tc>
        <w:tc>
          <w:tcPr>
            <w:tcW w:w="0" w:type="auto"/>
            <w:gridSpan w:val="3"/>
            <w:shd w:val="clear" w:color="auto" w:fill="auto"/>
            <w:tcMar>
              <w:top w:w="40" w:type="dxa"/>
              <w:left w:w="20" w:type="dxa"/>
              <w:bottom w:w="40" w:type="dxa"/>
              <w:right w:w="20" w:type="dxa"/>
            </w:tcMar>
            <w:vAlign w:val="bottom"/>
          </w:tcPr>
          <w:p w14:paraId="19501FA5" w14:textId="77777777" w:rsidR="00BF3A3A" w:rsidRDefault="00A76802">
            <w:pPr>
              <w:jc w:val="right"/>
              <w:textAlignment w:val="bottom"/>
            </w:pPr>
            <w:hyperlink r:id="rId10" w:anchor="iddff599c684c453992c7d11bd14caa14_19" w:history="1">
              <w:r>
                <w:rPr>
                  <w:rStyle w:val="a5"/>
                  <w:rFonts w:ascii="sans-serif" w:eastAsia="sans-serif" w:hAnsi="sans-serif" w:cs="sans-serif"/>
                  <w:sz w:val="20"/>
                  <w:szCs w:val="20"/>
                </w:rPr>
                <w:t>4</w:t>
              </w:r>
            </w:hyperlink>
          </w:p>
        </w:tc>
      </w:tr>
      <w:tr w:rsidR="00BF3A3A" w14:paraId="19501FAA" w14:textId="77777777">
        <w:trPr>
          <w:jc w:val="center"/>
          <w:hidden/>
        </w:trPr>
        <w:tc>
          <w:tcPr>
            <w:tcW w:w="0" w:type="auto"/>
            <w:gridSpan w:val="3"/>
            <w:shd w:val="clear" w:color="auto" w:fill="auto"/>
            <w:vAlign w:val="bottom"/>
          </w:tcPr>
          <w:p w14:paraId="19501FA7" w14:textId="77777777" w:rsidR="00BF3A3A" w:rsidRDefault="00BF3A3A">
            <w:pPr>
              <w:rPr>
                <w:rFonts w:ascii="宋体"/>
                <w:vanish/>
              </w:rPr>
            </w:pPr>
          </w:p>
        </w:tc>
        <w:tc>
          <w:tcPr>
            <w:tcW w:w="0" w:type="auto"/>
            <w:gridSpan w:val="3"/>
            <w:shd w:val="clear" w:color="auto" w:fill="auto"/>
            <w:vAlign w:val="bottom"/>
          </w:tcPr>
          <w:p w14:paraId="19501FA8" w14:textId="77777777" w:rsidR="00BF3A3A" w:rsidRDefault="00BF3A3A">
            <w:pPr>
              <w:rPr>
                <w:rFonts w:ascii="宋体"/>
                <w:vanish/>
              </w:rPr>
            </w:pPr>
          </w:p>
        </w:tc>
        <w:tc>
          <w:tcPr>
            <w:tcW w:w="0" w:type="auto"/>
            <w:gridSpan w:val="3"/>
            <w:shd w:val="clear" w:color="auto" w:fill="auto"/>
            <w:vAlign w:val="bottom"/>
          </w:tcPr>
          <w:p w14:paraId="19501FA9" w14:textId="77777777" w:rsidR="00BF3A3A" w:rsidRDefault="00BF3A3A">
            <w:pPr>
              <w:rPr>
                <w:rFonts w:ascii="宋体"/>
                <w:vanish/>
              </w:rPr>
            </w:pPr>
          </w:p>
        </w:tc>
      </w:tr>
      <w:tr w:rsidR="00BF3A3A" w14:paraId="19501FAE" w14:textId="77777777">
        <w:trPr>
          <w:jc w:val="center"/>
        </w:trPr>
        <w:tc>
          <w:tcPr>
            <w:tcW w:w="0" w:type="auto"/>
            <w:gridSpan w:val="3"/>
            <w:shd w:val="clear" w:color="auto" w:fill="auto"/>
            <w:tcMar>
              <w:top w:w="40" w:type="dxa"/>
              <w:left w:w="20" w:type="dxa"/>
              <w:bottom w:w="40" w:type="dxa"/>
              <w:right w:w="20" w:type="dxa"/>
            </w:tcMar>
            <w:vAlign w:val="bottom"/>
          </w:tcPr>
          <w:p w14:paraId="19501FAB"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9501FAC" w14:textId="77777777" w:rsidR="00BF3A3A" w:rsidRDefault="00A76802">
            <w:pPr>
              <w:jc w:val="both"/>
              <w:textAlignment w:val="bottom"/>
            </w:pPr>
            <w:r>
              <w:rPr>
                <w:rFonts w:ascii="sans-serif" w:eastAsia="sans-serif" w:hAnsi="sans-serif" w:cs="sans-serif"/>
                <w:color w:val="000000"/>
                <w:sz w:val="20"/>
                <w:szCs w:val="20"/>
              </w:rPr>
              <w:t>c) Condensed Consolidated Balance Sheets as of July 31, 2022 and January 30, 2022</w:t>
            </w:r>
          </w:p>
        </w:tc>
        <w:tc>
          <w:tcPr>
            <w:tcW w:w="0" w:type="auto"/>
            <w:gridSpan w:val="3"/>
            <w:shd w:val="clear" w:color="auto" w:fill="auto"/>
            <w:tcMar>
              <w:top w:w="40" w:type="dxa"/>
              <w:left w:w="20" w:type="dxa"/>
              <w:bottom w:w="40" w:type="dxa"/>
              <w:right w:w="20" w:type="dxa"/>
            </w:tcMar>
            <w:vAlign w:val="bottom"/>
          </w:tcPr>
          <w:p w14:paraId="19501FAD" w14:textId="77777777" w:rsidR="00BF3A3A" w:rsidRDefault="00A76802">
            <w:pPr>
              <w:jc w:val="right"/>
              <w:textAlignment w:val="bottom"/>
            </w:pPr>
            <w:hyperlink r:id="rId11" w:anchor="iddff599c684c453992c7d11bd14caa14_22" w:history="1">
              <w:r>
                <w:rPr>
                  <w:rStyle w:val="a5"/>
                  <w:rFonts w:ascii="sans-serif" w:eastAsia="sans-serif" w:hAnsi="sans-serif" w:cs="sans-serif"/>
                  <w:sz w:val="20"/>
                  <w:szCs w:val="20"/>
                </w:rPr>
                <w:t>5</w:t>
              </w:r>
            </w:hyperlink>
          </w:p>
        </w:tc>
      </w:tr>
      <w:tr w:rsidR="00BF3A3A" w14:paraId="19501FB2" w14:textId="77777777">
        <w:trPr>
          <w:jc w:val="center"/>
          <w:hidden/>
        </w:trPr>
        <w:tc>
          <w:tcPr>
            <w:tcW w:w="0" w:type="auto"/>
            <w:gridSpan w:val="3"/>
            <w:shd w:val="clear" w:color="auto" w:fill="auto"/>
            <w:vAlign w:val="bottom"/>
          </w:tcPr>
          <w:p w14:paraId="19501FAF" w14:textId="77777777" w:rsidR="00BF3A3A" w:rsidRDefault="00BF3A3A">
            <w:pPr>
              <w:rPr>
                <w:rFonts w:ascii="宋体"/>
                <w:vanish/>
              </w:rPr>
            </w:pPr>
          </w:p>
        </w:tc>
        <w:tc>
          <w:tcPr>
            <w:tcW w:w="0" w:type="auto"/>
            <w:gridSpan w:val="3"/>
            <w:shd w:val="clear" w:color="auto" w:fill="auto"/>
            <w:vAlign w:val="bottom"/>
          </w:tcPr>
          <w:p w14:paraId="19501FB0" w14:textId="77777777" w:rsidR="00BF3A3A" w:rsidRDefault="00BF3A3A">
            <w:pPr>
              <w:rPr>
                <w:rFonts w:ascii="宋体"/>
                <w:vanish/>
              </w:rPr>
            </w:pPr>
          </w:p>
        </w:tc>
        <w:tc>
          <w:tcPr>
            <w:tcW w:w="0" w:type="auto"/>
            <w:gridSpan w:val="3"/>
            <w:shd w:val="clear" w:color="auto" w:fill="auto"/>
            <w:vAlign w:val="bottom"/>
          </w:tcPr>
          <w:p w14:paraId="19501FB1" w14:textId="77777777" w:rsidR="00BF3A3A" w:rsidRDefault="00BF3A3A">
            <w:pPr>
              <w:rPr>
                <w:rFonts w:ascii="宋体"/>
                <w:vanish/>
              </w:rPr>
            </w:pPr>
          </w:p>
        </w:tc>
      </w:tr>
      <w:tr w:rsidR="00BF3A3A" w14:paraId="19501FB6" w14:textId="77777777">
        <w:trPr>
          <w:jc w:val="center"/>
        </w:trPr>
        <w:tc>
          <w:tcPr>
            <w:tcW w:w="0" w:type="auto"/>
            <w:gridSpan w:val="3"/>
            <w:shd w:val="clear" w:color="auto" w:fill="auto"/>
            <w:tcMar>
              <w:top w:w="0" w:type="dxa"/>
              <w:left w:w="20" w:type="dxa"/>
              <w:bottom w:w="0" w:type="dxa"/>
              <w:right w:w="20" w:type="dxa"/>
            </w:tcMar>
            <w:vAlign w:val="bottom"/>
          </w:tcPr>
          <w:p w14:paraId="19501FB3"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1FB4" w14:textId="77777777" w:rsidR="00BF3A3A" w:rsidRDefault="00A76802">
            <w:pPr>
              <w:textAlignment w:val="bottom"/>
            </w:pPr>
            <w:r>
              <w:rPr>
                <w:rFonts w:ascii="sans-serif" w:eastAsia="sans-serif" w:hAnsi="sans-serif" w:cs="sans-serif"/>
                <w:color w:val="000000"/>
                <w:sz w:val="20"/>
                <w:szCs w:val="20"/>
              </w:rPr>
              <w:t xml:space="preserve">d) Condensed Consolidated Statements of Shareholders' Equity for the three and six </w:t>
            </w:r>
            <w:r>
              <w:rPr>
                <w:rFonts w:ascii="sans-serif" w:eastAsia="sans-serif" w:hAnsi="sans-serif" w:cs="sans-serif"/>
                <w:color w:val="000000"/>
                <w:sz w:val="20"/>
                <w:szCs w:val="20"/>
              </w:rPr>
              <w:t>months ended July 31, 2022 and August 1, 2021</w:t>
            </w:r>
          </w:p>
        </w:tc>
        <w:tc>
          <w:tcPr>
            <w:tcW w:w="0" w:type="auto"/>
            <w:gridSpan w:val="3"/>
            <w:shd w:val="clear" w:color="auto" w:fill="auto"/>
            <w:tcMar>
              <w:top w:w="40" w:type="dxa"/>
              <w:left w:w="20" w:type="dxa"/>
              <w:bottom w:w="40" w:type="dxa"/>
              <w:right w:w="20" w:type="dxa"/>
            </w:tcMar>
            <w:vAlign w:val="bottom"/>
          </w:tcPr>
          <w:p w14:paraId="19501FB5" w14:textId="77777777" w:rsidR="00BF3A3A" w:rsidRDefault="00A76802">
            <w:pPr>
              <w:jc w:val="right"/>
              <w:textAlignment w:val="bottom"/>
            </w:pPr>
            <w:hyperlink r:id="rId12" w:anchor="iddff599c684c453992c7d11bd14caa14_25" w:history="1">
              <w:r>
                <w:rPr>
                  <w:rStyle w:val="a5"/>
                  <w:rFonts w:ascii="sans-serif" w:eastAsia="sans-serif" w:hAnsi="sans-serif" w:cs="sans-serif"/>
                  <w:sz w:val="20"/>
                  <w:szCs w:val="20"/>
                </w:rPr>
                <w:t>6</w:t>
              </w:r>
            </w:hyperlink>
          </w:p>
        </w:tc>
      </w:tr>
      <w:tr w:rsidR="00BF3A3A" w14:paraId="19501FBA" w14:textId="77777777">
        <w:trPr>
          <w:jc w:val="center"/>
          <w:hidden/>
        </w:trPr>
        <w:tc>
          <w:tcPr>
            <w:tcW w:w="0" w:type="auto"/>
            <w:gridSpan w:val="3"/>
            <w:shd w:val="clear" w:color="auto" w:fill="auto"/>
            <w:vAlign w:val="bottom"/>
          </w:tcPr>
          <w:p w14:paraId="19501FB7" w14:textId="77777777" w:rsidR="00BF3A3A" w:rsidRDefault="00BF3A3A">
            <w:pPr>
              <w:rPr>
                <w:rFonts w:ascii="宋体"/>
                <w:vanish/>
              </w:rPr>
            </w:pPr>
          </w:p>
        </w:tc>
        <w:tc>
          <w:tcPr>
            <w:tcW w:w="0" w:type="auto"/>
            <w:gridSpan w:val="3"/>
            <w:shd w:val="clear" w:color="auto" w:fill="auto"/>
            <w:vAlign w:val="bottom"/>
          </w:tcPr>
          <w:p w14:paraId="19501FB8" w14:textId="77777777" w:rsidR="00BF3A3A" w:rsidRDefault="00BF3A3A">
            <w:pPr>
              <w:rPr>
                <w:rFonts w:ascii="宋体"/>
                <w:vanish/>
              </w:rPr>
            </w:pPr>
          </w:p>
        </w:tc>
        <w:tc>
          <w:tcPr>
            <w:tcW w:w="0" w:type="auto"/>
            <w:gridSpan w:val="3"/>
            <w:shd w:val="clear" w:color="auto" w:fill="auto"/>
            <w:vAlign w:val="bottom"/>
          </w:tcPr>
          <w:p w14:paraId="19501FB9" w14:textId="77777777" w:rsidR="00BF3A3A" w:rsidRDefault="00BF3A3A">
            <w:pPr>
              <w:rPr>
                <w:rFonts w:ascii="宋体"/>
                <w:vanish/>
              </w:rPr>
            </w:pPr>
          </w:p>
        </w:tc>
      </w:tr>
      <w:tr w:rsidR="00BF3A3A" w14:paraId="19501FBE" w14:textId="77777777">
        <w:trPr>
          <w:jc w:val="center"/>
        </w:trPr>
        <w:tc>
          <w:tcPr>
            <w:tcW w:w="0" w:type="auto"/>
            <w:gridSpan w:val="3"/>
            <w:shd w:val="clear" w:color="auto" w:fill="auto"/>
            <w:tcMar>
              <w:top w:w="40" w:type="dxa"/>
              <w:left w:w="20" w:type="dxa"/>
              <w:bottom w:w="40" w:type="dxa"/>
              <w:right w:w="20" w:type="dxa"/>
            </w:tcMar>
            <w:vAlign w:val="bottom"/>
          </w:tcPr>
          <w:p w14:paraId="19501FBB"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9501FBC" w14:textId="77777777" w:rsidR="00BF3A3A" w:rsidRDefault="00A76802">
            <w:pPr>
              <w:textAlignment w:val="bottom"/>
            </w:pPr>
            <w:r>
              <w:rPr>
                <w:rFonts w:ascii="sans-serif" w:eastAsia="sans-serif" w:hAnsi="sans-serif" w:cs="sans-serif"/>
                <w:color w:val="000000"/>
                <w:sz w:val="20"/>
                <w:szCs w:val="20"/>
              </w:rPr>
              <w:t xml:space="preserve">e) Condensed Consolidated Statements of </w:t>
            </w:r>
            <w:r>
              <w:rPr>
                <w:rFonts w:ascii="sans-serif" w:eastAsia="sans-serif" w:hAnsi="sans-serif" w:cs="sans-serif"/>
                <w:color w:val="000000"/>
                <w:sz w:val="20"/>
                <w:szCs w:val="20"/>
              </w:rPr>
              <w:t>Cash Flows for the six months ended July 31, 2022 and August 1, 2021</w:t>
            </w:r>
          </w:p>
        </w:tc>
        <w:tc>
          <w:tcPr>
            <w:tcW w:w="0" w:type="auto"/>
            <w:gridSpan w:val="3"/>
            <w:shd w:val="clear" w:color="auto" w:fill="auto"/>
            <w:tcMar>
              <w:top w:w="40" w:type="dxa"/>
              <w:left w:w="20" w:type="dxa"/>
              <w:bottom w:w="40" w:type="dxa"/>
              <w:right w:w="20" w:type="dxa"/>
            </w:tcMar>
            <w:vAlign w:val="bottom"/>
          </w:tcPr>
          <w:p w14:paraId="19501FBD" w14:textId="77777777" w:rsidR="00BF3A3A" w:rsidRDefault="00A76802">
            <w:pPr>
              <w:jc w:val="right"/>
              <w:textAlignment w:val="bottom"/>
            </w:pPr>
            <w:hyperlink r:id="rId13" w:anchor="iddff599c684c453992c7d11bd14caa14_34" w:history="1">
              <w:r>
                <w:rPr>
                  <w:rStyle w:val="a5"/>
                  <w:rFonts w:ascii="sans-serif" w:eastAsia="sans-serif" w:hAnsi="sans-serif" w:cs="sans-serif"/>
                  <w:sz w:val="20"/>
                  <w:szCs w:val="20"/>
                </w:rPr>
                <w:t>8</w:t>
              </w:r>
            </w:hyperlink>
          </w:p>
        </w:tc>
      </w:tr>
      <w:tr w:rsidR="00BF3A3A" w14:paraId="19501FC2" w14:textId="77777777">
        <w:trPr>
          <w:jc w:val="center"/>
          <w:hidden/>
        </w:trPr>
        <w:tc>
          <w:tcPr>
            <w:tcW w:w="0" w:type="auto"/>
            <w:gridSpan w:val="3"/>
            <w:shd w:val="clear" w:color="auto" w:fill="auto"/>
            <w:vAlign w:val="bottom"/>
          </w:tcPr>
          <w:p w14:paraId="19501FBF" w14:textId="77777777" w:rsidR="00BF3A3A" w:rsidRDefault="00BF3A3A">
            <w:pPr>
              <w:rPr>
                <w:rFonts w:ascii="宋体"/>
                <w:vanish/>
              </w:rPr>
            </w:pPr>
          </w:p>
        </w:tc>
        <w:tc>
          <w:tcPr>
            <w:tcW w:w="0" w:type="auto"/>
            <w:gridSpan w:val="3"/>
            <w:shd w:val="clear" w:color="auto" w:fill="auto"/>
            <w:vAlign w:val="bottom"/>
          </w:tcPr>
          <w:p w14:paraId="19501FC0" w14:textId="77777777" w:rsidR="00BF3A3A" w:rsidRDefault="00BF3A3A">
            <w:pPr>
              <w:rPr>
                <w:rFonts w:ascii="宋体"/>
                <w:vanish/>
              </w:rPr>
            </w:pPr>
          </w:p>
        </w:tc>
        <w:tc>
          <w:tcPr>
            <w:tcW w:w="0" w:type="auto"/>
            <w:gridSpan w:val="3"/>
            <w:shd w:val="clear" w:color="auto" w:fill="auto"/>
            <w:vAlign w:val="bottom"/>
          </w:tcPr>
          <w:p w14:paraId="19501FC1" w14:textId="77777777" w:rsidR="00BF3A3A" w:rsidRDefault="00BF3A3A">
            <w:pPr>
              <w:rPr>
                <w:rFonts w:ascii="宋体"/>
                <w:vanish/>
              </w:rPr>
            </w:pPr>
          </w:p>
        </w:tc>
      </w:tr>
      <w:tr w:rsidR="00BF3A3A" w14:paraId="19501FC6" w14:textId="77777777">
        <w:trPr>
          <w:jc w:val="center"/>
        </w:trPr>
        <w:tc>
          <w:tcPr>
            <w:tcW w:w="0" w:type="auto"/>
            <w:gridSpan w:val="3"/>
            <w:shd w:val="clear" w:color="auto" w:fill="auto"/>
            <w:tcMar>
              <w:top w:w="40" w:type="dxa"/>
              <w:left w:w="20" w:type="dxa"/>
              <w:bottom w:w="40" w:type="dxa"/>
              <w:right w:w="20" w:type="dxa"/>
            </w:tcMar>
            <w:vAlign w:val="bottom"/>
          </w:tcPr>
          <w:p w14:paraId="19501FC3"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9501FC4" w14:textId="77777777" w:rsidR="00BF3A3A" w:rsidRDefault="00A76802">
            <w:pPr>
              <w:jc w:val="both"/>
              <w:textAlignment w:val="bottom"/>
            </w:pPr>
            <w:r>
              <w:rPr>
                <w:rFonts w:ascii="sans-serif" w:eastAsia="sans-serif" w:hAnsi="sans-serif" w:cs="sans-serif"/>
                <w:color w:val="000000"/>
                <w:sz w:val="20"/>
                <w:szCs w:val="20"/>
              </w:rPr>
              <w:t xml:space="preserve">f) Notes to </w:t>
            </w:r>
            <w:r>
              <w:rPr>
                <w:rFonts w:ascii="sans-serif" w:eastAsia="sans-serif" w:hAnsi="sans-serif" w:cs="sans-serif"/>
                <w:color w:val="000000"/>
                <w:sz w:val="20"/>
                <w:szCs w:val="20"/>
              </w:rPr>
              <w:t>Condensed Consolidated Financial Statements</w:t>
            </w:r>
          </w:p>
        </w:tc>
        <w:tc>
          <w:tcPr>
            <w:tcW w:w="0" w:type="auto"/>
            <w:gridSpan w:val="3"/>
            <w:shd w:val="clear" w:color="auto" w:fill="auto"/>
            <w:tcMar>
              <w:top w:w="40" w:type="dxa"/>
              <w:left w:w="20" w:type="dxa"/>
              <w:bottom w:w="40" w:type="dxa"/>
              <w:right w:w="20" w:type="dxa"/>
            </w:tcMar>
            <w:vAlign w:val="bottom"/>
          </w:tcPr>
          <w:p w14:paraId="19501FC5" w14:textId="77777777" w:rsidR="00BF3A3A" w:rsidRDefault="00A76802">
            <w:pPr>
              <w:jc w:val="right"/>
              <w:textAlignment w:val="bottom"/>
            </w:pPr>
            <w:hyperlink r:id="rId14" w:anchor="iddff599c684c453992c7d11bd14caa14_37" w:history="1">
              <w:r>
                <w:rPr>
                  <w:rStyle w:val="a5"/>
                  <w:rFonts w:ascii="sans-serif" w:eastAsia="sans-serif" w:hAnsi="sans-serif" w:cs="sans-serif"/>
                  <w:sz w:val="20"/>
                  <w:szCs w:val="20"/>
                </w:rPr>
                <w:t>9</w:t>
              </w:r>
            </w:hyperlink>
          </w:p>
        </w:tc>
      </w:tr>
      <w:tr w:rsidR="00BF3A3A" w14:paraId="19501FCA" w14:textId="77777777">
        <w:trPr>
          <w:trHeight w:val="60"/>
          <w:jc w:val="center"/>
        </w:trPr>
        <w:tc>
          <w:tcPr>
            <w:tcW w:w="0" w:type="auto"/>
            <w:gridSpan w:val="3"/>
            <w:shd w:val="clear" w:color="auto" w:fill="auto"/>
            <w:tcMar>
              <w:top w:w="0" w:type="dxa"/>
              <w:left w:w="20" w:type="dxa"/>
              <w:bottom w:w="0" w:type="dxa"/>
              <w:right w:w="20" w:type="dxa"/>
            </w:tcMar>
            <w:vAlign w:val="bottom"/>
          </w:tcPr>
          <w:p w14:paraId="19501FC7"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1FC8"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1FC9" w14:textId="77777777" w:rsidR="00BF3A3A" w:rsidRDefault="00BF3A3A">
            <w:pPr>
              <w:rPr>
                <w:rFonts w:ascii="宋体"/>
              </w:rPr>
            </w:pPr>
          </w:p>
        </w:tc>
      </w:tr>
      <w:tr w:rsidR="00BF3A3A" w14:paraId="19501FCE" w14:textId="77777777">
        <w:trPr>
          <w:jc w:val="center"/>
        </w:trPr>
        <w:tc>
          <w:tcPr>
            <w:tcW w:w="0" w:type="auto"/>
            <w:gridSpan w:val="3"/>
            <w:shd w:val="clear" w:color="auto" w:fill="auto"/>
            <w:tcMar>
              <w:top w:w="40" w:type="dxa"/>
              <w:left w:w="20" w:type="dxa"/>
              <w:bottom w:w="40" w:type="dxa"/>
              <w:right w:w="20" w:type="dxa"/>
            </w:tcMar>
            <w:vAlign w:val="bottom"/>
          </w:tcPr>
          <w:p w14:paraId="19501FCB" w14:textId="77777777" w:rsidR="00BF3A3A" w:rsidRDefault="00A76802">
            <w:pPr>
              <w:textAlignment w:val="bottom"/>
            </w:pPr>
            <w:hyperlink r:id="rId15" w:anchor="iddff599c684c453992c7d11bd14caa14_88" w:history="1">
              <w:r>
                <w:rPr>
                  <w:rStyle w:val="a5"/>
                  <w:rFonts w:ascii="sans-serif" w:eastAsia="sans-serif" w:hAnsi="sans-serif" w:cs="sans-serif"/>
                  <w:sz w:val="20"/>
                  <w:szCs w:val="20"/>
                </w:rPr>
                <w:t>Item 2.</w:t>
              </w:r>
            </w:hyperlink>
          </w:p>
        </w:tc>
        <w:tc>
          <w:tcPr>
            <w:tcW w:w="0" w:type="auto"/>
            <w:gridSpan w:val="3"/>
            <w:shd w:val="clear" w:color="auto" w:fill="auto"/>
            <w:tcMar>
              <w:top w:w="40" w:type="dxa"/>
              <w:left w:w="20" w:type="dxa"/>
              <w:bottom w:w="40" w:type="dxa"/>
              <w:right w:w="20" w:type="dxa"/>
            </w:tcMar>
            <w:vAlign w:val="bottom"/>
          </w:tcPr>
          <w:p w14:paraId="19501FCC" w14:textId="77777777" w:rsidR="00BF3A3A" w:rsidRDefault="00A76802">
            <w:pPr>
              <w:textAlignment w:val="bottom"/>
            </w:pPr>
            <w:r>
              <w:rPr>
                <w:rFonts w:ascii="sans-serif" w:eastAsia="sans-serif" w:hAnsi="sans-serif" w:cs="sans-serif"/>
                <w:color w:val="000000"/>
                <w:sz w:val="20"/>
                <w:szCs w:val="20"/>
              </w:rPr>
              <w:t>Management’s Discussion and Analysis of Financial Condition and Results of Operations</w:t>
            </w:r>
          </w:p>
        </w:tc>
        <w:tc>
          <w:tcPr>
            <w:tcW w:w="0" w:type="auto"/>
            <w:gridSpan w:val="3"/>
            <w:shd w:val="clear" w:color="auto" w:fill="auto"/>
            <w:tcMar>
              <w:top w:w="40" w:type="dxa"/>
              <w:left w:w="20" w:type="dxa"/>
              <w:bottom w:w="40" w:type="dxa"/>
              <w:right w:w="20" w:type="dxa"/>
            </w:tcMar>
            <w:vAlign w:val="bottom"/>
          </w:tcPr>
          <w:p w14:paraId="19501FCD" w14:textId="77777777" w:rsidR="00BF3A3A" w:rsidRDefault="00A76802">
            <w:pPr>
              <w:jc w:val="right"/>
              <w:textAlignment w:val="bottom"/>
            </w:pPr>
            <w:hyperlink r:id="rId16" w:anchor="iddff599c684c453992c7d11bd14caa14_88" w:history="1">
              <w:r>
                <w:rPr>
                  <w:rStyle w:val="a5"/>
                  <w:rFonts w:ascii="sans-serif" w:eastAsia="sans-serif" w:hAnsi="sans-serif" w:cs="sans-serif"/>
                  <w:sz w:val="20"/>
                  <w:szCs w:val="20"/>
                </w:rPr>
                <w:t>23</w:t>
              </w:r>
            </w:hyperlink>
          </w:p>
        </w:tc>
      </w:tr>
      <w:tr w:rsidR="00BF3A3A" w14:paraId="19501FD2" w14:textId="77777777">
        <w:trPr>
          <w:trHeight w:val="60"/>
          <w:jc w:val="center"/>
        </w:trPr>
        <w:tc>
          <w:tcPr>
            <w:tcW w:w="0" w:type="auto"/>
            <w:gridSpan w:val="3"/>
            <w:shd w:val="clear" w:color="auto" w:fill="auto"/>
            <w:tcMar>
              <w:top w:w="0" w:type="dxa"/>
              <w:left w:w="20" w:type="dxa"/>
              <w:bottom w:w="0" w:type="dxa"/>
              <w:right w:w="20" w:type="dxa"/>
            </w:tcMar>
            <w:vAlign w:val="bottom"/>
          </w:tcPr>
          <w:p w14:paraId="19501FCF"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1FD0"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1FD1" w14:textId="77777777" w:rsidR="00BF3A3A" w:rsidRDefault="00BF3A3A">
            <w:pPr>
              <w:rPr>
                <w:rFonts w:ascii="宋体"/>
              </w:rPr>
            </w:pPr>
          </w:p>
        </w:tc>
      </w:tr>
      <w:tr w:rsidR="00BF3A3A" w14:paraId="19501FD6" w14:textId="77777777">
        <w:trPr>
          <w:jc w:val="center"/>
        </w:trPr>
        <w:tc>
          <w:tcPr>
            <w:tcW w:w="0" w:type="auto"/>
            <w:gridSpan w:val="3"/>
            <w:shd w:val="clear" w:color="auto" w:fill="auto"/>
            <w:tcMar>
              <w:top w:w="40" w:type="dxa"/>
              <w:left w:w="20" w:type="dxa"/>
              <w:bottom w:w="40" w:type="dxa"/>
              <w:right w:w="20" w:type="dxa"/>
            </w:tcMar>
            <w:vAlign w:val="bottom"/>
          </w:tcPr>
          <w:p w14:paraId="19501FD3" w14:textId="77777777" w:rsidR="00BF3A3A" w:rsidRDefault="00A76802">
            <w:pPr>
              <w:textAlignment w:val="bottom"/>
            </w:pPr>
            <w:hyperlink r:id="rId17" w:anchor="iddff599c684c453992c7d11bd14caa14_106" w:history="1">
              <w:r>
                <w:rPr>
                  <w:rStyle w:val="a5"/>
                  <w:rFonts w:ascii="sans-serif" w:eastAsia="sans-serif" w:hAnsi="sans-serif" w:cs="sans-serif"/>
                  <w:sz w:val="20"/>
                  <w:szCs w:val="20"/>
                </w:rPr>
                <w:t>Item 3.</w:t>
              </w:r>
            </w:hyperlink>
          </w:p>
        </w:tc>
        <w:tc>
          <w:tcPr>
            <w:tcW w:w="0" w:type="auto"/>
            <w:gridSpan w:val="3"/>
            <w:shd w:val="clear" w:color="auto" w:fill="auto"/>
            <w:tcMar>
              <w:top w:w="40" w:type="dxa"/>
              <w:left w:w="20" w:type="dxa"/>
              <w:bottom w:w="40" w:type="dxa"/>
              <w:right w:w="20" w:type="dxa"/>
            </w:tcMar>
            <w:vAlign w:val="bottom"/>
          </w:tcPr>
          <w:p w14:paraId="19501FD4" w14:textId="77777777" w:rsidR="00BF3A3A" w:rsidRDefault="00A76802">
            <w:pPr>
              <w:textAlignment w:val="bottom"/>
            </w:pPr>
            <w:r>
              <w:rPr>
                <w:rFonts w:ascii="sans-serif" w:eastAsia="sans-serif" w:hAnsi="sans-serif" w:cs="sans-serif"/>
                <w:color w:val="000000"/>
                <w:sz w:val="20"/>
                <w:szCs w:val="20"/>
              </w:rPr>
              <w:t>Quantitative and Qualitative Disclosures About Market Risk</w:t>
            </w:r>
          </w:p>
        </w:tc>
        <w:tc>
          <w:tcPr>
            <w:tcW w:w="0" w:type="auto"/>
            <w:gridSpan w:val="3"/>
            <w:shd w:val="clear" w:color="auto" w:fill="auto"/>
            <w:tcMar>
              <w:top w:w="40" w:type="dxa"/>
              <w:left w:w="20" w:type="dxa"/>
              <w:bottom w:w="40" w:type="dxa"/>
              <w:right w:w="20" w:type="dxa"/>
            </w:tcMar>
            <w:vAlign w:val="bottom"/>
          </w:tcPr>
          <w:p w14:paraId="19501FD5" w14:textId="77777777" w:rsidR="00BF3A3A" w:rsidRDefault="00A76802">
            <w:pPr>
              <w:jc w:val="right"/>
              <w:textAlignment w:val="bottom"/>
            </w:pPr>
            <w:hyperlink r:id="rId18" w:anchor="iddff599c684c453992c7d11bd14caa14_106" w:history="1">
              <w:r>
                <w:rPr>
                  <w:rStyle w:val="a5"/>
                  <w:rFonts w:ascii="sans-serif" w:eastAsia="sans-serif" w:hAnsi="sans-serif" w:cs="sans-serif"/>
                  <w:sz w:val="20"/>
                  <w:szCs w:val="20"/>
                </w:rPr>
                <w:t>33</w:t>
              </w:r>
            </w:hyperlink>
          </w:p>
        </w:tc>
      </w:tr>
      <w:tr w:rsidR="00BF3A3A" w14:paraId="19501FDA" w14:textId="77777777">
        <w:trPr>
          <w:trHeight w:val="60"/>
          <w:jc w:val="center"/>
        </w:trPr>
        <w:tc>
          <w:tcPr>
            <w:tcW w:w="0" w:type="auto"/>
            <w:gridSpan w:val="3"/>
            <w:shd w:val="clear" w:color="auto" w:fill="auto"/>
            <w:tcMar>
              <w:top w:w="0" w:type="dxa"/>
              <w:left w:w="20" w:type="dxa"/>
              <w:bottom w:w="0" w:type="dxa"/>
              <w:right w:w="20" w:type="dxa"/>
            </w:tcMar>
            <w:vAlign w:val="bottom"/>
          </w:tcPr>
          <w:p w14:paraId="19501FD7"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1FD8"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1FD9" w14:textId="77777777" w:rsidR="00BF3A3A" w:rsidRDefault="00BF3A3A">
            <w:pPr>
              <w:rPr>
                <w:rFonts w:ascii="宋体"/>
              </w:rPr>
            </w:pPr>
          </w:p>
        </w:tc>
      </w:tr>
      <w:tr w:rsidR="00BF3A3A" w14:paraId="19501FDE" w14:textId="77777777">
        <w:trPr>
          <w:jc w:val="center"/>
        </w:trPr>
        <w:tc>
          <w:tcPr>
            <w:tcW w:w="0" w:type="auto"/>
            <w:gridSpan w:val="3"/>
            <w:shd w:val="clear" w:color="auto" w:fill="auto"/>
            <w:tcMar>
              <w:top w:w="40" w:type="dxa"/>
              <w:left w:w="20" w:type="dxa"/>
              <w:bottom w:w="40" w:type="dxa"/>
              <w:right w:w="20" w:type="dxa"/>
            </w:tcMar>
            <w:vAlign w:val="bottom"/>
          </w:tcPr>
          <w:p w14:paraId="19501FDB" w14:textId="77777777" w:rsidR="00BF3A3A" w:rsidRDefault="00A76802">
            <w:pPr>
              <w:textAlignment w:val="bottom"/>
            </w:pPr>
            <w:hyperlink r:id="rId19" w:anchor="iddff599c684c453992c7d11bd14caa14_109" w:history="1">
              <w:r>
                <w:rPr>
                  <w:rStyle w:val="a5"/>
                  <w:rFonts w:ascii="sans-serif" w:eastAsia="sans-serif" w:hAnsi="sans-serif" w:cs="sans-serif"/>
                  <w:sz w:val="20"/>
                  <w:szCs w:val="20"/>
                </w:rPr>
                <w:t>Item 4.</w:t>
              </w:r>
            </w:hyperlink>
          </w:p>
        </w:tc>
        <w:tc>
          <w:tcPr>
            <w:tcW w:w="0" w:type="auto"/>
            <w:gridSpan w:val="3"/>
            <w:shd w:val="clear" w:color="auto" w:fill="auto"/>
            <w:tcMar>
              <w:top w:w="40" w:type="dxa"/>
              <w:left w:w="20" w:type="dxa"/>
              <w:bottom w:w="40" w:type="dxa"/>
              <w:right w:w="20" w:type="dxa"/>
            </w:tcMar>
            <w:vAlign w:val="bottom"/>
          </w:tcPr>
          <w:p w14:paraId="19501FDC" w14:textId="77777777" w:rsidR="00BF3A3A" w:rsidRDefault="00A76802">
            <w:pPr>
              <w:textAlignment w:val="bottom"/>
            </w:pPr>
            <w:r>
              <w:rPr>
                <w:rFonts w:ascii="sans-serif" w:eastAsia="sans-serif" w:hAnsi="sans-serif" w:cs="sans-serif"/>
                <w:color w:val="000000"/>
                <w:sz w:val="20"/>
                <w:szCs w:val="20"/>
              </w:rPr>
              <w:t>Controls and Procedures</w:t>
            </w:r>
          </w:p>
        </w:tc>
        <w:tc>
          <w:tcPr>
            <w:tcW w:w="0" w:type="auto"/>
            <w:gridSpan w:val="3"/>
            <w:shd w:val="clear" w:color="auto" w:fill="auto"/>
            <w:tcMar>
              <w:top w:w="40" w:type="dxa"/>
              <w:left w:w="20" w:type="dxa"/>
              <w:bottom w:w="40" w:type="dxa"/>
              <w:right w:w="20" w:type="dxa"/>
            </w:tcMar>
            <w:vAlign w:val="bottom"/>
          </w:tcPr>
          <w:p w14:paraId="19501FDD" w14:textId="77777777" w:rsidR="00BF3A3A" w:rsidRDefault="00A76802">
            <w:pPr>
              <w:jc w:val="right"/>
              <w:textAlignment w:val="bottom"/>
            </w:pPr>
            <w:hyperlink r:id="rId20" w:anchor="iddff599c684c453992c7d11bd14caa14_109" w:history="1">
              <w:r>
                <w:rPr>
                  <w:rStyle w:val="a5"/>
                  <w:rFonts w:ascii="sans-serif" w:eastAsia="sans-serif" w:hAnsi="sans-serif" w:cs="sans-serif"/>
                  <w:sz w:val="20"/>
                  <w:szCs w:val="20"/>
                </w:rPr>
                <w:t>33</w:t>
              </w:r>
            </w:hyperlink>
          </w:p>
        </w:tc>
      </w:tr>
      <w:tr w:rsidR="00BF3A3A" w14:paraId="19501FE2" w14:textId="77777777">
        <w:trPr>
          <w:trHeight w:val="60"/>
          <w:jc w:val="center"/>
        </w:trPr>
        <w:tc>
          <w:tcPr>
            <w:tcW w:w="0" w:type="auto"/>
            <w:gridSpan w:val="3"/>
            <w:shd w:val="clear" w:color="auto" w:fill="auto"/>
            <w:tcMar>
              <w:top w:w="0" w:type="dxa"/>
              <w:left w:w="20" w:type="dxa"/>
              <w:bottom w:w="0" w:type="dxa"/>
              <w:right w:w="20" w:type="dxa"/>
            </w:tcMar>
            <w:vAlign w:val="bottom"/>
          </w:tcPr>
          <w:p w14:paraId="19501FDF"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1FE0"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1FE1" w14:textId="77777777" w:rsidR="00BF3A3A" w:rsidRDefault="00BF3A3A">
            <w:pPr>
              <w:rPr>
                <w:rFonts w:ascii="宋体"/>
              </w:rPr>
            </w:pPr>
          </w:p>
        </w:tc>
      </w:tr>
      <w:tr w:rsidR="00BF3A3A" w14:paraId="19501FE6" w14:textId="77777777">
        <w:trPr>
          <w:jc w:val="center"/>
        </w:trPr>
        <w:tc>
          <w:tcPr>
            <w:tcW w:w="0" w:type="auto"/>
            <w:gridSpan w:val="3"/>
            <w:shd w:val="clear" w:color="auto" w:fill="auto"/>
            <w:tcMar>
              <w:top w:w="40" w:type="dxa"/>
              <w:left w:w="20" w:type="dxa"/>
              <w:bottom w:w="40" w:type="dxa"/>
              <w:right w:w="20" w:type="dxa"/>
            </w:tcMar>
            <w:vAlign w:val="bottom"/>
          </w:tcPr>
          <w:p w14:paraId="19501FE3"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9501FE4" w14:textId="77777777" w:rsidR="00BF3A3A" w:rsidRDefault="00A76802">
            <w:pPr>
              <w:jc w:val="center"/>
              <w:textAlignment w:val="bottom"/>
            </w:pPr>
            <w:hyperlink r:id="rId21" w:anchor="iddff599c684c453992c7d11bd14caa14_112" w:history="1">
              <w:r>
                <w:rPr>
                  <w:rStyle w:val="a5"/>
                  <w:rFonts w:ascii="sans-serif" w:eastAsia="sans-serif" w:hAnsi="sans-serif" w:cs="sans-serif"/>
                  <w:b/>
                  <w:bCs/>
                  <w:sz w:val="20"/>
                  <w:szCs w:val="20"/>
                </w:rPr>
                <w:t>PART II : OTHER INFORMATION</w:t>
              </w:r>
            </w:hyperlink>
          </w:p>
        </w:tc>
        <w:tc>
          <w:tcPr>
            <w:tcW w:w="0" w:type="auto"/>
            <w:gridSpan w:val="3"/>
            <w:shd w:val="clear" w:color="auto" w:fill="auto"/>
            <w:tcMar>
              <w:top w:w="40" w:type="dxa"/>
              <w:left w:w="20" w:type="dxa"/>
              <w:bottom w:w="40" w:type="dxa"/>
              <w:right w:w="20" w:type="dxa"/>
            </w:tcMar>
            <w:vAlign w:val="bottom"/>
          </w:tcPr>
          <w:p w14:paraId="19501FE5" w14:textId="77777777" w:rsidR="00BF3A3A" w:rsidRDefault="00A76802">
            <w:pPr>
              <w:jc w:val="right"/>
              <w:textAlignment w:val="bottom"/>
            </w:pPr>
            <w:r>
              <w:rPr>
                <w:rFonts w:ascii="sans-serif" w:eastAsia="sans-serif" w:hAnsi="sans-serif" w:cs="sans-serif"/>
                <w:color w:val="000000"/>
                <w:sz w:val="20"/>
                <w:szCs w:val="20"/>
              </w:rPr>
              <w:t> </w:t>
            </w:r>
          </w:p>
        </w:tc>
      </w:tr>
      <w:tr w:rsidR="00BF3A3A" w14:paraId="19501FEA" w14:textId="77777777">
        <w:trPr>
          <w:trHeight w:val="60"/>
          <w:jc w:val="center"/>
        </w:trPr>
        <w:tc>
          <w:tcPr>
            <w:tcW w:w="0" w:type="auto"/>
            <w:gridSpan w:val="3"/>
            <w:shd w:val="clear" w:color="auto" w:fill="auto"/>
            <w:tcMar>
              <w:top w:w="0" w:type="dxa"/>
              <w:left w:w="20" w:type="dxa"/>
              <w:bottom w:w="0" w:type="dxa"/>
              <w:right w:w="20" w:type="dxa"/>
            </w:tcMar>
            <w:vAlign w:val="bottom"/>
          </w:tcPr>
          <w:p w14:paraId="19501FE7"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1FE8"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1FE9" w14:textId="77777777" w:rsidR="00BF3A3A" w:rsidRDefault="00BF3A3A">
            <w:pPr>
              <w:rPr>
                <w:rFonts w:ascii="宋体"/>
              </w:rPr>
            </w:pPr>
          </w:p>
        </w:tc>
      </w:tr>
      <w:tr w:rsidR="00BF3A3A" w14:paraId="19501FEE" w14:textId="77777777">
        <w:trPr>
          <w:jc w:val="center"/>
        </w:trPr>
        <w:tc>
          <w:tcPr>
            <w:tcW w:w="0" w:type="auto"/>
            <w:gridSpan w:val="3"/>
            <w:shd w:val="clear" w:color="auto" w:fill="auto"/>
            <w:tcMar>
              <w:top w:w="40" w:type="dxa"/>
              <w:left w:w="20" w:type="dxa"/>
              <w:bottom w:w="40" w:type="dxa"/>
              <w:right w:w="20" w:type="dxa"/>
            </w:tcMar>
            <w:vAlign w:val="bottom"/>
          </w:tcPr>
          <w:p w14:paraId="19501FEB" w14:textId="77777777" w:rsidR="00BF3A3A" w:rsidRDefault="00A76802">
            <w:pPr>
              <w:textAlignment w:val="bottom"/>
            </w:pPr>
            <w:hyperlink r:id="rId22" w:anchor="iddff599c684c453992c7d11bd14caa14_115" w:history="1">
              <w:r>
                <w:rPr>
                  <w:rStyle w:val="a5"/>
                  <w:rFonts w:ascii="sans-serif" w:eastAsia="sans-serif" w:hAnsi="sans-serif" w:cs="sans-serif"/>
                  <w:sz w:val="20"/>
                  <w:szCs w:val="20"/>
                </w:rPr>
                <w:t>Item 1.</w:t>
              </w:r>
            </w:hyperlink>
          </w:p>
        </w:tc>
        <w:tc>
          <w:tcPr>
            <w:tcW w:w="0" w:type="auto"/>
            <w:gridSpan w:val="3"/>
            <w:shd w:val="clear" w:color="auto" w:fill="auto"/>
            <w:tcMar>
              <w:top w:w="40" w:type="dxa"/>
              <w:left w:w="20" w:type="dxa"/>
              <w:bottom w:w="40" w:type="dxa"/>
              <w:right w:w="20" w:type="dxa"/>
            </w:tcMar>
            <w:vAlign w:val="bottom"/>
          </w:tcPr>
          <w:p w14:paraId="19501FEC" w14:textId="77777777" w:rsidR="00BF3A3A" w:rsidRDefault="00A76802">
            <w:pPr>
              <w:textAlignment w:val="bottom"/>
            </w:pPr>
            <w:r>
              <w:rPr>
                <w:rFonts w:ascii="sans-serif" w:eastAsia="sans-serif" w:hAnsi="sans-serif" w:cs="sans-serif"/>
                <w:color w:val="000000"/>
                <w:sz w:val="20"/>
                <w:szCs w:val="20"/>
              </w:rPr>
              <w:t>Legal Proceedings</w:t>
            </w:r>
          </w:p>
        </w:tc>
        <w:tc>
          <w:tcPr>
            <w:tcW w:w="0" w:type="auto"/>
            <w:gridSpan w:val="3"/>
            <w:shd w:val="clear" w:color="auto" w:fill="auto"/>
            <w:tcMar>
              <w:top w:w="40" w:type="dxa"/>
              <w:left w:w="20" w:type="dxa"/>
              <w:bottom w:w="40" w:type="dxa"/>
              <w:right w:w="20" w:type="dxa"/>
            </w:tcMar>
            <w:vAlign w:val="bottom"/>
          </w:tcPr>
          <w:p w14:paraId="19501FED" w14:textId="77777777" w:rsidR="00BF3A3A" w:rsidRDefault="00A76802">
            <w:pPr>
              <w:jc w:val="right"/>
              <w:textAlignment w:val="bottom"/>
            </w:pPr>
            <w:hyperlink r:id="rId23" w:anchor="iddff599c684c453992c7d11bd14caa14_115" w:history="1">
              <w:r>
                <w:rPr>
                  <w:rStyle w:val="a5"/>
                  <w:rFonts w:ascii="sans-serif" w:eastAsia="sans-serif" w:hAnsi="sans-serif" w:cs="sans-serif"/>
                  <w:sz w:val="20"/>
                  <w:szCs w:val="20"/>
                </w:rPr>
                <w:t>34</w:t>
              </w:r>
            </w:hyperlink>
          </w:p>
        </w:tc>
      </w:tr>
      <w:tr w:rsidR="00BF3A3A" w14:paraId="19501FF2" w14:textId="77777777">
        <w:trPr>
          <w:trHeight w:val="60"/>
          <w:jc w:val="center"/>
        </w:trPr>
        <w:tc>
          <w:tcPr>
            <w:tcW w:w="0" w:type="auto"/>
            <w:gridSpan w:val="3"/>
            <w:shd w:val="clear" w:color="auto" w:fill="auto"/>
            <w:tcMar>
              <w:top w:w="0" w:type="dxa"/>
              <w:left w:w="20" w:type="dxa"/>
              <w:bottom w:w="0" w:type="dxa"/>
              <w:right w:w="20" w:type="dxa"/>
            </w:tcMar>
            <w:vAlign w:val="bottom"/>
          </w:tcPr>
          <w:p w14:paraId="19501FEF"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1FF0"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1FF1" w14:textId="77777777" w:rsidR="00BF3A3A" w:rsidRDefault="00BF3A3A">
            <w:pPr>
              <w:rPr>
                <w:rFonts w:ascii="宋体"/>
              </w:rPr>
            </w:pPr>
          </w:p>
        </w:tc>
      </w:tr>
      <w:tr w:rsidR="00BF3A3A" w14:paraId="19501FF6" w14:textId="77777777">
        <w:trPr>
          <w:jc w:val="center"/>
        </w:trPr>
        <w:tc>
          <w:tcPr>
            <w:tcW w:w="0" w:type="auto"/>
            <w:gridSpan w:val="3"/>
            <w:shd w:val="clear" w:color="auto" w:fill="auto"/>
            <w:tcMar>
              <w:top w:w="40" w:type="dxa"/>
              <w:left w:w="20" w:type="dxa"/>
              <w:bottom w:w="40" w:type="dxa"/>
              <w:right w:w="20" w:type="dxa"/>
            </w:tcMar>
            <w:vAlign w:val="bottom"/>
          </w:tcPr>
          <w:p w14:paraId="19501FF3" w14:textId="77777777" w:rsidR="00BF3A3A" w:rsidRDefault="00A76802">
            <w:pPr>
              <w:textAlignment w:val="bottom"/>
            </w:pPr>
            <w:hyperlink r:id="rId24" w:anchor="iddff599c684c453992c7d11bd14caa14_118" w:history="1">
              <w:r>
                <w:rPr>
                  <w:rStyle w:val="a5"/>
                  <w:rFonts w:ascii="sans-serif" w:eastAsia="sans-serif" w:hAnsi="sans-serif" w:cs="sans-serif"/>
                  <w:sz w:val="20"/>
                  <w:szCs w:val="20"/>
                </w:rPr>
                <w:t>Item 1A.</w:t>
              </w:r>
            </w:hyperlink>
          </w:p>
        </w:tc>
        <w:tc>
          <w:tcPr>
            <w:tcW w:w="0" w:type="auto"/>
            <w:gridSpan w:val="3"/>
            <w:shd w:val="clear" w:color="auto" w:fill="auto"/>
            <w:tcMar>
              <w:top w:w="40" w:type="dxa"/>
              <w:left w:w="20" w:type="dxa"/>
              <w:bottom w:w="40" w:type="dxa"/>
              <w:right w:w="20" w:type="dxa"/>
            </w:tcMar>
            <w:vAlign w:val="bottom"/>
          </w:tcPr>
          <w:p w14:paraId="19501FF4" w14:textId="77777777" w:rsidR="00BF3A3A" w:rsidRDefault="00A76802">
            <w:pPr>
              <w:textAlignment w:val="bottom"/>
            </w:pPr>
            <w:r>
              <w:rPr>
                <w:rFonts w:ascii="sans-serif" w:eastAsia="sans-serif" w:hAnsi="sans-serif" w:cs="sans-serif"/>
                <w:color w:val="000000"/>
                <w:sz w:val="20"/>
                <w:szCs w:val="20"/>
              </w:rPr>
              <w:t>Risk Factors</w:t>
            </w:r>
          </w:p>
        </w:tc>
        <w:tc>
          <w:tcPr>
            <w:tcW w:w="0" w:type="auto"/>
            <w:gridSpan w:val="3"/>
            <w:shd w:val="clear" w:color="auto" w:fill="auto"/>
            <w:tcMar>
              <w:top w:w="40" w:type="dxa"/>
              <w:left w:w="20" w:type="dxa"/>
              <w:bottom w:w="40" w:type="dxa"/>
              <w:right w:w="20" w:type="dxa"/>
            </w:tcMar>
            <w:vAlign w:val="bottom"/>
          </w:tcPr>
          <w:p w14:paraId="19501FF5" w14:textId="77777777" w:rsidR="00BF3A3A" w:rsidRDefault="00A76802">
            <w:pPr>
              <w:jc w:val="right"/>
              <w:textAlignment w:val="bottom"/>
            </w:pPr>
            <w:hyperlink r:id="rId25" w:anchor="iddff599c684c453992c7d11bd14caa14_118" w:history="1">
              <w:r>
                <w:rPr>
                  <w:rStyle w:val="a5"/>
                  <w:rFonts w:ascii="sans-serif" w:eastAsia="sans-serif" w:hAnsi="sans-serif" w:cs="sans-serif"/>
                  <w:sz w:val="20"/>
                  <w:szCs w:val="20"/>
                </w:rPr>
                <w:t>34</w:t>
              </w:r>
            </w:hyperlink>
          </w:p>
        </w:tc>
      </w:tr>
      <w:tr w:rsidR="00BF3A3A" w14:paraId="19501FFA" w14:textId="77777777">
        <w:trPr>
          <w:trHeight w:val="60"/>
          <w:jc w:val="center"/>
        </w:trPr>
        <w:tc>
          <w:tcPr>
            <w:tcW w:w="0" w:type="auto"/>
            <w:gridSpan w:val="3"/>
            <w:shd w:val="clear" w:color="auto" w:fill="auto"/>
            <w:tcMar>
              <w:top w:w="0" w:type="dxa"/>
              <w:left w:w="20" w:type="dxa"/>
              <w:bottom w:w="0" w:type="dxa"/>
              <w:right w:w="20" w:type="dxa"/>
            </w:tcMar>
            <w:vAlign w:val="bottom"/>
          </w:tcPr>
          <w:p w14:paraId="19501FF7"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1FF8"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1FF9" w14:textId="77777777" w:rsidR="00BF3A3A" w:rsidRDefault="00BF3A3A">
            <w:pPr>
              <w:rPr>
                <w:rFonts w:ascii="宋体"/>
              </w:rPr>
            </w:pPr>
          </w:p>
        </w:tc>
      </w:tr>
      <w:tr w:rsidR="00BF3A3A" w14:paraId="19501FFE" w14:textId="77777777">
        <w:trPr>
          <w:jc w:val="center"/>
        </w:trPr>
        <w:tc>
          <w:tcPr>
            <w:tcW w:w="0" w:type="auto"/>
            <w:gridSpan w:val="3"/>
            <w:shd w:val="clear" w:color="auto" w:fill="auto"/>
            <w:tcMar>
              <w:top w:w="40" w:type="dxa"/>
              <w:left w:w="20" w:type="dxa"/>
              <w:bottom w:w="40" w:type="dxa"/>
              <w:right w:w="20" w:type="dxa"/>
            </w:tcMar>
            <w:vAlign w:val="bottom"/>
          </w:tcPr>
          <w:p w14:paraId="19501FFB" w14:textId="77777777" w:rsidR="00BF3A3A" w:rsidRDefault="00A76802">
            <w:pPr>
              <w:textAlignment w:val="bottom"/>
            </w:pPr>
            <w:hyperlink r:id="rId26" w:anchor="iddff599c684c453992c7d11bd14caa14_121" w:history="1">
              <w:r>
                <w:rPr>
                  <w:rStyle w:val="a5"/>
                  <w:rFonts w:ascii="sans-serif" w:eastAsia="sans-serif" w:hAnsi="sans-serif" w:cs="sans-serif"/>
                  <w:sz w:val="20"/>
                  <w:szCs w:val="20"/>
                </w:rPr>
                <w:t>Item 2.</w:t>
              </w:r>
            </w:hyperlink>
          </w:p>
        </w:tc>
        <w:tc>
          <w:tcPr>
            <w:tcW w:w="0" w:type="auto"/>
            <w:gridSpan w:val="3"/>
            <w:shd w:val="clear" w:color="auto" w:fill="auto"/>
            <w:tcMar>
              <w:top w:w="40" w:type="dxa"/>
              <w:left w:w="20" w:type="dxa"/>
              <w:bottom w:w="40" w:type="dxa"/>
              <w:right w:w="20" w:type="dxa"/>
            </w:tcMar>
            <w:vAlign w:val="bottom"/>
          </w:tcPr>
          <w:p w14:paraId="19501FFC" w14:textId="77777777" w:rsidR="00BF3A3A" w:rsidRDefault="00A76802">
            <w:pPr>
              <w:textAlignment w:val="bottom"/>
            </w:pPr>
            <w:r>
              <w:rPr>
                <w:rFonts w:ascii="sans-serif" w:eastAsia="sans-serif" w:hAnsi="sans-serif" w:cs="sans-serif"/>
                <w:color w:val="000000"/>
                <w:sz w:val="20"/>
                <w:szCs w:val="20"/>
              </w:rPr>
              <w:t>Unregistered Sales of Equity Securities and Use of Proceeds</w:t>
            </w:r>
          </w:p>
        </w:tc>
        <w:tc>
          <w:tcPr>
            <w:tcW w:w="0" w:type="auto"/>
            <w:gridSpan w:val="3"/>
            <w:shd w:val="clear" w:color="auto" w:fill="auto"/>
            <w:tcMar>
              <w:top w:w="40" w:type="dxa"/>
              <w:left w:w="20" w:type="dxa"/>
              <w:bottom w:w="40" w:type="dxa"/>
              <w:right w:w="20" w:type="dxa"/>
            </w:tcMar>
            <w:vAlign w:val="bottom"/>
          </w:tcPr>
          <w:p w14:paraId="19501FFD" w14:textId="77777777" w:rsidR="00BF3A3A" w:rsidRDefault="00A76802">
            <w:pPr>
              <w:jc w:val="right"/>
              <w:textAlignment w:val="bottom"/>
            </w:pPr>
            <w:hyperlink r:id="rId27" w:anchor="iddff599c684c453992c7d11bd14caa14_121" w:history="1">
              <w:r>
                <w:rPr>
                  <w:rStyle w:val="a5"/>
                  <w:rFonts w:ascii="sans-serif" w:eastAsia="sans-serif" w:hAnsi="sans-serif" w:cs="sans-serif"/>
                  <w:sz w:val="20"/>
                  <w:szCs w:val="20"/>
                </w:rPr>
                <w:t>43</w:t>
              </w:r>
            </w:hyperlink>
          </w:p>
        </w:tc>
      </w:tr>
      <w:tr w:rsidR="00BF3A3A" w14:paraId="19502002" w14:textId="77777777">
        <w:trPr>
          <w:trHeight w:val="60"/>
          <w:jc w:val="center"/>
        </w:trPr>
        <w:tc>
          <w:tcPr>
            <w:tcW w:w="0" w:type="auto"/>
            <w:gridSpan w:val="3"/>
            <w:shd w:val="clear" w:color="auto" w:fill="auto"/>
            <w:tcMar>
              <w:top w:w="0" w:type="dxa"/>
              <w:left w:w="20" w:type="dxa"/>
              <w:bottom w:w="0" w:type="dxa"/>
              <w:right w:w="20" w:type="dxa"/>
            </w:tcMar>
            <w:vAlign w:val="bottom"/>
          </w:tcPr>
          <w:p w14:paraId="19501FFF"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000"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001" w14:textId="77777777" w:rsidR="00BF3A3A" w:rsidRDefault="00BF3A3A">
            <w:pPr>
              <w:rPr>
                <w:rFonts w:ascii="宋体"/>
              </w:rPr>
            </w:pPr>
          </w:p>
        </w:tc>
      </w:tr>
      <w:tr w:rsidR="00BF3A3A" w14:paraId="19502006" w14:textId="77777777">
        <w:trPr>
          <w:jc w:val="center"/>
        </w:trPr>
        <w:tc>
          <w:tcPr>
            <w:tcW w:w="0" w:type="auto"/>
            <w:gridSpan w:val="3"/>
            <w:shd w:val="clear" w:color="auto" w:fill="auto"/>
            <w:tcMar>
              <w:top w:w="40" w:type="dxa"/>
              <w:left w:w="20" w:type="dxa"/>
              <w:bottom w:w="40" w:type="dxa"/>
              <w:right w:w="20" w:type="dxa"/>
            </w:tcMar>
            <w:vAlign w:val="bottom"/>
          </w:tcPr>
          <w:p w14:paraId="19502003" w14:textId="77777777" w:rsidR="00BF3A3A" w:rsidRDefault="00A76802">
            <w:pPr>
              <w:textAlignment w:val="bottom"/>
            </w:pPr>
            <w:hyperlink r:id="rId28" w:anchor="iddff599c684c453992c7d11bd14caa14_124" w:history="1">
              <w:r>
                <w:rPr>
                  <w:rStyle w:val="a5"/>
                  <w:rFonts w:ascii="sans-serif" w:eastAsia="sans-serif" w:hAnsi="sans-serif" w:cs="sans-serif"/>
                  <w:sz w:val="20"/>
                  <w:szCs w:val="20"/>
                </w:rPr>
                <w:t>Item 6.</w:t>
              </w:r>
            </w:hyperlink>
          </w:p>
        </w:tc>
        <w:tc>
          <w:tcPr>
            <w:tcW w:w="0" w:type="auto"/>
            <w:gridSpan w:val="3"/>
            <w:shd w:val="clear" w:color="auto" w:fill="auto"/>
            <w:tcMar>
              <w:top w:w="40" w:type="dxa"/>
              <w:left w:w="20" w:type="dxa"/>
              <w:bottom w:w="40" w:type="dxa"/>
              <w:right w:w="20" w:type="dxa"/>
            </w:tcMar>
            <w:vAlign w:val="bottom"/>
          </w:tcPr>
          <w:p w14:paraId="19502004" w14:textId="77777777" w:rsidR="00BF3A3A" w:rsidRDefault="00A76802">
            <w:pPr>
              <w:textAlignment w:val="bottom"/>
            </w:pPr>
            <w:r>
              <w:rPr>
                <w:rFonts w:ascii="sans-serif" w:eastAsia="sans-serif" w:hAnsi="sans-serif" w:cs="sans-serif"/>
                <w:color w:val="000000"/>
                <w:sz w:val="20"/>
                <w:szCs w:val="20"/>
              </w:rPr>
              <w:t>Exhibits</w:t>
            </w:r>
          </w:p>
        </w:tc>
        <w:tc>
          <w:tcPr>
            <w:tcW w:w="0" w:type="auto"/>
            <w:gridSpan w:val="3"/>
            <w:shd w:val="clear" w:color="auto" w:fill="auto"/>
            <w:tcMar>
              <w:top w:w="40" w:type="dxa"/>
              <w:left w:w="20" w:type="dxa"/>
              <w:bottom w:w="40" w:type="dxa"/>
              <w:right w:w="20" w:type="dxa"/>
            </w:tcMar>
            <w:vAlign w:val="bottom"/>
          </w:tcPr>
          <w:p w14:paraId="19502005" w14:textId="77777777" w:rsidR="00BF3A3A" w:rsidRDefault="00A76802">
            <w:pPr>
              <w:jc w:val="right"/>
              <w:textAlignment w:val="bottom"/>
            </w:pPr>
            <w:hyperlink r:id="rId29" w:anchor="iddff599c684c453992c7d11bd14caa14_124" w:history="1">
              <w:r>
                <w:rPr>
                  <w:rStyle w:val="a5"/>
                  <w:rFonts w:ascii="sans-serif" w:eastAsia="sans-serif" w:hAnsi="sans-serif" w:cs="sans-serif"/>
                  <w:sz w:val="20"/>
                  <w:szCs w:val="20"/>
                </w:rPr>
                <w:t>46</w:t>
              </w:r>
            </w:hyperlink>
          </w:p>
        </w:tc>
      </w:tr>
      <w:tr w:rsidR="00BF3A3A" w14:paraId="1950200A" w14:textId="77777777">
        <w:trPr>
          <w:trHeight w:val="60"/>
          <w:jc w:val="center"/>
        </w:trPr>
        <w:tc>
          <w:tcPr>
            <w:tcW w:w="0" w:type="auto"/>
            <w:gridSpan w:val="3"/>
            <w:shd w:val="clear" w:color="auto" w:fill="auto"/>
            <w:tcMar>
              <w:top w:w="0" w:type="dxa"/>
              <w:left w:w="20" w:type="dxa"/>
              <w:bottom w:w="0" w:type="dxa"/>
              <w:right w:w="20" w:type="dxa"/>
            </w:tcMar>
            <w:vAlign w:val="bottom"/>
          </w:tcPr>
          <w:p w14:paraId="19502007"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008"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009" w14:textId="77777777" w:rsidR="00BF3A3A" w:rsidRDefault="00BF3A3A">
            <w:pPr>
              <w:rPr>
                <w:rFonts w:ascii="宋体"/>
              </w:rPr>
            </w:pPr>
          </w:p>
        </w:tc>
      </w:tr>
      <w:tr w:rsidR="00BF3A3A" w14:paraId="1950200E" w14:textId="77777777">
        <w:trPr>
          <w:jc w:val="center"/>
        </w:trPr>
        <w:tc>
          <w:tcPr>
            <w:tcW w:w="0" w:type="auto"/>
            <w:gridSpan w:val="3"/>
            <w:shd w:val="clear" w:color="auto" w:fill="auto"/>
            <w:tcMar>
              <w:top w:w="40" w:type="dxa"/>
              <w:left w:w="20" w:type="dxa"/>
              <w:bottom w:w="40" w:type="dxa"/>
              <w:right w:w="20" w:type="dxa"/>
            </w:tcMar>
            <w:vAlign w:val="bottom"/>
          </w:tcPr>
          <w:p w14:paraId="1950200B" w14:textId="77777777" w:rsidR="00BF3A3A" w:rsidRDefault="00A76802">
            <w:pPr>
              <w:textAlignment w:val="bottom"/>
            </w:pPr>
            <w:hyperlink r:id="rId30" w:anchor="iddff599c684c453992c7d11bd14caa14_127" w:history="1">
              <w:r>
                <w:rPr>
                  <w:rStyle w:val="a5"/>
                  <w:rFonts w:ascii="sans-serif" w:eastAsia="sans-serif" w:hAnsi="sans-serif" w:cs="sans-serif"/>
                  <w:sz w:val="20"/>
                  <w:szCs w:val="20"/>
                </w:rPr>
                <w:t>Signature</w:t>
              </w:r>
            </w:hyperlink>
          </w:p>
        </w:tc>
        <w:tc>
          <w:tcPr>
            <w:tcW w:w="0" w:type="auto"/>
            <w:gridSpan w:val="3"/>
            <w:shd w:val="clear" w:color="auto" w:fill="auto"/>
            <w:tcMar>
              <w:top w:w="40" w:type="dxa"/>
              <w:left w:w="20" w:type="dxa"/>
              <w:bottom w:w="40" w:type="dxa"/>
              <w:right w:w="20" w:type="dxa"/>
            </w:tcMar>
            <w:vAlign w:val="bottom"/>
          </w:tcPr>
          <w:p w14:paraId="1950200C"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950200D" w14:textId="77777777" w:rsidR="00BF3A3A" w:rsidRDefault="00A76802">
            <w:pPr>
              <w:jc w:val="right"/>
              <w:textAlignment w:val="bottom"/>
            </w:pPr>
            <w:hyperlink r:id="rId31" w:anchor="iddff599c684c453992c7d11bd14caa14_127" w:history="1">
              <w:r>
                <w:rPr>
                  <w:rStyle w:val="a5"/>
                  <w:rFonts w:ascii="sans-serif" w:eastAsia="sans-serif" w:hAnsi="sans-serif" w:cs="sans-serif"/>
                  <w:sz w:val="20"/>
                  <w:szCs w:val="20"/>
                </w:rPr>
                <w:t>47</w:t>
              </w:r>
            </w:hyperlink>
          </w:p>
        </w:tc>
      </w:tr>
    </w:tbl>
    <w:p w14:paraId="1950200F" w14:textId="77777777" w:rsidR="00BF3A3A" w:rsidRDefault="00A76802">
      <w:pPr>
        <w:spacing w:before="240" w:after="120"/>
        <w:jc w:val="both"/>
      </w:pPr>
      <w:r>
        <w:rPr>
          <w:rFonts w:ascii="sans-serif" w:eastAsia="sans-serif" w:hAnsi="sans-serif" w:cs="sans-serif"/>
          <w:b/>
          <w:bCs/>
          <w:color w:val="76B900"/>
          <w:sz w:val="22"/>
          <w:szCs w:val="22"/>
        </w:rPr>
        <w:t>WHERE YOU CAN FIND MORE INFORMATION</w:t>
      </w:r>
    </w:p>
    <w:p w14:paraId="19502010" w14:textId="77777777" w:rsidR="00BF3A3A" w:rsidRDefault="00A76802">
      <w:pPr>
        <w:spacing w:after="180"/>
        <w:jc w:val="both"/>
      </w:pPr>
      <w:r>
        <w:rPr>
          <w:rFonts w:ascii="sans-serif" w:eastAsia="sans-serif" w:hAnsi="sans-serif" w:cs="sans-serif"/>
          <w:color w:val="000000"/>
          <w:sz w:val="20"/>
          <w:szCs w:val="20"/>
        </w:rPr>
        <w:t>Investors and others should note that we announce material fi</w:t>
      </w:r>
      <w:r>
        <w:rPr>
          <w:rFonts w:ascii="sans-serif" w:eastAsia="sans-serif" w:hAnsi="sans-serif" w:cs="sans-serif"/>
          <w:color w:val="000000"/>
          <w:sz w:val="20"/>
          <w:szCs w:val="20"/>
        </w:rPr>
        <w:t>nancial information to our investors using our investor relations website, press releases, SEC filings and public conference calls and webcasts. We also use the following social media channels as a means of disclosing information about the company, our pro</w:t>
      </w:r>
      <w:r>
        <w:rPr>
          <w:rFonts w:ascii="sans-serif" w:eastAsia="sans-serif" w:hAnsi="sans-serif" w:cs="sans-serif"/>
          <w:color w:val="000000"/>
          <w:sz w:val="20"/>
          <w:szCs w:val="20"/>
        </w:rPr>
        <w:t>ducts, our planned financial and other announcements and attendance at upcoming investor and industry conferences, and other matters, and for complying with our disclosure obligations under Regulation FD: </w:t>
      </w:r>
    </w:p>
    <w:p w14:paraId="19502011" w14:textId="77777777" w:rsidR="00BF3A3A" w:rsidRDefault="00A76802">
      <w:pPr>
        <w:spacing w:after="180"/>
        <w:ind w:firstLine="360"/>
        <w:jc w:val="both"/>
      </w:pPr>
      <w:r>
        <w:rPr>
          <w:rFonts w:ascii="sans-serif" w:eastAsia="sans-serif" w:hAnsi="sans-serif" w:cs="sans-serif"/>
          <w:color w:val="000000"/>
          <w:sz w:val="20"/>
          <w:szCs w:val="20"/>
        </w:rPr>
        <w:t>NVIDIA Twitter Account (https://twitter.com/nvidia</w:t>
      </w:r>
      <w:r>
        <w:rPr>
          <w:rFonts w:ascii="sans-serif" w:eastAsia="sans-serif" w:hAnsi="sans-serif" w:cs="sans-serif"/>
          <w:color w:val="000000"/>
          <w:sz w:val="20"/>
          <w:szCs w:val="20"/>
        </w:rPr>
        <w:t>)</w:t>
      </w:r>
    </w:p>
    <w:p w14:paraId="19502012" w14:textId="77777777" w:rsidR="00BF3A3A" w:rsidRDefault="00A76802">
      <w:pPr>
        <w:spacing w:after="180"/>
        <w:ind w:firstLine="360"/>
        <w:jc w:val="both"/>
      </w:pPr>
      <w:r>
        <w:rPr>
          <w:rFonts w:ascii="sans-serif" w:eastAsia="sans-serif" w:hAnsi="sans-serif" w:cs="sans-serif"/>
          <w:color w:val="000000"/>
          <w:sz w:val="20"/>
          <w:szCs w:val="20"/>
        </w:rPr>
        <w:t xml:space="preserve">NVIDIA Company Blog (http://blogs.nvidia.com) </w:t>
      </w:r>
    </w:p>
    <w:p w14:paraId="19502013" w14:textId="77777777" w:rsidR="00BF3A3A" w:rsidRDefault="00A76802">
      <w:pPr>
        <w:spacing w:after="180"/>
        <w:ind w:firstLine="360"/>
        <w:jc w:val="both"/>
      </w:pPr>
      <w:r>
        <w:rPr>
          <w:rFonts w:ascii="sans-serif" w:eastAsia="sans-serif" w:hAnsi="sans-serif" w:cs="sans-serif"/>
          <w:color w:val="000000"/>
          <w:sz w:val="20"/>
          <w:szCs w:val="20"/>
        </w:rPr>
        <w:t xml:space="preserve">NVIDIA Facebook Page (https://www.facebook.com/nvidia) </w:t>
      </w:r>
    </w:p>
    <w:p w14:paraId="19502014" w14:textId="77777777" w:rsidR="00BF3A3A" w:rsidRDefault="00A76802">
      <w:pPr>
        <w:spacing w:after="180"/>
        <w:ind w:firstLine="360"/>
        <w:jc w:val="both"/>
      </w:pPr>
      <w:r>
        <w:rPr>
          <w:rFonts w:ascii="sans-serif" w:eastAsia="sans-serif" w:hAnsi="sans-serif" w:cs="sans-serif"/>
          <w:color w:val="000000"/>
          <w:sz w:val="20"/>
          <w:szCs w:val="20"/>
        </w:rPr>
        <w:t>NVIDIA LinkedIn Page (http://www.linkedin.com/company/nvidia)</w:t>
      </w:r>
    </w:p>
    <w:p w14:paraId="19502015" w14:textId="77777777" w:rsidR="00BF3A3A" w:rsidRDefault="00A76802">
      <w:pPr>
        <w:spacing w:after="180"/>
        <w:ind w:firstLine="360"/>
        <w:jc w:val="both"/>
      </w:pPr>
      <w:r>
        <w:rPr>
          <w:rFonts w:ascii="sans-serif" w:eastAsia="sans-serif" w:hAnsi="sans-serif" w:cs="sans-serif"/>
          <w:color w:val="000000"/>
          <w:sz w:val="20"/>
          <w:szCs w:val="20"/>
        </w:rPr>
        <w:t>NVIDIA Instagram Page (https://www.instagram.com/nvidia)</w:t>
      </w:r>
    </w:p>
    <w:p w14:paraId="19502016" w14:textId="77777777" w:rsidR="00BF3A3A" w:rsidRDefault="00A76802">
      <w:pPr>
        <w:spacing w:after="180"/>
        <w:jc w:val="both"/>
      </w:pPr>
      <w:r>
        <w:rPr>
          <w:rFonts w:ascii="sans-serif" w:eastAsia="sans-serif" w:hAnsi="sans-serif" w:cs="sans-serif"/>
          <w:color w:val="000000"/>
          <w:sz w:val="20"/>
          <w:szCs w:val="20"/>
        </w:rPr>
        <w:t>In addition, investors and other</w:t>
      </w:r>
      <w:r>
        <w:rPr>
          <w:rFonts w:ascii="sans-serif" w:eastAsia="sans-serif" w:hAnsi="sans-serif" w:cs="sans-serif"/>
          <w:color w:val="000000"/>
          <w:sz w:val="20"/>
          <w:szCs w:val="20"/>
        </w:rPr>
        <w:t>s can view NVIDIA videos on YouTube (https://www.YouTube.com/nvidia).</w:t>
      </w:r>
    </w:p>
    <w:p w14:paraId="19502017" w14:textId="77777777" w:rsidR="00BF3A3A" w:rsidRDefault="00A76802">
      <w:pPr>
        <w:spacing w:after="180"/>
        <w:jc w:val="both"/>
      </w:pPr>
      <w:r>
        <w:rPr>
          <w:rFonts w:ascii="sans-serif" w:eastAsia="sans-serif" w:hAnsi="sans-serif" w:cs="sans-serif"/>
          <w:color w:val="000000"/>
          <w:sz w:val="20"/>
          <w:szCs w:val="20"/>
        </w:rPr>
        <w:t xml:space="preserve">The information we post through these social media channels may be deemed material. Accordingly, investors should monitor these accounts and the blog, in addition to following our press </w:t>
      </w:r>
      <w:r>
        <w:rPr>
          <w:rFonts w:ascii="sans-serif" w:eastAsia="sans-serif" w:hAnsi="sans-serif" w:cs="sans-serif"/>
          <w:color w:val="000000"/>
          <w:sz w:val="20"/>
          <w:szCs w:val="20"/>
        </w:rPr>
        <w:t xml:space="preserve">releases, SEC filings and public conference calls and webcasts. This list may be updated from time to time. The information we post through these channels is not a part of this Quarterly Report on Form 10-Q. These channels may be updated from time to time </w:t>
      </w:r>
      <w:r>
        <w:rPr>
          <w:rFonts w:ascii="sans-serif" w:eastAsia="sans-serif" w:hAnsi="sans-serif" w:cs="sans-serif"/>
          <w:color w:val="000000"/>
          <w:sz w:val="20"/>
          <w:szCs w:val="20"/>
        </w:rPr>
        <w:t>on NVIDIA's investor relations website.</w:t>
      </w:r>
    </w:p>
    <w:p w14:paraId="19502018" w14:textId="77777777" w:rsidR="00BF3A3A" w:rsidRDefault="00A76802">
      <w:pPr>
        <w:spacing w:after="180"/>
        <w:jc w:val="center"/>
      </w:pPr>
      <w:r>
        <w:rPr>
          <w:rFonts w:ascii="sans-serif" w:eastAsia="sans-serif" w:hAnsi="sans-serif" w:cs="sans-serif"/>
          <w:color w:val="000000"/>
          <w:sz w:val="20"/>
          <w:szCs w:val="20"/>
        </w:rPr>
        <w:t>2</w:t>
      </w:r>
    </w:p>
    <w:p w14:paraId="19502019" w14:textId="77777777" w:rsidR="00BF3A3A" w:rsidRDefault="00A76802">
      <w:r>
        <w:pict w14:anchorId="19503FC7">
          <v:rect id="_x0000_i1026" style="width:415.3pt;height:1.5pt" o:hralign="center" o:hrstd="t" o:hr="t" fillcolor="#a0a0a0" stroked="f"/>
        </w:pict>
      </w:r>
    </w:p>
    <w:p w14:paraId="1950201A" w14:textId="77777777" w:rsidR="00BF3A3A" w:rsidRDefault="00BF3A3A">
      <w:pPr>
        <w:spacing w:after="180"/>
        <w:jc w:val="both"/>
      </w:pPr>
    </w:p>
    <w:p w14:paraId="1950201B" w14:textId="77777777" w:rsidR="00BF3A3A" w:rsidRDefault="00A76802">
      <w:pPr>
        <w:spacing w:before="240" w:after="120"/>
        <w:jc w:val="both"/>
      </w:pPr>
      <w:r>
        <w:rPr>
          <w:rFonts w:ascii="sans-serif" w:eastAsia="sans-serif" w:hAnsi="sans-serif" w:cs="sans-serif"/>
          <w:b/>
          <w:bCs/>
          <w:color w:val="76B900"/>
          <w:sz w:val="22"/>
          <w:szCs w:val="22"/>
        </w:rPr>
        <w:t>PART I. FINANCIAL INFORMATION</w:t>
      </w:r>
    </w:p>
    <w:p w14:paraId="1950201C" w14:textId="77777777" w:rsidR="00BF3A3A" w:rsidRDefault="00A76802">
      <w:pPr>
        <w:spacing w:before="240" w:after="120"/>
        <w:jc w:val="both"/>
      </w:pPr>
      <w:r>
        <w:rPr>
          <w:rFonts w:ascii="sans-serif" w:eastAsia="sans-serif" w:hAnsi="sans-serif" w:cs="sans-serif"/>
          <w:b/>
          <w:bCs/>
          <w:color w:val="76B900"/>
          <w:sz w:val="22"/>
          <w:szCs w:val="22"/>
        </w:rPr>
        <w:t>ITEM 1.  FINANCIAL STATEMENTS (UNAUDITED)</w:t>
      </w:r>
    </w:p>
    <w:p w14:paraId="1950201D" w14:textId="77777777" w:rsidR="00BF3A3A" w:rsidRDefault="00A76802">
      <w:pPr>
        <w:jc w:val="center"/>
      </w:pPr>
      <w:r>
        <w:rPr>
          <w:rFonts w:ascii="sans-serif" w:eastAsia="sans-serif" w:hAnsi="sans-serif" w:cs="sans-serif"/>
          <w:b/>
          <w:bCs/>
          <w:color w:val="000000"/>
          <w:sz w:val="20"/>
          <w:szCs w:val="20"/>
        </w:rPr>
        <w:t>NVIDIA CORPORATION AND SUBSIDIARIES</w:t>
      </w:r>
    </w:p>
    <w:p w14:paraId="1950201E" w14:textId="77777777" w:rsidR="00BF3A3A" w:rsidRDefault="00A76802">
      <w:pPr>
        <w:jc w:val="center"/>
      </w:pPr>
      <w:r>
        <w:rPr>
          <w:rFonts w:ascii="sans-serif" w:eastAsia="sans-serif" w:hAnsi="sans-serif" w:cs="sans-serif"/>
          <w:b/>
          <w:bCs/>
          <w:color w:val="000000"/>
          <w:sz w:val="20"/>
          <w:szCs w:val="20"/>
        </w:rPr>
        <w:t>CONDENSED CONSOLIDATED STATEMENTS OF INCOME</w:t>
      </w:r>
    </w:p>
    <w:p w14:paraId="1950201F" w14:textId="77777777" w:rsidR="00BF3A3A" w:rsidRDefault="00A76802">
      <w:pPr>
        <w:jc w:val="center"/>
      </w:pPr>
      <w:r>
        <w:rPr>
          <w:rFonts w:ascii="sans-serif" w:eastAsia="sans-serif" w:hAnsi="sans-serif" w:cs="sans-serif"/>
          <w:b/>
          <w:bCs/>
          <w:color w:val="000000"/>
          <w:sz w:val="20"/>
          <w:szCs w:val="20"/>
        </w:rPr>
        <w:t>(In millions, except per share data)</w:t>
      </w:r>
    </w:p>
    <w:p w14:paraId="19502020" w14:textId="77777777" w:rsidR="00BF3A3A" w:rsidRDefault="00A76802">
      <w:pPr>
        <w:jc w:val="center"/>
      </w:pPr>
      <w:r>
        <w:rPr>
          <w:rFonts w:ascii="sans-serif" w:eastAsia="sans-serif" w:hAnsi="sans-serif" w:cs="sans-serif"/>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787"/>
        <w:gridCol w:w="38"/>
        <w:gridCol w:w="122"/>
        <w:gridCol w:w="917"/>
        <w:gridCol w:w="36"/>
        <w:gridCol w:w="36"/>
        <w:gridCol w:w="36"/>
        <w:gridCol w:w="36"/>
        <w:gridCol w:w="122"/>
        <w:gridCol w:w="873"/>
        <w:gridCol w:w="36"/>
        <w:gridCol w:w="36"/>
        <w:gridCol w:w="41"/>
        <w:gridCol w:w="36"/>
        <w:gridCol w:w="122"/>
        <w:gridCol w:w="846"/>
        <w:gridCol w:w="36"/>
        <w:gridCol w:w="36"/>
        <w:gridCol w:w="41"/>
        <w:gridCol w:w="36"/>
        <w:gridCol w:w="122"/>
        <w:gridCol w:w="869"/>
        <w:gridCol w:w="36"/>
      </w:tblGrid>
      <w:tr w:rsidR="00BF3A3A" w14:paraId="19502039" w14:textId="77777777">
        <w:trPr>
          <w:jc w:val="center"/>
        </w:trPr>
        <w:tc>
          <w:tcPr>
            <w:tcW w:w="50" w:type="pct"/>
            <w:shd w:val="clear" w:color="auto" w:fill="auto"/>
            <w:vAlign w:val="bottom"/>
          </w:tcPr>
          <w:p w14:paraId="19502021" w14:textId="77777777" w:rsidR="00BF3A3A" w:rsidRDefault="00BF3A3A">
            <w:pPr>
              <w:rPr>
                <w:rFonts w:ascii="宋体"/>
              </w:rPr>
            </w:pPr>
          </w:p>
        </w:tc>
        <w:tc>
          <w:tcPr>
            <w:tcW w:w="2306" w:type="pct"/>
            <w:shd w:val="clear" w:color="auto" w:fill="auto"/>
            <w:vAlign w:val="bottom"/>
          </w:tcPr>
          <w:p w14:paraId="19502022" w14:textId="77777777" w:rsidR="00BF3A3A" w:rsidRDefault="00BF3A3A">
            <w:pPr>
              <w:rPr>
                <w:rFonts w:ascii="宋体"/>
              </w:rPr>
            </w:pPr>
          </w:p>
        </w:tc>
        <w:tc>
          <w:tcPr>
            <w:tcW w:w="5" w:type="pct"/>
            <w:shd w:val="clear" w:color="auto" w:fill="auto"/>
            <w:vAlign w:val="bottom"/>
          </w:tcPr>
          <w:p w14:paraId="19502023" w14:textId="77777777" w:rsidR="00BF3A3A" w:rsidRDefault="00BF3A3A">
            <w:pPr>
              <w:rPr>
                <w:rFonts w:ascii="宋体"/>
              </w:rPr>
            </w:pPr>
          </w:p>
        </w:tc>
        <w:tc>
          <w:tcPr>
            <w:tcW w:w="50" w:type="pct"/>
            <w:shd w:val="clear" w:color="auto" w:fill="auto"/>
            <w:vAlign w:val="bottom"/>
          </w:tcPr>
          <w:p w14:paraId="19502024" w14:textId="77777777" w:rsidR="00BF3A3A" w:rsidRDefault="00BF3A3A">
            <w:pPr>
              <w:rPr>
                <w:rFonts w:ascii="宋体"/>
              </w:rPr>
            </w:pPr>
          </w:p>
        </w:tc>
        <w:tc>
          <w:tcPr>
            <w:tcW w:w="580" w:type="pct"/>
            <w:shd w:val="clear" w:color="auto" w:fill="auto"/>
            <w:vAlign w:val="bottom"/>
          </w:tcPr>
          <w:p w14:paraId="19502025" w14:textId="77777777" w:rsidR="00BF3A3A" w:rsidRDefault="00BF3A3A">
            <w:pPr>
              <w:rPr>
                <w:rFonts w:ascii="宋体"/>
              </w:rPr>
            </w:pPr>
          </w:p>
        </w:tc>
        <w:tc>
          <w:tcPr>
            <w:tcW w:w="5" w:type="pct"/>
            <w:shd w:val="clear" w:color="auto" w:fill="auto"/>
            <w:vAlign w:val="bottom"/>
          </w:tcPr>
          <w:p w14:paraId="19502026" w14:textId="77777777" w:rsidR="00BF3A3A" w:rsidRDefault="00BF3A3A">
            <w:pPr>
              <w:rPr>
                <w:rFonts w:ascii="宋体"/>
              </w:rPr>
            </w:pPr>
          </w:p>
        </w:tc>
        <w:tc>
          <w:tcPr>
            <w:tcW w:w="5" w:type="pct"/>
            <w:shd w:val="clear" w:color="auto" w:fill="auto"/>
            <w:vAlign w:val="bottom"/>
          </w:tcPr>
          <w:p w14:paraId="19502027" w14:textId="77777777" w:rsidR="00BF3A3A" w:rsidRDefault="00BF3A3A">
            <w:pPr>
              <w:rPr>
                <w:rFonts w:ascii="宋体"/>
              </w:rPr>
            </w:pPr>
          </w:p>
        </w:tc>
        <w:tc>
          <w:tcPr>
            <w:tcW w:w="26" w:type="pct"/>
            <w:shd w:val="clear" w:color="auto" w:fill="auto"/>
            <w:vAlign w:val="bottom"/>
          </w:tcPr>
          <w:p w14:paraId="19502028" w14:textId="77777777" w:rsidR="00BF3A3A" w:rsidRDefault="00BF3A3A">
            <w:pPr>
              <w:rPr>
                <w:rFonts w:ascii="宋体"/>
              </w:rPr>
            </w:pPr>
          </w:p>
        </w:tc>
        <w:tc>
          <w:tcPr>
            <w:tcW w:w="5" w:type="pct"/>
            <w:shd w:val="clear" w:color="auto" w:fill="auto"/>
            <w:vAlign w:val="bottom"/>
          </w:tcPr>
          <w:p w14:paraId="19502029" w14:textId="77777777" w:rsidR="00BF3A3A" w:rsidRDefault="00BF3A3A">
            <w:pPr>
              <w:rPr>
                <w:rFonts w:ascii="宋体"/>
              </w:rPr>
            </w:pPr>
          </w:p>
        </w:tc>
        <w:tc>
          <w:tcPr>
            <w:tcW w:w="50" w:type="pct"/>
            <w:shd w:val="clear" w:color="auto" w:fill="auto"/>
            <w:vAlign w:val="bottom"/>
          </w:tcPr>
          <w:p w14:paraId="1950202A" w14:textId="77777777" w:rsidR="00BF3A3A" w:rsidRDefault="00BF3A3A">
            <w:pPr>
              <w:rPr>
                <w:rFonts w:ascii="宋体"/>
              </w:rPr>
            </w:pPr>
          </w:p>
        </w:tc>
        <w:tc>
          <w:tcPr>
            <w:tcW w:w="580" w:type="pct"/>
            <w:shd w:val="clear" w:color="auto" w:fill="auto"/>
            <w:vAlign w:val="bottom"/>
          </w:tcPr>
          <w:p w14:paraId="1950202B" w14:textId="77777777" w:rsidR="00BF3A3A" w:rsidRDefault="00BF3A3A">
            <w:pPr>
              <w:rPr>
                <w:rFonts w:ascii="宋体"/>
              </w:rPr>
            </w:pPr>
          </w:p>
        </w:tc>
        <w:tc>
          <w:tcPr>
            <w:tcW w:w="5" w:type="pct"/>
            <w:shd w:val="clear" w:color="auto" w:fill="auto"/>
            <w:vAlign w:val="bottom"/>
          </w:tcPr>
          <w:p w14:paraId="1950202C" w14:textId="77777777" w:rsidR="00BF3A3A" w:rsidRDefault="00BF3A3A">
            <w:pPr>
              <w:rPr>
                <w:rFonts w:ascii="宋体"/>
              </w:rPr>
            </w:pPr>
          </w:p>
        </w:tc>
        <w:tc>
          <w:tcPr>
            <w:tcW w:w="5" w:type="pct"/>
            <w:shd w:val="clear" w:color="auto" w:fill="auto"/>
            <w:vAlign w:val="bottom"/>
          </w:tcPr>
          <w:p w14:paraId="1950202D" w14:textId="77777777" w:rsidR="00BF3A3A" w:rsidRDefault="00BF3A3A">
            <w:pPr>
              <w:rPr>
                <w:rFonts w:ascii="宋体"/>
              </w:rPr>
            </w:pPr>
          </w:p>
        </w:tc>
        <w:tc>
          <w:tcPr>
            <w:tcW w:w="55" w:type="pct"/>
            <w:shd w:val="clear" w:color="auto" w:fill="auto"/>
            <w:vAlign w:val="bottom"/>
          </w:tcPr>
          <w:p w14:paraId="1950202E" w14:textId="77777777" w:rsidR="00BF3A3A" w:rsidRDefault="00BF3A3A">
            <w:pPr>
              <w:rPr>
                <w:rFonts w:ascii="宋体"/>
              </w:rPr>
            </w:pPr>
          </w:p>
        </w:tc>
        <w:tc>
          <w:tcPr>
            <w:tcW w:w="5" w:type="pct"/>
            <w:shd w:val="clear" w:color="auto" w:fill="auto"/>
            <w:vAlign w:val="bottom"/>
          </w:tcPr>
          <w:p w14:paraId="1950202F" w14:textId="77777777" w:rsidR="00BF3A3A" w:rsidRDefault="00BF3A3A">
            <w:pPr>
              <w:rPr>
                <w:rFonts w:ascii="宋体"/>
              </w:rPr>
            </w:pPr>
          </w:p>
        </w:tc>
        <w:tc>
          <w:tcPr>
            <w:tcW w:w="50" w:type="pct"/>
            <w:shd w:val="clear" w:color="auto" w:fill="auto"/>
            <w:vAlign w:val="bottom"/>
          </w:tcPr>
          <w:p w14:paraId="19502030" w14:textId="77777777" w:rsidR="00BF3A3A" w:rsidRDefault="00BF3A3A">
            <w:pPr>
              <w:rPr>
                <w:rFonts w:ascii="宋体"/>
              </w:rPr>
            </w:pPr>
          </w:p>
        </w:tc>
        <w:tc>
          <w:tcPr>
            <w:tcW w:w="537" w:type="pct"/>
            <w:shd w:val="clear" w:color="auto" w:fill="auto"/>
            <w:vAlign w:val="bottom"/>
          </w:tcPr>
          <w:p w14:paraId="19502031" w14:textId="77777777" w:rsidR="00BF3A3A" w:rsidRDefault="00BF3A3A">
            <w:pPr>
              <w:rPr>
                <w:rFonts w:ascii="宋体"/>
              </w:rPr>
            </w:pPr>
          </w:p>
        </w:tc>
        <w:tc>
          <w:tcPr>
            <w:tcW w:w="5" w:type="pct"/>
            <w:shd w:val="clear" w:color="auto" w:fill="auto"/>
            <w:vAlign w:val="bottom"/>
          </w:tcPr>
          <w:p w14:paraId="19502032" w14:textId="77777777" w:rsidR="00BF3A3A" w:rsidRDefault="00BF3A3A">
            <w:pPr>
              <w:rPr>
                <w:rFonts w:ascii="宋体"/>
              </w:rPr>
            </w:pPr>
          </w:p>
        </w:tc>
        <w:tc>
          <w:tcPr>
            <w:tcW w:w="5" w:type="pct"/>
            <w:shd w:val="clear" w:color="auto" w:fill="auto"/>
            <w:vAlign w:val="bottom"/>
          </w:tcPr>
          <w:p w14:paraId="19502033" w14:textId="77777777" w:rsidR="00BF3A3A" w:rsidRDefault="00BF3A3A">
            <w:pPr>
              <w:rPr>
                <w:rFonts w:ascii="宋体"/>
              </w:rPr>
            </w:pPr>
          </w:p>
        </w:tc>
        <w:tc>
          <w:tcPr>
            <w:tcW w:w="55" w:type="pct"/>
            <w:shd w:val="clear" w:color="auto" w:fill="auto"/>
            <w:vAlign w:val="bottom"/>
          </w:tcPr>
          <w:p w14:paraId="19502034" w14:textId="77777777" w:rsidR="00BF3A3A" w:rsidRDefault="00BF3A3A">
            <w:pPr>
              <w:rPr>
                <w:rFonts w:ascii="宋体"/>
              </w:rPr>
            </w:pPr>
          </w:p>
        </w:tc>
        <w:tc>
          <w:tcPr>
            <w:tcW w:w="5" w:type="pct"/>
            <w:shd w:val="clear" w:color="auto" w:fill="auto"/>
            <w:vAlign w:val="bottom"/>
          </w:tcPr>
          <w:p w14:paraId="19502035" w14:textId="77777777" w:rsidR="00BF3A3A" w:rsidRDefault="00BF3A3A">
            <w:pPr>
              <w:rPr>
                <w:rFonts w:ascii="宋体"/>
              </w:rPr>
            </w:pPr>
          </w:p>
        </w:tc>
        <w:tc>
          <w:tcPr>
            <w:tcW w:w="50" w:type="pct"/>
            <w:shd w:val="clear" w:color="auto" w:fill="auto"/>
            <w:vAlign w:val="bottom"/>
          </w:tcPr>
          <w:p w14:paraId="19502036" w14:textId="77777777" w:rsidR="00BF3A3A" w:rsidRDefault="00BF3A3A">
            <w:pPr>
              <w:rPr>
                <w:rFonts w:ascii="宋体"/>
              </w:rPr>
            </w:pPr>
          </w:p>
        </w:tc>
        <w:tc>
          <w:tcPr>
            <w:tcW w:w="551" w:type="pct"/>
            <w:shd w:val="clear" w:color="auto" w:fill="auto"/>
            <w:vAlign w:val="bottom"/>
          </w:tcPr>
          <w:p w14:paraId="19502037" w14:textId="77777777" w:rsidR="00BF3A3A" w:rsidRDefault="00BF3A3A">
            <w:pPr>
              <w:rPr>
                <w:rFonts w:ascii="宋体"/>
              </w:rPr>
            </w:pPr>
          </w:p>
        </w:tc>
        <w:tc>
          <w:tcPr>
            <w:tcW w:w="5" w:type="pct"/>
            <w:shd w:val="clear" w:color="auto" w:fill="auto"/>
            <w:vAlign w:val="bottom"/>
          </w:tcPr>
          <w:p w14:paraId="19502038" w14:textId="77777777" w:rsidR="00BF3A3A" w:rsidRDefault="00BF3A3A">
            <w:pPr>
              <w:rPr>
                <w:rFonts w:ascii="宋体"/>
              </w:rPr>
            </w:pPr>
          </w:p>
        </w:tc>
      </w:tr>
      <w:tr w:rsidR="00BF3A3A" w14:paraId="1950203E" w14:textId="77777777">
        <w:trPr>
          <w:jc w:val="center"/>
        </w:trPr>
        <w:tc>
          <w:tcPr>
            <w:tcW w:w="0" w:type="auto"/>
            <w:gridSpan w:val="3"/>
            <w:shd w:val="clear" w:color="auto" w:fill="auto"/>
            <w:tcMar>
              <w:top w:w="40" w:type="dxa"/>
              <w:left w:w="20" w:type="dxa"/>
              <w:bottom w:w="40" w:type="dxa"/>
              <w:right w:w="20" w:type="dxa"/>
            </w:tcMar>
            <w:vAlign w:val="bottom"/>
          </w:tcPr>
          <w:p w14:paraId="1950203A" w14:textId="77777777" w:rsidR="00BF3A3A" w:rsidRDefault="00A76802">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950203B" w14:textId="77777777" w:rsidR="00BF3A3A" w:rsidRDefault="00A76802">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1950203C" w14:textId="77777777" w:rsidR="00BF3A3A" w:rsidRDefault="00BF3A3A">
            <w:pPr>
              <w:rPr>
                <w:rFonts w:ascii="宋体"/>
              </w:rPr>
            </w:pPr>
          </w:p>
        </w:tc>
        <w:tc>
          <w:tcPr>
            <w:tcW w:w="0" w:type="auto"/>
            <w:gridSpan w:val="9"/>
            <w:shd w:val="clear" w:color="auto" w:fill="auto"/>
            <w:tcMar>
              <w:top w:w="40" w:type="dxa"/>
              <w:left w:w="20" w:type="dxa"/>
              <w:bottom w:w="40" w:type="dxa"/>
              <w:right w:w="20" w:type="dxa"/>
            </w:tcMar>
            <w:vAlign w:val="bottom"/>
          </w:tcPr>
          <w:p w14:paraId="1950203D" w14:textId="77777777" w:rsidR="00BF3A3A" w:rsidRDefault="00A76802">
            <w:pPr>
              <w:jc w:val="center"/>
              <w:textAlignment w:val="bottom"/>
            </w:pPr>
            <w:r>
              <w:rPr>
                <w:rFonts w:ascii="sans-serif" w:eastAsia="sans-serif" w:hAnsi="sans-serif" w:cs="sans-serif"/>
                <w:b/>
                <w:bCs/>
                <w:color w:val="000000"/>
                <w:sz w:val="20"/>
                <w:szCs w:val="20"/>
              </w:rPr>
              <w:t>Six Months Ended</w:t>
            </w:r>
          </w:p>
        </w:tc>
      </w:tr>
      <w:tr w:rsidR="00BF3A3A" w14:paraId="19502047" w14:textId="77777777">
        <w:trPr>
          <w:jc w:val="center"/>
        </w:trPr>
        <w:tc>
          <w:tcPr>
            <w:tcW w:w="0" w:type="auto"/>
            <w:gridSpan w:val="3"/>
            <w:shd w:val="clear" w:color="auto" w:fill="auto"/>
            <w:tcMar>
              <w:top w:w="40" w:type="dxa"/>
              <w:left w:w="20" w:type="dxa"/>
              <w:bottom w:w="40" w:type="dxa"/>
              <w:right w:w="20" w:type="dxa"/>
            </w:tcMar>
            <w:vAlign w:val="bottom"/>
          </w:tcPr>
          <w:p w14:paraId="1950203F"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040" w14:textId="77777777" w:rsidR="00BF3A3A" w:rsidRDefault="00A76802">
            <w:pPr>
              <w:jc w:val="center"/>
              <w:textAlignment w:val="bottom"/>
            </w:pPr>
            <w:r>
              <w:rPr>
                <w:rFonts w:ascii="sans-serif" w:eastAsia="sans-serif" w:hAnsi="sans-serif" w:cs="sans-serif"/>
                <w:b/>
                <w:bCs/>
                <w:color w:val="000000"/>
                <w:sz w:val="20"/>
                <w:szCs w:val="20"/>
              </w:rPr>
              <w:t>July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041"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042" w14:textId="77777777" w:rsidR="00BF3A3A" w:rsidRDefault="00A76802">
            <w:pPr>
              <w:jc w:val="center"/>
              <w:textAlignment w:val="bottom"/>
            </w:pPr>
            <w:r>
              <w:rPr>
                <w:rFonts w:ascii="sans-serif" w:eastAsia="sans-serif" w:hAnsi="sans-serif" w:cs="sans-serif"/>
                <w:b/>
                <w:bCs/>
                <w:color w:val="000000"/>
                <w:sz w:val="20"/>
                <w:szCs w:val="20"/>
              </w:rPr>
              <w:t>August 1,</w:t>
            </w:r>
          </w:p>
        </w:tc>
        <w:tc>
          <w:tcPr>
            <w:tcW w:w="0" w:type="auto"/>
            <w:gridSpan w:val="3"/>
            <w:shd w:val="clear" w:color="auto" w:fill="auto"/>
            <w:tcMar>
              <w:top w:w="0" w:type="dxa"/>
              <w:left w:w="20" w:type="dxa"/>
              <w:bottom w:w="0" w:type="dxa"/>
              <w:right w:w="20" w:type="dxa"/>
            </w:tcMar>
            <w:vAlign w:val="bottom"/>
          </w:tcPr>
          <w:p w14:paraId="19502043"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044" w14:textId="77777777" w:rsidR="00BF3A3A" w:rsidRDefault="00A76802">
            <w:pPr>
              <w:jc w:val="center"/>
              <w:textAlignment w:val="bottom"/>
            </w:pPr>
            <w:r>
              <w:rPr>
                <w:rFonts w:ascii="sans-serif" w:eastAsia="sans-serif" w:hAnsi="sans-serif" w:cs="sans-serif"/>
                <w:b/>
                <w:bCs/>
                <w:color w:val="000000"/>
                <w:sz w:val="20"/>
                <w:szCs w:val="20"/>
              </w:rPr>
              <w:t>July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045"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046" w14:textId="77777777" w:rsidR="00BF3A3A" w:rsidRDefault="00A76802">
            <w:pPr>
              <w:jc w:val="center"/>
              <w:textAlignment w:val="bottom"/>
            </w:pPr>
            <w:r>
              <w:rPr>
                <w:rFonts w:ascii="sans-serif" w:eastAsia="sans-serif" w:hAnsi="sans-serif" w:cs="sans-serif"/>
                <w:b/>
                <w:bCs/>
                <w:color w:val="000000"/>
                <w:sz w:val="20"/>
                <w:szCs w:val="20"/>
              </w:rPr>
              <w:t>August 1,</w:t>
            </w:r>
          </w:p>
        </w:tc>
      </w:tr>
      <w:tr w:rsidR="00BF3A3A" w14:paraId="19502050" w14:textId="77777777">
        <w:trPr>
          <w:jc w:val="center"/>
        </w:trPr>
        <w:tc>
          <w:tcPr>
            <w:tcW w:w="0" w:type="auto"/>
            <w:gridSpan w:val="3"/>
            <w:shd w:val="clear" w:color="auto" w:fill="auto"/>
            <w:tcMar>
              <w:top w:w="0" w:type="dxa"/>
              <w:left w:w="20" w:type="dxa"/>
              <w:bottom w:w="0" w:type="dxa"/>
              <w:right w:w="20" w:type="dxa"/>
            </w:tcMar>
            <w:vAlign w:val="bottom"/>
          </w:tcPr>
          <w:p w14:paraId="19502048"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2049" w14:textId="77777777" w:rsidR="00BF3A3A" w:rsidRDefault="00A76802">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1950204A"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204B" w14:textId="77777777" w:rsidR="00BF3A3A" w:rsidRDefault="00A76802">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1950204C"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204D" w14:textId="77777777" w:rsidR="00BF3A3A" w:rsidRDefault="00A76802">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1950204E"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204F" w14:textId="77777777" w:rsidR="00BF3A3A" w:rsidRDefault="00A76802">
            <w:pPr>
              <w:jc w:val="center"/>
              <w:textAlignment w:val="bottom"/>
            </w:pPr>
            <w:r>
              <w:rPr>
                <w:rFonts w:ascii="sans-serif" w:eastAsia="sans-serif" w:hAnsi="sans-serif" w:cs="sans-serif"/>
                <w:b/>
                <w:bCs/>
                <w:color w:val="000000"/>
                <w:sz w:val="20"/>
                <w:szCs w:val="20"/>
              </w:rPr>
              <w:t>2021</w:t>
            </w:r>
          </w:p>
        </w:tc>
      </w:tr>
      <w:tr w:rsidR="00BF3A3A" w14:paraId="19502059" w14:textId="77777777">
        <w:trPr>
          <w:trHeight w:val="300"/>
          <w:jc w:val="center"/>
        </w:trPr>
        <w:tc>
          <w:tcPr>
            <w:tcW w:w="0" w:type="auto"/>
            <w:gridSpan w:val="3"/>
            <w:shd w:val="clear" w:color="auto" w:fill="auto"/>
            <w:tcMar>
              <w:top w:w="0" w:type="dxa"/>
              <w:left w:w="20" w:type="dxa"/>
              <w:bottom w:w="0" w:type="dxa"/>
              <w:right w:w="20" w:type="dxa"/>
            </w:tcMar>
            <w:vAlign w:val="bottom"/>
          </w:tcPr>
          <w:p w14:paraId="19502051"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052"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053"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054"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055"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056"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057"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058" w14:textId="77777777" w:rsidR="00BF3A3A" w:rsidRDefault="00BF3A3A">
            <w:pPr>
              <w:rPr>
                <w:rFonts w:ascii="宋体"/>
              </w:rPr>
            </w:pPr>
          </w:p>
        </w:tc>
      </w:tr>
      <w:tr w:rsidR="00BF3A3A" w14:paraId="1950206A" w14:textId="77777777">
        <w:trPr>
          <w:jc w:val="center"/>
        </w:trPr>
        <w:tc>
          <w:tcPr>
            <w:tcW w:w="0" w:type="auto"/>
            <w:gridSpan w:val="3"/>
            <w:shd w:val="clear" w:color="auto" w:fill="E2EFD9"/>
            <w:tcMar>
              <w:top w:w="40" w:type="dxa"/>
              <w:left w:w="20" w:type="dxa"/>
              <w:bottom w:w="40" w:type="dxa"/>
              <w:right w:w="20" w:type="dxa"/>
            </w:tcMar>
            <w:vAlign w:val="bottom"/>
          </w:tcPr>
          <w:p w14:paraId="1950205A" w14:textId="77777777" w:rsidR="00BF3A3A" w:rsidRDefault="00A76802">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right w:w="0" w:type="dxa"/>
            </w:tcMar>
            <w:vAlign w:val="bottom"/>
          </w:tcPr>
          <w:p w14:paraId="1950205B"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05C" w14:textId="77777777" w:rsidR="00BF3A3A" w:rsidRDefault="00A76802">
            <w:pPr>
              <w:jc w:val="right"/>
              <w:textAlignment w:val="bottom"/>
            </w:pPr>
            <w:r>
              <w:rPr>
                <w:rFonts w:ascii="sans-serif" w:eastAsia="sans-serif" w:hAnsi="sans-serif" w:cs="sans-serif"/>
                <w:color w:val="000000"/>
                <w:sz w:val="20"/>
                <w:szCs w:val="20"/>
              </w:rPr>
              <w:t>6,704 </w:t>
            </w:r>
          </w:p>
        </w:tc>
        <w:tc>
          <w:tcPr>
            <w:tcW w:w="0" w:type="auto"/>
            <w:shd w:val="clear" w:color="auto" w:fill="E2EFD9"/>
            <w:tcMar>
              <w:top w:w="40" w:type="dxa"/>
              <w:left w:w="0" w:type="dxa"/>
              <w:bottom w:w="40" w:type="dxa"/>
              <w:right w:w="20" w:type="dxa"/>
            </w:tcMar>
            <w:vAlign w:val="bottom"/>
          </w:tcPr>
          <w:p w14:paraId="1950205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05E"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05F"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060" w14:textId="77777777" w:rsidR="00BF3A3A" w:rsidRDefault="00A76802">
            <w:pPr>
              <w:jc w:val="right"/>
              <w:textAlignment w:val="bottom"/>
            </w:pPr>
            <w:r>
              <w:rPr>
                <w:rFonts w:ascii="sans-serif" w:eastAsia="sans-serif" w:hAnsi="sans-serif" w:cs="sans-serif"/>
                <w:color w:val="000000"/>
                <w:sz w:val="20"/>
                <w:szCs w:val="20"/>
              </w:rPr>
              <w:t>6,507 </w:t>
            </w:r>
          </w:p>
        </w:tc>
        <w:tc>
          <w:tcPr>
            <w:tcW w:w="0" w:type="auto"/>
            <w:shd w:val="clear" w:color="auto" w:fill="E2EFD9"/>
            <w:tcMar>
              <w:top w:w="40" w:type="dxa"/>
              <w:left w:w="0" w:type="dxa"/>
              <w:bottom w:w="40" w:type="dxa"/>
              <w:right w:w="20" w:type="dxa"/>
            </w:tcMar>
            <w:vAlign w:val="bottom"/>
          </w:tcPr>
          <w:p w14:paraId="19502061"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062"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063"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064" w14:textId="77777777" w:rsidR="00BF3A3A" w:rsidRDefault="00A76802">
            <w:pPr>
              <w:jc w:val="right"/>
              <w:textAlignment w:val="bottom"/>
            </w:pPr>
            <w:r>
              <w:rPr>
                <w:rFonts w:ascii="sans-serif" w:eastAsia="sans-serif" w:hAnsi="sans-serif" w:cs="sans-serif"/>
                <w:color w:val="000000"/>
                <w:sz w:val="20"/>
                <w:szCs w:val="20"/>
              </w:rPr>
              <w:t>14,992 </w:t>
            </w:r>
          </w:p>
        </w:tc>
        <w:tc>
          <w:tcPr>
            <w:tcW w:w="0" w:type="auto"/>
            <w:shd w:val="clear" w:color="auto" w:fill="E2EFD9"/>
            <w:tcMar>
              <w:top w:w="40" w:type="dxa"/>
              <w:left w:w="0" w:type="dxa"/>
              <w:bottom w:w="40" w:type="dxa"/>
              <w:right w:w="20" w:type="dxa"/>
            </w:tcMar>
            <w:vAlign w:val="bottom"/>
          </w:tcPr>
          <w:p w14:paraId="1950206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066"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067"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068" w14:textId="77777777" w:rsidR="00BF3A3A" w:rsidRDefault="00A76802">
            <w:pPr>
              <w:jc w:val="right"/>
              <w:textAlignment w:val="bottom"/>
            </w:pPr>
            <w:r>
              <w:rPr>
                <w:rFonts w:ascii="sans-serif" w:eastAsia="sans-serif" w:hAnsi="sans-serif" w:cs="sans-serif"/>
                <w:color w:val="000000"/>
                <w:sz w:val="20"/>
                <w:szCs w:val="20"/>
              </w:rPr>
              <w:t>12,168 </w:t>
            </w:r>
          </w:p>
        </w:tc>
        <w:tc>
          <w:tcPr>
            <w:tcW w:w="0" w:type="auto"/>
            <w:shd w:val="clear" w:color="auto" w:fill="E2EFD9"/>
            <w:tcMar>
              <w:top w:w="40" w:type="dxa"/>
              <w:left w:w="0" w:type="dxa"/>
              <w:bottom w:w="40" w:type="dxa"/>
              <w:right w:w="20" w:type="dxa"/>
            </w:tcMar>
            <w:vAlign w:val="bottom"/>
          </w:tcPr>
          <w:p w14:paraId="19502069" w14:textId="77777777" w:rsidR="00BF3A3A" w:rsidRDefault="00BF3A3A">
            <w:pPr>
              <w:jc w:val="right"/>
              <w:rPr>
                <w:rFonts w:ascii="宋体"/>
              </w:rPr>
            </w:pPr>
          </w:p>
        </w:tc>
      </w:tr>
      <w:tr w:rsidR="00BF3A3A" w14:paraId="19502077" w14:textId="77777777">
        <w:trPr>
          <w:jc w:val="center"/>
        </w:trPr>
        <w:tc>
          <w:tcPr>
            <w:tcW w:w="0" w:type="auto"/>
            <w:gridSpan w:val="3"/>
            <w:shd w:val="clear" w:color="auto" w:fill="FFFFFF"/>
            <w:tcMar>
              <w:top w:w="40" w:type="dxa"/>
              <w:left w:w="515" w:type="dxa"/>
              <w:bottom w:w="40" w:type="dxa"/>
              <w:right w:w="20" w:type="dxa"/>
            </w:tcMar>
            <w:vAlign w:val="bottom"/>
          </w:tcPr>
          <w:p w14:paraId="1950206B" w14:textId="77777777" w:rsidR="00BF3A3A" w:rsidRDefault="00A76802">
            <w:pPr>
              <w:textAlignment w:val="bottom"/>
            </w:pPr>
            <w:r>
              <w:rPr>
                <w:rFonts w:ascii="sans-serif" w:eastAsia="sans-serif" w:hAnsi="sans-serif" w:cs="sans-serif"/>
                <w:color w:val="000000"/>
                <w:sz w:val="20"/>
                <w:szCs w:val="20"/>
              </w:rPr>
              <w:t>Cost of revenue</w:t>
            </w:r>
          </w:p>
        </w:tc>
        <w:tc>
          <w:tcPr>
            <w:tcW w:w="0" w:type="auto"/>
            <w:gridSpan w:val="2"/>
            <w:shd w:val="clear" w:color="auto" w:fill="FFFFFF"/>
            <w:tcMar>
              <w:top w:w="40" w:type="dxa"/>
              <w:left w:w="20" w:type="dxa"/>
              <w:bottom w:w="40" w:type="dxa"/>
              <w:right w:w="0" w:type="dxa"/>
            </w:tcMar>
            <w:vAlign w:val="bottom"/>
          </w:tcPr>
          <w:p w14:paraId="1950206C" w14:textId="77777777" w:rsidR="00BF3A3A" w:rsidRDefault="00A76802">
            <w:pPr>
              <w:jc w:val="right"/>
              <w:textAlignment w:val="bottom"/>
            </w:pPr>
            <w:r>
              <w:rPr>
                <w:rFonts w:ascii="sans-serif" w:eastAsia="sans-serif" w:hAnsi="sans-serif" w:cs="sans-serif"/>
                <w:color w:val="000000"/>
                <w:sz w:val="20"/>
                <w:szCs w:val="20"/>
              </w:rPr>
              <w:t>3,789 </w:t>
            </w:r>
          </w:p>
        </w:tc>
        <w:tc>
          <w:tcPr>
            <w:tcW w:w="0" w:type="auto"/>
            <w:shd w:val="clear" w:color="auto" w:fill="FFFFFF"/>
            <w:tcMar>
              <w:top w:w="40" w:type="dxa"/>
              <w:left w:w="0" w:type="dxa"/>
              <w:bottom w:w="40" w:type="dxa"/>
              <w:right w:w="20" w:type="dxa"/>
            </w:tcMar>
            <w:vAlign w:val="bottom"/>
          </w:tcPr>
          <w:p w14:paraId="1950206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06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06F" w14:textId="77777777" w:rsidR="00BF3A3A" w:rsidRDefault="00A76802">
            <w:pPr>
              <w:jc w:val="right"/>
              <w:textAlignment w:val="bottom"/>
            </w:pPr>
            <w:r>
              <w:rPr>
                <w:rFonts w:ascii="sans-serif" w:eastAsia="sans-serif" w:hAnsi="sans-serif" w:cs="sans-serif"/>
                <w:color w:val="000000"/>
                <w:sz w:val="20"/>
                <w:szCs w:val="20"/>
              </w:rPr>
              <w:t>2,292 </w:t>
            </w:r>
          </w:p>
        </w:tc>
        <w:tc>
          <w:tcPr>
            <w:tcW w:w="0" w:type="auto"/>
            <w:shd w:val="clear" w:color="auto" w:fill="FFFFFF"/>
            <w:tcMar>
              <w:top w:w="40" w:type="dxa"/>
              <w:left w:w="0" w:type="dxa"/>
              <w:bottom w:w="40" w:type="dxa"/>
              <w:right w:w="20" w:type="dxa"/>
            </w:tcMar>
            <w:vAlign w:val="bottom"/>
          </w:tcPr>
          <w:p w14:paraId="1950207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071"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072" w14:textId="77777777" w:rsidR="00BF3A3A" w:rsidRDefault="00A76802">
            <w:pPr>
              <w:jc w:val="right"/>
              <w:textAlignment w:val="bottom"/>
            </w:pPr>
            <w:r>
              <w:rPr>
                <w:rFonts w:ascii="sans-serif" w:eastAsia="sans-serif" w:hAnsi="sans-serif" w:cs="sans-serif"/>
                <w:color w:val="000000"/>
                <w:sz w:val="20"/>
                <w:szCs w:val="20"/>
              </w:rPr>
              <w:t>6,646 </w:t>
            </w:r>
          </w:p>
        </w:tc>
        <w:tc>
          <w:tcPr>
            <w:tcW w:w="0" w:type="auto"/>
            <w:shd w:val="clear" w:color="auto" w:fill="FFFFFF"/>
            <w:tcMar>
              <w:top w:w="40" w:type="dxa"/>
              <w:left w:w="0" w:type="dxa"/>
              <w:bottom w:w="40" w:type="dxa"/>
              <w:right w:w="20" w:type="dxa"/>
            </w:tcMar>
            <w:vAlign w:val="bottom"/>
          </w:tcPr>
          <w:p w14:paraId="1950207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074"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075" w14:textId="77777777" w:rsidR="00BF3A3A" w:rsidRDefault="00A76802">
            <w:pPr>
              <w:jc w:val="right"/>
              <w:textAlignment w:val="bottom"/>
            </w:pPr>
            <w:r>
              <w:rPr>
                <w:rFonts w:ascii="sans-serif" w:eastAsia="sans-serif" w:hAnsi="sans-serif" w:cs="sans-serif"/>
                <w:color w:val="000000"/>
                <w:sz w:val="20"/>
                <w:szCs w:val="20"/>
              </w:rPr>
              <w:t>4,324 </w:t>
            </w:r>
          </w:p>
        </w:tc>
        <w:tc>
          <w:tcPr>
            <w:tcW w:w="0" w:type="auto"/>
            <w:shd w:val="clear" w:color="auto" w:fill="FFFFFF"/>
            <w:tcMar>
              <w:top w:w="40" w:type="dxa"/>
              <w:left w:w="0" w:type="dxa"/>
              <w:bottom w:w="40" w:type="dxa"/>
              <w:right w:w="20" w:type="dxa"/>
            </w:tcMar>
            <w:vAlign w:val="bottom"/>
          </w:tcPr>
          <w:p w14:paraId="19502076" w14:textId="77777777" w:rsidR="00BF3A3A" w:rsidRDefault="00BF3A3A">
            <w:pPr>
              <w:jc w:val="right"/>
              <w:rPr>
                <w:rFonts w:ascii="宋体"/>
              </w:rPr>
            </w:pPr>
          </w:p>
        </w:tc>
      </w:tr>
      <w:tr w:rsidR="00BF3A3A" w14:paraId="19502084" w14:textId="77777777">
        <w:trPr>
          <w:jc w:val="center"/>
        </w:trPr>
        <w:tc>
          <w:tcPr>
            <w:tcW w:w="0" w:type="auto"/>
            <w:gridSpan w:val="3"/>
            <w:shd w:val="clear" w:color="auto" w:fill="E2EFD9"/>
            <w:tcMar>
              <w:top w:w="40" w:type="dxa"/>
              <w:left w:w="20" w:type="dxa"/>
              <w:bottom w:w="40" w:type="dxa"/>
              <w:right w:w="20" w:type="dxa"/>
            </w:tcMar>
            <w:vAlign w:val="bottom"/>
          </w:tcPr>
          <w:p w14:paraId="19502078" w14:textId="77777777" w:rsidR="00BF3A3A" w:rsidRDefault="00A76802">
            <w:pPr>
              <w:textAlignment w:val="bottom"/>
            </w:pPr>
            <w:r>
              <w:rPr>
                <w:rFonts w:ascii="sans-serif" w:eastAsia="sans-serif" w:hAnsi="sans-serif" w:cs="sans-serif"/>
                <w:color w:val="000000"/>
                <w:sz w:val="20"/>
                <w:szCs w:val="20"/>
              </w:rPr>
              <w:t>Gross profit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079" w14:textId="77777777" w:rsidR="00BF3A3A" w:rsidRDefault="00A76802">
            <w:pPr>
              <w:jc w:val="right"/>
              <w:textAlignment w:val="bottom"/>
            </w:pPr>
            <w:r>
              <w:rPr>
                <w:rFonts w:ascii="sans-serif" w:eastAsia="sans-serif" w:hAnsi="sans-serif" w:cs="sans-serif"/>
                <w:color w:val="000000"/>
                <w:sz w:val="20"/>
                <w:szCs w:val="20"/>
              </w:rPr>
              <w:t>2,915 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07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07B"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07C" w14:textId="77777777" w:rsidR="00BF3A3A" w:rsidRDefault="00A76802">
            <w:pPr>
              <w:jc w:val="right"/>
              <w:textAlignment w:val="bottom"/>
            </w:pPr>
            <w:r>
              <w:rPr>
                <w:rFonts w:ascii="sans-serif" w:eastAsia="sans-serif" w:hAnsi="sans-serif" w:cs="sans-serif"/>
                <w:color w:val="000000"/>
                <w:sz w:val="20"/>
                <w:szCs w:val="20"/>
              </w:rPr>
              <w:t>4,215 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07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07E"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07F" w14:textId="77777777" w:rsidR="00BF3A3A" w:rsidRDefault="00A76802">
            <w:pPr>
              <w:jc w:val="right"/>
              <w:textAlignment w:val="bottom"/>
            </w:pPr>
            <w:r>
              <w:rPr>
                <w:rFonts w:ascii="sans-serif" w:eastAsia="sans-serif" w:hAnsi="sans-serif" w:cs="sans-serif"/>
                <w:color w:val="000000"/>
                <w:sz w:val="20"/>
                <w:szCs w:val="20"/>
              </w:rPr>
              <w:t>8,346 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08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081"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082" w14:textId="77777777" w:rsidR="00BF3A3A" w:rsidRDefault="00A76802">
            <w:pPr>
              <w:jc w:val="right"/>
              <w:textAlignment w:val="bottom"/>
            </w:pPr>
            <w:r>
              <w:rPr>
                <w:rFonts w:ascii="sans-serif" w:eastAsia="sans-serif" w:hAnsi="sans-serif" w:cs="sans-serif"/>
                <w:color w:val="000000"/>
                <w:sz w:val="20"/>
                <w:szCs w:val="20"/>
              </w:rPr>
              <w:t>7,844 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083" w14:textId="77777777" w:rsidR="00BF3A3A" w:rsidRDefault="00BF3A3A">
            <w:pPr>
              <w:jc w:val="right"/>
              <w:rPr>
                <w:rFonts w:ascii="宋体"/>
              </w:rPr>
            </w:pPr>
          </w:p>
        </w:tc>
      </w:tr>
      <w:tr w:rsidR="00BF3A3A" w14:paraId="1950208D" w14:textId="77777777">
        <w:trPr>
          <w:jc w:val="center"/>
        </w:trPr>
        <w:tc>
          <w:tcPr>
            <w:tcW w:w="0" w:type="auto"/>
            <w:gridSpan w:val="3"/>
            <w:shd w:val="clear" w:color="auto" w:fill="FFFFFF"/>
            <w:tcMar>
              <w:top w:w="40" w:type="dxa"/>
              <w:left w:w="20" w:type="dxa"/>
              <w:bottom w:w="40" w:type="dxa"/>
              <w:right w:w="20" w:type="dxa"/>
            </w:tcMar>
            <w:vAlign w:val="bottom"/>
          </w:tcPr>
          <w:p w14:paraId="19502085" w14:textId="77777777" w:rsidR="00BF3A3A" w:rsidRDefault="00A76802">
            <w:pPr>
              <w:textAlignment w:val="bottom"/>
            </w:pPr>
            <w:r>
              <w:rPr>
                <w:rFonts w:ascii="sans-serif" w:eastAsia="sans-serif" w:hAnsi="sans-serif" w:cs="sans-serif"/>
                <w:color w:val="000000"/>
                <w:sz w:val="20"/>
                <w:szCs w:val="20"/>
              </w:rPr>
              <w:t>Operating expenses</w:t>
            </w:r>
          </w:p>
        </w:tc>
        <w:tc>
          <w:tcPr>
            <w:tcW w:w="0" w:type="auto"/>
            <w:gridSpan w:val="3"/>
            <w:shd w:val="clear" w:color="auto" w:fill="FFFFFF"/>
            <w:tcMar>
              <w:top w:w="40" w:type="dxa"/>
              <w:left w:w="20" w:type="dxa"/>
              <w:bottom w:w="40" w:type="dxa"/>
              <w:right w:w="20" w:type="dxa"/>
            </w:tcMar>
            <w:vAlign w:val="bottom"/>
          </w:tcPr>
          <w:p w14:paraId="19502086" w14:textId="77777777" w:rsidR="00BF3A3A" w:rsidRDefault="00A76802">
            <w:pPr>
              <w:jc w:val="right"/>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19502087" w14:textId="77777777" w:rsidR="00BF3A3A" w:rsidRDefault="00BF3A3A">
            <w:pPr>
              <w:rPr>
                <w:rFonts w:ascii="宋体"/>
              </w:rPr>
            </w:pPr>
          </w:p>
        </w:tc>
        <w:tc>
          <w:tcPr>
            <w:tcW w:w="0" w:type="auto"/>
            <w:gridSpan w:val="3"/>
            <w:shd w:val="clear" w:color="auto" w:fill="FFFFFF"/>
            <w:tcMar>
              <w:top w:w="40" w:type="dxa"/>
              <w:left w:w="20" w:type="dxa"/>
              <w:bottom w:w="40" w:type="dxa"/>
              <w:right w:w="20" w:type="dxa"/>
            </w:tcMar>
            <w:vAlign w:val="bottom"/>
          </w:tcPr>
          <w:p w14:paraId="19502088"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19502089"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08A"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08B"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08C" w14:textId="77777777" w:rsidR="00BF3A3A" w:rsidRDefault="00BF3A3A">
            <w:pPr>
              <w:rPr>
                <w:rFonts w:ascii="宋体"/>
              </w:rPr>
            </w:pPr>
          </w:p>
        </w:tc>
      </w:tr>
      <w:tr w:rsidR="00BF3A3A" w14:paraId="1950209A" w14:textId="77777777">
        <w:trPr>
          <w:jc w:val="center"/>
        </w:trPr>
        <w:tc>
          <w:tcPr>
            <w:tcW w:w="0" w:type="auto"/>
            <w:gridSpan w:val="3"/>
            <w:shd w:val="clear" w:color="auto" w:fill="E2EFD9"/>
            <w:tcMar>
              <w:top w:w="40" w:type="dxa"/>
              <w:left w:w="515" w:type="dxa"/>
              <w:bottom w:w="40" w:type="dxa"/>
              <w:right w:w="20" w:type="dxa"/>
            </w:tcMar>
            <w:vAlign w:val="bottom"/>
          </w:tcPr>
          <w:p w14:paraId="1950208E" w14:textId="77777777" w:rsidR="00BF3A3A" w:rsidRDefault="00A76802">
            <w:pPr>
              <w:textAlignment w:val="bottom"/>
            </w:pPr>
            <w:r>
              <w:rPr>
                <w:rFonts w:ascii="sans-serif" w:eastAsia="sans-serif" w:hAnsi="sans-serif" w:cs="sans-serif"/>
                <w:color w:val="000000"/>
                <w:sz w:val="20"/>
                <w:szCs w:val="20"/>
              </w:rPr>
              <w:t>Research and development</w:t>
            </w:r>
          </w:p>
        </w:tc>
        <w:tc>
          <w:tcPr>
            <w:tcW w:w="0" w:type="auto"/>
            <w:gridSpan w:val="2"/>
            <w:shd w:val="clear" w:color="auto" w:fill="E2EFD9"/>
            <w:tcMar>
              <w:top w:w="40" w:type="dxa"/>
              <w:left w:w="20" w:type="dxa"/>
              <w:bottom w:w="40" w:type="dxa"/>
              <w:right w:w="0" w:type="dxa"/>
            </w:tcMar>
            <w:vAlign w:val="bottom"/>
          </w:tcPr>
          <w:p w14:paraId="1950208F" w14:textId="77777777" w:rsidR="00BF3A3A" w:rsidRDefault="00A76802">
            <w:pPr>
              <w:jc w:val="right"/>
              <w:textAlignment w:val="bottom"/>
            </w:pPr>
            <w:r>
              <w:rPr>
                <w:rFonts w:ascii="sans-serif" w:eastAsia="sans-serif" w:hAnsi="sans-serif" w:cs="sans-serif"/>
                <w:color w:val="000000"/>
                <w:sz w:val="20"/>
                <w:szCs w:val="20"/>
              </w:rPr>
              <w:t>1,824 </w:t>
            </w:r>
          </w:p>
        </w:tc>
        <w:tc>
          <w:tcPr>
            <w:tcW w:w="0" w:type="auto"/>
            <w:shd w:val="clear" w:color="auto" w:fill="E2EFD9"/>
            <w:tcMar>
              <w:top w:w="40" w:type="dxa"/>
              <w:left w:w="0" w:type="dxa"/>
              <w:bottom w:w="40" w:type="dxa"/>
              <w:right w:w="20" w:type="dxa"/>
            </w:tcMar>
            <w:vAlign w:val="bottom"/>
          </w:tcPr>
          <w:p w14:paraId="1950209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091"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092" w14:textId="77777777" w:rsidR="00BF3A3A" w:rsidRDefault="00A76802">
            <w:pPr>
              <w:jc w:val="right"/>
              <w:textAlignment w:val="bottom"/>
            </w:pPr>
            <w:r>
              <w:rPr>
                <w:rFonts w:ascii="sans-serif" w:eastAsia="sans-serif" w:hAnsi="sans-serif" w:cs="sans-serif"/>
                <w:color w:val="000000"/>
                <w:sz w:val="20"/>
                <w:szCs w:val="20"/>
              </w:rPr>
              <w:t>1,245 </w:t>
            </w:r>
          </w:p>
        </w:tc>
        <w:tc>
          <w:tcPr>
            <w:tcW w:w="0" w:type="auto"/>
            <w:shd w:val="clear" w:color="auto" w:fill="E2EFD9"/>
            <w:tcMar>
              <w:top w:w="40" w:type="dxa"/>
              <w:left w:w="0" w:type="dxa"/>
              <w:bottom w:w="40" w:type="dxa"/>
              <w:right w:w="20" w:type="dxa"/>
            </w:tcMar>
            <w:vAlign w:val="bottom"/>
          </w:tcPr>
          <w:p w14:paraId="1950209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094"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095" w14:textId="77777777" w:rsidR="00BF3A3A" w:rsidRDefault="00A76802">
            <w:pPr>
              <w:jc w:val="right"/>
              <w:textAlignment w:val="bottom"/>
            </w:pPr>
            <w:r>
              <w:rPr>
                <w:rFonts w:ascii="sans-serif" w:eastAsia="sans-serif" w:hAnsi="sans-serif" w:cs="sans-serif"/>
                <w:color w:val="000000"/>
                <w:sz w:val="20"/>
                <w:szCs w:val="20"/>
              </w:rPr>
              <w:t>3,443 </w:t>
            </w:r>
          </w:p>
        </w:tc>
        <w:tc>
          <w:tcPr>
            <w:tcW w:w="0" w:type="auto"/>
            <w:shd w:val="clear" w:color="auto" w:fill="E2EFD9"/>
            <w:tcMar>
              <w:top w:w="40" w:type="dxa"/>
              <w:left w:w="0" w:type="dxa"/>
              <w:bottom w:w="40" w:type="dxa"/>
              <w:right w:w="20" w:type="dxa"/>
            </w:tcMar>
            <w:vAlign w:val="bottom"/>
          </w:tcPr>
          <w:p w14:paraId="1950209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097"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098" w14:textId="77777777" w:rsidR="00BF3A3A" w:rsidRDefault="00A76802">
            <w:pPr>
              <w:jc w:val="right"/>
              <w:textAlignment w:val="bottom"/>
            </w:pPr>
            <w:r>
              <w:rPr>
                <w:rFonts w:ascii="sans-serif" w:eastAsia="sans-serif" w:hAnsi="sans-serif" w:cs="sans-serif"/>
                <w:color w:val="000000"/>
                <w:sz w:val="20"/>
                <w:szCs w:val="20"/>
              </w:rPr>
              <w:t>2,398 </w:t>
            </w:r>
          </w:p>
        </w:tc>
        <w:tc>
          <w:tcPr>
            <w:tcW w:w="0" w:type="auto"/>
            <w:shd w:val="clear" w:color="auto" w:fill="E2EFD9"/>
            <w:tcMar>
              <w:top w:w="40" w:type="dxa"/>
              <w:left w:w="0" w:type="dxa"/>
              <w:bottom w:w="40" w:type="dxa"/>
              <w:right w:w="20" w:type="dxa"/>
            </w:tcMar>
            <w:vAlign w:val="bottom"/>
          </w:tcPr>
          <w:p w14:paraId="19502099" w14:textId="77777777" w:rsidR="00BF3A3A" w:rsidRDefault="00BF3A3A">
            <w:pPr>
              <w:jc w:val="right"/>
              <w:rPr>
                <w:rFonts w:ascii="宋体"/>
              </w:rPr>
            </w:pPr>
          </w:p>
        </w:tc>
      </w:tr>
      <w:tr w:rsidR="00BF3A3A" w14:paraId="195020A7" w14:textId="77777777">
        <w:trPr>
          <w:jc w:val="center"/>
        </w:trPr>
        <w:tc>
          <w:tcPr>
            <w:tcW w:w="0" w:type="auto"/>
            <w:gridSpan w:val="3"/>
            <w:shd w:val="clear" w:color="auto" w:fill="FFFFFF"/>
            <w:tcMar>
              <w:top w:w="40" w:type="dxa"/>
              <w:left w:w="515" w:type="dxa"/>
              <w:bottom w:w="40" w:type="dxa"/>
              <w:right w:w="20" w:type="dxa"/>
            </w:tcMar>
            <w:vAlign w:val="bottom"/>
          </w:tcPr>
          <w:p w14:paraId="1950209B" w14:textId="77777777" w:rsidR="00BF3A3A" w:rsidRDefault="00A76802">
            <w:pPr>
              <w:textAlignment w:val="bottom"/>
            </w:pPr>
            <w:r>
              <w:rPr>
                <w:rFonts w:ascii="sans-serif" w:eastAsia="sans-serif" w:hAnsi="sans-serif" w:cs="sans-serif"/>
                <w:color w:val="000000"/>
                <w:sz w:val="20"/>
                <w:szCs w:val="20"/>
              </w:rPr>
              <w:t>Sales, general and administrative</w:t>
            </w:r>
          </w:p>
        </w:tc>
        <w:tc>
          <w:tcPr>
            <w:tcW w:w="0" w:type="auto"/>
            <w:gridSpan w:val="2"/>
            <w:shd w:val="clear" w:color="auto" w:fill="FFFFFF"/>
            <w:tcMar>
              <w:top w:w="40" w:type="dxa"/>
              <w:left w:w="20" w:type="dxa"/>
              <w:bottom w:w="40" w:type="dxa"/>
              <w:right w:w="0" w:type="dxa"/>
            </w:tcMar>
            <w:vAlign w:val="bottom"/>
          </w:tcPr>
          <w:p w14:paraId="1950209C" w14:textId="77777777" w:rsidR="00BF3A3A" w:rsidRDefault="00A76802">
            <w:pPr>
              <w:jc w:val="right"/>
              <w:textAlignment w:val="bottom"/>
            </w:pPr>
            <w:r>
              <w:rPr>
                <w:rFonts w:ascii="sans-serif" w:eastAsia="sans-serif" w:hAnsi="sans-serif" w:cs="sans-serif"/>
                <w:color w:val="000000"/>
                <w:sz w:val="20"/>
                <w:szCs w:val="20"/>
              </w:rPr>
              <w:t>592 </w:t>
            </w:r>
          </w:p>
        </w:tc>
        <w:tc>
          <w:tcPr>
            <w:tcW w:w="0" w:type="auto"/>
            <w:shd w:val="clear" w:color="auto" w:fill="FFFFFF"/>
            <w:tcMar>
              <w:top w:w="40" w:type="dxa"/>
              <w:left w:w="0" w:type="dxa"/>
              <w:bottom w:w="40" w:type="dxa"/>
              <w:right w:w="20" w:type="dxa"/>
            </w:tcMar>
            <w:vAlign w:val="bottom"/>
          </w:tcPr>
          <w:p w14:paraId="1950209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09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09F" w14:textId="77777777" w:rsidR="00BF3A3A" w:rsidRDefault="00A76802">
            <w:pPr>
              <w:jc w:val="right"/>
              <w:textAlignment w:val="bottom"/>
            </w:pPr>
            <w:r>
              <w:rPr>
                <w:rFonts w:ascii="sans-serif" w:eastAsia="sans-serif" w:hAnsi="sans-serif" w:cs="sans-serif"/>
                <w:color w:val="000000"/>
                <w:sz w:val="20"/>
                <w:szCs w:val="20"/>
              </w:rPr>
              <w:t>526 </w:t>
            </w:r>
          </w:p>
        </w:tc>
        <w:tc>
          <w:tcPr>
            <w:tcW w:w="0" w:type="auto"/>
            <w:shd w:val="clear" w:color="auto" w:fill="FFFFFF"/>
            <w:tcMar>
              <w:top w:w="40" w:type="dxa"/>
              <w:left w:w="0" w:type="dxa"/>
              <w:bottom w:w="40" w:type="dxa"/>
              <w:right w:w="20" w:type="dxa"/>
            </w:tcMar>
            <w:vAlign w:val="bottom"/>
          </w:tcPr>
          <w:p w14:paraId="195020A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0A1"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0A2" w14:textId="77777777" w:rsidR="00BF3A3A" w:rsidRDefault="00A76802">
            <w:pPr>
              <w:jc w:val="right"/>
              <w:textAlignment w:val="bottom"/>
            </w:pPr>
            <w:r>
              <w:rPr>
                <w:rFonts w:ascii="sans-serif" w:eastAsia="sans-serif" w:hAnsi="sans-serif" w:cs="sans-serif"/>
                <w:color w:val="000000"/>
                <w:sz w:val="20"/>
                <w:szCs w:val="20"/>
              </w:rPr>
              <w:t>1,183 </w:t>
            </w:r>
          </w:p>
        </w:tc>
        <w:tc>
          <w:tcPr>
            <w:tcW w:w="0" w:type="auto"/>
            <w:shd w:val="clear" w:color="auto" w:fill="FFFFFF"/>
            <w:tcMar>
              <w:top w:w="40" w:type="dxa"/>
              <w:left w:w="0" w:type="dxa"/>
              <w:bottom w:w="40" w:type="dxa"/>
              <w:right w:w="20" w:type="dxa"/>
            </w:tcMar>
            <w:vAlign w:val="bottom"/>
          </w:tcPr>
          <w:p w14:paraId="195020A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0A4"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0A5" w14:textId="77777777" w:rsidR="00BF3A3A" w:rsidRDefault="00A76802">
            <w:pPr>
              <w:jc w:val="right"/>
              <w:textAlignment w:val="bottom"/>
            </w:pPr>
            <w:r>
              <w:rPr>
                <w:rFonts w:ascii="sans-serif" w:eastAsia="sans-serif" w:hAnsi="sans-serif" w:cs="sans-serif"/>
                <w:color w:val="000000"/>
                <w:sz w:val="20"/>
                <w:szCs w:val="20"/>
              </w:rPr>
              <w:t>1,046 </w:t>
            </w:r>
          </w:p>
        </w:tc>
        <w:tc>
          <w:tcPr>
            <w:tcW w:w="0" w:type="auto"/>
            <w:shd w:val="clear" w:color="auto" w:fill="FFFFFF"/>
            <w:tcMar>
              <w:top w:w="40" w:type="dxa"/>
              <w:left w:w="0" w:type="dxa"/>
              <w:bottom w:w="40" w:type="dxa"/>
              <w:right w:w="20" w:type="dxa"/>
            </w:tcMar>
            <w:vAlign w:val="bottom"/>
          </w:tcPr>
          <w:p w14:paraId="195020A6" w14:textId="77777777" w:rsidR="00BF3A3A" w:rsidRDefault="00BF3A3A">
            <w:pPr>
              <w:jc w:val="right"/>
              <w:rPr>
                <w:rFonts w:ascii="宋体"/>
              </w:rPr>
            </w:pPr>
          </w:p>
        </w:tc>
      </w:tr>
      <w:tr w:rsidR="00BF3A3A" w14:paraId="195020B4" w14:textId="77777777">
        <w:trPr>
          <w:jc w:val="center"/>
        </w:trPr>
        <w:tc>
          <w:tcPr>
            <w:tcW w:w="0" w:type="auto"/>
            <w:gridSpan w:val="3"/>
            <w:shd w:val="clear" w:color="auto" w:fill="E2EFD9"/>
            <w:tcMar>
              <w:top w:w="40" w:type="dxa"/>
              <w:left w:w="20" w:type="dxa"/>
              <w:bottom w:w="40" w:type="dxa"/>
              <w:right w:w="20" w:type="dxa"/>
            </w:tcMar>
            <w:vAlign w:val="bottom"/>
          </w:tcPr>
          <w:p w14:paraId="195020A8" w14:textId="77777777" w:rsidR="00BF3A3A" w:rsidRDefault="00A76802">
            <w:pPr>
              <w:textAlignment w:val="bottom"/>
            </w:pPr>
            <w:r>
              <w:rPr>
                <w:rFonts w:ascii="sans-serif" w:eastAsia="sans-serif" w:hAnsi="sans-serif" w:cs="sans-serif"/>
                <w:color w:val="000000"/>
                <w:sz w:val="20"/>
                <w:szCs w:val="20"/>
              </w:rPr>
              <w:t>Acquisition termination cost</w:t>
            </w:r>
          </w:p>
        </w:tc>
        <w:tc>
          <w:tcPr>
            <w:tcW w:w="0" w:type="auto"/>
            <w:gridSpan w:val="2"/>
            <w:shd w:val="clear" w:color="auto" w:fill="E2EFD9"/>
            <w:tcMar>
              <w:top w:w="40" w:type="dxa"/>
              <w:left w:w="20" w:type="dxa"/>
              <w:bottom w:w="40" w:type="dxa"/>
              <w:right w:w="0" w:type="dxa"/>
            </w:tcMar>
            <w:vAlign w:val="bottom"/>
          </w:tcPr>
          <w:p w14:paraId="195020A9"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20A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0AB"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0AC"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20A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0AE"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0AF" w14:textId="77777777" w:rsidR="00BF3A3A" w:rsidRDefault="00A76802">
            <w:pPr>
              <w:jc w:val="right"/>
              <w:textAlignment w:val="bottom"/>
            </w:pPr>
            <w:r>
              <w:rPr>
                <w:rFonts w:ascii="sans-serif" w:eastAsia="sans-serif" w:hAnsi="sans-serif" w:cs="sans-serif"/>
                <w:color w:val="000000"/>
                <w:sz w:val="20"/>
                <w:szCs w:val="20"/>
              </w:rPr>
              <w:t>1,353 </w:t>
            </w:r>
          </w:p>
        </w:tc>
        <w:tc>
          <w:tcPr>
            <w:tcW w:w="0" w:type="auto"/>
            <w:shd w:val="clear" w:color="auto" w:fill="E2EFD9"/>
            <w:tcMar>
              <w:top w:w="40" w:type="dxa"/>
              <w:left w:w="0" w:type="dxa"/>
              <w:bottom w:w="40" w:type="dxa"/>
              <w:right w:w="20" w:type="dxa"/>
            </w:tcMar>
            <w:vAlign w:val="bottom"/>
          </w:tcPr>
          <w:p w14:paraId="195020B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0B1"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0B2"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20B3" w14:textId="77777777" w:rsidR="00BF3A3A" w:rsidRDefault="00BF3A3A">
            <w:pPr>
              <w:jc w:val="right"/>
              <w:rPr>
                <w:rFonts w:ascii="宋体"/>
              </w:rPr>
            </w:pPr>
          </w:p>
        </w:tc>
      </w:tr>
      <w:tr w:rsidR="00BF3A3A" w14:paraId="195020BD" w14:textId="77777777">
        <w:trPr>
          <w:jc w:val="center"/>
          <w:hidden/>
        </w:trPr>
        <w:tc>
          <w:tcPr>
            <w:tcW w:w="0" w:type="auto"/>
            <w:gridSpan w:val="3"/>
            <w:shd w:val="clear" w:color="auto" w:fill="auto"/>
            <w:vAlign w:val="bottom"/>
          </w:tcPr>
          <w:p w14:paraId="195020B5" w14:textId="77777777" w:rsidR="00BF3A3A" w:rsidRDefault="00BF3A3A">
            <w:pPr>
              <w:rPr>
                <w:rFonts w:ascii="宋体"/>
                <w:vanish/>
              </w:rPr>
            </w:pPr>
          </w:p>
        </w:tc>
        <w:tc>
          <w:tcPr>
            <w:tcW w:w="0" w:type="auto"/>
            <w:gridSpan w:val="3"/>
            <w:shd w:val="clear" w:color="auto" w:fill="auto"/>
            <w:vAlign w:val="bottom"/>
          </w:tcPr>
          <w:p w14:paraId="195020B6" w14:textId="77777777" w:rsidR="00BF3A3A" w:rsidRDefault="00BF3A3A">
            <w:pPr>
              <w:rPr>
                <w:rFonts w:ascii="宋体"/>
                <w:vanish/>
              </w:rPr>
            </w:pPr>
          </w:p>
        </w:tc>
        <w:tc>
          <w:tcPr>
            <w:tcW w:w="0" w:type="auto"/>
            <w:gridSpan w:val="3"/>
            <w:shd w:val="clear" w:color="auto" w:fill="auto"/>
            <w:vAlign w:val="bottom"/>
          </w:tcPr>
          <w:p w14:paraId="195020B7" w14:textId="77777777" w:rsidR="00BF3A3A" w:rsidRDefault="00BF3A3A">
            <w:pPr>
              <w:rPr>
                <w:rFonts w:ascii="宋体"/>
                <w:vanish/>
              </w:rPr>
            </w:pPr>
          </w:p>
        </w:tc>
        <w:tc>
          <w:tcPr>
            <w:tcW w:w="0" w:type="auto"/>
            <w:gridSpan w:val="3"/>
            <w:shd w:val="clear" w:color="auto" w:fill="auto"/>
            <w:vAlign w:val="bottom"/>
          </w:tcPr>
          <w:p w14:paraId="195020B8" w14:textId="77777777" w:rsidR="00BF3A3A" w:rsidRDefault="00BF3A3A">
            <w:pPr>
              <w:rPr>
                <w:rFonts w:ascii="宋体"/>
                <w:vanish/>
              </w:rPr>
            </w:pPr>
          </w:p>
        </w:tc>
        <w:tc>
          <w:tcPr>
            <w:tcW w:w="0" w:type="auto"/>
            <w:gridSpan w:val="3"/>
            <w:shd w:val="clear" w:color="auto" w:fill="auto"/>
            <w:vAlign w:val="bottom"/>
          </w:tcPr>
          <w:p w14:paraId="195020B9" w14:textId="77777777" w:rsidR="00BF3A3A" w:rsidRDefault="00BF3A3A">
            <w:pPr>
              <w:rPr>
                <w:rFonts w:ascii="宋体"/>
                <w:vanish/>
              </w:rPr>
            </w:pPr>
          </w:p>
        </w:tc>
        <w:tc>
          <w:tcPr>
            <w:tcW w:w="0" w:type="auto"/>
            <w:gridSpan w:val="3"/>
            <w:shd w:val="clear" w:color="auto" w:fill="auto"/>
            <w:vAlign w:val="bottom"/>
          </w:tcPr>
          <w:p w14:paraId="195020BA" w14:textId="77777777" w:rsidR="00BF3A3A" w:rsidRDefault="00BF3A3A">
            <w:pPr>
              <w:rPr>
                <w:rFonts w:ascii="宋体"/>
                <w:vanish/>
              </w:rPr>
            </w:pPr>
          </w:p>
        </w:tc>
        <w:tc>
          <w:tcPr>
            <w:tcW w:w="0" w:type="auto"/>
            <w:gridSpan w:val="3"/>
            <w:shd w:val="clear" w:color="auto" w:fill="auto"/>
            <w:vAlign w:val="bottom"/>
          </w:tcPr>
          <w:p w14:paraId="195020BB" w14:textId="77777777" w:rsidR="00BF3A3A" w:rsidRDefault="00BF3A3A">
            <w:pPr>
              <w:rPr>
                <w:rFonts w:ascii="宋体"/>
                <w:vanish/>
              </w:rPr>
            </w:pPr>
          </w:p>
        </w:tc>
        <w:tc>
          <w:tcPr>
            <w:tcW w:w="0" w:type="auto"/>
            <w:gridSpan w:val="3"/>
            <w:shd w:val="clear" w:color="auto" w:fill="auto"/>
            <w:vAlign w:val="bottom"/>
          </w:tcPr>
          <w:p w14:paraId="195020BC" w14:textId="77777777" w:rsidR="00BF3A3A" w:rsidRDefault="00BF3A3A">
            <w:pPr>
              <w:rPr>
                <w:rFonts w:ascii="宋体"/>
                <w:vanish/>
              </w:rPr>
            </w:pPr>
          </w:p>
        </w:tc>
      </w:tr>
      <w:tr w:rsidR="00BF3A3A" w14:paraId="195020CA" w14:textId="77777777">
        <w:trPr>
          <w:jc w:val="center"/>
        </w:trPr>
        <w:tc>
          <w:tcPr>
            <w:tcW w:w="0" w:type="auto"/>
            <w:gridSpan w:val="3"/>
            <w:shd w:val="clear" w:color="auto" w:fill="FFFFFF"/>
            <w:tcMar>
              <w:top w:w="40" w:type="dxa"/>
              <w:left w:w="875" w:type="dxa"/>
              <w:bottom w:w="40" w:type="dxa"/>
              <w:right w:w="20" w:type="dxa"/>
            </w:tcMar>
            <w:vAlign w:val="bottom"/>
          </w:tcPr>
          <w:p w14:paraId="195020BE" w14:textId="77777777" w:rsidR="00BF3A3A" w:rsidRDefault="00A76802">
            <w:pPr>
              <w:textAlignment w:val="bottom"/>
            </w:pPr>
            <w:r>
              <w:rPr>
                <w:rFonts w:ascii="sans-serif" w:eastAsia="sans-serif" w:hAnsi="sans-serif" w:cs="sans-serif"/>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0BF" w14:textId="77777777" w:rsidR="00BF3A3A" w:rsidRDefault="00A76802">
            <w:pPr>
              <w:jc w:val="right"/>
              <w:textAlignment w:val="bottom"/>
            </w:pPr>
            <w:r>
              <w:rPr>
                <w:rFonts w:ascii="sans-serif" w:eastAsia="sans-serif" w:hAnsi="sans-serif" w:cs="sans-serif"/>
                <w:color w:val="000000"/>
                <w:sz w:val="20"/>
                <w:szCs w:val="20"/>
              </w:rPr>
              <w:t>2,416 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0C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0C1"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0C2" w14:textId="77777777" w:rsidR="00BF3A3A" w:rsidRDefault="00A76802">
            <w:pPr>
              <w:jc w:val="right"/>
              <w:textAlignment w:val="bottom"/>
            </w:pPr>
            <w:r>
              <w:rPr>
                <w:rFonts w:ascii="sans-serif" w:eastAsia="sans-serif" w:hAnsi="sans-serif" w:cs="sans-serif"/>
                <w:color w:val="000000"/>
                <w:sz w:val="20"/>
                <w:szCs w:val="20"/>
              </w:rPr>
              <w:t>1,771 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0C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0C4"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0C5" w14:textId="77777777" w:rsidR="00BF3A3A" w:rsidRDefault="00A76802">
            <w:pPr>
              <w:jc w:val="right"/>
              <w:textAlignment w:val="bottom"/>
            </w:pPr>
            <w:r>
              <w:rPr>
                <w:rFonts w:ascii="sans-serif" w:eastAsia="sans-serif" w:hAnsi="sans-serif" w:cs="sans-serif"/>
                <w:color w:val="000000"/>
                <w:sz w:val="20"/>
                <w:szCs w:val="20"/>
              </w:rPr>
              <w:t>5,979 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0C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0C7"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0C8" w14:textId="77777777" w:rsidR="00BF3A3A" w:rsidRDefault="00A76802">
            <w:pPr>
              <w:jc w:val="right"/>
              <w:textAlignment w:val="bottom"/>
            </w:pPr>
            <w:r>
              <w:rPr>
                <w:rFonts w:ascii="sans-serif" w:eastAsia="sans-serif" w:hAnsi="sans-serif" w:cs="sans-serif"/>
                <w:color w:val="000000"/>
                <w:sz w:val="20"/>
                <w:szCs w:val="20"/>
              </w:rPr>
              <w:t>3,444 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0C9" w14:textId="77777777" w:rsidR="00BF3A3A" w:rsidRDefault="00BF3A3A">
            <w:pPr>
              <w:jc w:val="right"/>
              <w:rPr>
                <w:rFonts w:ascii="宋体"/>
              </w:rPr>
            </w:pPr>
          </w:p>
        </w:tc>
      </w:tr>
      <w:tr w:rsidR="00BF3A3A" w14:paraId="195020D7" w14:textId="77777777">
        <w:trPr>
          <w:jc w:val="center"/>
        </w:trPr>
        <w:tc>
          <w:tcPr>
            <w:tcW w:w="0" w:type="auto"/>
            <w:gridSpan w:val="3"/>
            <w:shd w:val="clear" w:color="auto" w:fill="E2EFD9"/>
            <w:tcMar>
              <w:top w:w="40" w:type="dxa"/>
              <w:left w:w="20" w:type="dxa"/>
              <w:bottom w:w="40" w:type="dxa"/>
              <w:right w:w="20" w:type="dxa"/>
            </w:tcMar>
            <w:vAlign w:val="bottom"/>
          </w:tcPr>
          <w:p w14:paraId="195020CB" w14:textId="77777777" w:rsidR="00BF3A3A" w:rsidRDefault="00A76802">
            <w:pPr>
              <w:textAlignment w:val="bottom"/>
            </w:pPr>
            <w:r>
              <w:rPr>
                <w:rFonts w:ascii="sans-serif" w:eastAsia="sans-serif" w:hAnsi="sans-serif" w:cs="sans-serif"/>
                <w:color w:val="000000"/>
                <w:sz w:val="20"/>
                <w:szCs w:val="20"/>
              </w:rPr>
              <w:t>Income from operations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0CC" w14:textId="77777777" w:rsidR="00BF3A3A" w:rsidRDefault="00A76802">
            <w:pPr>
              <w:jc w:val="right"/>
              <w:textAlignment w:val="bottom"/>
            </w:pPr>
            <w:r>
              <w:rPr>
                <w:rFonts w:ascii="sans-serif" w:eastAsia="sans-serif" w:hAnsi="sans-serif" w:cs="sans-serif"/>
                <w:color w:val="000000"/>
                <w:sz w:val="20"/>
                <w:szCs w:val="20"/>
              </w:rPr>
              <w:t>499 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0C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0CE"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0CF" w14:textId="77777777" w:rsidR="00BF3A3A" w:rsidRDefault="00A76802">
            <w:pPr>
              <w:jc w:val="right"/>
              <w:textAlignment w:val="bottom"/>
            </w:pPr>
            <w:r>
              <w:rPr>
                <w:rFonts w:ascii="sans-serif" w:eastAsia="sans-serif" w:hAnsi="sans-serif" w:cs="sans-serif"/>
                <w:color w:val="000000"/>
                <w:sz w:val="20"/>
                <w:szCs w:val="20"/>
              </w:rPr>
              <w:t>2,444 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0D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0D1"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0D2" w14:textId="77777777" w:rsidR="00BF3A3A" w:rsidRDefault="00A76802">
            <w:pPr>
              <w:jc w:val="right"/>
              <w:textAlignment w:val="bottom"/>
            </w:pPr>
            <w:r>
              <w:rPr>
                <w:rFonts w:ascii="sans-serif" w:eastAsia="sans-serif" w:hAnsi="sans-serif" w:cs="sans-serif"/>
                <w:color w:val="000000"/>
                <w:sz w:val="20"/>
                <w:szCs w:val="20"/>
              </w:rPr>
              <w:t>2,367 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0D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0D4"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0D5" w14:textId="77777777" w:rsidR="00BF3A3A" w:rsidRDefault="00A76802">
            <w:pPr>
              <w:jc w:val="right"/>
              <w:textAlignment w:val="bottom"/>
            </w:pPr>
            <w:r>
              <w:rPr>
                <w:rFonts w:ascii="sans-serif" w:eastAsia="sans-serif" w:hAnsi="sans-serif" w:cs="sans-serif"/>
                <w:color w:val="000000"/>
                <w:sz w:val="20"/>
                <w:szCs w:val="20"/>
              </w:rPr>
              <w:t>4,400 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0D6" w14:textId="77777777" w:rsidR="00BF3A3A" w:rsidRDefault="00BF3A3A">
            <w:pPr>
              <w:jc w:val="right"/>
              <w:rPr>
                <w:rFonts w:ascii="宋体"/>
              </w:rPr>
            </w:pPr>
          </w:p>
        </w:tc>
      </w:tr>
      <w:tr w:rsidR="00BF3A3A" w14:paraId="195020E4" w14:textId="77777777">
        <w:trPr>
          <w:jc w:val="center"/>
        </w:trPr>
        <w:tc>
          <w:tcPr>
            <w:tcW w:w="0" w:type="auto"/>
            <w:gridSpan w:val="3"/>
            <w:shd w:val="clear" w:color="auto" w:fill="FFFFFF"/>
            <w:tcMar>
              <w:top w:w="40" w:type="dxa"/>
              <w:left w:w="515" w:type="dxa"/>
              <w:bottom w:w="40" w:type="dxa"/>
              <w:right w:w="20" w:type="dxa"/>
            </w:tcMar>
            <w:vAlign w:val="bottom"/>
          </w:tcPr>
          <w:p w14:paraId="195020D8" w14:textId="77777777" w:rsidR="00BF3A3A" w:rsidRDefault="00A76802">
            <w:pPr>
              <w:textAlignment w:val="bottom"/>
            </w:pPr>
            <w:r>
              <w:rPr>
                <w:rFonts w:ascii="sans-serif" w:eastAsia="sans-serif" w:hAnsi="sans-serif" w:cs="sans-serif"/>
                <w:color w:val="000000"/>
                <w:sz w:val="20"/>
                <w:szCs w:val="20"/>
              </w:rPr>
              <w:t>Interest income</w:t>
            </w:r>
          </w:p>
        </w:tc>
        <w:tc>
          <w:tcPr>
            <w:tcW w:w="0" w:type="auto"/>
            <w:gridSpan w:val="2"/>
            <w:shd w:val="clear" w:color="auto" w:fill="FFFFFF"/>
            <w:tcMar>
              <w:top w:w="40" w:type="dxa"/>
              <w:left w:w="20" w:type="dxa"/>
              <w:bottom w:w="40" w:type="dxa"/>
              <w:right w:w="0" w:type="dxa"/>
            </w:tcMar>
            <w:vAlign w:val="bottom"/>
          </w:tcPr>
          <w:p w14:paraId="195020D9" w14:textId="77777777" w:rsidR="00BF3A3A" w:rsidRDefault="00A76802">
            <w:pPr>
              <w:jc w:val="right"/>
              <w:textAlignment w:val="bottom"/>
            </w:pPr>
            <w:r>
              <w:rPr>
                <w:rFonts w:ascii="sans-serif" w:eastAsia="sans-serif" w:hAnsi="sans-serif" w:cs="sans-serif"/>
                <w:color w:val="000000"/>
                <w:sz w:val="20"/>
                <w:szCs w:val="20"/>
              </w:rPr>
              <w:t>46 </w:t>
            </w:r>
          </w:p>
        </w:tc>
        <w:tc>
          <w:tcPr>
            <w:tcW w:w="0" w:type="auto"/>
            <w:shd w:val="clear" w:color="auto" w:fill="FFFFFF"/>
            <w:tcMar>
              <w:top w:w="40" w:type="dxa"/>
              <w:left w:w="0" w:type="dxa"/>
              <w:bottom w:w="40" w:type="dxa"/>
              <w:right w:w="20" w:type="dxa"/>
            </w:tcMar>
            <w:vAlign w:val="bottom"/>
          </w:tcPr>
          <w:p w14:paraId="195020DA"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0DB"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0DC" w14:textId="77777777" w:rsidR="00BF3A3A" w:rsidRDefault="00A76802">
            <w:pPr>
              <w:jc w:val="right"/>
              <w:textAlignment w:val="bottom"/>
            </w:pPr>
            <w:r>
              <w:rPr>
                <w:rFonts w:ascii="sans-serif" w:eastAsia="sans-serif" w:hAnsi="sans-serif" w:cs="sans-serif"/>
                <w:color w:val="000000"/>
                <w:sz w:val="20"/>
                <w:szCs w:val="20"/>
              </w:rPr>
              <w:t>6 </w:t>
            </w:r>
          </w:p>
        </w:tc>
        <w:tc>
          <w:tcPr>
            <w:tcW w:w="0" w:type="auto"/>
            <w:shd w:val="clear" w:color="auto" w:fill="FFFFFF"/>
            <w:tcMar>
              <w:top w:w="40" w:type="dxa"/>
              <w:left w:w="0" w:type="dxa"/>
              <w:bottom w:w="40" w:type="dxa"/>
              <w:right w:w="20" w:type="dxa"/>
            </w:tcMar>
            <w:vAlign w:val="bottom"/>
          </w:tcPr>
          <w:p w14:paraId="195020D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0D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0DF" w14:textId="77777777" w:rsidR="00BF3A3A" w:rsidRDefault="00A76802">
            <w:pPr>
              <w:jc w:val="right"/>
              <w:textAlignment w:val="bottom"/>
            </w:pPr>
            <w:r>
              <w:rPr>
                <w:rFonts w:ascii="sans-serif" w:eastAsia="sans-serif" w:hAnsi="sans-serif" w:cs="sans-serif"/>
                <w:color w:val="000000"/>
                <w:sz w:val="20"/>
                <w:szCs w:val="20"/>
              </w:rPr>
              <w:t>64 </w:t>
            </w:r>
          </w:p>
        </w:tc>
        <w:tc>
          <w:tcPr>
            <w:tcW w:w="0" w:type="auto"/>
            <w:shd w:val="clear" w:color="auto" w:fill="FFFFFF"/>
            <w:tcMar>
              <w:top w:w="40" w:type="dxa"/>
              <w:left w:w="0" w:type="dxa"/>
              <w:bottom w:w="40" w:type="dxa"/>
              <w:right w:w="20" w:type="dxa"/>
            </w:tcMar>
            <w:vAlign w:val="bottom"/>
          </w:tcPr>
          <w:p w14:paraId="195020E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0E1"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0E2" w14:textId="77777777" w:rsidR="00BF3A3A" w:rsidRDefault="00A76802">
            <w:pPr>
              <w:jc w:val="right"/>
              <w:textAlignment w:val="bottom"/>
            </w:pPr>
            <w:r>
              <w:rPr>
                <w:rFonts w:ascii="sans-serif" w:eastAsia="sans-serif" w:hAnsi="sans-serif" w:cs="sans-serif"/>
                <w:color w:val="000000"/>
                <w:sz w:val="20"/>
                <w:szCs w:val="20"/>
              </w:rPr>
              <w:t>13 </w:t>
            </w:r>
          </w:p>
        </w:tc>
        <w:tc>
          <w:tcPr>
            <w:tcW w:w="0" w:type="auto"/>
            <w:shd w:val="clear" w:color="auto" w:fill="FFFFFF"/>
            <w:tcMar>
              <w:top w:w="40" w:type="dxa"/>
              <w:left w:w="0" w:type="dxa"/>
              <w:bottom w:w="40" w:type="dxa"/>
              <w:right w:w="20" w:type="dxa"/>
            </w:tcMar>
            <w:vAlign w:val="bottom"/>
          </w:tcPr>
          <w:p w14:paraId="195020E3" w14:textId="77777777" w:rsidR="00BF3A3A" w:rsidRDefault="00BF3A3A">
            <w:pPr>
              <w:jc w:val="right"/>
              <w:rPr>
                <w:rFonts w:ascii="宋体"/>
              </w:rPr>
            </w:pPr>
          </w:p>
        </w:tc>
      </w:tr>
      <w:tr w:rsidR="00BF3A3A" w14:paraId="195020F1" w14:textId="77777777">
        <w:trPr>
          <w:jc w:val="center"/>
        </w:trPr>
        <w:tc>
          <w:tcPr>
            <w:tcW w:w="0" w:type="auto"/>
            <w:gridSpan w:val="3"/>
            <w:shd w:val="clear" w:color="auto" w:fill="E2EFD9"/>
            <w:tcMar>
              <w:top w:w="40" w:type="dxa"/>
              <w:left w:w="515" w:type="dxa"/>
              <w:bottom w:w="40" w:type="dxa"/>
              <w:right w:w="20" w:type="dxa"/>
            </w:tcMar>
            <w:vAlign w:val="bottom"/>
          </w:tcPr>
          <w:p w14:paraId="195020E5" w14:textId="77777777" w:rsidR="00BF3A3A" w:rsidRDefault="00A76802">
            <w:pPr>
              <w:textAlignment w:val="bottom"/>
            </w:pPr>
            <w:r>
              <w:rPr>
                <w:rFonts w:ascii="sans-serif" w:eastAsia="sans-serif" w:hAnsi="sans-serif" w:cs="sans-serif"/>
                <w:color w:val="000000"/>
                <w:sz w:val="20"/>
                <w:szCs w:val="20"/>
              </w:rPr>
              <w:t>Interest expense</w:t>
            </w:r>
          </w:p>
        </w:tc>
        <w:tc>
          <w:tcPr>
            <w:tcW w:w="0" w:type="auto"/>
            <w:gridSpan w:val="2"/>
            <w:shd w:val="clear" w:color="auto" w:fill="E2EFD9"/>
            <w:tcMar>
              <w:top w:w="40" w:type="dxa"/>
              <w:left w:w="20" w:type="dxa"/>
              <w:bottom w:w="40" w:type="dxa"/>
              <w:right w:w="0" w:type="dxa"/>
            </w:tcMar>
            <w:vAlign w:val="bottom"/>
          </w:tcPr>
          <w:p w14:paraId="195020E6" w14:textId="77777777" w:rsidR="00BF3A3A" w:rsidRDefault="00A76802">
            <w:pPr>
              <w:jc w:val="right"/>
              <w:textAlignment w:val="bottom"/>
            </w:pPr>
            <w:r>
              <w:rPr>
                <w:rFonts w:ascii="sans-serif" w:eastAsia="sans-serif" w:hAnsi="sans-serif" w:cs="sans-serif"/>
                <w:color w:val="000000"/>
                <w:sz w:val="20"/>
                <w:szCs w:val="20"/>
              </w:rPr>
              <w:t>(65)</w:t>
            </w:r>
          </w:p>
        </w:tc>
        <w:tc>
          <w:tcPr>
            <w:tcW w:w="0" w:type="auto"/>
            <w:shd w:val="clear" w:color="auto" w:fill="E2EFD9"/>
            <w:tcMar>
              <w:top w:w="40" w:type="dxa"/>
              <w:left w:w="0" w:type="dxa"/>
              <w:bottom w:w="40" w:type="dxa"/>
              <w:right w:w="20" w:type="dxa"/>
            </w:tcMar>
            <w:vAlign w:val="bottom"/>
          </w:tcPr>
          <w:p w14:paraId="195020E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0E8"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0E9" w14:textId="77777777" w:rsidR="00BF3A3A" w:rsidRDefault="00A76802">
            <w:pPr>
              <w:jc w:val="right"/>
              <w:textAlignment w:val="bottom"/>
            </w:pPr>
            <w:r>
              <w:rPr>
                <w:rFonts w:ascii="sans-serif" w:eastAsia="sans-serif" w:hAnsi="sans-serif" w:cs="sans-serif"/>
                <w:color w:val="000000"/>
                <w:sz w:val="20"/>
                <w:szCs w:val="20"/>
              </w:rPr>
              <w:t>(60)</w:t>
            </w:r>
          </w:p>
        </w:tc>
        <w:tc>
          <w:tcPr>
            <w:tcW w:w="0" w:type="auto"/>
            <w:shd w:val="clear" w:color="auto" w:fill="E2EFD9"/>
            <w:tcMar>
              <w:top w:w="40" w:type="dxa"/>
              <w:left w:w="0" w:type="dxa"/>
              <w:bottom w:w="40" w:type="dxa"/>
              <w:right w:w="20" w:type="dxa"/>
            </w:tcMar>
            <w:vAlign w:val="bottom"/>
          </w:tcPr>
          <w:p w14:paraId="195020E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0EB"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0EC" w14:textId="77777777" w:rsidR="00BF3A3A" w:rsidRDefault="00A76802">
            <w:pPr>
              <w:jc w:val="right"/>
              <w:textAlignment w:val="bottom"/>
            </w:pPr>
            <w:r>
              <w:rPr>
                <w:rFonts w:ascii="sans-serif" w:eastAsia="sans-serif" w:hAnsi="sans-serif" w:cs="sans-serif"/>
                <w:color w:val="000000"/>
                <w:sz w:val="20"/>
                <w:szCs w:val="20"/>
              </w:rPr>
              <w:t>(132)</w:t>
            </w:r>
          </w:p>
        </w:tc>
        <w:tc>
          <w:tcPr>
            <w:tcW w:w="0" w:type="auto"/>
            <w:shd w:val="clear" w:color="auto" w:fill="E2EFD9"/>
            <w:tcMar>
              <w:top w:w="40" w:type="dxa"/>
              <w:left w:w="0" w:type="dxa"/>
              <w:bottom w:w="40" w:type="dxa"/>
              <w:right w:w="20" w:type="dxa"/>
            </w:tcMar>
            <w:vAlign w:val="bottom"/>
          </w:tcPr>
          <w:p w14:paraId="195020E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0EE"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0EF" w14:textId="77777777" w:rsidR="00BF3A3A" w:rsidRDefault="00A76802">
            <w:pPr>
              <w:jc w:val="right"/>
              <w:textAlignment w:val="bottom"/>
            </w:pPr>
            <w:r>
              <w:rPr>
                <w:rFonts w:ascii="sans-serif" w:eastAsia="sans-serif" w:hAnsi="sans-serif" w:cs="sans-serif"/>
                <w:color w:val="000000"/>
                <w:sz w:val="20"/>
                <w:szCs w:val="20"/>
              </w:rPr>
              <w:t>(113)</w:t>
            </w:r>
          </w:p>
        </w:tc>
        <w:tc>
          <w:tcPr>
            <w:tcW w:w="0" w:type="auto"/>
            <w:shd w:val="clear" w:color="auto" w:fill="E2EFD9"/>
            <w:tcMar>
              <w:top w:w="40" w:type="dxa"/>
              <w:left w:w="0" w:type="dxa"/>
              <w:bottom w:w="40" w:type="dxa"/>
              <w:right w:w="20" w:type="dxa"/>
            </w:tcMar>
            <w:vAlign w:val="bottom"/>
          </w:tcPr>
          <w:p w14:paraId="195020F0" w14:textId="77777777" w:rsidR="00BF3A3A" w:rsidRDefault="00BF3A3A">
            <w:pPr>
              <w:jc w:val="right"/>
              <w:rPr>
                <w:rFonts w:ascii="宋体"/>
              </w:rPr>
            </w:pPr>
          </w:p>
        </w:tc>
      </w:tr>
      <w:tr w:rsidR="00BF3A3A" w14:paraId="195020FE" w14:textId="77777777">
        <w:trPr>
          <w:jc w:val="center"/>
        </w:trPr>
        <w:tc>
          <w:tcPr>
            <w:tcW w:w="0" w:type="auto"/>
            <w:gridSpan w:val="3"/>
            <w:shd w:val="clear" w:color="auto" w:fill="FFFFFF"/>
            <w:tcMar>
              <w:top w:w="40" w:type="dxa"/>
              <w:left w:w="515" w:type="dxa"/>
              <w:bottom w:w="40" w:type="dxa"/>
              <w:right w:w="20" w:type="dxa"/>
            </w:tcMar>
            <w:vAlign w:val="bottom"/>
          </w:tcPr>
          <w:p w14:paraId="195020F2" w14:textId="77777777" w:rsidR="00BF3A3A" w:rsidRDefault="00A76802">
            <w:pPr>
              <w:textAlignment w:val="bottom"/>
            </w:pPr>
            <w:r>
              <w:rPr>
                <w:rFonts w:ascii="sans-serif" w:eastAsia="sans-serif" w:hAnsi="sans-serif" w:cs="sans-serif"/>
                <w:color w:val="000000"/>
                <w:sz w:val="20"/>
                <w:szCs w:val="20"/>
              </w:rPr>
              <w:t>Other, net</w:t>
            </w:r>
          </w:p>
        </w:tc>
        <w:tc>
          <w:tcPr>
            <w:tcW w:w="0" w:type="auto"/>
            <w:gridSpan w:val="2"/>
            <w:shd w:val="clear" w:color="auto" w:fill="FFFFFF"/>
            <w:tcMar>
              <w:top w:w="40" w:type="dxa"/>
              <w:left w:w="20" w:type="dxa"/>
              <w:bottom w:w="40" w:type="dxa"/>
              <w:right w:w="0" w:type="dxa"/>
            </w:tcMar>
            <w:vAlign w:val="bottom"/>
          </w:tcPr>
          <w:p w14:paraId="195020F3" w14:textId="77777777" w:rsidR="00BF3A3A" w:rsidRDefault="00A76802">
            <w:pPr>
              <w:jc w:val="right"/>
              <w:textAlignment w:val="bottom"/>
            </w:pPr>
            <w:r>
              <w:rPr>
                <w:rFonts w:ascii="sans-serif" w:eastAsia="sans-serif" w:hAnsi="sans-serif" w:cs="sans-serif"/>
                <w:color w:val="000000"/>
                <w:sz w:val="20"/>
                <w:szCs w:val="20"/>
              </w:rPr>
              <w:t>(5)</w:t>
            </w:r>
          </w:p>
        </w:tc>
        <w:tc>
          <w:tcPr>
            <w:tcW w:w="0" w:type="auto"/>
            <w:shd w:val="clear" w:color="auto" w:fill="FFFFFF"/>
            <w:tcMar>
              <w:top w:w="40" w:type="dxa"/>
              <w:left w:w="0" w:type="dxa"/>
              <w:bottom w:w="40" w:type="dxa"/>
              <w:right w:w="20" w:type="dxa"/>
            </w:tcMar>
            <w:vAlign w:val="bottom"/>
          </w:tcPr>
          <w:p w14:paraId="195020F4"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0F5"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0F6" w14:textId="77777777" w:rsidR="00BF3A3A" w:rsidRDefault="00A76802">
            <w:pPr>
              <w:jc w:val="right"/>
              <w:textAlignment w:val="bottom"/>
            </w:pPr>
            <w:r>
              <w:rPr>
                <w:rFonts w:ascii="sans-serif" w:eastAsia="sans-serif" w:hAnsi="sans-serif" w:cs="sans-serif"/>
                <w:color w:val="000000"/>
                <w:sz w:val="20"/>
                <w:szCs w:val="20"/>
              </w:rPr>
              <w:t>4 </w:t>
            </w:r>
          </w:p>
        </w:tc>
        <w:tc>
          <w:tcPr>
            <w:tcW w:w="0" w:type="auto"/>
            <w:shd w:val="clear" w:color="auto" w:fill="FFFFFF"/>
            <w:tcMar>
              <w:top w:w="40" w:type="dxa"/>
              <w:left w:w="0" w:type="dxa"/>
              <w:bottom w:w="40" w:type="dxa"/>
              <w:right w:w="20" w:type="dxa"/>
            </w:tcMar>
            <w:vAlign w:val="bottom"/>
          </w:tcPr>
          <w:p w14:paraId="195020F7"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0F8"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0F9" w14:textId="77777777" w:rsidR="00BF3A3A" w:rsidRDefault="00A76802">
            <w:pPr>
              <w:jc w:val="right"/>
              <w:textAlignment w:val="bottom"/>
            </w:pPr>
            <w:r>
              <w:rPr>
                <w:rFonts w:ascii="sans-serif" w:eastAsia="sans-serif" w:hAnsi="sans-serif" w:cs="sans-serif"/>
                <w:color w:val="000000"/>
                <w:sz w:val="20"/>
                <w:szCs w:val="20"/>
              </w:rPr>
              <w:t>(19)</w:t>
            </w:r>
          </w:p>
        </w:tc>
        <w:tc>
          <w:tcPr>
            <w:tcW w:w="0" w:type="auto"/>
            <w:shd w:val="clear" w:color="auto" w:fill="FFFFFF"/>
            <w:tcMar>
              <w:top w:w="40" w:type="dxa"/>
              <w:left w:w="0" w:type="dxa"/>
              <w:bottom w:w="40" w:type="dxa"/>
              <w:right w:w="20" w:type="dxa"/>
            </w:tcMar>
            <w:vAlign w:val="bottom"/>
          </w:tcPr>
          <w:p w14:paraId="195020FA"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0FB"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0FC" w14:textId="77777777" w:rsidR="00BF3A3A" w:rsidRDefault="00A76802">
            <w:pPr>
              <w:jc w:val="right"/>
              <w:textAlignment w:val="bottom"/>
            </w:pPr>
            <w:r>
              <w:rPr>
                <w:rFonts w:ascii="sans-serif" w:eastAsia="sans-serif" w:hAnsi="sans-serif" w:cs="sans-serif"/>
                <w:color w:val="000000"/>
                <w:sz w:val="20"/>
                <w:szCs w:val="20"/>
              </w:rPr>
              <w:t>138 </w:t>
            </w:r>
          </w:p>
        </w:tc>
        <w:tc>
          <w:tcPr>
            <w:tcW w:w="0" w:type="auto"/>
            <w:shd w:val="clear" w:color="auto" w:fill="FFFFFF"/>
            <w:tcMar>
              <w:top w:w="40" w:type="dxa"/>
              <w:left w:w="0" w:type="dxa"/>
              <w:bottom w:w="40" w:type="dxa"/>
              <w:right w:w="20" w:type="dxa"/>
            </w:tcMar>
            <w:vAlign w:val="bottom"/>
          </w:tcPr>
          <w:p w14:paraId="195020FD" w14:textId="77777777" w:rsidR="00BF3A3A" w:rsidRDefault="00BF3A3A">
            <w:pPr>
              <w:jc w:val="right"/>
              <w:rPr>
                <w:rFonts w:ascii="宋体"/>
              </w:rPr>
            </w:pPr>
          </w:p>
        </w:tc>
      </w:tr>
      <w:tr w:rsidR="00BF3A3A" w14:paraId="1950210B" w14:textId="77777777">
        <w:trPr>
          <w:jc w:val="center"/>
        </w:trPr>
        <w:tc>
          <w:tcPr>
            <w:tcW w:w="0" w:type="auto"/>
            <w:gridSpan w:val="3"/>
            <w:shd w:val="clear" w:color="auto" w:fill="E2EFD9"/>
            <w:tcMar>
              <w:top w:w="40" w:type="dxa"/>
              <w:left w:w="20" w:type="dxa"/>
              <w:bottom w:w="40" w:type="dxa"/>
              <w:right w:w="20" w:type="dxa"/>
            </w:tcMar>
            <w:vAlign w:val="bottom"/>
          </w:tcPr>
          <w:p w14:paraId="195020FF" w14:textId="77777777" w:rsidR="00BF3A3A" w:rsidRDefault="00A76802">
            <w:pPr>
              <w:textAlignment w:val="bottom"/>
            </w:pPr>
            <w:r>
              <w:rPr>
                <w:rFonts w:ascii="sans-serif" w:eastAsia="sans-serif" w:hAnsi="sans-serif" w:cs="sans-serif"/>
                <w:color w:val="000000"/>
                <w:sz w:val="20"/>
                <w:szCs w:val="20"/>
              </w:rPr>
              <w:t>Other income (expense), net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100" w14:textId="77777777" w:rsidR="00BF3A3A" w:rsidRDefault="00A76802">
            <w:pPr>
              <w:jc w:val="right"/>
              <w:textAlignment w:val="bottom"/>
            </w:pPr>
            <w:r>
              <w:rPr>
                <w:rFonts w:ascii="sans-serif" w:eastAsia="sans-serif" w:hAnsi="sans-serif" w:cs="sans-serif"/>
                <w:color w:val="000000"/>
                <w:sz w:val="20"/>
                <w:szCs w:val="20"/>
              </w:rPr>
              <w:t>(24)</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101"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102"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103" w14:textId="77777777" w:rsidR="00BF3A3A" w:rsidRDefault="00A76802">
            <w:pPr>
              <w:jc w:val="right"/>
              <w:textAlignment w:val="bottom"/>
            </w:pPr>
            <w:r>
              <w:rPr>
                <w:rFonts w:ascii="sans-serif" w:eastAsia="sans-serif" w:hAnsi="sans-serif" w:cs="sans-serif"/>
                <w:color w:val="000000"/>
                <w:sz w:val="20"/>
                <w:szCs w:val="20"/>
              </w:rPr>
              <w:t>(50)</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10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105"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106" w14:textId="77777777" w:rsidR="00BF3A3A" w:rsidRDefault="00A76802">
            <w:pPr>
              <w:jc w:val="right"/>
              <w:textAlignment w:val="bottom"/>
            </w:pPr>
            <w:r>
              <w:rPr>
                <w:rFonts w:ascii="sans-serif" w:eastAsia="sans-serif" w:hAnsi="sans-serif" w:cs="sans-serif"/>
                <w:color w:val="000000"/>
                <w:sz w:val="20"/>
                <w:szCs w:val="20"/>
              </w:rPr>
              <w:t>(87)</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10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108"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109" w14:textId="77777777" w:rsidR="00BF3A3A" w:rsidRDefault="00A76802">
            <w:pPr>
              <w:jc w:val="right"/>
              <w:textAlignment w:val="bottom"/>
            </w:pPr>
            <w:r>
              <w:rPr>
                <w:rFonts w:ascii="sans-serif" w:eastAsia="sans-serif" w:hAnsi="sans-serif" w:cs="sans-serif"/>
                <w:color w:val="000000"/>
                <w:sz w:val="20"/>
                <w:szCs w:val="20"/>
              </w:rPr>
              <w:t>38 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10A" w14:textId="77777777" w:rsidR="00BF3A3A" w:rsidRDefault="00BF3A3A">
            <w:pPr>
              <w:jc w:val="right"/>
              <w:rPr>
                <w:rFonts w:ascii="宋体"/>
              </w:rPr>
            </w:pPr>
          </w:p>
        </w:tc>
      </w:tr>
      <w:tr w:rsidR="00BF3A3A" w14:paraId="19502118" w14:textId="77777777">
        <w:trPr>
          <w:jc w:val="center"/>
        </w:trPr>
        <w:tc>
          <w:tcPr>
            <w:tcW w:w="0" w:type="auto"/>
            <w:gridSpan w:val="3"/>
            <w:shd w:val="clear" w:color="auto" w:fill="FFFFFF"/>
            <w:tcMar>
              <w:top w:w="40" w:type="dxa"/>
              <w:left w:w="20" w:type="dxa"/>
              <w:bottom w:w="40" w:type="dxa"/>
              <w:right w:w="20" w:type="dxa"/>
            </w:tcMar>
            <w:vAlign w:val="bottom"/>
          </w:tcPr>
          <w:p w14:paraId="1950210C" w14:textId="77777777" w:rsidR="00BF3A3A" w:rsidRDefault="00A76802">
            <w:pPr>
              <w:textAlignment w:val="bottom"/>
            </w:pPr>
            <w:r>
              <w:rPr>
                <w:rFonts w:ascii="sans-serif" w:eastAsia="sans-serif" w:hAnsi="sans-serif" w:cs="sans-serif"/>
                <w:color w:val="000000"/>
                <w:sz w:val="20"/>
                <w:szCs w:val="20"/>
              </w:rPr>
              <w:t>Income before income tax</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10D" w14:textId="77777777" w:rsidR="00BF3A3A" w:rsidRDefault="00A76802">
            <w:pPr>
              <w:jc w:val="right"/>
              <w:textAlignment w:val="bottom"/>
            </w:pPr>
            <w:r>
              <w:rPr>
                <w:rFonts w:ascii="sans-serif" w:eastAsia="sans-serif" w:hAnsi="sans-serif" w:cs="sans-serif"/>
                <w:color w:val="000000"/>
                <w:sz w:val="20"/>
                <w:szCs w:val="20"/>
              </w:rPr>
              <w:t>475 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10E"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10F"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110" w14:textId="77777777" w:rsidR="00BF3A3A" w:rsidRDefault="00A76802">
            <w:pPr>
              <w:jc w:val="right"/>
              <w:textAlignment w:val="bottom"/>
            </w:pPr>
            <w:r>
              <w:rPr>
                <w:rFonts w:ascii="sans-serif" w:eastAsia="sans-serif" w:hAnsi="sans-serif" w:cs="sans-serif"/>
                <w:color w:val="000000"/>
                <w:sz w:val="20"/>
                <w:szCs w:val="20"/>
              </w:rPr>
              <w:t>2,394 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111"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112"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113" w14:textId="77777777" w:rsidR="00BF3A3A" w:rsidRDefault="00A76802">
            <w:pPr>
              <w:jc w:val="right"/>
              <w:textAlignment w:val="bottom"/>
            </w:pPr>
            <w:r>
              <w:rPr>
                <w:rFonts w:ascii="sans-serif" w:eastAsia="sans-serif" w:hAnsi="sans-serif" w:cs="sans-serif"/>
                <w:color w:val="000000"/>
                <w:sz w:val="20"/>
                <w:szCs w:val="20"/>
              </w:rPr>
              <w:t>2,280 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114"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115"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116" w14:textId="77777777" w:rsidR="00BF3A3A" w:rsidRDefault="00A76802">
            <w:pPr>
              <w:jc w:val="right"/>
              <w:textAlignment w:val="bottom"/>
            </w:pPr>
            <w:r>
              <w:rPr>
                <w:rFonts w:ascii="sans-serif" w:eastAsia="sans-serif" w:hAnsi="sans-serif" w:cs="sans-serif"/>
                <w:color w:val="000000"/>
                <w:sz w:val="20"/>
                <w:szCs w:val="20"/>
              </w:rPr>
              <w:t>4,438 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117" w14:textId="77777777" w:rsidR="00BF3A3A" w:rsidRDefault="00BF3A3A">
            <w:pPr>
              <w:jc w:val="right"/>
              <w:rPr>
                <w:rFonts w:ascii="宋体"/>
              </w:rPr>
            </w:pPr>
          </w:p>
        </w:tc>
      </w:tr>
      <w:tr w:rsidR="00BF3A3A" w14:paraId="19502125" w14:textId="77777777">
        <w:trPr>
          <w:jc w:val="center"/>
        </w:trPr>
        <w:tc>
          <w:tcPr>
            <w:tcW w:w="0" w:type="auto"/>
            <w:gridSpan w:val="3"/>
            <w:shd w:val="clear" w:color="auto" w:fill="E2EFD9"/>
            <w:tcMar>
              <w:top w:w="40" w:type="dxa"/>
              <w:left w:w="20" w:type="dxa"/>
              <w:bottom w:w="40" w:type="dxa"/>
              <w:right w:w="20" w:type="dxa"/>
            </w:tcMar>
            <w:vAlign w:val="bottom"/>
          </w:tcPr>
          <w:p w14:paraId="19502119" w14:textId="77777777" w:rsidR="00BF3A3A" w:rsidRDefault="00A76802">
            <w:pPr>
              <w:textAlignment w:val="bottom"/>
            </w:pPr>
            <w:r>
              <w:rPr>
                <w:rFonts w:ascii="sans-serif" w:eastAsia="sans-serif" w:hAnsi="sans-serif" w:cs="sans-serif"/>
                <w:color w:val="000000"/>
                <w:sz w:val="20"/>
                <w:szCs w:val="20"/>
              </w:rPr>
              <w:t>Income tax expense (benefit)</w:t>
            </w:r>
          </w:p>
        </w:tc>
        <w:tc>
          <w:tcPr>
            <w:tcW w:w="0" w:type="auto"/>
            <w:gridSpan w:val="2"/>
            <w:shd w:val="clear" w:color="auto" w:fill="E2EFD9"/>
            <w:tcMar>
              <w:top w:w="40" w:type="dxa"/>
              <w:left w:w="20" w:type="dxa"/>
              <w:bottom w:w="40" w:type="dxa"/>
              <w:right w:w="0" w:type="dxa"/>
            </w:tcMar>
            <w:vAlign w:val="bottom"/>
          </w:tcPr>
          <w:p w14:paraId="1950211A" w14:textId="77777777" w:rsidR="00BF3A3A" w:rsidRDefault="00A76802">
            <w:pPr>
              <w:jc w:val="right"/>
              <w:textAlignment w:val="bottom"/>
            </w:pPr>
            <w:r>
              <w:rPr>
                <w:rFonts w:ascii="sans-serif" w:eastAsia="sans-serif" w:hAnsi="sans-serif" w:cs="sans-serif"/>
                <w:color w:val="000000"/>
                <w:sz w:val="20"/>
                <w:szCs w:val="20"/>
              </w:rPr>
              <w:t>(181)</w:t>
            </w:r>
          </w:p>
        </w:tc>
        <w:tc>
          <w:tcPr>
            <w:tcW w:w="0" w:type="auto"/>
            <w:shd w:val="clear" w:color="auto" w:fill="E2EFD9"/>
            <w:tcMar>
              <w:top w:w="40" w:type="dxa"/>
              <w:left w:w="0" w:type="dxa"/>
              <w:bottom w:w="40" w:type="dxa"/>
              <w:right w:w="20" w:type="dxa"/>
            </w:tcMar>
            <w:vAlign w:val="bottom"/>
          </w:tcPr>
          <w:p w14:paraId="1950211B"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11C"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11D" w14:textId="77777777" w:rsidR="00BF3A3A" w:rsidRDefault="00A76802">
            <w:pPr>
              <w:jc w:val="right"/>
              <w:textAlignment w:val="bottom"/>
            </w:pPr>
            <w:r>
              <w:rPr>
                <w:rFonts w:ascii="sans-serif" w:eastAsia="sans-serif" w:hAnsi="sans-serif" w:cs="sans-serif"/>
                <w:color w:val="000000"/>
                <w:sz w:val="20"/>
                <w:szCs w:val="20"/>
              </w:rPr>
              <w:t>20 </w:t>
            </w:r>
          </w:p>
        </w:tc>
        <w:tc>
          <w:tcPr>
            <w:tcW w:w="0" w:type="auto"/>
            <w:shd w:val="clear" w:color="auto" w:fill="E2EFD9"/>
            <w:tcMar>
              <w:top w:w="40" w:type="dxa"/>
              <w:left w:w="0" w:type="dxa"/>
              <w:bottom w:w="40" w:type="dxa"/>
              <w:right w:w="20" w:type="dxa"/>
            </w:tcMar>
            <w:vAlign w:val="bottom"/>
          </w:tcPr>
          <w:p w14:paraId="1950211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11F"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120" w14:textId="77777777" w:rsidR="00BF3A3A" w:rsidRDefault="00A76802">
            <w:pPr>
              <w:jc w:val="right"/>
              <w:textAlignment w:val="bottom"/>
            </w:pPr>
            <w:r>
              <w:rPr>
                <w:rFonts w:ascii="sans-serif" w:eastAsia="sans-serif" w:hAnsi="sans-serif" w:cs="sans-serif"/>
                <w:color w:val="000000"/>
                <w:sz w:val="20"/>
                <w:szCs w:val="20"/>
              </w:rPr>
              <w:t>6 </w:t>
            </w:r>
          </w:p>
        </w:tc>
        <w:tc>
          <w:tcPr>
            <w:tcW w:w="0" w:type="auto"/>
            <w:shd w:val="clear" w:color="auto" w:fill="E2EFD9"/>
            <w:tcMar>
              <w:top w:w="40" w:type="dxa"/>
              <w:left w:w="0" w:type="dxa"/>
              <w:bottom w:w="40" w:type="dxa"/>
              <w:right w:w="20" w:type="dxa"/>
            </w:tcMar>
            <w:vAlign w:val="bottom"/>
          </w:tcPr>
          <w:p w14:paraId="19502121"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122"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123" w14:textId="77777777" w:rsidR="00BF3A3A" w:rsidRDefault="00A76802">
            <w:pPr>
              <w:jc w:val="right"/>
              <w:textAlignment w:val="bottom"/>
            </w:pPr>
            <w:r>
              <w:rPr>
                <w:rFonts w:ascii="sans-serif" w:eastAsia="sans-serif" w:hAnsi="sans-serif" w:cs="sans-serif"/>
                <w:color w:val="000000"/>
                <w:sz w:val="20"/>
                <w:szCs w:val="20"/>
              </w:rPr>
              <w:t>153 </w:t>
            </w:r>
          </w:p>
        </w:tc>
        <w:tc>
          <w:tcPr>
            <w:tcW w:w="0" w:type="auto"/>
            <w:shd w:val="clear" w:color="auto" w:fill="E2EFD9"/>
            <w:tcMar>
              <w:top w:w="40" w:type="dxa"/>
              <w:left w:w="0" w:type="dxa"/>
              <w:bottom w:w="40" w:type="dxa"/>
              <w:right w:w="20" w:type="dxa"/>
            </w:tcMar>
            <w:vAlign w:val="bottom"/>
          </w:tcPr>
          <w:p w14:paraId="19502124" w14:textId="77777777" w:rsidR="00BF3A3A" w:rsidRDefault="00BF3A3A">
            <w:pPr>
              <w:jc w:val="right"/>
              <w:rPr>
                <w:rFonts w:ascii="宋体"/>
              </w:rPr>
            </w:pPr>
          </w:p>
        </w:tc>
      </w:tr>
      <w:tr w:rsidR="00BF3A3A" w14:paraId="19502136" w14:textId="77777777">
        <w:trPr>
          <w:jc w:val="center"/>
        </w:trPr>
        <w:tc>
          <w:tcPr>
            <w:tcW w:w="0" w:type="auto"/>
            <w:gridSpan w:val="3"/>
            <w:shd w:val="clear" w:color="auto" w:fill="FFFFFF"/>
            <w:tcMar>
              <w:top w:w="40" w:type="dxa"/>
              <w:left w:w="20" w:type="dxa"/>
              <w:bottom w:w="40" w:type="dxa"/>
              <w:right w:w="20" w:type="dxa"/>
            </w:tcMar>
            <w:vAlign w:val="bottom"/>
          </w:tcPr>
          <w:p w14:paraId="19502126" w14:textId="77777777" w:rsidR="00BF3A3A" w:rsidRDefault="00A76802">
            <w:pPr>
              <w:textAlignment w:val="bottom"/>
            </w:pPr>
            <w:r>
              <w:rPr>
                <w:rFonts w:ascii="sans-serif" w:eastAsia="sans-serif" w:hAnsi="sans-serif" w:cs="sans-serif"/>
                <w:color w:val="000000"/>
                <w:sz w:val="20"/>
                <w:szCs w:val="20"/>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19502127"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502128" w14:textId="77777777" w:rsidR="00BF3A3A" w:rsidRDefault="00A76802">
            <w:pPr>
              <w:jc w:val="right"/>
              <w:textAlignment w:val="bottom"/>
            </w:pPr>
            <w:r>
              <w:rPr>
                <w:rFonts w:ascii="sans-serif" w:eastAsia="sans-serif" w:hAnsi="sans-serif" w:cs="sans-serif"/>
                <w:color w:val="000000"/>
                <w:sz w:val="20"/>
                <w:szCs w:val="20"/>
              </w:rPr>
              <w:t>656 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12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12A" w14:textId="77777777" w:rsidR="00BF3A3A" w:rsidRDefault="00BF3A3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50212B"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50212C" w14:textId="77777777" w:rsidR="00BF3A3A" w:rsidRDefault="00A76802">
            <w:pPr>
              <w:jc w:val="right"/>
              <w:textAlignment w:val="bottom"/>
            </w:pPr>
            <w:r>
              <w:rPr>
                <w:rFonts w:ascii="sans-serif" w:eastAsia="sans-serif" w:hAnsi="sans-serif" w:cs="sans-serif"/>
                <w:color w:val="000000"/>
                <w:sz w:val="20"/>
                <w:szCs w:val="20"/>
              </w:rPr>
              <w:t>2,374 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12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12E" w14:textId="77777777" w:rsidR="00BF3A3A" w:rsidRDefault="00BF3A3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50212F"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502130" w14:textId="77777777" w:rsidR="00BF3A3A" w:rsidRDefault="00A76802">
            <w:pPr>
              <w:jc w:val="right"/>
              <w:textAlignment w:val="bottom"/>
            </w:pPr>
            <w:r>
              <w:rPr>
                <w:rFonts w:ascii="sans-serif" w:eastAsia="sans-serif" w:hAnsi="sans-serif" w:cs="sans-serif"/>
                <w:color w:val="000000"/>
                <w:sz w:val="20"/>
                <w:szCs w:val="20"/>
              </w:rPr>
              <w:t>2,274 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131"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132" w14:textId="77777777" w:rsidR="00BF3A3A" w:rsidRDefault="00BF3A3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9502133"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9502134" w14:textId="77777777" w:rsidR="00BF3A3A" w:rsidRDefault="00A76802">
            <w:pPr>
              <w:jc w:val="right"/>
              <w:textAlignment w:val="bottom"/>
            </w:pPr>
            <w:r>
              <w:rPr>
                <w:rFonts w:ascii="sans-serif" w:eastAsia="sans-serif" w:hAnsi="sans-serif" w:cs="sans-serif"/>
                <w:color w:val="000000"/>
                <w:sz w:val="20"/>
                <w:szCs w:val="20"/>
              </w:rPr>
              <w:t>4,285 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135" w14:textId="77777777" w:rsidR="00BF3A3A" w:rsidRDefault="00BF3A3A">
            <w:pPr>
              <w:jc w:val="right"/>
              <w:rPr>
                <w:rFonts w:ascii="宋体"/>
              </w:rPr>
            </w:pPr>
          </w:p>
        </w:tc>
      </w:tr>
      <w:tr w:rsidR="00BF3A3A" w14:paraId="1950213F" w14:textId="77777777">
        <w:trPr>
          <w:trHeight w:val="300"/>
          <w:jc w:val="center"/>
        </w:trPr>
        <w:tc>
          <w:tcPr>
            <w:tcW w:w="0" w:type="auto"/>
            <w:gridSpan w:val="3"/>
            <w:shd w:val="clear" w:color="auto" w:fill="E2EFD9"/>
            <w:tcMar>
              <w:top w:w="0" w:type="dxa"/>
              <w:left w:w="20" w:type="dxa"/>
              <w:bottom w:w="0" w:type="dxa"/>
              <w:right w:w="20" w:type="dxa"/>
            </w:tcMar>
            <w:vAlign w:val="bottom"/>
          </w:tcPr>
          <w:p w14:paraId="19502137" w14:textId="77777777" w:rsidR="00BF3A3A" w:rsidRDefault="00BF3A3A">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19502138"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139" w14:textId="77777777" w:rsidR="00BF3A3A" w:rsidRDefault="00BF3A3A">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1950213A"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13B" w14:textId="77777777" w:rsidR="00BF3A3A" w:rsidRDefault="00BF3A3A">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1950213C"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13D" w14:textId="77777777" w:rsidR="00BF3A3A" w:rsidRDefault="00BF3A3A">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1950213E" w14:textId="77777777" w:rsidR="00BF3A3A" w:rsidRDefault="00BF3A3A">
            <w:pPr>
              <w:rPr>
                <w:rFonts w:ascii="宋体"/>
              </w:rPr>
            </w:pPr>
          </w:p>
        </w:tc>
      </w:tr>
      <w:tr w:rsidR="00BF3A3A" w14:paraId="19502148" w14:textId="77777777">
        <w:trPr>
          <w:jc w:val="center"/>
        </w:trPr>
        <w:tc>
          <w:tcPr>
            <w:tcW w:w="0" w:type="auto"/>
            <w:gridSpan w:val="3"/>
            <w:shd w:val="clear" w:color="auto" w:fill="FFFFFF"/>
            <w:tcMar>
              <w:top w:w="40" w:type="dxa"/>
              <w:left w:w="20" w:type="dxa"/>
              <w:bottom w:w="40" w:type="dxa"/>
              <w:right w:w="20" w:type="dxa"/>
            </w:tcMar>
            <w:vAlign w:val="bottom"/>
          </w:tcPr>
          <w:p w14:paraId="19502140" w14:textId="77777777" w:rsidR="00BF3A3A" w:rsidRDefault="00A76802">
            <w:pPr>
              <w:textAlignment w:val="bottom"/>
            </w:pPr>
            <w:r>
              <w:rPr>
                <w:rFonts w:ascii="sans-serif" w:eastAsia="sans-serif" w:hAnsi="sans-serif" w:cs="sans-serif"/>
                <w:color w:val="000000"/>
                <w:sz w:val="20"/>
                <w:szCs w:val="20"/>
              </w:rPr>
              <w:t>Net income per share:</w:t>
            </w:r>
          </w:p>
        </w:tc>
        <w:tc>
          <w:tcPr>
            <w:tcW w:w="0" w:type="auto"/>
            <w:gridSpan w:val="3"/>
            <w:shd w:val="clear" w:color="auto" w:fill="FFFFFF"/>
            <w:tcMar>
              <w:top w:w="0" w:type="dxa"/>
              <w:left w:w="20" w:type="dxa"/>
              <w:bottom w:w="0" w:type="dxa"/>
              <w:right w:w="20" w:type="dxa"/>
            </w:tcMar>
            <w:vAlign w:val="bottom"/>
          </w:tcPr>
          <w:p w14:paraId="19502141"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142"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143"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144"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145"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146"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147" w14:textId="77777777" w:rsidR="00BF3A3A" w:rsidRDefault="00BF3A3A">
            <w:pPr>
              <w:rPr>
                <w:rFonts w:ascii="宋体"/>
              </w:rPr>
            </w:pPr>
          </w:p>
        </w:tc>
      </w:tr>
      <w:tr w:rsidR="00BF3A3A" w14:paraId="19502159" w14:textId="77777777">
        <w:trPr>
          <w:jc w:val="center"/>
        </w:trPr>
        <w:tc>
          <w:tcPr>
            <w:tcW w:w="0" w:type="auto"/>
            <w:gridSpan w:val="3"/>
            <w:shd w:val="clear" w:color="auto" w:fill="E2EFD9"/>
            <w:tcMar>
              <w:top w:w="40" w:type="dxa"/>
              <w:left w:w="515" w:type="dxa"/>
              <w:bottom w:w="40" w:type="dxa"/>
              <w:right w:w="20" w:type="dxa"/>
            </w:tcMar>
            <w:vAlign w:val="bottom"/>
          </w:tcPr>
          <w:p w14:paraId="19502149" w14:textId="77777777" w:rsidR="00BF3A3A" w:rsidRDefault="00A76802">
            <w:pPr>
              <w:textAlignment w:val="bottom"/>
            </w:pPr>
            <w:r>
              <w:rPr>
                <w:rFonts w:ascii="sans-serif" w:eastAsia="sans-serif" w:hAnsi="sans-serif" w:cs="sans-serif"/>
                <w:color w:val="000000"/>
                <w:sz w:val="20"/>
                <w:szCs w:val="20"/>
              </w:rPr>
              <w:t>Basic</w:t>
            </w:r>
          </w:p>
        </w:tc>
        <w:tc>
          <w:tcPr>
            <w:tcW w:w="0" w:type="auto"/>
            <w:shd w:val="clear" w:color="auto" w:fill="E2EFD9"/>
            <w:tcMar>
              <w:top w:w="40" w:type="dxa"/>
              <w:left w:w="20" w:type="dxa"/>
              <w:bottom w:w="40" w:type="dxa"/>
              <w:right w:w="0" w:type="dxa"/>
            </w:tcMar>
            <w:vAlign w:val="bottom"/>
          </w:tcPr>
          <w:p w14:paraId="1950214A"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14B" w14:textId="77777777" w:rsidR="00BF3A3A" w:rsidRDefault="00A76802">
            <w:pPr>
              <w:jc w:val="right"/>
              <w:textAlignment w:val="bottom"/>
            </w:pPr>
            <w:r>
              <w:rPr>
                <w:rFonts w:ascii="sans-serif" w:eastAsia="sans-serif" w:hAnsi="sans-serif" w:cs="sans-serif"/>
                <w:color w:val="000000"/>
                <w:sz w:val="20"/>
                <w:szCs w:val="20"/>
              </w:rPr>
              <w:t>0.26 </w:t>
            </w:r>
          </w:p>
        </w:tc>
        <w:tc>
          <w:tcPr>
            <w:tcW w:w="0" w:type="auto"/>
            <w:shd w:val="clear" w:color="auto" w:fill="E2EFD9"/>
            <w:tcMar>
              <w:top w:w="40" w:type="dxa"/>
              <w:left w:w="0" w:type="dxa"/>
              <w:bottom w:w="40" w:type="dxa"/>
              <w:right w:w="20" w:type="dxa"/>
            </w:tcMar>
            <w:vAlign w:val="bottom"/>
          </w:tcPr>
          <w:p w14:paraId="1950214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14D"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14E"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14F" w14:textId="77777777" w:rsidR="00BF3A3A" w:rsidRDefault="00A76802">
            <w:pPr>
              <w:jc w:val="right"/>
              <w:textAlignment w:val="bottom"/>
            </w:pPr>
            <w:r>
              <w:rPr>
                <w:rFonts w:ascii="sans-serif" w:eastAsia="sans-serif" w:hAnsi="sans-serif" w:cs="sans-serif"/>
                <w:color w:val="000000"/>
                <w:sz w:val="20"/>
                <w:szCs w:val="20"/>
              </w:rPr>
              <w:t>0.95 </w:t>
            </w:r>
          </w:p>
        </w:tc>
        <w:tc>
          <w:tcPr>
            <w:tcW w:w="0" w:type="auto"/>
            <w:shd w:val="clear" w:color="auto" w:fill="E2EFD9"/>
            <w:tcMar>
              <w:top w:w="40" w:type="dxa"/>
              <w:left w:w="0" w:type="dxa"/>
              <w:bottom w:w="40" w:type="dxa"/>
              <w:right w:w="20" w:type="dxa"/>
            </w:tcMar>
            <w:vAlign w:val="bottom"/>
          </w:tcPr>
          <w:p w14:paraId="1950215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151"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152"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153" w14:textId="77777777" w:rsidR="00BF3A3A" w:rsidRDefault="00A76802">
            <w:pPr>
              <w:jc w:val="right"/>
              <w:textAlignment w:val="bottom"/>
            </w:pPr>
            <w:r>
              <w:rPr>
                <w:rFonts w:ascii="sans-serif" w:eastAsia="sans-serif" w:hAnsi="sans-serif" w:cs="sans-serif"/>
                <w:color w:val="000000"/>
                <w:sz w:val="20"/>
                <w:szCs w:val="20"/>
              </w:rPr>
              <w:t>0.91 </w:t>
            </w:r>
          </w:p>
        </w:tc>
        <w:tc>
          <w:tcPr>
            <w:tcW w:w="0" w:type="auto"/>
            <w:shd w:val="clear" w:color="auto" w:fill="E2EFD9"/>
            <w:tcMar>
              <w:top w:w="40" w:type="dxa"/>
              <w:left w:w="0" w:type="dxa"/>
              <w:bottom w:w="40" w:type="dxa"/>
              <w:right w:w="20" w:type="dxa"/>
            </w:tcMar>
            <w:vAlign w:val="bottom"/>
          </w:tcPr>
          <w:p w14:paraId="1950215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155"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156"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157" w14:textId="77777777" w:rsidR="00BF3A3A" w:rsidRDefault="00A76802">
            <w:pPr>
              <w:jc w:val="right"/>
              <w:textAlignment w:val="bottom"/>
            </w:pPr>
            <w:r>
              <w:rPr>
                <w:rFonts w:ascii="sans-serif" w:eastAsia="sans-serif" w:hAnsi="sans-serif" w:cs="sans-serif"/>
                <w:color w:val="000000"/>
                <w:sz w:val="20"/>
                <w:szCs w:val="20"/>
              </w:rPr>
              <w:t>1.72 </w:t>
            </w:r>
          </w:p>
        </w:tc>
        <w:tc>
          <w:tcPr>
            <w:tcW w:w="0" w:type="auto"/>
            <w:shd w:val="clear" w:color="auto" w:fill="E2EFD9"/>
            <w:tcMar>
              <w:top w:w="40" w:type="dxa"/>
              <w:left w:w="0" w:type="dxa"/>
              <w:bottom w:w="40" w:type="dxa"/>
              <w:right w:w="20" w:type="dxa"/>
            </w:tcMar>
            <w:vAlign w:val="bottom"/>
          </w:tcPr>
          <w:p w14:paraId="19502158" w14:textId="77777777" w:rsidR="00BF3A3A" w:rsidRDefault="00BF3A3A">
            <w:pPr>
              <w:jc w:val="right"/>
              <w:rPr>
                <w:rFonts w:ascii="宋体"/>
              </w:rPr>
            </w:pPr>
          </w:p>
        </w:tc>
      </w:tr>
      <w:tr w:rsidR="00BF3A3A" w14:paraId="1950216A" w14:textId="77777777">
        <w:trPr>
          <w:jc w:val="center"/>
        </w:trPr>
        <w:tc>
          <w:tcPr>
            <w:tcW w:w="0" w:type="auto"/>
            <w:gridSpan w:val="3"/>
            <w:shd w:val="clear" w:color="auto" w:fill="FFFFFF"/>
            <w:tcMar>
              <w:top w:w="40" w:type="dxa"/>
              <w:left w:w="515" w:type="dxa"/>
              <w:bottom w:w="40" w:type="dxa"/>
              <w:right w:w="20" w:type="dxa"/>
            </w:tcMar>
            <w:vAlign w:val="bottom"/>
          </w:tcPr>
          <w:p w14:paraId="1950215A" w14:textId="77777777" w:rsidR="00BF3A3A" w:rsidRDefault="00A76802">
            <w:pPr>
              <w:textAlignment w:val="bottom"/>
            </w:pPr>
            <w:r>
              <w:rPr>
                <w:rFonts w:ascii="sans-serif" w:eastAsia="sans-serif" w:hAnsi="sans-serif" w:cs="sans-serif"/>
                <w:color w:val="000000"/>
                <w:sz w:val="20"/>
                <w:szCs w:val="20"/>
              </w:rPr>
              <w:t>Diluted</w:t>
            </w:r>
          </w:p>
        </w:tc>
        <w:tc>
          <w:tcPr>
            <w:tcW w:w="0" w:type="auto"/>
            <w:tcBorders>
              <w:top w:val="double" w:sz="6" w:space="0" w:color="000000"/>
            </w:tcBorders>
            <w:shd w:val="clear" w:color="auto" w:fill="FFFFFF"/>
            <w:tcMar>
              <w:top w:w="40" w:type="dxa"/>
              <w:left w:w="20" w:type="dxa"/>
              <w:bottom w:w="40" w:type="dxa"/>
              <w:right w:w="0" w:type="dxa"/>
            </w:tcMar>
            <w:vAlign w:val="bottom"/>
          </w:tcPr>
          <w:p w14:paraId="1950215B"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950215C" w14:textId="77777777" w:rsidR="00BF3A3A" w:rsidRDefault="00A76802">
            <w:pPr>
              <w:jc w:val="right"/>
              <w:textAlignment w:val="bottom"/>
            </w:pPr>
            <w:r>
              <w:rPr>
                <w:rFonts w:ascii="sans-serif" w:eastAsia="sans-serif" w:hAnsi="sans-serif" w:cs="sans-serif"/>
                <w:color w:val="000000"/>
                <w:sz w:val="20"/>
                <w:szCs w:val="20"/>
              </w:rPr>
              <w:t>0.26 </w:t>
            </w:r>
          </w:p>
        </w:tc>
        <w:tc>
          <w:tcPr>
            <w:tcW w:w="0" w:type="auto"/>
            <w:tcBorders>
              <w:top w:val="double" w:sz="6" w:space="0" w:color="000000"/>
            </w:tcBorders>
            <w:shd w:val="clear" w:color="auto" w:fill="FFFFFF"/>
            <w:tcMar>
              <w:top w:w="40" w:type="dxa"/>
              <w:left w:w="0" w:type="dxa"/>
              <w:bottom w:w="40" w:type="dxa"/>
              <w:right w:w="20" w:type="dxa"/>
            </w:tcMar>
            <w:vAlign w:val="bottom"/>
          </w:tcPr>
          <w:p w14:paraId="1950215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15E" w14:textId="77777777" w:rsidR="00BF3A3A" w:rsidRDefault="00BF3A3A">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950215F"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9502160" w14:textId="77777777" w:rsidR="00BF3A3A" w:rsidRDefault="00A76802">
            <w:pPr>
              <w:jc w:val="right"/>
              <w:textAlignment w:val="bottom"/>
            </w:pPr>
            <w:r>
              <w:rPr>
                <w:rFonts w:ascii="sans-serif" w:eastAsia="sans-serif" w:hAnsi="sans-serif" w:cs="sans-serif"/>
                <w:color w:val="000000"/>
                <w:sz w:val="20"/>
                <w:szCs w:val="20"/>
              </w:rPr>
              <w:t>0.94 </w:t>
            </w:r>
          </w:p>
        </w:tc>
        <w:tc>
          <w:tcPr>
            <w:tcW w:w="0" w:type="auto"/>
            <w:tcBorders>
              <w:top w:val="double" w:sz="6" w:space="0" w:color="000000"/>
            </w:tcBorders>
            <w:shd w:val="clear" w:color="auto" w:fill="FFFFFF"/>
            <w:tcMar>
              <w:top w:w="40" w:type="dxa"/>
              <w:left w:w="0" w:type="dxa"/>
              <w:bottom w:w="40" w:type="dxa"/>
              <w:right w:w="20" w:type="dxa"/>
            </w:tcMar>
            <w:vAlign w:val="bottom"/>
          </w:tcPr>
          <w:p w14:paraId="19502161"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162" w14:textId="77777777" w:rsidR="00BF3A3A" w:rsidRDefault="00BF3A3A">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9502163"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9502164" w14:textId="77777777" w:rsidR="00BF3A3A" w:rsidRDefault="00A76802">
            <w:pPr>
              <w:jc w:val="right"/>
              <w:textAlignment w:val="bottom"/>
            </w:pPr>
            <w:r>
              <w:rPr>
                <w:rFonts w:ascii="sans-serif" w:eastAsia="sans-serif" w:hAnsi="sans-serif" w:cs="sans-serif"/>
                <w:color w:val="000000"/>
                <w:sz w:val="20"/>
                <w:szCs w:val="20"/>
              </w:rPr>
              <w:t>0.90 </w:t>
            </w:r>
          </w:p>
        </w:tc>
        <w:tc>
          <w:tcPr>
            <w:tcW w:w="0" w:type="auto"/>
            <w:tcBorders>
              <w:top w:val="double" w:sz="6" w:space="0" w:color="000000"/>
            </w:tcBorders>
            <w:shd w:val="clear" w:color="auto" w:fill="FFFFFF"/>
            <w:tcMar>
              <w:top w:w="40" w:type="dxa"/>
              <w:left w:w="0" w:type="dxa"/>
              <w:bottom w:w="40" w:type="dxa"/>
              <w:right w:w="20" w:type="dxa"/>
            </w:tcMar>
            <w:vAlign w:val="bottom"/>
          </w:tcPr>
          <w:p w14:paraId="19502165"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166" w14:textId="77777777" w:rsidR="00BF3A3A" w:rsidRDefault="00BF3A3A">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9502167"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9502168" w14:textId="77777777" w:rsidR="00BF3A3A" w:rsidRDefault="00A76802">
            <w:pPr>
              <w:jc w:val="right"/>
              <w:textAlignment w:val="bottom"/>
            </w:pPr>
            <w:r>
              <w:rPr>
                <w:rFonts w:ascii="sans-serif" w:eastAsia="sans-serif" w:hAnsi="sans-serif" w:cs="sans-serif"/>
                <w:color w:val="000000"/>
                <w:sz w:val="20"/>
                <w:szCs w:val="20"/>
              </w:rPr>
              <w:t>1.69 </w:t>
            </w:r>
          </w:p>
        </w:tc>
        <w:tc>
          <w:tcPr>
            <w:tcW w:w="0" w:type="auto"/>
            <w:tcBorders>
              <w:top w:val="double" w:sz="6" w:space="0" w:color="000000"/>
            </w:tcBorders>
            <w:shd w:val="clear" w:color="auto" w:fill="FFFFFF"/>
            <w:tcMar>
              <w:top w:w="40" w:type="dxa"/>
              <w:left w:w="0" w:type="dxa"/>
              <w:bottom w:w="40" w:type="dxa"/>
              <w:right w:w="20" w:type="dxa"/>
            </w:tcMar>
            <w:vAlign w:val="bottom"/>
          </w:tcPr>
          <w:p w14:paraId="19502169" w14:textId="77777777" w:rsidR="00BF3A3A" w:rsidRDefault="00BF3A3A">
            <w:pPr>
              <w:jc w:val="right"/>
              <w:rPr>
                <w:rFonts w:ascii="宋体"/>
              </w:rPr>
            </w:pPr>
          </w:p>
        </w:tc>
      </w:tr>
      <w:tr w:rsidR="00BF3A3A" w14:paraId="19502173" w14:textId="77777777">
        <w:trPr>
          <w:trHeight w:val="300"/>
          <w:jc w:val="center"/>
        </w:trPr>
        <w:tc>
          <w:tcPr>
            <w:tcW w:w="0" w:type="auto"/>
            <w:gridSpan w:val="3"/>
            <w:shd w:val="clear" w:color="auto" w:fill="E2EFD9"/>
            <w:tcMar>
              <w:top w:w="0" w:type="dxa"/>
              <w:left w:w="20" w:type="dxa"/>
              <w:bottom w:w="0" w:type="dxa"/>
              <w:right w:w="20" w:type="dxa"/>
            </w:tcMar>
            <w:vAlign w:val="bottom"/>
          </w:tcPr>
          <w:p w14:paraId="1950216B" w14:textId="77777777" w:rsidR="00BF3A3A" w:rsidRDefault="00BF3A3A">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1950216C"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16D" w14:textId="77777777" w:rsidR="00BF3A3A" w:rsidRDefault="00BF3A3A">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1950216E"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16F" w14:textId="77777777" w:rsidR="00BF3A3A" w:rsidRDefault="00BF3A3A">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19502170"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171" w14:textId="77777777" w:rsidR="00BF3A3A" w:rsidRDefault="00BF3A3A">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19502172" w14:textId="77777777" w:rsidR="00BF3A3A" w:rsidRDefault="00BF3A3A">
            <w:pPr>
              <w:rPr>
                <w:rFonts w:ascii="宋体"/>
              </w:rPr>
            </w:pPr>
          </w:p>
        </w:tc>
      </w:tr>
      <w:tr w:rsidR="00BF3A3A" w14:paraId="1950217C" w14:textId="77777777">
        <w:trPr>
          <w:jc w:val="center"/>
        </w:trPr>
        <w:tc>
          <w:tcPr>
            <w:tcW w:w="0" w:type="auto"/>
            <w:gridSpan w:val="3"/>
            <w:shd w:val="clear" w:color="auto" w:fill="FFFFFF"/>
            <w:tcMar>
              <w:top w:w="40" w:type="dxa"/>
              <w:left w:w="20" w:type="dxa"/>
              <w:bottom w:w="40" w:type="dxa"/>
              <w:right w:w="20" w:type="dxa"/>
            </w:tcMar>
            <w:vAlign w:val="bottom"/>
          </w:tcPr>
          <w:p w14:paraId="19502174" w14:textId="77777777" w:rsidR="00BF3A3A" w:rsidRDefault="00A76802">
            <w:pPr>
              <w:textAlignment w:val="bottom"/>
            </w:pPr>
            <w:r>
              <w:rPr>
                <w:rFonts w:ascii="sans-serif" w:eastAsia="sans-serif" w:hAnsi="sans-serif" w:cs="sans-serif"/>
                <w:color w:val="000000"/>
                <w:sz w:val="20"/>
                <w:szCs w:val="20"/>
              </w:rPr>
              <w:t>Weighted average shares used in per share computation:</w:t>
            </w:r>
          </w:p>
        </w:tc>
        <w:tc>
          <w:tcPr>
            <w:tcW w:w="0" w:type="auto"/>
            <w:gridSpan w:val="3"/>
            <w:shd w:val="clear" w:color="auto" w:fill="FFFFFF"/>
            <w:tcMar>
              <w:top w:w="0" w:type="dxa"/>
              <w:left w:w="20" w:type="dxa"/>
              <w:bottom w:w="0" w:type="dxa"/>
              <w:right w:w="20" w:type="dxa"/>
            </w:tcMar>
            <w:vAlign w:val="bottom"/>
          </w:tcPr>
          <w:p w14:paraId="19502175"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176"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177"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178"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179"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17A"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17B" w14:textId="77777777" w:rsidR="00BF3A3A" w:rsidRDefault="00BF3A3A">
            <w:pPr>
              <w:rPr>
                <w:rFonts w:ascii="宋体"/>
              </w:rPr>
            </w:pPr>
          </w:p>
        </w:tc>
      </w:tr>
      <w:tr w:rsidR="00BF3A3A" w14:paraId="19502189" w14:textId="77777777">
        <w:trPr>
          <w:jc w:val="center"/>
        </w:trPr>
        <w:tc>
          <w:tcPr>
            <w:tcW w:w="0" w:type="auto"/>
            <w:gridSpan w:val="3"/>
            <w:shd w:val="clear" w:color="auto" w:fill="E2EFD9"/>
            <w:tcMar>
              <w:top w:w="40" w:type="dxa"/>
              <w:left w:w="515" w:type="dxa"/>
              <w:bottom w:w="40" w:type="dxa"/>
              <w:right w:w="20" w:type="dxa"/>
            </w:tcMar>
            <w:vAlign w:val="bottom"/>
          </w:tcPr>
          <w:p w14:paraId="1950217D" w14:textId="77777777" w:rsidR="00BF3A3A" w:rsidRDefault="00A76802">
            <w:pPr>
              <w:textAlignment w:val="bottom"/>
            </w:pPr>
            <w:r>
              <w:rPr>
                <w:rFonts w:ascii="sans-serif" w:eastAsia="sans-serif" w:hAnsi="sans-serif" w:cs="sans-serif"/>
                <w:color w:val="000000"/>
                <w:sz w:val="20"/>
                <w:szCs w:val="20"/>
              </w:rPr>
              <w:t>Basic</w:t>
            </w:r>
          </w:p>
        </w:tc>
        <w:tc>
          <w:tcPr>
            <w:tcW w:w="0" w:type="auto"/>
            <w:gridSpan w:val="2"/>
            <w:shd w:val="clear" w:color="auto" w:fill="E2EFD9"/>
            <w:tcMar>
              <w:top w:w="40" w:type="dxa"/>
              <w:left w:w="20" w:type="dxa"/>
              <w:bottom w:w="40" w:type="dxa"/>
              <w:right w:w="0" w:type="dxa"/>
            </w:tcMar>
            <w:vAlign w:val="bottom"/>
          </w:tcPr>
          <w:p w14:paraId="1950217E" w14:textId="77777777" w:rsidR="00BF3A3A" w:rsidRDefault="00A76802">
            <w:pPr>
              <w:jc w:val="right"/>
              <w:textAlignment w:val="bottom"/>
            </w:pPr>
            <w:r>
              <w:rPr>
                <w:rFonts w:ascii="sans-serif" w:eastAsia="sans-serif" w:hAnsi="sans-serif" w:cs="sans-serif"/>
                <w:color w:val="000000"/>
                <w:sz w:val="20"/>
                <w:szCs w:val="20"/>
              </w:rPr>
              <w:t>2,495 </w:t>
            </w:r>
          </w:p>
        </w:tc>
        <w:tc>
          <w:tcPr>
            <w:tcW w:w="0" w:type="auto"/>
            <w:shd w:val="clear" w:color="auto" w:fill="E2EFD9"/>
            <w:tcMar>
              <w:top w:w="40" w:type="dxa"/>
              <w:left w:w="0" w:type="dxa"/>
              <w:bottom w:w="40" w:type="dxa"/>
              <w:right w:w="20" w:type="dxa"/>
            </w:tcMar>
            <w:vAlign w:val="bottom"/>
          </w:tcPr>
          <w:p w14:paraId="1950217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180"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181" w14:textId="77777777" w:rsidR="00BF3A3A" w:rsidRDefault="00A76802">
            <w:pPr>
              <w:jc w:val="right"/>
              <w:textAlignment w:val="bottom"/>
            </w:pPr>
            <w:r>
              <w:rPr>
                <w:rFonts w:ascii="sans-serif" w:eastAsia="sans-serif" w:hAnsi="sans-serif" w:cs="sans-serif"/>
                <w:color w:val="000000"/>
                <w:sz w:val="20"/>
                <w:szCs w:val="20"/>
              </w:rPr>
              <w:t>2,493 </w:t>
            </w:r>
          </w:p>
        </w:tc>
        <w:tc>
          <w:tcPr>
            <w:tcW w:w="0" w:type="auto"/>
            <w:shd w:val="clear" w:color="auto" w:fill="E2EFD9"/>
            <w:tcMar>
              <w:top w:w="40" w:type="dxa"/>
              <w:left w:w="0" w:type="dxa"/>
              <w:bottom w:w="40" w:type="dxa"/>
              <w:right w:w="20" w:type="dxa"/>
            </w:tcMar>
            <w:vAlign w:val="bottom"/>
          </w:tcPr>
          <w:p w14:paraId="1950218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183"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184" w14:textId="77777777" w:rsidR="00BF3A3A" w:rsidRDefault="00A76802">
            <w:pPr>
              <w:jc w:val="right"/>
              <w:textAlignment w:val="bottom"/>
            </w:pPr>
            <w:r>
              <w:rPr>
                <w:rFonts w:ascii="sans-serif" w:eastAsia="sans-serif" w:hAnsi="sans-serif" w:cs="sans-serif"/>
                <w:color w:val="000000"/>
                <w:sz w:val="20"/>
                <w:szCs w:val="20"/>
              </w:rPr>
              <w:t>2,500 </w:t>
            </w:r>
          </w:p>
        </w:tc>
        <w:tc>
          <w:tcPr>
            <w:tcW w:w="0" w:type="auto"/>
            <w:shd w:val="clear" w:color="auto" w:fill="E2EFD9"/>
            <w:tcMar>
              <w:top w:w="40" w:type="dxa"/>
              <w:left w:w="0" w:type="dxa"/>
              <w:bottom w:w="40" w:type="dxa"/>
              <w:right w:w="20" w:type="dxa"/>
            </w:tcMar>
            <w:vAlign w:val="bottom"/>
          </w:tcPr>
          <w:p w14:paraId="1950218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186"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187" w14:textId="77777777" w:rsidR="00BF3A3A" w:rsidRDefault="00A76802">
            <w:pPr>
              <w:jc w:val="right"/>
              <w:textAlignment w:val="bottom"/>
            </w:pPr>
            <w:r>
              <w:rPr>
                <w:rFonts w:ascii="sans-serif" w:eastAsia="sans-serif" w:hAnsi="sans-serif" w:cs="sans-serif"/>
                <w:color w:val="000000"/>
                <w:sz w:val="20"/>
                <w:szCs w:val="20"/>
              </w:rPr>
              <w:t>2,489 </w:t>
            </w:r>
          </w:p>
        </w:tc>
        <w:tc>
          <w:tcPr>
            <w:tcW w:w="0" w:type="auto"/>
            <w:shd w:val="clear" w:color="auto" w:fill="E2EFD9"/>
            <w:tcMar>
              <w:top w:w="40" w:type="dxa"/>
              <w:left w:w="0" w:type="dxa"/>
              <w:bottom w:w="40" w:type="dxa"/>
              <w:right w:w="20" w:type="dxa"/>
            </w:tcMar>
            <w:vAlign w:val="bottom"/>
          </w:tcPr>
          <w:p w14:paraId="19502188" w14:textId="77777777" w:rsidR="00BF3A3A" w:rsidRDefault="00BF3A3A">
            <w:pPr>
              <w:jc w:val="right"/>
              <w:rPr>
                <w:rFonts w:ascii="宋体"/>
              </w:rPr>
            </w:pPr>
          </w:p>
        </w:tc>
      </w:tr>
      <w:tr w:rsidR="00BF3A3A" w14:paraId="19502196" w14:textId="77777777">
        <w:trPr>
          <w:jc w:val="center"/>
        </w:trPr>
        <w:tc>
          <w:tcPr>
            <w:tcW w:w="0" w:type="auto"/>
            <w:gridSpan w:val="3"/>
            <w:shd w:val="clear" w:color="auto" w:fill="FFFFFF"/>
            <w:tcMar>
              <w:top w:w="40" w:type="dxa"/>
              <w:left w:w="515" w:type="dxa"/>
              <w:bottom w:w="40" w:type="dxa"/>
              <w:right w:w="20" w:type="dxa"/>
            </w:tcMar>
            <w:vAlign w:val="bottom"/>
          </w:tcPr>
          <w:p w14:paraId="1950218A" w14:textId="77777777" w:rsidR="00BF3A3A" w:rsidRDefault="00A76802">
            <w:pPr>
              <w:textAlignment w:val="bottom"/>
            </w:pPr>
            <w:r>
              <w:rPr>
                <w:rFonts w:ascii="sans-serif" w:eastAsia="sans-serif" w:hAnsi="sans-serif" w:cs="sans-serif"/>
                <w:color w:val="000000"/>
                <w:sz w:val="20"/>
                <w:szCs w:val="20"/>
              </w:rPr>
              <w:t>Diluted</w:t>
            </w: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1950218B" w14:textId="77777777" w:rsidR="00BF3A3A" w:rsidRDefault="00A76802">
            <w:pPr>
              <w:jc w:val="right"/>
              <w:textAlignment w:val="bottom"/>
            </w:pPr>
            <w:r>
              <w:rPr>
                <w:rFonts w:ascii="sans-serif" w:eastAsia="sans-serif" w:hAnsi="sans-serif" w:cs="sans-serif"/>
                <w:color w:val="000000"/>
                <w:sz w:val="20"/>
                <w:szCs w:val="20"/>
              </w:rPr>
              <w:t>2,516 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1950218C"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18D" w14:textId="77777777" w:rsidR="00BF3A3A" w:rsidRDefault="00BF3A3A">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1950218E" w14:textId="77777777" w:rsidR="00BF3A3A" w:rsidRDefault="00A76802">
            <w:pPr>
              <w:jc w:val="right"/>
              <w:textAlignment w:val="bottom"/>
            </w:pPr>
            <w:r>
              <w:rPr>
                <w:rFonts w:ascii="sans-serif" w:eastAsia="sans-serif" w:hAnsi="sans-serif" w:cs="sans-serif"/>
                <w:color w:val="000000"/>
                <w:sz w:val="20"/>
                <w:szCs w:val="20"/>
              </w:rPr>
              <w:t>2,532 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1950218F"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190" w14:textId="77777777" w:rsidR="00BF3A3A" w:rsidRDefault="00BF3A3A">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19502191" w14:textId="77777777" w:rsidR="00BF3A3A" w:rsidRDefault="00A76802">
            <w:pPr>
              <w:jc w:val="right"/>
              <w:textAlignment w:val="bottom"/>
            </w:pPr>
            <w:r>
              <w:rPr>
                <w:rFonts w:ascii="sans-serif" w:eastAsia="sans-serif" w:hAnsi="sans-serif" w:cs="sans-serif"/>
                <w:color w:val="000000"/>
                <w:sz w:val="20"/>
                <w:szCs w:val="20"/>
              </w:rPr>
              <w:t>2,526 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19502192"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193" w14:textId="77777777" w:rsidR="00BF3A3A" w:rsidRDefault="00BF3A3A">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19502194" w14:textId="77777777" w:rsidR="00BF3A3A" w:rsidRDefault="00A76802">
            <w:pPr>
              <w:jc w:val="right"/>
              <w:textAlignment w:val="bottom"/>
            </w:pPr>
            <w:r>
              <w:rPr>
                <w:rFonts w:ascii="sans-serif" w:eastAsia="sans-serif" w:hAnsi="sans-serif" w:cs="sans-serif"/>
                <w:color w:val="000000"/>
                <w:sz w:val="20"/>
                <w:szCs w:val="20"/>
              </w:rPr>
              <w:t>2,529 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19502195" w14:textId="77777777" w:rsidR="00BF3A3A" w:rsidRDefault="00BF3A3A">
            <w:pPr>
              <w:jc w:val="right"/>
              <w:rPr>
                <w:rFonts w:ascii="宋体"/>
              </w:rPr>
            </w:pPr>
          </w:p>
        </w:tc>
      </w:tr>
      <w:tr w:rsidR="00BF3A3A" w14:paraId="1950219F" w14:textId="77777777">
        <w:trPr>
          <w:jc w:val="center"/>
          <w:hidden/>
        </w:trPr>
        <w:tc>
          <w:tcPr>
            <w:tcW w:w="0" w:type="auto"/>
            <w:gridSpan w:val="3"/>
            <w:shd w:val="clear" w:color="auto" w:fill="auto"/>
            <w:vAlign w:val="bottom"/>
          </w:tcPr>
          <w:p w14:paraId="19502197" w14:textId="77777777" w:rsidR="00BF3A3A" w:rsidRDefault="00BF3A3A">
            <w:pPr>
              <w:rPr>
                <w:rFonts w:ascii="宋体"/>
                <w:vanish/>
              </w:rPr>
            </w:pPr>
          </w:p>
        </w:tc>
        <w:tc>
          <w:tcPr>
            <w:tcW w:w="0" w:type="auto"/>
            <w:gridSpan w:val="3"/>
            <w:shd w:val="clear" w:color="auto" w:fill="auto"/>
            <w:vAlign w:val="bottom"/>
          </w:tcPr>
          <w:p w14:paraId="19502198" w14:textId="77777777" w:rsidR="00BF3A3A" w:rsidRDefault="00BF3A3A">
            <w:pPr>
              <w:rPr>
                <w:rFonts w:ascii="宋体"/>
                <w:vanish/>
              </w:rPr>
            </w:pPr>
          </w:p>
        </w:tc>
        <w:tc>
          <w:tcPr>
            <w:tcW w:w="0" w:type="auto"/>
            <w:gridSpan w:val="3"/>
            <w:shd w:val="clear" w:color="auto" w:fill="auto"/>
            <w:vAlign w:val="bottom"/>
          </w:tcPr>
          <w:p w14:paraId="19502199" w14:textId="77777777" w:rsidR="00BF3A3A" w:rsidRDefault="00BF3A3A">
            <w:pPr>
              <w:rPr>
                <w:rFonts w:ascii="宋体"/>
                <w:vanish/>
              </w:rPr>
            </w:pPr>
          </w:p>
        </w:tc>
        <w:tc>
          <w:tcPr>
            <w:tcW w:w="0" w:type="auto"/>
            <w:gridSpan w:val="3"/>
            <w:shd w:val="clear" w:color="auto" w:fill="auto"/>
            <w:vAlign w:val="bottom"/>
          </w:tcPr>
          <w:p w14:paraId="1950219A" w14:textId="77777777" w:rsidR="00BF3A3A" w:rsidRDefault="00BF3A3A">
            <w:pPr>
              <w:rPr>
                <w:rFonts w:ascii="宋体"/>
                <w:vanish/>
              </w:rPr>
            </w:pPr>
          </w:p>
        </w:tc>
        <w:tc>
          <w:tcPr>
            <w:tcW w:w="0" w:type="auto"/>
            <w:gridSpan w:val="3"/>
            <w:shd w:val="clear" w:color="auto" w:fill="auto"/>
            <w:vAlign w:val="bottom"/>
          </w:tcPr>
          <w:p w14:paraId="1950219B" w14:textId="77777777" w:rsidR="00BF3A3A" w:rsidRDefault="00BF3A3A">
            <w:pPr>
              <w:rPr>
                <w:rFonts w:ascii="宋体"/>
                <w:vanish/>
              </w:rPr>
            </w:pPr>
          </w:p>
        </w:tc>
        <w:tc>
          <w:tcPr>
            <w:tcW w:w="0" w:type="auto"/>
            <w:gridSpan w:val="3"/>
            <w:shd w:val="clear" w:color="auto" w:fill="auto"/>
            <w:vAlign w:val="bottom"/>
          </w:tcPr>
          <w:p w14:paraId="1950219C" w14:textId="77777777" w:rsidR="00BF3A3A" w:rsidRDefault="00BF3A3A">
            <w:pPr>
              <w:rPr>
                <w:rFonts w:ascii="宋体"/>
                <w:vanish/>
              </w:rPr>
            </w:pPr>
          </w:p>
        </w:tc>
        <w:tc>
          <w:tcPr>
            <w:tcW w:w="0" w:type="auto"/>
            <w:gridSpan w:val="3"/>
            <w:shd w:val="clear" w:color="auto" w:fill="auto"/>
            <w:vAlign w:val="bottom"/>
          </w:tcPr>
          <w:p w14:paraId="1950219D" w14:textId="77777777" w:rsidR="00BF3A3A" w:rsidRDefault="00BF3A3A">
            <w:pPr>
              <w:rPr>
                <w:rFonts w:ascii="宋体"/>
                <w:vanish/>
              </w:rPr>
            </w:pPr>
          </w:p>
        </w:tc>
        <w:tc>
          <w:tcPr>
            <w:tcW w:w="0" w:type="auto"/>
            <w:gridSpan w:val="3"/>
            <w:shd w:val="clear" w:color="auto" w:fill="auto"/>
            <w:vAlign w:val="bottom"/>
          </w:tcPr>
          <w:p w14:paraId="1950219E" w14:textId="77777777" w:rsidR="00BF3A3A" w:rsidRDefault="00BF3A3A">
            <w:pPr>
              <w:rPr>
                <w:rFonts w:ascii="宋体"/>
                <w:vanish/>
              </w:rPr>
            </w:pPr>
          </w:p>
        </w:tc>
      </w:tr>
      <w:tr w:rsidR="00BF3A3A" w14:paraId="195021A8" w14:textId="77777777">
        <w:trPr>
          <w:jc w:val="center"/>
          <w:hidden/>
        </w:trPr>
        <w:tc>
          <w:tcPr>
            <w:tcW w:w="0" w:type="auto"/>
            <w:gridSpan w:val="3"/>
            <w:shd w:val="clear" w:color="auto" w:fill="auto"/>
            <w:vAlign w:val="bottom"/>
          </w:tcPr>
          <w:p w14:paraId="195021A0" w14:textId="77777777" w:rsidR="00BF3A3A" w:rsidRDefault="00BF3A3A">
            <w:pPr>
              <w:rPr>
                <w:rFonts w:ascii="宋体"/>
                <w:vanish/>
              </w:rPr>
            </w:pPr>
          </w:p>
        </w:tc>
        <w:tc>
          <w:tcPr>
            <w:tcW w:w="0" w:type="auto"/>
            <w:gridSpan w:val="3"/>
            <w:shd w:val="clear" w:color="auto" w:fill="auto"/>
            <w:vAlign w:val="bottom"/>
          </w:tcPr>
          <w:p w14:paraId="195021A1" w14:textId="77777777" w:rsidR="00BF3A3A" w:rsidRDefault="00BF3A3A">
            <w:pPr>
              <w:rPr>
                <w:rFonts w:ascii="宋体"/>
                <w:vanish/>
              </w:rPr>
            </w:pPr>
          </w:p>
        </w:tc>
        <w:tc>
          <w:tcPr>
            <w:tcW w:w="0" w:type="auto"/>
            <w:gridSpan w:val="3"/>
            <w:shd w:val="clear" w:color="auto" w:fill="auto"/>
            <w:vAlign w:val="bottom"/>
          </w:tcPr>
          <w:p w14:paraId="195021A2" w14:textId="77777777" w:rsidR="00BF3A3A" w:rsidRDefault="00BF3A3A">
            <w:pPr>
              <w:rPr>
                <w:rFonts w:ascii="宋体"/>
                <w:vanish/>
              </w:rPr>
            </w:pPr>
          </w:p>
        </w:tc>
        <w:tc>
          <w:tcPr>
            <w:tcW w:w="0" w:type="auto"/>
            <w:gridSpan w:val="3"/>
            <w:shd w:val="clear" w:color="auto" w:fill="auto"/>
            <w:vAlign w:val="bottom"/>
          </w:tcPr>
          <w:p w14:paraId="195021A3" w14:textId="77777777" w:rsidR="00BF3A3A" w:rsidRDefault="00BF3A3A">
            <w:pPr>
              <w:rPr>
                <w:rFonts w:ascii="宋体"/>
                <w:vanish/>
              </w:rPr>
            </w:pPr>
          </w:p>
        </w:tc>
        <w:tc>
          <w:tcPr>
            <w:tcW w:w="0" w:type="auto"/>
            <w:gridSpan w:val="3"/>
            <w:shd w:val="clear" w:color="auto" w:fill="auto"/>
            <w:vAlign w:val="bottom"/>
          </w:tcPr>
          <w:p w14:paraId="195021A4" w14:textId="77777777" w:rsidR="00BF3A3A" w:rsidRDefault="00BF3A3A">
            <w:pPr>
              <w:rPr>
                <w:rFonts w:ascii="宋体"/>
                <w:vanish/>
              </w:rPr>
            </w:pPr>
          </w:p>
        </w:tc>
        <w:tc>
          <w:tcPr>
            <w:tcW w:w="0" w:type="auto"/>
            <w:gridSpan w:val="3"/>
            <w:shd w:val="clear" w:color="auto" w:fill="auto"/>
            <w:vAlign w:val="bottom"/>
          </w:tcPr>
          <w:p w14:paraId="195021A5" w14:textId="77777777" w:rsidR="00BF3A3A" w:rsidRDefault="00BF3A3A">
            <w:pPr>
              <w:rPr>
                <w:rFonts w:ascii="宋体"/>
                <w:vanish/>
              </w:rPr>
            </w:pPr>
          </w:p>
        </w:tc>
        <w:tc>
          <w:tcPr>
            <w:tcW w:w="0" w:type="auto"/>
            <w:gridSpan w:val="3"/>
            <w:shd w:val="clear" w:color="auto" w:fill="auto"/>
            <w:vAlign w:val="bottom"/>
          </w:tcPr>
          <w:p w14:paraId="195021A6" w14:textId="77777777" w:rsidR="00BF3A3A" w:rsidRDefault="00BF3A3A">
            <w:pPr>
              <w:rPr>
                <w:rFonts w:ascii="宋体"/>
                <w:vanish/>
              </w:rPr>
            </w:pPr>
          </w:p>
        </w:tc>
        <w:tc>
          <w:tcPr>
            <w:tcW w:w="0" w:type="auto"/>
            <w:gridSpan w:val="3"/>
            <w:shd w:val="clear" w:color="auto" w:fill="auto"/>
            <w:vAlign w:val="bottom"/>
          </w:tcPr>
          <w:p w14:paraId="195021A7" w14:textId="77777777" w:rsidR="00BF3A3A" w:rsidRDefault="00BF3A3A">
            <w:pPr>
              <w:rPr>
                <w:rFonts w:ascii="宋体"/>
                <w:vanish/>
              </w:rPr>
            </w:pPr>
          </w:p>
        </w:tc>
      </w:tr>
    </w:tbl>
    <w:p w14:paraId="195021A9" w14:textId="77777777" w:rsidR="00BF3A3A" w:rsidRDefault="00A76802">
      <w:pPr>
        <w:spacing w:after="180"/>
        <w:jc w:val="center"/>
      </w:pPr>
      <w:r>
        <w:rPr>
          <w:rFonts w:ascii="sans-serif" w:eastAsia="sans-serif" w:hAnsi="sans-serif" w:cs="sans-serif"/>
          <w:color w:val="000000"/>
          <w:sz w:val="20"/>
          <w:szCs w:val="20"/>
        </w:rPr>
        <w:t>See accompanying Notes to Condensed Consolidated Financial Statements.</w:t>
      </w:r>
    </w:p>
    <w:p w14:paraId="195021AA" w14:textId="77777777" w:rsidR="00BF3A3A" w:rsidRDefault="00BF3A3A">
      <w:pPr>
        <w:spacing w:after="180"/>
        <w:jc w:val="center"/>
      </w:pPr>
    </w:p>
    <w:p w14:paraId="195021AB" w14:textId="77777777" w:rsidR="00BF3A3A" w:rsidRDefault="00A76802">
      <w:pPr>
        <w:spacing w:after="180"/>
        <w:jc w:val="center"/>
      </w:pPr>
      <w:r>
        <w:rPr>
          <w:rFonts w:ascii="sans-serif" w:eastAsia="sans-serif" w:hAnsi="sans-serif" w:cs="sans-serif"/>
          <w:color w:val="000000"/>
          <w:sz w:val="20"/>
          <w:szCs w:val="20"/>
        </w:rPr>
        <w:t>3</w:t>
      </w:r>
    </w:p>
    <w:p w14:paraId="195021AC" w14:textId="77777777" w:rsidR="00BF3A3A" w:rsidRDefault="00A76802">
      <w:r>
        <w:pict w14:anchorId="19503FC8">
          <v:rect id="_x0000_i1027" style="width:415.3pt;height:1.5pt" o:hralign="center" o:hrstd="t" o:hr="t" fillcolor="#a0a0a0" stroked="f"/>
        </w:pict>
      </w:r>
    </w:p>
    <w:p w14:paraId="195021AD" w14:textId="77777777" w:rsidR="00BF3A3A" w:rsidRDefault="00BF3A3A">
      <w:pPr>
        <w:spacing w:after="180"/>
        <w:jc w:val="both"/>
      </w:pPr>
    </w:p>
    <w:p w14:paraId="195021AE" w14:textId="77777777" w:rsidR="00BF3A3A" w:rsidRDefault="00A76802">
      <w:pPr>
        <w:jc w:val="center"/>
      </w:pPr>
      <w:r>
        <w:rPr>
          <w:rFonts w:ascii="sans-serif" w:eastAsia="sans-serif" w:hAnsi="sans-serif" w:cs="sans-serif"/>
          <w:b/>
          <w:bCs/>
          <w:color w:val="000000"/>
          <w:sz w:val="20"/>
          <w:szCs w:val="20"/>
        </w:rPr>
        <w:t xml:space="preserve">NVIDIA CORPORATION AND </w:t>
      </w:r>
      <w:r>
        <w:rPr>
          <w:rFonts w:ascii="sans-serif" w:eastAsia="sans-serif" w:hAnsi="sans-serif" w:cs="sans-serif"/>
          <w:b/>
          <w:bCs/>
          <w:color w:val="000000"/>
          <w:sz w:val="20"/>
          <w:szCs w:val="20"/>
        </w:rPr>
        <w:t>SUBSIDIARIES</w:t>
      </w:r>
    </w:p>
    <w:p w14:paraId="195021AF" w14:textId="77777777" w:rsidR="00BF3A3A" w:rsidRDefault="00A76802">
      <w:pPr>
        <w:jc w:val="center"/>
      </w:pPr>
      <w:r>
        <w:rPr>
          <w:rFonts w:ascii="sans-serif" w:eastAsia="sans-serif" w:hAnsi="sans-serif" w:cs="sans-serif"/>
          <w:b/>
          <w:bCs/>
          <w:color w:val="000000"/>
          <w:sz w:val="20"/>
          <w:szCs w:val="20"/>
        </w:rPr>
        <w:t>CONDENSED CONSOLIDATED STATEMENTS OF COMPREHENSIVE INCOME</w:t>
      </w:r>
    </w:p>
    <w:p w14:paraId="195021B0" w14:textId="77777777" w:rsidR="00BF3A3A" w:rsidRDefault="00A76802">
      <w:pPr>
        <w:jc w:val="center"/>
      </w:pPr>
      <w:r>
        <w:rPr>
          <w:rFonts w:ascii="sans-serif" w:eastAsia="sans-serif" w:hAnsi="sans-serif" w:cs="sans-serif"/>
          <w:b/>
          <w:bCs/>
          <w:color w:val="000000"/>
          <w:sz w:val="20"/>
          <w:szCs w:val="20"/>
        </w:rPr>
        <w:t>(In millions)</w:t>
      </w:r>
    </w:p>
    <w:p w14:paraId="195021B1" w14:textId="77777777" w:rsidR="00BF3A3A" w:rsidRDefault="00A76802">
      <w:pPr>
        <w:jc w:val="center"/>
      </w:pPr>
      <w:r>
        <w:rPr>
          <w:rFonts w:ascii="sans-serif" w:eastAsia="sans-serif" w:hAnsi="sans-serif" w:cs="sans-serif"/>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762"/>
        <w:gridCol w:w="38"/>
        <w:gridCol w:w="122"/>
        <w:gridCol w:w="917"/>
        <w:gridCol w:w="36"/>
        <w:gridCol w:w="36"/>
        <w:gridCol w:w="36"/>
        <w:gridCol w:w="36"/>
        <w:gridCol w:w="122"/>
        <w:gridCol w:w="874"/>
        <w:gridCol w:w="36"/>
        <w:gridCol w:w="36"/>
        <w:gridCol w:w="36"/>
        <w:gridCol w:w="36"/>
        <w:gridCol w:w="122"/>
        <w:gridCol w:w="874"/>
        <w:gridCol w:w="36"/>
        <w:gridCol w:w="36"/>
        <w:gridCol w:w="36"/>
        <w:gridCol w:w="36"/>
        <w:gridCol w:w="122"/>
        <w:gridCol w:w="875"/>
        <w:gridCol w:w="36"/>
      </w:tblGrid>
      <w:tr w:rsidR="00BF3A3A" w14:paraId="195021CA" w14:textId="77777777">
        <w:trPr>
          <w:jc w:val="center"/>
        </w:trPr>
        <w:tc>
          <w:tcPr>
            <w:tcW w:w="50" w:type="pct"/>
            <w:shd w:val="clear" w:color="auto" w:fill="auto"/>
            <w:vAlign w:val="bottom"/>
          </w:tcPr>
          <w:p w14:paraId="195021B2" w14:textId="77777777" w:rsidR="00BF3A3A" w:rsidRDefault="00BF3A3A">
            <w:pPr>
              <w:rPr>
                <w:rFonts w:ascii="宋体"/>
              </w:rPr>
            </w:pPr>
          </w:p>
        </w:tc>
        <w:tc>
          <w:tcPr>
            <w:tcW w:w="2291" w:type="pct"/>
            <w:shd w:val="clear" w:color="auto" w:fill="auto"/>
            <w:vAlign w:val="bottom"/>
          </w:tcPr>
          <w:p w14:paraId="195021B3" w14:textId="77777777" w:rsidR="00BF3A3A" w:rsidRDefault="00BF3A3A">
            <w:pPr>
              <w:rPr>
                <w:rFonts w:ascii="宋体"/>
              </w:rPr>
            </w:pPr>
          </w:p>
        </w:tc>
        <w:tc>
          <w:tcPr>
            <w:tcW w:w="5" w:type="pct"/>
            <w:shd w:val="clear" w:color="auto" w:fill="auto"/>
            <w:vAlign w:val="bottom"/>
          </w:tcPr>
          <w:p w14:paraId="195021B4" w14:textId="77777777" w:rsidR="00BF3A3A" w:rsidRDefault="00BF3A3A">
            <w:pPr>
              <w:rPr>
                <w:rFonts w:ascii="宋体"/>
              </w:rPr>
            </w:pPr>
          </w:p>
        </w:tc>
        <w:tc>
          <w:tcPr>
            <w:tcW w:w="50" w:type="pct"/>
            <w:shd w:val="clear" w:color="auto" w:fill="auto"/>
            <w:vAlign w:val="bottom"/>
          </w:tcPr>
          <w:p w14:paraId="195021B5" w14:textId="77777777" w:rsidR="00BF3A3A" w:rsidRDefault="00BF3A3A">
            <w:pPr>
              <w:rPr>
                <w:rFonts w:ascii="宋体"/>
              </w:rPr>
            </w:pPr>
          </w:p>
        </w:tc>
        <w:tc>
          <w:tcPr>
            <w:tcW w:w="580" w:type="pct"/>
            <w:shd w:val="clear" w:color="auto" w:fill="auto"/>
            <w:vAlign w:val="bottom"/>
          </w:tcPr>
          <w:p w14:paraId="195021B6" w14:textId="77777777" w:rsidR="00BF3A3A" w:rsidRDefault="00BF3A3A">
            <w:pPr>
              <w:rPr>
                <w:rFonts w:ascii="宋体"/>
              </w:rPr>
            </w:pPr>
          </w:p>
        </w:tc>
        <w:tc>
          <w:tcPr>
            <w:tcW w:w="5" w:type="pct"/>
            <w:shd w:val="clear" w:color="auto" w:fill="auto"/>
            <w:vAlign w:val="bottom"/>
          </w:tcPr>
          <w:p w14:paraId="195021B7" w14:textId="77777777" w:rsidR="00BF3A3A" w:rsidRDefault="00BF3A3A">
            <w:pPr>
              <w:rPr>
                <w:rFonts w:ascii="宋体"/>
              </w:rPr>
            </w:pPr>
          </w:p>
        </w:tc>
        <w:tc>
          <w:tcPr>
            <w:tcW w:w="5" w:type="pct"/>
            <w:shd w:val="clear" w:color="auto" w:fill="auto"/>
            <w:vAlign w:val="bottom"/>
          </w:tcPr>
          <w:p w14:paraId="195021B8" w14:textId="77777777" w:rsidR="00BF3A3A" w:rsidRDefault="00BF3A3A">
            <w:pPr>
              <w:rPr>
                <w:rFonts w:ascii="宋体"/>
              </w:rPr>
            </w:pPr>
          </w:p>
        </w:tc>
        <w:tc>
          <w:tcPr>
            <w:tcW w:w="26" w:type="pct"/>
            <w:shd w:val="clear" w:color="auto" w:fill="auto"/>
            <w:vAlign w:val="bottom"/>
          </w:tcPr>
          <w:p w14:paraId="195021B9" w14:textId="77777777" w:rsidR="00BF3A3A" w:rsidRDefault="00BF3A3A">
            <w:pPr>
              <w:rPr>
                <w:rFonts w:ascii="宋体"/>
              </w:rPr>
            </w:pPr>
          </w:p>
        </w:tc>
        <w:tc>
          <w:tcPr>
            <w:tcW w:w="5" w:type="pct"/>
            <w:shd w:val="clear" w:color="auto" w:fill="auto"/>
            <w:vAlign w:val="bottom"/>
          </w:tcPr>
          <w:p w14:paraId="195021BA" w14:textId="77777777" w:rsidR="00BF3A3A" w:rsidRDefault="00BF3A3A">
            <w:pPr>
              <w:rPr>
                <w:rFonts w:ascii="宋体"/>
              </w:rPr>
            </w:pPr>
          </w:p>
        </w:tc>
        <w:tc>
          <w:tcPr>
            <w:tcW w:w="50" w:type="pct"/>
            <w:shd w:val="clear" w:color="auto" w:fill="auto"/>
            <w:vAlign w:val="bottom"/>
          </w:tcPr>
          <w:p w14:paraId="195021BB" w14:textId="77777777" w:rsidR="00BF3A3A" w:rsidRDefault="00BF3A3A">
            <w:pPr>
              <w:rPr>
                <w:rFonts w:ascii="宋体"/>
              </w:rPr>
            </w:pPr>
          </w:p>
        </w:tc>
        <w:tc>
          <w:tcPr>
            <w:tcW w:w="580" w:type="pct"/>
            <w:shd w:val="clear" w:color="auto" w:fill="auto"/>
            <w:vAlign w:val="bottom"/>
          </w:tcPr>
          <w:p w14:paraId="195021BC" w14:textId="77777777" w:rsidR="00BF3A3A" w:rsidRDefault="00BF3A3A">
            <w:pPr>
              <w:rPr>
                <w:rFonts w:ascii="宋体"/>
              </w:rPr>
            </w:pPr>
          </w:p>
        </w:tc>
        <w:tc>
          <w:tcPr>
            <w:tcW w:w="5" w:type="pct"/>
            <w:shd w:val="clear" w:color="auto" w:fill="auto"/>
            <w:vAlign w:val="bottom"/>
          </w:tcPr>
          <w:p w14:paraId="195021BD" w14:textId="77777777" w:rsidR="00BF3A3A" w:rsidRDefault="00BF3A3A">
            <w:pPr>
              <w:rPr>
                <w:rFonts w:ascii="宋体"/>
              </w:rPr>
            </w:pPr>
          </w:p>
        </w:tc>
        <w:tc>
          <w:tcPr>
            <w:tcW w:w="5" w:type="pct"/>
            <w:shd w:val="clear" w:color="auto" w:fill="auto"/>
            <w:vAlign w:val="bottom"/>
          </w:tcPr>
          <w:p w14:paraId="195021BE" w14:textId="77777777" w:rsidR="00BF3A3A" w:rsidRDefault="00BF3A3A">
            <w:pPr>
              <w:rPr>
                <w:rFonts w:ascii="宋体"/>
              </w:rPr>
            </w:pPr>
          </w:p>
        </w:tc>
        <w:tc>
          <w:tcPr>
            <w:tcW w:w="26" w:type="pct"/>
            <w:shd w:val="clear" w:color="auto" w:fill="auto"/>
            <w:vAlign w:val="bottom"/>
          </w:tcPr>
          <w:p w14:paraId="195021BF" w14:textId="77777777" w:rsidR="00BF3A3A" w:rsidRDefault="00BF3A3A">
            <w:pPr>
              <w:rPr>
                <w:rFonts w:ascii="宋体"/>
              </w:rPr>
            </w:pPr>
          </w:p>
        </w:tc>
        <w:tc>
          <w:tcPr>
            <w:tcW w:w="5" w:type="pct"/>
            <w:shd w:val="clear" w:color="auto" w:fill="auto"/>
            <w:vAlign w:val="bottom"/>
          </w:tcPr>
          <w:p w14:paraId="195021C0" w14:textId="77777777" w:rsidR="00BF3A3A" w:rsidRDefault="00BF3A3A">
            <w:pPr>
              <w:rPr>
                <w:rFonts w:ascii="宋体"/>
              </w:rPr>
            </w:pPr>
          </w:p>
        </w:tc>
        <w:tc>
          <w:tcPr>
            <w:tcW w:w="50" w:type="pct"/>
            <w:shd w:val="clear" w:color="auto" w:fill="auto"/>
            <w:vAlign w:val="bottom"/>
          </w:tcPr>
          <w:p w14:paraId="195021C1" w14:textId="77777777" w:rsidR="00BF3A3A" w:rsidRDefault="00BF3A3A">
            <w:pPr>
              <w:rPr>
                <w:rFonts w:ascii="宋体"/>
              </w:rPr>
            </w:pPr>
          </w:p>
        </w:tc>
        <w:tc>
          <w:tcPr>
            <w:tcW w:w="580" w:type="pct"/>
            <w:shd w:val="clear" w:color="auto" w:fill="auto"/>
            <w:vAlign w:val="bottom"/>
          </w:tcPr>
          <w:p w14:paraId="195021C2" w14:textId="77777777" w:rsidR="00BF3A3A" w:rsidRDefault="00BF3A3A">
            <w:pPr>
              <w:rPr>
                <w:rFonts w:ascii="宋体"/>
              </w:rPr>
            </w:pPr>
          </w:p>
        </w:tc>
        <w:tc>
          <w:tcPr>
            <w:tcW w:w="5" w:type="pct"/>
            <w:shd w:val="clear" w:color="auto" w:fill="auto"/>
            <w:vAlign w:val="bottom"/>
          </w:tcPr>
          <w:p w14:paraId="195021C3" w14:textId="77777777" w:rsidR="00BF3A3A" w:rsidRDefault="00BF3A3A">
            <w:pPr>
              <w:rPr>
                <w:rFonts w:ascii="宋体"/>
              </w:rPr>
            </w:pPr>
          </w:p>
        </w:tc>
        <w:tc>
          <w:tcPr>
            <w:tcW w:w="5" w:type="pct"/>
            <w:shd w:val="clear" w:color="auto" w:fill="auto"/>
            <w:vAlign w:val="bottom"/>
          </w:tcPr>
          <w:p w14:paraId="195021C4" w14:textId="77777777" w:rsidR="00BF3A3A" w:rsidRDefault="00BF3A3A">
            <w:pPr>
              <w:rPr>
                <w:rFonts w:ascii="宋体"/>
              </w:rPr>
            </w:pPr>
          </w:p>
        </w:tc>
        <w:tc>
          <w:tcPr>
            <w:tcW w:w="26" w:type="pct"/>
            <w:shd w:val="clear" w:color="auto" w:fill="auto"/>
            <w:vAlign w:val="bottom"/>
          </w:tcPr>
          <w:p w14:paraId="195021C5" w14:textId="77777777" w:rsidR="00BF3A3A" w:rsidRDefault="00BF3A3A">
            <w:pPr>
              <w:rPr>
                <w:rFonts w:ascii="宋体"/>
              </w:rPr>
            </w:pPr>
          </w:p>
        </w:tc>
        <w:tc>
          <w:tcPr>
            <w:tcW w:w="5" w:type="pct"/>
            <w:shd w:val="clear" w:color="auto" w:fill="auto"/>
            <w:vAlign w:val="bottom"/>
          </w:tcPr>
          <w:p w14:paraId="195021C6" w14:textId="77777777" w:rsidR="00BF3A3A" w:rsidRDefault="00BF3A3A">
            <w:pPr>
              <w:rPr>
                <w:rFonts w:ascii="宋体"/>
              </w:rPr>
            </w:pPr>
          </w:p>
        </w:tc>
        <w:tc>
          <w:tcPr>
            <w:tcW w:w="50" w:type="pct"/>
            <w:shd w:val="clear" w:color="auto" w:fill="auto"/>
            <w:vAlign w:val="bottom"/>
          </w:tcPr>
          <w:p w14:paraId="195021C7" w14:textId="77777777" w:rsidR="00BF3A3A" w:rsidRDefault="00BF3A3A">
            <w:pPr>
              <w:rPr>
                <w:rFonts w:ascii="宋体"/>
              </w:rPr>
            </w:pPr>
          </w:p>
        </w:tc>
        <w:tc>
          <w:tcPr>
            <w:tcW w:w="581" w:type="pct"/>
            <w:shd w:val="clear" w:color="auto" w:fill="auto"/>
            <w:vAlign w:val="bottom"/>
          </w:tcPr>
          <w:p w14:paraId="195021C8" w14:textId="77777777" w:rsidR="00BF3A3A" w:rsidRDefault="00BF3A3A">
            <w:pPr>
              <w:rPr>
                <w:rFonts w:ascii="宋体"/>
              </w:rPr>
            </w:pPr>
          </w:p>
        </w:tc>
        <w:tc>
          <w:tcPr>
            <w:tcW w:w="5" w:type="pct"/>
            <w:shd w:val="clear" w:color="auto" w:fill="auto"/>
            <w:vAlign w:val="bottom"/>
          </w:tcPr>
          <w:p w14:paraId="195021C9" w14:textId="77777777" w:rsidR="00BF3A3A" w:rsidRDefault="00BF3A3A">
            <w:pPr>
              <w:rPr>
                <w:rFonts w:ascii="宋体"/>
              </w:rPr>
            </w:pPr>
          </w:p>
        </w:tc>
      </w:tr>
      <w:tr w:rsidR="00BF3A3A" w14:paraId="195021CF" w14:textId="77777777">
        <w:trPr>
          <w:jc w:val="center"/>
        </w:trPr>
        <w:tc>
          <w:tcPr>
            <w:tcW w:w="0" w:type="auto"/>
            <w:gridSpan w:val="3"/>
            <w:shd w:val="clear" w:color="auto" w:fill="auto"/>
            <w:tcMar>
              <w:top w:w="40" w:type="dxa"/>
              <w:left w:w="20" w:type="dxa"/>
              <w:bottom w:w="40" w:type="dxa"/>
              <w:right w:w="20" w:type="dxa"/>
            </w:tcMar>
            <w:vAlign w:val="bottom"/>
          </w:tcPr>
          <w:p w14:paraId="195021CB" w14:textId="77777777" w:rsidR="00BF3A3A" w:rsidRDefault="00A76802">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95021CC" w14:textId="77777777" w:rsidR="00BF3A3A" w:rsidRDefault="00A76802">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195021CD" w14:textId="77777777" w:rsidR="00BF3A3A" w:rsidRDefault="00BF3A3A">
            <w:pPr>
              <w:rPr>
                <w:rFonts w:ascii="宋体"/>
              </w:rPr>
            </w:pPr>
          </w:p>
        </w:tc>
        <w:tc>
          <w:tcPr>
            <w:tcW w:w="0" w:type="auto"/>
            <w:gridSpan w:val="9"/>
            <w:shd w:val="clear" w:color="auto" w:fill="auto"/>
            <w:tcMar>
              <w:top w:w="40" w:type="dxa"/>
              <w:left w:w="20" w:type="dxa"/>
              <w:bottom w:w="40" w:type="dxa"/>
              <w:right w:w="20" w:type="dxa"/>
            </w:tcMar>
            <w:vAlign w:val="bottom"/>
          </w:tcPr>
          <w:p w14:paraId="195021CE" w14:textId="77777777" w:rsidR="00BF3A3A" w:rsidRDefault="00A76802">
            <w:pPr>
              <w:jc w:val="center"/>
              <w:textAlignment w:val="bottom"/>
            </w:pPr>
            <w:r>
              <w:rPr>
                <w:rFonts w:ascii="sans-serif" w:eastAsia="sans-serif" w:hAnsi="sans-serif" w:cs="sans-serif"/>
                <w:b/>
                <w:bCs/>
                <w:color w:val="000000"/>
                <w:sz w:val="20"/>
                <w:szCs w:val="20"/>
              </w:rPr>
              <w:t>Six Months Ended</w:t>
            </w:r>
          </w:p>
        </w:tc>
      </w:tr>
      <w:tr w:rsidR="00BF3A3A" w14:paraId="195021D8" w14:textId="77777777">
        <w:trPr>
          <w:jc w:val="center"/>
        </w:trPr>
        <w:tc>
          <w:tcPr>
            <w:tcW w:w="0" w:type="auto"/>
            <w:gridSpan w:val="3"/>
            <w:shd w:val="clear" w:color="auto" w:fill="auto"/>
            <w:tcMar>
              <w:top w:w="40" w:type="dxa"/>
              <w:left w:w="20" w:type="dxa"/>
              <w:bottom w:w="40" w:type="dxa"/>
              <w:right w:w="20" w:type="dxa"/>
            </w:tcMar>
            <w:vAlign w:val="bottom"/>
          </w:tcPr>
          <w:p w14:paraId="195021D0"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1D1" w14:textId="77777777" w:rsidR="00BF3A3A" w:rsidRDefault="00A76802">
            <w:pPr>
              <w:jc w:val="center"/>
              <w:textAlignment w:val="bottom"/>
            </w:pPr>
            <w:r>
              <w:rPr>
                <w:rFonts w:ascii="sans-serif" w:eastAsia="sans-serif" w:hAnsi="sans-serif" w:cs="sans-serif"/>
                <w:b/>
                <w:bCs/>
                <w:color w:val="000000"/>
                <w:sz w:val="20"/>
                <w:szCs w:val="20"/>
              </w:rPr>
              <w:t>July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1D2"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1D3" w14:textId="77777777" w:rsidR="00BF3A3A" w:rsidRDefault="00A76802">
            <w:pPr>
              <w:jc w:val="center"/>
              <w:textAlignment w:val="bottom"/>
            </w:pPr>
            <w:r>
              <w:rPr>
                <w:rFonts w:ascii="sans-serif" w:eastAsia="sans-serif" w:hAnsi="sans-serif" w:cs="sans-serif"/>
                <w:b/>
                <w:bCs/>
                <w:color w:val="000000"/>
                <w:sz w:val="20"/>
                <w:szCs w:val="20"/>
              </w:rPr>
              <w:t>August 1,</w:t>
            </w:r>
          </w:p>
        </w:tc>
        <w:tc>
          <w:tcPr>
            <w:tcW w:w="0" w:type="auto"/>
            <w:gridSpan w:val="3"/>
            <w:shd w:val="clear" w:color="auto" w:fill="auto"/>
            <w:tcMar>
              <w:top w:w="0" w:type="dxa"/>
              <w:left w:w="20" w:type="dxa"/>
              <w:bottom w:w="0" w:type="dxa"/>
              <w:right w:w="20" w:type="dxa"/>
            </w:tcMar>
            <w:vAlign w:val="bottom"/>
          </w:tcPr>
          <w:p w14:paraId="195021D4"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1D5" w14:textId="77777777" w:rsidR="00BF3A3A" w:rsidRDefault="00A76802">
            <w:pPr>
              <w:jc w:val="center"/>
              <w:textAlignment w:val="bottom"/>
            </w:pPr>
            <w:r>
              <w:rPr>
                <w:rFonts w:ascii="sans-serif" w:eastAsia="sans-serif" w:hAnsi="sans-serif" w:cs="sans-serif"/>
                <w:b/>
                <w:bCs/>
                <w:color w:val="000000"/>
                <w:sz w:val="20"/>
                <w:szCs w:val="20"/>
              </w:rPr>
              <w:t>July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1D6"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1D7" w14:textId="77777777" w:rsidR="00BF3A3A" w:rsidRDefault="00A76802">
            <w:pPr>
              <w:jc w:val="center"/>
              <w:textAlignment w:val="bottom"/>
            </w:pPr>
            <w:r>
              <w:rPr>
                <w:rFonts w:ascii="sans-serif" w:eastAsia="sans-serif" w:hAnsi="sans-serif" w:cs="sans-serif"/>
                <w:b/>
                <w:bCs/>
                <w:color w:val="000000"/>
                <w:sz w:val="20"/>
                <w:szCs w:val="20"/>
              </w:rPr>
              <w:t>August 1,</w:t>
            </w:r>
          </w:p>
        </w:tc>
      </w:tr>
      <w:tr w:rsidR="00BF3A3A" w14:paraId="195021E1" w14:textId="77777777">
        <w:trPr>
          <w:jc w:val="center"/>
        </w:trPr>
        <w:tc>
          <w:tcPr>
            <w:tcW w:w="0" w:type="auto"/>
            <w:gridSpan w:val="3"/>
            <w:shd w:val="clear" w:color="auto" w:fill="auto"/>
            <w:tcMar>
              <w:top w:w="0" w:type="dxa"/>
              <w:left w:w="20" w:type="dxa"/>
              <w:bottom w:w="0" w:type="dxa"/>
              <w:right w:w="20" w:type="dxa"/>
            </w:tcMar>
            <w:vAlign w:val="bottom"/>
          </w:tcPr>
          <w:p w14:paraId="195021D9"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21DA" w14:textId="77777777" w:rsidR="00BF3A3A" w:rsidRDefault="00A76802">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195021DB"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21DC" w14:textId="77777777" w:rsidR="00BF3A3A" w:rsidRDefault="00A76802">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195021DD"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21DE" w14:textId="77777777" w:rsidR="00BF3A3A" w:rsidRDefault="00A76802">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195021DF"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21E0" w14:textId="77777777" w:rsidR="00BF3A3A" w:rsidRDefault="00A76802">
            <w:pPr>
              <w:jc w:val="center"/>
              <w:textAlignment w:val="bottom"/>
            </w:pPr>
            <w:r>
              <w:rPr>
                <w:rFonts w:ascii="sans-serif" w:eastAsia="sans-serif" w:hAnsi="sans-serif" w:cs="sans-serif"/>
                <w:b/>
                <w:bCs/>
                <w:color w:val="000000"/>
                <w:sz w:val="20"/>
                <w:szCs w:val="20"/>
              </w:rPr>
              <w:t>2021</w:t>
            </w:r>
          </w:p>
        </w:tc>
      </w:tr>
      <w:tr w:rsidR="00BF3A3A" w14:paraId="195021EA" w14:textId="77777777">
        <w:trPr>
          <w:jc w:val="center"/>
        </w:trPr>
        <w:tc>
          <w:tcPr>
            <w:tcW w:w="0" w:type="auto"/>
            <w:gridSpan w:val="3"/>
            <w:shd w:val="clear" w:color="auto" w:fill="auto"/>
            <w:tcMar>
              <w:top w:w="40" w:type="dxa"/>
              <w:left w:w="20" w:type="dxa"/>
              <w:bottom w:w="40" w:type="dxa"/>
              <w:right w:w="20" w:type="dxa"/>
            </w:tcMar>
            <w:vAlign w:val="bottom"/>
          </w:tcPr>
          <w:p w14:paraId="195021E2"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1E3"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1E4"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1E5"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1E6"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1E7"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1E8"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1E9" w14:textId="77777777" w:rsidR="00BF3A3A" w:rsidRDefault="00BF3A3A">
            <w:pPr>
              <w:rPr>
                <w:rFonts w:ascii="宋体"/>
              </w:rPr>
            </w:pPr>
          </w:p>
        </w:tc>
      </w:tr>
      <w:tr w:rsidR="00BF3A3A" w14:paraId="195021FB" w14:textId="77777777">
        <w:trPr>
          <w:jc w:val="center"/>
        </w:trPr>
        <w:tc>
          <w:tcPr>
            <w:tcW w:w="0" w:type="auto"/>
            <w:gridSpan w:val="3"/>
            <w:shd w:val="clear" w:color="auto" w:fill="E2EFD9"/>
            <w:tcMar>
              <w:top w:w="40" w:type="dxa"/>
              <w:left w:w="20" w:type="dxa"/>
              <w:bottom w:w="40" w:type="dxa"/>
              <w:right w:w="20" w:type="dxa"/>
            </w:tcMar>
            <w:vAlign w:val="bottom"/>
          </w:tcPr>
          <w:p w14:paraId="195021EB" w14:textId="77777777" w:rsidR="00BF3A3A" w:rsidRDefault="00A76802">
            <w:pPr>
              <w:textAlignment w:val="bottom"/>
            </w:pPr>
            <w:r>
              <w:rPr>
                <w:rFonts w:ascii="sans-serif" w:eastAsia="sans-serif" w:hAnsi="sans-serif" w:cs="sans-serif"/>
                <w:color w:val="000000"/>
                <w:sz w:val="20"/>
                <w:szCs w:val="20"/>
              </w:rPr>
              <w:t>Net income</w:t>
            </w:r>
          </w:p>
        </w:tc>
        <w:tc>
          <w:tcPr>
            <w:tcW w:w="0" w:type="auto"/>
            <w:shd w:val="clear" w:color="auto" w:fill="E2EFD9"/>
            <w:tcMar>
              <w:top w:w="40" w:type="dxa"/>
              <w:left w:w="20" w:type="dxa"/>
              <w:bottom w:w="40" w:type="dxa"/>
              <w:right w:w="0" w:type="dxa"/>
            </w:tcMar>
            <w:vAlign w:val="bottom"/>
          </w:tcPr>
          <w:p w14:paraId="195021EC"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1ED" w14:textId="77777777" w:rsidR="00BF3A3A" w:rsidRDefault="00A76802">
            <w:pPr>
              <w:jc w:val="right"/>
              <w:textAlignment w:val="bottom"/>
            </w:pPr>
            <w:r>
              <w:rPr>
                <w:rFonts w:ascii="sans-serif" w:eastAsia="sans-serif" w:hAnsi="sans-serif" w:cs="sans-serif"/>
                <w:color w:val="000000"/>
                <w:sz w:val="20"/>
                <w:szCs w:val="20"/>
              </w:rPr>
              <w:t>656 </w:t>
            </w:r>
          </w:p>
        </w:tc>
        <w:tc>
          <w:tcPr>
            <w:tcW w:w="0" w:type="auto"/>
            <w:shd w:val="clear" w:color="auto" w:fill="E2EFD9"/>
            <w:tcMar>
              <w:top w:w="40" w:type="dxa"/>
              <w:left w:w="0" w:type="dxa"/>
              <w:bottom w:w="40" w:type="dxa"/>
              <w:right w:w="20" w:type="dxa"/>
            </w:tcMar>
            <w:vAlign w:val="bottom"/>
          </w:tcPr>
          <w:p w14:paraId="195021E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1EF"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1F0"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1F1" w14:textId="77777777" w:rsidR="00BF3A3A" w:rsidRDefault="00A76802">
            <w:pPr>
              <w:jc w:val="right"/>
              <w:textAlignment w:val="bottom"/>
            </w:pPr>
            <w:r>
              <w:rPr>
                <w:rFonts w:ascii="sans-serif" w:eastAsia="sans-serif" w:hAnsi="sans-serif" w:cs="sans-serif"/>
                <w:color w:val="000000"/>
                <w:sz w:val="20"/>
                <w:szCs w:val="20"/>
              </w:rPr>
              <w:t>2,374 </w:t>
            </w:r>
          </w:p>
        </w:tc>
        <w:tc>
          <w:tcPr>
            <w:tcW w:w="0" w:type="auto"/>
            <w:shd w:val="clear" w:color="auto" w:fill="E2EFD9"/>
            <w:tcMar>
              <w:top w:w="40" w:type="dxa"/>
              <w:left w:w="0" w:type="dxa"/>
              <w:bottom w:w="40" w:type="dxa"/>
              <w:right w:w="20" w:type="dxa"/>
            </w:tcMar>
            <w:vAlign w:val="bottom"/>
          </w:tcPr>
          <w:p w14:paraId="195021F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1F3"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1F4"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1F5" w14:textId="77777777" w:rsidR="00BF3A3A" w:rsidRDefault="00A76802">
            <w:pPr>
              <w:jc w:val="right"/>
              <w:textAlignment w:val="bottom"/>
            </w:pPr>
            <w:r>
              <w:rPr>
                <w:rFonts w:ascii="sans-serif" w:eastAsia="sans-serif" w:hAnsi="sans-serif" w:cs="sans-serif"/>
                <w:color w:val="000000"/>
                <w:sz w:val="20"/>
                <w:szCs w:val="20"/>
              </w:rPr>
              <w:t>2,274 </w:t>
            </w:r>
          </w:p>
        </w:tc>
        <w:tc>
          <w:tcPr>
            <w:tcW w:w="0" w:type="auto"/>
            <w:shd w:val="clear" w:color="auto" w:fill="E2EFD9"/>
            <w:tcMar>
              <w:top w:w="40" w:type="dxa"/>
              <w:left w:w="0" w:type="dxa"/>
              <w:bottom w:w="40" w:type="dxa"/>
              <w:right w:w="20" w:type="dxa"/>
            </w:tcMar>
            <w:vAlign w:val="bottom"/>
          </w:tcPr>
          <w:p w14:paraId="195021F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1F7"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1F8"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1F9" w14:textId="77777777" w:rsidR="00BF3A3A" w:rsidRDefault="00A76802">
            <w:pPr>
              <w:jc w:val="right"/>
              <w:textAlignment w:val="bottom"/>
            </w:pPr>
            <w:r>
              <w:rPr>
                <w:rFonts w:ascii="sans-serif" w:eastAsia="sans-serif" w:hAnsi="sans-serif" w:cs="sans-serif"/>
                <w:color w:val="000000"/>
                <w:sz w:val="20"/>
                <w:szCs w:val="20"/>
              </w:rPr>
              <w:t>4,285 </w:t>
            </w:r>
          </w:p>
        </w:tc>
        <w:tc>
          <w:tcPr>
            <w:tcW w:w="0" w:type="auto"/>
            <w:shd w:val="clear" w:color="auto" w:fill="E2EFD9"/>
            <w:tcMar>
              <w:top w:w="40" w:type="dxa"/>
              <w:left w:w="0" w:type="dxa"/>
              <w:bottom w:w="40" w:type="dxa"/>
              <w:right w:w="20" w:type="dxa"/>
            </w:tcMar>
            <w:vAlign w:val="bottom"/>
          </w:tcPr>
          <w:p w14:paraId="195021FA" w14:textId="77777777" w:rsidR="00BF3A3A" w:rsidRDefault="00BF3A3A">
            <w:pPr>
              <w:jc w:val="right"/>
              <w:rPr>
                <w:rFonts w:ascii="宋体"/>
              </w:rPr>
            </w:pPr>
          </w:p>
        </w:tc>
      </w:tr>
      <w:tr w:rsidR="00BF3A3A" w14:paraId="19502204" w14:textId="77777777">
        <w:trPr>
          <w:jc w:val="center"/>
        </w:trPr>
        <w:tc>
          <w:tcPr>
            <w:tcW w:w="0" w:type="auto"/>
            <w:gridSpan w:val="3"/>
            <w:shd w:val="clear" w:color="auto" w:fill="FFFFFF"/>
            <w:tcMar>
              <w:top w:w="40" w:type="dxa"/>
              <w:left w:w="20" w:type="dxa"/>
              <w:bottom w:w="40" w:type="dxa"/>
              <w:right w:w="20" w:type="dxa"/>
            </w:tcMar>
            <w:vAlign w:val="bottom"/>
          </w:tcPr>
          <w:p w14:paraId="195021FC" w14:textId="77777777" w:rsidR="00BF3A3A" w:rsidRDefault="00A76802">
            <w:pPr>
              <w:textAlignment w:val="bottom"/>
            </w:pPr>
            <w:r>
              <w:rPr>
                <w:rFonts w:ascii="sans-serif" w:eastAsia="sans-serif" w:hAnsi="sans-serif" w:cs="sans-serif"/>
                <w:color w:val="000000"/>
                <w:sz w:val="20"/>
                <w:szCs w:val="20"/>
              </w:rPr>
              <w:t>Other comprehensive loss, net of tax</w:t>
            </w:r>
          </w:p>
        </w:tc>
        <w:tc>
          <w:tcPr>
            <w:tcW w:w="0" w:type="auto"/>
            <w:gridSpan w:val="3"/>
            <w:shd w:val="clear" w:color="auto" w:fill="FFFFFF"/>
            <w:tcMar>
              <w:top w:w="0" w:type="dxa"/>
              <w:left w:w="20" w:type="dxa"/>
              <w:bottom w:w="0" w:type="dxa"/>
              <w:right w:w="20" w:type="dxa"/>
            </w:tcMar>
            <w:vAlign w:val="bottom"/>
          </w:tcPr>
          <w:p w14:paraId="195021FD"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1FE"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1FF"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200"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201"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202"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203" w14:textId="77777777" w:rsidR="00BF3A3A" w:rsidRDefault="00BF3A3A">
            <w:pPr>
              <w:rPr>
                <w:rFonts w:ascii="宋体"/>
              </w:rPr>
            </w:pPr>
          </w:p>
        </w:tc>
      </w:tr>
      <w:tr w:rsidR="00BF3A3A" w14:paraId="1950220D" w14:textId="77777777">
        <w:trPr>
          <w:jc w:val="center"/>
        </w:trPr>
        <w:tc>
          <w:tcPr>
            <w:tcW w:w="0" w:type="auto"/>
            <w:gridSpan w:val="3"/>
            <w:shd w:val="clear" w:color="auto" w:fill="E2EFD9"/>
            <w:tcMar>
              <w:top w:w="40" w:type="dxa"/>
              <w:left w:w="20" w:type="dxa"/>
              <w:bottom w:w="40" w:type="dxa"/>
              <w:right w:w="20" w:type="dxa"/>
            </w:tcMar>
            <w:vAlign w:val="bottom"/>
          </w:tcPr>
          <w:p w14:paraId="19502205" w14:textId="77777777" w:rsidR="00BF3A3A" w:rsidRDefault="00A76802">
            <w:pPr>
              <w:textAlignment w:val="bottom"/>
            </w:pPr>
            <w:r>
              <w:rPr>
                <w:rFonts w:ascii="sans-serif" w:eastAsia="sans-serif" w:hAnsi="sans-serif" w:cs="sans-serif"/>
                <w:color w:val="000000"/>
                <w:sz w:val="20"/>
                <w:szCs w:val="20"/>
              </w:rPr>
              <w:t>Available-for-sale securities:</w:t>
            </w:r>
          </w:p>
        </w:tc>
        <w:tc>
          <w:tcPr>
            <w:tcW w:w="0" w:type="auto"/>
            <w:gridSpan w:val="3"/>
            <w:shd w:val="clear" w:color="auto" w:fill="E2EFD9"/>
            <w:tcMar>
              <w:top w:w="0" w:type="dxa"/>
              <w:left w:w="20" w:type="dxa"/>
              <w:bottom w:w="0" w:type="dxa"/>
              <w:right w:w="20" w:type="dxa"/>
            </w:tcMar>
            <w:vAlign w:val="bottom"/>
          </w:tcPr>
          <w:p w14:paraId="19502206"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207"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208"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209"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20A"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20B"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20C" w14:textId="77777777" w:rsidR="00BF3A3A" w:rsidRDefault="00BF3A3A">
            <w:pPr>
              <w:rPr>
                <w:rFonts w:ascii="宋体"/>
              </w:rPr>
            </w:pPr>
          </w:p>
        </w:tc>
      </w:tr>
      <w:tr w:rsidR="00BF3A3A" w14:paraId="1950221A" w14:textId="77777777">
        <w:trPr>
          <w:jc w:val="center"/>
        </w:trPr>
        <w:tc>
          <w:tcPr>
            <w:tcW w:w="0" w:type="auto"/>
            <w:gridSpan w:val="3"/>
            <w:shd w:val="clear" w:color="auto" w:fill="FFFFFF"/>
            <w:tcMar>
              <w:top w:w="40" w:type="dxa"/>
              <w:left w:w="245" w:type="dxa"/>
              <w:bottom w:w="40" w:type="dxa"/>
              <w:right w:w="20" w:type="dxa"/>
            </w:tcMar>
            <w:vAlign w:val="bottom"/>
          </w:tcPr>
          <w:p w14:paraId="1950220E" w14:textId="77777777" w:rsidR="00BF3A3A" w:rsidRDefault="00A76802">
            <w:pPr>
              <w:textAlignment w:val="bottom"/>
            </w:pPr>
            <w:r>
              <w:rPr>
                <w:rFonts w:ascii="sans-serif" w:eastAsia="sans-serif" w:hAnsi="sans-serif" w:cs="sans-serif"/>
                <w:color w:val="000000"/>
                <w:sz w:val="20"/>
                <w:szCs w:val="20"/>
              </w:rPr>
              <w:t>Net change in unrealized loss</w:t>
            </w:r>
          </w:p>
        </w:tc>
        <w:tc>
          <w:tcPr>
            <w:tcW w:w="0" w:type="auto"/>
            <w:gridSpan w:val="2"/>
            <w:shd w:val="clear" w:color="auto" w:fill="FFFFFF"/>
            <w:tcMar>
              <w:top w:w="40" w:type="dxa"/>
              <w:left w:w="20" w:type="dxa"/>
              <w:bottom w:w="40" w:type="dxa"/>
              <w:right w:w="0" w:type="dxa"/>
            </w:tcMar>
            <w:vAlign w:val="bottom"/>
          </w:tcPr>
          <w:p w14:paraId="1950220F" w14:textId="77777777" w:rsidR="00BF3A3A" w:rsidRDefault="00A76802">
            <w:pPr>
              <w:jc w:val="right"/>
              <w:textAlignment w:val="bottom"/>
            </w:pPr>
            <w:r>
              <w:rPr>
                <w:rFonts w:ascii="sans-serif" w:eastAsia="sans-serif" w:hAnsi="sans-serif" w:cs="sans-serif"/>
                <w:color w:val="000000"/>
                <w:sz w:val="20"/>
                <w:szCs w:val="20"/>
              </w:rPr>
              <w:t>(12)</w:t>
            </w:r>
          </w:p>
        </w:tc>
        <w:tc>
          <w:tcPr>
            <w:tcW w:w="0" w:type="auto"/>
            <w:shd w:val="clear" w:color="auto" w:fill="FFFFFF"/>
            <w:tcMar>
              <w:top w:w="40" w:type="dxa"/>
              <w:left w:w="0" w:type="dxa"/>
              <w:bottom w:w="40" w:type="dxa"/>
              <w:right w:w="20" w:type="dxa"/>
            </w:tcMar>
            <w:vAlign w:val="bottom"/>
          </w:tcPr>
          <w:p w14:paraId="1950221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211"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212"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221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214"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215" w14:textId="77777777" w:rsidR="00BF3A3A" w:rsidRDefault="00A76802">
            <w:pPr>
              <w:jc w:val="right"/>
              <w:textAlignment w:val="bottom"/>
            </w:pPr>
            <w:r>
              <w:rPr>
                <w:rFonts w:ascii="sans-serif" w:eastAsia="sans-serif" w:hAnsi="sans-serif" w:cs="sans-serif"/>
                <w:color w:val="000000"/>
                <w:sz w:val="20"/>
                <w:szCs w:val="20"/>
              </w:rPr>
              <w:t>(35)</w:t>
            </w:r>
          </w:p>
        </w:tc>
        <w:tc>
          <w:tcPr>
            <w:tcW w:w="0" w:type="auto"/>
            <w:shd w:val="clear" w:color="auto" w:fill="FFFFFF"/>
            <w:tcMar>
              <w:top w:w="40" w:type="dxa"/>
              <w:left w:w="0" w:type="dxa"/>
              <w:bottom w:w="40" w:type="dxa"/>
              <w:right w:w="20" w:type="dxa"/>
            </w:tcMar>
            <w:vAlign w:val="bottom"/>
          </w:tcPr>
          <w:p w14:paraId="1950221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217"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218" w14:textId="77777777" w:rsidR="00BF3A3A" w:rsidRDefault="00A76802">
            <w:pPr>
              <w:jc w:val="right"/>
              <w:textAlignment w:val="bottom"/>
            </w:pPr>
            <w:r>
              <w:rPr>
                <w:rFonts w:ascii="sans-serif" w:eastAsia="sans-serif" w:hAnsi="sans-serif" w:cs="sans-serif"/>
                <w:color w:val="000000"/>
                <w:sz w:val="20"/>
                <w:szCs w:val="20"/>
              </w:rPr>
              <w:t>(1)</w:t>
            </w:r>
          </w:p>
        </w:tc>
        <w:tc>
          <w:tcPr>
            <w:tcW w:w="0" w:type="auto"/>
            <w:shd w:val="clear" w:color="auto" w:fill="FFFFFF"/>
            <w:tcMar>
              <w:top w:w="40" w:type="dxa"/>
              <w:left w:w="0" w:type="dxa"/>
              <w:bottom w:w="40" w:type="dxa"/>
              <w:right w:w="20" w:type="dxa"/>
            </w:tcMar>
            <w:vAlign w:val="bottom"/>
          </w:tcPr>
          <w:p w14:paraId="19502219" w14:textId="77777777" w:rsidR="00BF3A3A" w:rsidRDefault="00BF3A3A">
            <w:pPr>
              <w:jc w:val="right"/>
              <w:rPr>
                <w:rFonts w:ascii="宋体"/>
              </w:rPr>
            </w:pPr>
          </w:p>
        </w:tc>
      </w:tr>
      <w:tr w:rsidR="00BF3A3A" w14:paraId="19502227" w14:textId="77777777">
        <w:trPr>
          <w:jc w:val="center"/>
        </w:trPr>
        <w:tc>
          <w:tcPr>
            <w:tcW w:w="0" w:type="auto"/>
            <w:gridSpan w:val="3"/>
            <w:shd w:val="clear" w:color="auto" w:fill="E2EFD9"/>
            <w:tcMar>
              <w:top w:w="40" w:type="dxa"/>
              <w:left w:w="245" w:type="dxa"/>
              <w:bottom w:w="40" w:type="dxa"/>
              <w:right w:w="20" w:type="dxa"/>
            </w:tcMar>
            <w:vAlign w:val="bottom"/>
          </w:tcPr>
          <w:p w14:paraId="1950221B" w14:textId="77777777" w:rsidR="00BF3A3A" w:rsidRDefault="00A76802">
            <w:pPr>
              <w:textAlignment w:val="bottom"/>
            </w:pPr>
            <w:r>
              <w:rPr>
                <w:rFonts w:ascii="sans-serif" w:eastAsia="sans-serif" w:hAnsi="sans-serif" w:cs="sans-serif"/>
                <w:color w:val="000000"/>
                <w:sz w:val="20"/>
                <w:szCs w:val="20"/>
              </w:rPr>
              <w:t>Reclassification adjustments for net realized gain included in net income</w:t>
            </w:r>
          </w:p>
        </w:tc>
        <w:tc>
          <w:tcPr>
            <w:tcW w:w="0" w:type="auto"/>
            <w:gridSpan w:val="2"/>
            <w:shd w:val="clear" w:color="auto" w:fill="E2EFD9"/>
            <w:tcMar>
              <w:top w:w="40" w:type="dxa"/>
              <w:left w:w="20" w:type="dxa"/>
              <w:bottom w:w="40" w:type="dxa"/>
              <w:right w:w="0" w:type="dxa"/>
            </w:tcMar>
            <w:vAlign w:val="bottom"/>
          </w:tcPr>
          <w:p w14:paraId="1950221C" w14:textId="77777777" w:rsidR="00BF3A3A" w:rsidRDefault="00A76802">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left w:w="0" w:type="dxa"/>
              <w:bottom w:w="40" w:type="dxa"/>
              <w:right w:w="20" w:type="dxa"/>
            </w:tcMar>
            <w:vAlign w:val="bottom"/>
          </w:tcPr>
          <w:p w14:paraId="1950221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21E"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21F"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222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221"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222" w14:textId="77777777" w:rsidR="00BF3A3A" w:rsidRDefault="00A76802">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left w:w="0" w:type="dxa"/>
              <w:bottom w:w="40" w:type="dxa"/>
              <w:right w:w="20" w:type="dxa"/>
            </w:tcMar>
            <w:vAlign w:val="bottom"/>
          </w:tcPr>
          <w:p w14:paraId="1950222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224"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225"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2226" w14:textId="77777777" w:rsidR="00BF3A3A" w:rsidRDefault="00BF3A3A">
            <w:pPr>
              <w:jc w:val="right"/>
              <w:rPr>
                <w:rFonts w:ascii="宋体"/>
              </w:rPr>
            </w:pPr>
          </w:p>
        </w:tc>
      </w:tr>
      <w:tr w:rsidR="00BF3A3A" w14:paraId="19502234" w14:textId="77777777">
        <w:trPr>
          <w:jc w:val="center"/>
        </w:trPr>
        <w:tc>
          <w:tcPr>
            <w:tcW w:w="0" w:type="auto"/>
            <w:gridSpan w:val="3"/>
            <w:shd w:val="clear" w:color="auto" w:fill="FFFFFF"/>
            <w:tcMar>
              <w:top w:w="40" w:type="dxa"/>
              <w:left w:w="245" w:type="dxa"/>
              <w:bottom w:w="40" w:type="dxa"/>
              <w:right w:w="20" w:type="dxa"/>
            </w:tcMar>
            <w:vAlign w:val="bottom"/>
          </w:tcPr>
          <w:p w14:paraId="19502228" w14:textId="77777777" w:rsidR="00BF3A3A" w:rsidRDefault="00A76802">
            <w:pPr>
              <w:textAlignment w:val="bottom"/>
            </w:pPr>
            <w:r>
              <w:rPr>
                <w:rFonts w:ascii="sans-serif" w:eastAsia="sans-serif" w:hAnsi="sans-serif" w:cs="sans-serif"/>
                <w:color w:val="000000"/>
                <w:sz w:val="20"/>
                <w:szCs w:val="20"/>
              </w:rPr>
              <w:t>Net change in unrealized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229" w14:textId="77777777" w:rsidR="00BF3A3A" w:rsidRDefault="00A76802">
            <w:pPr>
              <w:jc w:val="right"/>
              <w:textAlignment w:val="bottom"/>
            </w:pPr>
            <w:r>
              <w:rPr>
                <w:rFonts w:ascii="sans-serif" w:eastAsia="sans-serif" w:hAnsi="sans-serif" w:cs="sans-serif"/>
                <w:color w:val="000000"/>
                <w:sz w:val="20"/>
                <w:szCs w:val="20"/>
              </w:rPr>
              <w:t>(11)</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22A"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22B"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22C" w14:textId="77777777" w:rsidR="00BF3A3A" w:rsidRDefault="00A76802">
            <w:pPr>
              <w:jc w:val="right"/>
              <w:textAlignment w:val="bottom"/>
            </w:pPr>
            <w:r>
              <w:rPr>
                <w:rFonts w:ascii="sans-serif" w:eastAsia="sans-serif" w:hAnsi="sans-serif" w:cs="sans-serif"/>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22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22E"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22F" w14:textId="77777777" w:rsidR="00BF3A3A" w:rsidRDefault="00A76802">
            <w:pPr>
              <w:jc w:val="right"/>
              <w:textAlignment w:val="bottom"/>
            </w:pPr>
            <w:r>
              <w:rPr>
                <w:rFonts w:ascii="sans-serif" w:eastAsia="sans-serif" w:hAnsi="sans-serif" w:cs="sans-serif"/>
                <w:color w:val="000000"/>
                <w:sz w:val="20"/>
                <w:szCs w:val="20"/>
              </w:rPr>
              <w:t>(34)</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23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231"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232" w14:textId="77777777" w:rsidR="00BF3A3A" w:rsidRDefault="00A76802">
            <w:pPr>
              <w:jc w:val="right"/>
              <w:textAlignment w:val="bottom"/>
            </w:pPr>
            <w:r>
              <w:rPr>
                <w:rFonts w:ascii="sans-serif" w:eastAsia="sans-serif" w:hAnsi="sans-serif" w:cs="sans-serif"/>
                <w:color w:val="000000"/>
                <w:sz w:val="20"/>
                <w:szCs w:val="20"/>
              </w:rPr>
              <w:t>(1)</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233" w14:textId="77777777" w:rsidR="00BF3A3A" w:rsidRDefault="00BF3A3A">
            <w:pPr>
              <w:jc w:val="right"/>
              <w:rPr>
                <w:rFonts w:ascii="宋体"/>
              </w:rPr>
            </w:pPr>
          </w:p>
        </w:tc>
      </w:tr>
      <w:tr w:rsidR="00BF3A3A" w14:paraId="1950223D" w14:textId="77777777">
        <w:trPr>
          <w:jc w:val="center"/>
        </w:trPr>
        <w:tc>
          <w:tcPr>
            <w:tcW w:w="0" w:type="auto"/>
            <w:gridSpan w:val="3"/>
            <w:shd w:val="clear" w:color="auto" w:fill="E2EFD9"/>
            <w:tcMar>
              <w:top w:w="40" w:type="dxa"/>
              <w:left w:w="20" w:type="dxa"/>
              <w:bottom w:w="40" w:type="dxa"/>
              <w:right w:w="20" w:type="dxa"/>
            </w:tcMar>
            <w:vAlign w:val="bottom"/>
          </w:tcPr>
          <w:p w14:paraId="19502235" w14:textId="77777777" w:rsidR="00BF3A3A" w:rsidRDefault="00A76802">
            <w:pPr>
              <w:textAlignment w:val="bottom"/>
            </w:pPr>
            <w:r>
              <w:rPr>
                <w:rFonts w:ascii="sans-serif" w:eastAsia="sans-serif" w:hAnsi="sans-serif" w:cs="sans-serif"/>
                <w:color w:val="000000"/>
                <w:sz w:val="20"/>
                <w:szCs w:val="20"/>
              </w:rPr>
              <w:t>Cash flow hedges:</w:t>
            </w: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19502236"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237" w14:textId="77777777" w:rsidR="00BF3A3A" w:rsidRDefault="00BF3A3A">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19502238"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239" w14:textId="77777777" w:rsidR="00BF3A3A" w:rsidRDefault="00BF3A3A">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1950223A"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23B" w14:textId="77777777" w:rsidR="00BF3A3A" w:rsidRDefault="00BF3A3A">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1950223C" w14:textId="77777777" w:rsidR="00BF3A3A" w:rsidRDefault="00BF3A3A">
            <w:pPr>
              <w:rPr>
                <w:rFonts w:ascii="宋体"/>
              </w:rPr>
            </w:pPr>
          </w:p>
        </w:tc>
      </w:tr>
      <w:tr w:rsidR="00BF3A3A" w14:paraId="1950224A" w14:textId="77777777">
        <w:trPr>
          <w:jc w:val="center"/>
        </w:trPr>
        <w:tc>
          <w:tcPr>
            <w:tcW w:w="0" w:type="auto"/>
            <w:gridSpan w:val="3"/>
            <w:shd w:val="clear" w:color="auto" w:fill="FFFFFF"/>
            <w:tcMar>
              <w:top w:w="40" w:type="dxa"/>
              <w:left w:w="245" w:type="dxa"/>
              <w:bottom w:w="40" w:type="dxa"/>
              <w:right w:w="20" w:type="dxa"/>
            </w:tcMar>
            <w:vAlign w:val="bottom"/>
          </w:tcPr>
          <w:p w14:paraId="1950223E" w14:textId="77777777" w:rsidR="00BF3A3A" w:rsidRDefault="00A76802">
            <w:pPr>
              <w:textAlignment w:val="bottom"/>
            </w:pPr>
            <w:r>
              <w:rPr>
                <w:rFonts w:ascii="sans-serif" w:eastAsia="sans-serif" w:hAnsi="sans-serif" w:cs="sans-serif"/>
                <w:color w:val="000000"/>
                <w:sz w:val="20"/>
                <w:szCs w:val="20"/>
              </w:rPr>
              <w:t>Net unrealized loss</w:t>
            </w:r>
          </w:p>
        </w:tc>
        <w:tc>
          <w:tcPr>
            <w:tcW w:w="0" w:type="auto"/>
            <w:gridSpan w:val="2"/>
            <w:shd w:val="clear" w:color="auto" w:fill="FFFFFF"/>
            <w:tcMar>
              <w:top w:w="40" w:type="dxa"/>
              <w:left w:w="20" w:type="dxa"/>
              <w:bottom w:w="40" w:type="dxa"/>
              <w:right w:w="0" w:type="dxa"/>
            </w:tcMar>
            <w:vAlign w:val="bottom"/>
          </w:tcPr>
          <w:p w14:paraId="1950223F" w14:textId="77777777" w:rsidR="00BF3A3A" w:rsidRDefault="00A76802">
            <w:pPr>
              <w:jc w:val="right"/>
              <w:textAlignment w:val="bottom"/>
            </w:pPr>
            <w:r>
              <w:rPr>
                <w:rFonts w:ascii="sans-serif" w:eastAsia="sans-serif" w:hAnsi="sans-serif" w:cs="sans-serif"/>
                <w:color w:val="000000"/>
                <w:sz w:val="20"/>
                <w:szCs w:val="20"/>
              </w:rPr>
              <w:t>(2)</w:t>
            </w:r>
          </w:p>
        </w:tc>
        <w:tc>
          <w:tcPr>
            <w:tcW w:w="0" w:type="auto"/>
            <w:shd w:val="clear" w:color="auto" w:fill="FFFFFF"/>
            <w:tcMar>
              <w:top w:w="40" w:type="dxa"/>
              <w:left w:w="0" w:type="dxa"/>
              <w:bottom w:w="40" w:type="dxa"/>
              <w:right w:w="20" w:type="dxa"/>
            </w:tcMar>
            <w:vAlign w:val="bottom"/>
          </w:tcPr>
          <w:p w14:paraId="1950224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241"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242" w14:textId="77777777" w:rsidR="00BF3A3A" w:rsidRDefault="00A76802">
            <w:pPr>
              <w:jc w:val="right"/>
              <w:textAlignment w:val="bottom"/>
            </w:pPr>
            <w:r>
              <w:rPr>
                <w:rFonts w:ascii="sans-serif" w:eastAsia="sans-serif" w:hAnsi="sans-serif" w:cs="sans-serif"/>
                <w:color w:val="000000"/>
                <w:sz w:val="20"/>
                <w:szCs w:val="20"/>
              </w:rPr>
              <w:t>(14)</w:t>
            </w:r>
          </w:p>
        </w:tc>
        <w:tc>
          <w:tcPr>
            <w:tcW w:w="0" w:type="auto"/>
            <w:shd w:val="clear" w:color="auto" w:fill="FFFFFF"/>
            <w:tcMar>
              <w:top w:w="40" w:type="dxa"/>
              <w:left w:w="0" w:type="dxa"/>
              <w:bottom w:w="40" w:type="dxa"/>
              <w:right w:w="20" w:type="dxa"/>
            </w:tcMar>
            <w:vAlign w:val="bottom"/>
          </w:tcPr>
          <w:p w14:paraId="1950224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244"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245" w14:textId="77777777" w:rsidR="00BF3A3A" w:rsidRDefault="00A76802">
            <w:pPr>
              <w:jc w:val="right"/>
              <w:textAlignment w:val="bottom"/>
            </w:pPr>
            <w:r>
              <w:rPr>
                <w:rFonts w:ascii="sans-serif" w:eastAsia="sans-serif" w:hAnsi="sans-serif" w:cs="sans-serif"/>
                <w:color w:val="000000"/>
                <w:sz w:val="20"/>
                <w:szCs w:val="20"/>
              </w:rPr>
              <w:t>(30)</w:t>
            </w:r>
          </w:p>
        </w:tc>
        <w:tc>
          <w:tcPr>
            <w:tcW w:w="0" w:type="auto"/>
            <w:shd w:val="clear" w:color="auto" w:fill="FFFFFF"/>
            <w:tcMar>
              <w:top w:w="40" w:type="dxa"/>
              <w:left w:w="0" w:type="dxa"/>
              <w:bottom w:w="40" w:type="dxa"/>
              <w:right w:w="20" w:type="dxa"/>
            </w:tcMar>
            <w:vAlign w:val="bottom"/>
          </w:tcPr>
          <w:p w14:paraId="1950224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247"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248" w14:textId="77777777" w:rsidR="00BF3A3A" w:rsidRDefault="00A76802">
            <w:pPr>
              <w:jc w:val="right"/>
              <w:textAlignment w:val="bottom"/>
            </w:pPr>
            <w:r>
              <w:rPr>
                <w:rFonts w:ascii="sans-serif" w:eastAsia="sans-serif" w:hAnsi="sans-serif" w:cs="sans-serif"/>
                <w:color w:val="000000"/>
                <w:sz w:val="20"/>
                <w:szCs w:val="20"/>
              </w:rPr>
              <w:t>(27)</w:t>
            </w:r>
          </w:p>
        </w:tc>
        <w:tc>
          <w:tcPr>
            <w:tcW w:w="0" w:type="auto"/>
            <w:shd w:val="clear" w:color="auto" w:fill="FFFFFF"/>
            <w:tcMar>
              <w:top w:w="40" w:type="dxa"/>
              <w:left w:w="0" w:type="dxa"/>
              <w:bottom w:w="40" w:type="dxa"/>
              <w:right w:w="20" w:type="dxa"/>
            </w:tcMar>
            <w:vAlign w:val="bottom"/>
          </w:tcPr>
          <w:p w14:paraId="19502249" w14:textId="77777777" w:rsidR="00BF3A3A" w:rsidRDefault="00BF3A3A">
            <w:pPr>
              <w:jc w:val="right"/>
              <w:rPr>
                <w:rFonts w:ascii="宋体"/>
              </w:rPr>
            </w:pPr>
          </w:p>
        </w:tc>
      </w:tr>
      <w:tr w:rsidR="00BF3A3A" w14:paraId="19502257" w14:textId="77777777">
        <w:trPr>
          <w:jc w:val="center"/>
        </w:trPr>
        <w:tc>
          <w:tcPr>
            <w:tcW w:w="0" w:type="auto"/>
            <w:gridSpan w:val="3"/>
            <w:shd w:val="clear" w:color="auto" w:fill="E2EFD9"/>
            <w:tcMar>
              <w:top w:w="40" w:type="dxa"/>
              <w:left w:w="245" w:type="dxa"/>
              <w:bottom w:w="40" w:type="dxa"/>
              <w:right w:w="20" w:type="dxa"/>
            </w:tcMar>
            <w:vAlign w:val="bottom"/>
          </w:tcPr>
          <w:p w14:paraId="1950224B" w14:textId="77777777" w:rsidR="00BF3A3A" w:rsidRDefault="00A76802">
            <w:pPr>
              <w:textAlignment w:val="bottom"/>
            </w:pPr>
            <w:r>
              <w:rPr>
                <w:rFonts w:ascii="sans-serif" w:eastAsia="sans-serif" w:hAnsi="sans-serif" w:cs="sans-serif"/>
                <w:color w:val="000000"/>
                <w:sz w:val="20"/>
                <w:szCs w:val="20"/>
              </w:rPr>
              <w:t>Reclassification adjustments for net realized gain (loss) included in net income</w:t>
            </w:r>
          </w:p>
        </w:tc>
        <w:tc>
          <w:tcPr>
            <w:tcW w:w="0" w:type="auto"/>
            <w:gridSpan w:val="2"/>
            <w:shd w:val="clear" w:color="auto" w:fill="E2EFD9"/>
            <w:tcMar>
              <w:top w:w="40" w:type="dxa"/>
              <w:left w:w="20" w:type="dxa"/>
              <w:bottom w:w="40" w:type="dxa"/>
              <w:right w:w="0" w:type="dxa"/>
            </w:tcMar>
            <w:vAlign w:val="bottom"/>
          </w:tcPr>
          <w:p w14:paraId="1950224C" w14:textId="77777777" w:rsidR="00BF3A3A" w:rsidRDefault="00A76802">
            <w:pPr>
              <w:jc w:val="right"/>
              <w:textAlignment w:val="bottom"/>
            </w:pPr>
            <w:r>
              <w:rPr>
                <w:rFonts w:ascii="sans-serif" w:eastAsia="sans-serif" w:hAnsi="sans-serif" w:cs="sans-serif"/>
                <w:color w:val="000000"/>
                <w:sz w:val="20"/>
                <w:szCs w:val="20"/>
              </w:rPr>
              <w:t>(13)</w:t>
            </w:r>
          </w:p>
        </w:tc>
        <w:tc>
          <w:tcPr>
            <w:tcW w:w="0" w:type="auto"/>
            <w:shd w:val="clear" w:color="auto" w:fill="E2EFD9"/>
            <w:tcMar>
              <w:top w:w="40" w:type="dxa"/>
              <w:left w:w="0" w:type="dxa"/>
              <w:bottom w:w="40" w:type="dxa"/>
              <w:right w:w="20" w:type="dxa"/>
            </w:tcMar>
            <w:vAlign w:val="bottom"/>
          </w:tcPr>
          <w:p w14:paraId="1950224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24E"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24F" w14:textId="77777777" w:rsidR="00BF3A3A" w:rsidRDefault="00A76802">
            <w:pPr>
              <w:jc w:val="right"/>
              <w:textAlignment w:val="bottom"/>
            </w:pPr>
            <w:r>
              <w:rPr>
                <w:rFonts w:ascii="sans-serif" w:eastAsia="sans-serif" w:hAnsi="sans-serif" w:cs="sans-serif"/>
                <w:color w:val="000000"/>
                <w:sz w:val="20"/>
                <w:szCs w:val="20"/>
              </w:rPr>
              <w:t>8 </w:t>
            </w:r>
          </w:p>
        </w:tc>
        <w:tc>
          <w:tcPr>
            <w:tcW w:w="0" w:type="auto"/>
            <w:shd w:val="clear" w:color="auto" w:fill="E2EFD9"/>
            <w:tcMar>
              <w:top w:w="40" w:type="dxa"/>
              <w:left w:w="0" w:type="dxa"/>
              <w:bottom w:w="40" w:type="dxa"/>
              <w:right w:w="20" w:type="dxa"/>
            </w:tcMar>
            <w:vAlign w:val="bottom"/>
          </w:tcPr>
          <w:p w14:paraId="1950225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251"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252" w14:textId="77777777" w:rsidR="00BF3A3A" w:rsidRDefault="00A76802">
            <w:pPr>
              <w:jc w:val="right"/>
              <w:textAlignment w:val="bottom"/>
            </w:pPr>
            <w:r>
              <w:rPr>
                <w:rFonts w:ascii="sans-serif" w:eastAsia="sans-serif" w:hAnsi="sans-serif" w:cs="sans-serif"/>
                <w:color w:val="000000"/>
                <w:sz w:val="20"/>
                <w:szCs w:val="20"/>
              </w:rPr>
              <w:t>(15)</w:t>
            </w:r>
          </w:p>
        </w:tc>
        <w:tc>
          <w:tcPr>
            <w:tcW w:w="0" w:type="auto"/>
            <w:shd w:val="clear" w:color="auto" w:fill="E2EFD9"/>
            <w:tcMar>
              <w:top w:w="40" w:type="dxa"/>
              <w:left w:w="0" w:type="dxa"/>
              <w:bottom w:w="40" w:type="dxa"/>
              <w:right w:w="20" w:type="dxa"/>
            </w:tcMar>
            <w:vAlign w:val="bottom"/>
          </w:tcPr>
          <w:p w14:paraId="1950225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254"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255" w14:textId="77777777" w:rsidR="00BF3A3A" w:rsidRDefault="00A76802">
            <w:pPr>
              <w:jc w:val="right"/>
              <w:textAlignment w:val="bottom"/>
            </w:pPr>
            <w:r>
              <w:rPr>
                <w:rFonts w:ascii="sans-serif" w:eastAsia="sans-serif" w:hAnsi="sans-serif" w:cs="sans-serif"/>
                <w:color w:val="000000"/>
                <w:sz w:val="20"/>
                <w:szCs w:val="20"/>
              </w:rPr>
              <w:t>17 </w:t>
            </w:r>
          </w:p>
        </w:tc>
        <w:tc>
          <w:tcPr>
            <w:tcW w:w="0" w:type="auto"/>
            <w:shd w:val="clear" w:color="auto" w:fill="E2EFD9"/>
            <w:tcMar>
              <w:top w:w="40" w:type="dxa"/>
              <w:left w:w="0" w:type="dxa"/>
              <w:bottom w:w="40" w:type="dxa"/>
              <w:right w:w="20" w:type="dxa"/>
            </w:tcMar>
            <w:vAlign w:val="bottom"/>
          </w:tcPr>
          <w:p w14:paraId="19502256" w14:textId="77777777" w:rsidR="00BF3A3A" w:rsidRDefault="00BF3A3A">
            <w:pPr>
              <w:jc w:val="right"/>
              <w:rPr>
                <w:rFonts w:ascii="宋体"/>
              </w:rPr>
            </w:pPr>
          </w:p>
        </w:tc>
      </w:tr>
      <w:tr w:rsidR="00BF3A3A" w14:paraId="19502264" w14:textId="77777777">
        <w:trPr>
          <w:jc w:val="center"/>
        </w:trPr>
        <w:tc>
          <w:tcPr>
            <w:tcW w:w="0" w:type="auto"/>
            <w:gridSpan w:val="3"/>
            <w:shd w:val="clear" w:color="auto" w:fill="FFFFFF"/>
            <w:tcMar>
              <w:top w:w="40" w:type="dxa"/>
              <w:left w:w="245" w:type="dxa"/>
              <w:bottom w:w="40" w:type="dxa"/>
              <w:right w:w="20" w:type="dxa"/>
            </w:tcMar>
            <w:vAlign w:val="bottom"/>
          </w:tcPr>
          <w:p w14:paraId="19502258" w14:textId="77777777" w:rsidR="00BF3A3A" w:rsidRDefault="00A76802">
            <w:pPr>
              <w:textAlignment w:val="bottom"/>
            </w:pPr>
            <w:r>
              <w:rPr>
                <w:rFonts w:ascii="sans-serif" w:eastAsia="sans-serif" w:hAnsi="sans-serif" w:cs="sans-serif"/>
                <w:color w:val="000000"/>
                <w:sz w:val="20"/>
                <w:szCs w:val="20"/>
              </w:rPr>
              <w:t>Net change in unrealized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259" w14:textId="77777777" w:rsidR="00BF3A3A" w:rsidRDefault="00A76802">
            <w:pPr>
              <w:jc w:val="right"/>
              <w:textAlignment w:val="bottom"/>
            </w:pPr>
            <w:r>
              <w:rPr>
                <w:rFonts w:ascii="sans-serif" w:eastAsia="sans-serif" w:hAnsi="sans-serif" w:cs="sans-serif"/>
                <w:color w:val="000000"/>
                <w:sz w:val="20"/>
                <w:szCs w:val="20"/>
              </w:rPr>
              <w:t>(15)</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25A"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25B"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25C" w14:textId="77777777" w:rsidR="00BF3A3A" w:rsidRDefault="00A76802">
            <w:pPr>
              <w:jc w:val="right"/>
              <w:textAlignment w:val="bottom"/>
            </w:pPr>
            <w:r>
              <w:rPr>
                <w:rFonts w:ascii="sans-serif" w:eastAsia="sans-serif" w:hAnsi="sans-serif" w:cs="sans-serif"/>
                <w:color w:val="000000"/>
                <w:sz w:val="20"/>
                <w:szCs w:val="20"/>
              </w:rPr>
              <w:t>(6)</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25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25E"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25F" w14:textId="77777777" w:rsidR="00BF3A3A" w:rsidRDefault="00A76802">
            <w:pPr>
              <w:jc w:val="right"/>
              <w:textAlignment w:val="bottom"/>
            </w:pPr>
            <w:r>
              <w:rPr>
                <w:rFonts w:ascii="sans-serif" w:eastAsia="sans-serif" w:hAnsi="sans-serif" w:cs="sans-serif"/>
                <w:color w:val="000000"/>
                <w:sz w:val="20"/>
                <w:szCs w:val="20"/>
              </w:rPr>
              <w:t>(45)</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26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261"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262" w14:textId="77777777" w:rsidR="00BF3A3A" w:rsidRDefault="00A76802">
            <w:pPr>
              <w:jc w:val="right"/>
              <w:textAlignment w:val="bottom"/>
            </w:pPr>
            <w:r>
              <w:rPr>
                <w:rFonts w:ascii="sans-serif" w:eastAsia="sans-serif" w:hAnsi="sans-serif" w:cs="sans-serif"/>
                <w:color w:val="000000"/>
                <w:sz w:val="20"/>
                <w:szCs w:val="20"/>
              </w:rPr>
              <w:t>(10)</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263" w14:textId="77777777" w:rsidR="00BF3A3A" w:rsidRDefault="00BF3A3A">
            <w:pPr>
              <w:jc w:val="right"/>
              <w:rPr>
                <w:rFonts w:ascii="宋体"/>
              </w:rPr>
            </w:pPr>
          </w:p>
        </w:tc>
      </w:tr>
      <w:tr w:rsidR="00BF3A3A" w14:paraId="19502271" w14:textId="77777777">
        <w:trPr>
          <w:jc w:val="center"/>
        </w:trPr>
        <w:tc>
          <w:tcPr>
            <w:tcW w:w="0" w:type="auto"/>
            <w:gridSpan w:val="3"/>
            <w:shd w:val="clear" w:color="auto" w:fill="E2EFD9"/>
            <w:tcMar>
              <w:top w:w="40" w:type="dxa"/>
              <w:left w:w="20" w:type="dxa"/>
              <w:bottom w:w="40" w:type="dxa"/>
              <w:right w:w="20" w:type="dxa"/>
            </w:tcMar>
            <w:vAlign w:val="bottom"/>
          </w:tcPr>
          <w:p w14:paraId="19502265" w14:textId="77777777" w:rsidR="00BF3A3A" w:rsidRDefault="00A76802">
            <w:pPr>
              <w:textAlignment w:val="bottom"/>
            </w:pPr>
            <w:r>
              <w:rPr>
                <w:rFonts w:ascii="sans-serif" w:eastAsia="sans-serif" w:hAnsi="sans-serif" w:cs="sans-serif"/>
                <w:color w:val="000000"/>
                <w:sz w:val="20"/>
                <w:szCs w:val="20"/>
              </w:rPr>
              <w:t>Other comprehensive loss, net of tax</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266" w14:textId="77777777" w:rsidR="00BF3A3A" w:rsidRDefault="00A76802">
            <w:pPr>
              <w:jc w:val="right"/>
              <w:textAlignment w:val="bottom"/>
            </w:pPr>
            <w:r>
              <w:rPr>
                <w:rFonts w:ascii="sans-serif" w:eastAsia="sans-serif" w:hAnsi="sans-serif" w:cs="sans-serif"/>
                <w:color w:val="000000"/>
                <w:sz w:val="20"/>
                <w:szCs w:val="20"/>
              </w:rPr>
              <w:t>(26)</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26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268"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269" w14:textId="77777777" w:rsidR="00BF3A3A" w:rsidRDefault="00A76802">
            <w:pPr>
              <w:jc w:val="right"/>
              <w:textAlignment w:val="bottom"/>
            </w:pPr>
            <w:r>
              <w:rPr>
                <w:rFonts w:ascii="sans-serif" w:eastAsia="sans-serif" w:hAnsi="sans-serif" w:cs="sans-serif"/>
                <w:color w:val="000000"/>
                <w:sz w:val="20"/>
                <w:szCs w:val="20"/>
              </w:rPr>
              <w:t>(6)</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26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26B"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26C" w14:textId="77777777" w:rsidR="00BF3A3A" w:rsidRDefault="00A76802">
            <w:pPr>
              <w:jc w:val="right"/>
              <w:textAlignment w:val="bottom"/>
            </w:pPr>
            <w:r>
              <w:rPr>
                <w:rFonts w:ascii="sans-serif" w:eastAsia="sans-serif" w:hAnsi="sans-serif" w:cs="sans-serif"/>
                <w:color w:val="000000"/>
                <w:sz w:val="20"/>
                <w:szCs w:val="20"/>
              </w:rPr>
              <w:t>(79)</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26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26E"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26F" w14:textId="77777777" w:rsidR="00BF3A3A" w:rsidRDefault="00A76802">
            <w:pPr>
              <w:jc w:val="right"/>
              <w:textAlignment w:val="bottom"/>
            </w:pPr>
            <w:r>
              <w:rPr>
                <w:rFonts w:ascii="sans-serif" w:eastAsia="sans-serif" w:hAnsi="sans-serif" w:cs="sans-serif"/>
                <w:color w:val="000000"/>
                <w:sz w:val="20"/>
                <w:szCs w:val="20"/>
              </w:rPr>
              <w:t>(11)</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270" w14:textId="77777777" w:rsidR="00BF3A3A" w:rsidRDefault="00BF3A3A">
            <w:pPr>
              <w:jc w:val="right"/>
              <w:rPr>
                <w:rFonts w:ascii="宋体"/>
              </w:rPr>
            </w:pPr>
          </w:p>
        </w:tc>
      </w:tr>
      <w:tr w:rsidR="00BF3A3A" w14:paraId="19502282" w14:textId="77777777">
        <w:trPr>
          <w:jc w:val="center"/>
        </w:trPr>
        <w:tc>
          <w:tcPr>
            <w:tcW w:w="0" w:type="auto"/>
            <w:gridSpan w:val="3"/>
            <w:shd w:val="clear" w:color="auto" w:fill="FFFFFF"/>
            <w:tcMar>
              <w:top w:w="40" w:type="dxa"/>
              <w:left w:w="20" w:type="dxa"/>
              <w:bottom w:w="40" w:type="dxa"/>
              <w:right w:w="20" w:type="dxa"/>
            </w:tcMar>
            <w:vAlign w:val="bottom"/>
          </w:tcPr>
          <w:p w14:paraId="19502272" w14:textId="77777777" w:rsidR="00BF3A3A" w:rsidRDefault="00A76802">
            <w:pPr>
              <w:textAlignment w:val="bottom"/>
            </w:pPr>
            <w:r>
              <w:rPr>
                <w:rFonts w:ascii="sans-serif" w:eastAsia="sans-serif" w:hAnsi="sans-serif" w:cs="sans-serif"/>
                <w:color w:val="000000"/>
                <w:sz w:val="20"/>
                <w:szCs w:val="20"/>
              </w:rPr>
              <w:t>Total comprehensive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2273"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2274" w14:textId="77777777" w:rsidR="00BF3A3A" w:rsidRDefault="00A76802">
            <w:pPr>
              <w:jc w:val="right"/>
              <w:textAlignment w:val="bottom"/>
            </w:pPr>
            <w:r>
              <w:rPr>
                <w:rFonts w:ascii="sans-serif" w:eastAsia="sans-serif" w:hAnsi="sans-serif" w:cs="sans-serif"/>
                <w:color w:val="000000"/>
                <w:sz w:val="20"/>
                <w:szCs w:val="20"/>
              </w:rPr>
              <w:t>630 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2275"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276"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2277"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2278" w14:textId="77777777" w:rsidR="00BF3A3A" w:rsidRDefault="00A76802">
            <w:pPr>
              <w:jc w:val="right"/>
              <w:textAlignment w:val="bottom"/>
            </w:pPr>
            <w:r>
              <w:rPr>
                <w:rFonts w:ascii="sans-serif" w:eastAsia="sans-serif" w:hAnsi="sans-serif" w:cs="sans-serif"/>
                <w:color w:val="000000"/>
                <w:sz w:val="20"/>
                <w:szCs w:val="20"/>
              </w:rPr>
              <w:t>2,368 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227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27A"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227B"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227C" w14:textId="77777777" w:rsidR="00BF3A3A" w:rsidRDefault="00A76802">
            <w:pPr>
              <w:jc w:val="right"/>
              <w:textAlignment w:val="bottom"/>
            </w:pPr>
            <w:r>
              <w:rPr>
                <w:rFonts w:ascii="sans-serif" w:eastAsia="sans-serif" w:hAnsi="sans-serif" w:cs="sans-serif"/>
                <w:color w:val="000000"/>
                <w:sz w:val="20"/>
                <w:szCs w:val="20"/>
              </w:rPr>
              <w:t>2,195 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227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27E"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227F"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2280" w14:textId="77777777" w:rsidR="00BF3A3A" w:rsidRDefault="00A76802">
            <w:pPr>
              <w:jc w:val="right"/>
              <w:textAlignment w:val="bottom"/>
            </w:pPr>
            <w:r>
              <w:rPr>
                <w:rFonts w:ascii="sans-serif" w:eastAsia="sans-serif" w:hAnsi="sans-serif" w:cs="sans-serif"/>
                <w:color w:val="000000"/>
                <w:sz w:val="20"/>
                <w:szCs w:val="20"/>
              </w:rPr>
              <w:t>4,274 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2281" w14:textId="77777777" w:rsidR="00BF3A3A" w:rsidRDefault="00BF3A3A">
            <w:pPr>
              <w:jc w:val="right"/>
              <w:rPr>
                <w:rFonts w:ascii="宋体"/>
              </w:rPr>
            </w:pPr>
          </w:p>
        </w:tc>
      </w:tr>
    </w:tbl>
    <w:p w14:paraId="19502283" w14:textId="77777777" w:rsidR="00BF3A3A" w:rsidRDefault="00A76802">
      <w:pPr>
        <w:spacing w:after="180"/>
        <w:jc w:val="center"/>
      </w:pPr>
      <w:r>
        <w:rPr>
          <w:rFonts w:ascii="sans-serif" w:eastAsia="sans-serif" w:hAnsi="sans-serif" w:cs="sans-serif"/>
          <w:color w:val="000000"/>
          <w:sz w:val="20"/>
          <w:szCs w:val="20"/>
        </w:rPr>
        <w:t>See accompanying Notes to Condensed Consolidated Financial Statements.</w:t>
      </w:r>
    </w:p>
    <w:p w14:paraId="19502284" w14:textId="77777777" w:rsidR="00BF3A3A" w:rsidRDefault="00BF3A3A">
      <w:pPr>
        <w:spacing w:after="180"/>
        <w:jc w:val="both"/>
      </w:pPr>
    </w:p>
    <w:p w14:paraId="19502285" w14:textId="77777777" w:rsidR="00BF3A3A" w:rsidRDefault="00A76802">
      <w:pPr>
        <w:spacing w:after="180"/>
        <w:jc w:val="center"/>
      </w:pPr>
      <w:r>
        <w:rPr>
          <w:rFonts w:ascii="sans-serif" w:eastAsia="sans-serif" w:hAnsi="sans-serif" w:cs="sans-serif"/>
          <w:color w:val="000000"/>
          <w:sz w:val="20"/>
          <w:szCs w:val="20"/>
        </w:rPr>
        <w:t>4</w:t>
      </w:r>
    </w:p>
    <w:p w14:paraId="19502286" w14:textId="77777777" w:rsidR="00BF3A3A" w:rsidRDefault="00A76802">
      <w:r>
        <w:pict w14:anchorId="19503FC9">
          <v:rect id="_x0000_i1028" style="width:415.3pt;height:1.5pt" o:hralign="center" o:hrstd="t" o:hr="t" fillcolor="#a0a0a0" stroked="f"/>
        </w:pict>
      </w:r>
    </w:p>
    <w:p w14:paraId="19502287" w14:textId="77777777" w:rsidR="00BF3A3A" w:rsidRDefault="00BF3A3A">
      <w:pPr>
        <w:spacing w:after="180"/>
        <w:jc w:val="both"/>
      </w:pPr>
    </w:p>
    <w:p w14:paraId="19502288" w14:textId="77777777" w:rsidR="00BF3A3A" w:rsidRDefault="00A76802">
      <w:pPr>
        <w:jc w:val="center"/>
      </w:pPr>
      <w:r>
        <w:rPr>
          <w:rFonts w:ascii="sans-serif" w:eastAsia="sans-serif" w:hAnsi="sans-serif" w:cs="sans-serif"/>
          <w:b/>
          <w:bCs/>
          <w:color w:val="000000"/>
          <w:sz w:val="20"/>
          <w:szCs w:val="20"/>
        </w:rPr>
        <w:t xml:space="preserve">NVIDIA CORPORATION AND </w:t>
      </w:r>
      <w:r>
        <w:rPr>
          <w:rFonts w:ascii="sans-serif" w:eastAsia="sans-serif" w:hAnsi="sans-serif" w:cs="sans-serif"/>
          <w:b/>
          <w:bCs/>
          <w:color w:val="000000"/>
          <w:sz w:val="20"/>
          <w:szCs w:val="20"/>
        </w:rPr>
        <w:t>SUBSIDIARIES </w:t>
      </w:r>
    </w:p>
    <w:p w14:paraId="19502289" w14:textId="77777777" w:rsidR="00BF3A3A" w:rsidRDefault="00A76802">
      <w:pPr>
        <w:jc w:val="center"/>
      </w:pPr>
      <w:r>
        <w:rPr>
          <w:rFonts w:ascii="sans-serif" w:eastAsia="sans-serif" w:hAnsi="sans-serif" w:cs="sans-serif"/>
          <w:b/>
          <w:bCs/>
          <w:color w:val="000000"/>
          <w:sz w:val="20"/>
          <w:szCs w:val="20"/>
        </w:rPr>
        <w:t>CONDENSED CONSOLIDATED BALANCE SHEETS</w:t>
      </w:r>
    </w:p>
    <w:p w14:paraId="1950228A" w14:textId="77777777" w:rsidR="00BF3A3A" w:rsidRDefault="00A76802">
      <w:pPr>
        <w:jc w:val="center"/>
      </w:pPr>
      <w:r>
        <w:rPr>
          <w:rFonts w:ascii="sans-serif" w:eastAsia="sans-serif" w:hAnsi="sans-serif" w:cs="sans-serif"/>
          <w:b/>
          <w:bCs/>
          <w:color w:val="000000"/>
          <w:sz w:val="20"/>
          <w:szCs w:val="20"/>
        </w:rPr>
        <w:t>(In millions)</w:t>
      </w:r>
    </w:p>
    <w:p w14:paraId="1950228B" w14:textId="77777777" w:rsidR="00BF3A3A" w:rsidRDefault="00A76802">
      <w:pPr>
        <w:jc w:val="center"/>
      </w:pPr>
      <w:r>
        <w:rPr>
          <w:rFonts w:ascii="sans-serif" w:eastAsia="sans-serif" w:hAnsi="sans-serif" w:cs="sans-serif"/>
          <w:b/>
          <w:bCs/>
          <w:color w:val="000000"/>
          <w:sz w:val="20"/>
          <w:szCs w:val="20"/>
        </w:rPr>
        <w:t>(Unaudited)</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6007"/>
        <w:gridCol w:w="39"/>
        <w:gridCol w:w="122"/>
        <w:gridCol w:w="924"/>
        <w:gridCol w:w="36"/>
        <w:gridCol w:w="36"/>
        <w:gridCol w:w="36"/>
        <w:gridCol w:w="36"/>
        <w:gridCol w:w="122"/>
        <w:gridCol w:w="865"/>
        <w:gridCol w:w="36"/>
      </w:tblGrid>
      <w:tr w:rsidR="00BF3A3A" w14:paraId="19502298" w14:textId="77777777">
        <w:trPr>
          <w:jc w:val="center"/>
        </w:trPr>
        <w:tc>
          <w:tcPr>
            <w:tcW w:w="50" w:type="pct"/>
            <w:shd w:val="clear" w:color="auto" w:fill="auto"/>
            <w:vAlign w:val="bottom"/>
          </w:tcPr>
          <w:p w14:paraId="1950228C" w14:textId="77777777" w:rsidR="00BF3A3A" w:rsidRDefault="00BF3A3A">
            <w:pPr>
              <w:rPr>
                <w:rFonts w:ascii="宋体"/>
              </w:rPr>
            </w:pPr>
          </w:p>
        </w:tc>
        <w:tc>
          <w:tcPr>
            <w:tcW w:w="3645" w:type="pct"/>
            <w:shd w:val="clear" w:color="auto" w:fill="auto"/>
            <w:vAlign w:val="bottom"/>
          </w:tcPr>
          <w:p w14:paraId="1950228D" w14:textId="77777777" w:rsidR="00BF3A3A" w:rsidRDefault="00BF3A3A">
            <w:pPr>
              <w:rPr>
                <w:rFonts w:ascii="宋体"/>
              </w:rPr>
            </w:pPr>
          </w:p>
        </w:tc>
        <w:tc>
          <w:tcPr>
            <w:tcW w:w="5" w:type="pct"/>
            <w:shd w:val="clear" w:color="auto" w:fill="auto"/>
            <w:vAlign w:val="bottom"/>
          </w:tcPr>
          <w:p w14:paraId="1950228E" w14:textId="77777777" w:rsidR="00BF3A3A" w:rsidRDefault="00BF3A3A">
            <w:pPr>
              <w:rPr>
                <w:rFonts w:ascii="宋体"/>
              </w:rPr>
            </w:pPr>
          </w:p>
        </w:tc>
        <w:tc>
          <w:tcPr>
            <w:tcW w:w="50" w:type="pct"/>
            <w:shd w:val="clear" w:color="auto" w:fill="auto"/>
            <w:vAlign w:val="bottom"/>
          </w:tcPr>
          <w:p w14:paraId="1950228F" w14:textId="77777777" w:rsidR="00BF3A3A" w:rsidRDefault="00BF3A3A">
            <w:pPr>
              <w:rPr>
                <w:rFonts w:ascii="宋体"/>
              </w:rPr>
            </w:pPr>
          </w:p>
        </w:tc>
        <w:tc>
          <w:tcPr>
            <w:tcW w:w="583" w:type="pct"/>
            <w:shd w:val="clear" w:color="auto" w:fill="auto"/>
            <w:vAlign w:val="bottom"/>
          </w:tcPr>
          <w:p w14:paraId="19502290" w14:textId="77777777" w:rsidR="00BF3A3A" w:rsidRDefault="00BF3A3A">
            <w:pPr>
              <w:rPr>
                <w:rFonts w:ascii="宋体"/>
              </w:rPr>
            </w:pPr>
          </w:p>
        </w:tc>
        <w:tc>
          <w:tcPr>
            <w:tcW w:w="5" w:type="pct"/>
            <w:shd w:val="clear" w:color="auto" w:fill="auto"/>
            <w:vAlign w:val="bottom"/>
          </w:tcPr>
          <w:p w14:paraId="19502291" w14:textId="77777777" w:rsidR="00BF3A3A" w:rsidRDefault="00BF3A3A">
            <w:pPr>
              <w:rPr>
                <w:rFonts w:ascii="宋体"/>
              </w:rPr>
            </w:pPr>
          </w:p>
        </w:tc>
        <w:tc>
          <w:tcPr>
            <w:tcW w:w="5" w:type="pct"/>
            <w:shd w:val="clear" w:color="auto" w:fill="auto"/>
            <w:vAlign w:val="bottom"/>
          </w:tcPr>
          <w:p w14:paraId="19502292" w14:textId="77777777" w:rsidR="00BF3A3A" w:rsidRDefault="00BF3A3A">
            <w:pPr>
              <w:rPr>
                <w:rFonts w:ascii="宋体"/>
              </w:rPr>
            </w:pPr>
          </w:p>
        </w:tc>
        <w:tc>
          <w:tcPr>
            <w:tcW w:w="26" w:type="pct"/>
            <w:shd w:val="clear" w:color="auto" w:fill="auto"/>
            <w:vAlign w:val="bottom"/>
          </w:tcPr>
          <w:p w14:paraId="19502293" w14:textId="77777777" w:rsidR="00BF3A3A" w:rsidRDefault="00BF3A3A">
            <w:pPr>
              <w:rPr>
                <w:rFonts w:ascii="宋体"/>
              </w:rPr>
            </w:pPr>
          </w:p>
        </w:tc>
        <w:tc>
          <w:tcPr>
            <w:tcW w:w="5" w:type="pct"/>
            <w:shd w:val="clear" w:color="auto" w:fill="auto"/>
            <w:vAlign w:val="bottom"/>
          </w:tcPr>
          <w:p w14:paraId="19502294" w14:textId="77777777" w:rsidR="00BF3A3A" w:rsidRDefault="00BF3A3A">
            <w:pPr>
              <w:rPr>
                <w:rFonts w:ascii="宋体"/>
              </w:rPr>
            </w:pPr>
          </w:p>
        </w:tc>
        <w:tc>
          <w:tcPr>
            <w:tcW w:w="50" w:type="pct"/>
            <w:shd w:val="clear" w:color="auto" w:fill="auto"/>
            <w:vAlign w:val="bottom"/>
          </w:tcPr>
          <w:p w14:paraId="19502295" w14:textId="77777777" w:rsidR="00BF3A3A" w:rsidRDefault="00BF3A3A">
            <w:pPr>
              <w:rPr>
                <w:rFonts w:ascii="宋体"/>
              </w:rPr>
            </w:pPr>
          </w:p>
        </w:tc>
        <w:tc>
          <w:tcPr>
            <w:tcW w:w="569" w:type="pct"/>
            <w:shd w:val="clear" w:color="auto" w:fill="auto"/>
            <w:vAlign w:val="bottom"/>
          </w:tcPr>
          <w:p w14:paraId="19502296" w14:textId="77777777" w:rsidR="00BF3A3A" w:rsidRDefault="00BF3A3A">
            <w:pPr>
              <w:rPr>
                <w:rFonts w:ascii="宋体"/>
              </w:rPr>
            </w:pPr>
          </w:p>
        </w:tc>
        <w:tc>
          <w:tcPr>
            <w:tcW w:w="5" w:type="pct"/>
            <w:shd w:val="clear" w:color="auto" w:fill="auto"/>
            <w:vAlign w:val="bottom"/>
          </w:tcPr>
          <w:p w14:paraId="19502297" w14:textId="77777777" w:rsidR="00BF3A3A" w:rsidRDefault="00BF3A3A">
            <w:pPr>
              <w:rPr>
                <w:rFonts w:ascii="宋体"/>
              </w:rPr>
            </w:pPr>
          </w:p>
        </w:tc>
      </w:tr>
      <w:tr w:rsidR="00BF3A3A" w14:paraId="1950229D" w14:textId="77777777">
        <w:trPr>
          <w:jc w:val="center"/>
        </w:trPr>
        <w:tc>
          <w:tcPr>
            <w:tcW w:w="0" w:type="auto"/>
            <w:gridSpan w:val="3"/>
            <w:shd w:val="clear" w:color="auto" w:fill="auto"/>
            <w:tcMar>
              <w:top w:w="0" w:type="dxa"/>
              <w:left w:w="20" w:type="dxa"/>
              <w:bottom w:w="0" w:type="dxa"/>
              <w:right w:w="20" w:type="dxa"/>
            </w:tcMar>
            <w:vAlign w:val="bottom"/>
          </w:tcPr>
          <w:p w14:paraId="19502299"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229A" w14:textId="77777777" w:rsidR="00BF3A3A" w:rsidRDefault="00A76802">
            <w:pPr>
              <w:jc w:val="center"/>
              <w:textAlignment w:val="bottom"/>
            </w:pPr>
            <w:r>
              <w:rPr>
                <w:rFonts w:ascii="sans-serif" w:eastAsia="sans-serif" w:hAnsi="sans-serif" w:cs="sans-serif"/>
                <w:b/>
                <w:bCs/>
                <w:color w:val="000000"/>
                <w:sz w:val="20"/>
                <w:szCs w:val="20"/>
              </w:rPr>
              <w:t>July 31,</w:t>
            </w:r>
          </w:p>
        </w:tc>
        <w:tc>
          <w:tcPr>
            <w:tcW w:w="0" w:type="auto"/>
            <w:gridSpan w:val="3"/>
            <w:shd w:val="clear" w:color="auto" w:fill="auto"/>
            <w:tcMar>
              <w:top w:w="0" w:type="dxa"/>
              <w:left w:w="20" w:type="dxa"/>
              <w:bottom w:w="0" w:type="dxa"/>
              <w:right w:w="20" w:type="dxa"/>
            </w:tcMar>
            <w:vAlign w:val="bottom"/>
          </w:tcPr>
          <w:p w14:paraId="1950229B"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229C" w14:textId="77777777" w:rsidR="00BF3A3A" w:rsidRDefault="00A76802">
            <w:pPr>
              <w:jc w:val="center"/>
              <w:textAlignment w:val="bottom"/>
            </w:pPr>
            <w:r>
              <w:rPr>
                <w:rFonts w:ascii="sans-serif" w:eastAsia="sans-serif" w:hAnsi="sans-serif" w:cs="sans-serif"/>
                <w:b/>
                <w:bCs/>
                <w:color w:val="000000"/>
                <w:sz w:val="20"/>
                <w:szCs w:val="20"/>
              </w:rPr>
              <w:t>January 30,</w:t>
            </w:r>
          </w:p>
        </w:tc>
      </w:tr>
      <w:tr w:rsidR="00BF3A3A" w14:paraId="195022A2" w14:textId="77777777">
        <w:trPr>
          <w:jc w:val="center"/>
        </w:trPr>
        <w:tc>
          <w:tcPr>
            <w:tcW w:w="0" w:type="auto"/>
            <w:gridSpan w:val="3"/>
            <w:shd w:val="clear" w:color="auto" w:fill="auto"/>
            <w:tcMar>
              <w:top w:w="40" w:type="dxa"/>
              <w:left w:w="20" w:type="dxa"/>
              <w:bottom w:w="40" w:type="dxa"/>
              <w:right w:w="20" w:type="dxa"/>
            </w:tcMar>
            <w:vAlign w:val="bottom"/>
          </w:tcPr>
          <w:p w14:paraId="1950229E"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950229F" w14:textId="77777777" w:rsidR="00BF3A3A" w:rsidRDefault="00A76802">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195022A0"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22A1" w14:textId="77777777" w:rsidR="00BF3A3A" w:rsidRDefault="00A76802">
            <w:pPr>
              <w:jc w:val="center"/>
              <w:textAlignment w:val="bottom"/>
            </w:pPr>
            <w:r>
              <w:rPr>
                <w:rFonts w:ascii="sans-serif" w:eastAsia="sans-serif" w:hAnsi="sans-serif" w:cs="sans-serif"/>
                <w:b/>
                <w:bCs/>
                <w:color w:val="000000"/>
                <w:sz w:val="20"/>
                <w:szCs w:val="20"/>
              </w:rPr>
              <w:t>2022</w:t>
            </w:r>
          </w:p>
        </w:tc>
      </w:tr>
      <w:tr w:rsidR="00BF3A3A" w14:paraId="195022A7" w14:textId="77777777">
        <w:trPr>
          <w:jc w:val="center"/>
        </w:trPr>
        <w:tc>
          <w:tcPr>
            <w:tcW w:w="0" w:type="auto"/>
            <w:gridSpan w:val="3"/>
            <w:shd w:val="clear" w:color="auto" w:fill="E2EFD9"/>
            <w:tcMar>
              <w:top w:w="40" w:type="dxa"/>
              <w:left w:w="20" w:type="dxa"/>
              <w:bottom w:w="40" w:type="dxa"/>
              <w:right w:w="20" w:type="dxa"/>
            </w:tcMar>
            <w:vAlign w:val="bottom"/>
          </w:tcPr>
          <w:p w14:paraId="195022A3" w14:textId="77777777" w:rsidR="00BF3A3A" w:rsidRDefault="00A76802">
            <w:pPr>
              <w:textAlignment w:val="bottom"/>
            </w:pPr>
            <w:r>
              <w:rPr>
                <w:rFonts w:ascii="sans-serif" w:eastAsia="sans-serif" w:hAnsi="sans-serif" w:cs="sans-serif"/>
                <w:b/>
                <w:bCs/>
                <w:color w:val="000000"/>
                <w:sz w:val="20"/>
                <w:szCs w:val="20"/>
              </w:rPr>
              <w:t>ASSETS</w:t>
            </w: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195022A4"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2A5" w14:textId="77777777" w:rsidR="00BF3A3A" w:rsidRDefault="00BF3A3A">
            <w:pPr>
              <w:rPr>
                <w:rFonts w:ascii="宋体"/>
              </w:rPr>
            </w:pPr>
          </w:p>
        </w:tc>
        <w:tc>
          <w:tcPr>
            <w:tcW w:w="0" w:type="auto"/>
            <w:gridSpan w:val="3"/>
            <w:tcBorders>
              <w:top w:val="single" w:sz="8" w:space="0" w:color="000000"/>
            </w:tcBorders>
            <w:shd w:val="clear" w:color="auto" w:fill="E2EFD9"/>
            <w:tcMar>
              <w:top w:w="0" w:type="dxa"/>
              <w:left w:w="20" w:type="dxa"/>
              <w:bottom w:w="0" w:type="dxa"/>
              <w:right w:w="20" w:type="dxa"/>
            </w:tcMar>
            <w:vAlign w:val="bottom"/>
          </w:tcPr>
          <w:p w14:paraId="195022A6" w14:textId="77777777" w:rsidR="00BF3A3A" w:rsidRDefault="00BF3A3A">
            <w:pPr>
              <w:rPr>
                <w:rFonts w:ascii="宋体"/>
              </w:rPr>
            </w:pPr>
          </w:p>
        </w:tc>
      </w:tr>
      <w:tr w:rsidR="00BF3A3A" w14:paraId="195022AC" w14:textId="77777777">
        <w:trPr>
          <w:jc w:val="center"/>
        </w:trPr>
        <w:tc>
          <w:tcPr>
            <w:tcW w:w="0" w:type="auto"/>
            <w:gridSpan w:val="3"/>
            <w:shd w:val="clear" w:color="auto" w:fill="FFFFFF"/>
            <w:tcMar>
              <w:top w:w="40" w:type="dxa"/>
              <w:left w:w="20" w:type="dxa"/>
              <w:bottom w:w="40" w:type="dxa"/>
              <w:right w:w="20" w:type="dxa"/>
            </w:tcMar>
            <w:vAlign w:val="bottom"/>
          </w:tcPr>
          <w:p w14:paraId="195022A8" w14:textId="77777777" w:rsidR="00BF3A3A" w:rsidRDefault="00A76802">
            <w:pPr>
              <w:textAlignment w:val="bottom"/>
            </w:pPr>
            <w:r>
              <w:rPr>
                <w:rFonts w:ascii="sans-serif" w:eastAsia="sans-serif" w:hAnsi="sans-serif" w:cs="sans-serif"/>
                <w:color w:val="000000"/>
                <w:sz w:val="20"/>
                <w:szCs w:val="20"/>
              </w:rPr>
              <w:t>Current assets:</w:t>
            </w:r>
          </w:p>
        </w:tc>
        <w:tc>
          <w:tcPr>
            <w:tcW w:w="0" w:type="auto"/>
            <w:gridSpan w:val="3"/>
            <w:shd w:val="clear" w:color="auto" w:fill="FFFFFF"/>
            <w:tcMar>
              <w:top w:w="40" w:type="dxa"/>
              <w:left w:w="20" w:type="dxa"/>
              <w:bottom w:w="40" w:type="dxa"/>
              <w:right w:w="20" w:type="dxa"/>
            </w:tcMar>
            <w:vAlign w:val="bottom"/>
          </w:tcPr>
          <w:p w14:paraId="195022A9"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195022AA" w14:textId="77777777" w:rsidR="00BF3A3A" w:rsidRDefault="00BF3A3A">
            <w:pPr>
              <w:rPr>
                <w:rFonts w:ascii="宋体"/>
              </w:rPr>
            </w:pPr>
          </w:p>
        </w:tc>
        <w:tc>
          <w:tcPr>
            <w:tcW w:w="0" w:type="auto"/>
            <w:gridSpan w:val="3"/>
            <w:shd w:val="clear" w:color="auto" w:fill="FFFFFF"/>
            <w:tcMar>
              <w:top w:w="40" w:type="dxa"/>
              <w:left w:w="20" w:type="dxa"/>
              <w:bottom w:w="40" w:type="dxa"/>
              <w:right w:w="20" w:type="dxa"/>
            </w:tcMar>
            <w:vAlign w:val="bottom"/>
          </w:tcPr>
          <w:p w14:paraId="195022AB" w14:textId="77777777" w:rsidR="00BF3A3A" w:rsidRDefault="00A76802">
            <w:pPr>
              <w:textAlignment w:val="bottom"/>
            </w:pPr>
            <w:r>
              <w:rPr>
                <w:rFonts w:ascii="sans-serif" w:eastAsia="sans-serif" w:hAnsi="sans-serif" w:cs="sans-serif"/>
                <w:color w:val="000000"/>
                <w:sz w:val="20"/>
                <w:szCs w:val="20"/>
              </w:rPr>
              <w:t> </w:t>
            </w:r>
          </w:p>
        </w:tc>
      </w:tr>
      <w:tr w:rsidR="00BF3A3A" w14:paraId="195022B5" w14:textId="77777777">
        <w:trPr>
          <w:jc w:val="center"/>
        </w:trPr>
        <w:tc>
          <w:tcPr>
            <w:tcW w:w="0" w:type="auto"/>
            <w:gridSpan w:val="3"/>
            <w:shd w:val="clear" w:color="auto" w:fill="E2EFD9"/>
            <w:tcMar>
              <w:top w:w="40" w:type="dxa"/>
              <w:left w:w="245" w:type="dxa"/>
              <w:bottom w:w="40" w:type="dxa"/>
              <w:right w:w="20" w:type="dxa"/>
            </w:tcMar>
            <w:vAlign w:val="bottom"/>
          </w:tcPr>
          <w:p w14:paraId="195022AD" w14:textId="77777777" w:rsidR="00BF3A3A" w:rsidRDefault="00A76802">
            <w:pPr>
              <w:textAlignment w:val="bottom"/>
            </w:pPr>
            <w:r>
              <w:rPr>
                <w:rFonts w:ascii="sans-serif" w:eastAsia="sans-serif" w:hAnsi="sans-serif" w:cs="sans-serif"/>
                <w:color w:val="000000"/>
                <w:sz w:val="20"/>
                <w:szCs w:val="20"/>
              </w:rPr>
              <w:t>Cash and cash equivalents</w:t>
            </w:r>
          </w:p>
        </w:tc>
        <w:tc>
          <w:tcPr>
            <w:tcW w:w="0" w:type="auto"/>
            <w:shd w:val="clear" w:color="auto" w:fill="E2EFD9"/>
            <w:tcMar>
              <w:top w:w="40" w:type="dxa"/>
              <w:left w:w="20" w:type="dxa"/>
              <w:bottom w:w="40" w:type="dxa"/>
              <w:right w:w="0" w:type="dxa"/>
            </w:tcMar>
            <w:vAlign w:val="bottom"/>
          </w:tcPr>
          <w:p w14:paraId="195022AE"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2AF" w14:textId="77777777" w:rsidR="00BF3A3A" w:rsidRDefault="00A76802">
            <w:pPr>
              <w:jc w:val="right"/>
              <w:textAlignment w:val="bottom"/>
            </w:pPr>
            <w:r>
              <w:rPr>
                <w:rFonts w:ascii="sans-serif" w:eastAsia="sans-serif" w:hAnsi="sans-serif" w:cs="sans-serif"/>
                <w:color w:val="000000"/>
                <w:sz w:val="20"/>
                <w:szCs w:val="20"/>
              </w:rPr>
              <w:t>3,013 </w:t>
            </w:r>
          </w:p>
        </w:tc>
        <w:tc>
          <w:tcPr>
            <w:tcW w:w="0" w:type="auto"/>
            <w:shd w:val="clear" w:color="auto" w:fill="E2EFD9"/>
            <w:tcMar>
              <w:top w:w="40" w:type="dxa"/>
              <w:left w:w="0" w:type="dxa"/>
              <w:bottom w:w="40" w:type="dxa"/>
              <w:right w:w="20" w:type="dxa"/>
            </w:tcMar>
            <w:vAlign w:val="bottom"/>
          </w:tcPr>
          <w:p w14:paraId="195022B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2B1"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2B2"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2B3" w14:textId="77777777" w:rsidR="00BF3A3A" w:rsidRDefault="00A76802">
            <w:pPr>
              <w:jc w:val="right"/>
              <w:textAlignment w:val="bottom"/>
            </w:pPr>
            <w:r>
              <w:rPr>
                <w:rFonts w:ascii="sans-serif" w:eastAsia="sans-serif" w:hAnsi="sans-serif" w:cs="sans-serif"/>
                <w:color w:val="000000"/>
                <w:sz w:val="20"/>
                <w:szCs w:val="20"/>
              </w:rPr>
              <w:t>1,990 </w:t>
            </w:r>
          </w:p>
        </w:tc>
        <w:tc>
          <w:tcPr>
            <w:tcW w:w="0" w:type="auto"/>
            <w:shd w:val="clear" w:color="auto" w:fill="E2EFD9"/>
            <w:tcMar>
              <w:top w:w="40" w:type="dxa"/>
              <w:left w:w="0" w:type="dxa"/>
              <w:bottom w:w="40" w:type="dxa"/>
              <w:right w:w="20" w:type="dxa"/>
            </w:tcMar>
            <w:vAlign w:val="bottom"/>
          </w:tcPr>
          <w:p w14:paraId="195022B4" w14:textId="77777777" w:rsidR="00BF3A3A" w:rsidRDefault="00BF3A3A">
            <w:pPr>
              <w:jc w:val="right"/>
              <w:rPr>
                <w:rFonts w:ascii="宋体"/>
              </w:rPr>
            </w:pPr>
          </w:p>
        </w:tc>
      </w:tr>
      <w:tr w:rsidR="00BF3A3A" w14:paraId="195022BC" w14:textId="77777777">
        <w:trPr>
          <w:jc w:val="center"/>
        </w:trPr>
        <w:tc>
          <w:tcPr>
            <w:tcW w:w="0" w:type="auto"/>
            <w:gridSpan w:val="3"/>
            <w:shd w:val="clear" w:color="auto" w:fill="FFFFFF"/>
            <w:tcMar>
              <w:top w:w="40" w:type="dxa"/>
              <w:left w:w="245" w:type="dxa"/>
              <w:bottom w:w="40" w:type="dxa"/>
              <w:right w:w="20" w:type="dxa"/>
            </w:tcMar>
            <w:vAlign w:val="bottom"/>
          </w:tcPr>
          <w:p w14:paraId="195022B6" w14:textId="77777777" w:rsidR="00BF3A3A" w:rsidRDefault="00A76802">
            <w:pPr>
              <w:textAlignment w:val="bottom"/>
            </w:pPr>
            <w:r>
              <w:rPr>
                <w:rFonts w:ascii="sans-serif" w:eastAsia="sans-serif" w:hAnsi="sans-serif" w:cs="sans-serif"/>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195022B7" w14:textId="77777777" w:rsidR="00BF3A3A" w:rsidRDefault="00A76802">
            <w:pPr>
              <w:jc w:val="right"/>
              <w:textAlignment w:val="bottom"/>
            </w:pPr>
            <w:r>
              <w:rPr>
                <w:rFonts w:ascii="sans-serif" w:eastAsia="sans-serif" w:hAnsi="sans-serif" w:cs="sans-serif"/>
                <w:color w:val="000000"/>
                <w:sz w:val="20"/>
                <w:szCs w:val="20"/>
              </w:rPr>
              <w:t>14,024 </w:t>
            </w:r>
          </w:p>
        </w:tc>
        <w:tc>
          <w:tcPr>
            <w:tcW w:w="0" w:type="auto"/>
            <w:shd w:val="clear" w:color="auto" w:fill="FFFFFF"/>
            <w:tcMar>
              <w:top w:w="40" w:type="dxa"/>
              <w:left w:w="0" w:type="dxa"/>
              <w:bottom w:w="40" w:type="dxa"/>
              <w:right w:w="20" w:type="dxa"/>
            </w:tcMar>
            <w:vAlign w:val="bottom"/>
          </w:tcPr>
          <w:p w14:paraId="195022B8"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2B9"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2BA" w14:textId="77777777" w:rsidR="00BF3A3A" w:rsidRDefault="00A76802">
            <w:pPr>
              <w:jc w:val="right"/>
              <w:textAlignment w:val="bottom"/>
            </w:pPr>
            <w:r>
              <w:rPr>
                <w:rFonts w:ascii="sans-serif" w:eastAsia="sans-serif" w:hAnsi="sans-serif" w:cs="sans-serif"/>
                <w:color w:val="000000"/>
                <w:sz w:val="20"/>
                <w:szCs w:val="20"/>
              </w:rPr>
              <w:t>19,218 </w:t>
            </w:r>
          </w:p>
        </w:tc>
        <w:tc>
          <w:tcPr>
            <w:tcW w:w="0" w:type="auto"/>
            <w:shd w:val="clear" w:color="auto" w:fill="FFFFFF"/>
            <w:tcMar>
              <w:top w:w="40" w:type="dxa"/>
              <w:left w:w="0" w:type="dxa"/>
              <w:bottom w:w="40" w:type="dxa"/>
              <w:right w:w="20" w:type="dxa"/>
            </w:tcMar>
            <w:vAlign w:val="bottom"/>
          </w:tcPr>
          <w:p w14:paraId="195022BB" w14:textId="77777777" w:rsidR="00BF3A3A" w:rsidRDefault="00BF3A3A">
            <w:pPr>
              <w:jc w:val="right"/>
              <w:rPr>
                <w:rFonts w:ascii="宋体"/>
              </w:rPr>
            </w:pPr>
          </w:p>
        </w:tc>
      </w:tr>
      <w:tr w:rsidR="00BF3A3A" w14:paraId="195022C3" w14:textId="77777777">
        <w:trPr>
          <w:jc w:val="center"/>
        </w:trPr>
        <w:tc>
          <w:tcPr>
            <w:tcW w:w="0" w:type="auto"/>
            <w:gridSpan w:val="3"/>
            <w:shd w:val="clear" w:color="auto" w:fill="E2EFD9"/>
            <w:tcMar>
              <w:top w:w="40" w:type="dxa"/>
              <w:left w:w="245" w:type="dxa"/>
              <w:bottom w:w="40" w:type="dxa"/>
              <w:right w:w="20" w:type="dxa"/>
            </w:tcMar>
            <w:vAlign w:val="bottom"/>
          </w:tcPr>
          <w:p w14:paraId="195022BD" w14:textId="77777777" w:rsidR="00BF3A3A" w:rsidRDefault="00A76802">
            <w:pPr>
              <w:textAlignment w:val="bottom"/>
            </w:pPr>
            <w:r>
              <w:rPr>
                <w:rFonts w:ascii="sans-serif" w:eastAsia="sans-serif" w:hAnsi="sans-serif" w:cs="sans-serif"/>
                <w:color w:val="000000"/>
                <w:sz w:val="20"/>
                <w:szCs w:val="20"/>
              </w:rPr>
              <w:t>Accounts receivable, net</w:t>
            </w:r>
          </w:p>
        </w:tc>
        <w:tc>
          <w:tcPr>
            <w:tcW w:w="0" w:type="auto"/>
            <w:gridSpan w:val="2"/>
            <w:shd w:val="clear" w:color="auto" w:fill="E2EFD9"/>
            <w:tcMar>
              <w:top w:w="40" w:type="dxa"/>
              <w:left w:w="20" w:type="dxa"/>
              <w:bottom w:w="40" w:type="dxa"/>
              <w:right w:w="0" w:type="dxa"/>
            </w:tcMar>
            <w:vAlign w:val="bottom"/>
          </w:tcPr>
          <w:p w14:paraId="195022BE" w14:textId="77777777" w:rsidR="00BF3A3A" w:rsidRDefault="00A76802">
            <w:pPr>
              <w:jc w:val="right"/>
              <w:textAlignment w:val="bottom"/>
            </w:pPr>
            <w:r>
              <w:rPr>
                <w:rFonts w:ascii="sans-serif" w:eastAsia="sans-serif" w:hAnsi="sans-serif" w:cs="sans-serif"/>
                <w:color w:val="000000"/>
                <w:sz w:val="20"/>
                <w:szCs w:val="20"/>
              </w:rPr>
              <w:t>5,317 </w:t>
            </w:r>
          </w:p>
        </w:tc>
        <w:tc>
          <w:tcPr>
            <w:tcW w:w="0" w:type="auto"/>
            <w:shd w:val="clear" w:color="auto" w:fill="E2EFD9"/>
            <w:tcMar>
              <w:top w:w="40" w:type="dxa"/>
              <w:left w:w="0" w:type="dxa"/>
              <w:bottom w:w="40" w:type="dxa"/>
              <w:right w:w="20" w:type="dxa"/>
            </w:tcMar>
            <w:vAlign w:val="bottom"/>
          </w:tcPr>
          <w:p w14:paraId="195022B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2C0"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2C1" w14:textId="77777777" w:rsidR="00BF3A3A" w:rsidRDefault="00A76802">
            <w:pPr>
              <w:jc w:val="right"/>
              <w:textAlignment w:val="bottom"/>
            </w:pPr>
            <w:r>
              <w:rPr>
                <w:rFonts w:ascii="sans-serif" w:eastAsia="sans-serif" w:hAnsi="sans-serif" w:cs="sans-serif"/>
                <w:color w:val="000000"/>
                <w:sz w:val="20"/>
                <w:szCs w:val="20"/>
              </w:rPr>
              <w:t>4,650 </w:t>
            </w:r>
          </w:p>
        </w:tc>
        <w:tc>
          <w:tcPr>
            <w:tcW w:w="0" w:type="auto"/>
            <w:shd w:val="clear" w:color="auto" w:fill="E2EFD9"/>
            <w:tcMar>
              <w:top w:w="40" w:type="dxa"/>
              <w:left w:w="0" w:type="dxa"/>
              <w:bottom w:w="40" w:type="dxa"/>
              <w:right w:w="20" w:type="dxa"/>
            </w:tcMar>
            <w:vAlign w:val="bottom"/>
          </w:tcPr>
          <w:p w14:paraId="195022C2" w14:textId="77777777" w:rsidR="00BF3A3A" w:rsidRDefault="00BF3A3A">
            <w:pPr>
              <w:jc w:val="right"/>
              <w:rPr>
                <w:rFonts w:ascii="宋体"/>
              </w:rPr>
            </w:pPr>
          </w:p>
        </w:tc>
      </w:tr>
      <w:tr w:rsidR="00BF3A3A" w14:paraId="195022CA" w14:textId="77777777">
        <w:trPr>
          <w:jc w:val="center"/>
        </w:trPr>
        <w:tc>
          <w:tcPr>
            <w:tcW w:w="0" w:type="auto"/>
            <w:gridSpan w:val="3"/>
            <w:shd w:val="clear" w:color="auto" w:fill="FFFFFF"/>
            <w:tcMar>
              <w:top w:w="40" w:type="dxa"/>
              <w:left w:w="245" w:type="dxa"/>
              <w:bottom w:w="40" w:type="dxa"/>
              <w:right w:w="20" w:type="dxa"/>
            </w:tcMar>
            <w:vAlign w:val="bottom"/>
          </w:tcPr>
          <w:p w14:paraId="195022C4" w14:textId="77777777" w:rsidR="00BF3A3A" w:rsidRDefault="00A76802">
            <w:pPr>
              <w:textAlignment w:val="bottom"/>
            </w:pPr>
            <w:r>
              <w:rPr>
                <w:rFonts w:ascii="sans-serif" w:eastAsia="sans-serif" w:hAnsi="sans-serif" w:cs="sans-serif"/>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195022C5" w14:textId="77777777" w:rsidR="00BF3A3A" w:rsidRDefault="00A76802">
            <w:pPr>
              <w:jc w:val="right"/>
              <w:textAlignment w:val="bottom"/>
            </w:pPr>
            <w:r>
              <w:rPr>
                <w:rFonts w:ascii="sans-serif" w:eastAsia="sans-serif" w:hAnsi="sans-serif" w:cs="sans-serif"/>
                <w:color w:val="000000"/>
                <w:sz w:val="20"/>
                <w:szCs w:val="20"/>
              </w:rPr>
              <w:t>3,889 </w:t>
            </w:r>
          </w:p>
        </w:tc>
        <w:tc>
          <w:tcPr>
            <w:tcW w:w="0" w:type="auto"/>
            <w:shd w:val="clear" w:color="auto" w:fill="FFFFFF"/>
            <w:tcMar>
              <w:top w:w="40" w:type="dxa"/>
              <w:left w:w="0" w:type="dxa"/>
              <w:bottom w:w="40" w:type="dxa"/>
              <w:right w:w="20" w:type="dxa"/>
            </w:tcMar>
            <w:vAlign w:val="bottom"/>
          </w:tcPr>
          <w:p w14:paraId="195022C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2C7"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2C8" w14:textId="77777777" w:rsidR="00BF3A3A" w:rsidRDefault="00A76802">
            <w:pPr>
              <w:jc w:val="right"/>
              <w:textAlignment w:val="bottom"/>
            </w:pPr>
            <w:r>
              <w:rPr>
                <w:rFonts w:ascii="sans-serif" w:eastAsia="sans-serif" w:hAnsi="sans-serif" w:cs="sans-serif"/>
                <w:color w:val="000000"/>
                <w:sz w:val="20"/>
                <w:szCs w:val="20"/>
              </w:rPr>
              <w:t>2,605 </w:t>
            </w:r>
          </w:p>
        </w:tc>
        <w:tc>
          <w:tcPr>
            <w:tcW w:w="0" w:type="auto"/>
            <w:shd w:val="clear" w:color="auto" w:fill="FFFFFF"/>
            <w:tcMar>
              <w:top w:w="40" w:type="dxa"/>
              <w:left w:w="0" w:type="dxa"/>
              <w:bottom w:w="40" w:type="dxa"/>
              <w:right w:w="20" w:type="dxa"/>
            </w:tcMar>
            <w:vAlign w:val="bottom"/>
          </w:tcPr>
          <w:p w14:paraId="195022C9" w14:textId="77777777" w:rsidR="00BF3A3A" w:rsidRDefault="00BF3A3A">
            <w:pPr>
              <w:jc w:val="right"/>
              <w:rPr>
                <w:rFonts w:ascii="宋体"/>
              </w:rPr>
            </w:pPr>
          </w:p>
        </w:tc>
      </w:tr>
      <w:tr w:rsidR="00BF3A3A" w14:paraId="195022D1" w14:textId="77777777">
        <w:trPr>
          <w:jc w:val="center"/>
        </w:trPr>
        <w:tc>
          <w:tcPr>
            <w:tcW w:w="0" w:type="auto"/>
            <w:gridSpan w:val="3"/>
            <w:shd w:val="clear" w:color="auto" w:fill="E2EFD9"/>
            <w:tcMar>
              <w:top w:w="40" w:type="dxa"/>
              <w:left w:w="245" w:type="dxa"/>
              <w:bottom w:w="40" w:type="dxa"/>
              <w:right w:w="20" w:type="dxa"/>
            </w:tcMar>
            <w:vAlign w:val="bottom"/>
          </w:tcPr>
          <w:p w14:paraId="195022CB" w14:textId="77777777" w:rsidR="00BF3A3A" w:rsidRDefault="00A76802">
            <w:pPr>
              <w:textAlignment w:val="bottom"/>
            </w:pPr>
            <w:r>
              <w:rPr>
                <w:rFonts w:ascii="sans-serif" w:eastAsia="sans-serif" w:hAnsi="sans-serif" w:cs="sans-serif"/>
                <w:color w:val="000000"/>
                <w:sz w:val="20"/>
                <w:szCs w:val="20"/>
              </w:rPr>
              <w:t>Prepaid expenses and other current assets</w:t>
            </w:r>
          </w:p>
        </w:tc>
        <w:tc>
          <w:tcPr>
            <w:tcW w:w="0" w:type="auto"/>
            <w:gridSpan w:val="2"/>
            <w:shd w:val="clear" w:color="auto" w:fill="E2EFD9"/>
            <w:tcMar>
              <w:top w:w="40" w:type="dxa"/>
              <w:left w:w="20" w:type="dxa"/>
              <w:bottom w:w="40" w:type="dxa"/>
              <w:right w:w="0" w:type="dxa"/>
            </w:tcMar>
            <w:vAlign w:val="bottom"/>
          </w:tcPr>
          <w:p w14:paraId="195022CC" w14:textId="77777777" w:rsidR="00BF3A3A" w:rsidRDefault="00A76802">
            <w:pPr>
              <w:jc w:val="right"/>
              <w:textAlignment w:val="bottom"/>
            </w:pPr>
            <w:r>
              <w:rPr>
                <w:rFonts w:ascii="sans-serif" w:eastAsia="sans-serif" w:hAnsi="sans-serif" w:cs="sans-serif"/>
                <w:color w:val="000000"/>
                <w:sz w:val="20"/>
                <w:szCs w:val="20"/>
              </w:rPr>
              <w:t>1,175 </w:t>
            </w:r>
          </w:p>
        </w:tc>
        <w:tc>
          <w:tcPr>
            <w:tcW w:w="0" w:type="auto"/>
            <w:shd w:val="clear" w:color="auto" w:fill="E2EFD9"/>
            <w:tcMar>
              <w:top w:w="40" w:type="dxa"/>
              <w:left w:w="0" w:type="dxa"/>
              <w:bottom w:w="40" w:type="dxa"/>
              <w:right w:w="20" w:type="dxa"/>
            </w:tcMar>
            <w:vAlign w:val="bottom"/>
          </w:tcPr>
          <w:p w14:paraId="195022C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2CE"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2CF" w14:textId="77777777" w:rsidR="00BF3A3A" w:rsidRDefault="00A76802">
            <w:pPr>
              <w:jc w:val="right"/>
              <w:textAlignment w:val="bottom"/>
            </w:pPr>
            <w:r>
              <w:rPr>
                <w:rFonts w:ascii="sans-serif" w:eastAsia="sans-serif" w:hAnsi="sans-serif" w:cs="sans-serif"/>
                <w:color w:val="000000"/>
                <w:sz w:val="20"/>
                <w:szCs w:val="20"/>
              </w:rPr>
              <w:t>366 </w:t>
            </w:r>
          </w:p>
        </w:tc>
        <w:tc>
          <w:tcPr>
            <w:tcW w:w="0" w:type="auto"/>
            <w:shd w:val="clear" w:color="auto" w:fill="E2EFD9"/>
            <w:tcMar>
              <w:top w:w="40" w:type="dxa"/>
              <w:left w:w="0" w:type="dxa"/>
              <w:bottom w:w="40" w:type="dxa"/>
              <w:right w:w="20" w:type="dxa"/>
            </w:tcMar>
            <w:vAlign w:val="bottom"/>
          </w:tcPr>
          <w:p w14:paraId="195022D0" w14:textId="77777777" w:rsidR="00BF3A3A" w:rsidRDefault="00BF3A3A">
            <w:pPr>
              <w:jc w:val="right"/>
              <w:rPr>
                <w:rFonts w:ascii="宋体"/>
              </w:rPr>
            </w:pPr>
          </w:p>
        </w:tc>
      </w:tr>
      <w:tr w:rsidR="00BF3A3A" w14:paraId="195022D8" w14:textId="77777777">
        <w:trPr>
          <w:jc w:val="center"/>
        </w:trPr>
        <w:tc>
          <w:tcPr>
            <w:tcW w:w="0" w:type="auto"/>
            <w:gridSpan w:val="3"/>
            <w:shd w:val="clear" w:color="auto" w:fill="FFFFFF"/>
            <w:tcMar>
              <w:top w:w="40" w:type="dxa"/>
              <w:left w:w="20" w:type="dxa"/>
              <w:bottom w:w="40" w:type="dxa"/>
              <w:right w:w="20" w:type="dxa"/>
            </w:tcMar>
            <w:vAlign w:val="bottom"/>
          </w:tcPr>
          <w:p w14:paraId="195022D2" w14:textId="77777777" w:rsidR="00BF3A3A" w:rsidRDefault="00A76802">
            <w:pPr>
              <w:textAlignment w:val="bottom"/>
            </w:pPr>
            <w:r>
              <w:rPr>
                <w:rFonts w:ascii="sans-serif" w:eastAsia="sans-serif" w:hAnsi="sans-serif" w:cs="sans-serif"/>
                <w:color w:val="000000"/>
                <w:sz w:val="20"/>
                <w:szCs w:val="20"/>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2D3" w14:textId="77777777" w:rsidR="00BF3A3A" w:rsidRDefault="00A76802">
            <w:pPr>
              <w:jc w:val="right"/>
              <w:textAlignment w:val="bottom"/>
            </w:pPr>
            <w:r>
              <w:rPr>
                <w:rFonts w:ascii="sans-serif" w:eastAsia="sans-serif" w:hAnsi="sans-serif" w:cs="sans-serif"/>
                <w:color w:val="000000"/>
                <w:sz w:val="20"/>
                <w:szCs w:val="20"/>
              </w:rPr>
              <w:t>27,418 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2D4"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2D5"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2D6" w14:textId="77777777" w:rsidR="00BF3A3A" w:rsidRDefault="00A76802">
            <w:pPr>
              <w:jc w:val="right"/>
              <w:textAlignment w:val="bottom"/>
            </w:pPr>
            <w:r>
              <w:rPr>
                <w:rFonts w:ascii="sans-serif" w:eastAsia="sans-serif" w:hAnsi="sans-serif" w:cs="sans-serif"/>
                <w:color w:val="000000"/>
                <w:sz w:val="20"/>
                <w:szCs w:val="20"/>
              </w:rPr>
              <w:t>28,829 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2D7" w14:textId="77777777" w:rsidR="00BF3A3A" w:rsidRDefault="00BF3A3A">
            <w:pPr>
              <w:jc w:val="right"/>
              <w:rPr>
                <w:rFonts w:ascii="宋体"/>
              </w:rPr>
            </w:pPr>
          </w:p>
        </w:tc>
      </w:tr>
      <w:tr w:rsidR="00BF3A3A" w14:paraId="195022DF" w14:textId="77777777">
        <w:trPr>
          <w:jc w:val="center"/>
        </w:trPr>
        <w:tc>
          <w:tcPr>
            <w:tcW w:w="0" w:type="auto"/>
            <w:gridSpan w:val="3"/>
            <w:shd w:val="clear" w:color="auto" w:fill="E2EFD9"/>
            <w:tcMar>
              <w:top w:w="40" w:type="dxa"/>
              <w:left w:w="20" w:type="dxa"/>
              <w:bottom w:w="40" w:type="dxa"/>
              <w:right w:w="20" w:type="dxa"/>
            </w:tcMar>
            <w:vAlign w:val="bottom"/>
          </w:tcPr>
          <w:p w14:paraId="195022D9" w14:textId="77777777" w:rsidR="00BF3A3A" w:rsidRDefault="00A76802">
            <w:pPr>
              <w:textAlignment w:val="bottom"/>
            </w:pPr>
            <w:r>
              <w:rPr>
                <w:rFonts w:ascii="sans-serif" w:eastAsia="sans-serif" w:hAnsi="sans-serif" w:cs="sans-serif"/>
                <w:color w:val="000000"/>
                <w:sz w:val="20"/>
                <w:szCs w:val="20"/>
              </w:rPr>
              <w:t>Property and equipment, net</w:t>
            </w:r>
          </w:p>
        </w:tc>
        <w:tc>
          <w:tcPr>
            <w:tcW w:w="0" w:type="auto"/>
            <w:gridSpan w:val="2"/>
            <w:shd w:val="clear" w:color="auto" w:fill="E2EFD9"/>
            <w:tcMar>
              <w:top w:w="40" w:type="dxa"/>
              <w:left w:w="20" w:type="dxa"/>
              <w:bottom w:w="40" w:type="dxa"/>
              <w:right w:w="0" w:type="dxa"/>
            </w:tcMar>
            <w:vAlign w:val="bottom"/>
          </w:tcPr>
          <w:p w14:paraId="195022DA" w14:textId="77777777" w:rsidR="00BF3A3A" w:rsidRDefault="00A76802">
            <w:pPr>
              <w:jc w:val="right"/>
              <w:textAlignment w:val="bottom"/>
            </w:pPr>
            <w:r>
              <w:rPr>
                <w:rFonts w:ascii="sans-serif" w:eastAsia="sans-serif" w:hAnsi="sans-serif" w:cs="sans-serif"/>
                <w:color w:val="000000"/>
                <w:sz w:val="20"/>
                <w:szCs w:val="20"/>
              </w:rPr>
              <w:t>3,233 </w:t>
            </w:r>
          </w:p>
        </w:tc>
        <w:tc>
          <w:tcPr>
            <w:tcW w:w="0" w:type="auto"/>
            <w:shd w:val="clear" w:color="auto" w:fill="E2EFD9"/>
            <w:tcMar>
              <w:top w:w="40" w:type="dxa"/>
              <w:left w:w="0" w:type="dxa"/>
              <w:bottom w:w="40" w:type="dxa"/>
              <w:right w:w="20" w:type="dxa"/>
            </w:tcMar>
            <w:vAlign w:val="bottom"/>
          </w:tcPr>
          <w:p w14:paraId="195022DB"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2DC"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2DD" w14:textId="77777777" w:rsidR="00BF3A3A" w:rsidRDefault="00A76802">
            <w:pPr>
              <w:jc w:val="right"/>
              <w:textAlignment w:val="bottom"/>
            </w:pPr>
            <w:r>
              <w:rPr>
                <w:rFonts w:ascii="sans-serif" w:eastAsia="sans-serif" w:hAnsi="sans-serif" w:cs="sans-serif"/>
                <w:color w:val="000000"/>
                <w:sz w:val="20"/>
                <w:szCs w:val="20"/>
              </w:rPr>
              <w:t>2,778 </w:t>
            </w:r>
          </w:p>
        </w:tc>
        <w:tc>
          <w:tcPr>
            <w:tcW w:w="0" w:type="auto"/>
            <w:shd w:val="clear" w:color="auto" w:fill="E2EFD9"/>
            <w:tcMar>
              <w:top w:w="40" w:type="dxa"/>
              <w:left w:w="0" w:type="dxa"/>
              <w:bottom w:w="40" w:type="dxa"/>
              <w:right w:w="20" w:type="dxa"/>
            </w:tcMar>
            <w:vAlign w:val="bottom"/>
          </w:tcPr>
          <w:p w14:paraId="195022DE" w14:textId="77777777" w:rsidR="00BF3A3A" w:rsidRDefault="00BF3A3A">
            <w:pPr>
              <w:jc w:val="right"/>
              <w:rPr>
                <w:rFonts w:ascii="宋体"/>
              </w:rPr>
            </w:pPr>
          </w:p>
        </w:tc>
      </w:tr>
      <w:tr w:rsidR="00BF3A3A" w14:paraId="195022E6" w14:textId="77777777">
        <w:trPr>
          <w:jc w:val="center"/>
        </w:trPr>
        <w:tc>
          <w:tcPr>
            <w:tcW w:w="0" w:type="auto"/>
            <w:gridSpan w:val="3"/>
            <w:shd w:val="clear" w:color="auto" w:fill="FFFFFF"/>
            <w:tcMar>
              <w:top w:w="40" w:type="dxa"/>
              <w:left w:w="20" w:type="dxa"/>
              <w:bottom w:w="40" w:type="dxa"/>
              <w:right w:w="20" w:type="dxa"/>
            </w:tcMar>
            <w:vAlign w:val="bottom"/>
          </w:tcPr>
          <w:p w14:paraId="195022E0" w14:textId="77777777" w:rsidR="00BF3A3A" w:rsidRDefault="00A76802">
            <w:pPr>
              <w:textAlignment w:val="bottom"/>
            </w:pPr>
            <w:r>
              <w:rPr>
                <w:rFonts w:ascii="sans-serif" w:eastAsia="sans-serif" w:hAnsi="sans-serif" w:cs="sans-serif"/>
                <w:color w:val="000000"/>
                <w:sz w:val="20"/>
                <w:szCs w:val="20"/>
              </w:rPr>
              <w:t>Operating lease assets</w:t>
            </w:r>
          </w:p>
        </w:tc>
        <w:tc>
          <w:tcPr>
            <w:tcW w:w="0" w:type="auto"/>
            <w:gridSpan w:val="2"/>
            <w:shd w:val="clear" w:color="auto" w:fill="FFFFFF"/>
            <w:tcMar>
              <w:top w:w="40" w:type="dxa"/>
              <w:left w:w="20" w:type="dxa"/>
              <w:bottom w:w="40" w:type="dxa"/>
              <w:right w:w="0" w:type="dxa"/>
            </w:tcMar>
            <w:vAlign w:val="bottom"/>
          </w:tcPr>
          <w:p w14:paraId="195022E1" w14:textId="77777777" w:rsidR="00BF3A3A" w:rsidRDefault="00A76802">
            <w:pPr>
              <w:jc w:val="right"/>
              <w:textAlignment w:val="bottom"/>
            </w:pPr>
            <w:r>
              <w:rPr>
                <w:rFonts w:ascii="sans-serif" w:eastAsia="sans-serif" w:hAnsi="sans-serif" w:cs="sans-serif"/>
                <w:color w:val="000000"/>
                <w:sz w:val="20"/>
                <w:szCs w:val="20"/>
              </w:rPr>
              <w:t>852 </w:t>
            </w:r>
          </w:p>
        </w:tc>
        <w:tc>
          <w:tcPr>
            <w:tcW w:w="0" w:type="auto"/>
            <w:shd w:val="clear" w:color="auto" w:fill="FFFFFF"/>
            <w:tcMar>
              <w:top w:w="40" w:type="dxa"/>
              <w:left w:w="0" w:type="dxa"/>
              <w:bottom w:w="40" w:type="dxa"/>
              <w:right w:w="20" w:type="dxa"/>
            </w:tcMar>
            <w:vAlign w:val="bottom"/>
          </w:tcPr>
          <w:p w14:paraId="195022E2"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2E3"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2E4" w14:textId="77777777" w:rsidR="00BF3A3A" w:rsidRDefault="00A76802">
            <w:pPr>
              <w:jc w:val="right"/>
              <w:textAlignment w:val="bottom"/>
            </w:pPr>
            <w:r>
              <w:rPr>
                <w:rFonts w:ascii="sans-serif" w:eastAsia="sans-serif" w:hAnsi="sans-serif" w:cs="sans-serif"/>
                <w:color w:val="000000"/>
                <w:sz w:val="20"/>
                <w:szCs w:val="20"/>
              </w:rPr>
              <w:t>829 </w:t>
            </w:r>
          </w:p>
        </w:tc>
        <w:tc>
          <w:tcPr>
            <w:tcW w:w="0" w:type="auto"/>
            <w:shd w:val="clear" w:color="auto" w:fill="FFFFFF"/>
            <w:tcMar>
              <w:top w:w="40" w:type="dxa"/>
              <w:left w:w="0" w:type="dxa"/>
              <w:bottom w:w="40" w:type="dxa"/>
              <w:right w:w="20" w:type="dxa"/>
            </w:tcMar>
            <w:vAlign w:val="bottom"/>
          </w:tcPr>
          <w:p w14:paraId="195022E5" w14:textId="77777777" w:rsidR="00BF3A3A" w:rsidRDefault="00BF3A3A">
            <w:pPr>
              <w:jc w:val="right"/>
              <w:rPr>
                <w:rFonts w:ascii="宋体"/>
              </w:rPr>
            </w:pPr>
          </w:p>
        </w:tc>
      </w:tr>
      <w:tr w:rsidR="00BF3A3A" w14:paraId="195022ED" w14:textId="77777777">
        <w:trPr>
          <w:jc w:val="center"/>
        </w:trPr>
        <w:tc>
          <w:tcPr>
            <w:tcW w:w="0" w:type="auto"/>
            <w:gridSpan w:val="3"/>
            <w:shd w:val="clear" w:color="auto" w:fill="E2EFD9"/>
            <w:tcMar>
              <w:top w:w="40" w:type="dxa"/>
              <w:left w:w="20" w:type="dxa"/>
              <w:bottom w:w="40" w:type="dxa"/>
              <w:right w:w="20" w:type="dxa"/>
            </w:tcMar>
            <w:vAlign w:val="bottom"/>
          </w:tcPr>
          <w:p w14:paraId="195022E7" w14:textId="77777777" w:rsidR="00BF3A3A" w:rsidRDefault="00A76802">
            <w:pPr>
              <w:textAlignment w:val="bottom"/>
            </w:pPr>
            <w:r>
              <w:rPr>
                <w:rFonts w:ascii="sans-serif" w:eastAsia="sans-serif" w:hAnsi="sans-serif" w:cs="sans-serif"/>
                <w:color w:val="000000"/>
                <w:sz w:val="20"/>
                <w:szCs w:val="20"/>
              </w:rPr>
              <w:t>Goodwill</w:t>
            </w:r>
          </w:p>
        </w:tc>
        <w:tc>
          <w:tcPr>
            <w:tcW w:w="0" w:type="auto"/>
            <w:gridSpan w:val="2"/>
            <w:shd w:val="clear" w:color="auto" w:fill="E2EFD9"/>
            <w:tcMar>
              <w:top w:w="40" w:type="dxa"/>
              <w:left w:w="20" w:type="dxa"/>
              <w:bottom w:w="40" w:type="dxa"/>
              <w:right w:w="0" w:type="dxa"/>
            </w:tcMar>
            <w:vAlign w:val="bottom"/>
          </w:tcPr>
          <w:p w14:paraId="195022E8" w14:textId="77777777" w:rsidR="00BF3A3A" w:rsidRDefault="00A76802">
            <w:pPr>
              <w:jc w:val="right"/>
              <w:textAlignment w:val="bottom"/>
            </w:pPr>
            <w:r>
              <w:rPr>
                <w:rFonts w:ascii="sans-serif" w:eastAsia="sans-serif" w:hAnsi="sans-serif" w:cs="sans-serif"/>
                <w:color w:val="000000"/>
                <w:sz w:val="20"/>
                <w:szCs w:val="20"/>
              </w:rPr>
              <w:t>4,372 </w:t>
            </w:r>
          </w:p>
        </w:tc>
        <w:tc>
          <w:tcPr>
            <w:tcW w:w="0" w:type="auto"/>
            <w:shd w:val="clear" w:color="auto" w:fill="E2EFD9"/>
            <w:tcMar>
              <w:top w:w="40" w:type="dxa"/>
              <w:left w:w="0" w:type="dxa"/>
              <w:bottom w:w="40" w:type="dxa"/>
              <w:right w:w="20" w:type="dxa"/>
            </w:tcMar>
            <w:vAlign w:val="bottom"/>
          </w:tcPr>
          <w:p w14:paraId="195022E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2EA"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2EB" w14:textId="77777777" w:rsidR="00BF3A3A" w:rsidRDefault="00A76802">
            <w:pPr>
              <w:jc w:val="right"/>
              <w:textAlignment w:val="bottom"/>
            </w:pPr>
            <w:r>
              <w:rPr>
                <w:rFonts w:ascii="sans-serif" w:eastAsia="sans-serif" w:hAnsi="sans-serif" w:cs="sans-serif"/>
                <w:color w:val="000000"/>
                <w:sz w:val="20"/>
                <w:szCs w:val="20"/>
              </w:rPr>
              <w:t>4,349 </w:t>
            </w:r>
          </w:p>
        </w:tc>
        <w:tc>
          <w:tcPr>
            <w:tcW w:w="0" w:type="auto"/>
            <w:shd w:val="clear" w:color="auto" w:fill="E2EFD9"/>
            <w:tcMar>
              <w:top w:w="40" w:type="dxa"/>
              <w:left w:w="0" w:type="dxa"/>
              <w:bottom w:w="40" w:type="dxa"/>
              <w:right w:w="20" w:type="dxa"/>
            </w:tcMar>
            <w:vAlign w:val="bottom"/>
          </w:tcPr>
          <w:p w14:paraId="195022EC" w14:textId="77777777" w:rsidR="00BF3A3A" w:rsidRDefault="00BF3A3A">
            <w:pPr>
              <w:jc w:val="right"/>
              <w:rPr>
                <w:rFonts w:ascii="宋体"/>
              </w:rPr>
            </w:pPr>
          </w:p>
        </w:tc>
      </w:tr>
      <w:tr w:rsidR="00BF3A3A" w14:paraId="195022F4" w14:textId="77777777">
        <w:trPr>
          <w:jc w:val="center"/>
        </w:trPr>
        <w:tc>
          <w:tcPr>
            <w:tcW w:w="0" w:type="auto"/>
            <w:gridSpan w:val="3"/>
            <w:shd w:val="clear" w:color="auto" w:fill="FFFFFF"/>
            <w:tcMar>
              <w:top w:w="40" w:type="dxa"/>
              <w:left w:w="20" w:type="dxa"/>
              <w:bottom w:w="40" w:type="dxa"/>
              <w:right w:w="20" w:type="dxa"/>
            </w:tcMar>
            <w:vAlign w:val="bottom"/>
          </w:tcPr>
          <w:p w14:paraId="195022EE" w14:textId="77777777" w:rsidR="00BF3A3A" w:rsidRDefault="00A76802">
            <w:pPr>
              <w:textAlignment w:val="bottom"/>
            </w:pPr>
            <w:r>
              <w:rPr>
                <w:rFonts w:ascii="sans-serif" w:eastAsia="sans-serif" w:hAnsi="sans-serif" w:cs="sans-serif"/>
                <w:color w:val="000000"/>
                <w:sz w:val="20"/>
                <w:szCs w:val="20"/>
              </w:rPr>
              <w:t>Intangible assets, net</w:t>
            </w:r>
          </w:p>
        </w:tc>
        <w:tc>
          <w:tcPr>
            <w:tcW w:w="0" w:type="auto"/>
            <w:gridSpan w:val="2"/>
            <w:shd w:val="clear" w:color="auto" w:fill="FFFFFF"/>
            <w:tcMar>
              <w:top w:w="40" w:type="dxa"/>
              <w:left w:w="20" w:type="dxa"/>
              <w:bottom w:w="40" w:type="dxa"/>
              <w:right w:w="0" w:type="dxa"/>
            </w:tcMar>
            <w:vAlign w:val="bottom"/>
          </w:tcPr>
          <w:p w14:paraId="195022EF" w14:textId="77777777" w:rsidR="00BF3A3A" w:rsidRDefault="00A76802">
            <w:pPr>
              <w:jc w:val="right"/>
              <w:textAlignment w:val="bottom"/>
            </w:pPr>
            <w:r>
              <w:rPr>
                <w:rFonts w:ascii="sans-serif" w:eastAsia="sans-serif" w:hAnsi="sans-serif" w:cs="sans-serif"/>
                <w:color w:val="000000"/>
                <w:sz w:val="20"/>
                <w:szCs w:val="20"/>
              </w:rPr>
              <w:t>2,036 </w:t>
            </w:r>
          </w:p>
        </w:tc>
        <w:tc>
          <w:tcPr>
            <w:tcW w:w="0" w:type="auto"/>
            <w:shd w:val="clear" w:color="auto" w:fill="FFFFFF"/>
            <w:tcMar>
              <w:top w:w="40" w:type="dxa"/>
              <w:left w:w="0" w:type="dxa"/>
              <w:bottom w:w="40" w:type="dxa"/>
              <w:right w:w="20" w:type="dxa"/>
            </w:tcMar>
            <w:vAlign w:val="bottom"/>
          </w:tcPr>
          <w:p w14:paraId="195022F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2F1"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2F2" w14:textId="77777777" w:rsidR="00BF3A3A" w:rsidRDefault="00A76802">
            <w:pPr>
              <w:jc w:val="right"/>
              <w:textAlignment w:val="bottom"/>
            </w:pPr>
            <w:r>
              <w:rPr>
                <w:rFonts w:ascii="sans-serif" w:eastAsia="sans-serif" w:hAnsi="sans-serif" w:cs="sans-serif"/>
                <w:color w:val="000000"/>
                <w:sz w:val="20"/>
                <w:szCs w:val="20"/>
              </w:rPr>
              <w:t>2,339 </w:t>
            </w:r>
          </w:p>
        </w:tc>
        <w:tc>
          <w:tcPr>
            <w:tcW w:w="0" w:type="auto"/>
            <w:shd w:val="clear" w:color="auto" w:fill="FFFFFF"/>
            <w:tcMar>
              <w:top w:w="40" w:type="dxa"/>
              <w:left w:w="0" w:type="dxa"/>
              <w:bottom w:w="40" w:type="dxa"/>
              <w:right w:w="20" w:type="dxa"/>
            </w:tcMar>
            <w:vAlign w:val="bottom"/>
          </w:tcPr>
          <w:p w14:paraId="195022F3" w14:textId="77777777" w:rsidR="00BF3A3A" w:rsidRDefault="00BF3A3A">
            <w:pPr>
              <w:jc w:val="right"/>
              <w:rPr>
                <w:rFonts w:ascii="宋体"/>
              </w:rPr>
            </w:pPr>
          </w:p>
        </w:tc>
      </w:tr>
      <w:tr w:rsidR="00BF3A3A" w14:paraId="195022FB" w14:textId="77777777">
        <w:trPr>
          <w:jc w:val="center"/>
        </w:trPr>
        <w:tc>
          <w:tcPr>
            <w:tcW w:w="0" w:type="auto"/>
            <w:gridSpan w:val="3"/>
            <w:shd w:val="clear" w:color="auto" w:fill="E2EFD9"/>
            <w:tcMar>
              <w:top w:w="40" w:type="dxa"/>
              <w:left w:w="20" w:type="dxa"/>
              <w:bottom w:w="40" w:type="dxa"/>
              <w:right w:w="20" w:type="dxa"/>
            </w:tcMar>
            <w:vAlign w:val="bottom"/>
          </w:tcPr>
          <w:p w14:paraId="195022F5" w14:textId="77777777" w:rsidR="00BF3A3A" w:rsidRDefault="00A76802">
            <w:pPr>
              <w:textAlignment w:val="bottom"/>
            </w:pPr>
            <w:r>
              <w:rPr>
                <w:rFonts w:ascii="sans-serif" w:eastAsia="sans-serif" w:hAnsi="sans-serif" w:cs="sans-serif"/>
                <w:color w:val="000000"/>
                <w:sz w:val="20"/>
                <w:szCs w:val="20"/>
              </w:rPr>
              <w:t>Deferred income tax assets</w:t>
            </w:r>
          </w:p>
        </w:tc>
        <w:tc>
          <w:tcPr>
            <w:tcW w:w="0" w:type="auto"/>
            <w:gridSpan w:val="2"/>
            <w:shd w:val="clear" w:color="auto" w:fill="E2EFD9"/>
            <w:tcMar>
              <w:top w:w="40" w:type="dxa"/>
              <w:left w:w="20" w:type="dxa"/>
              <w:bottom w:w="40" w:type="dxa"/>
              <w:right w:w="0" w:type="dxa"/>
            </w:tcMar>
            <w:vAlign w:val="bottom"/>
          </w:tcPr>
          <w:p w14:paraId="195022F6" w14:textId="77777777" w:rsidR="00BF3A3A" w:rsidRDefault="00A76802">
            <w:pPr>
              <w:jc w:val="right"/>
              <w:textAlignment w:val="bottom"/>
            </w:pPr>
            <w:r>
              <w:rPr>
                <w:rFonts w:ascii="sans-serif" w:eastAsia="sans-serif" w:hAnsi="sans-serif" w:cs="sans-serif"/>
                <w:color w:val="000000"/>
                <w:sz w:val="20"/>
                <w:szCs w:val="20"/>
              </w:rPr>
              <w:t>2,225 </w:t>
            </w:r>
          </w:p>
        </w:tc>
        <w:tc>
          <w:tcPr>
            <w:tcW w:w="0" w:type="auto"/>
            <w:shd w:val="clear" w:color="auto" w:fill="E2EFD9"/>
            <w:tcMar>
              <w:top w:w="40" w:type="dxa"/>
              <w:left w:w="0" w:type="dxa"/>
              <w:bottom w:w="40" w:type="dxa"/>
              <w:right w:w="20" w:type="dxa"/>
            </w:tcMar>
            <w:vAlign w:val="bottom"/>
          </w:tcPr>
          <w:p w14:paraId="195022F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2F8"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2F9" w14:textId="77777777" w:rsidR="00BF3A3A" w:rsidRDefault="00A76802">
            <w:pPr>
              <w:jc w:val="right"/>
              <w:textAlignment w:val="bottom"/>
            </w:pPr>
            <w:r>
              <w:rPr>
                <w:rFonts w:ascii="sans-serif" w:eastAsia="sans-serif" w:hAnsi="sans-serif" w:cs="sans-serif"/>
                <w:color w:val="000000"/>
                <w:sz w:val="20"/>
                <w:szCs w:val="20"/>
              </w:rPr>
              <w:t>1,222 </w:t>
            </w:r>
          </w:p>
        </w:tc>
        <w:tc>
          <w:tcPr>
            <w:tcW w:w="0" w:type="auto"/>
            <w:shd w:val="clear" w:color="auto" w:fill="E2EFD9"/>
            <w:tcMar>
              <w:top w:w="40" w:type="dxa"/>
              <w:left w:w="0" w:type="dxa"/>
              <w:bottom w:w="40" w:type="dxa"/>
              <w:right w:w="20" w:type="dxa"/>
            </w:tcMar>
            <w:vAlign w:val="bottom"/>
          </w:tcPr>
          <w:p w14:paraId="195022FA" w14:textId="77777777" w:rsidR="00BF3A3A" w:rsidRDefault="00BF3A3A">
            <w:pPr>
              <w:jc w:val="right"/>
              <w:rPr>
                <w:rFonts w:ascii="宋体"/>
              </w:rPr>
            </w:pPr>
          </w:p>
        </w:tc>
      </w:tr>
      <w:tr w:rsidR="00BF3A3A" w14:paraId="19502302" w14:textId="77777777">
        <w:trPr>
          <w:jc w:val="center"/>
        </w:trPr>
        <w:tc>
          <w:tcPr>
            <w:tcW w:w="0" w:type="auto"/>
            <w:gridSpan w:val="3"/>
            <w:shd w:val="clear" w:color="auto" w:fill="FFFFFF"/>
            <w:tcMar>
              <w:top w:w="40" w:type="dxa"/>
              <w:left w:w="20" w:type="dxa"/>
              <w:bottom w:w="40" w:type="dxa"/>
              <w:right w:w="20" w:type="dxa"/>
            </w:tcMar>
            <w:vAlign w:val="bottom"/>
          </w:tcPr>
          <w:p w14:paraId="195022FC" w14:textId="77777777" w:rsidR="00BF3A3A" w:rsidRDefault="00A76802">
            <w:pPr>
              <w:textAlignment w:val="bottom"/>
            </w:pPr>
            <w:r>
              <w:rPr>
                <w:rFonts w:ascii="sans-serif" w:eastAsia="sans-serif" w:hAnsi="sans-serif" w:cs="sans-serif"/>
                <w:color w:val="000000"/>
                <w:sz w:val="20"/>
                <w:szCs w:val="20"/>
              </w:rPr>
              <w:t>Other assets</w:t>
            </w:r>
          </w:p>
        </w:tc>
        <w:tc>
          <w:tcPr>
            <w:tcW w:w="0" w:type="auto"/>
            <w:gridSpan w:val="2"/>
            <w:shd w:val="clear" w:color="auto" w:fill="FFFFFF"/>
            <w:tcMar>
              <w:top w:w="40" w:type="dxa"/>
              <w:left w:w="20" w:type="dxa"/>
              <w:bottom w:w="40" w:type="dxa"/>
              <w:right w:w="0" w:type="dxa"/>
            </w:tcMar>
            <w:vAlign w:val="bottom"/>
          </w:tcPr>
          <w:p w14:paraId="195022FD" w14:textId="77777777" w:rsidR="00BF3A3A" w:rsidRDefault="00A76802">
            <w:pPr>
              <w:jc w:val="right"/>
              <w:textAlignment w:val="bottom"/>
            </w:pPr>
            <w:r>
              <w:rPr>
                <w:rFonts w:ascii="sans-serif" w:eastAsia="sans-serif" w:hAnsi="sans-serif" w:cs="sans-serif"/>
                <w:color w:val="000000"/>
                <w:sz w:val="20"/>
                <w:szCs w:val="20"/>
              </w:rPr>
              <w:t>3,340 </w:t>
            </w:r>
          </w:p>
        </w:tc>
        <w:tc>
          <w:tcPr>
            <w:tcW w:w="0" w:type="auto"/>
            <w:shd w:val="clear" w:color="auto" w:fill="FFFFFF"/>
            <w:tcMar>
              <w:top w:w="40" w:type="dxa"/>
              <w:left w:w="0" w:type="dxa"/>
              <w:bottom w:w="40" w:type="dxa"/>
              <w:right w:w="20" w:type="dxa"/>
            </w:tcMar>
            <w:vAlign w:val="bottom"/>
          </w:tcPr>
          <w:p w14:paraId="195022FE"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2FF"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300" w14:textId="77777777" w:rsidR="00BF3A3A" w:rsidRDefault="00A76802">
            <w:pPr>
              <w:jc w:val="right"/>
              <w:textAlignment w:val="bottom"/>
            </w:pPr>
            <w:r>
              <w:rPr>
                <w:rFonts w:ascii="sans-serif" w:eastAsia="sans-serif" w:hAnsi="sans-serif" w:cs="sans-serif"/>
                <w:color w:val="000000"/>
                <w:sz w:val="20"/>
                <w:szCs w:val="20"/>
              </w:rPr>
              <w:t>3,841 </w:t>
            </w:r>
          </w:p>
        </w:tc>
        <w:tc>
          <w:tcPr>
            <w:tcW w:w="0" w:type="auto"/>
            <w:shd w:val="clear" w:color="auto" w:fill="FFFFFF"/>
            <w:tcMar>
              <w:top w:w="40" w:type="dxa"/>
              <w:left w:w="0" w:type="dxa"/>
              <w:bottom w:w="40" w:type="dxa"/>
              <w:right w:w="20" w:type="dxa"/>
            </w:tcMar>
            <w:vAlign w:val="bottom"/>
          </w:tcPr>
          <w:p w14:paraId="19502301" w14:textId="77777777" w:rsidR="00BF3A3A" w:rsidRDefault="00BF3A3A">
            <w:pPr>
              <w:jc w:val="right"/>
              <w:rPr>
                <w:rFonts w:ascii="宋体"/>
              </w:rPr>
            </w:pPr>
          </w:p>
        </w:tc>
      </w:tr>
      <w:tr w:rsidR="00BF3A3A" w14:paraId="1950230B" w14:textId="77777777">
        <w:trPr>
          <w:jc w:val="center"/>
        </w:trPr>
        <w:tc>
          <w:tcPr>
            <w:tcW w:w="0" w:type="auto"/>
            <w:gridSpan w:val="3"/>
            <w:shd w:val="clear" w:color="auto" w:fill="E2EFD9"/>
            <w:tcMar>
              <w:top w:w="40" w:type="dxa"/>
              <w:left w:w="20" w:type="dxa"/>
              <w:bottom w:w="40" w:type="dxa"/>
              <w:right w:w="20" w:type="dxa"/>
            </w:tcMar>
            <w:vAlign w:val="bottom"/>
          </w:tcPr>
          <w:p w14:paraId="19502303" w14:textId="77777777" w:rsidR="00BF3A3A" w:rsidRDefault="00A76802">
            <w:pPr>
              <w:textAlignment w:val="bottom"/>
            </w:pPr>
            <w:r>
              <w:rPr>
                <w:rFonts w:ascii="sans-serif" w:eastAsia="sans-serif" w:hAnsi="sans-serif" w:cs="sans-serif"/>
                <w:color w:val="000000"/>
                <w:sz w:val="20"/>
                <w:szCs w:val="20"/>
              </w:rPr>
              <w:t>Total assets</w:t>
            </w:r>
          </w:p>
        </w:tc>
        <w:tc>
          <w:tcPr>
            <w:tcW w:w="0" w:type="auto"/>
            <w:tcBorders>
              <w:top w:val="single" w:sz="8" w:space="0" w:color="000000"/>
            </w:tcBorders>
            <w:shd w:val="clear" w:color="auto" w:fill="E2EFD9"/>
            <w:tcMar>
              <w:top w:w="40" w:type="dxa"/>
              <w:left w:w="20" w:type="dxa"/>
              <w:bottom w:w="40" w:type="dxa"/>
              <w:right w:w="0" w:type="dxa"/>
            </w:tcMar>
            <w:vAlign w:val="bottom"/>
          </w:tcPr>
          <w:p w14:paraId="19502304"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305" w14:textId="77777777" w:rsidR="00BF3A3A" w:rsidRDefault="00A76802">
            <w:pPr>
              <w:jc w:val="right"/>
              <w:textAlignment w:val="bottom"/>
            </w:pPr>
            <w:r>
              <w:rPr>
                <w:rFonts w:ascii="sans-serif" w:eastAsia="sans-serif" w:hAnsi="sans-serif" w:cs="sans-serif"/>
                <w:color w:val="000000"/>
                <w:sz w:val="20"/>
                <w:szCs w:val="20"/>
              </w:rPr>
              <w:t>43,476 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30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307"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308"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309" w14:textId="77777777" w:rsidR="00BF3A3A" w:rsidRDefault="00A76802">
            <w:pPr>
              <w:jc w:val="right"/>
              <w:textAlignment w:val="bottom"/>
            </w:pPr>
            <w:r>
              <w:rPr>
                <w:rFonts w:ascii="sans-serif" w:eastAsia="sans-serif" w:hAnsi="sans-serif" w:cs="sans-serif"/>
                <w:color w:val="000000"/>
                <w:sz w:val="20"/>
                <w:szCs w:val="20"/>
              </w:rPr>
              <w:t>44,187 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30A" w14:textId="77777777" w:rsidR="00BF3A3A" w:rsidRDefault="00BF3A3A">
            <w:pPr>
              <w:jc w:val="right"/>
              <w:rPr>
                <w:rFonts w:ascii="宋体"/>
              </w:rPr>
            </w:pPr>
          </w:p>
        </w:tc>
      </w:tr>
      <w:tr w:rsidR="00BF3A3A" w14:paraId="19502310" w14:textId="77777777">
        <w:trPr>
          <w:trHeight w:val="300"/>
          <w:jc w:val="center"/>
        </w:trPr>
        <w:tc>
          <w:tcPr>
            <w:tcW w:w="0" w:type="auto"/>
            <w:gridSpan w:val="3"/>
            <w:shd w:val="clear" w:color="auto" w:fill="FFFFFF"/>
            <w:tcMar>
              <w:top w:w="0" w:type="dxa"/>
              <w:left w:w="20" w:type="dxa"/>
              <w:bottom w:w="0" w:type="dxa"/>
              <w:right w:w="20" w:type="dxa"/>
            </w:tcMar>
            <w:vAlign w:val="bottom"/>
          </w:tcPr>
          <w:p w14:paraId="1950230C" w14:textId="77777777" w:rsidR="00BF3A3A" w:rsidRDefault="00BF3A3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950230D"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30E" w14:textId="77777777" w:rsidR="00BF3A3A" w:rsidRDefault="00BF3A3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950230F" w14:textId="77777777" w:rsidR="00BF3A3A" w:rsidRDefault="00BF3A3A">
            <w:pPr>
              <w:rPr>
                <w:rFonts w:ascii="宋体"/>
              </w:rPr>
            </w:pPr>
          </w:p>
        </w:tc>
      </w:tr>
      <w:tr w:rsidR="00BF3A3A" w14:paraId="19502315" w14:textId="77777777">
        <w:trPr>
          <w:jc w:val="center"/>
        </w:trPr>
        <w:tc>
          <w:tcPr>
            <w:tcW w:w="0" w:type="auto"/>
            <w:gridSpan w:val="3"/>
            <w:shd w:val="clear" w:color="auto" w:fill="E2EFD9"/>
            <w:tcMar>
              <w:top w:w="40" w:type="dxa"/>
              <w:left w:w="20" w:type="dxa"/>
              <w:bottom w:w="40" w:type="dxa"/>
              <w:right w:w="20" w:type="dxa"/>
            </w:tcMar>
            <w:vAlign w:val="bottom"/>
          </w:tcPr>
          <w:p w14:paraId="19502311" w14:textId="77777777" w:rsidR="00BF3A3A" w:rsidRDefault="00A76802">
            <w:pPr>
              <w:textAlignment w:val="bottom"/>
            </w:pPr>
            <w:r>
              <w:rPr>
                <w:rFonts w:ascii="sans-serif" w:eastAsia="sans-serif" w:hAnsi="sans-serif" w:cs="sans-serif"/>
                <w:b/>
                <w:bCs/>
                <w:color w:val="000000"/>
                <w:sz w:val="20"/>
                <w:szCs w:val="20"/>
              </w:rPr>
              <w:t>LIABILITIES AND SHAREHOLDERS’ EQUITY</w:t>
            </w:r>
          </w:p>
        </w:tc>
        <w:tc>
          <w:tcPr>
            <w:tcW w:w="0" w:type="auto"/>
            <w:gridSpan w:val="3"/>
            <w:shd w:val="clear" w:color="auto" w:fill="E2EFD9"/>
            <w:tcMar>
              <w:top w:w="40" w:type="dxa"/>
              <w:left w:w="20" w:type="dxa"/>
              <w:bottom w:w="40" w:type="dxa"/>
              <w:right w:w="20" w:type="dxa"/>
            </w:tcMar>
            <w:vAlign w:val="bottom"/>
          </w:tcPr>
          <w:p w14:paraId="19502312"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9502313" w14:textId="77777777" w:rsidR="00BF3A3A" w:rsidRDefault="00BF3A3A">
            <w:pPr>
              <w:rPr>
                <w:rFonts w:ascii="宋体"/>
              </w:rPr>
            </w:pPr>
          </w:p>
        </w:tc>
        <w:tc>
          <w:tcPr>
            <w:tcW w:w="0" w:type="auto"/>
            <w:gridSpan w:val="3"/>
            <w:shd w:val="clear" w:color="auto" w:fill="E2EFD9"/>
            <w:tcMar>
              <w:top w:w="40" w:type="dxa"/>
              <w:left w:w="20" w:type="dxa"/>
              <w:bottom w:w="40" w:type="dxa"/>
              <w:right w:w="20" w:type="dxa"/>
            </w:tcMar>
            <w:vAlign w:val="bottom"/>
          </w:tcPr>
          <w:p w14:paraId="19502314" w14:textId="77777777" w:rsidR="00BF3A3A" w:rsidRDefault="00A76802">
            <w:pPr>
              <w:textAlignment w:val="bottom"/>
            </w:pPr>
            <w:r>
              <w:rPr>
                <w:rFonts w:ascii="sans-serif" w:eastAsia="sans-serif" w:hAnsi="sans-serif" w:cs="sans-serif"/>
                <w:color w:val="000000"/>
                <w:sz w:val="20"/>
                <w:szCs w:val="20"/>
              </w:rPr>
              <w:t> </w:t>
            </w:r>
          </w:p>
        </w:tc>
      </w:tr>
      <w:tr w:rsidR="00BF3A3A" w14:paraId="1950231A" w14:textId="77777777">
        <w:trPr>
          <w:jc w:val="center"/>
        </w:trPr>
        <w:tc>
          <w:tcPr>
            <w:tcW w:w="0" w:type="auto"/>
            <w:gridSpan w:val="3"/>
            <w:shd w:val="clear" w:color="auto" w:fill="FFFFFF"/>
            <w:tcMar>
              <w:top w:w="40" w:type="dxa"/>
              <w:left w:w="20" w:type="dxa"/>
              <w:bottom w:w="40" w:type="dxa"/>
              <w:right w:w="20" w:type="dxa"/>
            </w:tcMar>
            <w:vAlign w:val="bottom"/>
          </w:tcPr>
          <w:p w14:paraId="19502316" w14:textId="77777777" w:rsidR="00BF3A3A" w:rsidRDefault="00A76802">
            <w:pPr>
              <w:textAlignment w:val="bottom"/>
            </w:pPr>
            <w:r>
              <w:rPr>
                <w:rFonts w:ascii="sans-serif" w:eastAsia="sans-serif" w:hAnsi="sans-serif" w:cs="sans-serif"/>
                <w:color w:val="000000"/>
                <w:sz w:val="20"/>
                <w:szCs w:val="20"/>
              </w:rPr>
              <w:t xml:space="preserve">Current </w:t>
            </w:r>
            <w:r>
              <w:rPr>
                <w:rFonts w:ascii="sans-serif" w:eastAsia="sans-serif" w:hAnsi="sans-serif" w:cs="sans-serif"/>
                <w:color w:val="000000"/>
                <w:sz w:val="20"/>
                <w:szCs w:val="20"/>
              </w:rPr>
              <w:t>liabilities:</w:t>
            </w:r>
          </w:p>
        </w:tc>
        <w:tc>
          <w:tcPr>
            <w:tcW w:w="0" w:type="auto"/>
            <w:gridSpan w:val="3"/>
            <w:shd w:val="clear" w:color="auto" w:fill="FFFFFF"/>
            <w:tcMar>
              <w:top w:w="40" w:type="dxa"/>
              <w:left w:w="20" w:type="dxa"/>
              <w:bottom w:w="40" w:type="dxa"/>
              <w:right w:w="20" w:type="dxa"/>
            </w:tcMar>
            <w:vAlign w:val="bottom"/>
          </w:tcPr>
          <w:p w14:paraId="19502317"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19502318" w14:textId="77777777" w:rsidR="00BF3A3A" w:rsidRDefault="00BF3A3A">
            <w:pPr>
              <w:rPr>
                <w:rFonts w:ascii="宋体"/>
              </w:rPr>
            </w:pPr>
          </w:p>
        </w:tc>
        <w:tc>
          <w:tcPr>
            <w:tcW w:w="0" w:type="auto"/>
            <w:gridSpan w:val="3"/>
            <w:shd w:val="clear" w:color="auto" w:fill="FFFFFF"/>
            <w:tcMar>
              <w:top w:w="40" w:type="dxa"/>
              <w:left w:w="20" w:type="dxa"/>
              <w:bottom w:w="40" w:type="dxa"/>
              <w:right w:w="20" w:type="dxa"/>
            </w:tcMar>
            <w:vAlign w:val="bottom"/>
          </w:tcPr>
          <w:p w14:paraId="19502319" w14:textId="77777777" w:rsidR="00BF3A3A" w:rsidRDefault="00A76802">
            <w:pPr>
              <w:textAlignment w:val="bottom"/>
            </w:pPr>
            <w:r>
              <w:rPr>
                <w:rFonts w:ascii="sans-serif" w:eastAsia="sans-serif" w:hAnsi="sans-serif" w:cs="sans-serif"/>
                <w:color w:val="000000"/>
                <w:sz w:val="20"/>
                <w:szCs w:val="20"/>
              </w:rPr>
              <w:t> </w:t>
            </w:r>
          </w:p>
        </w:tc>
      </w:tr>
      <w:tr w:rsidR="00BF3A3A" w14:paraId="19502323" w14:textId="77777777">
        <w:trPr>
          <w:jc w:val="center"/>
        </w:trPr>
        <w:tc>
          <w:tcPr>
            <w:tcW w:w="0" w:type="auto"/>
            <w:gridSpan w:val="3"/>
            <w:shd w:val="clear" w:color="auto" w:fill="E2EFD9"/>
            <w:tcMar>
              <w:top w:w="40" w:type="dxa"/>
              <w:left w:w="245" w:type="dxa"/>
              <w:bottom w:w="40" w:type="dxa"/>
              <w:right w:w="20" w:type="dxa"/>
            </w:tcMar>
            <w:vAlign w:val="bottom"/>
          </w:tcPr>
          <w:p w14:paraId="1950231B" w14:textId="77777777" w:rsidR="00BF3A3A" w:rsidRDefault="00A76802">
            <w:pPr>
              <w:textAlignment w:val="bottom"/>
            </w:pPr>
            <w:r>
              <w:rPr>
                <w:rFonts w:ascii="sans-serif" w:eastAsia="sans-serif" w:hAnsi="sans-serif" w:cs="sans-serif"/>
                <w:color w:val="000000"/>
                <w:sz w:val="20"/>
                <w:szCs w:val="20"/>
              </w:rPr>
              <w:t>Accounts payable</w:t>
            </w:r>
          </w:p>
        </w:tc>
        <w:tc>
          <w:tcPr>
            <w:tcW w:w="0" w:type="auto"/>
            <w:shd w:val="clear" w:color="auto" w:fill="E2EFD9"/>
            <w:tcMar>
              <w:top w:w="40" w:type="dxa"/>
              <w:left w:w="20" w:type="dxa"/>
              <w:bottom w:w="40" w:type="dxa"/>
              <w:right w:w="0" w:type="dxa"/>
            </w:tcMar>
            <w:vAlign w:val="bottom"/>
          </w:tcPr>
          <w:p w14:paraId="1950231C"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31D" w14:textId="77777777" w:rsidR="00BF3A3A" w:rsidRDefault="00A76802">
            <w:pPr>
              <w:jc w:val="right"/>
              <w:textAlignment w:val="bottom"/>
            </w:pPr>
            <w:r>
              <w:rPr>
                <w:rFonts w:ascii="sans-serif" w:eastAsia="sans-serif" w:hAnsi="sans-serif" w:cs="sans-serif"/>
                <w:color w:val="000000"/>
                <w:sz w:val="20"/>
                <w:szCs w:val="20"/>
              </w:rPr>
              <w:t>2,421 </w:t>
            </w:r>
          </w:p>
        </w:tc>
        <w:tc>
          <w:tcPr>
            <w:tcW w:w="0" w:type="auto"/>
            <w:shd w:val="clear" w:color="auto" w:fill="E2EFD9"/>
            <w:tcMar>
              <w:top w:w="40" w:type="dxa"/>
              <w:left w:w="0" w:type="dxa"/>
              <w:bottom w:w="40" w:type="dxa"/>
              <w:right w:w="20" w:type="dxa"/>
            </w:tcMar>
            <w:vAlign w:val="bottom"/>
          </w:tcPr>
          <w:p w14:paraId="1950231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31F"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320"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321" w14:textId="77777777" w:rsidR="00BF3A3A" w:rsidRDefault="00A76802">
            <w:pPr>
              <w:jc w:val="right"/>
              <w:textAlignment w:val="bottom"/>
            </w:pPr>
            <w:r>
              <w:rPr>
                <w:rFonts w:ascii="sans-serif" w:eastAsia="sans-serif" w:hAnsi="sans-serif" w:cs="sans-serif"/>
                <w:color w:val="000000"/>
                <w:sz w:val="20"/>
                <w:szCs w:val="20"/>
              </w:rPr>
              <w:t>1,783 </w:t>
            </w:r>
          </w:p>
        </w:tc>
        <w:tc>
          <w:tcPr>
            <w:tcW w:w="0" w:type="auto"/>
            <w:shd w:val="clear" w:color="auto" w:fill="E2EFD9"/>
            <w:tcMar>
              <w:top w:w="40" w:type="dxa"/>
              <w:left w:w="0" w:type="dxa"/>
              <w:bottom w:w="40" w:type="dxa"/>
              <w:right w:w="20" w:type="dxa"/>
            </w:tcMar>
            <w:vAlign w:val="bottom"/>
          </w:tcPr>
          <w:p w14:paraId="19502322" w14:textId="77777777" w:rsidR="00BF3A3A" w:rsidRDefault="00BF3A3A">
            <w:pPr>
              <w:jc w:val="right"/>
              <w:rPr>
                <w:rFonts w:ascii="宋体"/>
              </w:rPr>
            </w:pPr>
          </w:p>
        </w:tc>
      </w:tr>
      <w:tr w:rsidR="00BF3A3A" w14:paraId="1950232A" w14:textId="77777777">
        <w:trPr>
          <w:jc w:val="center"/>
        </w:trPr>
        <w:tc>
          <w:tcPr>
            <w:tcW w:w="0" w:type="auto"/>
            <w:gridSpan w:val="3"/>
            <w:shd w:val="clear" w:color="auto" w:fill="FFFFFF"/>
            <w:tcMar>
              <w:top w:w="40" w:type="dxa"/>
              <w:left w:w="245" w:type="dxa"/>
              <w:bottom w:w="40" w:type="dxa"/>
              <w:right w:w="20" w:type="dxa"/>
            </w:tcMar>
            <w:vAlign w:val="bottom"/>
          </w:tcPr>
          <w:p w14:paraId="19502324" w14:textId="77777777" w:rsidR="00BF3A3A" w:rsidRDefault="00A76802">
            <w:pPr>
              <w:textAlignment w:val="bottom"/>
            </w:pPr>
            <w:r>
              <w:rPr>
                <w:rFonts w:ascii="sans-serif" w:eastAsia="sans-serif" w:hAnsi="sans-serif" w:cs="sans-serif"/>
                <w:color w:val="000000"/>
                <w:sz w:val="20"/>
                <w:szCs w:val="20"/>
              </w:rPr>
              <w:t>Accrued and other current liabilities</w:t>
            </w:r>
          </w:p>
        </w:tc>
        <w:tc>
          <w:tcPr>
            <w:tcW w:w="0" w:type="auto"/>
            <w:gridSpan w:val="2"/>
            <w:shd w:val="clear" w:color="auto" w:fill="FFFFFF"/>
            <w:tcMar>
              <w:top w:w="40" w:type="dxa"/>
              <w:left w:w="20" w:type="dxa"/>
              <w:bottom w:w="40" w:type="dxa"/>
              <w:right w:w="0" w:type="dxa"/>
            </w:tcMar>
            <w:vAlign w:val="bottom"/>
          </w:tcPr>
          <w:p w14:paraId="19502325" w14:textId="77777777" w:rsidR="00BF3A3A" w:rsidRDefault="00A76802">
            <w:pPr>
              <w:jc w:val="right"/>
              <w:textAlignment w:val="bottom"/>
            </w:pPr>
            <w:r>
              <w:rPr>
                <w:rFonts w:ascii="sans-serif" w:eastAsia="sans-serif" w:hAnsi="sans-serif" w:cs="sans-serif"/>
                <w:color w:val="000000"/>
                <w:sz w:val="20"/>
                <w:szCs w:val="20"/>
              </w:rPr>
              <w:t>3,903 </w:t>
            </w:r>
          </w:p>
        </w:tc>
        <w:tc>
          <w:tcPr>
            <w:tcW w:w="0" w:type="auto"/>
            <w:shd w:val="clear" w:color="auto" w:fill="FFFFFF"/>
            <w:tcMar>
              <w:top w:w="40" w:type="dxa"/>
              <w:left w:w="0" w:type="dxa"/>
              <w:bottom w:w="40" w:type="dxa"/>
              <w:right w:w="20" w:type="dxa"/>
            </w:tcMar>
            <w:vAlign w:val="bottom"/>
          </w:tcPr>
          <w:p w14:paraId="1950232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327"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328" w14:textId="77777777" w:rsidR="00BF3A3A" w:rsidRDefault="00A76802">
            <w:pPr>
              <w:jc w:val="right"/>
              <w:textAlignment w:val="bottom"/>
            </w:pPr>
            <w:r>
              <w:rPr>
                <w:rFonts w:ascii="sans-serif" w:eastAsia="sans-serif" w:hAnsi="sans-serif" w:cs="sans-serif"/>
                <w:color w:val="000000"/>
                <w:sz w:val="20"/>
                <w:szCs w:val="20"/>
              </w:rPr>
              <w:t>2,552 </w:t>
            </w:r>
          </w:p>
        </w:tc>
        <w:tc>
          <w:tcPr>
            <w:tcW w:w="0" w:type="auto"/>
            <w:shd w:val="clear" w:color="auto" w:fill="FFFFFF"/>
            <w:tcMar>
              <w:top w:w="40" w:type="dxa"/>
              <w:left w:w="0" w:type="dxa"/>
              <w:bottom w:w="40" w:type="dxa"/>
              <w:right w:w="20" w:type="dxa"/>
            </w:tcMar>
            <w:vAlign w:val="bottom"/>
          </w:tcPr>
          <w:p w14:paraId="19502329" w14:textId="77777777" w:rsidR="00BF3A3A" w:rsidRDefault="00BF3A3A">
            <w:pPr>
              <w:jc w:val="right"/>
              <w:rPr>
                <w:rFonts w:ascii="宋体"/>
              </w:rPr>
            </w:pPr>
          </w:p>
        </w:tc>
      </w:tr>
      <w:tr w:rsidR="00BF3A3A" w14:paraId="19502331" w14:textId="77777777">
        <w:trPr>
          <w:jc w:val="center"/>
        </w:trPr>
        <w:tc>
          <w:tcPr>
            <w:tcW w:w="0" w:type="auto"/>
            <w:gridSpan w:val="3"/>
            <w:shd w:val="clear" w:color="auto" w:fill="E2EFD9"/>
            <w:tcMar>
              <w:top w:w="40" w:type="dxa"/>
              <w:left w:w="245" w:type="dxa"/>
              <w:bottom w:w="40" w:type="dxa"/>
              <w:right w:w="20" w:type="dxa"/>
            </w:tcMar>
            <w:vAlign w:val="bottom"/>
          </w:tcPr>
          <w:p w14:paraId="1950232B" w14:textId="77777777" w:rsidR="00BF3A3A" w:rsidRDefault="00A76802">
            <w:pPr>
              <w:textAlignment w:val="bottom"/>
            </w:pPr>
            <w:r>
              <w:rPr>
                <w:rFonts w:ascii="sans-serif" w:eastAsia="sans-serif" w:hAnsi="sans-serif" w:cs="sans-serif"/>
                <w:color w:val="000000"/>
                <w:sz w:val="20"/>
                <w:szCs w:val="20"/>
              </w:rPr>
              <w:t>Short-term debt</w:t>
            </w:r>
          </w:p>
        </w:tc>
        <w:tc>
          <w:tcPr>
            <w:tcW w:w="0" w:type="auto"/>
            <w:gridSpan w:val="2"/>
            <w:shd w:val="clear" w:color="auto" w:fill="E2EFD9"/>
            <w:tcMar>
              <w:top w:w="40" w:type="dxa"/>
              <w:left w:w="20" w:type="dxa"/>
              <w:bottom w:w="40" w:type="dxa"/>
              <w:right w:w="0" w:type="dxa"/>
            </w:tcMar>
            <w:vAlign w:val="bottom"/>
          </w:tcPr>
          <w:p w14:paraId="1950232C" w14:textId="77777777" w:rsidR="00BF3A3A" w:rsidRDefault="00A76802">
            <w:pPr>
              <w:jc w:val="right"/>
              <w:textAlignment w:val="bottom"/>
            </w:pPr>
            <w:r>
              <w:rPr>
                <w:rFonts w:ascii="sans-serif" w:eastAsia="sans-serif" w:hAnsi="sans-serif" w:cs="sans-serif"/>
                <w:color w:val="000000"/>
                <w:sz w:val="20"/>
                <w:szCs w:val="20"/>
              </w:rPr>
              <w:t>1,249 </w:t>
            </w:r>
          </w:p>
        </w:tc>
        <w:tc>
          <w:tcPr>
            <w:tcW w:w="0" w:type="auto"/>
            <w:shd w:val="clear" w:color="auto" w:fill="E2EFD9"/>
            <w:tcMar>
              <w:top w:w="40" w:type="dxa"/>
              <w:left w:w="0" w:type="dxa"/>
              <w:bottom w:w="40" w:type="dxa"/>
              <w:right w:w="20" w:type="dxa"/>
            </w:tcMar>
            <w:vAlign w:val="bottom"/>
          </w:tcPr>
          <w:p w14:paraId="1950232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32E"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32F"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2330" w14:textId="77777777" w:rsidR="00BF3A3A" w:rsidRDefault="00BF3A3A">
            <w:pPr>
              <w:jc w:val="right"/>
              <w:rPr>
                <w:rFonts w:ascii="宋体"/>
              </w:rPr>
            </w:pPr>
          </w:p>
        </w:tc>
      </w:tr>
      <w:tr w:rsidR="00BF3A3A" w14:paraId="19502338" w14:textId="77777777">
        <w:trPr>
          <w:jc w:val="center"/>
        </w:trPr>
        <w:tc>
          <w:tcPr>
            <w:tcW w:w="0" w:type="auto"/>
            <w:gridSpan w:val="3"/>
            <w:shd w:val="clear" w:color="auto" w:fill="FFFFFF"/>
            <w:tcMar>
              <w:top w:w="40" w:type="dxa"/>
              <w:left w:w="20" w:type="dxa"/>
              <w:bottom w:w="40" w:type="dxa"/>
              <w:right w:w="20" w:type="dxa"/>
            </w:tcMar>
            <w:vAlign w:val="bottom"/>
          </w:tcPr>
          <w:p w14:paraId="19502332" w14:textId="77777777" w:rsidR="00BF3A3A" w:rsidRDefault="00A76802">
            <w:pPr>
              <w:textAlignment w:val="bottom"/>
            </w:pPr>
            <w:r>
              <w:rPr>
                <w:rFonts w:ascii="sans-serif" w:eastAsia="sans-serif" w:hAnsi="sans-serif" w:cs="sans-serif"/>
                <w:color w:val="000000"/>
                <w:sz w:val="20"/>
                <w:szCs w:val="20"/>
              </w:rPr>
              <w:t>Total 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333" w14:textId="77777777" w:rsidR="00BF3A3A" w:rsidRDefault="00A76802">
            <w:pPr>
              <w:jc w:val="right"/>
              <w:textAlignment w:val="bottom"/>
            </w:pPr>
            <w:r>
              <w:rPr>
                <w:rFonts w:ascii="sans-serif" w:eastAsia="sans-serif" w:hAnsi="sans-serif" w:cs="sans-serif"/>
                <w:color w:val="000000"/>
                <w:sz w:val="20"/>
                <w:szCs w:val="20"/>
              </w:rPr>
              <w:t>7,573 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334"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335"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336" w14:textId="77777777" w:rsidR="00BF3A3A" w:rsidRDefault="00A76802">
            <w:pPr>
              <w:jc w:val="right"/>
              <w:textAlignment w:val="bottom"/>
            </w:pPr>
            <w:r>
              <w:rPr>
                <w:rFonts w:ascii="sans-serif" w:eastAsia="sans-serif" w:hAnsi="sans-serif" w:cs="sans-serif"/>
                <w:color w:val="000000"/>
                <w:sz w:val="20"/>
                <w:szCs w:val="20"/>
              </w:rPr>
              <w:t>4,335 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337" w14:textId="77777777" w:rsidR="00BF3A3A" w:rsidRDefault="00BF3A3A">
            <w:pPr>
              <w:jc w:val="right"/>
              <w:rPr>
                <w:rFonts w:ascii="宋体"/>
              </w:rPr>
            </w:pPr>
          </w:p>
        </w:tc>
      </w:tr>
      <w:tr w:rsidR="00BF3A3A" w14:paraId="1950233F" w14:textId="77777777">
        <w:trPr>
          <w:jc w:val="center"/>
        </w:trPr>
        <w:tc>
          <w:tcPr>
            <w:tcW w:w="0" w:type="auto"/>
            <w:gridSpan w:val="3"/>
            <w:shd w:val="clear" w:color="auto" w:fill="E2EFD9"/>
            <w:tcMar>
              <w:top w:w="40" w:type="dxa"/>
              <w:left w:w="20" w:type="dxa"/>
              <w:bottom w:w="40" w:type="dxa"/>
              <w:right w:w="20" w:type="dxa"/>
            </w:tcMar>
            <w:vAlign w:val="bottom"/>
          </w:tcPr>
          <w:p w14:paraId="19502339" w14:textId="77777777" w:rsidR="00BF3A3A" w:rsidRDefault="00A76802">
            <w:pPr>
              <w:textAlignment w:val="bottom"/>
            </w:pPr>
            <w:r>
              <w:rPr>
                <w:rFonts w:ascii="sans-serif" w:eastAsia="sans-serif" w:hAnsi="sans-serif" w:cs="sans-serif"/>
                <w:color w:val="000000"/>
                <w:sz w:val="20"/>
                <w:szCs w:val="20"/>
              </w:rPr>
              <w:t>Long-term debt</w:t>
            </w:r>
          </w:p>
        </w:tc>
        <w:tc>
          <w:tcPr>
            <w:tcW w:w="0" w:type="auto"/>
            <w:gridSpan w:val="2"/>
            <w:shd w:val="clear" w:color="auto" w:fill="E2EFD9"/>
            <w:tcMar>
              <w:top w:w="40" w:type="dxa"/>
              <w:left w:w="20" w:type="dxa"/>
              <w:bottom w:w="40" w:type="dxa"/>
              <w:right w:w="0" w:type="dxa"/>
            </w:tcMar>
            <w:vAlign w:val="bottom"/>
          </w:tcPr>
          <w:p w14:paraId="1950233A" w14:textId="77777777" w:rsidR="00BF3A3A" w:rsidRDefault="00A76802">
            <w:pPr>
              <w:jc w:val="right"/>
              <w:textAlignment w:val="bottom"/>
            </w:pPr>
            <w:r>
              <w:rPr>
                <w:rFonts w:ascii="sans-serif" w:eastAsia="sans-serif" w:hAnsi="sans-serif" w:cs="sans-serif"/>
                <w:color w:val="000000"/>
                <w:sz w:val="20"/>
                <w:szCs w:val="20"/>
              </w:rPr>
              <w:t>9,700 </w:t>
            </w:r>
          </w:p>
        </w:tc>
        <w:tc>
          <w:tcPr>
            <w:tcW w:w="0" w:type="auto"/>
            <w:shd w:val="clear" w:color="auto" w:fill="E2EFD9"/>
            <w:tcMar>
              <w:top w:w="40" w:type="dxa"/>
              <w:left w:w="0" w:type="dxa"/>
              <w:bottom w:w="40" w:type="dxa"/>
              <w:right w:w="20" w:type="dxa"/>
            </w:tcMar>
            <w:vAlign w:val="bottom"/>
          </w:tcPr>
          <w:p w14:paraId="1950233B"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33C"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33D" w14:textId="77777777" w:rsidR="00BF3A3A" w:rsidRDefault="00A76802">
            <w:pPr>
              <w:jc w:val="right"/>
              <w:textAlignment w:val="bottom"/>
            </w:pPr>
            <w:r>
              <w:rPr>
                <w:rFonts w:ascii="sans-serif" w:eastAsia="sans-serif" w:hAnsi="sans-serif" w:cs="sans-serif"/>
                <w:color w:val="000000"/>
                <w:sz w:val="20"/>
                <w:szCs w:val="20"/>
              </w:rPr>
              <w:t>10,946 </w:t>
            </w:r>
          </w:p>
        </w:tc>
        <w:tc>
          <w:tcPr>
            <w:tcW w:w="0" w:type="auto"/>
            <w:shd w:val="clear" w:color="auto" w:fill="E2EFD9"/>
            <w:tcMar>
              <w:top w:w="40" w:type="dxa"/>
              <w:left w:w="0" w:type="dxa"/>
              <w:bottom w:w="40" w:type="dxa"/>
              <w:right w:w="20" w:type="dxa"/>
            </w:tcMar>
            <w:vAlign w:val="bottom"/>
          </w:tcPr>
          <w:p w14:paraId="1950233E" w14:textId="77777777" w:rsidR="00BF3A3A" w:rsidRDefault="00BF3A3A">
            <w:pPr>
              <w:jc w:val="right"/>
              <w:rPr>
                <w:rFonts w:ascii="宋体"/>
              </w:rPr>
            </w:pPr>
          </w:p>
        </w:tc>
      </w:tr>
      <w:tr w:rsidR="00BF3A3A" w14:paraId="19502346" w14:textId="77777777">
        <w:trPr>
          <w:jc w:val="center"/>
        </w:trPr>
        <w:tc>
          <w:tcPr>
            <w:tcW w:w="0" w:type="auto"/>
            <w:gridSpan w:val="3"/>
            <w:shd w:val="clear" w:color="auto" w:fill="FFFFFF"/>
            <w:tcMar>
              <w:top w:w="40" w:type="dxa"/>
              <w:left w:w="20" w:type="dxa"/>
              <w:bottom w:w="40" w:type="dxa"/>
              <w:right w:w="20" w:type="dxa"/>
            </w:tcMar>
            <w:vAlign w:val="bottom"/>
          </w:tcPr>
          <w:p w14:paraId="19502340" w14:textId="77777777" w:rsidR="00BF3A3A" w:rsidRDefault="00A76802">
            <w:pPr>
              <w:textAlignment w:val="bottom"/>
            </w:pPr>
            <w:r>
              <w:rPr>
                <w:rFonts w:ascii="sans-serif" w:eastAsia="sans-serif" w:hAnsi="sans-serif" w:cs="sans-serif"/>
                <w:color w:val="000000"/>
                <w:sz w:val="20"/>
                <w:szCs w:val="20"/>
              </w:rPr>
              <w:t xml:space="preserve">Long-term operating lease </w:t>
            </w:r>
            <w:r>
              <w:rPr>
                <w:rFonts w:ascii="sans-serif" w:eastAsia="sans-serif" w:hAnsi="sans-serif" w:cs="sans-serif"/>
                <w:color w:val="000000"/>
                <w:sz w:val="20"/>
                <w:szCs w:val="20"/>
              </w:rPr>
              <w:t>liabilities</w:t>
            </w:r>
          </w:p>
        </w:tc>
        <w:tc>
          <w:tcPr>
            <w:tcW w:w="0" w:type="auto"/>
            <w:gridSpan w:val="2"/>
            <w:shd w:val="clear" w:color="auto" w:fill="FFFFFF"/>
            <w:tcMar>
              <w:top w:w="40" w:type="dxa"/>
              <w:left w:w="20" w:type="dxa"/>
              <w:bottom w:w="40" w:type="dxa"/>
              <w:right w:w="0" w:type="dxa"/>
            </w:tcMar>
            <w:vAlign w:val="bottom"/>
          </w:tcPr>
          <w:p w14:paraId="19502341" w14:textId="77777777" w:rsidR="00BF3A3A" w:rsidRDefault="00A76802">
            <w:pPr>
              <w:jc w:val="right"/>
              <w:textAlignment w:val="bottom"/>
            </w:pPr>
            <w:r>
              <w:rPr>
                <w:rFonts w:ascii="sans-serif" w:eastAsia="sans-serif" w:hAnsi="sans-serif" w:cs="sans-serif"/>
                <w:color w:val="000000"/>
                <w:sz w:val="20"/>
                <w:szCs w:val="20"/>
              </w:rPr>
              <w:t>743 </w:t>
            </w:r>
          </w:p>
        </w:tc>
        <w:tc>
          <w:tcPr>
            <w:tcW w:w="0" w:type="auto"/>
            <w:shd w:val="clear" w:color="auto" w:fill="FFFFFF"/>
            <w:tcMar>
              <w:top w:w="40" w:type="dxa"/>
              <w:left w:w="0" w:type="dxa"/>
              <w:bottom w:w="40" w:type="dxa"/>
              <w:right w:w="20" w:type="dxa"/>
            </w:tcMar>
            <w:vAlign w:val="bottom"/>
          </w:tcPr>
          <w:p w14:paraId="19502342"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343"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344" w14:textId="77777777" w:rsidR="00BF3A3A" w:rsidRDefault="00A76802">
            <w:pPr>
              <w:jc w:val="right"/>
              <w:textAlignment w:val="bottom"/>
            </w:pPr>
            <w:r>
              <w:rPr>
                <w:rFonts w:ascii="sans-serif" w:eastAsia="sans-serif" w:hAnsi="sans-serif" w:cs="sans-serif"/>
                <w:color w:val="000000"/>
                <w:sz w:val="20"/>
                <w:szCs w:val="20"/>
              </w:rPr>
              <w:t>741 </w:t>
            </w:r>
          </w:p>
        </w:tc>
        <w:tc>
          <w:tcPr>
            <w:tcW w:w="0" w:type="auto"/>
            <w:shd w:val="clear" w:color="auto" w:fill="FFFFFF"/>
            <w:tcMar>
              <w:top w:w="40" w:type="dxa"/>
              <w:left w:w="0" w:type="dxa"/>
              <w:bottom w:w="40" w:type="dxa"/>
              <w:right w:w="20" w:type="dxa"/>
            </w:tcMar>
            <w:vAlign w:val="bottom"/>
          </w:tcPr>
          <w:p w14:paraId="19502345" w14:textId="77777777" w:rsidR="00BF3A3A" w:rsidRDefault="00BF3A3A">
            <w:pPr>
              <w:jc w:val="right"/>
              <w:rPr>
                <w:rFonts w:ascii="宋体"/>
              </w:rPr>
            </w:pPr>
          </w:p>
        </w:tc>
      </w:tr>
      <w:tr w:rsidR="00BF3A3A" w14:paraId="1950234D" w14:textId="77777777">
        <w:trPr>
          <w:jc w:val="center"/>
        </w:trPr>
        <w:tc>
          <w:tcPr>
            <w:tcW w:w="0" w:type="auto"/>
            <w:gridSpan w:val="3"/>
            <w:shd w:val="clear" w:color="auto" w:fill="E2EFD9"/>
            <w:tcMar>
              <w:top w:w="40" w:type="dxa"/>
              <w:left w:w="20" w:type="dxa"/>
              <w:bottom w:w="40" w:type="dxa"/>
              <w:right w:w="20" w:type="dxa"/>
            </w:tcMar>
            <w:vAlign w:val="bottom"/>
          </w:tcPr>
          <w:p w14:paraId="19502347" w14:textId="77777777" w:rsidR="00BF3A3A" w:rsidRDefault="00A76802">
            <w:pPr>
              <w:textAlignment w:val="bottom"/>
            </w:pPr>
            <w:r>
              <w:rPr>
                <w:rFonts w:ascii="sans-serif" w:eastAsia="sans-serif" w:hAnsi="sans-serif" w:cs="sans-serif"/>
                <w:color w:val="000000"/>
                <w:sz w:val="20"/>
                <w:szCs w:val="20"/>
              </w:rPr>
              <w:t>Other long-term liabilities</w:t>
            </w:r>
          </w:p>
        </w:tc>
        <w:tc>
          <w:tcPr>
            <w:tcW w:w="0" w:type="auto"/>
            <w:gridSpan w:val="2"/>
            <w:shd w:val="clear" w:color="auto" w:fill="E2EFD9"/>
            <w:tcMar>
              <w:top w:w="40" w:type="dxa"/>
              <w:left w:w="20" w:type="dxa"/>
              <w:bottom w:w="40" w:type="dxa"/>
              <w:right w:w="0" w:type="dxa"/>
            </w:tcMar>
            <w:vAlign w:val="bottom"/>
          </w:tcPr>
          <w:p w14:paraId="19502348" w14:textId="77777777" w:rsidR="00BF3A3A" w:rsidRDefault="00A76802">
            <w:pPr>
              <w:jc w:val="right"/>
              <w:textAlignment w:val="bottom"/>
            </w:pPr>
            <w:r>
              <w:rPr>
                <w:rFonts w:ascii="sans-serif" w:eastAsia="sans-serif" w:hAnsi="sans-serif" w:cs="sans-serif"/>
                <w:color w:val="000000"/>
                <w:sz w:val="20"/>
                <w:szCs w:val="20"/>
              </w:rPr>
              <w:t>1,609 </w:t>
            </w:r>
          </w:p>
        </w:tc>
        <w:tc>
          <w:tcPr>
            <w:tcW w:w="0" w:type="auto"/>
            <w:shd w:val="clear" w:color="auto" w:fill="E2EFD9"/>
            <w:tcMar>
              <w:top w:w="40" w:type="dxa"/>
              <w:left w:w="0" w:type="dxa"/>
              <w:bottom w:w="40" w:type="dxa"/>
              <w:right w:w="20" w:type="dxa"/>
            </w:tcMar>
            <w:vAlign w:val="bottom"/>
          </w:tcPr>
          <w:p w14:paraId="1950234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34A"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34B" w14:textId="77777777" w:rsidR="00BF3A3A" w:rsidRDefault="00A76802">
            <w:pPr>
              <w:jc w:val="right"/>
              <w:textAlignment w:val="bottom"/>
            </w:pPr>
            <w:r>
              <w:rPr>
                <w:rFonts w:ascii="sans-serif" w:eastAsia="sans-serif" w:hAnsi="sans-serif" w:cs="sans-serif"/>
                <w:color w:val="000000"/>
                <w:sz w:val="20"/>
                <w:szCs w:val="20"/>
              </w:rPr>
              <w:t>1,553 </w:t>
            </w:r>
          </w:p>
        </w:tc>
        <w:tc>
          <w:tcPr>
            <w:tcW w:w="0" w:type="auto"/>
            <w:shd w:val="clear" w:color="auto" w:fill="E2EFD9"/>
            <w:tcMar>
              <w:top w:w="40" w:type="dxa"/>
              <w:left w:w="0" w:type="dxa"/>
              <w:bottom w:w="40" w:type="dxa"/>
              <w:right w:w="20" w:type="dxa"/>
            </w:tcMar>
            <w:vAlign w:val="bottom"/>
          </w:tcPr>
          <w:p w14:paraId="1950234C" w14:textId="77777777" w:rsidR="00BF3A3A" w:rsidRDefault="00BF3A3A">
            <w:pPr>
              <w:jc w:val="right"/>
              <w:rPr>
                <w:rFonts w:ascii="宋体"/>
              </w:rPr>
            </w:pPr>
          </w:p>
        </w:tc>
      </w:tr>
      <w:tr w:rsidR="00BF3A3A" w14:paraId="19502354" w14:textId="77777777">
        <w:trPr>
          <w:jc w:val="center"/>
        </w:trPr>
        <w:tc>
          <w:tcPr>
            <w:tcW w:w="0" w:type="auto"/>
            <w:gridSpan w:val="3"/>
            <w:shd w:val="clear" w:color="auto" w:fill="FFFFFF"/>
            <w:tcMar>
              <w:top w:w="40" w:type="dxa"/>
              <w:left w:w="20" w:type="dxa"/>
              <w:bottom w:w="40" w:type="dxa"/>
              <w:right w:w="20" w:type="dxa"/>
            </w:tcMar>
            <w:vAlign w:val="bottom"/>
          </w:tcPr>
          <w:p w14:paraId="1950234E" w14:textId="77777777" w:rsidR="00BF3A3A" w:rsidRDefault="00A76802">
            <w:pPr>
              <w:textAlignment w:val="bottom"/>
            </w:pPr>
            <w:r>
              <w:rPr>
                <w:rFonts w:ascii="sans-serif" w:eastAsia="sans-serif" w:hAnsi="sans-serif" w:cs="sans-serif"/>
                <w:color w:val="000000"/>
                <w:sz w:val="20"/>
                <w:szCs w:val="20"/>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34F" w14:textId="77777777" w:rsidR="00BF3A3A" w:rsidRDefault="00A76802">
            <w:pPr>
              <w:jc w:val="right"/>
              <w:textAlignment w:val="bottom"/>
            </w:pPr>
            <w:r>
              <w:rPr>
                <w:rFonts w:ascii="sans-serif" w:eastAsia="sans-serif" w:hAnsi="sans-serif" w:cs="sans-serif"/>
                <w:color w:val="000000"/>
                <w:sz w:val="20"/>
                <w:szCs w:val="20"/>
              </w:rPr>
              <w:t>19,625 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35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351"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352" w14:textId="77777777" w:rsidR="00BF3A3A" w:rsidRDefault="00A76802">
            <w:pPr>
              <w:jc w:val="right"/>
              <w:textAlignment w:val="bottom"/>
            </w:pPr>
            <w:r>
              <w:rPr>
                <w:rFonts w:ascii="sans-serif" w:eastAsia="sans-serif" w:hAnsi="sans-serif" w:cs="sans-serif"/>
                <w:color w:val="000000"/>
                <w:sz w:val="20"/>
                <w:szCs w:val="20"/>
              </w:rPr>
              <w:t>17,575 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353" w14:textId="77777777" w:rsidR="00BF3A3A" w:rsidRDefault="00BF3A3A">
            <w:pPr>
              <w:jc w:val="right"/>
              <w:rPr>
                <w:rFonts w:ascii="宋体"/>
              </w:rPr>
            </w:pPr>
          </w:p>
        </w:tc>
      </w:tr>
      <w:tr w:rsidR="00BF3A3A" w14:paraId="19502359" w14:textId="77777777">
        <w:trPr>
          <w:jc w:val="center"/>
        </w:trPr>
        <w:tc>
          <w:tcPr>
            <w:tcW w:w="0" w:type="auto"/>
            <w:gridSpan w:val="3"/>
            <w:shd w:val="clear" w:color="auto" w:fill="E2EFD9"/>
            <w:tcMar>
              <w:top w:w="40" w:type="dxa"/>
              <w:left w:w="20" w:type="dxa"/>
              <w:bottom w:w="40" w:type="dxa"/>
              <w:right w:w="20" w:type="dxa"/>
            </w:tcMar>
            <w:vAlign w:val="bottom"/>
          </w:tcPr>
          <w:p w14:paraId="19502355" w14:textId="77777777" w:rsidR="00BF3A3A" w:rsidRDefault="00A76802">
            <w:pPr>
              <w:spacing w:before="240" w:after="120"/>
              <w:jc w:val="both"/>
              <w:textAlignment w:val="bottom"/>
            </w:pPr>
            <w:r>
              <w:rPr>
                <w:rFonts w:ascii="sans-serif" w:eastAsia="sans-serif" w:hAnsi="sans-serif" w:cs="sans-serif"/>
                <w:color w:val="000000"/>
                <w:sz w:val="20"/>
                <w:szCs w:val="20"/>
              </w:rPr>
              <w:t>Commitments and contingencies - see Note 13</w:t>
            </w:r>
          </w:p>
        </w:tc>
        <w:tc>
          <w:tcPr>
            <w:tcW w:w="0" w:type="auto"/>
            <w:gridSpan w:val="3"/>
            <w:shd w:val="clear" w:color="auto" w:fill="E2EFD9"/>
            <w:tcMar>
              <w:top w:w="0" w:type="dxa"/>
              <w:left w:w="20" w:type="dxa"/>
              <w:bottom w:w="0" w:type="dxa"/>
              <w:right w:w="20" w:type="dxa"/>
            </w:tcMar>
            <w:vAlign w:val="bottom"/>
          </w:tcPr>
          <w:p w14:paraId="19502356"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357"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358" w14:textId="77777777" w:rsidR="00BF3A3A" w:rsidRDefault="00BF3A3A">
            <w:pPr>
              <w:rPr>
                <w:rFonts w:ascii="宋体"/>
              </w:rPr>
            </w:pPr>
          </w:p>
        </w:tc>
      </w:tr>
      <w:tr w:rsidR="00BF3A3A" w14:paraId="1950235E" w14:textId="77777777">
        <w:trPr>
          <w:jc w:val="center"/>
          <w:hidden/>
        </w:trPr>
        <w:tc>
          <w:tcPr>
            <w:tcW w:w="0" w:type="auto"/>
            <w:gridSpan w:val="3"/>
            <w:shd w:val="clear" w:color="auto" w:fill="auto"/>
            <w:vAlign w:val="bottom"/>
          </w:tcPr>
          <w:p w14:paraId="1950235A" w14:textId="77777777" w:rsidR="00BF3A3A" w:rsidRDefault="00BF3A3A">
            <w:pPr>
              <w:rPr>
                <w:rFonts w:ascii="宋体"/>
                <w:vanish/>
              </w:rPr>
            </w:pPr>
          </w:p>
        </w:tc>
        <w:tc>
          <w:tcPr>
            <w:tcW w:w="0" w:type="auto"/>
            <w:gridSpan w:val="3"/>
            <w:shd w:val="clear" w:color="auto" w:fill="auto"/>
            <w:vAlign w:val="bottom"/>
          </w:tcPr>
          <w:p w14:paraId="1950235B" w14:textId="77777777" w:rsidR="00BF3A3A" w:rsidRDefault="00BF3A3A">
            <w:pPr>
              <w:rPr>
                <w:rFonts w:ascii="宋体"/>
                <w:vanish/>
              </w:rPr>
            </w:pPr>
          </w:p>
        </w:tc>
        <w:tc>
          <w:tcPr>
            <w:tcW w:w="0" w:type="auto"/>
            <w:gridSpan w:val="3"/>
            <w:shd w:val="clear" w:color="auto" w:fill="auto"/>
            <w:vAlign w:val="bottom"/>
          </w:tcPr>
          <w:p w14:paraId="1950235C" w14:textId="77777777" w:rsidR="00BF3A3A" w:rsidRDefault="00BF3A3A">
            <w:pPr>
              <w:rPr>
                <w:rFonts w:ascii="宋体"/>
                <w:vanish/>
              </w:rPr>
            </w:pPr>
          </w:p>
        </w:tc>
        <w:tc>
          <w:tcPr>
            <w:tcW w:w="0" w:type="auto"/>
            <w:gridSpan w:val="3"/>
            <w:shd w:val="clear" w:color="auto" w:fill="auto"/>
            <w:vAlign w:val="bottom"/>
          </w:tcPr>
          <w:p w14:paraId="1950235D" w14:textId="77777777" w:rsidR="00BF3A3A" w:rsidRDefault="00BF3A3A">
            <w:pPr>
              <w:rPr>
                <w:rFonts w:ascii="宋体"/>
                <w:vanish/>
              </w:rPr>
            </w:pPr>
          </w:p>
        </w:tc>
      </w:tr>
      <w:tr w:rsidR="00BF3A3A" w14:paraId="19502363" w14:textId="77777777">
        <w:trPr>
          <w:jc w:val="center"/>
        </w:trPr>
        <w:tc>
          <w:tcPr>
            <w:tcW w:w="0" w:type="auto"/>
            <w:gridSpan w:val="3"/>
            <w:shd w:val="clear" w:color="auto" w:fill="FFFFFF"/>
            <w:tcMar>
              <w:top w:w="40" w:type="dxa"/>
              <w:left w:w="20" w:type="dxa"/>
              <w:bottom w:w="40" w:type="dxa"/>
              <w:right w:w="20" w:type="dxa"/>
            </w:tcMar>
            <w:vAlign w:val="bottom"/>
          </w:tcPr>
          <w:p w14:paraId="1950235F" w14:textId="77777777" w:rsidR="00BF3A3A" w:rsidRDefault="00A76802">
            <w:pPr>
              <w:textAlignment w:val="bottom"/>
            </w:pPr>
            <w:r>
              <w:rPr>
                <w:rFonts w:ascii="sans-serif" w:eastAsia="sans-serif" w:hAnsi="sans-serif" w:cs="sans-serif"/>
                <w:color w:val="000000"/>
                <w:sz w:val="20"/>
                <w:szCs w:val="20"/>
              </w:rPr>
              <w:t>Shareholders’ equity:</w:t>
            </w:r>
          </w:p>
        </w:tc>
        <w:tc>
          <w:tcPr>
            <w:tcW w:w="0" w:type="auto"/>
            <w:gridSpan w:val="3"/>
            <w:shd w:val="clear" w:color="auto" w:fill="FFFFFF"/>
            <w:tcMar>
              <w:top w:w="40" w:type="dxa"/>
              <w:left w:w="20" w:type="dxa"/>
              <w:bottom w:w="40" w:type="dxa"/>
              <w:right w:w="20" w:type="dxa"/>
            </w:tcMar>
            <w:vAlign w:val="bottom"/>
          </w:tcPr>
          <w:p w14:paraId="19502360"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FFFFFF"/>
            <w:tcMar>
              <w:top w:w="0" w:type="dxa"/>
              <w:left w:w="20" w:type="dxa"/>
              <w:bottom w:w="0" w:type="dxa"/>
              <w:right w:w="20" w:type="dxa"/>
            </w:tcMar>
            <w:vAlign w:val="bottom"/>
          </w:tcPr>
          <w:p w14:paraId="19502361" w14:textId="77777777" w:rsidR="00BF3A3A" w:rsidRDefault="00BF3A3A">
            <w:pPr>
              <w:rPr>
                <w:rFonts w:ascii="宋体"/>
              </w:rPr>
            </w:pPr>
          </w:p>
        </w:tc>
        <w:tc>
          <w:tcPr>
            <w:tcW w:w="0" w:type="auto"/>
            <w:gridSpan w:val="3"/>
            <w:shd w:val="clear" w:color="auto" w:fill="FFFFFF"/>
            <w:tcMar>
              <w:top w:w="40" w:type="dxa"/>
              <w:left w:w="20" w:type="dxa"/>
              <w:bottom w:w="40" w:type="dxa"/>
              <w:right w:w="20" w:type="dxa"/>
            </w:tcMar>
            <w:vAlign w:val="bottom"/>
          </w:tcPr>
          <w:p w14:paraId="19502362" w14:textId="77777777" w:rsidR="00BF3A3A" w:rsidRDefault="00A76802">
            <w:pPr>
              <w:textAlignment w:val="bottom"/>
            </w:pPr>
            <w:r>
              <w:rPr>
                <w:rFonts w:ascii="sans-serif" w:eastAsia="sans-serif" w:hAnsi="sans-serif" w:cs="sans-serif"/>
                <w:color w:val="000000"/>
                <w:sz w:val="20"/>
                <w:szCs w:val="20"/>
              </w:rPr>
              <w:t> </w:t>
            </w:r>
          </w:p>
        </w:tc>
      </w:tr>
      <w:tr w:rsidR="00BF3A3A" w14:paraId="1950236A" w14:textId="77777777">
        <w:trPr>
          <w:jc w:val="center"/>
        </w:trPr>
        <w:tc>
          <w:tcPr>
            <w:tcW w:w="0" w:type="auto"/>
            <w:gridSpan w:val="3"/>
            <w:shd w:val="clear" w:color="auto" w:fill="E2EFD9"/>
            <w:tcMar>
              <w:top w:w="40" w:type="dxa"/>
              <w:left w:w="245" w:type="dxa"/>
              <w:bottom w:w="40" w:type="dxa"/>
              <w:right w:w="20" w:type="dxa"/>
            </w:tcMar>
            <w:vAlign w:val="bottom"/>
          </w:tcPr>
          <w:p w14:paraId="19502364" w14:textId="77777777" w:rsidR="00BF3A3A" w:rsidRDefault="00A76802">
            <w:pPr>
              <w:textAlignment w:val="bottom"/>
            </w:pPr>
            <w:r>
              <w:rPr>
                <w:rFonts w:ascii="sans-serif" w:eastAsia="sans-serif" w:hAnsi="sans-serif" w:cs="sans-serif"/>
                <w:color w:val="000000"/>
                <w:sz w:val="20"/>
                <w:szCs w:val="20"/>
              </w:rPr>
              <w:t>Preferred stock</w:t>
            </w:r>
          </w:p>
        </w:tc>
        <w:tc>
          <w:tcPr>
            <w:tcW w:w="0" w:type="auto"/>
            <w:gridSpan w:val="2"/>
            <w:shd w:val="clear" w:color="auto" w:fill="E2EFD9"/>
            <w:tcMar>
              <w:top w:w="40" w:type="dxa"/>
              <w:left w:w="20" w:type="dxa"/>
              <w:bottom w:w="40" w:type="dxa"/>
              <w:right w:w="0" w:type="dxa"/>
            </w:tcMar>
            <w:vAlign w:val="bottom"/>
          </w:tcPr>
          <w:p w14:paraId="19502365"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236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367"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368"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2369" w14:textId="77777777" w:rsidR="00BF3A3A" w:rsidRDefault="00BF3A3A">
            <w:pPr>
              <w:jc w:val="right"/>
              <w:rPr>
                <w:rFonts w:ascii="宋体"/>
              </w:rPr>
            </w:pPr>
          </w:p>
        </w:tc>
      </w:tr>
      <w:tr w:rsidR="00BF3A3A" w14:paraId="19502371" w14:textId="77777777">
        <w:trPr>
          <w:jc w:val="center"/>
        </w:trPr>
        <w:tc>
          <w:tcPr>
            <w:tcW w:w="0" w:type="auto"/>
            <w:gridSpan w:val="3"/>
            <w:shd w:val="clear" w:color="auto" w:fill="FFFFFF"/>
            <w:tcMar>
              <w:top w:w="40" w:type="dxa"/>
              <w:left w:w="245" w:type="dxa"/>
              <w:bottom w:w="40" w:type="dxa"/>
              <w:right w:w="20" w:type="dxa"/>
            </w:tcMar>
            <w:vAlign w:val="bottom"/>
          </w:tcPr>
          <w:p w14:paraId="1950236B" w14:textId="77777777" w:rsidR="00BF3A3A" w:rsidRDefault="00A76802">
            <w:pPr>
              <w:textAlignment w:val="bottom"/>
            </w:pPr>
            <w:r>
              <w:rPr>
                <w:rFonts w:ascii="sans-serif" w:eastAsia="sans-serif" w:hAnsi="sans-serif" w:cs="sans-serif"/>
                <w:color w:val="000000"/>
                <w:sz w:val="20"/>
                <w:szCs w:val="20"/>
              </w:rPr>
              <w:t>Common stock</w:t>
            </w:r>
          </w:p>
        </w:tc>
        <w:tc>
          <w:tcPr>
            <w:tcW w:w="0" w:type="auto"/>
            <w:gridSpan w:val="2"/>
            <w:shd w:val="clear" w:color="auto" w:fill="FFFFFF"/>
            <w:tcMar>
              <w:top w:w="40" w:type="dxa"/>
              <w:left w:w="20" w:type="dxa"/>
              <w:bottom w:w="40" w:type="dxa"/>
              <w:right w:w="0" w:type="dxa"/>
            </w:tcMar>
            <w:vAlign w:val="bottom"/>
          </w:tcPr>
          <w:p w14:paraId="1950236C" w14:textId="77777777" w:rsidR="00BF3A3A" w:rsidRDefault="00A76802">
            <w:pPr>
              <w:jc w:val="right"/>
              <w:textAlignment w:val="bottom"/>
            </w:pPr>
            <w:r>
              <w:rPr>
                <w:rFonts w:ascii="sans-serif" w:eastAsia="sans-serif" w:hAnsi="sans-serif" w:cs="sans-serif"/>
                <w:color w:val="000000"/>
                <w:sz w:val="20"/>
                <w:szCs w:val="20"/>
              </w:rPr>
              <w:t>2 </w:t>
            </w:r>
          </w:p>
        </w:tc>
        <w:tc>
          <w:tcPr>
            <w:tcW w:w="0" w:type="auto"/>
            <w:shd w:val="clear" w:color="auto" w:fill="FFFFFF"/>
            <w:tcMar>
              <w:top w:w="40" w:type="dxa"/>
              <w:left w:w="0" w:type="dxa"/>
              <w:bottom w:w="40" w:type="dxa"/>
              <w:right w:w="20" w:type="dxa"/>
            </w:tcMar>
            <w:vAlign w:val="bottom"/>
          </w:tcPr>
          <w:p w14:paraId="1950236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36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36F" w14:textId="77777777" w:rsidR="00BF3A3A" w:rsidRDefault="00A76802">
            <w:pPr>
              <w:jc w:val="right"/>
              <w:textAlignment w:val="bottom"/>
            </w:pPr>
            <w:r>
              <w:rPr>
                <w:rFonts w:ascii="sans-serif" w:eastAsia="sans-serif" w:hAnsi="sans-serif" w:cs="sans-serif"/>
                <w:color w:val="000000"/>
                <w:sz w:val="20"/>
                <w:szCs w:val="20"/>
              </w:rPr>
              <w:t>3 </w:t>
            </w:r>
          </w:p>
        </w:tc>
        <w:tc>
          <w:tcPr>
            <w:tcW w:w="0" w:type="auto"/>
            <w:shd w:val="clear" w:color="auto" w:fill="FFFFFF"/>
            <w:tcMar>
              <w:top w:w="40" w:type="dxa"/>
              <w:left w:w="0" w:type="dxa"/>
              <w:bottom w:w="40" w:type="dxa"/>
              <w:right w:w="20" w:type="dxa"/>
            </w:tcMar>
            <w:vAlign w:val="bottom"/>
          </w:tcPr>
          <w:p w14:paraId="19502370" w14:textId="77777777" w:rsidR="00BF3A3A" w:rsidRDefault="00BF3A3A">
            <w:pPr>
              <w:jc w:val="right"/>
              <w:rPr>
                <w:rFonts w:ascii="宋体"/>
              </w:rPr>
            </w:pPr>
          </w:p>
        </w:tc>
      </w:tr>
      <w:tr w:rsidR="00BF3A3A" w14:paraId="19502378" w14:textId="77777777">
        <w:trPr>
          <w:jc w:val="center"/>
        </w:trPr>
        <w:tc>
          <w:tcPr>
            <w:tcW w:w="0" w:type="auto"/>
            <w:gridSpan w:val="3"/>
            <w:shd w:val="clear" w:color="auto" w:fill="E2EFD9"/>
            <w:tcMar>
              <w:top w:w="40" w:type="dxa"/>
              <w:left w:w="245" w:type="dxa"/>
              <w:bottom w:w="40" w:type="dxa"/>
              <w:right w:w="20" w:type="dxa"/>
            </w:tcMar>
            <w:vAlign w:val="bottom"/>
          </w:tcPr>
          <w:p w14:paraId="19502372" w14:textId="77777777" w:rsidR="00BF3A3A" w:rsidRDefault="00A76802">
            <w:pPr>
              <w:textAlignment w:val="bottom"/>
            </w:pPr>
            <w:r>
              <w:rPr>
                <w:rFonts w:ascii="sans-serif" w:eastAsia="sans-serif" w:hAnsi="sans-serif" w:cs="sans-serif"/>
                <w:color w:val="000000"/>
                <w:sz w:val="20"/>
                <w:szCs w:val="20"/>
              </w:rPr>
              <w:t>Additional paid-in capital</w:t>
            </w:r>
          </w:p>
        </w:tc>
        <w:tc>
          <w:tcPr>
            <w:tcW w:w="0" w:type="auto"/>
            <w:gridSpan w:val="2"/>
            <w:shd w:val="clear" w:color="auto" w:fill="E2EFD9"/>
            <w:tcMar>
              <w:top w:w="40" w:type="dxa"/>
              <w:left w:w="20" w:type="dxa"/>
              <w:bottom w:w="40" w:type="dxa"/>
              <w:right w:w="0" w:type="dxa"/>
            </w:tcMar>
            <w:vAlign w:val="bottom"/>
          </w:tcPr>
          <w:p w14:paraId="19502373" w14:textId="77777777" w:rsidR="00BF3A3A" w:rsidRDefault="00A76802">
            <w:pPr>
              <w:jc w:val="right"/>
              <w:textAlignment w:val="bottom"/>
            </w:pPr>
            <w:r>
              <w:rPr>
                <w:rFonts w:ascii="sans-serif" w:eastAsia="sans-serif" w:hAnsi="sans-serif" w:cs="sans-serif"/>
                <w:color w:val="000000"/>
                <w:sz w:val="20"/>
                <w:szCs w:val="20"/>
              </w:rPr>
              <w:t>10,968 </w:t>
            </w:r>
          </w:p>
        </w:tc>
        <w:tc>
          <w:tcPr>
            <w:tcW w:w="0" w:type="auto"/>
            <w:shd w:val="clear" w:color="auto" w:fill="E2EFD9"/>
            <w:tcMar>
              <w:top w:w="40" w:type="dxa"/>
              <w:left w:w="0" w:type="dxa"/>
              <w:bottom w:w="40" w:type="dxa"/>
              <w:right w:w="20" w:type="dxa"/>
            </w:tcMar>
            <w:vAlign w:val="bottom"/>
          </w:tcPr>
          <w:p w14:paraId="1950237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375"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376" w14:textId="77777777" w:rsidR="00BF3A3A" w:rsidRDefault="00A76802">
            <w:pPr>
              <w:jc w:val="right"/>
              <w:textAlignment w:val="bottom"/>
            </w:pPr>
            <w:r>
              <w:rPr>
                <w:rFonts w:ascii="sans-serif" w:eastAsia="sans-serif" w:hAnsi="sans-serif" w:cs="sans-serif"/>
                <w:color w:val="000000"/>
                <w:sz w:val="20"/>
                <w:szCs w:val="20"/>
              </w:rPr>
              <w:t>10,385 </w:t>
            </w:r>
          </w:p>
        </w:tc>
        <w:tc>
          <w:tcPr>
            <w:tcW w:w="0" w:type="auto"/>
            <w:shd w:val="clear" w:color="auto" w:fill="E2EFD9"/>
            <w:tcMar>
              <w:top w:w="40" w:type="dxa"/>
              <w:left w:w="0" w:type="dxa"/>
              <w:bottom w:w="40" w:type="dxa"/>
              <w:right w:w="20" w:type="dxa"/>
            </w:tcMar>
            <w:vAlign w:val="bottom"/>
          </w:tcPr>
          <w:p w14:paraId="19502377" w14:textId="77777777" w:rsidR="00BF3A3A" w:rsidRDefault="00BF3A3A">
            <w:pPr>
              <w:jc w:val="right"/>
              <w:rPr>
                <w:rFonts w:ascii="宋体"/>
              </w:rPr>
            </w:pPr>
          </w:p>
        </w:tc>
      </w:tr>
      <w:tr w:rsidR="00BF3A3A" w14:paraId="1950237D" w14:textId="77777777">
        <w:trPr>
          <w:jc w:val="center"/>
          <w:hidden/>
        </w:trPr>
        <w:tc>
          <w:tcPr>
            <w:tcW w:w="0" w:type="auto"/>
            <w:gridSpan w:val="3"/>
            <w:shd w:val="clear" w:color="auto" w:fill="auto"/>
            <w:vAlign w:val="bottom"/>
          </w:tcPr>
          <w:p w14:paraId="19502379" w14:textId="77777777" w:rsidR="00BF3A3A" w:rsidRDefault="00BF3A3A">
            <w:pPr>
              <w:rPr>
                <w:rFonts w:ascii="宋体"/>
                <w:vanish/>
              </w:rPr>
            </w:pPr>
          </w:p>
        </w:tc>
        <w:tc>
          <w:tcPr>
            <w:tcW w:w="0" w:type="auto"/>
            <w:gridSpan w:val="3"/>
            <w:shd w:val="clear" w:color="auto" w:fill="auto"/>
            <w:vAlign w:val="bottom"/>
          </w:tcPr>
          <w:p w14:paraId="1950237A" w14:textId="77777777" w:rsidR="00BF3A3A" w:rsidRDefault="00BF3A3A">
            <w:pPr>
              <w:rPr>
                <w:rFonts w:ascii="宋体"/>
                <w:vanish/>
              </w:rPr>
            </w:pPr>
          </w:p>
        </w:tc>
        <w:tc>
          <w:tcPr>
            <w:tcW w:w="0" w:type="auto"/>
            <w:gridSpan w:val="3"/>
            <w:shd w:val="clear" w:color="auto" w:fill="auto"/>
            <w:vAlign w:val="bottom"/>
          </w:tcPr>
          <w:p w14:paraId="1950237B" w14:textId="77777777" w:rsidR="00BF3A3A" w:rsidRDefault="00BF3A3A">
            <w:pPr>
              <w:rPr>
                <w:rFonts w:ascii="宋体"/>
                <w:vanish/>
              </w:rPr>
            </w:pPr>
          </w:p>
        </w:tc>
        <w:tc>
          <w:tcPr>
            <w:tcW w:w="0" w:type="auto"/>
            <w:gridSpan w:val="3"/>
            <w:shd w:val="clear" w:color="auto" w:fill="auto"/>
            <w:vAlign w:val="bottom"/>
          </w:tcPr>
          <w:p w14:paraId="1950237C" w14:textId="77777777" w:rsidR="00BF3A3A" w:rsidRDefault="00BF3A3A">
            <w:pPr>
              <w:rPr>
                <w:rFonts w:ascii="宋体"/>
                <w:vanish/>
              </w:rPr>
            </w:pPr>
          </w:p>
        </w:tc>
      </w:tr>
      <w:tr w:rsidR="00BF3A3A" w14:paraId="19502384" w14:textId="77777777">
        <w:trPr>
          <w:jc w:val="center"/>
        </w:trPr>
        <w:tc>
          <w:tcPr>
            <w:tcW w:w="0" w:type="auto"/>
            <w:gridSpan w:val="3"/>
            <w:shd w:val="clear" w:color="auto" w:fill="FFFFFF"/>
            <w:tcMar>
              <w:top w:w="40" w:type="dxa"/>
              <w:left w:w="245" w:type="dxa"/>
              <w:bottom w:w="40" w:type="dxa"/>
              <w:right w:w="20" w:type="dxa"/>
            </w:tcMar>
            <w:vAlign w:val="bottom"/>
          </w:tcPr>
          <w:p w14:paraId="1950237E" w14:textId="77777777" w:rsidR="00BF3A3A" w:rsidRDefault="00A76802">
            <w:pPr>
              <w:textAlignment w:val="bottom"/>
            </w:pPr>
            <w:r>
              <w:rPr>
                <w:rFonts w:ascii="sans-serif" w:eastAsia="sans-serif" w:hAnsi="sans-serif" w:cs="sans-serif"/>
                <w:color w:val="000000"/>
                <w:sz w:val="20"/>
                <w:szCs w:val="20"/>
              </w:rPr>
              <w:t>Accumulated other comprehensive loss</w:t>
            </w:r>
          </w:p>
        </w:tc>
        <w:tc>
          <w:tcPr>
            <w:tcW w:w="0" w:type="auto"/>
            <w:gridSpan w:val="2"/>
            <w:shd w:val="clear" w:color="auto" w:fill="FFFFFF"/>
            <w:tcMar>
              <w:top w:w="40" w:type="dxa"/>
              <w:left w:w="20" w:type="dxa"/>
              <w:bottom w:w="40" w:type="dxa"/>
              <w:right w:w="0" w:type="dxa"/>
            </w:tcMar>
            <w:vAlign w:val="bottom"/>
          </w:tcPr>
          <w:p w14:paraId="1950237F" w14:textId="77777777" w:rsidR="00BF3A3A" w:rsidRDefault="00A76802">
            <w:pPr>
              <w:jc w:val="right"/>
              <w:textAlignment w:val="bottom"/>
            </w:pPr>
            <w:r>
              <w:rPr>
                <w:rFonts w:ascii="sans-serif" w:eastAsia="sans-serif" w:hAnsi="sans-serif" w:cs="sans-serif"/>
                <w:color w:val="000000"/>
                <w:sz w:val="20"/>
                <w:szCs w:val="20"/>
              </w:rPr>
              <w:t>(90)</w:t>
            </w:r>
          </w:p>
        </w:tc>
        <w:tc>
          <w:tcPr>
            <w:tcW w:w="0" w:type="auto"/>
            <w:shd w:val="clear" w:color="auto" w:fill="FFFFFF"/>
            <w:tcMar>
              <w:top w:w="40" w:type="dxa"/>
              <w:left w:w="0" w:type="dxa"/>
              <w:bottom w:w="40" w:type="dxa"/>
              <w:right w:w="20" w:type="dxa"/>
            </w:tcMar>
            <w:vAlign w:val="bottom"/>
          </w:tcPr>
          <w:p w14:paraId="1950238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381"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382" w14:textId="77777777" w:rsidR="00BF3A3A" w:rsidRDefault="00A76802">
            <w:pPr>
              <w:jc w:val="right"/>
              <w:textAlignment w:val="bottom"/>
            </w:pPr>
            <w:r>
              <w:rPr>
                <w:rFonts w:ascii="sans-serif" w:eastAsia="sans-serif" w:hAnsi="sans-serif" w:cs="sans-serif"/>
                <w:color w:val="000000"/>
                <w:sz w:val="20"/>
                <w:szCs w:val="20"/>
              </w:rPr>
              <w:t>(11)</w:t>
            </w:r>
          </w:p>
        </w:tc>
        <w:tc>
          <w:tcPr>
            <w:tcW w:w="0" w:type="auto"/>
            <w:shd w:val="clear" w:color="auto" w:fill="FFFFFF"/>
            <w:tcMar>
              <w:top w:w="40" w:type="dxa"/>
              <w:left w:w="0" w:type="dxa"/>
              <w:bottom w:w="40" w:type="dxa"/>
              <w:right w:w="20" w:type="dxa"/>
            </w:tcMar>
            <w:vAlign w:val="bottom"/>
          </w:tcPr>
          <w:p w14:paraId="19502383" w14:textId="77777777" w:rsidR="00BF3A3A" w:rsidRDefault="00BF3A3A">
            <w:pPr>
              <w:jc w:val="right"/>
              <w:rPr>
                <w:rFonts w:ascii="宋体"/>
              </w:rPr>
            </w:pPr>
          </w:p>
        </w:tc>
      </w:tr>
      <w:tr w:rsidR="00BF3A3A" w14:paraId="1950238B" w14:textId="77777777">
        <w:trPr>
          <w:jc w:val="center"/>
        </w:trPr>
        <w:tc>
          <w:tcPr>
            <w:tcW w:w="0" w:type="auto"/>
            <w:gridSpan w:val="3"/>
            <w:shd w:val="clear" w:color="auto" w:fill="E2EFD9"/>
            <w:tcMar>
              <w:top w:w="40" w:type="dxa"/>
              <w:left w:w="245" w:type="dxa"/>
              <w:bottom w:w="40" w:type="dxa"/>
              <w:right w:w="20" w:type="dxa"/>
            </w:tcMar>
            <w:vAlign w:val="bottom"/>
          </w:tcPr>
          <w:p w14:paraId="19502385" w14:textId="77777777" w:rsidR="00BF3A3A" w:rsidRDefault="00A76802">
            <w:pPr>
              <w:textAlignment w:val="bottom"/>
            </w:pPr>
            <w:r>
              <w:rPr>
                <w:rFonts w:ascii="sans-serif" w:eastAsia="sans-serif" w:hAnsi="sans-serif" w:cs="sans-serif"/>
                <w:color w:val="000000"/>
                <w:sz w:val="20"/>
                <w:szCs w:val="20"/>
              </w:rPr>
              <w:t>Retained earnings</w:t>
            </w:r>
          </w:p>
        </w:tc>
        <w:tc>
          <w:tcPr>
            <w:tcW w:w="0" w:type="auto"/>
            <w:gridSpan w:val="2"/>
            <w:shd w:val="clear" w:color="auto" w:fill="E2EFD9"/>
            <w:tcMar>
              <w:top w:w="40" w:type="dxa"/>
              <w:left w:w="20" w:type="dxa"/>
              <w:bottom w:w="40" w:type="dxa"/>
              <w:right w:w="0" w:type="dxa"/>
            </w:tcMar>
            <w:vAlign w:val="bottom"/>
          </w:tcPr>
          <w:p w14:paraId="19502386" w14:textId="77777777" w:rsidR="00BF3A3A" w:rsidRDefault="00A76802">
            <w:pPr>
              <w:jc w:val="right"/>
              <w:textAlignment w:val="bottom"/>
            </w:pPr>
            <w:r>
              <w:rPr>
                <w:rFonts w:ascii="sans-serif" w:eastAsia="sans-serif" w:hAnsi="sans-serif" w:cs="sans-serif"/>
                <w:color w:val="000000"/>
                <w:sz w:val="20"/>
                <w:szCs w:val="20"/>
              </w:rPr>
              <w:t>12,971 </w:t>
            </w:r>
          </w:p>
        </w:tc>
        <w:tc>
          <w:tcPr>
            <w:tcW w:w="0" w:type="auto"/>
            <w:shd w:val="clear" w:color="auto" w:fill="E2EFD9"/>
            <w:tcMar>
              <w:top w:w="40" w:type="dxa"/>
              <w:left w:w="0" w:type="dxa"/>
              <w:bottom w:w="40" w:type="dxa"/>
              <w:right w:w="20" w:type="dxa"/>
            </w:tcMar>
            <w:vAlign w:val="bottom"/>
          </w:tcPr>
          <w:p w14:paraId="1950238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388"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389" w14:textId="77777777" w:rsidR="00BF3A3A" w:rsidRDefault="00A76802">
            <w:pPr>
              <w:jc w:val="right"/>
              <w:textAlignment w:val="bottom"/>
            </w:pPr>
            <w:r>
              <w:rPr>
                <w:rFonts w:ascii="sans-serif" w:eastAsia="sans-serif" w:hAnsi="sans-serif" w:cs="sans-serif"/>
                <w:color w:val="000000"/>
                <w:sz w:val="20"/>
                <w:szCs w:val="20"/>
              </w:rPr>
              <w:t>16,235 </w:t>
            </w:r>
          </w:p>
        </w:tc>
        <w:tc>
          <w:tcPr>
            <w:tcW w:w="0" w:type="auto"/>
            <w:shd w:val="clear" w:color="auto" w:fill="E2EFD9"/>
            <w:tcMar>
              <w:top w:w="40" w:type="dxa"/>
              <w:left w:w="0" w:type="dxa"/>
              <w:bottom w:w="40" w:type="dxa"/>
              <w:right w:w="20" w:type="dxa"/>
            </w:tcMar>
            <w:vAlign w:val="bottom"/>
          </w:tcPr>
          <w:p w14:paraId="1950238A" w14:textId="77777777" w:rsidR="00BF3A3A" w:rsidRDefault="00BF3A3A">
            <w:pPr>
              <w:jc w:val="right"/>
              <w:rPr>
                <w:rFonts w:ascii="宋体"/>
              </w:rPr>
            </w:pPr>
          </w:p>
        </w:tc>
      </w:tr>
      <w:tr w:rsidR="00BF3A3A" w14:paraId="19502392" w14:textId="77777777">
        <w:trPr>
          <w:jc w:val="center"/>
        </w:trPr>
        <w:tc>
          <w:tcPr>
            <w:tcW w:w="0" w:type="auto"/>
            <w:gridSpan w:val="3"/>
            <w:shd w:val="clear" w:color="auto" w:fill="FFFFFF"/>
            <w:tcMar>
              <w:top w:w="40" w:type="dxa"/>
              <w:left w:w="20" w:type="dxa"/>
              <w:bottom w:w="40" w:type="dxa"/>
              <w:right w:w="20" w:type="dxa"/>
            </w:tcMar>
            <w:vAlign w:val="bottom"/>
          </w:tcPr>
          <w:p w14:paraId="1950238C" w14:textId="77777777" w:rsidR="00BF3A3A" w:rsidRDefault="00A76802">
            <w:pPr>
              <w:textAlignment w:val="bottom"/>
            </w:pPr>
            <w:r>
              <w:rPr>
                <w:rFonts w:ascii="sans-serif" w:eastAsia="sans-serif" w:hAnsi="sans-serif" w:cs="sans-serif"/>
                <w:color w:val="000000"/>
                <w:sz w:val="20"/>
                <w:szCs w:val="20"/>
              </w:rPr>
              <w:t>Total shareholders'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38D" w14:textId="77777777" w:rsidR="00BF3A3A" w:rsidRDefault="00A76802">
            <w:pPr>
              <w:jc w:val="right"/>
              <w:textAlignment w:val="bottom"/>
            </w:pPr>
            <w:r>
              <w:rPr>
                <w:rFonts w:ascii="sans-serif" w:eastAsia="sans-serif" w:hAnsi="sans-serif" w:cs="sans-serif"/>
                <w:color w:val="000000"/>
                <w:sz w:val="20"/>
                <w:szCs w:val="20"/>
              </w:rPr>
              <w:t>23,851 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38E"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38F"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390" w14:textId="77777777" w:rsidR="00BF3A3A" w:rsidRDefault="00A76802">
            <w:pPr>
              <w:jc w:val="right"/>
              <w:textAlignment w:val="bottom"/>
            </w:pPr>
            <w:r>
              <w:rPr>
                <w:rFonts w:ascii="sans-serif" w:eastAsia="sans-serif" w:hAnsi="sans-serif" w:cs="sans-serif"/>
                <w:color w:val="000000"/>
                <w:sz w:val="20"/>
                <w:szCs w:val="20"/>
              </w:rPr>
              <w:t>26,612 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391" w14:textId="77777777" w:rsidR="00BF3A3A" w:rsidRDefault="00BF3A3A">
            <w:pPr>
              <w:jc w:val="right"/>
              <w:rPr>
                <w:rFonts w:ascii="宋体"/>
              </w:rPr>
            </w:pPr>
          </w:p>
        </w:tc>
      </w:tr>
      <w:tr w:rsidR="00BF3A3A" w14:paraId="1950239B" w14:textId="77777777">
        <w:trPr>
          <w:jc w:val="center"/>
        </w:trPr>
        <w:tc>
          <w:tcPr>
            <w:tcW w:w="0" w:type="auto"/>
            <w:gridSpan w:val="3"/>
            <w:shd w:val="clear" w:color="auto" w:fill="E2EFD9"/>
            <w:tcMar>
              <w:top w:w="40" w:type="dxa"/>
              <w:left w:w="20" w:type="dxa"/>
              <w:bottom w:w="40" w:type="dxa"/>
              <w:right w:w="20" w:type="dxa"/>
            </w:tcMar>
            <w:vAlign w:val="bottom"/>
          </w:tcPr>
          <w:p w14:paraId="19502393" w14:textId="77777777" w:rsidR="00BF3A3A" w:rsidRDefault="00A76802">
            <w:pPr>
              <w:textAlignment w:val="bottom"/>
            </w:pPr>
            <w:r>
              <w:rPr>
                <w:rFonts w:ascii="sans-serif" w:eastAsia="sans-serif" w:hAnsi="sans-serif" w:cs="sans-serif"/>
                <w:color w:val="000000"/>
                <w:sz w:val="20"/>
                <w:szCs w:val="20"/>
              </w:rPr>
              <w:t>Total liabilities and shareholders' equity</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394"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395" w14:textId="77777777" w:rsidR="00BF3A3A" w:rsidRDefault="00A76802">
            <w:pPr>
              <w:jc w:val="right"/>
              <w:textAlignment w:val="bottom"/>
            </w:pPr>
            <w:r>
              <w:rPr>
                <w:rFonts w:ascii="sans-serif" w:eastAsia="sans-serif" w:hAnsi="sans-serif" w:cs="sans-serif"/>
                <w:color w:val="000000"/>
                <w:sz w:val="20"/>
                <w:szCs w:val="20"/>
              </w:rPr>
              <w:t>43,476 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39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397"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398"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399" w14:textId="77777777" w:rsidR="00BF3A3A" w:rsidRDefault="00A76802">
            <w:pPr>
              <w:jc w:val="right"/>
              <w:textAlignment w:val="bottom"/>
            </w:pPr>
            <w:r>
              <w:rPr>
                <w:rFonts w:ascii="sans-serif" w:eastAsia="sans-serif" w:hAnsi="sans-serif" w:cs="sans-serif"/>
                <w:color w:val="000000"/>
                <w:sz w:val="20"/>
                <w:szCs w:val="20"/>
              </w:rPr>
              <w:t>44,187 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39A" w14:textId="77777777" w:rsidR="00BF3A3A" w:rsidRDefault="00BF3A3A">
            <w:pPr>
              <w:jc w:val="right"/>
              <w:rPr>
                <w:rFonts w:ascii="宋体"/>
              </w:rPr>
            </w:pPr>
          </w:p>
        </w:tc>
      </w:tr>
    </w:tbl>
    <w:p w14:paraId="1950239C" w14:textId="77777777" w:rsidR="00BF3A3A" w:rsidRDefault="00A76802">
      <w:pPr>
        <w:spacing w:after="180"/>
        <w:jc w:val="center"/>
      </w:pPr>
      <w:r>
        <w:rPr>
          <w:rFonts w:ascii="sans-serif" w:eastAsia="sans-serif" w:hAnsi="sans-serif" w:cs="sans-serif"/>
          <w:color w:val="000000"/>
          <w:sz w:val="20"/>
          <w:szCs w:val="20"/>
        </w:rPr>
        <w:t>See accompanying Notes to Condensed Consolidated Financial Statements.</w:t>
      </w:r>
    </w:p>
    <w:p w14:paraId="1950239D" w14:textId="77777777" w:rsidR="00BF3A3A" w:rsidRDefault="00BF3A3A">
      <w:pPr>
        <w:spacing w:after="180"/>
        <w:jc w:val="center"/>
      </w:pPr>
    </w:p>
    <w:p w14:paraId="1950239E" w14:textId="77777777" w:rsidR="00BF3A3A" w:rsidRDefault="00A76802">
      <w:pPr>
        <w:spacing w:after="180"/>
        <w:jc w:val="center"/>
      </w:pPr>
      <w:r>
        <w:rPr>
          <w:rFonts w:ascii="sans-serif" w:eastAsia="sans-serif" w:hAnsi="sans-serif" w:cs="sans-serif"/>
          <w:color w:val="000000"/>
          <w:sz w:val="20"/>
          <w:szCs w:val="20"/>
        </w:rPr>
        <w:t>5</w:t>
      </w:r>
    </w:p>
    <w:p w14:paraId="1950239F" w14:textId="77777777" w:rsidR="00BF3A3A" w:rsidRDefault="00A76802">
      <w:r>
        <w:pict w14:anchorId="19503FCA">
          <v:rect id="_x0000_i1029" style="width:415.3pt;height:1.5pt" o:hralign="center" o:hrstd="t" o:hr="t" fillcolor="#a0a0a0" stroked="f"/>
        </w:pict>
      </w:r>
    </w:p>
    <w:p w14:paraId="195023A0" w14:textId="77777777" w:rsidR="00BF3A3A" w:rsidRDefault="00BF3A3A">
      <w:pPr>
        <w:spacing w:after="180"/>
        <w:jc w:val="both"/>
      </w:pPr>
    </w:p>
    <w:p w14:paraId="195023A1" w14:textId="77777777" w:rsidR="00BF3A3A" w:rsidRDefault="00A76802">
      <w:pPr>
        <w:jc w:val="center"/>
      </w:pPr>
      <w:r>
        <w:rPr>
          <w:rFonts w:ascii="sans-serif" w:eastAsia="sans-serif" w:hAnsi="sans-serif" w:cs="sans-serif"/>
          <w:b/>
          <w:bCs/>
          <w:color w:val="000000"/>
          <w:sz w:val="20"/>
          <w:szCs w:val="20"/>
        </w:rPr>
        <w:t>NVIDIA CORPORATION AND SUBSIDIARIES</w:t>
      </w:r>
    </w:p>
    <w:p w14:paraId="195023A2" w14:textId="77777777" w:rsidR="00BF3A3A" w:rsidRDefault="00A76802">
      <w:pPr>
        <w:jc w:val="center"/>
      </w:pPr>
      <w:r>
        <w:rPr>
          <w:rFonts w:ascii="sans-serif" w:eastAsia="sans-serif" w:hAnsi="sans-serif" w:cs="sans-serif"/>
          <w:b/>
          <w:bCs/>
          <w:color w:val="000000"/>
          <w:sz w:val="20"/>
          <w:szCs w:val="20"/>
        </w:rPr>
        <w:t>CONDENSED CONSOLIDATED STATEMENTS OF SHAREHOLDERS’ EQUITY</w:t>
      </w:r>
    </w:p>
    <w:p w14:paraId="195023A3" w14:textId="77777777" w:rsidR="00BF3A3A" w:rsidRDefault="00A76802">
      <w:pPr>
        <w:jc w:val="center"/>
      </w:pPr>
      <w:r>
        <w:rPr>
          <w:rFonts w:ascii="sans-serif" w:eastAsia="sans-serif" w:hAnsi="sans-serif" w:cs="sans-serif"/>
          <w:b/>
          <w:bCs/>
          <w:color w:val="000000"/>
          <w:sz w:val="20"/>
          <w:szCs w:val="20"/>
        </w:rPr>
        <w:t>FOR THE THREE MONTHS ENDED JULY 31, 2022 AND AUGUST 1, 2021</w:t>
      </w:r>
    </w:p>
    <w:p w14:paraId="195023A4" w14:textId="77777777" w:rsidR="00BF3A3A" w:rsidRDefault="00A76802">
      <w:pPr>
        <w:spacing w:after="180"/>
        <w:jc w:val="center"/>
      </w:pPr>
      <w:r>
        <w:rPr>
          <w:rFonts w:ascii="sans-serif" w:eastAsia="sans-serif" w:hAnsi="sans-serif" w:cs="sans-serif"/>
          <w:b/>
          <w:bCs/>
          <w:color w:val="000000"/>
          <w:sz w:val="20"/>
          <w:szCs w:val="20"/>
        </w:rPr>
        <w:t xml:space="preserve">(Unaudited) </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494"/>
        <w:gridCol w:w="37"/>
        <w:gridCol w:w="73"/>
        <w:gridCol w:w="389"/>
        <w:gridCol w:w="37"/>
        <w:gridCol w:w="37"/>
        <w:gridCol w:w="37"/>
        <w:gridCol w:w="36"/>
        <w:gridCol w:w="98"/>
        <w:gridCol w:w="452"/>
        <w:gridCol w:w="36"/>
        <w:gridCol w:w="36"/>
        <w:gridCol w:w="36"/>
        <w:gridCol w:w="36"/>
        <w:gridCol w:w="98"/>
        <w:gridCol w:w="593"/>
        <w:gridCol w:w="36"/>
        <w:gridCol w:w="36"/>
        <w:gridCol w:w="36"/>
        <w:gridCol w:w="36"/>
        <w:gridCol w:w="97"/>
        <w:gridCol w:w="509"/>
        <w:gridCol w:w="36"/>
        <w:gridCol w:w="36"/>
        <w:gridCol w:w="36"/>
        <w:gridCol w:w="36"/>
        <w:gridCol w:w="98"/>
        <w:gridCol w:w="916"/>
        <w:gridCol w:w="36"/>
        <w:gridCol w:w="36"/>
        <w:gridCol w:w="36"/>
        <w:gridCol w:w="36"/>
        <w:gridCol w:w="98"/>
        <w:gridCol w:w="506"/>
        <w:gridCol w:w="36"/>
        <w:gridCol w:w="36"/>
        <w:gridCol w:w="36"/>
        <w:gridCol w:w="36"/>
        <w:gridCol w:w="98"/>
        <w:gridCol w:w="802"/>
        <w:gridCol w:w="36"/>
      </w:tblGrid>
      <w:tr w:rsidR="00BF3A3A" w14:paraId="195023CF" w14:textId="77777777">
        <w:trPr>
          <w:jc w:val="center"/>
        </w:trPr>
        <w:tc>
          <w:tcPr>
            <w:tcW w:w="50" w:type="pct"/>
            <w:shd w:val="clear" w:color="auto" w:fill="auto"/>
            <w:vAlign w:val="bottom"/>
          </w:tcPr>
          <w:p w14:paraId="195023A5" w14:textId="77777777" w:rsidR="00BF3A3A" w:rsidRDefault="00BF3A3A">
            <w:pPr>
              <w:rPr>
                <w:rFonts w:ascii="宋体"/>
              </w:rPr>
            </w:pPr>
          </w:p>
        </w:tc>
        <w:tc>
          <w:tcPr>
            <w:tcW w:w="1883" w:type="pct"/>
            <w:shd w:val="clear" w:color="auto" w:fill="auto"/>
            <w:vAlign w:val="bottom"/>
          </w:tcPr>
          <w:p w14:paraId="195023A6" w14:textId="77777777" w:rsidR="00BF3A3A" w:rsidRDefault="00BF3A3A">
            <w:pPr>
              <w:rPr>
                <w:rFonts w:ascii="宋体"/>
              </w:rPr>
            </w:pPr>
          </w:p>
        </w:tc>
        <w:tc>
          <w:tcPr>
            <w:tcW w:w="5" w:type="pct"/>
            <w:shd w:val="clear" w:color="auto" w:fill="auto"/>
            <w:vAlign w:val="bottom"/>
          </w:tcPr>
          <w:p w14:paraId="195023A7" w14:textId="77777777" w:rsidR="00BF3A3A" w:rsidRDefault="00BF3A3A">
            <w:pPr>
              <w:rPr>
                <w:rFonts w:ascii="宋体"/>
              </w:rPr>
            </w:pPr>
          </w:p>
        </w:tc>
        <w:tc>
          <w:tcPr>
            <w:tcW w:w="50" w:type="pct"/>
            <w:shd w:val="clear" w:color="auto" w:fill="auto"/>
            <w:vAlign w:val="bottom"/>
          </w:tcPr>
          <w:p w14:paraId="195023A8" w14:textId="77777777" w:rsidR="00BF3A3A" w:rsidRDefault="00BF3A3A">
            <w:pPr>
              <w:rPr>
                <w:rFonts w:ascii="宋体"/>
              </w:rPr>
            </w:pPr>
          </w:p>
        </w:tc>
        <w:tc>
          <w:tcPr>
            <w:tcW w:w="268" w:type="pct"/>
            <w:shd w:val="clear" w:color="auto" w:fill="auto"/>
            <w:vAlign w:val="bottom"/>
          </w:tcPr>
          <w:p w14:paraId="195023A9" w14:textId="77777777" w:rsidR="00BF3A3A" w:rsidRDefault="00BF3A3A">
            <w:pPr>
              <w:rPr>
                <w:rFonts w:ascii="宋体"/>
              </w:rPr>
            </w:pPr>
          </w:p>
        </w:tc>
        <w:tc>
          <w:tcPr>
            <w:tcW w:w="5" w:type="pct"/>
            <w:shd w:val="clear" w:color="auto" w:fill="auto"/>
            <w:vAlign w:val="bottom"/>
          </w:tcPr>
          <w:p w14:paraId="195023AA" w14:textId="77777777" w:rsidR="00BF3A3A" w:rsidRDefault="00BF3A3A">
            <w:pPr>
              <w:rPr>
                <w:rFonts w:ascii="宋体"/>
              </w:rPr>
            </w:pPr>
          </w:p>
        </w:tc>
        <w:tc>
          <w:tcPr>
            <w:tcW w:w="5" w:type="pct"/>
            <w:shd w:val="clear" w:color="auto" w:fill="auto"/>
            <w:vAlign w:val="bottom"/>
          </w:tcPr>
          <w:p w14:paraId="195023AB" w14:textId="77777777" w:rsidR="00BF3A3A" w:rsidRDefault="00BF3A3A">
            <w:pPr>
              <w:rPr>
                <w:rFonts w:ascii="宋体"/>
              </w:rPr>
            </w:pPr>
          </w:p>
        </w:tc>
        <w:tc>
          <w:tcPr>
            <w:tcW w:w="26" w:type="pct"/>
            <w:shd w:val="clear" w:color="auto" w:fill="auto"/>
            <w:vAlign w:val="bottom"/>
          </w:tcPr>
          <w:p w14:paraId="195023AC" w14:textId="77777777" w:rsidR="00BF3A3A" w:rsidRDefault="00BF3A3A">
            <w:pPr>
              <w:rPr>
                <w:rFonts w:ascii="宋体"/>
              </w:rPr>
            </w:pPr>
          </w:p>
        </w:tc>
        <w:tc>
          <w:tcPr>
            <w:tcW w:w="5" w:type="pct"/>
            <w:shd w:val="clear" w:color="auto" w:fill="auto"/>
            <w:vAlign w:val="bottom"/>
          </w:tcPr>
          <w:p w14:paraId="195023AD" w14:textId="77777777" w:rsidR="00BF3A3A" w:rsidRDefault="00BF3A3A">
            <w:pPr>
              <w:rPr>
                <w:rFonts w:ascii="宋体"/>
              </w:rPr>
            </w:pPr>
          </w:p>
        </w:tc>
        <w:tc>
          <w:tcPr>
            <w:tcW w:w="50" w:type="pct"/>
            <w:shd w:val="clear" w:color="auto" w:fill="auto"/>
            <w:vAlign w:val="bottom"/>
          </w:tcPr>
          <w:p w14:paraId="195023AE" w14:textId="77777777" w:rsidR="00BF3A3A" w:rsidRDefault="00BF3A3A">
            <w:pPr>
              <w:rPr>
                <w:rFonts w:ascii="宋体"/>
              </w:rPr>
            </w:pPr>
          </w:p>
        </w:tc>
        <w:tc>
          <w:tcPr>
            <w:tcW w:w="260" w:type="pct"/>
            <w:shd w:val="clear" w:color="auto" w:fill="auto"/>
            <w:vAlign w:val="bottom"/>
          </w:tcPr>
          <w:p w14:paraId="195023AF" w14:textId="77777777" w:rsidR="00BF3A3A" w:rsidRDefault="00BF3A3A">
            <w:pPr>
              <w:rPr>
                <w:rFonts w:ascii="宋体"/>
              </w:rPr>
            </w:pPr>
          </w:p>
        </w:tc>
        <w:tc>
          <w:tcPr>
            <w:tcW w:w="5" w:type="pct"/>
            <w:shd w:val="clear" w:color="auto" w:fill="auto"/>
            <w:vAlign w:val="bottom"/>
          </w:tcPr>
          <w:p w14:paraId="195023B0" w14:textId="77777777" w:rsidR="00BF3A3A" w:rsidRDefault="00BF3A3A">
            <w:pPr>
              <w:rPr>
                <w:rFonts w:ascii="宋体"/>
              </w:rPr>
            </w:pPr>
          </w:p>
        </w:tc>
        <w:tc>
          <w:tcPr>
            <w:tcW w:w="5" w:type="pct"/>
            <w:shd w:val="clear" w:color="auto" w:fill="auto"/>
            <w:vAlign w:val="bottom"/>
          </w:tcPr>
          <w:p w14:paraId="195023B1" w14:textId="77777777" w:rsidR="00BF3A3A" w:rsidRDefault="00BF3A3A">
            <w:pPr>
              <w:rPr>
                <w:rFonts w:ascii="宋体"/>
              </w:rPr>
            </w:pPr>
          </w:p>
        </w:tc>
        <w:tc>
          <w:tcPr>
            <w:tcW w:w="26" w:type="pct"/>
            <w:shd w:val="clear" w:color="auto" w:fill="auto"/>
            <w:vAlign w:val="bottom"/>
          </w:tcPr>
          <w:p w14:paraId="195023B2" w14:textId="77777777" w:rsidR="00BF3A3A" w:rsidRDefault="00BF3A3A">
            <w:pPr>
              <w:rPr>
                <w:rFonts w:ascii="宋体"/>
              </w:rPr>
            </w:pPr>
          </w:p>
        </w:tc>
        <w:tc>
          <w:tcPr>
            <w:tcW w:w="5" w:type="pct"/>
            <w:shd w:val="clear" w:color="auto" w:fill="auto"/>
            <w:vAlign w:val="bottom"/>
          </w:tcPr>
          <w:p w14:paraId="195023B3" w14:textId="77777777" w:rsidR="00BF3A3A" w:rsidRDefault="00BF3A3A">
            <w:pPr>
              <w:rPr>
                <w:rFonts w:ascii="宋体"/>
              </w:rPr>
            </w:pPr>
          </w:p>
        </w:tc>
        <w:tc>
          <w:tcPr>
            <w:tcW w:w="50" w:type="pct"/>
            <w:shd w:val="clear" w:color="auto" w:fill="auto"/>
            <w:vAlign w:val="bottom"/>
          </w:tcPr>
          <w:p w14:paraId="195023B4" w14:textId="77777777" w:rsidR="00BF3A3A" w:rsidRDefault="00BF3A3A">
            <w:pPr>
              <w:rPr>
                <w:rFonts w:ascii="宋体"/>
              </w:rPr>
            </w:pPr>
          </w:p>
        </w:tc>
        <w:tc>
          <w:tcPr>
            <w:tcW w:w="334" w:type="pct"/>
            <w:shd w:val="clear" w:color="auto" w:fill="auto"/>
            <w:vAlign w:val="bottom"/>
          </w:tcPr>
          <w:p w14:paraId="195023B5" w14:textId="77777777" w:rsidR="00BF3A3A" w:rsidRDefault="00BF3A3A">
            <w:pPr>
              <w:rPr>
                <w:rFonts w:ascii="宋体"/>
              </w:rPr>
            </w:pPr>
          </w:p>
        </w:tc>
        <w:tc>
          <w:tcPr>
            <w:tcW w:w="5" w:type="pct"/>
            <w:shd w:val="clear" w:color="auto" w:fill="auto"/>
            <w:vAlign w:val="bottom"/>
          </w:tcPr>
          <w:p w14:paraId="195023B6" w14:textId="77777777" w:rsidR="00BF3A3A" w:rsidRDefault="00BF3A3A">
            <w:pPr>
              <w:rPr>
                <w:rFonts w:ascii="宋体"/>
              </w:rPr>
            </w:pPr>
          </w:p>
        </w:tc>
        <w:tc>
          <w:tcPr>
            <w:tcW w:w="5" w:type="pct"/>
            <w:shd w:val="clear" w:color="auto" w:fill="auto"/>
            <w:vAlign w:val="bottom"/>
          </w:tcPr>
          <w:p w14:paraId="195023B7" w14:textId="77777777" w:rsidR="00BF3A3A" w:rsidRDefault="00BF3A3A">
            <w:pPr>
              <w:rPr>
                <w:rFonts w:ascii="宋体"/>
              </w:rPr>
            </w:pPr>
          </w:p>
        </w:tc>
        <w:tc>
          <w:tcPr>
            <w:tcW w:w="26" w:type="pct"/>
            <w:shd w:val="clear" w:color="auto" w:fill="auto"/>
            <w:vAlign w:val="bottom"/>
          </w:tcPr>
          <w:p w14:paraId="195023B8" w14:textId="77777777" w:rsidR="00BF3A3A" w:rsidRDefault="00BF3A3A">
            <w:pPr>
              <w:rPr>
                <w:rFonts w:ascii="宋体"/>
              </w:rPr>
            </w:pPr>
          </w:p>
        </w:tc>
        <w:tc>
          <w:tcPr>
            <w:tcW w:w="5" w:type="pct"/>
            <w:shd w:val="clear" w:color="auto" w:fill="auto"/>
            <w:vAlign w:val="bottom"/>
          </w:tcPr>
          <w:p w14:paraId="195023B9" w14:textId="77777777" w:rsidR="00BF3A3A" w:rsidRDefault="00BF3A3A">
            <w:pPr>
              <w:rPr>
                <w:rFonts w:ascii="宋体"/>
              </w:rPr>
            </w:pPr>
          </w:p>
        </w:tc>
        <w:tc>
          <w:tcPr>
            <w:tcW w:w="50" w:type="pct"/>
            <w:shd w:val="clear" w:color="auto" w:fill="auto"/>
            <w:vAlign w:val="bottom"/>
          </w:tcPr>
          <w:p w14:paraId="195023BA" w14:textId="77777777" w:rsidR="00BF3A3A" w:rsidRDefault="00BF3A3A">
            <w:pPr>
              <w:rPr>
                <w:rFonts w:ascii="宋体"/>
              </w:rPr>
            </w:pPr>
          </w:p>
        </w:tc>
        <w:tc>
          <w:tcPr>
            <w:tcW w:w="304" w:type="pct"/>
            <w:shd w:val="clear" w:color="auto" w:fill="auto"/>
            <w:vAlign w:val="bottom"/>
          </w:tcPr>
          <w:p w14:paraId="195023BB" w14:textId="77777777" w:rsidR="00BF3A3A" w:rsidRDefault="00BF3A3A">
            <w:pPr>
              <w:rPr>
                <w:rFonts w:ascii="宋体"/>
              </w:rPr>
            </w:pPr>
          </w:p>
        </w:tc>
        <w:tc>
          <w:tcPr>
            <w:tcW w:w="5" w:type="pct"/>
            <w:shd w:val="clear" w:color="auto" w:fill="auto"/>
            <w:vAlign w:val="bottom"/>
          </w:tcPr>
          <w:p w14:paraId="195023BC" w14:textId="77777777" w:rsidR="00BF3A3A" w:rsidRDefault="00BF3A3A">
            <w:pPr>
              <w:rPr>
                <w:rFonts w:ascii="宋体"/>
              </w:rPr>
            </w:pPr>
          </w:p>
        </w:tc>
        <w:tc>
          <w:tcPr>
            <w:tcW w:w="5" w:type="pct"/>
            <w:shd w:val="clear" w:color="auto" w:fill="auto"/>
            <w:vAlign w:val="bottom"/>
          </w:tcPr>
          <w:p w14:paraId="195023BD" w14:textId="77777777" w:rsidR="00BF3A3A" w:rsidRDefault="00BF3A3A">
            <w:pPr>
              <w:rPr>
                <w:rFonts w:ascii="宋体"/>
              </w:rPr>
            </w:pPr>
          </w:p>
        </w:tc>
        <w:tc>
          <w:tcPr>
            <w:tcW w:w="26" w:type="pct"/>
            <w:shd w:val="clear" w:color="auto" w:fill="auto"/>
            <w:vAlign w:val="bottom"/>
          </w:tcPr>
          <w:p w14:paraId="195023BE" w14:textId="77777777" w:rsidR="00BF3A3A" w:rsidRDefault="00BF3A3A">
            <w:pPr>
              <w:rPr>
                <w:rFonts w:ascii="宋体"/>
              </w:rPr>
            </w:pPr>
          </w:p>
        </w:tc>
        <w:tc>
          <w:tcPr>
            <w:tcW w:w="5" w:type="pct"/>
            <w:shd w:val="clear" w:color="auto" w:fill="auto"/>
            <w:vAlign w:val="bottom"/>
          </w:tcPr>
          <w:p w14:paraId="195023BF" w14:textId="77777777" w:rsidR="00BF3A3A" w:rsidRDefault="00BF3A3A">
            <w:pPr>
              <w:rPr>
                <w:rFonts w:ascii="宋体"/>
              </w:rPr>
            </w:pPr>
          </w:p>
        </w:tc>
        <w:tc>
          <w:tcPr>
            <w:tcW w:w="50" w:type="pct"/>
            <w:shd w:val="clear" w:color="auto" w:fill="auto"/>
            <w:vAlign w:val="bottom"/>
          </w:tcPr>
          <w:p w14:paraId="195023C0" w14:textId="77777777" w:rsidR="00BF3A3A" w:rsidRDefault="00BF3A3A">
            <w:pPr>
              <w:rPr>
                <w:rFonts w:ascii="宋体"/>
              </w:rPr>
            </w:pPr>
          </w:p>
        </w:tc>
        <w:tc>
          <w:tcPr>
            <w:tcW w:w="525" w:type="pct"/>
            <w:shd w:val="clear" w:color="auto" w:fill="auto"/>
            <w:vAlign w:val="bottom"/>
          </w:tcPr>
          <w:p w14:paraId="195023C1" w14:textId="77777777" w:rsidR="00BF3A3A" w:rsidRDefault="00BF3A3A">
            <w:pPr>
              <w:rPr>
                <w:rFonts w:ascii="宋体"/>
              </w:rPr>
            </w:pPr>
          </w:p>
        </w:tc>
        <w:tc>
          <w:tcPr>
            <w:tcW w:w="5" w:type="pct"/>
            <w:shd w:val="clear" w:color="auto" w:fill="auto"/>
            <w:vAlign w:val="bottom"/>
          </w:tcPr>
          <w:p w14:paraId="195023C2" w14:textId="77777777" w:rsidR="00BF3A3A" w:rsidRDefault="00BF3A3A">
            <w:pPr>
              <w:rPr>
                <w:rFonts w:ascii="宋体"/>
              </w:rPr>
            </w:pPr>
          </w:p>
        </w:tc>
        <w:tc>
          <w:tcPr>
            <w:tcW w:w="5" w:type="pct"/>
            <w:shd w:val="clear" w:color="auto" w:fill="auto"/>
            <w:vAlign w:val="bottom"/>
          </w:tcPr>
          <w:p w14:paraId="195023C3" w14:textId="77777777" w:rsidR="00BF3A3A" w:rsidRDefault="00BF3A3A">
            <w:pPr>
              <w:rPr>
                <w:rFonts w:ascii="宋体"/>
              </w:rPr>
            </w:pPr>
          </w:p>
        </w:tc>
        <w:tc>
          <w:tcPr>
            <w:tcW w:w="26" w:type="pct"/>
            <w:shd w:val="clear" w:color="auto" w:fill="auto"/>
            <w:vAlign w:val="bottom"/>
          </w:tcPr>
          <w:p w14:paraId="195023C4" w14:textId="77777777" w:rsidR="00BF3A3A" w:rsidRDefault="00BF3A3A">
            <w:pPr>
              <w:rPr>
                <w:rFonts w:ascii="宋体"/>
              </w:rPr>
            </w:pPr>
          </w:p>
        </w:tc>
        <w:tc>
          <w:tcPr>
            <w:tcW w:w="5" w:type="pct"/>
            <w:shd w:val="clear" w:color="auto" w:fill="auto"/>
            <w:vAlign w:val="bottom"/>
          </w:tcPr>
          <w:p w14:paraId="195023C5" w14:textId="77777777" w:rsidR="00BF3A3A" w:rsidRDefault="00BF3A3A">
            <w:pPr>
              <w:rPr>
                <w:rFonts w:ascii="宋体"/>
              </w:rPr>
            </w:pPr>
          </w:p>
        </w:tc>
        <w:tc>
          <w:tcPr>
            <w:tcW w:w="50" w:type="pct"/>
            <w:shd w:val="clear" w:color="auto" w:fill="auto"/>
            <w:vAlign w:val="bottom"/>
          </w:tcPr>
          <w:p w14:paraId="195023C6" w14:textId="77777777" w:rsidR="00BF3A3A" w:rsidRDefault="00BF3A3A">
            <w:pPr>
              <w:rPr>
                <w:rFonts w:ascii="宋体"/>
              </w:rPr>
            </w:pPr>
          </w:p>
        </w:tc>
        <w:tc>
          <w:tcPr>
            <w:tcW w:w="297" w:type="pct"/>
            <w:shd w:val="clear" w:color="auto" w:fill="auto"/>
            <w:vAlign w:val="bottom"/>
          </w:tcPr>
          <w:p w14:paraId="195023C7" w14:textId="77777777" w:rsidR="00BF3A3A" w:rsidRDefault="00BF3A3A">
            <w:pPr>
              <w:rPr>
                <w:rFonts w:ascii="宋体"/>
              </w:rPr>
            </w:pPr>
          </w:p>
        </w:tc>
        <w:tc>
          <w:tcPr>
            <w:tcW w:w="5" w:type="pct"/>
            <w:shd w:val="clear" w:color="auto" w:fill="auto"/>
            <w:vAlign w:val="bottom"/>
          </w:tcPr>
          <w:p w14:paraId="195023C8" w14:textId="77777777" w:rsidR="00BF3A3A" w:rsidRDefault="00BF3A3A">
            <w:pPr>
              <w:rPr>
                <w:rFonts w:ascii="宋体"/>
              </w:rPr>
            </w:pPr>
          </w:p>
        </w:tc>
        <w:tc>
          <w:tcPr>
            <w:tcW w:w="5" w:type="pct"/>
            <w:shd w:val="clear" w:color="auto" w:fill="auto"/>
            <w:vAlign w:val="bottom"/>
          </w:tcPr>
          <w:p w14:paraId="195023C9" w14:textId="77777777" w:rsidR="00BF3A3A" w:rsidRDefault="00BF3A3A">
            <w:pPr>
              <w:rPr>
                <w:rFonts w:ascii="宋体"/>
              </w:rPr>
            </w:pPr>
          </w:p>
        </w:tc>
        <w:tc>
          <w:tcPr>
            <w:tcW w:w="26" w:type="pct"/>
            <w:shd w:val="clear" w:color="auto" w:fill="auto"/>
            <w:vAlign w:val="bottom"/>
          </w:tcPr>
          <w:p w14:paraId="195023CA" w14:textId="77777777" w:rsidR="00BF3A3A" w:rsidRDefault="00BF3A3A">
            <w:pPr>
              <w:rPr>
                <w:rFonts w:ascii="宋体"/>
              </w:rPr>
            </w:pPr>
          </w:p>
        </w:tc>
        <w:tc>
          <w:tcPr>
            <w:tcW w:w="5" w:type="pct"/>
            <w:shd w:val="clear" w:color="auto" w:fill="auto"/>
            <w:vAlign w:val="bottom"/>
          </w:tcPr>
          <w:p w14:paraId="195023CB" w14:textId="77777777" w:rsidR="00BF3A3A" w:rsidRDefault="00BF3A3A">
            <w:pPr>
              <w:rPr>
                <w:rFonts w:ascii="宋体"/>
              </w:rPr>
            </w:pPr>
          </w:p>
        </w:tc>
        <w:tc>
          <w:tcPr>
            <w:tcW w:w="50" w:type="pct"/>
            <w:shd w:val="clear" w:color="auto" w:fill="auto"/>
            <w:vAlign w:val="bottom"/>
          </w:tcPr>
          <w:p w14:paraId="195023CC" w14:textId="77777777" w:rsidR="00BF3A3A" w:rsidRDefault="00BF3A3A">
            <w:pPr>
              <w:rPr>
                <w:rFonts w:ascii="宋体"/>
              </w:rPr>
            </w:pPr>
          </w:p>
        </w:tc>
        <w:tc>
          <w:tcPr>
            <w:tcW w:w="466" w:type="pct"/>
            <w:shd w:val="clear" w:color="auto" w:fill="auto"/>
            <w:vAlign w:val="bottom"/>
          </w:tcPr>
          <w:p w14:paraId="195023CD" w14:textId="77777777" w:rsidR="00BF3A3A" w:rsidRDefault="00BF3A3A">
            <w:pPr>
              <w:rPr>
                <w:rFonts w:ascii="宋体"/>
              </w:rPr>
            </w:pPr>
          </w:p>
        </w:tc>
        <w:tc>
          <w:tcPr>
            <w:tcW w:w="5" w:type="pct"/>
            <w:shd w:val="clear" w:color="auto" w:fill="auto"/>
            <w:vAlign w:val="bottom"/>
          </w:tcPr>
          <w:p w14:paraId="195023CE" w14:textId="77777777" w:rsidR="00BF3A3A" w:rsidRDefault="00BF3A3A">
            <w:pPr>
              <w:rPr>
                <w:rFonts w:ascii="宋体"/>
              </w:rPr>
            </w:pPr>
          </w:p>
        </w:tc>
      </w:tr>
      <w:tr w:rsidR="00BF3A3A" w14:paraId="195023DD" w14:textId="77777777">
        <w:trPr>
          <w:trHeight w:val="420"/>
          <w:jc w:val="center"/>
        </w:trPr>
        <w:tc>
          <w:tcPr>
            <w:tcW w:w="0" w:type="auto"/>
            <w:gridSpan w:val="3"/>
            <w:shd w:val="clear" w:color="auto" w:fill="auto"/>
            <w:tcMar>
              <w:top w:w="0" w:type="dxa"/>
              <w:left w:w="20" w:type="dxa"/>
              <w:bottom w:w="0" w:type="dxa"/>
              <w:right w:w="20" w:type="dxa"/>
            </w:tcMar>
            <w:vAlign w:val="bottom"/>
          </w:tcPr>
          <w:p w14:paraId="195023D0" w14:textId="77777777" w:rsidR="00BF3A3A" w:rsidRDefault="00BF3A3A">
            <w:pPr>
              <w:rPr>
                <w:rFonts w:ascii="宋体"/>
              </w:rPr>
            </w:pPr>
          </w:p>
        </w:tc>
        <w:tc>
          <w:tcPr>
            <w:tcW w:w="0" w:type="auto"/>
            <w:gridSpan w:val="9"/>
            <w:shd w:val="clear" w:color="auto" w:fill="auto"/>
            <w:tcMar>
              <w:top w:w="40" w:type="dxa"/>
              <w:left w:w="20" w:type="dxa"/>
              <w:bottom w:w="40" w:type="dxa"/>
              <w:right w:w="20" w:type="dxa"/>
            </w:tcMar>
            <w:vAlign w:val="bottom"/>
          </w:tcPr>
          <w:p w14:paraId="195023D1" w14:textId="77777777" w:rsidR="00BF3A3A" w:rsidRDefault="00A76802">
            <w:pPr>
              <w:jc w:val="center"/>
              <w:textAlignment w:val="bottom"/>
            </w:pPr>
            <w:r>
              <w:rPr>
                <w:rFonts w:ascii="sans-serif" w:eastAsia="sans-serif" w:hAnsi="sans-serif" w:cs="sans-serif"/>
                <w:b/>
                <w:bCs/>
                <w:color w:val="000000"/>
                <w:sz w:val="15"/>
                <w:szCs w:val="15"/>
              </w:rPr>
              <w:t>Common Stock</w:t>
            </w:r>
          </w:p>
          <w:p w14:paraId="195023D2" w14:textId="77777777" w:rsidR="00BF3A3A" w:rsidRDefault="00A76802">
            <w:pPr>
              <w:jc w:val="center"/>
              <w:textAlignment w:val="bottom"/>
            </w:pPr>
            <w:r>
              <w:rPr>
                <w:rFonts w:ascii="sans-serif" w:eastAsia="sans-serif" w:hAnsi="sans-serif" w:cs="sans-serif"/>
                <w:b/>
                <w:bCs/>
                <w:color w:val="000000"/>
                <w:sz w:val="15"/>
                <w:szCs w:val="15"/>
              </w:rPr>
              <w:t>Outstanding</w:t>
            </w:r>
          </w:p>
        </w:tc>
        <w:tc>
          <w:tcPr>
            <w:tcW w:w="0" w:type="auto"/>
            <w:gridSpan w:val="3"/>
            <w:shd w:val="clear" w:color="auto" w:fill="auto"/>
            <w:tcMar>
              <w:top w:w="0" w:type="dxa"/>
              <w:left w:w="20" w:type="dxa"/>
              <w:bottom w:w="0" w:type="dxa"/>
              <w:right w:w="20" w:type="dxa"/>
            </w:tcMar>
            <w:vAlign w:val="bottom"/>
          </w:tcPr>
          <w:p w14:paraId="195023D3" w14:textId="77777777" w:rsidR="00BF3A3A" w:rsidRDefault="00BF3A3A">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95023D4" w14:textId="77777777" w:rsidR="00BF3A3A" w:rsidRDefault="00A76802">
            <w:pPr>
              <w:jc w:val="center"/>
              <w:textAlignment w:val="bottom"/>
            </w:pPr>
            <w:r>
              <w:rPr>
                <w:rFonts w:ascii="sans-serif" w:eastAsia="sans-serif" w:hAnsi="sans-serif" w:cs="sans-serif"/>
                <w:b/>
                <w:bCs/>
                <w:color w:val="000000"/>
                <w:sz w:val="15"/>
                <w:szCs w:val="15"/>
              </w:rPr>
              <w:t>Additional Paid-in Capital</w:t>
            </w:r>
          </w:p>
        </w:tc>
        <w:tc>
          <w:tcPr>
            <w:tcW w:w="0" w:type="auto"/>
            <w:gridSpan w:val="3"/>
            <w:shd w:val="clear" w:color="auto" w:fill="auto"/>
            <w:tcMar>
              <w:top w:w="0" w:type="dxa"/>
              <w:left w:w="20" w:type="dxa"/>
              <w:bottom w:w="0" w:type="dxa"/>
              <w:right w:w="20" w:type="dxa"/>
            </w:tcMar>
            <w:vAlign w:val="bottom"/>
          </w:tcPr>
          <w:p w14:paraId="195023D5" w14:textId="77777777" w:rsidR="00BF3A3A" w:rsidRDefault="00BF3A3A">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95023D6" w14:textId="77777777" w:rsidR="00BF3A3A" w:rsidRDefault="00A76802">
            <w:pPr>
              <w:jc w:val="center"/>
              <w:textAlignment w:val="bottom"/>
            </w:pPr>
            <w:r>
              <w:rPr>
                <w:rFonts w:ascii="sans-serif" w:eastAsia="sans-serif" w:hAnsi="sans-serif" w:cs="sans-serif"/>
                <w:b/>
                <w:bCs/>
                <w:color w:val="000000"/>
                <w:sz w:val="15"/>
                <w:szCs w:val="15"/>
              </w:rPr>
              <w:t>Treasury Stock</w:t>
            </w:r>
          </w:p>
        </w:tc>
        <w:tc>
          <w:tcPr>
            <w:tcW w:w="0" w:type="auto"/>
            <w:gridSpan w:val="3"/>
            <w:shd w:val="clear" w:color="auto" w:fill="auto"/>
            <w:tcMar>
              <w:top w:w="0" w:type="dxa"/>
              <w:left w:w="20" w:type="dxa"/>
              <w:bottom w:w="0" w:type="dxa"/>
              <w:right w:w="20" w:type="dxa"/>
            </w:tcMar>
            <w:vAlign w:val="bottom"/>
          </w:tcPr>
          <w:p w14:paraId="195023D7" w14:textId="77777777" w:rsidR="00BF3A3A" w:rsidRDefault="00BF3A3A">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95023D8" w14:textId="77777777" w:rsidR="00BF3A3A" w:rsidRDefault="00A76802">
            <w:pPr>
              <w:jc w:val="center"/>
              <w:textAlignment w:val="bottom"/>
            </w:pPr>
            <w:r>
              <w:rPr>
                <w:rFonts w:ascii="sans-serif" w:eastAsia="sans-serif" w:hAnsi="sans-serif" w:cs="sans-serif"/>
                <w:b/>
                <w:bCs/>
                <w:color w:val="000000"/>
                <w:sz w:val="15"/>
                <w:szCs w:val="15"/>
              </w:rPr>
              <w:t>Accumulated Other Comprehensive Income (Loss)</w:t>
            </w:r>
          </w:p>
        </w:tc>
        <w:tc>
          <w:tcPr>
            <w:tcW w:w="0" w:type="auto"/>
            <w:gridSpan w:val="3"/>
            <w:shd w:val="clear" w:color="auto" w:fill="auto"/>
            <w:tcMar>
              <w:top w:w="0" w:type="dxa"/>
              <w:left w:w="20" w:type="dxa"/>
              <w:bottom w:w="0" w:type="dxa"/>
              <w:right w:w="20" w:type="dxa"/>
            </w:tcMar>
            <w:vAlign w:val="bottom"/>
          </w:tcPr>
          <w:p w14:paraId="195023D9" w14:textId="77777777" w:rsidR="00BF3A3A" w:rsidRDefault="00BF3A3A">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95023DA" w14:textId="77777777" w:rsidR="00BF3A3A" w:rsidRDefault="00A76802">
            <w:pPr>
              <w:jc w:val="center"/>
              <w:textAlignment w:val="bottom"/>
            </w:pPr>
            <w:r>
              <w:rPr>
                <w:rFonts w:ascii="sans-serif" w:eastAsia="sans-serif" w:hAnsi="sans-serif" w:cs="sans-serif"/>
                <w:b/>
                <w:bCs/>
                <w:color w:val="000000"/>
                <w:sz w:val="15"/>
                <w:szCs w:val="15"/>
              </w:rPr>
              <w:t>Retained Earnings</w:t>
            </w:r>
          </w:p>
        </w:tc>
        <w:tc>
          <w:tcPr>
            <w:tcW w:w="0" w:type="auto"/>
            <w:gridSpan w:val="3"/>
            <w:shd w:val="clear" w:color="auto" w:fill="auto"/>
            <w:tcMar>
              <w:top w:w="0" w:type="dxa"/>
              <w:left w:w="20" w:type="dxa"/>
              <w:bottom w:w="0" w:type="dxa"/>
              <w:right w:w="20" w:type="dxa"/>
            </w:tcMar>
            <w:vAlign w:val="bottom"/>
          </w:tcPr>
          <w:p w14:paraId="195023DB" w14:textId="77777777" w:rsidR="00BF3A3A" w:rsidRDefault="00BF3A3A">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95023DC" w14:textId="77777777" w:rsidR="00BF3A3A" w:rsidRDefault="00A76802">
            <w:pPr>
              <w:jc w:val="center"/>
              <w:textAlignment w:val="bottom"/>
            </w:pPr>
            <w:r>
              <w:rPr>
                <w:rFonts w:ascii="sans-serif" w:eastAsia="sans-serif" w:hAnsi="sans-serif" w:cs="sans-serif"/>
                <w:b/>
                <w:bCs/>
                <w:color w:val="000000"/>
                <w:sz w:val="15"/>
                <w:szCs w:val="15"/>
              </w:rPr>
              <w:t>Total Shareholders' Equity</w:t>
            </w:r>
          </w:p>
        </w:tc>
      </w:tr>
      <w:tr w:rsidR="00BF3A3A" w14:paraId="195023EC" w14:textId="77777777">
        <w:trPr>
          <w:trHeight w:val="240"/>
          <w:jc w:val="center"/>
        </w:trPr>
        <w:tc>
          <w:tcPr>
            <w:tcW w:w="0" w:type="auto"/>
            <w:gridSpan w:val="3"/>
            <w:shd w:val="clear" w:color="auto" w:fill="auto"/>
            <w:tcMar>
              <w:top w:w="40" w:type="dxa"/>
              <w:left w:w="20" w:type="dxa"/>
              <w:bottom w:w="40" w:type="dxa"/>
              <w:right w:w="20" w:type="dxa"/>
            </w:tcMar>
            <w:vAlign w:val="bottom"/>
          </w:tcPr>
          <w:p w14:paraId="195023DE" w14:textId="77777777" w:rsidR="00BF3A3A" w:rsidRDefault="00A76802">
            <w:pPr>
              <w:textAlignment w:val="bottom"/>
            </w:pPr>
            <w:r>
              <w:rPr>
                <w:rFonts w:ascii="sans-serif" w:eastAsia="sans-serif" w:hAnsi="sans-serif" w:cs="sans-serif"/>
                <w:b/>
                <w:bCs/>
                <w:color w:val="000000"/>
                <w:sz w:val="15"/>
                <w:szCs w:val="15"/>
              </w:rPr>
              <w:t>(In millions, except per share data)</w:t>
            </w:r>
          </w:p>
        </w:tc>
        <w:tc>
          <w:tcPr>
            <w:tcW w:w="0" w:type="auto"/>
            <w:gridSpan w:val="3"/>
            <w:shd w:val="clear" w:color="auto" w:fill="auto"/>
            <w:tcMar>
              <w:top w:w="40" w:type="dxa"/>
              <w:left w:w="20" w:type="dxa"/>
              <w:bottom w:w="40" w:type="dxa"/>
              <w:right w:w="20" w:type="dxa"/>
            </w:tcMar>
            <w:vAlign w:val="bottom"/>
          </w:tcPr>
          <w:p w14:paraId="195023DF" w14:textId="77777777" w:rsidR="00BF3A3A" w:rsidRDefault="00A76802">
            <w:pPr>
              <w:jc w:val="center"/>
              <w:textAlignment w:val="bottom"/>
            </w:pPr>
            <w:r>
              <w:rPr>
                <w:rFonts w:ascii="sans-serif" w:eastAsia="sans-serif" w:hAnsi="sans-serif" w:cs="sans-serif"/>
                <w:b/>
                <w:bCs/>
                <w:color w:val="000000"/>
                <w:sz w:val="15"/>
                <w:szCs w:val="15"/>
              </w:rPr>
              <w:t>Shares</w:t>
            </w:r>
          </w:p>
        </w:tc>
        <w:tc>
          <w:tcPr>
            <w:tcW w:w="0" w:type="auto"/>
            <w:gridSpan w:val="3"/>
            <w:shd w:val="clear" w:color="auto" w:fill="auto"/>
            <w:tcMar>
              <w:top w:w="0" w:type="dxa"/>
              <w:left w:w="20" w:type="dxa"/>
              <w:bottom w:w="0" w:type="dxa"/>
              <w:right w:w="20" w:type="dxa"/>
            </w:tcMar>
            <w:vAlign w:val="bottom"/>
          </w:tcPr>
          <w:p w14:paraId="195023E0"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23E1" w14:textId="77777777" w:rsidR="00BF3A3A" w:rsidRDefault="00A76802">
            <w:pPr>
              <w:jc w:val="center"/>
              <w:textAlignment w:val="bottom"/>
            </w:pPr>
            <w:r>
              <w:rPr>
                <w:rFonts w:ascii="sans-serif" w:eastAsia="sans-serif" w:hAnsi="sans-serif" w:cs="sans-serif"/>
                <w:b/>
                <w:bCs/>
                <w:color w:val="000000"/>
                <w:sz w:val="15"/>
                <w:szCs w:val="15"/>
              </w:rPr>
              <w:t>Amount</w:t>
            </w:r>
          </w:p>
        </w:tc>
        <w:tc>
          <w:tcPr>
            <w:tcW w:w="0" w:type="auto"/>
            <w:gridSpan w:val="3"/>
            <w:shd w:val="clear" w:color="auto" w:fill="auto"/>
            <w:tcMar>
              <w:top w:w="0" w:type="dxa"/>
              <w:left w:w="20" w:type="dxa"/>
              <w:bottom w:w="0" w:type="dxa"/>
              <w:right w:w="20" w:type="dxa"/>
            </w:tcMar>
            <w:vAlign w:val="bottom"/>
          </w:tcPr>
          <w:p w14:paraId="195023E2" w14:textId="77777777" w:rsidR="00BF3A3A" w:rsidRDefault="00BF3A3A">
            <w:pPr>
              <w:rPr>
                <w:rFonts w:ascii="宋体"/>
              </w:rPr>
            </w:pPr>
          </w:p>
        </w:tc>
        <w:tc>
          <w:tcPr>
            <w:tcW w:w="0" w:type="auto"/>
            <w:gridSpan w:val="3"/>
            <w:vMerge/>
            <w:shd w:val="clear" w:color="auto" w:fill="auto"/>
            <w:tcMar>
              <w:top w:w="40" w:type="dxa"/>
              <w:left w:w="20" w:type="dxa"/>
              <w:bottom w:w="40" w:type="dxa"/>
              <w:right w:w="20" w:type="dxa"/>
            </w:tcMar>
            <w:vAlign w:val="bottom"/>
          </w:tcPr>
          <w:p w14:paraId="195023E3" w14:textId="77777777" w:rsidR="00BF3A3A" w:rsidRDefault="00BF3A3A">
            <w:pPr>
              <w:jc w:val="center"/>
              <w:rPr>
                <w:rFonts w:ascii="宋体"/>
              </w:rPr>
            </w:pPr>
          </w:p>
        </w:tc>
        <w:tc>
          <w:tcPr>
            <w:tcW w:w="0" w:type="auto"/>
            <w:gridSpan w:val="3"/>
            <w:shd w:val="clear" w:color="auto" w:fill="auto"/>
            <w:tcMar>
              <w:top w:w="0" w:type="dxa"/>
              <w:left w:w="20" w:type="dxa"/>
              <w:bottom w:w="0" w:type="dxa"/>
              <w:right w:w="20" w:type="dxa"/>
            </w:tcMar>
            <w:vAlign w:val="bottom"/>
          </w:tcPr>
          <w:p w14:paraId="195023E4" w14:textId="77777777" w:rsidR="00BF3A3A" w:rsidRDefault="00BF3A3A">
            <w:pPr>
              <w:rPr>
                <w:rFonts w:ascii="宋体"/>
              </w:rPr>
            </w:pPr>
          </w:p>
        </w:tc>
        <w:tc>
          <w:tcPr>
            <w:tcW w:w="0" w:type="auto"/>
            <w:gridSpan w:val="3"/>
            <w:vMerge/>
            <w:shd w:val="clear" w:color="auto" w:fill="auto"/>
            <w:tcMar>
              <w:top w:w="40" w:type="dxa"/>
              <w:left w:w="20" w:type="dxa"/>
              <w:bottom w:w="40" w:type="dxa"/>
              <w:right w:w="20" w:type="dxa"/>
            </w:tcMar>
            <w:vAlign w:val="bottom"/>
          </w:tcPr>
          <w:p w14:paraId="195023E5" w14:textId="77777777" w:rsidR="00BF3A3A" w:rsidRDefault="00BF3A3A">
            <w:pPr>
              <w:jc w:val="center"/>
              <w:rPr>
                <w:rFonts w:ascii="宋体"/>
              </w:rPr>
            </w:pPr>
          </w:p>
        </w:tc>
        <w:tc>
          <w:tcPr>
            <w:tcW w:w="0" w:type="auto"/>
            <w:gridSpan w:val="3"/>
            <w:shd w:val="clear" w:color="auto" w:fill="auto"/>
            <w:tcMar>
              <w:top w:w="0" w:type="dxa"/>
              <w:left w:w="20" w:type="dxa"/>
              <w:bottom w:w="0" w:type="dxa"/>
              <w:right w:w="20" w:type="dxa"/>
            </w:tcMar>
            <w:vAlign w:val="bottom"/>
          </w:tcPr>
          <w:p w14:paraId="195023E6" w14:textId="77777777" w:rsidR="00BF3A3A" w:rsidRDefault="00BF3A3A">
            <w:pPr>
              <w:rPr>
                <w:rFonts w:ascii="宋体"/>
              </w:rPr>
            </w:pPr>
          </w:p>
        </w:tc>
        <w:tc>
          <w:tcPr>
            <w:tcW w:w="0" w:type="auto"/>
            <w:gridSpan w:val="3"/>
            <w:vMerge/>
            <w:shd w:val="clear" w:color="auto" w:fill="auto"/>
            <w:tcMar>
              <w:top w:w="40" w:type="dxa"/>
              <w:left w:w="20" w:type="dxa"/>
              <w:bottom w:w="40" w:type="dxa"/>
              <w:right w:w="20" w:type="dxa"/>
            </w:tcMar>
            <w:vAlign w:val="bottom"/>
          </w:tcPr>
          <w:p w14:paraId="195023E7" w14:textId="77777777" w:rsidR="00BF3A3A" w:rsidRDefault="00BF3A3A">
            <w:pPr>
              <w:jc w:val="center"/>
              <w:rPr>
                <w:rFonts w:ascii="宋体"/>
              </w:rPr>
            </w:pPr>
          </w:p>
        </w:tc>
        <w:tc>
          <w:tcPr>
            <w:tcW w:w="0" w:type="auto"/>
            <w:gridSpan w:val="3"/>
            <w:shd w:val="clear" w:color="auto" w:fill="auto"/>
            <w:tcMar>
              <w:top w:w="0" w:type="dxa"/>
              <w:left w:w="20" w:type="dxa"/>
              <w:bottom w:w="0" w:type="dxa"/>
              <w:right w:w="20" w:type="dxa"/>
            </w:tcMar>
            <w:vAlign w:val="bottom"/>
          </w:tcPr>
          <w:p w14:paraId="195023E8" w14:textId="77777777" w:rsidR="00BF3A3A" w:rsidRDefault="00BF3A3A">
            <w:pPr>
              <w:rPr>
                <w:rFonts w:ascii="宋体"/>
              </w:rPr>
            </w:pPr>
          </w:p>
        </w:tc>
        <w:tc>
          <w:tcPr>
            <w:tcW w:w="0" w:type="auto"/>
            <w:gridSpan w:val="3"/>
            <w:vMerge/>
            <w:shd w:val="clear" w:color="auto" w:fill="auto"/>
            <w:tcMar>
              <w:top w:w="40" w:type="dxa"/>
              <w:left w:w="20" w:type="dxa"/>
              <w:bottom w:w="40" w:type="dxa"/>
              <w:right w:w="20" w:type="dxa"/>
            </w:tcMar>
            <w:vAlign w:val="bottom"/>
          </w:tcPr>
          <w:p w14:paraId="195023E9" w14:textId="77777777" w:rsidR="00BF3A3A" w:rsidRDefault="00BF3A3A">
            <w:pPr>
              <w:jc w:val="center"/>
              <w:rPr>
                <w:rFonts w:ascii="宋体"/>
              </w:rPr>
            </w:pPr>
          </w:p>
        </w:tc>
        <w:tc>
          <w:tcPr>
            <w:tcW w:w="0" w:type="auto"/>
            <w:gridSpan w:val="3"/>
            <w:shd w:val="clear" w:color="auto" w:fill="auto"/>
            <w:tcMar>
              <w:top w:w="0" w:type="dxa"/>
              <w:left w:w="20" w:type="dxa"/>
              <w:bottom w:w="0" w:type="dxa"/>
              <w:right w:w="20" w:type="dxa"/>
            </w:tcMar>
            <w:vAlign w:val="bottom"/>
          </w:tcPr>
          <w:p w14:paraId="195023EA" w14:textId="77777777" w:rsidR="00BF3A3A" w:rsidRDefault="00BF3A3A">
            <w:pPr>
              <w:rPr>
                <w:rFonts w:ascii="宋体"/>
              </w:rPr>
            </w:pPr>
          </w:p>
        </w:tc>
        <w:tc>
          <w:tcPr>
            <w:tcW w:w="0" w:type="auto"/>
            <w:gridSpan w:val="3"/>
            <w:vMerge/>
            <w:shd w:val="clear" w:color="auto" w:fill="auto"/>
            <w:tcMar>
              <w:top w:w="40" w:type="dxa"/>
              <w:left w:w="20" w:type="dxa"/>
              <w:bottom w:w="40" w:type="dxa"/>
              <w:right w:w="20" w:type="dxa"/>
            </w:tcMar>
            <w:vAlign w:val="bottom"/>
          </w:tcPr>
          <w:p w14:paraId="195023EB" w14:textId="77777777" w:rsidR="00BF3A3A" w:rsidRDefault="00BF3A3A">
            <w:pPr>
              <w:jc w:val="center"/>
              <w:rPr>
                <w:rFonts w:ascii="宋体"/>
              </w:rPr>
            </w:pPr>
          </w:p>
        </w:tc>
      </w:tr>
      <w:tr w:rsidR="00BF3A3A" w14:paraId="19502408" w14:textId="77777777">
        <w:trPr>
          <w:jc w:val="center"/>
        </w:trPr>
        <w:tc>
          <w:tcPr>
            <w:tcW w:w="0" w:type="auto"/>
            <w:gridSpan w:val="3"/>
            <w:shd w:val="clear" w:color="auto" w:fill="E2EFD9"/>
            <w:tcMar>
              <w:top w:w="40" w:type="dxa"/>
              <w:left w:w="20" w:type="dxa"/>
              <w:bottom w:w="40" w:type="dxa"/>
              <w:right w:w="20" w:type="dxa"/>
            </w:tcMar>
            <w:vAlign w:val="bottom"/>
          </w:tcPr>
          <w:p w14:paraId="195023ED" w14:textId="77777777" w:rsidR="00BF3A3A" w:rsidRDefault="00A76802">
            <w:pPr>
              <w:textAlignment w:val="bottom"/>
            </w:pPr>
            <w:r>
              <w:rPr>
                <w:rFonts w:ascii="sans-serif" w:eastAsia="sans-serif" w:hAnsi="sans-serif" w:cs="sans-serif"/>
                <w:color w:val="000000"/>
                <w:sz w:val="15"/>
                <w:szCs w:val="15"/>
              </w:rPr>
              <w:t>Balances, May 1, 2022</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3EE" w14:textId="77777777" w:rsidR="00BF3A3A" w:rsidRDefault="00A76802">
            <w:pPr>
              <w:jc w:val="right"/>
              <w:textAlignment w:val="bottom"/>
            </w:pPr>
            <w:r>
              <w:rPr>
                <w:rFonts w:ascii="sans-serif" w:eastAsia="sans-serif" w:hAnsi="sans-serif" w:cs="sans-serif"/>
                <w:color w:val="000000"/>
                <w:sz w:val="15"/>
                <w:szCs w:val="15"/>
              </w:rPr>
              <w:t>2,504 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3E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3F0"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3F1"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3F2" w14:textId="77777777" w:rsidR="00BF3A3A" w:rsidRDefault="00A76802">
            <w:pPr>
              <w:jc w:val="right"/>
              <w:textAlignment w:val="bottom"/>
            </w:pPr>
            <w:r>
              <w:rPr>
                <w:rFonts w:ascii="sans-serif" w:eastAsia="sans-serif" w:hAnsi="sans-serif" w:cs="sans-serif"/>
                <w:color w:val="000000"/>
                <w:sz w:val="15"/>
                <w:szCs w:val="15"/>
              </w:rPr>
              <w:t>3 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3F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3F4"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3F5"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3F6" w14:textId="77777777" w:rsidR="00BF3A3A" w:rsidRDefault="00A76802">
            <w:pPr>
              <w:jc w:val="right"/>
              <w:textAlignment w:val="bottom"/>
            </w:pPr>
            <w:r>
              <w:rPr>
                <w:rFonts w:ascii="sans-serif" w:eastAsia="sans-serif" w:hAnsi="sans-serif" w:cs="sans-serif"/>
                <w:color w:val="000000"/>
                <w:sz w:val="15"/>
                <w:szCs w:val="15"/>
              </w:rPr>
              <w:t>10,623 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3F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3F8"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3F9"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3FA" w14:textId="77777777" w:rsidR="00BF3A3A" w:rsidRDefault="00A76802">
            <w:pPr>
              <w:jc w:val="right"/>
              <w:textAlignment w:val="bottom"/>
            </w:pPr>
            <w:r>
              <w:rPr>
                <w:rFonts w:ascii="sans-serif" w:eastAsia="sans-serif" w:hAnsi="sans-serif" w:cs="sans-serif"/>
                <w:color w:val="000000"/>
                <w:sz w:val="15"/>
                <w:szCs w:val="15"/>
              </w:rPr>
              <w:t>—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3FB"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3FC"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3FD"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3FE" w14:textId="77777777" w:rsidR="00BF3A3A" w:rsidRDefault="00A76802">
            <w:pPr>
              <w:jc w:val="right"/>
              <w:textAlignment w:val="bottom"/>
            </w:pPr>
            <w:r>
              <w:rPr>
                <w:rFonts w:ascii="sans-serif" w:eastAsia="sans-serif" w:hAnsi="sans-serif" w:cs="sans-serif"/>
                <w:color w:val="000000"/>
                <w:sz w:val="15"/>
                <w:szCs w:val="15"/>
              </w:rPr>
              <w:t>(64)</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3F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00"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401"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402" w14:textId="77777777" w:rsidR="00BF3A3A" w:rsidRDefault="00A76802">
            <w:pPr>
              <w:jc w:val="right"/>
              <w:textAlignment w:val="bottom"/>
            </w:pPr>
            <w:r>
              <w:rPr>
                <w:rFonts w:ascii="sans-serif" w:eastAsia="sans-serif" w:hAnsi="sans-serif" w:cs="sans-serif"/>
                <w:color w:val="000000"/>
                <w:sz w:val="15"/>
                <w:szCs w:val="15"/>
              </w:rPr>
              <w:t>15,758 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40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04"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405"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406" w14:textId="77777777" w:rsidR="00BF3A3A" w:rsidRDefault="00A76802">
            <w:pPr>
              <w:jc w:val="right"/>
              <w:textAlignment w:val="bottom"/>
            </w:pPr>
            <w:r>
              <w:rPr>
                <w:rFonts w:ascii="sans-serif" w:eastAsia="sans-serif" w:hAnsi="sans-serif" w:cs="sans-serif"/>
                <w:color w:val="000000"/>
                <w:sz w:val="15"/>
                <w:szCs w:val="15"/>
              </w:rPr>
              <w:t>26,320 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407" w14:textId="77777777" w:rsidR="00BF3A3A" w:rsidRDefault="00BF3A3A">
            <w:pPr>
              <w:jc w:val="right"/>
              <w:rPr>
                <w:rFonts w:ascii="宋体"/>
              </w:rPr>
            </w:pPr>
          </w:p>
        </w:tc>
      </w:tr>
      <w:tr w:rsidR="00BF3A3A" w14:paraId="1950241E" w14:textId="77777777">
        <w:trPr>
          <w:jc w:val="center"/>
        </w:trPr>
        <w:tc>
          <w:tcPr>
            <w:tcW w:w="0" w:type="auto"/>
            <w:gridSpan w:val="3"/>
            <w:shd w:val="clear" w:color="auto" w:fill="FFFFFF"/>
            <w:tcMar>
              <w:top w:w="40" w:type="dxa"/>
              <w:left w:w="20" w:type="dxa"/>
              <w:bottom w:w="40" w:type="dxa"/>
              <w:right w:w="20" w:type="dxa"/>
            </w:tcMar>
            <w:vAlign w:val="bottom"/>
          </w:tcPr>
          <w:p w14:paraId="19502409" w14:textId="77777777" w:rsidR="00BF3A3A" w:rsidRDefault="00A76802">
            <w:pPr>
              <w:textAlignment w:val="bottom"/>
            </w:pPr>
            <w:r>
              <w:rPr>
                <w:rFonts w:ascii="sans-serif" w:eastAsia="sans-serif" w:hAnsi="sans-serif" w:cs="sans-serif"/>
                <w:color w:val="000000"/>
                <w:sz w:val="15"/>
                <w:szCs w:val="15"/>
              </w:rPr>
              <w:t>Net income</w:t>
            </w:r>
          </w:p>
        </w:tc>
        <w:tc>
          <w:tcPr>
            <w:tcW w:w="0" w:type="auto"/>
            <w:gridSpan w:val="2"/>
            <w:shd w:val="clear" w:color="auto" w:fill="FFFFFF"/>
            <w:tcMar>
              <w:top w:w="40" w:type="dxa"/>
              <w:left w:w="20" w:type="dxa"/>
              <w:bottom w:w="40" w:type="dxa"/>
              <w:right w:w="0" w:type="dxa"/>
            </w:tcMar>
            <w:vAlign w:val="bottom"/>
          </w:tcPr>
          <w:p w14:paraId="1950240A"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40B"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0C"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0D"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40E"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0F"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10"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411"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12"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13"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414"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15"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16"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417"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18"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19" w14:textId="77777777" w:rsidR="00BF3A3A" w:rsidRDefault="00A76802">
            <w:pPr>
              <w:jc w:val="right"/>
              <w:textAlignment w:val="bottom"/>
            </w:pPr>
            <w:r>
              <w:rPr>
                <w:rFonts w:ascii="sans-serif" w:eastAsia="sans-serif" w:hAnsi="sans-serif" w:cs="sans-serif"/>
                <w:color w:val="000000"/>
                <w:sz w:val="15"/>
                <w:szCs w:val="15"/>
              </w:rPr>
              <w:t>656 </w:t>
            </w:r>
          </w:p>
        </w:tc>
        <w:tc>
          <w:tcPr>
            <w:tcW w:w="0" w:type="auto"/>
            <w:shd w:val="clear" w:color="auto" w:fill="FFFFFF"/>
            <w:tcMar>
              <w:top w:w="40" w:type="dxa"/>
              <w:left w:w="0" w:type="dxa"/>
              <w:bottom w:w="40" w:type="dxa"/>
              <w:right w:w="20" w:type="dxa"/>
            </w:tcMar>
            <w:vAlign w:val="bottom"/>
          </w:tcPr>
          <w:p w14:paraId="1950241A"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1B"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1C" w14:textId="77777777" w:rsidR="00BF3A3A" w:rsidRDefault="00A76802">
            <w:pPr>
              <w:jc w:val="right"/>
              <w:textAlignment w:val="bottom"/>
            </w:pPr>
            <w:r>
              <w:rPr>
                <w:rFonts w:ascii="sans-serif" w:eastAsia="sans-serif" w:hAnsi="sans-serif" w:cs="sans-serif"/>
                <w:color w:val="000000"/>
                <w:sz w:val="15"/>
                <w:szCs w:val="15"/>
              </w:rPr>
              <w:t>656 </w:t>
            </w:r>
          </w:p>
        </w:tc>
        <w:tc>
          <w:tcPr>
            <w:tcW w:w="0" w:type="auto"/>
            <w:shd w:val="clear" w:color="auto" w:fill="FFFFFF"/>
            <w:tcMar>
              <w:top w:w="40" w:type="dxa"/>
              <w:left w:w="0" w:type="dxa"/>
              <w:bottom w:w="40" w:type="dxa"/>
              <w:right w:w="20" w:type="dxa"/>
            </w:tcMar>
            <w:vAlign w:val="bottom"/>
          </w:tcPr>
          <w:p w14:paraId="1950241D" w14:textId="77777777" w:rsidR="00BF3A3A" w:rsidRDefault="00BF3A3A">
            <w:pPr>
              <w:jc w:val="right"/>
              <w:rPr>
                <w:rFonts w:ascii="宋体"/>
              </w:rPr>
            </w:pPr>
          </w:p>
        </w:tc>
      </w:tr>
      <w:tr w:rsidR="00BF3A3A" w14:paraId="19502434" w14:textId="77777777">
        <w:trPr>
          <w:jc w:val="center"/>
        </w:trPr>
        <w:tc>
          <w:tcPr>
            <w:tcW w:w="0" w:type="auto"/>
            <w:gridSpan w:val="3"/>
            <w:shd w:val="clear" w:color="auto" w:fill="E2EFD9"/>
            <w:tcMar>
              <w:top w:w="40" w:type="dxa"/>
              <w:left w:w="20" w:type="dxa"/>
              <w:bottom w:w="40" w:type="dxa"/>
              <w:right w:w="20" w:type="dxa"/>
            </w:tcMar>
            <w:vAlign w:val="bottom"/>
          </w:tcPr>
          <w:p w14:paraId="1950241F" w14:textId="77777777" w:rsidR="00BF3A3A" w:rsidRDefault="00A76802">
            <w:pPr>
              <w:textAlignment w:val="bottom"/>
            </w:pPr>
            <w:r>
              <w:rPr>
                <w:rFonts w:ascii="sans-serif" w:eastAsia="sans-serif" w:hAnsi="sans-serif" w:cs="sans-serif"/>
                <w:color w:val="000000"/>
                <w:sz w:val="15"/>
                <w:szCs w:val="15"/>
              </w:rPr>
              <w:t>Other comprehensive loss</w:t>
            </w:r>
          </w:p>
        </w:tc>
        <w:tc>
          <w:tcPr>
            <w:tcW w:w="0" w:type="auto"/>
            <w:gridSpan w:val="2"/>
            <w:shd w:val="clear" w:color="auto" w:fill="E2EFD9"/>
            <w:tcMar>
              <w:top w:w="40" w:type="dxa"/>
              <w:left w:w="20" w:type="dxa"/>
              <w:bottom w:w="40" w:type="dxa"/>
              <w:right w:w="0" w:type="dxa"/>
            </w:tcMar>
            <w:vAlign w:val="bottom"/>
          </w:tcPr>
          <w:p w14:paraId="19502420"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421"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22"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23"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42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25"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26"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42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28"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29"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42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2B"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2C" w14:textId="77777777" w:rsidR="00BF3A3A" w:rsidRDefault="00A76802">
            <w:pPr>
              <w:jc w:val="right"/>
              <w:textAlignment w:val="bottom"/>
            </w:pPr>
            <w:r>
              <w:rPr>
                <w:rFonts w:ascii="sans-serif" w:eastAsia="sans-serif" w:hAnsi="sans-serif" w:cs="sans-serif"/>
                <w:color w:val="000000"/>
                <w:sz w:val="15"/>
                <w:szCs w:val="15"/>
              </w:rPr>
              <w:t>(26)</w:t>
            </w:r>
          </w:p>
        </w:tc>
        <w:tc>
          <w:tcPr>
            <w:tcW w:w="0" w:type="auto"/>
            <w:shd w:val="clear" w:color="auto" w:fill="E2EFD9"/>
            <w:tcMar>
              <w:top w:w="40" w:type="dxa"/>
              <w:left w:w="0" w:type="dxa"/>
              <w:bottom w:w="40" w:type="dxa"/>
              <w:right w:w="20" w:type="dxa"/>
            </w:tcMar>
            <w:vAlign w:val="bottom"/>
          </w:tcPr>
          <w:p w14:paraId="1950242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2E"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2F"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43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31"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32" w14:textId="77777777" w:rsidR="00BF3A3A" w:rsidRDefault="00A76802">
            <w:pPr>
              <w:jc w:val="right"/>
              <w:textAlignment w:val="bottom"/>
            </w:pPr>
            <w:r>
              <w:rPr>
                <w:rFonts w:ascii="sans-serif" w:eastAsia="sans-serif" w:hAnsi="sans-serif" w:cs="sans-serif"/>
                <w:color w:val="000000"/>
                <w:sz w:val="15"/>
                <w:szCs w:val="15"/>
              </w:rPr>
              <w:t>(26)</w:t>
            </w:r>
          </w:p>
        </w:tc>
        <w:tc>
          <w:tcPr>
            <w:tcW w:w="0" w:type="auto"/>
            <w:shd w:val="clear" w:color="auto" w:fill="E2EFD9"/>
            <w:tcMar>
              <w:top w:w="40" w:type="dxa"/>
              <w:left w:w="0" w:type="dxa"/>
              <w:bottom w:w="40" w:type="dxa"/>
              <w:right w:w="20" w:type="dxa"/>
            </w:tcMar>
            <w:vAlign w:val="bottom"/>
          </w:tcPr>
          <w:p w14:paraId="19502433" w14:textId="77777777" w:rsidR="00BF3A3A" w:rsidRDefault="00BF3A3A">
            <w:pPr>
              <w:jc w:val="right"/>
              <w:rPr>
                <w:rFonts w:ascii="宋体"/>
              </w:rPr>
            </w:pPr>
          </w:p>
        </w:tc>
      </w:tr>
      <w:tr w:rsidR="00BF3A3A" w14:paraId="1950244A" w14:textId="77777777">
        <w:trPr>
          <w:jc w:val="center"/>
        </w:trPr>
        <w:tc>
          <w:tcPr>
            <w:tcW w:w="0" w:type="auto"/>
            <w:gridSpan w:val="3"/>
            <w:shd w:val="clear" w:color="auto" w:fill="FFFFFF"/>
            <w:tcMar>
              <w:top w:w="40" w:type="dxa"/>
              <w:left w:w="20" w:type="dxa"/>
              <w:bottom w:w="40" w:type="dxa"/>
              <w:right w:w="20" w:type="dxa"/>
            </w:tcMar>
            <w:vAlign w:val="bottom"/>
          </w:tcPr>
          <w:p w14:paraId="19502435" w14:textId="77777777" w:rsidR="00BF3A3A" w:rsidRDefault="00A76802">
            <w:pPr>
              <w:textAlignment w:val="bottom"/>
            </w:pPr>
            <w:r>
              <w:rPr>
                <w:rFonts w:ascii="sans-serif" w:eastAsia="sans-serif" w:hAnsi="sans-serif" w:cs="sans-serif"/>
                <w:color w:val="000000"/>
                <w:sz w:val="15"/>
                <w:szCs w:val="15"/>
              </w:rPr>
              <w:t>Issuance of common stock from stock plans </w:t>
            </w:r>
          </w:p>
        </w:tc>
        <w:tc>
          <w:tcPr>
            <w:tcW w:w="0" w:type="auto"/>
            <w:gridSpan w:val="2"/>
            <w:shd w:val="clear" w:color="auto" w:fill="FFFFFF"/>
            <w:tcMar>
              <w:top w:w="40" w:type="dxa"/>
              <w:left w:w="20" w:type="dxa"/>
              <w:bottom w:w="40" w:type="dxa"/>
              <w:right w:w="0" w:type="dxa"/>
            </w:tcMar>
            <w:vAlign w:val="bottom"/>
          </w:tcPr>
          <w:p w14:paraId="19502436" w14:textId="77777777" w:rsidR="00BF3A3A" w:rsidRDefault="00A76802">
            <w:pPr>
              <w:jc w:val="right"/>
              <w:textAlignment w:val="bottom"/>
            </w:pPr>
            <w:r>
              <w:rPr>
                <w:rFonts w:ascii="sans-serif" w:eastAsia="sans-serif" w:hAnsi="sans-serif" w:cs="sans-serif"/>
                <w:color w:val="000000"/>
                <w:sz w:val="15"/>
                <w:szCs w:val="15"/>
              </w:rPr>
              <w:t>6 </w:t>
            </w:r>
          </w:p>
        </w:tc>
        <w:tc>
          <w:tcPr>
            <w:tcW w:w="0" w:type="auto"/>
            <w:shd w:val="clear" w:color="auto" w:fill="FFFFFF"/>
            <w:tcMar>
              <w:top w:w="40" w:type="dxa"/>
              <w:left w:w="0" w:type="dxa"/>
              <w:bottom w:w="40" w:type="dxa"/>
              <w:right w:w="20" w:type="dxa"/>
            </w:tcMar>
            <w:vAlign w:val="bottom"/>
          </w:tcPr>
          <w:p w14:paraId="19502437"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38"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39"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43A"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3B"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3C" w14:textId="77777777" w:rsidR="00BF3A3A" w:rsidRDefault="00A76802">
            <w:pPr>
              <w:jc w:val="right"/>
              <w:textAlignment w:val="bottom"/>
            </w:pPr>
            <w:r>
              <w:rPr>
                <w:rFonts w:ascii="sans-serif" w:eastAsia="sans-serif" w:hAnsi="sans-serif" w:cs="sans-serif"/>
                <w:color w:val="000000"/>
                <w:sz w:val="15"/>
                <w:szCs w:val="15"/>
              </w:rPr>
              <w:t>1 </w:t>
            </w:r>
          </w:p>
        </w:tc>
        <w:tc>
          <w:tcPr>
            <w:tcW w:w="0" w:type="auto"/>
            <w:shd w:val="clear" w:color="auto" w:fill="FFFFFF"/>
            <w:tcMar>
              <w:top w:w="40" w:type="dxa"/>
              <w:left w:w="0" w:type="dxa"/>
              <w:bottom w:w="40" w:type="dxa"/>
              <w:right w:w="20" w:type="dxa"/>
            </w:tcMar>
            <w:vAlign w:val="bottom"/>
          </w:tcPr>
          <w:p w14:paraId="1950243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3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3F"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44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41"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42"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44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44"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45"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44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47"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48" w14:textId="77777777" w:rsidR="00BF3A3A" w:rsidRDefault="00A76802">
            <w:pPr>
              <w:jc w:val="right"/>
              <w:textAlignment w:val="bottom"/>
            </w:pPr>
            <w:r>
              <w:rPr>
                <w:rFonts w:ascii="sans-serif" w:eastAsia="sans-serif" w:hAnsi="sans-serif" w:cs="sans-serif"/>
                <w:color w:val="000000"/>
                <w:sz w:val="15"/>
                <w:szCs w:val="15"/>
              </w:rPr>
              <w:t>1 </w:t>
            </w:r>
          </w:p>
        </w:tc>
        <w:tc>
          <w:tcPr>
            <w:tcW w:w="0" w:type="auto"/>
            <w:shd w:val="clear" w:color="auto" w:fill="FFFFFF"/>
            <w:tcMar>
              <w:top w:w="40" w:type="dxa"/>
              <w:left w:w="0" w:type="dxa"/>
              <w:bottom w:w="40" w:type="dxa"/>
              <w:right w:w="20" w:type="dxa"/>
            </w:tcMar>
            <w:vAlign w:val="bottom"/>
          </w:tcPr>
          <w:p w14:paraId="19502449" w14:textId="77777777" w:rsidR="00BF3A3A" w:rsidRDefault="00BF3A3A">
            <w:pPr>
              <w:jc w:val="right"/>
              <w:rPr>
                <w:rFonts w:ascii="宋体"/>
              </w:rPr>
            </w:pPr>
          </w:p>
        </w:tc>
      </w:tr>
      <w:tr w:rsidR="00BF3A3A" w14:paraId="19502460" w14:textId="77777777">
        <w:trPr>
          <w:jc w:val="center"/>
        </w:trPr>
        <w:tc>
          <w:tcPr>
            <w:tcW w:w="0" w:type="auto"/>
            <w:gridSpan w:val="3"/>
            <w:shd w:val="clear" w:color="auto" w:fill="E2EFD9"/>
            <w:tcMar>
              <w:top w:w="40" w:type="dxa"/>
              <w:left w:w="20" w:type="dxa"/>
              <w:bottom w:w="40" w:type="dxa"/>
              <w:right w:w="20" w:type="dxa"/>
            </w:tcMar>
            <w:vAlign w:val="bottom"/>
          </w:tcPr>
          <w:p w14:paraId="1950244B" w14:textId="77777777" w:rsidR="00BF3A3A" w:rsidRDefault="00A76802">
            <w:pPr>
              <w:textAlignment w:val="bottom"/>
            </w:pPr>
            <w:r>
              <w:rPr>
                <w:rFonts w:ascii="sans-serif" w:eastAsia="sans-serif" w:hAnsi="sans-serif" w:cs="sans-serif"/>
                <w:color w:val="000000"/>
                <w:sz w:val="15"/>
                <w:szCs w:val="15"/>
              </w:rPr>
              <w:t>Tax withholding related to vesting of restricted stoc</w:t>
            </w:r>
            <w:r>
              <w:rPr>
                <w:rFonts w:ascii="sans-serif" w:eastAsia="sans-serif" w:hAnsi="sans-serif" w:cs="sans-serif"/>
                <w:color w:val="000000"/>
                <w:sz w:val="15"/>
                <w:szCs w:val="15"/>
              </w:rPr>
              <w:t>k units</w:t>
            </w:r>
          </w:p>
        </w:tc>
        <w:tc>
          <w:tcPr>
            <w:tcW w:w="0" w:type="auto"/>
            <w:gridSpan w:val="2"/>
            <w:shd w:val="clear" w:color="auto" w:fill="E2EFD9"/>
            <w:tcMar>
              <w:top w:w="40" w:type="dxa"/>
              <w:left w:w="20" w:type="dxa"/>
              <w:bottom w:w="40" w:type="dxa"/>
              <w:right w:w="0" w:type="dxa"/>
            </w:tcMar>
            <w:vAlign w:val="bottom"/>
          </w:tcPr>
          <w:p w14:paraId="1950244C" w14:textId="77777777" w:rsidR="00BF3A3A" w:rsidRDefault="00A76802">
            <w:pPr>
              <w:jc w:val="right"/>
              <w:textAlignment w:val="bottom"/>
            </w:pPr>
            <w:r>
              <w:rPr>
                <w:rFonts w:ascii="sans-serif" w:eastAsia="sans-serif" w:hAnsi="sans-serif" w:cs="sans-serif"/>
                <w:color w:val="000000"/>
                <w:sz w:val="15"/>
                <w:szCs w:val="15"/>
              </w:rPr>
              <w:t>(2)</w:t>
            </w:r>
          </w:p>
        </w:tc>
        <w:tc>
          <w:tcPr>
            <w:tcW w:w="0" w:type="auto"/>
            <w:shd w:val="clear" w:color="auto" w:fill="E2EFD9"/>
            <w:tcMar>
              <w:top w:w="40" w:type="dxa"/>
              <w:left w:w="0" w:type="dxa"/>
              <w:bottom w:w="40" w:type="dxa"/>
              <w:right w:w="20" w:type="dxa"/>
            </w:tcMar>
            <w:vAlign w:val="bottom"/>
          </w:tcPr>
          <w:p w14:paraId="1950244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4E"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4F"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45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51"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52" w14:textId="77777777" w:rsidR="00BF3A3A" w:rsidRDefault="00A76802">
            <w:pPr>
              <w:jc w:val="right"/>
              <w:textAlignment w:val="bottom"/>
            </w:pPr>
            <w:r>
              <w:rPr>
                <w:rFonts w:ascii="sans-serif" w:eastAsia="sans-serif" w:hAnsi="sans-serif" w:cs="sans-serif"/>
                <w:color w:val="000000"/>
                <w:sz w:val="15"/>
                <w:szCs w:val="15"/>
              </w:rPr>
              <w:t>(299)</w:t>
            </w:r>
          </w:p>
        </w:tc>
        <w:tc>
          <w:tcPr>
            <w:tcW w:w="0" w:type="auto"/>
            <w:shd w:val="clear" w:color="auto" w:fill="E2EFD9"/>
            <w:tcMar>
              <w:top w:w="40" w:type="dxa"/>
              <w:left w:w="0" w:type="dxa"/>
              <w:bottom w:w="40" w:type="dxa"/>
              <w:right w:w="20" w:type="dxa"/>
            </w:tcMar>
            <w:vAlign w:val="bottom"/>
          </w:tcPr>
          <w:p w14:paraId="1950245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54"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55"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45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57"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58"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45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5A"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5B"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45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5D"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5E" w14:textId="77777777" w:rsidR="00BF3A3A" w:rsidRDefault="00A76802">
            <w:pPr>
              <w:jc w:val="right"/>
              <w:textAlignment w:val="bottom"/>
            </w:pPr>
            <w:r>
              <w:rPr>
                <w:rFonts w:ascii="sans-serif" w:eastAsia="sans-serif" w:hAnsi="sans-serif" w:cs="sans-serif"/>
                <w:color w:val="000000"/>
                <w:sz w:val="15"/>
                <w:szCs w:val="15"/>
              </w:rPr>
              <w:t>(299)</w:t>
            </w:r>
          </w:p>
        </w:tc>
        <w:tc>
          <w:tcPr>
            <w:tcW w:w="0" w:type="auto"/>
            <w:shd w:val="clear" w:color="auto" w:fill="E2EFD9"/>
            <w:tcMar>
              <w:top w:w="40" w:type="dxa"/>
              <w:left w:w="0" w:type="dxa"/>
              <w:bottom w:w="40" w:type="dxa"/>
              <w:right w:w="20" w:type="dxa"/>
            </w:tcMar>
            <w:vAlign w:val="bottom"/>
          </w:tcPr>
          <w:p w14:paraId="1950245F" w14:textId="77777777" w:rsidR="00BF3A3A" w:rsidRDefault="00BF3A3A">
            <w:pPr>
              <w:jc w:val="right"/>
              <w:rPr>
                <w:rFonts w:ascii="宋体"/>
              </w:rPr>
            </w:pPr>
          </w:p>
        </w:tc>
      </w:tr>
      <w:tr w:rsidR="00BF3A3A" w14:paraId="19502476" w14:textId="77777777">
        <w:trPr>
          <w:jc w:val="center"/>
        </w:trPr>
        <w:tc>
          <w:tcPr>
            <w:tcW w:w="0" w:type="auto"/>
            <w:gridSpan w:val="3"/>
            <w:shd w:val="clear" w:color="auto" w:fill="FFFFFF"/>
            <w:tcMar>
              <w:top w:w="40" w:type="dxa"/>
              <w:left w:w="20" w:type="dxa"/>
              <w:bottom w:w="40" w:type="dxa"/>
              <w:right w:w="20" w:type="dxa"/>
            </w:tcMar>
            <w:vAlign w:val="bottom"/>
          </w:tcPr>
          <w:p w14:paraId="19502461" w14:textId="77777777" w:rsidR="00BF3A3A" w:rsidRDefault="00A76802">
            <w:pPr>
              <w:textAlignment w:val="bottom"/>
            </w:pPr>
            <w:r>
              <w:rPr>
                <w:rFonts w:ascii="sans-serif" w:eastAsia="sans-serif" w:hAnsi="sans-serif" w:cs="sans-serif"/>
                <w:color w:val="000000"/>
                <w:sz w:val="15"/>
                <w:szCs w:val="15"/>
              </w:rPr>
              <w:t>Shares repurchased</w:t>
            </w:r>
          </w:p>
        </w:tc>
        <w:tc>
          <w:tcPr>
            <w:tcW w:w="0" w:type="auto"/>
            <w:gridSpan w:val="2"/>
            <w:shd w:val="clear" w:color="auto" w:fill="FFFFFF"/>
            <w:tcMar>
              <w:top w:w="40" w:type="dxa"/>
              <w:left w:w="20" w:type="dxa"/>
              <w:bottom w:w="40" w:type="dxa"/>
              <w:right w:w="0" w:type="dxa"/>
            </w:tcMar>
            <w:vAlign w:val="bottom"/>
          </w:tcPr>
          <w:p w14:paraId="19502462" w14:textId="77777777" w:rsidR="00BF3A3A" w:rsidRDefault="00A76802">
            <w:pPr>
              <w:jc w:val="right"/>
              <w:textAlignment w:val="bottom"/>
            </w:pPr>
            <w:r>
              <w:rPr>
                <w:rFonts w:ascii="sans-serif" w:eastAsia="sans-serif" w:hAnsi="sans-serif" w:cs="sans-serif"/>
                <w:color w:val="000000"/>
                <w:sz w:val="15"/>
                <w:szCs w:val="15"/>
              </w:rPr>
              <w:t>(19)</w:t>
            </w:r>
          </w:p>
        </w:tc>
        <w:tc>
          <w:tcPr>
            <w:tcW w:w="0" w:type="auto"/>
            <w:shd w:val="clear" w:color="auto" w:fill="FFFFFF"/>
            <w:tcMar>
              <w:top w:w="40" w:type="dxa"/>
              <w:left w:w="0" w:type="dxa"/>
              <w:bottom w:w="40" w:type="dxa"/>
              <w:right w:w="20" w:type="dxa"/>
            </w:tcMar>
            <w:vAlign w:val="bottom"/>
          </w:tcPr>
          <w:p w14:paraId="1950246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64"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65" w14:textId="77777777" w:rsidR="00BF3A3A" w:rsidRDefault="00A76802">
            <w:pPr>
              <w:jc w:val="right"/>
              <w:textAlignment w:val="bottom"/>
            </w:pPr>
            <w:r>
              <w:rPr>
                <w:rFonts w:ascii="sans-serif" w:eastAsia="sans-serif" w:hAnsi="sans-serif" w:cs="sans-serif"/>
                <w:color w:val="000000"/>
                <w:sz w:val="15"/>
                <w:szCs w:val="15"/>
              </w:rPr>
              <w:t>(1)</w:t>
            </w:r>
          </w:p>
        </w:tc>
        <w:tc>
          <w:tcPr>
            <w:tcW w:w="0" w:type="auto"/>
            <w:shd w:val="clear" w:color="auto" w:fill="FFFFFF"/>
            <w:tcMar>
              <w:top w:w="40" w:type="dxa"/>
              <w:left w:w="0" w:type="dxa"/>
              <w:bottom w:w="40" w:type="dxa"/>
              <w:right w:w="20" w:type="dxa"/>
            </w:tcMar>
            <w:vAlign w:val="bottom"/>
          </w:tcPr>
          <w:p w14:paraId="1950246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67"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68" w14:textId="77777777" w:rsidR="00BF3A3A" w:rsidRDefault="00A76802">
            <w:pPr>
              <w:jc w:val="right"/>
              <w:textAlignment w:val="bottom"/>
            </w:pPr>
            <w:r>
              <w:rPr>
                <w:rFonts w:ascii="sans-serif" w:eastAsia="sans-serif" w:hAnsi="sans-serif" w:cs="sans-serif"/>
                <w:color w:val="000000"/>
                <w:sz w:val="15"/>
                <w:szCs w:val="15"/>
              </w:rPr>
              <w:t>(1)</w:t>
            </w:r>
          </w:p>
        </w:tc>
        <w:tc>
          <w:tcPr>
            <w:tcW w:w="0" w:type="auto"/>
            <w:shd w:val="clear" w:color="auto" w:fill="FFFFFF"/>
            <w:tcMar>
              <w:top w:w="40" w:type="dxa"/>
              <w:left w:w="0" w:type="dxa"/>
              <w:bottom w:w="40" w:type="dxa"/>
              <w:right w:w="20" w:type="dxa"/>
            </w:tcMar>
            <w:vAlign w:val="bottom"/>
          </w:tcPr>
          <w:p w14:paraId="1950246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6A"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6B"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46C"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6D"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6E"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46F"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70"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71" w14:textId="77777777" w:rsidR="00BF3A3A" w:rsidRDefault="00A76802">
            <w:pPr>
              <w:jc w:val="right"/>
              <w:textAlignment w:val="bottom"/>
            </w:pPr>
            <w:r>
              <w:rPr>
                <w:rFonts w:ascii="sans-serif" w:eastAsia="sans-serif" w:hAnsi="sans-serif" w:cs="sans-serif"/>
                <w:color w:val="000000"/>
                <w:sz w:val="15"/>
                <w:szCs w:val="15"/>
              </w:rPr>
              <w:t>(3,343)</w:t>
            </w:r>
          </w:p>
        </w:tc>
        <w:tc>
          <w:tcPr>
            <w:tcW w:w="0" w:type="auto"/>
            <w:shd w:val="clear" w:color="auto" w:fill="FFFFFF"/>
            <w:tcMar>
              <w:top w:w="40" w:type="dxa"/>
              <w:left w:w="0" w:type="dxa"/>
              <w:bottom w:w="40" w:type="dxa"/>
              <w:right w:w="20" w:type="dxa"/>
            </w:tcMar>
            <w:vAlign w:val="bottom"/>
          </w:tcPr>
          <w:p w14:paraId="19502472"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73"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74" w14:textId="77777777" w:rsidR="00BF3A3A" w:rsidRDefault="00A76802">
            <w:pPr>
              <w:jc w:val="right"/>
              <w:textAlignment w:val="bottom"/>
            </w:pPr>
            <w:r>
              <w:rPr>
                <w:rFonts w:ascii="sans-serif" w:eastAsia="sans-serif" w:hAnsi="sans-serif" w:cs="sans-serif"/>
                <w:color w:val="000000"/>
                <w:sz w:val="15"/>
                <w:szCs w:val="15"/>
              </w:rPr>
              <w:t>(3,345)</w:t>
            </w:r>
          </w:p>
        </w:tc>
        <w:tc>
          <w:tcPr>
            <w:tcW w:w="0" w:type="auto"/>
            <w:shd w:val="clear" w:color="auto" w:fill="FFFFFF"/>
            <w:tcMar>
              <w:top w:w="40" w:type="dxa"/>
              <w:left w:w="0" w:type="dxa"/>
              <w:bottom w:w="40" w:type="dxa"/>
              <w:right w:w="20" w:type="dxa"/>
            </w:tcMar>
            <w:vAlign w:val="bottom"/>
          </w:tcPr>
          <w:p w14:paraId="19502475" w14:textId="77777777" w:rsidR="00BF3A3A" w:rsidRDefault="00BF3A3A">
            <w:pPr>
              <w:jc w:val="right"/>
              <w:rPr>
                <w:rFonts w:ascii="宋体"/>
              </w:rPr>
            </w:pPr>
          </w:p>
        </w:tc>
      </w:tr>
      <w:tr w:rsidR="00BF3A3A" w14:paraId="1950248C" w14:textId="77777777">
        <w:trPr>
          <w:jc w:val="center"/>
        </w:trPr>
        <w:tc>
          <w:tcPr>
            <w:tcW w:w="0" w:type="auto"/>
            <w:gridSpan w:val="3"/>
            <w:shd w:val="clear" w:color="auto" w:fill="E2EFD9"/>
            <w:tcMar>
              <w:top w:w="40" w:type="dxa"/>
              <w:left w:w="20" w:type="dxa"/>
              <w:bottom w:w="40" w:type="dxa"/>
              <w:right w:w="20" w:type="dxa"/>
            </w:tcMar>
            <w:vAlign w:val="bottom"/>
          </w:tcPr>
          <w:p w14:paraId="19502477" w14:textId="77777777" w:rsidR="00BF3A3A" w:rsidRDefault="00A76802">
            <w:pPr>
              <w:textAlignment w:val="bottom"/>
            </w:pPr>
            <w:r>
              <w:rPr>
                <w:rFonts w:ascii="sans-serif" w:eastAsia="sans-serif" w:hAnsi="sans-serif" w:cs="sans-serif"/>
                <w:color w:val="000000"/>
                <w:sz w:val="15"/>
                <w:szCs w:val="15"/>
              </w:rPr>
              <w:t>Cash dividends declared and paid (</w:t>
            </w:r>
            <w:r>
              <w:rPr>
                <w:rFonts w:ascii="sans-serif" w:eastAsia="sans-serif" w:hAnsi="sans-serif" w:cs="sans-serif"/>
                <w:color w:val="000000"/>
                <w:sz w:val="15"/>
                <w:szCs w:val="15"/>
              </w:rPr>
              <w:t>$0.04 per common share)</w:t>
            </w:r>
          </w:p>
        </w:tc>
        <w:tc>
          <w:tcPr>
            <w:tcW w:w="0" w:type="auto"/>
            <w:gridSpan w:val="2"/>
            <w:shd w:val="clear" w:color="auto" w:fill="E2EFD9"/>
            <w:tcMar>
              <w:top w:w="40" w:type="dxa"/>
              <w:left w:w="20" w:type="dxa"/>
              <w:bottom w:w="40" w:type="dxa"/>
              <w:right w:w="0" w:type="dxa"/>
            </w:tcMar>
            <w:vAlign w:val="bottom"/>
          </w:tcPr>
          <w:p w14:paraId="19502478"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47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7A"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7B"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47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7D"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7E"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47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80"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81"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48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83"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84"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48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86"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87" w14:textId="77777777" w:rsidR="00BF3A3A" w:rsidRDefault="00A76802">
            <w:pPr>
              <w:jc w:val="right"/>
              <w:textAlignment w:val="bottom"/>
            </w:pPr>
            <w:r>
              <w:rPr>
                <w:rFonts w:ascii="sans-serif" w:eastAsia="sans-serif" w:hAnsi="sans-serif" w:cs="sans-serif"/>
                <w:color w:val="000000"/>
                <w:sz w:val="15"/>
                <w:szCs w:val="15"/>
              </w:rPr>
              <w:t>(100)</w:t>
            </w:r>
          </w:p>
        </w:tc>
        <w:tc>
          <w:tcPr>
            <w:tcW w:w="0" w:type="auto"/>
            <w:shd w:val="clear" w:color="auto" w:fill="E2EFD9"/>
            <w:tcMar>
              <w:top w:w="40" w:type="dxa"/>
              <w:left w:w="0" w:type="dxa"/>
              <w:bottom w:w="40" w:type="dxa"/>
              <w:right w:w="20" w:type="dxa"/>
            </w:tcMar>
            <w:vAlign w:val="bottom"/>
          </w:tcPr>
          <w:p w14:paraId="1950248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89"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8A" w14:textId="77777777" w:rsidR="00BF3A3A" w:rsidRDefault="00A76802">
            <w:pPr>
              <w:jc w:val="right"/>
              <w:textAlignment w:val="bottom"/>
            </w:pPr>
            <w:r>
              <w:rPr>
                <w:rFonts w:ascii="sans-serif" w:eastAsia="sans-serif" w:hAnsi="sans-serif" w:cs="sans-serif"/>
                <w:color w:val="000000"/>
                <w:sz w:val="15"/>
                <w:szCs w:val="15"/>
              </w:rPr>
              <w:t>(100)</w:t>
            </w:r>
          </w:p>
        </w:tc>
        <w:tc>
          <w:tcPr>
            <w:tcW w:w="0" w:type="auto"/>
            <w:shd w:val="clear" w:color="auto" w:fill="E2EFD9"/>
            <w:tcMar>
              <w:top w:w="40" w:type="dxa"/>
              <w:left w:w="0" w:type="dxa"/>
              <w:bottom w:w="40" w:type="dxa"/>
              <w:right w:w="20" w:type="dxa"/>
            </w:tcMar>
            <w:vAlign w:val="bottom"/>
          </w:tcPr>
          <w:p w14:paraId="1950248B" w14:textId="77777777" w:rsidR="00BF3A3A" w:rsidRDefault="00BF3A3A">
            <w:pPr>
              <w:jc w:val="right"/>
              <w:rPr>
                <w:rFonts w:ascii="宋体"/>
              </w:rPr>
            </w:pPr>
          </w:p>
        </w:tc>
      </w:tr>
      <w:tr w:rsidR="00BF3A3A" w14:paraId="1950249B" w14:textId="77777777">
        <w:trPr>
          <w:jc w:val="center"/>
          <w:hidden/>
        </w:trPr>
        <w:tc>
          <w:tcPr>
            <w:tcW w:w="0" w:type="auto"/>
            <w:gridSpan w:val="3"/>
            <w:shd w:val="clear" w:color="auto" w:fill="auto"/>
            <w:vAlign w:val="bottom"/>
          </w:tcPr>
          <w:p w14:paraId="1950248D" w14:textId="77777777" w:rsidR="00BF3A3A" w:rsidRDefault="00BF3A3A">
            <w:pPr>
              <w:rPr>
                <w:rFonts w:ascii="宋体"/>
                <w:vanish/>
              </w:rPr>
            </w:pPr>
          </w:p>
        </w:tc>
        <w:tc>
          <w:tcPr>
            <w:tcW w:w="0" w:type="auto"/>
            <w:gridSpan w:val="3"/>
            <w:shd w:val="clear" w:color="auto" w:fill="auto"/>
            <w:vAlign w:val="bottom"/>
          </w:tcPr>
          <w:p w14:paraId="1950248E" w14:textId="77777777" w:rsidR="00BF3A3A" w:rsidRDefault="00BF3A3A">
            <w:pPr>
              <w:rPr>
                <w:rFonts w:ascii="宋体"/>
                <w:vanish/>
              </w:rPr>
            </w:pPr>
          </w:p>
        </w:tc>
        <w:tc>
          <w:tcPr>
            <w:tcW w:w="0" w:type="auto"/>
            <w:gridSpan w:val="3"/>
            <w:shd w:val="clear" w:color="auto" w:fill="auto"/>
            <w:vAlign w:val="bottom"/>
          </w:tcPr>
          <w:p w14:paraId="1950248F" w14:textId="77777777" w:rsidR="00BF3A3A" w:rsidRDefault="00BF3A3A">
            <w:pPr>
              <w:rPr>
                <w:rFonts w:ascii="宋体"/>
                <w:vanish/>
              </w:rPr>
            </w:pPr>
          </w:p>
        </w:tc>
        <w:tc>
          <w:tcPr>
            <w:tcW w:w="0" w:type="auto"/>
            <w:gridSpan w:val="3"/>
            <w:shd w:val="clear" w:color="auto" w:fill="auto"/>
            <w:vAlign w:val="bottom"/>
          </w:tcPr>
          <w:p w14:paraId="19502490" w14:textId="77777777" w:rsidR="00BF3A3A" w:rsidRDefault="00BF3A3A">
            <w:pPr>
              <w:rPr>
                <w:rFonts w:ascii="宋体"/>
                <w:vanish/>
              </w:rPr>
            </w:pPr>
          </w:p>
        </w:tc>
        <w:tc>
          <w:tcPr>
            <w:tcW w:w="0" w:type="auto"/>
            <w:gridSpan w:val="3"/>
            <w:shd w:val="clear" w:color="auto" w:fill="auto"/>
            <w:vAlign w:val="bottom"/>
          </w:tcPr>
          <w:p w14:paraId="19502491" w14:textId="77777777" w:rsidR="00BF3A3A" w:rsidRDefault="00BF3A3A">
            <w:pPr>
              <w:rPr>
                <w:rFonts w:ascii="宋体"/>
                <w:vanish/>
              </w:rPr>
            </w:pPr>
          </w:p>
        </w:tc>
        <w:tc>
          <w:tcPr>
            <w:tcW w:w="0" w:type="auto"/>
            <w:gridSpan w:val="3"/>
            <w:shd w:val="clear" w:color="auto" w:fill="auto"/>
            <w:vAlign w:val="bottom"/>
          </w:tcPr>
          <w:p w14:paraId="19502492" w14:textId="77777777" w:rsidR="00BF3A3A" w:rsidRDefault="00BF3A3A">
            <w:pPr>
              <w:rPr>
                <w:rFonts w:ascii="宋体"/>
                <w:vanish/>
              </w:rPr>
            </w:pPr>
          </w:p>
        </w:tc>
        <w:tc>
          <w:tcPr>
            <w:tcW w:w="0" w:type="auto"/>
            <w:gridSpan w:val="3"/>
            <w:shd w:val="clear" w:color="auto" w:fill="auto"/>
            <w:vAlign w:val="bottom"/>
          </w:tcPr>
          <w:p w14:paraId="19502493" w14:textId="77777777" w:rsidR="00BF3A3A" w:rsidRDefault="00BF3A3A">
            <w:pPr>
              <w:rPr>
                <w:rFonts w:ascii="宋体"/>
                <w:vanish/>
              </w:rPr>
            </w:pPr>
          </w:p>
        </w:tc>
        <w:tc>
          <w:tcPr>
            <w:tcW w:w="0" w:type="auto"/>
            <w:gridSpan w:val="3"/>
            <w:shd w:val="clear" w:color="auto" w:fill="auto"/>
            <w:vAlign w:val="bottom"/>
          </w:tcPr>
          <w:p w14:paraId="19502494" w14:textId="77777777" w:rsidR="00BF3A3A" w:rsidRDefault="00BF3A3A">
            <w:pPr>
              <w:rPr>
                <w:rFonts w:ascii="宋体"/>
                <w:vanish/>
              </w:rPr>
            </w:pPr>
          </w:p>
        </w:tc>
        <w:tc>
          <w:tcPr>
            <w:tcW w:w="0" w:type="auto"/>
            <w:gridSpan w:val="3"/>
            <w:shd w:val="clear" w:color="auto" w:fill="auto"/>
            <w:vAlign w:val="bottom"/>
          </w:tcPr>
          <w:p w14:paraId="19502495" w14:textId="77777777" w:rsidR="00BF3A3A" w:rsidRDefault="00BF3A3A">
            <w:pPr>
              <w:rPr>
                <w:rFonts w:ascii="宋体"/>
                <w:vanish/>
              </w:rPr>
            </w:pPr>
          </w:p>
        </w:tc>
        <w:tc>
          <w:tcPr>
            <w:tcW w:w="0" w:type="auto"/>
            <w:gridSpan w:val="3"/>
            <w:shd w:val="clear" w:color="auto" w:fill="auto"/>
            <w:vAlign w:val="bottom"/>
          </w:tcPr>
          <w:p w14:paraId="19502496" w14:textId="77777777" w:rsidR="00BF3A3A" w:rsidRDefault="00BF3A3A">
            <w:pPr>
              <w:rPr>
                <w:rFonts w:ascii="宋体"/>
                <w:vanish/>
              </w:rPr>
            </w:pPr>
          </w:p>
        </w:tc>
        <w:tc>
          <w:tcPr>
            <w:tcW w:w="0" w:type="auto"/>
            <w:gridSpan w:val="3"/>
            <w:shd w:val="clear" w:color="auto" w:fill="auto"/>
            <w:vAlign w:val="bottom"/>
          </w:tcPr>
          <w:p w14:paraId="19502497" w14:textId="77777777" w:rsidR="00BF3A3A" w:rsidRDefault="00BF3A3A">
            <w:pPr>
              <w:rPr>
                <w:rFonts w:ascii="宋体"/>
                <w:vanish/>
              </w:rPr>
            </w:pPr>
          </w:p>
        </w:tc>
        <w:tc>
          <w:tcPr>
            <w:tcW w:w="0" w:type="auto"/>
            <w:gridSpan w:val="3"/>
            <w:shd w:val="clear" w:color="auto" w:fill="auto"/>
            <w:vAlign w:val="bottom"/>
          </w:tcPr>
          <w:p w14:paraId="19502498" w14:textId="77777777" w:rsidR="00BF3A3A" w:rsidRDefault="00BF3A3A">
            <w:pPr>
              <w:rPr>
                <w:rFonts w:ascii="宋体"/>
                <w:vanish/>
              </w:rPr>
            </w:pPr>
          </w:p>
        </w:tc>
        <w:tc>
          <w:tcPr>
            <w:tcW w:w="0" w:type="auto"/>
            <w:gridSpan w:val="3"/>
            <w:shd w:val="clear" w:color="auto" w:fill="auto"/>
            <w:vAlign w:val="bottom"/>
          </w:tcPr>
          <w:p w14:paraId="19502499" w14:textId="77777777" w:rsidR="00BF3A3A" w:rsidRDefault="00BF3A3A">
            <w:pPr>
              <w:rPr>
                <w:rFonts w:ascii="宋体"/>
                <w:vanish/>
              </w:rPr>
            </w:pPr>
          </w:p>
        </w:tc>
        <w:tc>
          <w:tcPr>
            <w:tcW w:w="0" w:type="auto"/>
            <w:gridSpan w:val="3"/>
            <w:shd w:val="clear" w:color="auto" w:fill="auto"/>
            <w:vAlign w:val="bottom"/>
          </w:tcPr>
          <w:p w14:paraId="1950249A" w14:textId="77777777" w:rsidR="00BF3A3A" w:rsidRDefault="00BF3A3A">
            <w:pPr>
              <w:rPr>
                <w:rFonts w:ascii="宋体"/>
                <w:vanish/>
              </w:rPr>
            </w:pPr>
          </w:p>
        </w:tc>
      </w:tr>
      <w:tr w:rsidR="00BF3A3A" w14:paraId="195024B1" w14:textId="77777777">
        <w:trPr>
          <w:jc w:val="center"/>
        </w:trPr>
        <w:tc>
          <w:tcPr>
            <w:tcW w:w="0" w:type="auto"/>
            <w:gridSpan w:val="3"/>
            <w:shd w:val="clear" w:color="auto" w:fill="FFFFFF"/>
            <w:tcMar>
              <w:top w:w="40" w:type="dxa"/>
              <w:left w:w="20" w:type="dxa"/>
              <w:bottom w:w="40" w:type="dxa"/>
              <w:right w:w="20" w:type="dxa"/>
            </w:tcMar>
            <w:vAlign w:val="bottom"/>
          </w:tcPr>
          <w:p w14:paraId="1950249C" w14:textId="77777777" w:rsidR="00BF3A3A" w:rsidRDefault="00A76802">
            <w:pPr>
              <w:textAlignment w:val="bottom"/>
            </w:pPr>
            <w:r>
              <w:rPr>
                <w:rFonts w:ascii="sans-serif" w:eastAsia="sans-serif" w:hAnsi="sans-serif" w:cs="sans-serif"/>
                <w:color w:val="000000"/>
                <w:sz w:val="15"/>
                <w:szCs w:val="15"/>
              </w:rPr>
              <w:t>Stock-based compensation</w:t>
            </w:r>
          </w:p>
        </w:tc>
        <w:tc>
          <w:tcPr>
            <w:tcW w:w="0" w:type="auto"/>
            <w:gridSpan w:val="2"/>
            <w:shd w:val="clear" w:color="auto" w:fill="FFFFFF"/>
            <w:tcMar>
              <w:top w:w="40" w:type="dxa"/>
              <w:left w:w="20" w:type="dxa"/>
              <w:bottom w:w="40" w:type="dxa"/>
              <w:right w:w="0" w:type="dxa"/>
            </w:tcMar>
            <w:vAlign w:val="bottom"/>
          </w:tcPr>
          <w:p w14:paraId="1950249D"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49E"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9F"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A0"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4A1"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A2"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A3" w14:textId="77777777" w:rsidR="00BF3A3A" w:rsidRDefault="00A76802">
            <w:pPr>
              <w:jc w:val="right"/>
              <w:textAlignment w:val="bottom"/>
            </w:pPr>
            <w:r>
              <w:rPr>
                <w:rFonts w:ascii="sans-serif" w:eastAsia="sans-serif" w:hAnsi="sans-serif" w:cs="sans-serif"/>
                <w:color w:val="000000"/>
                <w:sz w:val="15"/>
                <w:szCs w:val="15"/>
              </w:rPr>
              <w:t>644 </w:t>
            </w:r>
          </w:p>
        </w:tc>
        <w:tc>
          <w:tcPr>
            <w:tcW w:w="0" w:type="auto"/>
            <w:shd w:val="clear" w:color="auto" w:fill="FFFFFF"/>
            <w:tcMar>
              <w:top w:w="40" w:type="dxa"/>
              <w:left w:w="0" w:type="dxa"/>
              <w:bottom w:w="40" w:type="dxa"/>
              <w:right w:w="20" w:type="dxa"/>
            </w:tcMar>
            <w:vAlign w:val="bottom"/>
          </w:tcPr>
          <w:p w14:paraId="195024A4"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A5"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A6"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4A7"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A8"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A9"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4AA"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AB"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AC"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4A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A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4AF" w14:textId="77777777" w:rsidR="00BF3A3A" w:rsidRDefault="00A76802">
            <w:pPr>
              <w:jc w:val="right"/>
              <w:textAlignment w:val="bottom"/>
            </w:pPr>
            <w:r>
              <w:rPr>
                <w:rFonts w:ascii="sans-serif" w:eastAsia="sans-serif" w:hAnsi="sans-serif" w:cs="sans-serif"/>
                <w:color w:val="000000"/>
                <w:sz w:val="15"/>
                <w:szCs w:val="15"/>
              </w:rPr>
              <w:t>644 </w:t>
            </w:r>
          </w:p>
        </w:tc>
        <w:tc>
          <w:tcPr>
            <w:tcW w:w="0" w:type="auto"/>
            <w:shd w:val="clear" w:color="auto" w:fill="FFFFFF"/>
            <w:tcMar>
              <w:top w:w="40" w:type="dxa"/>
              <w:left w:w="0" w:type="dxa"/>
              <w:bottom w:w="40" w:type="dxa"/>
              <w:right w:w="20" w:type="dxa"/>
            </w:tcMar>
            <w:vAlign w:val="bottom"/>
          </w:tcPr>
          <w:p w14:paraId="195024B0" w14:textId="77777777" w:rsidR="00BF3A3A" w:rsidRDefault="00BF3A3A">
            <w:pPr>
              <w:jc w:val="right"/>
              <w:rPr>
                <w:rFonts w:ascii="宋体"/>
              </w:rPr>
            </w:pPr>
          </w:p>
        </w:tc>
      </w:tr>
      <w:tr w:rsidR="00BF3A3A" w14:paraId="195024CD" w14:textId="77777777">
        <w:trPr>
          <w:jc w:val="center"/>
        </w:trPr>
        <w:tc>
          <w:tcPr>
            <w:tcW w:w="0" w:type="auto"/>
            <w:gridSpan w:val="3"/>
            <w:shd w:val="clear" w:color="auto" w:fill="E2EFD9"/>
            <w:tcMar>
              <w:top w:w="40" w:type="dxa"/>
              <w:left w:w="20" w:type="dxa"/>
              <w:bottom w:w="40" w:type="dxa"/>
              <w:right w:w="20" w:type="dxa"/>
            </w:tcMar>
            <w:vAlign w:val="bottom"/>
          </w:tcPr>
          <w:p w14:paraId="195024B2" w14:textId="77777777" w:rsidR="00BF3A3A" w:rsidRDefault="00A76802">
            <w:pPr>
              <w:textAlignment w:val="bottom"/>
            </w:pPr>
            <w:r>
              <w:rPr>
                <w:rFonts w:ascii="sans-serif" w:eastAsia="sans-serif" w:hAnsi="sans-serif" w:cs="sans-serif"/>
                <w:color w:val="000000"/>
                <w:sz w:val="15"/>
                <w:szCs w:val="15"/>
              </w:rPr>
              <w:t>Balances, July 31, 2022</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4B3" w14:textId="77777777" w:rsidR="00BF3A3A" w:rsidRDefault="00A76802">
            <w:pPr>
              <w:jc w:val="right"/>
              <w:textAlignment w:val="bottom"/>
            </w:pPr>
            <w:r>
              <w:rPr>
                <w:rFonts w:ascii="sans-serif" w:eastAsia="sans-serif" w:hAnsi="sans-serif" w:cs="sans-serif"/>
                <w:color w:val="000000"/>
                <w:sz w:val="15"/>
                <w:szCs w:val="15"/>
              </w:rPr>
              <w:t>2,489 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4B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B5"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4B6"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4B7" w14:textId="77777777" w:rsidR="00BF3A3A" w:rsidRDefault="00A76802">
            <w:pPr>
              <w:jc w:val="right"/>
              <w:textAlignment w:val="bottom"/>
            </w:pPr>
            <w:r>
              <w:rPr>
                <w:rFonts w:ascii="sans-serif" w:eastAsia="sans-serif" w:hAnsi="sans-serif" w:cs="sans-serif"/>
                <w:color w:val="000000"/>
                <w:sz w:val="15"/>
                <w:szCs w:val="15"/>
              </w:rPr>
              <w:t>2 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4B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B9"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4BA"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4BB" w14:textId="77777777" w:rsidR="00BF3A3A" w:rsidRDefault="00A76802">
            <w:pPr>
              <w:jc w:val="right"/>
              <w:textAlignment w:val="bottom"/>
            </w:pPr>
            <w:r>
              <w:rPr>
                <w:rFonts w:ascii="sans-serif" w:eastAsia="sans-serif" w:hAnsi="sans-serif" w:cs="sans-serif"/>
                <w:color w:val="000000"/>
                <w:sz w:val="15"/>
                <w:szCs w:val="15"/>
              </w:rPr>
              <w:t>10,968 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4B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BD"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4BE"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4BF" w14:textId="77777777" w:rsidR="00BF3A3A" w:rsidRDefault="00A76802">
            <w:pPr>
              <w:jc w:val="right"/>
              <w:textAlignment w:val="bottom"/>
            </w:pPr>
            <w:r>
              <w:rPr>
                <w:rFonts w:ascii="sans-serif" w:eastAsia="sans-serif" w:hAnsi="sans-serif" w:cs="sans-serif"/>
                <w:color w:val="000000"/>
                <w:sz w:val="15"/>
                <w:szCs w:val="15"/>
              </w:rPr>
              <w:t>—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4C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C1"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4C2"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4C3" w14:textId="77777777" w:rsidR="00BF3A3A" w:rsidRDefault="00A76802">
            <w:pPr>
              <w:jc w:val="right"/>
              <w:textAlignment w:val="bottom"/>
            </w:pPr>
            <w:r>
              <w:rPr>
                <w:rFonts w:ascii="sans-serif" w:eastAsia="sans-serif" w:hAnsi="sans-serif" w:cs="sans-serif"/>
                <w:color w:val="000000"/>
                <w:sz w:val="15"/>
                <w:szCs w:val="15"/>
              </w:rPr>
              <w:t>(90)</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4C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C5"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4C6"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4C7" w14:textId="77777777" w:rsidR="00BF3A3A" w:rsidRDefault="00A76802">
            <w:pPr>
              <w:jc w:val="right"/>
              <w:textAlignment w:val="bottom"/>
            </w:pPr>
            <w:r>
              <w:rPr>
                <w:rFonts w:ascii="sans-serif" w:eastAsia="sans-serif" w:hAnsi="sans-serif" w:cs="sans-serif"/>
                <w:color w:val="000000"/>
                <w:sz w:val="15"/>
                <w:szCs w:val="15"/>
              </w:rPr>
              <w:t>12,971 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4C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C9"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4CA"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4CB" w14:textId="77777777" w:rsidR="00BF3A3A" w:rsidRDefault="00A76802">
            <w:pPr>
              <w:jc w:val="right"/>
              <w:textAlignment w:val="bottom"/>
            </w:pPr>
            <w:r>
              <w:rPr>
                <w:rFonts w:ascii="sans-serif" w:eastAsia="sans-serif" w:hAnsi="sans-serif" w:cs="sans-serif"/>
                <w:color w:val="000000"/>
                <w:sz w:val="15"/>
                <w:szCs w:val="15"/>
              </w:rPr>
              <w:t>23,851 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4CC" w14:textId="77777777" w:rsidR="00BF3A3A" w:rsidRDefault="00BF3A3A">
            <w:pPr>
              <w:jc w:val="right"/>
              <w:rPr>
                <w:rFonts w:ascii="宋体"/>
              </w:rPr>
            </w:pPr>
          </w:p>
        </w:tc>
      </w:tr>
      <w:tr w:rsidR="00BF3A3A" w14:paraId="195024E9" w14:textId="77777777">
        <w:trPr>
          <w:jc w:val="center"/>
        </w:trPr>
        <w:tc>
          <w:tcPr>
            <w:tcW w:w="0" w:type="auto"/>
            <w:gridSpan w:val="3"/>
            <w:shd w:val="clear" w:color="auto" w:fill="FFFFFF"/>
            <w:tcMar>
              <w:top w:w="40" w:type="dxa"/>
              <w:left w:w="20" w:type="dxa"/>
              <w:bottom w:w="40" w:type="dxa"/>
              <w:right w:w="20" w:type="dxa"/>
            </w:tcMar>
            <w:vAlign w:val="bottom"/>
          </w:tcPr>
          <w:p w14:paraId="195024CE" w14:textId="77777777" w:rsidR="00BF3A3A" w:rsidRDefault="00A76802">
            <w:pPr>
              <w:textAlignment w:val="bottom"/>
            </w:pPr>
            <w:r>
              <w:rPr>
                <w:rFonts w:ascii="sans-serif" w:eastAsia="sans-serif" w:hAnsi="sans-serif" w:cs="sans-serif"/>
                <w:color w:val="000000"/>
                <w:sz w:val="15"/>
                <w:szCs w:val="15"/>
              </w:rPr>
              <w:t>Balances, May 2, 2021</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95024CF" w14:textId="77777777" w:rsidR="00BF3A3A" w:rsidRDefault="00A76802">
            <w:pPr>
              <w:jc w:val="right"/>
              <w:textAlignment w:val="bottom"/>
            </w:pPr>
            <w:r>
              <w:rPr>
                <w:rFonts w:ascii="sans-serif" w:eastAsia="sans-serif" w:hAnsi="sans-serif" w:cs="sans-serif"/>
                <w:color w:val="000000"/>
                <w:sz w:val="15"/>
                <w:szCs w:val="15"/>
              </w:rPr>
              <w:t>2,491 </w:t>
            </w:r>
          </w:p>
        </w:tc>
        <w:tc>
          <w:tcPr>
            <w:tcW w:w="0" w:type="auto"/>
            <w:tcBorders>
              <w:top w:val="double" w:sz="6" w:space="0" w:color="000000"/>
            </w:tcBorders>
            <w:shd w:val="clear" w:color="auto" w:fill="FFFFFF"/>
            <w:tcMar>
              <w:top w:w="40" w:type="dxa"/>
              <w:left w:w="0" w:type="dxa"/>
              <w:bottom w:w="40" w:type="dxa"/>
              <w:right w:w="20" w:type="dxa"/>
            </w:tcMar>
            <w:vAlign w:val="bottom"/>
          </w:tcPr>
          <w:p w14:paraId="195024D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D1" w14:textId="77777777" w:rsidR="00BF3A3A" w:rsidRDefault="00BF3A3A">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95024D2"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95024D3" w14:textId="77777777" w:rsidR="00BF3A3A" w:rsidRDefault="00A76802">
            <w:pPr>
              <w:jc w:val="right"/>
              <w:textAlignment w:val="bottom"/>
            </w:pPr>
            <w:r>
              <w:rPr>
                <w:rFonts w:ascii="sans-serif" w:eastAsia="sans-serif" w:hAnsi="sans-serif" w:cs="sans-serif"/>
                <w:color w:val="000000"/>
                <w:sz w:val="15"/>
                <w:szCs w:val="15"/>
              </w:rPr>
              <w:t>3 </w:t>
            </w:r>
          </w:p>
        </w:tc>
        <w:tc>
          <w:tcPr>
            <w:tcW w:w="0" w:type="auto"/>
            <w:tcBorders>
              <w:top w:val="double" w:sz="6" w:space="0" w:color="000000"/>
            </w:tcBorders>
            <w:shd w:val="clear" w:color="auto" w:fill="FFFFFF"/>
            <w:tcMar>
              <w:top w:w="40" w:type="dxa"/>
              <w:left w:w="0" w:type="dxa"/>
              <w:bottom w:w="40" w:type="dxa"/>
              <w:right w:w="20" w:type="dxa"/>
            </w:tcMar>
            <w:vAlign w:val="bottom"/>
          </w:tcPr>
          <w:p w14:paraId="195024D4"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D5" w14:textId="77777777" w:rsidR="00BF3A3A" w:rsidRDefault="00BF3A3A">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95024D6"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95024D7" w14:textId="77777777" w:rsidR="00BF3A3A" w:rsidRDefault="00A76802">
            <w:pPr>
              <w:jc w:val="right"/>
              <w:textAlignment w:val="bottom"/>
            </w:pPr>
            <w:r>
              <w:rPr>
                <w:rFonts w:ascii="sans-serif" w:eastAsia="sans-serif" w:hAnsi="sans-serif" w:cs="sans-serif"/>
                <w:color w:val="000000"/>
                <w:sz w:val="15"/>
                <w:szCs w:val="15"/>
              </w:rPr>
              <w:t>9,278 </w:t>
            </w:r>
          </w:p>
        </w:tc>
        <w:tc>
          <w:tcPr>
            <w:tcW w:w="0" w:type="auto"/>
            <w:tcBorders>
              <w:top w:val="double" w:sz="6" w:space="0" w:color="000000"/>
            </w:tcBorders>
            <w:shd w:val="clear" w:color="auto" w:fill="FFFFFF"/>
            <w:tcMar>
              <w:top w:w="40" w:type="dxa"/>
              <w:left w:w="0" w:type="dxa"/>
              <w:bottom w:w="40" w:type="dxa"/>
              <w:right w:w="20" w:type="dxa"/>
            </w:tcMar>
            <w:vAlign w:val="bottom"/>
          </w:tcPr>
          <w:p w14:paraId="195024D8"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D9" w14:textId="77777777" w:rsidR="00BF3A3A" w:rsidRDefault="00BF3A3A">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95024DA"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95024DB" w14:textId="77777777" w:rsidR="00BF3A3A" w:rsidRDefault="00A76802">
            <w:pPr>
              <w:jc w:val="right"/>
              <w:textAlignment w:val="bottom"/>
            </w:pPr>
            <w:r>
              <w:rPr>
                <w:rFonts w:ascii="sans-serif" w:eastAsia="sans-serif" w:hAnsi="sans-serif" w:cs="sans-serif"/>
                <w:color w:val="000000"/>
                <w:sz w:val="15"/>
                <w:szCs w:val="15"/>
              </w:rPr>
              <w:t>(11,242)</w:t>
            </w:r>
          </w:p>
        </w:tc>
        <w:tc>
          <w:tcPr>
            <w:tcW w:w="0" w:type="auto"/>
            <w:tcBorders>
              <w:top w:val="double" w:sz="6" w:space="0" w:color="000000"/>
            </w:tcBorders>
            <w:shd w:val="clear" w:color="auto" w:fill="FFFFFF"/>
            <w:tcMar>
              <w:top w:w="40" w:type="dxa"/>
              <w:left w:w="0" w:type="dxa"/>
              <w:bottom w:w="40" w:type="dxa"/>
              <w:right w:w="20" w:type="dxa"/>
            </w:tcMar>
            <w:vAlign w:val="bottom"/>
          </w:tcPr>
          <w:p w14:paraId="195024DC"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DD" w14:textId="77777777" w:rsidR="00BF3A3A" w:rsidRDefault="00BF3A3A">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95024DE"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95024DF" w14:textId="77777777" w:rsidR="00BF3A3A" w:rsidRDefault="00A76802">
            <w:pPr>
              <w:jc w:val="right"/>
              <w:textAlignment w:val="bottom"/>
            </w:pPr>
            <w:r>
              <w:rPr>
                <w:rFonts w:ascii="sans-serif" w:eastAsia="sans-serif" w:hAnsi="sans-serif" w:cs="sans-serif"/>
                <w:color w:val="000000"/>
                <w:sz w:val="15"/>
                <w:szCs w:val="15"/>
              </w:rPr>
              <w:t>14 </w:t>
            </w:r>
          </w:p>
        </w:tc>
        <w:tc>
          <w:tcPr>
            <w:tcW w:w="0" w:type="auto"/>
            <w:tcBorders>
              <w:top w:val="double" w:sz="6" w:space="0" w:color="000000"/>
            </w:tcBorders>
            <w:shd w:val="clear" w:color="auto" w:fill="FFFFFF"/>
            <w:tcMar>
              <w:top w:w="40" w:type="dxa"/>
              <w:left w:w="0" w:type="dxa"/>
              <w:bottom w:w="40" w:type="dxa"/>
              <w:right w:w="20" w:type="dxa"/>
            </w:tcMar>
            <w:vAlign w:val="bottom"/>
          </w:tcPr>
          <w:p w14:paraId="195024E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E1" w14:textId="77777777" w:rsidR="00BF3A3A" w:rsidRDefault="00BF3A3A">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95024E2"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95024E3" w14:textId="77777777" w:rsidR="00BF3A3A" w:rsidRDefault="00A76802">
            <w:pPr>
              <w:jc w:val="right"/>
              <w:textAlignment w:val="bottom"/>
            </w:pPr>
            <w:r>
              <w:rPr>
                <w:rFonts w:ascii="sans-serif" w:eastAsia="sans-serif" w:hAnsi="sans-serif" w:cs="sans-serif"/>
                <w:color w:val="000000"/>
                <w:sz w:val="15"/>
                <w:szCs w:val="15"/>
              </w:rPr>
              <w:t>20,721 </w:t>
            </w:r>
          </w:p>
        </w:tc>
        <w:tc>
          <w:tcPr>
            <w:tcW w:w="0" w:type="auto"/>
            <w:tcBorders>
              <w:top w:val="double" w:sz="6" w:space="0" w:color="000000"/>
            </w:tcBorders>
            <w:shd w:val="clear" w:color="auto" w:fill="FFFFFF"/>
            <w:tcMar>
              <w:top w:w="40" w:type="dxa"/>
              <w:left w:w="0" w:type="dxa"/>
              <w:bottom w:w="40" w:type="dxa"/>
              <w:right w:w="20" w:type="dxa"/>
            </w:tcMar>
            <w:vAlign w:val="bottom"/>
          </w:tcPr>
          <w:p w14:paraId="195024E4"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4E5" w14:textId="77777777" w:rsidR="00BF3A3A" w:rsidRDefault="00BF3A3A">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95024E6"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95024E7" w14:textId="77777777" w:rsidR="00BF3A3A" w:rsidRDefault="00A76802">
            <w:pPr>
              <w:jc w:val="right"/>
              <w:textAlignment w:val="bottom"/>
            </w:pPr>
            <w:r>
              <w:rPr>
                <w:rFonts w:ascii="sans-serif" w:eastAsia="sans-serif" w:hAnsi="sans-serif" w:cs="sans-serif"/>
                <w:color w:val="000000"/>
                <w:sz w:val="15"/>
                <w:szCs w:val="15"/>
              </w:rPr>
              <w:t>18,774 </w:t>
            </w:r>
          </w:p>
        </w:tc>
        <w:tc>
          <w:tcPr>
            <w:tcW w:w="0" w:type="auto"/>
            <w:tcBorders>
              <w:top w:val="double" w:sz="6" w:space="0" w:color="000000"/>
            </w:tcBorders>
            <w:shd w:val="clear" w:color="auto" w:fill="FFFFFF"/>
            <w:tcMar>
              <w:top w:w="40" w:type="dxa"/>
              <w:left w:w="0" w:type="dxa"/>
              <w:bottom w:w="40" w:type="dxa"/>
              <w:right w:w="20" w:type="dxa"/>
            </w:tcMar>
            <w:vAlign w:val="bottom"/>
          </w:tcPr>
          <w:p w14:paraId="195024E8" w14:textId="77777777" w:rsidR="00BF3A3A" w:rsidRDefault="00BF3A3A">
            <w:pPr>
              <w:jc w:val="right"/>
              <w:rPr>
                <w:rFonts w:ascii="宋体"/>
              </w:rPr>
            </w:pPr>
          </w:p>
        </w:tc>
      </w:tr>
      <w:tr w:rsidR="00BF3A3A" w14:paraId="195024FF" w14:textId="77777777">
        <w:trPr>
          <w:jc w:val="center"/>
        </w:trPr>
        <w:tc>
          <w:tcPr>
            <w:tcW w:w="0" w:type="auto"/>
            <w:gridSpan w:val="3"/>
            <w:shd w:val="clear" w:color="auto" w:fill="E2EFD9"/>
            <w:tcMar>
              <w:top w:w="40" w:type="dxa"/>
              <w:left w:w="20" w:type="dxa"/>
              <w:bottom w:w="40" w:type="dxa"/>
              <w:right w:w="20" w:type="dxa"/>
            </w:tcMar>
            <w:vAlign w:val="bottom"/>
          </w:tcPr>
          <w:p w14:paraId="195024EA" w14:textId="77777777" w:rsidR="00BF3A3A" w:rsidRDefault="00A76802">
            <w:pPr>
              <w:textAlignment w:val="bottom"/>
            </w:pPr>
            <w:r>
              <w:rPr>
                <w:rFonts w:ascii="sans-serif" w:eastAsia="sans-serif" w:hAnsi="sans-serif" w:cs="sans-serif"/>
                <w:color w:val="000000"/>
                <w:sz w:val="15"/>
                <w:szCs w:val="15"/>
              </w:rPr>
              <w:t>Net income</w:t>
            </w:r>
          </w:p>
        </w:tc>
        <w:tc>
          <w:tcPr>
            <w:tcW w:w="0" w:type="auto"/>
            <w:gridSpan w:val="2"/>
            <w:shd w:val="clear" w:color="auto" w:fill="E2EFD9"/>
            <w:tcMar>
              <w:top w:w="40" w:type="dxa"/>
              <w:left w:w="20" w:type="dxa"/>
              <w:bottom w:w="40" w:type="dxa"/>
              <w:right w:w="0" w:type="dxa"/>
            </w:tcMar>
            <w:vAlign w:val="bottom"/>
          </w:tcPr>
          <w:p w14:paraId="195024EB"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4E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ED"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EE"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4E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F0"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F1"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4F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F3"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F4"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4F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F6"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F7"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4F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F9"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FA" w14:textId="77777777" w:rsidR="00BF3A3A" w:rsidRDefault="00A76802">
            <w:pPr>
              <w:jc w:val="right"/>
              <w:textAlignment w:val="bottom"/>
            </w:pPr>
            <w:r>
              <w:rPr>
                <w:rFonts w:ascii="sans-serif" w:eastAsia="sans-serif" w:hAnsi="sans-serif" w:cs="sans-serif"/>
                <w:color w:val="000000"/>
                <w:sz w:val="15"/>
                <w:szCs w:val="15"/>
              </w:rPr>
              <w:t>2,374 </w:t>
            </w:r>
          </w:p>
        </w:tc>
        <w:tc>
          <w:tcPr>
            <w:tcW w:w="0" w:type="auto"/>
            <w:shd w:val="clear" w:color="auto" w:fill="E2EFD9"/>
            <w:tcMar>
              <w:top w:w="40" w:type="dxa"/>
              <w:left w:w="0" w:type="dxa"/>
              <w:bottom w:w="40" w:type="dxa"/>
              <w:right w:w="20" w:type="dxa"/>
            </w:tcMar>
            <w:vAlign w:val="bottom"/>
          </w:tcPr>
          <w:p w14:paraId="195024FB"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4FC"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4FD" w14:textId="77777777" w:rsidR="00BF3A3A" w:rsidRDefault="00A76802">
            <w:pPr>
              <w:jc w:val="right"/>
              <w:textAlignment w:val="bottom"/>
            </w:pPr>
            <w:r>
              <w:rPr>
                <w:rFonts w:ascii="sans-serif" w:eastAsia="sans-serif" w:hAnsi="sans-serif" w:cs="sans-serif"/>
                <w:color w:val="000000"/>
                <w:sz w:val="15"/>
                <w:szCs w:val="15"/>
              </w:rPr>
              <w:t>2,374 </w:t>
            </w:r>
          </w:p>
        </w:tc>
        <w:tc>
          <w:tcPr>
            <w:tcW w:w="0" w:type="auto"/>
            <w:shd w:val="clear" w:color="auto" w:fill="E2EFD9"/>
            <w:tcMar>
              <w:top w:w="40" w:type="dxa"/>
              <w:left w:w="0" w:type="dxa"/>
              <w:bottom w:w="40" w:type="dxa"/>
              <w:right w:w="20" w:type="dxa"/>
            </w:tcMar>
            <w:vAlign w:val="bottom"/>
          </w:tcPr>
          <w:p w14:paraId="195024FE" w14:textId="77777777" w:rsidR="00BF3A3A" w:rsidRDefault="00BF3A3A">
            <w:pPr>
              <w:jc w:val="right"/>
              <w:rPr>
                <w:rFonts w:ascii="宋体"/>
              </w:rPr>
            </w:pPr>
          </w:p>
        </w:tc>
      </w:tr>
      <w:tr w:rsidR="00BF3A3A" w14:paraId="19502515" w14:textId="77777777">
        <w:trPr>
          <w:jc w:val="center"/>
        </w:trPr>
        <w:tc>
          <w:tcPr>
            <w:tcW w:w="0" w:type="auto"/>
            <w:gridSpan w:val="3"/>
            <w:shd w:val="clear" w:color="auto" w:fill="FFFFFF"/>
            <w:tcMar>
              <w:top w:w="40" w:type="dxa"/>
              <w:left w:w="20" w:type="dxa"/>
              <w:bottom w:w="40" w:type="dxa"/>
              <w:right w:w="20" w:type="dxa"/>
            </w:tcMar>
            <w:vAlign w:val="bottom"/>
          </w:tcPr>
          <w:p w14:paraId="19502500" w14:textId="77777777" w:rsidR="00BF3A3A" w:rsidRDefault="00A76802">
            <w:pPr>
              <w:textAlignment w:val="bottom"/>
            </w:pPr>
            <w:r>
              <w:rPr>
                <w:rFonts w:ascii="sans-serif" w:eastAsia="sans-serif" w:hAnsi="sans-serif" w:cs="sans-serif"/>
                <w:color w:val="000000"/>
                <w:sz w:val="15"/>
                <w:szCs w:val="15"/>
              </w:rPr>
              <w:t>Other comprehensive loss</w:t>
            </w:r>
          </w:p>
        </w:tc>
        <w:tc>
          <w:tcPr>
            <w:tcW w:w="0" w:type="auto"/>
            <w:gridSpan w:val="2"/>
            <w:shd w:val="clear" w:color="auto" w:fill="FFFFFF"/>
            <w:tcMar>
              <w:top w:w="40" w:type="dxa"/>
              <w:left w:w="20" w:type="dxa"/>
              <w:bottom w:w="40" w:type="dxa"/>
              <w:right w:w="0" w:type="dxa"/>
            </w:tcMar>
            <w:vAlign w:val="bottom"/>
          </w:tcPr>
          <w:p w14:paraId="19502501"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502"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503"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504"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505"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506"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507"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508"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509"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50A"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50B"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50C"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50D" w14:textId="77777777" w:rsidR="00BF3A3A" w:rsidRDefault="00A76802">
            <w:pPr>
              <w:jc w:val="right"/>
              <w:textAlignment w:val="bottom"/>
            </w:pPr>
            <w:r>
              <w:rPr>
                <w:rFonts w:ascii="sans-serif" w:eastAsia="sans-serif" w:hAnsi="sans-serif" w:cs="sans-serif"/>
                <w:color w:val="000000"/>
                <w:sz w:val="15"/>
                <w:szCs w:val="15"/>
              </w:rPr>
              <w:t>(6)</w:t>
            </w:r>
          </w:p>
        </w:tc>
        <w:tc>
          <w:tcPr>
            <w:tcW w:w="0" w:type="auto"/>
            <w:shd w:val="clear" w:color="auto" w:fill="FFFFFF"/>
            <w:tcMar>
              <w:top w:w="40" w:type="dxa"/>
              <w:left w:w="0" w:type="dxa"/>
              <w:bottom w:w="40" w:type="dxa"/>
              <w:right w:w="20" w:type="dxa"/>
            </w:tcMar>
            <w:vAlign w:val="bottom"/>
          </w:tcPr>
          <w:p w14:paraId="1950250E"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50F"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510"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511"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512"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513" w14:textId="77777777" w:rsidR="00BF3A3A" w:rsidRDefault="00A76802">
            <w:pPr>
              <w:jc w:val="right"/>
              <w:textAlignment w:val="bottom"/>
            </w:pPr>
            <w:r>
              <w:rPr>
                <w:rFonts w:ascii="sans-serif" w:eastAsia="sans-serif" w:hAnsi="sans-serif" w:cs="sans-serif"/>
                <w:color w:val="000000"/>
                <w:sz w:val="15"/>
                <w:szCs w:val="15"/>
              </w:rPr>
              <w:t>(6)</w:t>
            </w:r>
          </w:p>
        </w:tc>
        <w:tc>
          <w:tcPr>
            <w:tcW w:w="0" w:type="auto"/>
            <w:shd w:val="clear" w:color="auto" w:fill="FFFFFF"/>
            <w:tcMar>
              <w:top w:w="40" w:type="dxa"/>
              <w:left w:w="0" w:type="dxa"/>
              <w:bottom w:w="40" w:type="dxa"/>
              <w:right w:w="20" w:type="dxa"/>
            </w:tcMar>
            <w:vAlign w:val="bottom"/>
          </w:tcPr>
          <w:p w14:paraId="19502514" w14:textId="77777777" w:rsidR="00BF3A3A" w:rsidRDefault="00BF3A3A">
            <w:pPr>
              <w:jc w:val="right"/>
              <w:rPr>
                <w:rFonts w:ascii="宋体"/>
              </w:rPr>
            </w:pPr>
          </w:p>
        </w:tc>
      </w:tr>
      <w:tr w:rsidR="00BF3A3A" w14:paraId="1950252B" w14:textId="77777777">
        <w:trPr>
          <w:jc w:val="center"/>
        </w:trPr>
        <w:tc>
          <w:tcPr>
            <w:tcW w:w="0" w:type="auto"/>
            <w:gridSpan w:val="3"/>
            <w:shd w:val="clear" w:color="auto" w:fill="E2EFD9"/>
            <w:tcMar>
              <w:top w:w="40" w:type="dxa"/>
              <w:left w:w="20" w:type="dxa"/>
              <w:bottom w:w="40" w:type="dxa"/>
              <w:right w:w="20" w:type="dxa"/>
            </w:tcMar>
            <w:vAlign w:val="bottom"/>
          </w:tcPr>
          <w:p w14:paraId="19502516" w14:textId="77777777" w:rsidR="00BF3A3A" w:rsidRDefault="00A76802">
            <w:pPr>
              <w:textAlignment w:val="bottom"/>
            </w:pPr>
            <w:r>
              <w:rPr>
                <w:rFonts w:ascii="sans-serif" w:eastAsia="sans-serif" w:hAnsi="sans-serif" w:cs="sans-serif"/>
                <w:color w:val="000000"/>
                <w:sz w:val="15"/>
                <w:szCs w:val="15"/>
              </w:rPr>
              <w:t>Issuance of common stock from stock plans </w:t>
            </w:r>
          </w:p>
        </w:tc>
        <w:tc>
          <w:tcPr>
            <w:tcW w:w="0" w:type="auto"/>
            <w:gridSpan w:val="2"/>
            <w:shd w:val="clear" w:color="auto" w:fill="E2EFD9"/>
            <w:tcMar>
              <w:top w:w="40" w:type="dxa"/>
              <w:left w:w="20" w:type="dxa"/>
              <w:bottom w:w="40" w:type="dxa"/>
              <w:right w:w="0" w:type="dxa"/>
            </w:tcMar>
            <w:vAlign w:val="bottom"/>
          </w:tcPr>
          <w:p w14:paraId="19502517" w14:textId="77777777" w:rsidR="00BF3A3A" w:rsidRDefault="00A76802">
            <w:pPr>
              <w:jc w:val="right"/>
              <w:textAlignment w:val="bottom"/>
            </w:pPr>
            <w:r>
              <w:rPr>
                <w:rFonts w:ascii="sans-serif" w:eastAsia="sans-serif" w:hAnsi="sans-serif" w:cs="sans-serif"/>
                <w:color w:val="000000"/>
                <w:sz w:val="15"/>
                <w:szCs w:val="15"/>
              </w:rPr>
              <w:t>7 </w:t>
            </w:r>
          </w:p>
        </w:tc>
        <w:tc>
          <w:tcPr>
            <w:tcW w:w="0" w:type="auto"/>
            <w:shd w:val="clear" w:color="auto" w:fill="E2EFD9"/>
            <w:tcMar>
              <w:top w:w="40" w:type="dxa"/>
              <w:left w:w="0" w:type="dxa"/>
              <w:bottom w:w="40" w:type="dxa"/>
              <w:right w:w="20" w:type="dxa"/>
            </w:tcMar>
            <w:vAlign w:val="bottom"/>
          </w:tcPr>
          <w:p w14:paraId="1950251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519"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51A"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51B"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51C"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51D" w14:textId="77777777" w:rsidR="00BF3A3A" w:rsidRDefault="00A76802">
            <w:pPr>
              <w:jc w:val="right"/>
              <w:textAlignment w:val="bottom"/>
            </w:pPr>
            <w:r>
              <w:rPr>
                <w:rFonts w:ascii="sans-serif" w:eastAsia="sans-serif" w:hAnsi="sans-serif" w:cs="sans-serif"/>
                <w:color w:val="000000"/>
                <w:sz w:val="15"/>
                <w:szCs w:val="15"/>
              </w:rPr>
              <w:t>2 </w:t>
            </w:r>
          </w:p>
        </w:tc>
        <w:tc>
          <w:tcPr>
            <w:tcW w:w="0" w:type="auto"/>
            <w:shd w:val="clear" w:color="auto" w:fill="E2EFD9"/>
            <w:tcMar>
              <w:top w:w="40" w:type="dxa"/>
              <w:left w:w="0" w:type="dxa"/>
              <w:bottom w:w="40" w:type="dxa"/>
              <w:right w:w="20" w:type="dxa"/>
            </w:tcMar>
            <w:vAlign w:val="bottom"/>
          </w:tcPr>
          <w:p w14:paraId="1950251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51F"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520"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521"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522"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523"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52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525"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526"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52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528"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529" w14:textId="77777777" w:rsidR="00BF3A3A" w:rsidRDefault="00A76802">
            <w:pPr>
              <w:jc w:val="right"/>
              <w:textAlignment w:val="bottom"/>
            </w:pPr>
            <w:r>
              <w:rPr>
                <w:rFonts w:ascii="sans-serif" w:eastAsia="sans-serif" w:hAnsi="sans-serif" w:cs="sans-serif"/>
                <w:color w:val="000000"/>
                <w:sz w:val="15"/>
                <w:szCs w:val="15"/>
              </w:rPr>
              <w:t>2 </w:t>
            </w:r>
          </w:p>
        </w:tc>
        <w:tc>
          <w:tcPr>
            <w:tcW w:w="0" w:type="auto"/>
            <w:shd w:val="clear" w:color="auto" w:fill="E2EFD9"/>
            <w:tcMar>
              <w:top w:w="40" w:type="dxa"/>
              <w:left w:w="0" w:type="dxa"/>
              <w:bottom w:w="40" w:type="dxa"/>
              <w:right w:w="20" w:type="dxa"/>
            </w:tcMar>
            <w:vAlign w:val="bottom"/>
          </w:tcPr>
          <w:p w14:paraId="1950252A" w14:textId="77777777" w:rsidR="00BF3A3A" w:rsidRDefault="00BF3A3A">
            <w:pPr>
              <w:jc w:val="right"/>
              <w:rPr>
                <w:rFonts w:ascii="宋体"/>
              </w:rPr>
            </w:pPr>
          </w:p>
        </w:tc>
      </w:tr>
      <w:tr w:rsidR="00BF3A3A" w14:paraId="19502541" w14:textId="77777777">
        <w:trPr>
          <w:jc w:val="center"/>
        </w:trPr>
        <w:tc>
          <w:tcPr>
            <w:tcW w:w="0" w:type="auto"/>
            <w:gridSpan w:val="3"/>
            <w:shd w:val="clear" w:color="auto" w:fill="FFFFFF"/>
            <w:tcMar>
              <w:top w:w="40" w:type="dxa"/>
              <w:left w:w="20" w:type="dxa"/>
              <w:bottom w:w="40" w:type="dxa"/>
              <w:right w:w="20" w:type="dxa"/>
            </w:tcMar>
            <w:vAlign w:val="bottom"/>
          </w:tcPr>
          <w:p w14:paraId="1950252C" w14:textId="77777777" w:rsidR="00BF3A3A" w:rsidRDefault="00A76802">
            <w:pPr>
              <w:textAlignment w:val="bottom"/>
            </w:pPr>
            <w:r>
              <w:rPr>
                <w:rFonts w:ascii="sans-serif" w:eastAsia="sans-serif" w:hAnsi="sans-serif" w:cs="sans-serif"/>
                <w:color w:val="000000"/>
                <w:sz w:val="15"/>
                <w:szCs w:val="15"/>
              </w:rPr>
              <w:t>Tax withholding related to vesting of restricted stoc</w:t>
            </w:r>
            <w:r>
              <w:rPr>
                <w:rFonts w:ascii="sans-serif" w:eastAsia="sans-serif" w:hAnsi="sans-serif" w:cs="sans-serif"/>
                <w:color w:val="000000"/>
                <w:sz w:val="15"/>
                <w:szCs w:val="15"/>
              </w:rPr>
              <w:t>k units</w:t>
            </w:r>
          </w:p>
        </w:tc>
        <w:tc>
          <w:tcPr>
            <w:tcW w:w="0" w:type="auto"/>
            <w:gridSpan w:val="2"/>
            <w:shd w:val="clear" w:color="auto" w:fill="FFFFFF"/>
            <w:tcMar>
              <w:top w:w="40" w:type="dxa"/>
              <w:left w:w="20" w:type="dxa"/>
              <w:bottom w:w="40" w:type="dxa"/>
              <w:right w:w="0" w:type="dxa"/>
            </w:tcMar>
            <w:vAlign w:val="bottom"/>
          </w:tcPr>
          <w:p w14:paraId="1950252D" w14:textId="77777777" w:rsidR="00BF3A3A" w:rsidRDefault="00A76802">
            <w:pPr>
              <w:jc w:val="right"/>
              <w:textAlignment w:val="bottom"/>
            </w:pPr>
            <w:r>
              <w:rPr>
                <w:rFonts w:ascii="sans-serif" w:eastAsia="sans-serif" w:hAnsi="sans-serif" w:cs="sans-serif"/>
                <w:color w:val="000000"/>
                <w:sz w:val="15"/>
                <w:szCs w:val="15"/>
              </w:rPr>
              <w:t>(2)</w:t>
            </w:r>
          </w:p>
        </w:tc>
        <w:tc>
          <w:tcPr>
            <w:tcW w:w="0" w:type="auto"/>
            <w:shd w:val="clear" w:color="auto" w:fill="FFFFFF"/>
            <w:tcMar>
              <w:top w:w="40" w:type="dxa"/>
              <w:left w:w="0" w:type="dxa"/>
              <w:bottom w:w="40" w:type="dxa"/>
              <w:right w:w="20" w:type="dxa"/>
            </w:tcMar>
            <w:vAlign w:val="bottom"/>
          </w:tcPr>
          <w:p w14:paraId="1950252E"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52F"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530"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531"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532"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533"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534"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535"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536" w14:textId="77777777" w:rsidR="00BF3A3A" w:rsidRDefault="00A76802">
            <w:pPr>
              <w:jc w:val="right"/>
              <w:textAlignment w:val="bottom"/>
            </w:pPr>
            <w:r>
              <w:rPr>
                <w:rFonts w:ascii="sans-serif" w:eastAsia="sans-serif" w:hAnsi="sans-serif" w:cs="sans-serif"/>
                <w:color w:val="000000"/>
                <w:sz w:val="15"/>
                <w:szCs w:val="15"/>
              </w:rPr>
              <w:t>(362)</w:t>
            </w:r>
          </w:p>
        </w:tc>
        <w:tc>
          <w:tcPr>
            <w:tcW w:w="0" w:type="auto"/>
            <w:shd w:val="clear" w:color="auto" w:fill="FFFFFF"/>
            <w:tcMar>
              <w:top w:w="40" w:type="dxa"/>
              <w:left w:w="0" w:type="dxa"/>
              <w:bottom w:w="40" w:type="dxa"/>
              <w:right w:w="20" w:type="dxa"/>
            </w:tcMar>
            <w:vAlign w:val="bottom"/>
          </w:tcPr>
          <w:p w14:paraId="19502537"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538"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539"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53A"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53B"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53C"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53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53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53F" w14:textId="77777777" w:rsidR="00BF3A3A" w:rsidRDefault="00A76802">
            <w:pPr>
              <w:jc w:val="right"/>
              <w:textAlignment w:val="bottom"/>
            </w:pPr>
            <w:r>
              <w:rPr>
                <w:rFonts w:ascii="sans-serif" w:eastAsia="sans-serif" w:hAnsi="sans-serif" w:cs="sans-serif"/>
                <w:color w:val="000000"/>
                <w:sz w:val="15"/>
                <w:szCs w:val="15"/>
              </w:rPr>
              <w:t>(362)</w:t>
            </w:r>
          </w:p>
        </w:tc>
        <w:tc>
          <w:tcPr>
            <w:tcW w:w="0" w:type="auto"/>
            <w:shd w:val="clear" w:color="auto" w:fill="FFFFFF"/>
            <w:tcMar>
              <w:top w:w="40" w:type="dxa"/>
              <w:left w:w="0" w:type="dxa"/>
              <w:bottom w:w="40" w:type="dxa"/>
              <w:right w:w="20" w:type="dxa"/>
            </w:tcMar>
            <w:vAlign w:val="bottom"/>
          </w:tcPr>
          <w:p w14:paraId="19502540" w14:textId="77777777" w:rsidR="00BF3A3A" w:rsidRDefault="00BF3A3A">
            <w:pPr>
              <w:jc w:val="right"/>
              <w:rPr>
                <w:rFonts w:ascii="宋体"/>
              </w:rPr>
            </w:pPr>
          </w:p>
        </w:tc>
      </w:tr>
      <w:tr w:rsidR="00BF3A3A" w14:paraId="19502550" w14:textId="77777777">
        <w:trPr>
          <w:jc w:val="center"/>
          <w:hidden/>
        </w:trPr>
        <w:tc>
          <w:tcPr>
            <w:tcW w:w="0" w:type="auto"/>
            <w:gridSpan w:val="3"/>
            <w:shd w:val="clear" w:color="auto" w:fill="auto"/>
            <w:vAlign w:val="bottom"/>
          </w:tcPr>
          <w:p w14:paraId="19502542" w14:textId="77777777" w:rsidR="00BF3A3A" w:rsidRDefault="00BF3A3A">
            <w:pPr>
              <w:rPr>
                <w:rFonts w:ascii="宋体"/>
                <w:vanish/>
              </w:rPr>
            </w:pPr>
          </w:p>
        </w:tc>
        <w:tc>
          <w:tcPr>
            <w:tcW w:w="0" w:type="auto"/>
            <w:gridSpan w:val="3"/>
            <w:shd w:val="clear" w:color="auto" w:fill="auto"/>
            <w:vAlign w:val="bottom"/>
          </w:tcPr>
          <w:p w14:paraId="19502543" w14:textId="77777777" w:rsidR="00BF3A3A" w:rsidRDefault="00BF3A3A">
            <w:pPr>
              <w:rPr>
                <w:rFonts w:ascii="宋体"/>
                <w:vanish/>
              </w:rPr>
            </w:pPr>
          </w:p>
        </w:tc>
        <w:tc>
          <w:tcPr>
            <w:tcW w:w="0" w:type="auto"/>
            <w:gridSpan w:val="3"/>
            <w:shd w:val="clear" w:color="auto" w:fill="auto"/>
            <w:vAlign w:val="bottom"/>
          </w:tcPr>
          <w:p w14:paraId="19502544" w14:textId="77777777" w:rsidR="00BF3A3A" w:rsidRDefault="00BF3A3A">
            <w:pPr>
              <w:rPr>
                <w:rFonts w:ascii="宋体"/>
                <w:vanish/>
              </w:rPr>
            </w:pPr>
          </w:p>
        </w:tc>
        <w:tc>
          <w:tcPr>
            <w:tcW w:w="0" w:type="auto"/>
            <w:gridSpan w:val="3"/>
            <w:shd w:val="clear" w:color="auto" w:fill="auto"/>
            <w:vAlign w:val="bottom"/>
          </w:tcPr>
          <w:p w14:paraId="19502545" w14:textId="77777777" w:rsidR="00BF3A3A" w:rsidRDefault="00BF3A3A">
            <w:pPr>
              <w:rPr>
                <w:rFonts w:ascii="宋体"/>
                <w:vanish/>
              </w:rPr>
            </w:pPr>
          </w:p>
        </w:tc>
        <w:tc>
          <w:tcPr>
            <w:tcW w:w="0" w:type="auto"/>
            <w:gridSpan w:val="3"/>
            <w:shd w:val="clear" w:color="auto" w:fill="auto"/>
            <w:vAlign w:val="bottom"/>
          </w:tcPr>
          <w:p w14:paraId="19502546" w14:textId="77777777" w:rsidR="00BF3A3A" w:rsidRDefault="00BF3A3A">
            <w:pPr>
              <w:rPr>
                <w:rFonts w:ascii="宋体"/>
                <w:vanish/>
              </w:rPr>
            </w:pPr>
          </w:p>
        </w:tc>
        <w:tc>
          <w:tcPr>
            <w:tcW w:w="0" w:type="auto"/>
            <w:gridSpan w:val="3"/>
            <w:shd w:val="clear" w:color="auto" w:fill="auto"/>
            <w:vAlign w:val="bottom"/>
          </w:tcPr>
          <w:p w14:paraId="19502547" w14:textId="77777777" w:rsidR="00BF3A3A" w:rsidRDefault="00BF3A3A">
            <w:pPr>
              <w:rPr>
                <w:rFonts w:ascii="宋体"/>
                <w:vanish/>
              </w:rPr>
            </w:pPr>
          </w:p>
        </w:tc>
        <w:tc>
          <w:tcPr>
            <w:tcW w:w="0" w:type="auto"/>
            <w:gridSpan w:val="3"/>
            <w:shd w:val="clear" w:color="auto" w:fill="auto"/>
            <w:vAlign w:val="bottom"/>
          </w:tcPr>
          <w:p w14:paraId="19502548" w14:textId="77777777" w:rsidR="00BF3A3A" w:rsidRDefault="00BF3A3A">
            <w:pPr>
              <w:rPr>
                <w:rFonts w:ascii="宋体"/>
                <w:vanish/>
              </w:rPr>
            </w:pPr>
          </w:p>
        </w:tc>
        <w:tc>
          <w:tcPr>
            <w:tcW w:w="0" w:type="auto"/>
            <w:gridSpan w:val="3"/>
            <w:shd w:val="clear" w:color="auto" w:fill="auto"/>
            <w:vAlign w:val="bottom"/>
          </w:tcPr>
          <w:p w14:paraId="19502549" w14:textId="77777777" w:rsidR="00BF3A3A" w:rsidRDefault="00BF3A3A">
            <w:pPr>
              <w:rPr>
                <w:rFonts w:ascii="宋体"/>
                <w:vanish/>
              </w:rPr>
            </w:pPr>
          </w:p>
        </w:tc>
        <w:tc>
          <w:tcPr>
            <w:tcW w:w="0" w:type="auto"/>
            <w:gridSpan w:val="3"/>
            <w:shd w:val="clear" w:color="auto" w:fill="auto"/>
            <w:vAlign w:val="bottom"/>
          </w:tcPr>
          <w:p w14:paraId="1950254A" w14:textId="77777777" w:rsidR="00BF3A3A" w:rsidRDefault="00BF3A3A">
            <w:pPr>
              <w:rPr>
                <w:rFonts w:ascii="宋体"/>
                <w:vanish/>
              </w:rPr>
            </w:pPr>
          </w:p>
        </w:tc>
        <w:tc>
          <w:tcPr>
            <w:tcW w:w="0" w:type="auto"/>
            <w:gridSpan w:val="3"/>
            <w:shd w:val="clear" w:color="auto" w:fill="auto"/>
            <w:vAlign w:val="bottom"/>
          </w:tcPr>
          <w:p w14:paraId="1950254B" w14:textId="77777777" w:rsidR="00BF3A3A" w:rsidRDefault="00BF3A3A">
            <w:pPr>
              <w:rPr>
                <w:rFonts w:ascii="宋体"/>
                <w:vanish/>
              </w:rPr>
            </w:pPr>
          </w:p>
        </w:tc>
        <w:tc>
          <w:tcPr>
            <w:tcW w:w="0" w:type="auto"/>
            <w:gridSpan w:val="3"/>
            <w:shd w:val="clear" w:color="auto" w:fill="auto"/>
            <w:vAlign w:val="bottom"/>
          </w:tcPr>
          <w:p w14:paraId="1950254C" w14:textId="77777777" w:rsidR="00BF3A3A" w:rsidRDefault="00BF3A3A">
            <w:pPr>
              <w:rPr>
                <w:rFonts w:ascii="宋体"/>
                <w:vanish/>
              </w:rPr>
            </w:pPr>
          </w:p>
        </w:tc>
        <w:tc>
          <w:tcPr>
            <w:tcW w:w="0" w:type="auto"/>
            <w:gridSpan w:val="3"/>
            <w:shd w:val="clear" w:color="auto" w:fill="auto"/>
            <w:vAlign w:val="bottom"/>
          </w:tcPr>
          <w:p w14:paraId="1950254D" w14:textId="77777777" w:rsidR="00BF3A3A" w:rsidRDefault="00BF3A3A">
            <w:pPr>
              <w:rPr>
                <w:rFonts w:ascii="宋体"/>
                <w:vanish/>
              </w:rPr>
            </w:pPr>
          </w:p>
        </w:tc>
        <w:tc>
          <w:tcPr>
            <w:tcW w:w="0" w:type="auto"/>
            <w:gridSpan w:val="3"/>
            <w:shd w:val="clear" w:color="auto" w:fill="auto"/>
            <w:vAlign w:val="bottom"/>
          </w:tcPr>
          <w:p w14:paraId="1950254E" w14:textId="77777777" w:rsidR="00BF3A3A" w:rsidRDefault="00BF3A3A">
            <w:pPr>
              <w:rPr>
                <w:rFonts w:ascii="宋体"/>
                <w:vanish/>
              </w:rPr>
            </w:pPr>
          </w:p>
        </w:tc>
        <w:tc>
          <w:tcPr>
            <w:tcW w:w="0" w:type="auto"/>
            <w:gridSpan w:val="3"/>
            <w:shd w:val="clear" w:color="auto" w:fill="auto"/>
            <w:vAlign w:val="bottom"/>
          </w:tcPr>
          <w:p w14:paraId="1950254F" w14:textId="77777777" w:rsidR="00BF3A3A" w:rsidRDefault="00BF3A3A">
            <w:pPr>
              <w:rPr>
                <w:rFonts w:ascii="宋体"/>
                <w:vanish/>
              </w:rPr>
            </w:pPr>
          </w:p>
        </w:tc>
      </w:tr>
      <w:tr w:rsidR="00BF3A3A" w14:paraId="19502566" w14:textId="77777777">
        <w:trPr>
          <w:jc w:val="center"/>
        </w:trPr>
        <w:tc>
          <w:tcPr>
            <w:tcW w:w="0" w:type="auto"/>
            <w:gridSpan w:val="3"/>
            <w:shd w:val="clear" w:color="auto" w:fill="E2EFD9"/>
            <w:tcMar>
              <w:top w:w="40" w:type="dxa"/>
              <w:left w:w="20" w:type="dxa"/>
              <w:bottom w:w="40" w:type="dxa"/>
              <w:right w:w="20" w:type="dxa"/>
            </w:tcMar>
            <w:vAlign w:val="bottom"/>
          </w:tcPr>
          <w:p w14:paraId="19502551" w14:textId="77777777" w:rsidR="00BF3A3A" w:rsidRDefault="00A76802">
            <w:pPr>
              <w:textAlignment w:val="bottom"/>
            </w:pPr>
            <w:r>
              <w:rPr>
                <w:rFonts w:ascii="sans-serif" w:eastAsia="sans-serif" w:hAnsi="sans-serif" w:cs="sans-serif"/>
                <w:color w:val="000000"/>
                <w:sz w:val="15"/>
                <w:szCs w:val="15"/>
              </w:rPr>
              <w:t xml:space="preserve">Cash dividends declared and paid </w:t>
            </w:r>
            <w:r>
              <w:rPr>
                <w:rFonts w:ascii="sans-serif" w:eastAsia="sans-serif" w:hAnsi="sans-serif" w:cs="sans-serif"/>
                <w:color w:val="000000"/>
                <w:sz w:val="15"/>
                <w:szCs w:val="15"/>
              </w:rPr>
              <w:t>($0.04 per common share)</w:t>
            </w:r>
          </w:p>
        </w:tc>
        <w:tc>
          <w:tcPr>
            <w:tcW w:w="0" w:type="auto"/>
            <w:gridSpan w:val="2"/>
            <w:shd w:val="clear" w:color="auto" w:fill="E2EFD9"/>
            <w:tcMar>
              <w:top w:w="40" w:type="dxa"/>
              <w:left w:w="20" w:type="dxa"/>
              <w:bottom w:w="40" w:type="dxa"/>
              <w:right w:w="0" w:type="dxa"/>
            </w:tcMar>
            <w:vAlign w:val="bottom"/>
          </w:tcPr>
          <w:p w14:paraId="19502552"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55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554"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555"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55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557"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558"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55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55A"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55B"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55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55D"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55E"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55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560"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561" w14:textId="77777777" w:rsidR="00BF3A3A" w:rsidRDefault="00A76802">
            <w:pPr>
              <w:jc w:val="right"/>
              <w:textAlignment w:val="bottom"/>
            </w:pPr>
            <w:r>
              <w:rPr>
                <w:rFonts w:ascii="sans-serif" w:eastAsia="sans-serif" w:hAnsi="sans-serif" w:cs="sans-serif"/>
                <w:color w:val="000000"/>
                <w:sz w:val="15"/>
                <w:szCs w:val="15"/>
              </w:rPr>
              <w:t>(100)</w:t>
            </w:r>
          </w:p>
        </w:tc>
        <w:tc>
          <w:tcPr>
            <w:tcW w:w="0" w:type="auto"/>
            <w:shd w:val="clear" w:color="auto" w:fill="E2EFD9"/>
            <w:tcMar>
              <w:top w:w="40" w:type="dxa"/>
              <w:left w:w="0" w:type="dxa"/>
              <w:bottom w:w="40" w:type="dxa"/>
              <w:right w:w="20" w:type="dxa"/>
            </w:tcMar>
            <w:vAlign w:val="bottom"/>
          </w:tcPr>
          <w:p w14:paraId="1950256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563"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564" w14:textId="77777777" w:rsidR="00BF3A3A" w:rsidRDefault="00A76802">
            <w:pPr>
              <w:jc w:val="right"/>
              <w:textAlignment w:val="bottom"/>
            </w:pPr>
            <w:r>
              <w:rPr>
                <w:rFonts w:ascii="sans-serif" w:eastAsia="sans-serif" w:hAnsi="sans-serif" w:cs="sans-serif"/>
                <w:color w:val="000000"/>
                <w:sz w:val="15"/>
                <w:szCs w:val="15"/>
              </w:rPr>
              <w:t>(100)</w:t>
            </w:r>
          </w:p>
        </w:tc>
        <w:tc>
          <w:tcPr>
            <w:tcW w:w="0" w:type="auto"/>
            <w:shd w:val="clear" w:color="auto" w:fill="E2EFD9"/>
            <w:tcMar>
              <w:top w:w="40" w:type="dxa"/>
              <w:left w:w="0" w:type="dxa"/>
              <w:bottom w:w="40" w:type="dxa"/>
              <w:right w:w="20" w:type="dxa"/>
            </w:tcMar>
            <w:vAlign w:val="bottom"/>
          </w:tcPr>
          <w:p w14:paraId="19502565" w14:textId="77777777" w:rsidR="00BF3A3A" w:rsidRDefault="00BF3A3A">
            <w:pPr>
              <w:jc w:val="right"/>
              <w:rPr>
                <w:rFonts w:ascii="宋体"/>
              </w:rPr>
            </w:pPr>
          </w:p>
        </w:tc>
      </w:tr>
      <w:tr w:rsidR="00BF3A3A" w14:paraId="19502575" w14:textId="77777777">
        <w:trPr>
          <w:jc w:val="center"/>
          <w:hidden/>
        </w:trPr>
        <w:tc>
          <w:tcPr>
            <w:tcW w:w="0" w:type="auto"/>
            <w:gridSpan w:val="3"/>
            <w:shd w:val="clear" w:color="auto" w:fill="auto"/>
            <w:vAlign w:val="bottom"/>
          </w:tcPr>
          <w:p w14:paraId="19502567" w14:textId="77777777" w:rsidR="00BF3A3A" w:rsidRDefault="00BF3A3A">
            <w:pPr>
              <w:rPr>
                <w:rFonts w:ascii="宋体"/>
                <w:vanish/>
              </w:rPr>
            </w:pPr>
          </w:p>
        </w:tc>
        <w:tc>
          <w:tcPr>
            <w:tcW w:w="0" w:type="auto"/>
            <w:gridSpan w:val="3"/>
            <w:shd w:val="clear" w:color="auto" w:fill="auto"/>
            <w:vAlign w:val="bottom"/>
          </w:tcPr>
          <w:p w14:paraId="19502568" w14:textId="77777777" w:rsidR="00BF3A3A" w:rsidRDefault="00BF3A3A">
            <w:pPr>
              <w:rPr>
                <w:rFonts w:ascii="宋体"/>
                <w:vanish/>
              </w:rPr>
            </w:pPr>
          </w:p>
        </w:tc>
        <w:tc>
          <w:tcPr>
            <w:tcW w:w="0" w:type="auto"/>
            <w:gridSpan w:val="3"/>
            <w:shd w:val="clear" w:color="auto" w:fill="auto"/>
            <w:vAlign w:val="bottom"/>
          </w:tcPr>
          <w:p w14:paraId="19502569" w14:textId="77777777" w:rsidR="00BF3A3A" w:rsidRDefault="00BF3A3A">
            <w:pPr>
              <w:rPr>
                <w:rFonts w:ascii="宋体"/>
                <w:vanish/>
              </w:rPr>
            </w:pPr>
          </w:p>
        </w:tc>
        <w:tc>
          <w:tcPr>
            <w:tcW w:w="0" w:type="auto"/>
            <w:gridSpan w:val="3"/>
            <w:shd w:val="clear" w:color="auto" w:fill="auto"/>
            <w:vAlign w:val="bottom"/>
          </w:tcPr>
          <w:p w14:paraId="1950256A" w14:textId="77777777" w:rsidR="00BF3A3A" w:rsidRDefault="00BF3A3A">
            <w:pPr>
              <w:rPr>
                <w:rFonts w:ascii="宋体"/>
                <w:vanish/>
              </w:rPr>
            </w:pPr>
          </w:p>
        </w:tc>
        <w:tc>
          <w:tcPr>
            <w:tcW w:w="0" w:type="auto"/>
            <w:gridSpan w:val="3"/>
            <w:shd w:val="clear" w:color="auto" w:fill="auto"/>
            <w:vAlign w:val="bottom"/>
          </w:tcPr>
          <w:p w14:paraId="1950256B" w14:textId="77777777" w:rsidR="00BF3A3A" w:rsidRDefault="00BF3A3A">
            <w:pPr>
              <w:rPr>
                <w:rFonts w:ascii="宋体"/>
                <w:vanish/>
              </w:rPr>
            </w:pPr>
          </w:p>
        </w:tc>
        <w:tc>
          <w:tcPr>
            <w:tcW w:w="0" w:type="auto"/>
            <w:gridSpan w:val="3"/>
            <w:shd w:val="clear" w:color="auto" w:fill="auto"/>
            <w:vAlign w:val="bottom"/>
          </w:tcPr>
          <w:p w14:paraId="1950256C" w14:textId="77777777" w:rsidR="00BF3A3A" w:rsidRDefault="00BF3A3A">
            <w:pPr>
              <w:rPr>
                <w:rFonts w:ascii="宋体"/>
                <w:vanish/>
              </w:rPr>
            </w:pPr>
          </w:p>
        </w:tc>
        <w:tc>
          <w:tcPr>
            <w:tcW w:w="0" w:type="auto"/>
            <w:gridSpan w:val="3"/>
            <w:shd w:val="clear" w:color="auto" w:fill="auto"/>
            <w:vAlign w:val="bottom"/>
          </w:tcPr>
          <w:p w14:paraId="1950256D" w14:textId="77777777" w:rsidR="00BF3A3A" w:rsidRDefault="00BF3A3A">
            <w:pPr>
              <w:rPr>
                <w:rFonts w:ascii="宋体"/>
                <w:vanish/>
              </w:rPr>
            </w:pPr>
          </w:p>
        </w:tc>
        <w:tc>
          <w:tcPr>
            <w:tcW w:w="0" w:type="auto"/>
            <w:gridSpan w:val="3"/>
            <w:shd w:val="clear" w:color="auto" w:fill="auto"/>
            <w:vAlign w:val="bottom"/>
          </w:tcPr>
          <w:p w14:paraId="1950256E" w14:textId="77777777" w:rsidR="00BF3A3A" w:rsidRDefault="00BF3A3A">
            <w:pPr>
              <w:rPr>
                <w:rFonts w:ascii="宋体"/>
                <w:vanish/>
              </w:rPr>
            </w:pPr>
          </w:p>
        </w:tc>
        <w:tc>
          <w:tcPr>
            <w:tcW w:w="0" w:type="auto"/>
            <w:gridSpan w:val="3"/>
            <w:shd w:val="clear" w:color="auto" w:fill="auto"/>
            <w:vAlign w:val="bottom"/>
          </w:tcPr>
          <w:p w14:paraId="1950256F" w14:textId="77777777" w:rsidR="00BF3A3A" w:rsidRDefault="00BF3A3A">
            <w:pPr>
              <w:rPr>
                <w:rFonts w:ascii="宋体"/>
                <w:vanish/>
              </w:rPr>
            </w:pPr>
          </w:p>
        </w:tc>
        <w:tc>
          <w:tcPr>
            <w:tcW w:w="0" w:type="auto"/>
            <w:gridSpan w:val="3"/>
            <w:shd w:val="clear" w:color="auto" w:fill="auto"/>
            <w:vAlign w:val="bottom"/>
          </w:tcPr>
          <w:p w14:paraId="19502570" w14:textId="77777777" w:rsidR="00BF3A3A" w:rsidRDefault="00BF3A3A">
            <w:pPr>
              <w:rPr>
                <w:rFonts w:ascii="宋体"/>
                <w:vanish/>
              </w:rPr>
            </w:pPr>
          </w:p>
        </w:tc>
        <w:tc>
          <w:tcPr>
            <w:tcW w:w="0" w:type="auto"/>
            <w:gridSpan w:val="3"/>
            <w:shd w:val="clear" w:color="auto" w:fill="auto"/>
            <w:vAlign w:val="bottom"/>
          </w:tcPr>
          <w:p w14:paraId="19502571" w14:textId="77777777" w:rsidR="00BF3A3A" w:rsidRDefault="00BF3A3A">
            <w:pPr>
              <w:rPr>
                <w:rFonts w:ascii="宋体"/>
                <w:vanish/>
              </w:rPr>
            </w:pPr>
          </w:p>
        </w:tc>
        <w:tc>
          <w:tcPr>
            <w:tcW w:w="0" w:type="auto"/>
            <w:gridSpan w:val="3"/>
            <w:shd w:val="clear" w:color="auto" w:fill="auto"/>
            <w:vAlign w:val="bottom"/>
          </w:tcPr>
          <w:p w14:paraId="19502572" w14:textId="77777777" w:rsidR="00BF3A3A" w:rsidRDefault="00BF3A3A">
            <w:pPr>
              <w:rPr>
                <w:rFonts w:ascii="宋体"/>
                <w:vanish/>
              </w:rPr>
            </w:pPr>
          </w:p>
        </w:tc>
        <w:tc>
          <w:tcPr>
            <w:tcW w:w="0" w:type="auto"/>
            <w:gridSpan w:val="3"/>
            <w:shd w:val="clear" w:color="auto" w:fill="auto"/>
            <w:vAlign w:val="bottom"/>
          </w:tcPr>
          <w:p w14:paraId="19502573" w14:textId="77777777" w:rsidR="00BF3A3A" w:rsidRDefault="00BF3A3A">
            <w:pPr>
              <w:rPr>
                <w:rFonts w:ascii="宋体"/>
                <w:vanish/>
              </w:rPr>
            </w:pPr>
          </w:p>
        </w:tc>
        <w:tc>
          <w:tcPr>
            <w:tcW w:w="0" w:type="auto"/>
            <w:gridSpan w:val="3"/>
            <w:shd w:val="clear" w:color="auto" w:fill="auto"/>
            <w:vAlign w:val="bottom"/>
          </w:tcPr>
          <w:p w14:paraId="19502574" w14:textId="77777777" w:rsidR="00BF3A3A" w:rsidRDefault="00BF3A3A">
            <w:pPr>
              <w:rPr>
                <w:rFonts w:ascii="宋体"/>
                <w:vanish/>
              </w:rPr>
            </w:pPr>
          </w:p>
        </w:tc>
      </w:tr>
      <w:tr w:rsidR="00BF3A3A" w14:paraId="1950258B" w14:textId="77777777">
        <w:trPr>
          <w:jc w:val="center"/>
        </w:trPr>
        <w:tc>
          <w:tcPr>
            <w:tcW w:w="0" w:type="auto"/>
            <w:gridSpan w:val="3"/>
            <w:shd w:val="clear" w:color="auto" w:fill="FFFFFF"/>
            <w:tcMar>
              <w:top w:w="40" w:type="dxa"/>
              <w:left w:w="20" w:type="dxa"/>
              <w:bottom w:w="40" w:type="dxa"/>
              <w:right w:w="20" w:type="dxa"/>
            </w:tcMar>
            <w:vAlign w:val="bottom"/>
          </w:tcPr>
          <w:p w14:paraId="19502576" w14:textId="77777777" w:rsidR="00BF3A3A" w:rsidRDefault="00A76802">
            <w:pPr>
              <w:textAlignment w:val="bottom"/>
            </w:pPr>
            <w:r>
              <w:rPr>
                <w:rFonts w:ascii="sans-serif" w:eastAsia="sans-serif" w:hAnsi="sans-serif" w:cs="sans-serif"/>
                <w:color w:val="000000"/>
                <w:sz w:val="15"/>
                <w:szCs w:val="15"/>
              </w:rPr>
              <w:t>Stock-based compensation</w:t>
            </w:r>
          </w:p>
        </w:tc>
        <w:tc>
          <w:tcPr>
            <w:tcW w:w="0" w:type="auto"/>
            <w:gridSpan w:val="2"/>
            <w:shd w:val="clear" w:color="auto" w:fill="FFFFFF"/>
            <w:tcMar>
              <w:top w:w="40" w:type="dxa"/>
              <w:left w:w="20" w:type="dxa"/>
              <w:bottom w:w="40" w:type="dxa"/>
              <w:right w:w="0" w:type="dxa"/>
            </w:tcMar>
            <w:vAlign w:val="bottom"/>
          </w:tcPr>
          <w:p w14:paraId="19502577"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578"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579"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57A"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57B"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57C"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57D" w14:textId="77777777" w:rsidR="00BF3A3A" w:rsidRDefault="00A76802">
            <w:pPr>
              <w:jc w:val="right"/>
              <w:textAlignment w:val="bottom"/>
            </w:pPr>
            <w:r>
              <w:rPr>
                <w:rFonts w:ascii="sans-serif" w:eastAsia="sans-serif" w:hAnsi="sans-serif" w:cs="sans-serif"/>
                <w:color w:val="000000"/>
                <w:sz w:val="15"/>
                <w:szCs w:val="15"/>
              </w:rPr>
              <w:t>465 </w:t>
            </w:r>
          </w:p>
        </w:tc>
        <w:tc>
          <w:tcPr>
            <w:tcW w:w="0" w:type="auto"/>
            <w:shd w:val="clear" w:color="auto" w:fill="FFFFFF"/>
            <w:tcMar>
              <w:top w:w="40" w:type="dxa"/>
              <w:left w:w="0" w:type="dxa"/>
              <w:bottom w:w="40" w:type="dxa"/>
              <w:right w:w="20" w:type="dxa"/>
            </w:tcMar>
            <w:vAlign w:val="bottom"/>
          </w:tcPr>
          <w:p w14:paraId="1950257E"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57F"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580"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581"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582"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583"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584"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585"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586"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587"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588"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589" w14:textId="77777777" w:rsidR="00BF3A3A" w:rsidRDefault="00A76802">
            <w:pPr>
              <w:jc w:val="right"/>
              <w:textAlignment w:val="bottom"/>
            </w:pPr>
            <w:r>
              <w:rPr>
                <w:rFonts w:ascii="sans-serif" w:eastAsia="sans-serif" w:hAnsi="sans-serif" w:cs="sans-serif"/>
                <w:color w:val="000000"/>
                <w:sz w:val="15"/>
                <w:szCs w:val="15"/>
              </w:rPr>
              <w:t>465 </w:t>
            </w:r>
          </w:p>
        </w:tc>
        <w:tc>
          <w:tcPr>
            <w:tcW w:w="0" w:type="auto"/>
            <w:shd w:val="clear" w:color="auto" w:fill="FFFFFF"/>
            <w:tcMar>
              <w:top w:w="40" w:type="dxa"/>
              <w:left w:w="0" w:type="dxa"/>
              <w:bottom w:w="40" w:type="dxa"/>
              <w:right w:w="20" w:type="dxa"/>
            </w:tcMar>
            <w:vAlign w:val="bottom"/>
          </w:tcPr>
          <w:p w14:paraId="1950258A" w14:textId="77777777" w:rsidR="00BF3A3A" w:rsidRDefault="00BF3A3A">
            <w:pPr>
              <w:jc w:val="right"/>
              <w:rPr>
                <w:rFonts w:ascii="宋体"/>
              </w:rPr>
            </w:pPr>
          </w:p>
        </w:tc>
      </w:tr>
      <w:tr w:rsidR="00BF3A3A" w14:paraId="195025A7" w14:textId="77777777">
        <w:trPr>
          <w:jc w:val="center"/>
        </w:trPr>
        <w:tc>
          <w:tcPr>
            <w:tcW w:w="0" w:type="auto"/>
            <w:gridSpan w:val="3"/>
            <w:shd w:val="clear" w:color="auto" w:fill="E2EFD9"/>
            <w:tcMar>
              <w:top w:w="40" w:type="dxa"/>
              <w:left w:w="20" w:type="dxa"/>
              <w:bottom w:w="40" w:type="dxa"/>
              <w:right w:w="20" w:type="dxa"/>
            </w:tcMar>
            <w:vAlign w:val="bottom"/>
          </w:tcPr>
          <w:p w14:paraId="1950258C" w14:textId="77777777" w:rsidR="00BF3A3A" w:rsidRDefault="00A76802">
            <w:pPr>
              <w:textAlignment w:val="bottom"/>
            </w:pPr>
            <w:r>
              <w:rPr>
                <w:rFonts w:ascii="sans-serif" w:eastAsia="sans-serif" w:hAnsi="sans-serif" w:cs="sans-serif"/>
                <w:color w:val="000000"/>
                <w:sz w:val="15"/>
                <w:szCs w:val="15"/>
              </w:rPr>
              <w:t xml:space="preserve">Balances, August 1, </w:t>
            </w:r>
            <w:r>
              <w:rPr>
                <w:rFonts w:ascii="sans-serif" w:eastAsia="sans-serif" w:hAnsi="sans-serif" w:cs="sans-serif"/>
                <w:color w:val="000000"/>
                <w:sz w:val="15"/>
                <w:szCs w:val="15"/>
              </w:rPr>
              <w:t>2021</w:t>
            </w: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58D" w14:textId="77777777" w:rsidR="00BF3A3A" w:rsidRDefault="00A76802">
            <w:pPr>
              <w:jc w:val="right"/>
              <w:textAlignment w:val="bottom"/>
            </w:pPr>
            <w:r>
              <w:rPr>
                <w:rFonts w:ascii="sans-serif" w:eastAsia="sans-serif" w:hAnsi="sans-serif" w:cs="sans-serif"/>
                <w:color w:val="000000"/>
                <w:sz w:val="15"/>
                <w:szCs w:val="15"/>
              </w:rPr>
              <w:t>2,496 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58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58F"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590"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591" w14:textId="77777777" w:rsidR="00BF3A3A" w:rsidRDefault="00A76802">
            <w:pPr>
              <w:jc w:val="right"/>
              <w:textAlignment w:val="bottom"/>
            </w:pPr>
            <w:r>
              <w:rPr>
                <w:rFonts w:ascii="sans-serif" w:eastAsia="sans-serif" w:hAnsi="sans-serif" w:cs="sans-serif"/>
                <w:color w:val="000000"/>
                <w:sz w:val="15"/>
                <w:szCs w:val="15"/>
              </w:rPr>
              <w:t>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59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593"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594"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595" w14:textId="77777777" w:rsidR="00BF3A3A" w:rsidRDefault="00A76802">
            <w:pPr>
              <w:jc w:val="right"/>
              <w:textAlignment w:val="bottom"/>
            </w:pPr>
            <w:r>
              <w:rPr>
                <w:rFonts w:ascii="sans-serif" w:eastAsia="sans-serif" w:hAnsi="sans-serif" w:cs="sans-serif"/>
                <w:color w:val="000000"/>
                <w:sz w:val="15"/>
                <w:szCs w:val="15"/>
              </w:rPr>
              <w:t>9,745 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59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597"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598"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599" w14:textId="77777777" w:rsidR="00BF3A3A" w:rsidRDefault="00A76802">
            <w:pPr>
              <w:jc w:val="right"/>
              <w:textAlignment w:val="bottom"/>
            </w:pPr>
            <w:r>
              <w:rPr>
                <w:rFonts w:ascii="sans-serif" w:eastAsia="sans-serif" w:hAnsi="sans-serif" w:cs="sans-serif"/>
                <w:color w:val="000000"/>
                <w:sz w:val="15"/>
                <w:szCs w:val="15"/>
              </w:rPr>
              <w:t>(11,604)</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59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59B"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59C"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59D" w14:textId="77777777" w:rsidR="00BF3A3A" w:rsidRDefault="00A76802">
            <w:pPr>
              <w:jc w:val="right"/>
              <w:textAlignment w:val="bottom"/>
            </w:pPr>
            <w:r>
              <w:rPr>
                <w:rFonts w:ascii="sans-serif" w:eastAsia="sans-serif" w:hAnsi="sans-serif" w:cs="sans-serif"/>
                <w:color w:val="000000"/>
                <w:sz w:val="15"/>
                <w:szCs w:val="15"/>
              </w:rPr>
              <w:t>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59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59F"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5A0"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5A1" w14:textId="77777777" w:rsidR="00BF3A3A" w:rsidRDefault="00A76802">
            <w:pPr>
              <w:jc w:val="right"/>
              <w:textAlignment w:val="bottom"/>
            </w:pPr>
            <w:r>
              <w:rPr>
                <w:rFonts w:ascii="sans-serif" w:eastAsia="sans-serif" w:hAnsi="sans-serif" w:cs="sans-serif"/>
                <w:color w:val="000000"/>
                <w:sz w:val="15"/>
                <w:szCs w:val="15"/>
              </w:rPr>
              <w:t>22,995 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5A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5A3"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5A4"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5A5" w14:textId="77777777" w:rsidR="00BF3A3A" w:rsidRDefault="00A76802">
            <w:pPr>
              <w:jc w:val="right"/>
              <w:textAlignment w:val="bottom"/>
            </w:pPr>
            <w:r>
              <w:rPr>
                <w:rFonts w:ascii="sans-serif" w:eastAsia="sans-serif" w:hAnsi="sans-serif" w:cs="sans-serif"/>
                <w:color w:val="000000"/>
                <w:sz w:val="15"/>
                <w:szCs w:val="15"/>
              </w:rPr>
              <w:t>21,147 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5A6" w14:textId="77777777" w:rsidR="00BF3A3A" w:rsidRDefault="00BF3A3A">
            <w:pPr>
              <w:jc w:val="right"/>
              <w:rPr>
                <w:rFonts w:ascii="宋体"/>
              </w:rPr>
            </w:pPr>
          </w:p>
        </w:tc>
      </w:tr>
    </w:tbl>
    <w:p w14:paraId="195025A8" w14:textId="77777777" w:rsidR="00BF3A3A" w:rsidRDefault="00A76802">
      <w:pPr>
        <w:spacing w:after="180"/>
        <w:jc w:val="center"/>
      </w:pPr>
      <w:r>
        <w:rPr>
          <w:rFonts w:ascii="sans-serif" w:eastAsia="sans-serif" w:hAnsi="sans-serif" w:cs="sans-serif"/>
          <w:color w:val="000000"/>
          <w:sz w:val="20"/>
          <w:szCs w:val="20"/>
        </w:rPr>
        <w:t>See accompanying Notes to Condensed Consolidated Financial Statements.</w:t>
      </w:r>
    </w:p>
    <w:p w14:paraId="195025A9" w14:textId="77777777" w:rsidR="00BF3A3A" w:rsidRDefault="00A76802">
      <w:pPr>
        <w:spacing w:after="180"/>
        <w:jc w:val="center"/>
      </w:pPr>
      <w:r>
        <w:rPr>
          <w:rFonts w:ascii="sans-serif" w:eastAsia="sans-serif" w:hAnsi="sans-serif" w:cs="sans-serif"/>
          <w:color w:val="000000"/>
          <w:sz w:val="20"/>
          <w:szCs w:val="20"/>
        </w:rPr>
        <w:t>6</w:t>
      </w:r>
    </w:p>
    <w:p w14:paraId="195025AA" w14:textId="77777777" w:rsidR="00BF3A3A" w:rsidRDefault="00A76802">
      <w:r>
        <w:pict w14:anchorId="19503FCB">
          <v:rect id="_x0000_i1030" style="width:415.3pt;height:1.5pt" o:hralign="center" o:hrstd="t" o:hr="t" fillcolor="#a0a0a0" stroked="f"/>
        </w:pict>
      </w:r>
    </w:p>
    <w:p w14:paraId="195025AB" w14:textId="77777777" w:rsidR="00BF3A3A" w:rsidRDefault="00BF3A3A">
      <w:pPr>
        <w:spacing w:after="180"/>
        <w:jc w:val="both"/>
      </w:pPr>
    </w:p>
    <w:p w14:paraId="195025AC" w14:textId="77777777" w:rsidR="00BF3A3A" w:rsidRDefault="00A76802">
      <w:pPr>
        <w:jc w:val="center"/>
      </w:pPr>
      <w:r>
        <w:rPr>
          <w:rFonts w:ascii="sans-serif" w:eastAsia="sans-serif" w:hAnsi="sans-serif" w:cs="sans-serif"/>
          <w:b/>
          <w:bCs/>
          <w:color w:val="000000"/>
          <w:sz w:val="20"/>
          <w:szCs w:val="20"/>
        </w:rPr>
        <w:t>NVIDIA CORPORATION AND SUBSIDIARIE</w:t>
      </w:r>
      <w:r>
        <w:rPr>
          <w:rFonts w:ascii="sans-serif" w:eastAsia="sans-serif" w:hAnsi="sans-serif" w:cs="sans-serif"/>
          <w:b/>
          <w:bCs/>
          <w:color w:val="000000"/>
          <w:sz w:val="20"/>
          <w:szCs w:val="20"/>
        </w:rPr>
        <w:t>S</w:t>
      </w:r>
    </w:p>
    <w:p w14:paraId="195025AD" w14:textId="77777777" w:rsidR="00BF3A3A" w:rsidRDefault="00A76802">
      <w:pPr>
        <w:jc w:val="center"/>
      </w:pPr>
      <w:r>
        <w:rPr>
          <w:rFonts w:ascii="sans-serif" w:eastAsia="sans-serif" w:hAnsi="sans-serif" w:cs="sans-serif"/>
          <w:b/>
          <w:bCs/>
          <w:color w:val="000000"/>
          <w:sz w:val="20"/>
          <w:szCs w:val="20"/>
        </w:rPr>
        <w:t>CONDENSED CONSOLIDATED STATEMENTS OF SHAREHOLDERS’ EQUITY</w:t>
      </w:r>
    </w:p>
    <w:p w14:paraId="195025AE" w14:textId="77777777" w:rsidR="00BF3A3A" w:rsidRDefault="00A76802">
      <w:pPr>
        <w:jc w:val="center"/>
      </w:pPr>
      <w:r>
        <w:rPr>
          <w:rFonts w:ascii="sans-serif" w:eastAsia="sans-serif" w:hAnsi="sans-serif" w:cs="sans-serif"/>
          <w:b/>
          <w:bCs/>
          <w:color w:val="000000"/>
          <w:sz w:val="20"/>
          <w:szCs w:val="20"/>
        </w:rPr>
        <w:t>FOR THE SIX MONTHS ENDED JULY 31, 2022 AND AUGUST 1, 2021</w:t>
      </w:r>
    </w:p>
    <w:p w14:paraId="195025AF" w14:textId="77777777" w:rsidR="00BF3A3A" w:rsidRDefault="00A76802">
      <w:pPr>
        <w:spacing w:after="180"/>
        <w:jc w:val="center"/>
      </w:pPr>
      <w:r>
        <w:rPr>
          <w:rFonts w:ascii="sans-serif" w:eastAsia="sans-serif" w:hAnsi="sans-serif" w:cs="sans-serif"/>
          <w:b/>
          <w:bCs/>
          <w:color w:val="000000"/>
          <w:sz w:val="20"/>
          <w:szCs w:val="20"/>
        </w:rPr>
        <w:t xml:space="preserve">(Unaudited) </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2494"/>
        <w:gridCol w:w="37"/>
        <w:gridCol w:w="73"/>
        <w:gridCol w:w="389"/>
        <w:gridCol w:w="37"/>
        <w:gridCol w:w="37"/>
        <w:gridCol w:w="37"/>
        <w:gridCol w:w="36"/>
        <w:gridCol w:w="98"/>
        <w:gridCol w:w="452"/>
        <w:gridCol w:w="36"/>
        <w:gridCol w:w="36"/>
        <w:gridCol w:w="36"/>
        <w:gridCol w:w="36"/>
        <w:gridCol w:w="98"/>
        <w:gridCol w:w="593"/>
        <w:gridCol w:w="36"/>
        <w:gridCol w:w="36"/>
        <w:gridCol w:w="36"/>
        <w:gridCol w:w="36"/>
        <w:gridCol w:w="97"/>
        <w:gridCol w:w="509"/>
        <w:gridCol w:w="36"/>
        <w:gridCol w:w="36"/>
        <w:gridCol w:w="36"/>
        <w:gridCol w:w="36"/>
        <w:gridCol w:w="98"/>
        <w:gridCol w:w="916"/>
        <w:gridCol w:w="36"/>
        <w:gridCol w:w="36"/>
        <w:gridCol w:w="36"/>
        <w:gridCol w:w="36"/>
        <w:gridCol w:w="98"/>
        <w:gridCol w:w="506"/>
        <w:gridCol w:w="36"/>
        <w:gridCol w:w="36"/>
        <w:gridCol w:w="36"/>
        <w:gridCol w:w="36"/>
        <w:gridCol w:w="98"/>
        <w:gridCol w:w="802"/>
        <w:gridCol w:w="36"/>
      </w:tblGrid>
      <w:tr w:rsidR="00BF3A3A" w14:paraId="195025DA" w14:textId="77777777">
        <w:trPr>
          <w:jc w:val="center"/>
        </w:trPr>
        <w:tc>
          <w:tcPr>
            <w:tcW w:w="50" w:type="pct"/>
            <w:shd w:val="clear" w:color="auto" w:fill="auto"/>
            <w:vAlign w:val="bottom"/>
          </w:tcPr>
          <w:p w14:paraId="195025B0" w14:textId="77777777" w:rsidR="00BF3A3A" w:rsidRDefault="00BF3A3A">
            <w:pPr>
              <w:rPr>
                <w:rFonts w:ascii="宋体"/>
              </w:rPr>
            </w:pPr>
          </w:p>
        </w:tc>
        <w:tc>
          <w:tcPr>
            <w:tcW w:w="1883" w:type="pct"/>
            <w:shd w:val="clear" w:color="auto" w:fill="auto"/>
            <w:vAlign w:val="bottom"/>
          </w:tcPr>
          <w:p w14:paraId="195025B1" w14:textId="77777777" w:rsidR="00BF3A3A" w:rsidRDefault="00BF3A3A">
            <w:pPr>
              <w:rPr>
                <w:rFonts w:ascii="宋体"/>
              </w:rPr>
            </w:pPr>
          </w:p>
        </w:tc>
        <w:tc>
          <w:tcPr>
            <w:tcW w:w="5" w:type="pct"/>
            <w:shd w:val="clear" w:color="auto" w:fill="auto"/>
            <w:vAlign w:val="bottom"/>
          </w:tcPr>
          <w:p w14:paraId="195025B2" w14:textId="77777777" w:rsidR="00BF3A3A" w:rsidRDefault="00BF3A3A">
            <w:pPr>
              <w:rPr>
                <w:rFonts w:ascii="宋体"/>
              </w:rPr>
            </w:pPr>
          </w:p>
        </w:tc>
        <w:tc>
          <w:tcPr>
            <w:tcW w:w="50" w:type="pct"/>
            <w:shd w:val="clear" w:color="auto" w:fill="auto"/>
            <w:vAlign w:val="bottom"/>
          </w:tcPr>
          <w:p w14:paraId="195025B3" w14:textId="77777777" w:rsidR="00BF3A3A" w:rsidRDefault="00BF3A3A">
            <w:pPr>
              <w:rPr>
                <w:rFonts w:ascii="宋体"/>
              </w:rPr>
            </w:pPr>
          </w:p>
        </w:tc>
        <w:tc>
          <w:tcPr>
            <w:tcW w:w="268" w:type="pct"/>
            <w:shd w:val="clear" w:color="auto" w:fill="auto"/>
            <w:vAlign w:val="bottom"/>
          </w:tcPr>
          <w:p w14:paraId="195025B4" w14:textId="77777777" w:rsidR="00BF3A3A" w:rsidRDefault="00BF3A3A">
            <w:pPr>
              <w:rPr>
                <w:rFonts w:ascii="宋体"/>
              </w:rPr>
            </w:pPr>
          </w:p>
        </w:tc>
        <w:tc>
          <w:tcPr>
            <w:tcW w:w="5" w:type="pct"/>
            <w:shd w:val="clear" w:color="auto" w:fill="auto"/>
            <w:vAlign w:val="bottom"/>
          </w:tcPr>
          <w:p w14:paraId="195025B5" w14:textId="77777777" w:rsidR="00BF3A3A" w:rsidRDefault="00BF3A3A">
            <w:pPr>
              <w:rPr>
                <w:rFonts w:ascii="宋体"/>
              </w:rPr>
            </w:pPr>
          </w:p>
        </w:tc>
        <w:tc>
          <w:tcPr>
            <w:tcW w:w="5" w:type="pct"/>
            <w:shd w:val="clear" w:color="auto" w:fill="auto"/>
            <w:vAlign w:val="bottom"/>
          </w:tcPr>
          <w:p w14:paraId="195025B6" w14:textId="77777777" w:rsidR="00BF3A3A" w:rsidRDefault="00BF3A3A">
            <w:pPr>
              <w:rPr>
                <w:rFonts w:ascii="宋体"/>
              </w:rPr>
            </w:pPr>
          </w:p>
        </w:tc>
        <w:tc>
          <w:tcPr>
            <w:tcW w:w="26" w:type="pct"/>
            <w:shd w:val="clear" w:color="auto" w:fill="auto"/>
            <w:vAlign w:val="bottom"/>
          </w:tcPr>
          <w:p w14:paraId="195025B7" w14:textId="77777777" w:rsidR="00BF3A3A" w:rsidRDefault="00BF3A3A">
            <w:pPr>
              <w:rPr>
                <w:rFonts w:ascii="宋体"/>
              </w:rPr>
            </w:pPr>
          </w:p>
        </w:tc>
        <w:tc>
          <w:tcPr>
            <w:tcW w:w="5" w:type="pct"/>
            <w:shd w:val="clear" w:color="auto" w:fill="auto"/>
            <w:vAlign w:val="bottom"/>
          </w:tcPr>
          <w:p w14:paraId="195025B8" w14:textId="77777777" w:rsidR="00BF3A3A" w:rsidRDefault="00BF3A3A">
            <w:pPr>
              <w:rPr>
                <w:rFonts w:ascii="宋体"/>
              </w:rPr>
            </w:pPr>
          </w:p>
        </w:tc>
        <w:tc>
          <w:tcPr>
            <w:tcW w:w="50" w:type="pct"/>
            <w:shd w:val="clear" w:color="auto" w:fill="auto"/>
            <w:vAlign w:val="bottom"/>
          </w:tcPr>
          <w:p w14:paraId="195025B9" w14:textId="77777777" w:rsidR="00BF3A3A" w:rsidRDefault="00BF3A3A">
            <w:pPr>
              <w:rPr>
                <w:rFonts w:ascii="宋体"/>
              </w:rPr>
            </w:pPr>
          </w:p>
        </w:tc>
        <w:tc>
          <w:tcPr>
            <w:tcW w:w="260" w:type="pct"/>
            <w:shd w:val="clear" w:color="auto" w:fill="auto"/>
            <w:vAlign w:val="bottom"/>
          </w:tcPr>
          <w:p w14:paraId="195025BA" w14:textId="77777777" w:rsidR="00BF3A3A" w:rsidRDefault="00BF3A3A">
            <w:pPr>
              <w:rPr>
                <w:rFonts w:ascii="宋体"/>
              </w:rPr>
            </w:pPr>
          </w:p>
        </w:tc>
        <w:tc>
          <w:tcPr>
            <w:tcW w:w="5" w:type="pct"/>
            <w:shd w:val="clear" w:color="auto" w:fill="auto"/>
            <w:vAlign w:val="bottom"/>
          </w:tcPr>
          <w:p w14:paraId="195025BB" w14:textId="77777777" w:rsidR="00BF3A3A" w:rsidRDefault="00BF3A3A">
            <w:pPr>
              <w:rPr>
                <w:rFonts w:ascii="宋体"/>
              </w:rPr>
            </w:pPr>
          </w:p>
        </w:tc>
        <w:tc>
          <w:tcPr>
            <w:tcW w:w="5" w:type="pct"/>
            <w:shd w:val="clear" w:color="auto" w:fill="auto"/>
            <w:vAlign w:val="bottom"/>
          </w:tcPr>
          <w:p w14:paraId="195025BC" w14:textId="77777777" w:rsidR="00BF3A3A" w:rsidRDefault="00BF3A3A">
            <w:pPr>
              <w:rPr>
                <w:rFonts w:ascii="宋体"/>
              </w:rPr>
            </w:pPr>
          </w:p>
        </w:tc>
        <w:tc>
          <w:tcPr>
            <w:tcW w:w="26" w:type="pct"/>
            <w:shd w:val="clear" w:color="auto" w:fill="auto"/>
            <w:vAlign w:val="bottom"/>
          </w:tcPr>
          <w:p w14:paraId="195025BD" w14:textId="77777777" w:rsidR="00BF3A3A" w:rsidRDefault="00BF3A3A">
            <w:pPr>
              <w:rPr>
                <w:rFonts w:ascii="宋体"/>
              </w:rPr>
            </w:pPr>
          </w:p>
        </w:tc>
        <w:tc>
          <w:tcPr>
            <w:tcW w:w="5" w:type="pct"/>
            <w:shd w:val="clear" w:color="auto" w:fill="auto"/>
            <w:vAlign w:val="bottom"/>
          </w:tcPr>
          <w:p w14:paraId="195025BE" w14:textId="77777777" w:rsidR="00BF3A3A" w:rsidRDefault="00BF3A3A">
            <w:pPr>
              <w:rPr>
                <w:rFonts w:ascii="宋体"/>
              </w:rPr>
            </w:pPr>
          </w:p>
        </w:tc>
        <w:tc>
          <w:tcPr>
            <w:tcW w:w="50" w:type="pct"/>
            <w:shd w:val="clear" w:color="auto" w:fill="auto"/>
            <w:vAlign w:val="bottom"/>
          </w:tcPr>
          <w:p w14:paraId="195025BF" w14:textId="77777777" w:rsidR="00BF3A3A" w:rsidRDefault="00BF3A3A">
            <w:pPr>
              <w:rPr>
                <w:rFonts w:ascii="宋体"/>
              </w:rPr>
            </w:pPr>
          </w:p>
        </w:tc>
        <w:tc>
          <w:tcPr>
            <w:tcW w:w="334" w:type="pct"/>
            <w:shd w:val="clear" w:color="auto" w:fill="auto"/>
            <w:vAlign w:val="bottom"/>
          </w:tcPr>
          <w:p w14:paraId="195025C0" w14:textId="77777777" w:rsidR="00BF3A3A" w:rsidRDefault="00BF3A3A">
            <w:pPr>
              <w:rPr>
                <w:rFonts w:ascii="宋体"/>
              </w:rPr>
            </w:pPr>
          </w:p>
        </w:tc>
        <w:tc>
          <w:tcPr>
            <w:tcW w:w="5" w:type="pct"/>
            <w:shd w:val="clear" w:color="auto" w:fill="auto"/>
            <w:vAlign w:val="bottom"/>
          </w:tcPr>
          <w:p w14:paraId="195025C1" w14:textId="77777777" w:rsidR="00BF3A3A" w:rsidRDefault="00BF3A3A">
            <w:pPr>
              <w:rPr>
                <w:rFonts w:ascii="宋体"/>
              </w:rPr>
            </w:pPr>
          </w:p>
        </w:tc>
        <w:tc>
          <w:tcPr>
            <w:tcW w:w="5" w:type="pct"/>
            <w:shd w:val="clear" w:color="auto" w:fill="auto"/>
            <w:vAlign w:val="bottom"/>
          </w:tcPr>
          <w:p w14:paraId="195025C2" w14:textId="77777777" w:rsidR="00BF3A3A" w:rsidRDefault="00BF3A3A">
            <w:pPr>
              <w:rPr>
                <w:rFonts w:ascii="宋体"/>
              </w:rPr>
            </w:pPr>
          </w:p>
        </w:tc>
        <w:tc>
          <w:tcPr>
            <w:tcW w:w="26" w:type="pct"/>
            <w:shd w:val="clear" w:color="auto" w:fill="auto"/>
            <w:vAlign w:val="bottom"/>
          </w:tcPr>
          <w:p w14:paraId="195025C3" w14:textId="77777777" w:rsidR="00BF3A3A" w:rsidRDefault="00BF3A3A">
            <w:pPr>
              <w:rPr>
                <w:rFonts w:ascii="宋体"/>
              </w:rPr>
            </w:pPr>
          </w:p>
        </w:tc>
        <w:tc>
          <w:tcPr>
            <w:tcW w:w="5" w:type="pct"/>
            <w:shd w:val="clear" w:color="auto" w:fill="auto"/>
            <w:vAlign w:val="bottom"/>
          </w:tcPr>
          <w:p w14:paraId="195025C4" w14:textId="77777777" w:rsidR="00BF3A3A" w:rsidRDefault="00BF3A3A">
            <w:pPr>
              <w:rPr>
                <w:rFonts w:ascii="宋体"/>
              </w:rPr>
            </w:pPr>
          </w:p>
        </w:tc>
        <w:tc>
          <w:tcPr>
            <w:tcW w:w="50" w:type="pct"/>
            <w:shd w:val="clear" w:color="auto" w:fill="auto"/>
            <w:vAlign w:val="bottom"/>
          </w:tcPr>
          <w:p w14:paraId="195025C5" w14:textId="77777777" w:rsidR="00BF3A3A" w:rsidRDefault="00BF3A3A">
            <w:pPr>
              <w:rPr>
                <w:rFonts w:ascii="宋体"/>
              </w:rPr>
            </w:pPr>
          </w:p>
        </w:tc>
        <w:tc>
          <w:tcPr>
            <w:tcW w:w="304" w:type="pct"/>
            <w:shd w:val="clear" w:color="auto" w:fill="auto"/>
            <w:vAlign w:val="bottom"/>
          </w:tcPr>
          <w:p w14:paraId="195025C6" w14:textId="77777777" w:rsidR="00BF3A3A" w:rsidRDefault="00BF3A3A">
            <w:pPr>
              <w:rPr>
                <w:rFonts w:ascii="宋体"/>
              </w:rPr>
            </w:pPr>
          </w:p>
        </w:tc>
        <w:tc>
          <w:tcPr>
            <w:tcW w:w="5" w:type="pct"/>
            <w:shd w:val="clear" w:color="auto" w:fill="auto"/>
            <w:vAlign w:val="bottom"/>
          </w:tcPr>
          <w:p w14:paraId="195025C7" w14:textId="77777777" w:rsidR="00BF3A3A" w:rsidRDefault="00BF3A3A">
            <w:pPr>
              <w:rPr>
                <w:rFonts w:ascii="宋体"/>
              </w:rPr>
            </w:pPr>
          </w:p>
        </w:tc>
        <w:tc>
          <w:tcPr>
            <w:tcW w:w="5" w:type="pct"/>
            <w:shd w:val="clear" w:color="auto" w:fill="auto"/>
            <w:vAlign w:val="bottom"/>
          </w:tcPr>
          <w:p w14:paraId="195025C8" w14:textId="77777777" w:rsidR="00BF3A3A" w:rsidRDefault="00BF3A3A">
            <w:pPr>
              <w:rPr>
                <w:rFonts w:ascii="宋体"/>
              </w:rPr>
            </w:pPr>
          </w:p>
        </w:tc>
        <w:tc>
          <w:tcPr>
            <w:tcW w:w="26" w:type="pct"/>
            <w:shd w:val="clear" w:color="auto" w:fill="auto"/>
            <w:vAlign w:val="bottom"/>
          </w:tcPr>
          <w:p w14:paraId="195025C9" w14:textId="77777777" w:rsidR="00BF3A3A" w:rsidRDefault="00BF3A3A">
            <w:pPr>
              <w:rPr>
                <w:rFonts w:ascii="宋体"/>
              </w:rPr>
            </w:pPr>
          </w:p>
        </w:tc>
        <w:tc>
          <w:tcPr>
            <w:tcW w:w="5" w:type="pct"/>
            <w:shd w:val="clear" w:color="auto" w:fill="auto"/>
            <w:vAlign w:val="bottom"/>
          </w:tcPr>
          <w:p w14:paraId="195025CA" w14:textId="77777777" w:rsidR="00BF3A3A" w:rsidRDefault="00BF3A3A">
            <w:pPr>
              <w:rPr>
                <w:rFonts w:ascii="宋体"/>
              </w:rPr>
            </w:pPr>
          </w:p>
        </w:tc>
        <w:tc>
          <w:tcPr>
            <w:tcW w:w="50" w:type="pct"/>
            <w:shd w:val="clear" w:color="auto" w:fill="auto"/>
            <w:vAlign w:val="bottom"/>
          </w:tcPr>
          <w:p w14:paraId="195025CB" w14:textId="77777777" w:rsidR="00BF3A3A" w:rsidRDefault="00BF3A3A">
            <w:pPr>
              <w:rPr>
                <w:rFonts w:ascii="宋体"/>
              </w:rPr>
            </w:pPr>
          </w:p>
        </w:tc>
        <w:tc>
          <w:tcPr>
            <w:tcW w:w="525" w:type="pct"/>
            <w:shd w:val="clear" w:color="auto" w:fill="auto"/>
            <w:vAlign w:val="bottom"/>
          </w:tcPr>
          <w:p w14:paraId="195025CC" w14:textId="77777777" w:rsidR="00BF3A3A" w:rsidRDefault="00BF3A3A">
            <w:pPr>
              <w:rPr>
                <w:rFonts w:ascii="宋体"/>
              </w:rPr>
            </w:pPr>
          </w:p>
        </w:tc>
        <w:tc>
          <w:tcPr>
            <w:tcW w:w="5" w:type="pct"/>
            <w:shd w:val="clear" w:color="auto" w:fill="auto"/>
            <w:vAlign w:val="bottom"/>
          </w:tcPr>
          <w:p w14:paraId="195025CD" w14:textId="77777777" w:rsidR="00BF3A3A" w:rsidRDefault="00BF3A3A">
            <w:pPr>
              <w:rPr>
                <w:rFonts w:ascii="宋体"/>
              </w:rPr>
            </w:pPr>
          </w:p>
        </w:tc>
        <w:tc>
          <w:tcPr>
            <w:tcW w:w="5" w:type="pct"/>
            <w:shd w:val="clear" w:color="auto" w:fill="auto"/>
            <w:vAlign w:val="bottom"/>
          </w:tcPr>
          <w:p w14:paraId="195025CE" w14:textId="77777777" w:rsidR="00BF3A3A" w:rsidRDefault="00BF3A3A">
            <w:pPr>
              <w:rPr>
                <w:rFonts w:ascii="宋体"/>
              </w:rPr>
            </w:pPr>
          </w:p>
        </w:tc>
        <w:tc>
          <w:tcPr>
            <w:tcW w:w="26" w:type="pct"/>
            <w:shd w:val="clear" w:color="auto" w:fill="auto"/>
            <w:vAlign w:val="bottom"/>
          </w:tcPr>
          <w:p w14:paraId="195025CF" w14:textId="77777777" w:rsidR="00BF3A3A" w:rsidRDefault="00BF3A3A">
            <w:pPr>
              <w:rPr>
                <w:rFonts w:ascii="宋体"/>
              </w:rPr>
            </w:pPr>
          </w:p>
        </w:tc>
        <w:tc>
          <w:tcPr>
            <w:tcW w:w="5" w:type="pct"/>
            <w:shd w:val="clear" w:color="auto" w:fill="auto"/>
            <w:vAlign w:val="bottom"/>
          </w:tcPr>
          <w:p w14:paraId="195025D0" w14:textId="77777777" w:rsidR="00BF3A3A" w:rsidRDefault="00BF3A3A">
            <w:pPr>
              <w:rPr>
                <w:rFonts w:ascii="宋体"/>
              </w:rPr>
            </w:pPr>
          </w:p>
        </w:tc>
        <w:tc>
          <w:tcPr>
            <w:tcW w:w="50" w:type="pct"/>
            <w:shd w:val="clear" w:color="auto" w:fill="auto"/>
            <w:vAlign w:val="bottom"/>
          </w:tcPr>
          <w:p w14:paraId="195025D1" w14:textId="77777777" w:rsidR="00BF3A3A" w:rsidRDefault="00BF3A3A">
            <w:pPr>
              <w:rPr>
                <w:rFonts w:ascii="宋体"/>
              </w:rPr>
            </w:pPr>
          </w:p>
        </w:tc>
        <w:tc>
          <w:tcPr>
            <w:tcW w:w="297" w:type="pct"/>
            <w:shd w:val="clear" w:color="auto" w:fill="auto"/>
            <w:vAlign w:val="bottom"/>
          </w:tcPr>
          <w:p w14:paraId="195025D2" w14:textId="77777777" w:rsidR="00BF3A3A" w:rsidRDefault="00BF3A3A">
            <w:pPr>
              <w:rPr>
                <w:rFonts w:ascii="宋体"/>
              </w:rPr>
            </w:pPr>
          </w:p>
        </w:tc>
        <w:tc>
          <w:tcPr>
            <w:tcW w:w="5" w:type="pct"/>
            <w:shd w:val="clear" w:color="auto" w:fill="auto"/>
            <w:vAlign w:val="bottom"/>
          </w:tcPr>
          <w:p w14:paraId="195025D3" w14:textId="77777777" w:rsidR="00BF3A3A" w:rsidRDefault="00BF3A3A">
            <w:pPr>
              <w:rPr>
                <w:rFonts w:ascii="宋体"/>
              </w:rPr>
            </w:pPr>
          </w:p>
        </w:tc>
        <w:tc>
          <w:tcPr>
            <w:tcW w:w="5" w:type="pct"/>
            <w:shd w:val="clear" w:color="auto" w:fill="auto"/>
            <w:vAlign w:val="bottom"/>
          </w:tcPr>
          <w:p w14:paraId="195025D4" w14:textId="77777777" w:rsidR="00BF3A3A" w:rsidRDefault="00BF3A3A">
            <w:pPr>
              <w:rPr>
                <w:rFonts w:ascii="宋体"/>
              </w:rPr>
            </w:pPr>
          </w:p>
        </w:tc>
        <w:tc>
          <w:tcPr>
            <w:tcW w:w="26" w:type="pct"/>
            <w:shd w:val="clear" w:color="auto" w:fill="auto"/>
            <w:vAlign w:val="bottom"/>
          </w:tcPr>
          <w:p w14:paraId="195025D5" w14:textId="77777777" w:rsidR="00BF3A3A" w:rsidRDefault="00BF3A3A">
            <w:pPr>
              <w:rPr>
                <w:rFonts w:ascii="宋体"/>
              </w:rPr>
            </w:pPr>
          </w:p>
        </w:tc>
        <w:tc>
          <w:tcPr>
            <w:tcW w:w="5" w:type="pct"/>
            <w:shd w:val="clear" w:color="auto" w:fill="auto"/>
            <w:vAlign w:val="bottom"/>
          </w:tcPr>
          <w:p w14:paraId="195025D6" w14:textId="77777777" w:rsidR="00BF3A3A" w:rsidRDefault="00BF3A3A">
            <w:pPr>
              <w:rPr>
                <w:rFonts w:ascii="宋体"/>
              </w:rPr>
            </w:pPr>
          </w:p>
        </w:tc>
        <w:tc>
          <w:tcPr>
            <w:tcW w:w="50" w:type="pct"/>
            <w:shd w:val="clear" w:color="auto" w:fill="auto"/>
            <w:vAlign w:val="bottom"/>
          </w:tcPr>
          <w:p w14:paraId="195025D7" w14:textId="77777777" w:rsidR="00BF3A3A" w:rsidRDefault="00BF3A3A">
            <w:pPr>
              <w:rPr>
                <w:rFonts w:ascii="宋体"/>
              </w:rPr>
            </w:pPr>
          </w:p>
        </w:tc>
        <w:tc>
          <w:tcPr>
            <w:tcW w:w="466" w:type="pct"/>
            <w:shd w:val="clear" w:color="auto" w:fill="auto"/>
            <w:vAlign w:val="bottom"/>
          </w:tcPr>
          <w:p w14:paraId="195025D8" w14:textId="77777777" w:rsidR="00BF3A3A" w:rsidRDefault="00BF3A3A">
            <w:pPr>
              <w:rPr>
                <w:rFonts w:ascii="宋体"/>
              </w:rPr>
            </w:pPr>
          </w:p>
        </w:tc>
        <w:tc>
          <w:tcPr>
            <w:tcW w:w="5" w:type="pct"/>
            <w:shd w:val="clear" w:color="auto" w:fill="auto"/>
            <w:vAlign w:val="bottom"/>
          </w:tcPr>
          <w:p w14:paraId="195025D9" w14:textId="77777777" w:rsidR="00BF3A3A" w:rsidRDefault="00BF3A3A">
            <w:pPr>
              <w:rPr>
                <w:rFonts w:ascii="宋体"/>
              </w:rPr>
            </w:pPr>
          </w:p>
        </w:tc>
      </w:tr>
      <w:tr w:rsidR="00BF3A3A" w14:paraId="195025E8" w14:textId="77777777">
        <w:trPr>
          <w:trHeight w:val="420"/>
          <w:jc w:val="center"/>
        </w:trPr>
        <w:tc>
          <w:tcPr>
            <w:tcW w:w="0" w:type="auto"/>
            <w:gridSpan w:val="3"/>
            <w:shd w:val="clear" w:color="auto" w:fill="auto"/>
            <w:tcMar>
              <w:top w:w="0" w:type="dxa"/>
              <w:left w:w="20" w:type="dxa"/>
              <w:bottom w:w="0" w:type="dxa"/>
              <w:right w:w="20" w:type="dxa"/>
            </w:tcMar>
            <w:vAlign w:val="bottom"/>
          </w:tcPr>
          <w:p w14:paraId="195025DB" w14:textId="77777777" w:rsidR="00BF3A3A" w:rsidRDefault="00BF3A3A">
            <w:pPr>
              <w:rPr>
                <w:rFonts w:ascii="宋体"/>
              </w:rPr>
            </w:pPr>
          </w:p>
        </w:tc>
        <w:tc>
          <w:tcPr>
            <w:tcW w:w="0" w:type="auto"/>
            <w:gridSpan w:val="9"/>
            <w:shd w:val="clear" w:color="auto" w:fill="auto"/>
            <w:tcMar>
              <w:top w:w="40" w:type="dxa"/>
              <w:left w:w="20" w:type="dxa"/>
              <w:bottom w:w="40" w:type="dxa"/>
              <w:right w:w="20" w:type="dxa"/>
            </w:tcMar>
            <w:vAlign w:val="bottom"/>
          </w:tcPr>
          <w:p w14:paraId="195025DC" w14:textId="77777777" w:rsidR="00BF3A3A" w:rsidRDefault="00A76802">
            <w:pPr>
              <w:jc w:val="center"/>
              <w:textAlignment w:val="bottom"/>
            </w:pPr>
            <w:r>
              <w:rPr>
                <w:rFonts w:ascii="sans-serif" w:eastAsia="sans-serif" w:hAnsi="sans-serif" w:cs="sans-serif"/>
                <w:b/>
                <w:bCs/>
                <w:color w:val="000000"/>
                <w:sz w:val="15"/>
                <w:szCs w:val="15"/>
              </w:rPr>
              <w:t>Common Stock</w:t>
            </w:r>
          </w:p>
          <w:p w14:paraId="195025DD" w14:textId="77777777" w:rsidR="00BF3A3A" w:rsidRDefault="00A76802">
            <w:pPr>
              <w:jc w:val="center"/>
              <w:textAlignment w:val="bottom"/>
            </w:pPr>
            <w:r>
              <w:rPr>
                <w:rFonts w:ascii="sans-serif" w:eastAsia="sans-serif" w:hAnsi="sans-serif" w:cs="sans-serif"/>
                <w:b/>
                <w:bCs/>
                <w:color w:val="000000"/>
                <w:sz w:val="15"/>
                <w:szCs w:val="15"/>
              </w:rPr>
              <w:t>Outstanding</w:t>
            </w:r>
          </w:p>
        </w:tc>
        <w:tc>
          <w:tcPr>
            <w:tcW w:w="0" w:type="auto"/>
            <w:gridSpan w:val="3"/>
            <w:shd w:val="clear" w:color="auto" w:fill="auto"/>
            <w:tcMar>
              <w:top w:w="0" w:type="dxa"/>
              <w:left w:w="20" w:type="dxa"/>
              <w:bottom w:w="0" w:type="dxa"/>
              <w:right w:w="20" w:type="dxa"/>
            </w:tcMar>
            <w:vAlign w:val="bottom"/>
          </w:tcPr>
          <w:p w14:paraId="195025DE" w14:textId="77777777" w:rsidR="00BF3A3A" w:rsidRDefault="00BF3A3A">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95025DF" w14:textId="77777777" w:rsidR="00BF3A3A" w:rsidRDefault="00A76802">
            <w:pPr>
              <w:jc w:val="center"/>
              <w:textAlignment w:val="bottom"/>
            </w:pPr>
            <w:r>
              <w:rPr>
                <w:rFonts w:ascii="sans-serif" w:eastAsia="sans-serif" w:hAnsi="sans-serif" w:cs="sans-serif"/>
                <w:b/>
                <w:bCs/>
                <w:color w:val="000000"/>
                <w:sz w:val="15"/>
                <w:szCs w:val="15"/>
              </w:rPr>
              <w:t>Additional Pa</w:t>
            </w:r>
            <w:r>
              <w:rPr>
                <w:rFonts w:ascii="sans-serif" w:eastAsia="sans-serif" w:hAnsi="sans-serif" w:cs="sans-serif"/>
                <w:b/>
                <w:bCs/>
                <w:color w:val="000000"/>
                <w:sz w:val="15"/>
                <w:szCs w:val="15"/>
              </w:rPr>
              <w:t>id-in Capital</w:t>
            </w:r>
          </w:p>
        </w:tc>
        <w:tc>
          <w:tcPr>
            <w:tcW w:w="0" w:type="auto"/>
            <w:gridSpan w:val="3"/>
            <w:shd w:val="clear" w:color="auto" w:fill="auto"/>
            <w:tcMar>
              <w:top w:w="0" w:type="dxa"/>
              <w:left w:w="20" w:type="dxa"/>
              <w:bottom w:w="0" w:type="dxa"/>
              <w:right w:w="20" w:type="dxa"/>
            </w:tcMar>
            <w:vAlign w:val="bottom"/>
          </w:tcPr>
          <w:p w14:paraId="195025E0" w14:textId="77777777" w:rsidR="00BF3A3A" w:rsidRDefault="00BF3A3A">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95025E1" w14:textId="77777777" w:rsidR="00BF3A3A" w:rsidRDefault="00A76802">
            <w:pPr>
              <w:jc w:val="center"/>
              <w:textAlignment w:val="bottom"/>
            </w:pPr>
            <w:r>
              <w:rPr>
                <w:rFonts w:ascii="sans-serif" w:eastAsia="sans-serif" w:hAnsi="sans-serif" w:cs="sans-serif"/>
                <w:b/>
                <w:bCs/>
                <w:color w:val="000000"/>
                <w:sz w:val="15"/>
                <w:szCs w:val="15"/>
              </w:rPr>
              <w:t>Treasury Stock</w:t>
            </w:r>
          </w:p>
        </w:tc>
        <w:tc>
          <w:tcPr>
            <w:tcW w:w="0" w:type="auto"/>
            <w:gridSpan w:val="3"/>
            <w:shd w:val="clear" w:color="auto" w:fill="auto"/>
            <w:tcMar>
              <w:top w:w="0" w:type="dxa"/>
              <w:left w:w="20" w:type="dxa"/>
              <w:bottom w:w="0" w:type="dxa"/>
              <w:right w:w="20" w:type="dxa"/>
            </w:tcMar>
            <w:vAlign w:val="bottom"/>
          </w:tcPr>
          <w:p w14:paraId="195025E2" w14:textId="77777777" w:rsidR="00BF3A3A" w:rsidRDefault="00BF3A3A">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95025E3" w14:textId="77777777" w:rsidR="00BF3A3A" w:rsidRDefault="00A76802">
            <w:pPr>
              <w:jc w:val="center"/>
              <w:textAlignment w:val="bottom"/>
            </w:pPr>
            <w:r>
              <w:rPr>
                <w:rFonts w:ascii="sans-serif" w:eastAsia="sans-serif" w:hAnsi="sans-serif" w:cs="sans-serif"/>
                <w:b/>
                <w:bCs/>
                <w:color w:val="000000"/>
                <w:sz w:val="15"/>
                <w:szCs w:val="15"/>
              </w:rPr>
              <w:t>Accumulated Other Comprehensive Income (Loss)</w:t>
            </w:r>
          </w:p>
        </w:tc>
        <w:tc>
          <w:tcPr>
            <w:tcW w:w="0" w:type="auto"/>
            <w:gridSpan w:val="3"/>
            <w:shd w:val="clear" w:color="auto" w:fill="auto"/>
            <w:tcMar>
              <w:top w:w="0" w:type="dxa"/>
              <w:left w:w="20" w:type="dxa"/>
              <w:bottom w:w="0" w:type="dxa"/>
              <w:right w:w="20" w:type="dxa"/>
            </w:tcMar>
            <w:vAlign w:val="bottom"/>
          </w:tcPr>
          <w:p w14:paraId="195025E4" w14:textId="77777777" w:rsidR="00BF3A3A" w:rsidRDefault="00BF3A3A">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95025E5" w14:textId="77777777" w:rsidR="00BF3A3A" w:rsidRDefault="00A76802">
            <w:pPr>
              <w:jc w:val="center"/>
              <w:textAlignment w:val="bottom"/>
            </w:pPr>
            <w:r>
              <w:rPr>
                <w:rFonts w:ascii="sans-serif" w:eastAsia="sans-serif" w:hAnsi="sans-serif" w:cs="sans-serif"/>
                <w:b/>
                <w:bCs/>
                <w:color w:val="000000"/>
                <w:sz w:val="15"/>
                <w:szCs w:val="15"/>
              </w:rPr>
              <w:t>Retained Earnings</w:t>
            </w:r>
          </w:p>
        </w:tc>
        <w:tc>
          <w:tcPr>
            <w:tcW w:w="0" w:type="auto"/>
            <w:gridSpan w:val="3"/>
            <w:shd w:val="clear" w:color="auto" w:fill="auto"/>
            <w:tcMar>
              <w:top w:w="0" w:type="dxa"/>
              <w:left w:w="20" w:type="dxa"/>
              <w:bottom w:w="0" w:type="dxa"/>
              <w:right w:w="20" w:type="dxa"/>
            </w:tcMar>
            <w:vAlign w:val="bottom"/>
          </w:tcPr>
          <w:p w14:paraId="195025E6" w14:textId="77777777" w:rsidR="00BF3A3A" w:rsidRDefault="00BF3A3A">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95025E7" w14:textId="77777777" w:rsidR="00BF3A3A" w:rsidRDefault="00A76802">
            <w:pPr>
              <w:jc w:val="center"/>
              <w:textAlignment w:val="bottom"/>
            </w:pPr>
            <w:r>
              <w:rPr>
                <w:rFonts w:ascii="sans-serif" w:eastAsia="sans-serif" w:hAnsi="sans-serif" w:cs="sans-serif"/>
                <w:b/>
                <w:bCs/>
                <w:color w:val="000000"/>
                <w:sz w:val="15"/>
                <w:szCs w:val="15"/>
              </w:rPr>
              <w:t>Total Shareholders' Equity</w:t>
            </w:r>
          </w:p>
        </w:tc>
      </w:tr>
      <w:tr w:rsidR="00BF3A3A" w14:paraId="195025F7" w14:textId="77777777">
        <w:trPr>
          <w:trHeight w:val="240"/>
          <w:jc w:val="center"/>
        </w:trPr>
        <w:tc>
          <w:tcPr>
            <w:tcW w:w="0" w:type="auto"/>
            <w:gridSpan w:val="3"/>
            <w:shd w:val="clear" w:color="auto" w:fill="auto"/>
            <w:tcMar>
              <w:top w:w="40" w:type="dxa"/>
              <w:left w:w="20" w:type="dxa"/>
              <w:bottom w:w="40" w:type="dxa"/>
              <w:right w:w="20" w:type="dxa"/>
            </w:tcMar>
            <w:vAlign w:val="bottom"/>
          </w:tcPr>
          <w:p w14:paraId="195025E9" w14:textId="77777777" w:rsidR="00BF3A3A" w:rsidRDefault="00A76802">
            <w:pPr>
              <w:textAlignment w:val="bottom"/>
            </w:pPr>
            <w:r>
              <w:rPr>
                <w:rFonts w:ascii="sans-serif" w:eastAsia="sans-serif" w:hAnsi="sans-serif" w:cs="sans-serif"/>
                <w:b/>
                <w:bCs/>
                <w:color w:val="000000"/>
                <w:sz w:val="15"/>
                <w:szCs w:val="15"/>
              </w:rPr>
              <w:t>(In millions, except per share data)</w:t>
            </w:r>
          </w:p>
        </w:tc>
        <w:tc>
          <w:tcPr>
            <w:tcW w:w="0" w:type="auto"/>
            <w:gridSpan w:val="3"/>
            <w:shd w:val="clear" w:color="auto" w:fill="auto"/>
            <w:tcMar>
              <w:top w:w="40" w:type="dxa"/>
              <w:left w:w="20" w:type="dxa"/>
              <w:bottom w:w="40" w:type="dxa"/>
              <w:right w:w="20" w:type="dxa"/>
            </w:tcMar>
            <w:vAlign w:val="bottom"/>
          </w:tcPr>
          <w:p w14:paraId="195025EA" w14:textId="77777777" w:rsidR="00BF3A3A" w:rsidRDefault="00A76802">
            <w:pPr>
              <w:jc w:val="center"/>
              <w:textAlignment w:val="bottom"/>
            </w:pPr>
            <w:r>
              <w:rPr>
                <w:rFonts w:ascii="sans-serif" w:eastAsia="sans-serif" w:hAnsi="sans-serif" w:cs="sans-serif"/>
                <w:b/>
                <w:bCs/>
                <w:color w:val="000000"/>
                <w:sz w:val="15"/>
                <w:szCs w:val="15"/>
              </w:rPr>
              <w:t>Shares</w:t>
            </w:r>
          </w:p>
        </w:tc>
        <w:tc>
          <w:tcPr>
            <w:tcW w:w="0" w:type="auto"/>
            <w:gridSpan w:val="3"/>
            <w:shd w:val="clear" w:color="auto" w:fill="auto"/>
            <w:tcMar>
              <w:top w:w="0" w:type="dxa"/>
              <w:left w:w="20" w:type="dxa"/>
              <w:bottom w:w="0" w:type="dxa"/>
              <w:right w:w="20" w:type="dxa"/>
            </w:tcMar>
            <w:vAlign w:val="bottom"/>
          </w:tcPr>
          <w:p w14:paraId="195025EB"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25EC" w14:textId="77777777" w:rsidR="00BF3A3A" w:rsidRDefault="00A76802">
            <w:pPr>
              <w:jc w:val="center"/>
              <w:textAlignment w:val="bottom"/>
            </w:pPr>
            <w:r>
              <w:rPr>
                <w:rFonts w:ascii="sans-serif" w:eastAsia="sans-serif" w:hAnsi="sans-serif" w:cs="sans-serif"/>
                <w:b/>
                <w:bCs/>
                <w:color w:val="000000"/>
                <w:sz w:val="15"/>
                <w:szCs w:val="15"/>
              </w:rPr>
              <w:t>Amount</w:t>
            </w:r>
          </w:p>
        </w:tc>
        <w:tc>
          <w:tcPr>
            <w:tcW w:w="0" w:type="auto"/>
            <w:gridSpan w:val="3"/>
            <w:shd w:val="clear" w:color="auto" w:fill="auto"/>
            <w:tcMar>
              <w:top w:w="0" w:type="dxa"/>
              <w:left w:w="20" w:type="dxa"/>
              <w:bottom w:w="0" w:type="dxa"/>
              <w:right w:w="20" w:type="dxa"/>
            </w:tcMar>
            <w:vAlign w:val="bottom"/>
          </w:tcPr>
          <w:p w14:paraId="195025ED" w14:textId="77777777" w:rsidR="00BF3A3A" w:rsidRDefault="00BF3A3A">
            <w:pPr>
              <w:rPr>
                <w:rFonts w:ascii="宋体"/>
              </w:rPr>
            </w:pPr>
          </w:p>
        </w:tc>
        <w:tc>
          <w:tcPr>
            <w:tcW w:w="0" w:type="auto"/>
            <w:gridSpan w:val="3"/>
            <w:vMerge/>
            <w:shd w:val="clear" w:color="auto" w:fill="auto"/>
            <w:tcMar>
              <w:top w:w="40" w:type="dxa"/>
              <w:left w:w="20" w:type="dxa"/>
              <w:bottom w:w="40" w:type="dxa"/>
              <w:right w:w="20" w:type="dxa"/>
            </w:tcMar>
            <w:vAlign w:val="bottom"/>
          </w:tcPr>
          <w:p w14:paraId="195025EE" w14:textId="77777777" w:rsidR="00BF3A3A" w:rsidRDefault="00BF3A3A">
            <w:pPr>
              <w:jc w:val="center"/>
              <w:rPr>
                <w:rFonts w:ascii="宋体"/>
              </w:rPr>
            </w:pPr>
          </w:p>
        </w:tc>
        <w:tc>
          <w:tcPr>
            <w:tcW w:w="0" w:type="auto"/>
            <w:gridSpan w:val="3"/>
            <w:shd w:val="clear" w:color="auto" w:fill="auto"/>
            <w:tcMar>
              <w:top w:w="0" w:type="dxa"/>
              <w:left w:w="20" w:type="dxa"/>
              <w:bottom w:w="0" w:type="dxa"/>
              <w:right w:w="20" w:type="dxa"/>
            </w:tcMar>
            <w:vAlign w:val="bottom"/>
          </w:tcPr>
          <w:p w14:paraId="195025EF" w14:textId="77777777" w:rsidR="00BF3A3A" w:rsidRDefault="00BF3A3A">
            <w:pPr>
              <w:rPr>
                <w:rFonts w:ascii="宋体"/>
              </w:rPr>
            </w:pPr>
          </w:p>
        </w:tc>
        <w:tc>
          <w:tcPr>
            <w:tcW w:w="0" w:type="auto"/>
            <w:gridSpan w:val="3"/>
            <w:vMerge/>
            <w:shd w:val="clear" w:color="auto" w:fill="auto"/>
            <w:tcMar>
              <w:top w:w="40" w:type="dxa"/>
              <w:left w:w="20" w:type="dxa"/>
              <w:bottom w:w="40" w:type="dxa"/>
              <w:right w:w="20" w:type="dxa"/>
            </w:tcMar>
            <w:vAlign w:val="bottom"/>
          </w:tcPr>
          <w:p w14:paraId="195025F0" w14:textId="77777777" w:rsidR="00BF3A3A" w:rsidRDefault="00BF3A3A">
            <w:pPr>
              <w:jc w:val="center"/>
              <w:rPr>
                <w:rFonts w:ascii="宋体"/>
              </w:rPr>
            </w:pPr>
          </w:p>
        </w:tc>
        <w:tc>
          <w:tcPr>
            <w:tcW w:w="0" w:type="auto"/>
            <w:gridSpan w:val="3"/>
            <w:shd w:val="clear" w:color="auto" w:fill="auto"/>
            <w:tcMar>
              <w:top w:w="0" w:type="dxa"/>
              <w:left w:w="20" w:type="dxa"/>
              <w:bottom w:w="0" w:type="dxa"/>
              <w:right w:w="20" w:type="dxa"/>
            </w:tcMar>
            <w:vAlign w:val="bottom"/>
          </w:tcPr>
          <w:p w14:paraId="195025F1" w14:textId="77777777" w:rsidR="00BF3A3A" w:rsidRDefault="00BF3A3A">
            <w:pPr>
              <w:rPr>
                <w:rFonts w:ascii="宋体"/>
              </w:rPr>
            </w:pPr>
          </w:p>
        </w:tc>
        <w:tc>
          <w:tcPr>
            <w:tcW w:w="0" w:type="auto"/>
            <w:gridSpan w:val="3"/>
            <w:vMerge/>
            <w:shd w:val="clear" w:color="auto" w:fill="auto"/>
            <w:tcMar>
              <w:top w:w="40" w:type="dxa"/>
              <w:left w:w="20" w:type="dxa"/>
              <w:bottom w:w="40" w:type="dxa"/>
              <w:right w:w="20" w:type="dxa"/>
            </w:tcMar>
            <w:vAlign w:val="bottom"/>
          </w:tcPr>
          <w:p w14:paraId="195025F2" w14:textId="77777777" w:rsidR="00BF3A3A" w:rsidRDefault="00BF3A3A">
            <w:pPr>
              <w:jc w:val="center"/>
              <w:rPr>
                <w:rFonts w:ascii="宋体"/>
              </w:rPr>
            </w:pPr>
          </w:p>
        </w:tc>
        <w:tc>
          <w:tcPr>
            <w:tcW w:w="0" w:type="auto"/>
            <w:gridSpan w:val="3"/>
            <w:shd w:val="clear" w:color="auto" w:fill="auto"/>
            <w:tcMar>
              <w:top w:w="0" w:type="dxa"/>
              <w:left w:w="20" w:type="dxa"/>
              <w:bottom w:w="0" w:type="dxa"/>
              <w:right w:w="20" w:type="dxa"/>
            </w:tcMar>
            <w:vAlign w:val="bottom"/>
          </w:tcPr>
          <w:p w14:paraId="195025F3" w14:textId="77777777" w:rsidR="00BF3A3A" w:rsidRDefault="00BF3A3A">
            <w:pPr>
              <w:rPr>
                <w:rFonts w:ascii="宋体"/>
              </w:rPr>
            </w:pPr>
          </w:p>
        </w:tc>
        <w:tc>
          <w:tcPr>
            <w:tcW w:w="0" w:type="auto"/>
            <w:gridSpan w:val="3"/>
            <w:vMerge/>
            <w:shd w:val="clear" w:color="auto" w:fill="auto"/>
            <w:tcMar>
              <w:top w:w="40" w:type="dxa"/>
              <w:left w:w="20" w:type="dxa"/>
              <w:bottom w:w="40" w:type="dxa"/>
              <w:right w:w="20" w:type="dxa"/>
            </w:tcMar>
            <w:vAlign w:val="bottom"/>
          </w:tcPr>
          <w:p w14:paraId="195025F4" w14:textId="77777777" w:rsidR="00BF3A3A" w:rsidRDefault="00BF3A3A">
            <w:pPr>
              <w:jc w:val="center"/>
              <w:rPr>
                <w:rFonts w:ascii="宋体"/>
              </w:rPr>
            </w:pPr>
          </w:p>
        </w:tc>
        <w:tc>
          <w:tcPr>
            <w:tcW w:w="0" w:type="auto"/>
            <w:gridSpan w:val="3"/>
            <w:shd w:val="clear" w:color="auto" w:fill="auto"/>
            <w:tcMar>
              <w:top w:w="0" w:type="dxa"/>
              <w:left w:w="20" w:type="dxa"/>
              <w:bottom w:w="0" w:type="dxa"/>
              <w:right w:w="20" w:type="dxa"/>
            </w:tcMar>
            <w:vAlign w:val="bottom"/>
          </w:tcPr>
          <w:p w14:paraId="195025F5" w14:textId="77777777" w:rsidR="00BF3A3A" w:rsidRDefault="00BF3A3A">
            <w:pPr>
              <w:rPr>
                <w:rFonts w:ascii="宋体"/>
              </w:rPr>
            </w:pPr>
          </w:p>
        </w:tc>
        <w:tc>
          <w:tcPr>
            <w:tcW w:w="0" w:type="auto"/>
            <w:gridSpan w:val="3"/>
            <w:vMerge/>
            <w:shd w:val="clear" w:color="auto" w:fill="auto"/>
            <w:tcMar>
              <w:top w:w="40" w:type="dxa"/>
              <w:left w:w="20" w:type="dxa"/>
              <w:bottom w:w="40" w:type="dxa"/>
              <w:right w:w="20" w:type="dxa"/>
            </w:tcMar>
            <w:vAlign w:val="bottom"/>
          </w:tcPr>
          <w:p w14:paraId="195025F6" w14:textId="77777777" w:rsidR="00BF3A3A" w:rsidRDefault="00BF3A3A">
            <w:pPr>
              <w:jc w:val="center"/>
              <w:rPr>
                <w:rFonts w:ascii="宋体"/>
              </w:rPr>
            </w:pPr>
          </w:p>
        </w:tc>
      </w:tr>
      <w:tr w:rsidR="00BF3A3A" w14:paraId="19502613" w14:textId="77777777">
        <w:trPr>
          <w:jc w:val="center"/>
        </w:trPr>
        <w:tc>
          <w:tcPr>
            <w:tcW w:w="0" w:type="auto"/>
            <w:gridSpan w:val="3"/>
            <w:shd w:val="clear" w:color="auto" w:fill="E2EFD9"/>
            <w:tcMar>
              <w:top w:w="40" w:type="dxa"/>
              <w:left w:w="20" w:type="dxa"/>
              <w:bottom w:w="40" w:type="dxa"/>
              <w:right w:w="20" w:type="dxa"/>
            </w:tcMar>
            <w:vAlign w:val="bottom"/>
          </w:tcPr>
          <w:p w14:paraId="195025F8" w14:textId="77777777" w:rsidR="00BF3A3A" w:rsidRDefault="00A76802">
            <w:pPr>
              <w:textAlignment w:val="bottom"/>
            </w:pPr>
            <w:r>
              <w:rPr>
                <w:rFonts w:ascii="sans-serif" w:eastAsia="sans-serif" w:hAnsi="sans-serif" w:cs="sans-serif"/>
                <w:color w:val="000000"/>
                <w:sz w:val="15"/>
                <w:szCs w:val="15"/>
              </w:rPr>
              <w:t>Balances, January 30, 2022</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5F9" w14:textId="77777777" w:rsidR="00BF3A3A" w:rsidRDefault="00A76802">
            <w:pPr>
              <w:jc w:val="right"/>
              <w:textAlignment w:val="bottom"/>
            </w:pPr>
            <w:r>
              <w:rPr>
                <w:rFonts w:ascii="sans-serif" w:eastAsia="sans-serif" w:hAnsi="sans-serif" w:cs="sans-serif"/>
                <w:color w:val="000000"/>
                <w:sz w:val="15"/>
                <w:szCs w:val="15"/>
              </w:rPr>
              <w:t>2,506 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5F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5FB"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5FC"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5FD" w14:textId="77777777" w:rsidR="00BF3A3A" w:rsidRDefault="00A76802">
            <w:pPr>
              <w:jc w:val="right"/>
              <w:textAlignment w:val="bottom"/>
            </w:pPr>
            <w:r>
              <w:rPr>
                <w:rFonts w:ascii="sans-serif" w:eastAsia="sans-serif" w:hAnsi="sans-serif" w:cs="sans-serif"/>
                <w:color w:val="000000"/>
                <w:sz w:val="15"/>
                <w:szCs w:val="15"/>
              </w:rPr>
              <w:t>3 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5F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5FF"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600"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601" w14:textId="77777777" w:rsidR="00BF3A3A" w:rsidRDefault="00A76802">
            <w:pPr>
              <w:jc w:val="right"/>
              <w:textAlignment w:val="bottom"/>
            </w:pPr>
            <w:r>
              <w:rPr>
                <w:rFonts w:ascii="sans-serif" w:eastAsia="sans-serif" w:hAnsi="sans-serif" w:cs="sans-serif"/>
                <w:color w:val="000000"/>
                <w:sz w:val="15"/>
                <w:szCs w:val="15"/>
              </w:rPr>
              <w:t>10,385 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60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03"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604"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605" w14:textId="77777777" w:rsidR="00BF3A3A" w:rsidRDefault="00A76802">
            <w:pPr>
              <w:jc w:val="right"/>
              <w:textAlignment w:val="bottom"/>
            </w:pPr>
            <w:r>
              <w:rPr>
                <w:rFonts w:ascii="sans-serif" w:eastAsia="sans-serif" w:hAnsi="sans-serif" w:cs="sans-serif"/>
                <w:color w:val="000000"/>
                <w:sz w:val="15"/>
                <w:szCs w:val="15"/>
              </w:rPr>
              <w:t>—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60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07"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608"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609" w14:textId="77777777" w:rsidR="00BF3A3A" w:rsidRDefault="00A76802">
            <w:pPr>
              <w:jc w:val="right"/>
              <w:textAlignment w:val="bottom"/>
            </w:pPr>
            <w:r>
              <w:rPr>
                <w:rFonts w:ascii="sans-serif" w:eastAsia="sans-serif" w:hAnsi="sans-serif" w:cs="sans-serif"/>
                <w:color w:val="000000"/>
                <w:sz w:val="15"/>
                <w:szCs w:val="15"/>
              </w:rPr>
              <w:t>(11)</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60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0B"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60C"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60D" w14:textId="77777777" w:rsidR="00BF3A3A" w:rsidRDefault="00A76802">
            <w:pPr>
              <w:jc w:val="right"/>
              <w:textAlignment w:val="bottom"/>
            </w:pPr>
            <w:r>
              <w:rPr>
                <w:rFonts w:ascii="sans-serif" w:eastAsia="sans-serif" w:hAnsi="sans-serif" w:cs="sans-serif"/>
                <w:color w:val="000000"/>
                <w:sz w:val="15"/>
                <w:szCs w:val="15"/>
              </w:rPr>
              <w:t>16,235 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60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0F"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610"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611" w14:textId="77777777" w:rsidR="00BF3A3A" w:rsidRDefault="00A76802">
            <w:pPr>
              <w:jc w:val="right"/>
              <w:textAlignment w:val="bottom"/>
            </w:pPr>
            <w:r>
              <w:rPr>
                <w:rFonts w:ascii="sans-serif" w:eastAsia="sans-serif" w:hAnsi="sans-serif" w:cs="sans-serif"/>
                <w:color w:val="000000"/>
                <w:sz w:val="15"/>
                <w:szCs w:val="15"/>
              </w:rPr>
              <w:t>26,612 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612" w14:textId="77777777" w:rsidR="00BF3A3A" w:rsidRDefault="00BF3A3A">
            <w:pPr>
              <w:jc w:val="right"/>
              <w:rPr>
                <w:rFonts w:ascii="宋体"/>
              </w:rPr>
            </w:pPr>
          </w:p>
        </w:tc>
      </w:tr>
      <w:tr w:rsidR="00BF3A3A" w14:paraId="19502629" w14:textId="77777777">
        <w:trPr>
          <w:jc w:val="center"/>
        </w:trPr>
        <w:tc>
          <w:tcPr>
            <w:tcW w:w="0" w:type="auto"/>
            <w:gridSpan w:val="3"/>
            <w:shd w:val="clear" w:color="auto" w:fill="FFFFFF"/>
            <w:tcMar>
              <w:top w:w="40" w:type="dxa"/>
              <w:left w:w="20" w:type="dxa"/>
              <w:bottom w:w="40" w:type="dxa"/>
              <w:right w:w="20" w:type="dxa"/>
            </w:tcMar>
            <w:vAlign w:val="bottom"/>
          </w:tcPr>
          <w:p w14:paraId="19502614" w14:textId="77777777" w:rsidR="00BF3A3A" w:rsidRDefault="00A76802">
            <w:pPr>
              <w:textAlignment w:val="bottom"/>
            </w:pPr>
            <w:r>
              <w:rPr>
                <w:rFonts w:ascii="sans-serif" w:eastAsia="sans-serif" w:hAnsi="sans-serif" w:cs="sans-serif"/>
                <w:color w:val="000000"/>
                <w:sz w:val="15"/>
                <w:szCs w:val="15"/>
              </w:rPr>
              <w:t>Net income</w:t>
            </w:r>
          </w:p>
        </w:tc>
        <w:tc>
          <w:tcPr>
            <w:tcW w:w="0" w:type="auto"/>
            <w:gridSpan w:val="2"/>
            <w:shd w:val="clear" w:color="auto" w:fill="FFFFFF"/>
            <w:tcMar>
              <w:top w:w="40" w:type="dxa"/>
              <w:left w:w="20" w:type="dxa"/>
              <w:bottom w:w="40" w:type="dxa"/>
              <w:right w:w="0" w:type="dxa"/>
            </w:tcMar>
            <w:vAlign w:val="bottom"/>
          </w:tcPr>
          <w:p w14:paraId="19502615"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61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17"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18"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61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1A"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1B"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61C"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1D"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1E"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61F"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20"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21"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622"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23"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24" w14:textId="77777777" w:rsidR="00BF3A3A" w:rsidRDefault="00A76802">
            <w:pPr>
              <w:jc w:val="right"/>
              <w:textAlignment w:val="bottom"/>
            </w:pPr>
            <w:r>
              <w:rPr>
                <w:rFonts w:ascii="sans-serif" w:eastAsia="sans-serif" w:hAnsi="sans-serif" w:cs="sans-serif"/>
                <w:color w:val="000000"/>
                <w:sz w:val="15"/>
                <w:szCs w:val="15"/>
              </w:rPr>
              <w:t>2,274 </w:t>
            </w:r>
          </w:p>
        </w:tc>
        <w:tc>
          <w:tcPr>
            <w:tcW w:w="0" w:type="auto"/>
            <w:shd w:val="clear" w:color="auto" w:fill="FFFFFF"/>
            <w:tcMar>
              <w:top w:w="40" w:type="dxa"/>
              <w:left w:w="0" w:type="dxa"/>
              <w:bottom w:w="40" w:type="dxa"/>
              <w:right w:w="20" w:type="dxa"/>
            </w:tcMar>
            <w:vAlign w:val="bottom"/>
          </w:tcPr>
          <w:p w14:paraId="19502625"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26"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27" w14:textId="77777777" w:rsidR="00BF3A3A" w:rsidRDefault="00A76802">
            <w:pPr>
              <w:jc w:val="right"/>
              <w:textAlignment w:val="bottom"/>
            </w:pPr>
            <w:r>
              <w:rPr>
                <w:rFonts w:ascii="sans-serif" w:eastAsia="sans-serif" w:hAnsi="sans-serif" w:cs="sans-serif"/>
                <w:color w:val="000000"/>
                <w:sz w:val="15"/>
                <w:szCs w:val="15"/>
              </w:rPr>
              <w:t>2,274 </w:t>
            </w:r>
          </w:p>
        </w:tc>
        <w:tc>
          <w:tcPr>
            <w:tcW w:w="0" w:type="auto"/>
            <w:shd w:val="clear" w:color="auto" w:fill="FFFFFF"/>
            <w:tcMar>
              <w:top w:w="40" w:type="dxa"/>
              <w:left w:w="0" w:type="dxa"/>
              <w:bottom w:w="40" w:type="dxa"/>
              <w:right w:w="20" w:type="dxa"/>
            </w:tcMar>
            <w:vAlign w:val="bottom"/>
          </w:tcPr>
          <w:p w14:paraId="19502628" w14:textId="77777777" w:rsidR="00BF3A3A" w:rsidRDefault="00BF3A3A">
            <w:pPr>
              <w:jc w:val="right"/>
              <w:rPr>
                <w:rFonts w:ascii="宋体"/>
              </w:rPr>
            </w:pPr>
          </w:p>
        </w:tc>
      </w:tr>
      <w:tr w:rsidR="00BF3A3A" w14:paraId="1950263F" w14:textId="77777777">
        <w:trPr>
          <w:jc w:val="center"/>
        </w:trPr>
        <w:tc>
          <w:tcPr>
            <w:tcW w:w="0" w:type="auto"/>
            <w:gridSpan w:val="3"/>
            <w:shd w:val="clear" w:color="auto" w:fill="E2EFD9"/>
            <w:tcMar>
              <w:top w:w="40" w:type="dxa"/>
              <w:left w:w="20" w:type="dxa"/>
              <w:bottom w:w="40" w:type="dxa"/>
              <w:right w:w="20" w:type="dxa"/>
            </w:tcMar>
            <w:vAlign w:val="bottom"/>
          </w:tcPr>
          <w:p w14:paraId="1950262A" w14:textId="77777777" w:rsidR="00BF3A3A" w:rsidRDefault="00A76802">
            <w:pPr>
              <w:textAlignment w:val="bottom"/>
            </w:pPr>
            <w:r>
              <w:rPr>
                <w:rFonts w:ascii="sans-serif" w:eastAsia="sans-serif" w:hAnsi="sans-serif" w:cs="sans-serif"/>
                <w:color w:val="000000"/>
                <w:sz w:val="15"/>
                <w:szCs w:val="15"/>
              </w:rPr>
              <w:t>Other comprehensive loss</w:t>
            </w:r>
          </w:p>
        </w:tc>
        <w:tc>
          <w:tcPr>
            <w:tcW w:w="0" w:type="auto"/>
            <w:gridSpan w:val="2"/>
            <w:shd w:val="clear" w:color="auto" w:fill="E2EFD9"/>
            <w:tcMar>
              <w:top w:w="40" w:type="dxa"/>
              <w:left w:w="20" w:type="dxa"/>
              <w:bottom w:w="40" w:type="dxa"/>
              <w:right w:w="0" w:type="dxa"/>
            </w:tcMar>
            <w:vAlign w:val="bottom"/>
          </w:tcPr>
          <w:p w14:paraId="1950262B"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62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2D"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62E"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62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30"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631"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63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33"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634"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63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36"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637" w14:textId="77777777" w:rsidR="00BF3A3A" w:rsidRDefault="00A76802">
            <w:pPr>
              <w:jc w:val="right"/>
              <w:textAlignment w:val="bottom"/>
            </w:pPr>
            <w:r>
              <w:rPr>
                <w:rFonts w:ascii="sans-serif" w:eastAsia="sans-serif" w:hAnsi="sans-serif" w:cs="sans-serif"/>
                <w:color w:val="000000"/>
                <w:sz w:val="15"/>
                <w:szCs w:val="15"/>
              </w:rPr>
              <w:t>(79)</w:t>
            </w:r>
          </w:p>
        </w:tc>
        <w:tc>
          <w:tcPr>
            <w:tcW w:w="0" w:type="auto"/>
            <w:shd w:val="clear" w:color="auto" w:fill="E2EFD9"/>
            <w:tcMar>
              <w:top w:w="40" w:type="dxa"/>
              <w:left w:w="0" w:type="dxa"/>
              <w:bottom w:w="40" w:type="dxa"/>
              <w:right w:w="20" w:type="dxa"/>
            </w:tcMar>
            <w:vAlign w:val="bottom"/>
          </w:tcPr>
          <w:p w14:paraId="1950263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39"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63A"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63B"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3C"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63D" w14:textId="77777777" w:rsidR="00BF3A3A" w:rsidRDefault="00A76802">
            <w:pPr>
              <w:jc w:val="right"/>
              <w:textAlignment w:val="bottom"/>
            </w:pPr>
            <w:r>
              <w:rPr>
                <w:rFonts w:ascii="sans-serif" w:eastAsia="sans-serif" w:hAnsi="sans-serif" w:cs="sans-serif"/>
                <w:color w:val="000000"/>
                <w:sz w:val="15"/>
                <w:szCs w:val="15"/>
              </w:rPr>
              <w:t>(79)</w:t>
            </w:r>
          </w:p>
        </w:tc>
        <w:tc>
          <w:tcPr>
            <w:tcW w:w="0" w:type="auto"/>
            <w:shd w:val="clear" w:color="auto" w:fill="E2EFD9"/>
            <w:tcMar>
              <w:top w:w="40" w:type="dxa"/>
              <w:left w:w="0" w:type="dxa"/>
              <w:bottom w:w="40" w:type="dxa"/>
              <w:right w:w="20" w:type="dxa"/>
            </w:tcMar>
            <w:vAlign w:val="bottom"/>
          </w:tcPr>
          <w:p w14:paraId="1950263E" w14:textId="77777777" w:rsidR="00BF3A3A" w:rsidRDefault="00BF3A3A">
            <w:pPr>
              <w:jc w:val="right"/>
              <w:rPr>
                <w:rFonts w:ascii="宋体"/>
              </w:rPr>
            </w:pPr>
          </w:p>
        </w:tc>
      </w:tr>
      <w:tr w:rsidR="00BF3A3A" w14:paraId="19502655" w14:textId="77777777">
        <w:trPr>
          <w:jc w:val="center"/>
        </w:trPr>
        <w:tc>
          <w:tcPr>
            <w:tcW w:w="0" w:type="auto"/>
            <w:gridSpan w:val="3"/>
            <w:shd w:val="clear" w:color="auto" w:fill="FFFFFF"/>
            <w:tcMar>
              <w:top w:w="40" w:type="dxa"/>
              <w:left w:w="20" w:type="dxa"/>
              <w:bottom w:w="40" w:type="dxa"/>
              <w:right w:w="20" w:type="dxa"/>
            </w:tcMar>
            <w:vAlign w:val="bottom"/>
          </w:tcPr>
          <w:p w14:paraId="19502640" w14:textId="77777777" w:rsidR="00BF3A3A" w:rsidRDefault="00A76802">
            <w:pPr>
              <w:textAlignment w:val="bottom"/>
            </w:pPr>
            <w:r>
              <w:rPr>
                <w:rFonts w:ascii="sans-serif" w:eastAsia="sans-serif" w:hAnsi="sans-serif" w:cs="sans-serif"/>
                <w:color w:val="000000"/>
                <w:sz w:val="15"/>
                <w:szCs w:val="15"/>
              </w:rPr>
              <w:t xml:space="preserve">Issuance of common stock from stock </w:t>
            </w:r>
            <w:r>
              <w:rPr>
                <w:rFonts w:ascii="sans-serif" w:eastAsia="sans-serif" w:hAnsi="sans-serif" w:cs="sans-serif"/>
                <w:color w:val="000000"/>
                <w:sz w:val="15"/>
                <w:szCs w:val="15"/>
              </w:rPr>
              <w:t>plans </w:t>
            </w:r>
          </w:p>
        </w:tc>
        <w:tc>
          <w:tcPr>
            <w:tcW w:w="0" w:type="auto"/>
            <w:gridSpan w:val="2"/>
            <w:shd w:val="clear" w:color="auto" w:fill="FFFFFF"/>
            <w:tcMar>
              <w:top w:w="40" w:type="dxa"/>
              <w:left w:w="20" w:type="dxa"/>
              <w:bottom w:w="40" w:type="dxa"/>
              <w:right w:w="0" w:type="dxa"/>
            </w:tcMar>
            <w:vAlign w:val="bottom"/>
          </w:tcPr>
          <w:p w14:paraId="19502641" w14:textId="77777777" w:rsidR="00BF3A3A" w:rsidRDefault="00A76802">
            <w:pPr>
              <w:jc w:val="right"/>
              <w:textAlignment w:val="bottom"/>
            </w:pPr>
            <w:r>
              <w:rPr>
                <w:rFonts w:ascii="sans-serif" w:eastAsia="sans-serif" w:hAnsi="sans-serif" w:cs="sans-serif"/>
                <w:color w:val="000000"/>
                <w:sz w:val="15"/>
                <w:szCs w:val="15"/>
              </w:rPr>
              <w:t>15 </w:t>
            </w:r>
          </w:p>
        </w:tc>
        <w:tc>
          <w:tcPr>
            <w:tcW w:w="0" w:type="auto"/>
            <w:shd w:val="clear" w:color="auto" w:fill="FFFFFF"/>
            <w:tcMar>
              <w:top w:w="40" w:type="dxa"/>
              <w:left w:w="0" w:type="dxa"/>
              <w:bottom w:w="40" w:type="dxa"/>
              <w:right w:w="20" w:type="dxa"/>
            </w:tcMar>
            <w:vAlign w:val="bottom"/>
          </w:tcPr>
          <w:p w14:paraId="19502642"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43"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44"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645"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46"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47" w14:textId="77777777" w:rsidR="00BF3A3A" w:rsidRDefault="00A76802">
            <w:pPr>
              <w:jc w:val="right"/>
              <w:textAlignment w:val="bottom"/>
            </w:pPr>
            <w:r>
              <w:rPr>
                <w:rFonts w:ascii="sans-serif" w:eastAsia="sans-serif" w:hAnsi="sans-serif" w:cs="sans-serif"/>
                <w:color w:val="000000"/>
                <w:sz w:val="15"/>
                <w:szCs w:val="15"/>
              </w:rPr>
              <w:t>205 </w:t>
            </w:r>
          </w:p>
        </w:tc>
        <w:tc>
          <w:tcPr>
            <w:tcW w:w="0" w:type="auto"/>
            <w:shd w:val="clear" w:color="auto" w:fill="FFFFFF"/>
            <w:tcMar>
              <w:top w:w="40" w:type="dxa"/>
              <w:left w:w="0" w:type="dxa"/>
              <w:bottom w:w="40" w:type="dxa"/>
              <w:right w:w="20" w:type="dxa"/>
            </w:tcMar>
            <w:vAlign w:val="bottom"/>
          </w:tcPr>
          <w:p w14:paraId="19502648"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49"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4A"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64B"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4C"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4D"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64E"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4F"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50"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651"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52"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53" w14:textId="77777777" w:rsidR="00BF3A3A" w:rsidRDefault="00A76802">
            <w:pPr>
              <w:jc w:val="right"/>
              <w:textAlignment w:val="bottom"/>
            </w:pPr>
            <w:r>
              <w:rPr>
                <w:rFonts w:ascii="sans-serif" w:eastAsia="sans-serif" w:hAnsi="sans-serif" w:cs="sans-serif"/>
                <w:color w:val="000000"/>
                <w:sz w:val="15"/>
                <w:szCs w:val="15"/>
              </w:rPr>
              <w:t>205 </w:t>
            </w:r>
          </w:p>
        </w:tc>
        <w:tc>
          <w:tcPr>
            <w:tcW w:w="0" w:type="auto"/>
            <w:shd w:val="clear" w:color="auto" w:fill="FFFFFF"/>
            <w:tcMar>
              <w:top w:w="40" w:type="dxa"/>
              <w:left w:w="0" w:type="dxa"/>
              <w:bottom w:w="40" w:type="dxa"/>
              <w:right w:w="20" w:type="dxa"/>
            </w:tcMar>
            <w:vAlign w:val="bottom"/>
          </w:tcPr>
          <w:p w14:paraId="19502654" w14:textId="77777777" w:rsidR="00BF3A3A" w:rsidRDefault="00BF3A3A">
            <w:pPr>
              <w:jc w:val="right"/>
              <w:rPr>
                <w:rFonts w:ascii="宋体"/>
              </w:rPr>
            </w:pPr>
          </w:p>
        </w:tc>
      </w:tr>
      <w:tr w:rsidR="00BF3A3A" w14:paraId="1950266B" w14:textId="77777777">
        <w:trPr>
          <w:jc w:val="center"/>
        </w:trPr>
        <w:tc>
          <w:tcPr>
            <w:tcW w:w="0" w:type="auto"/>
            <w:gridSpan w:val="3"/>
            <w:shd w:val="clear" w:color="auto" w:fill="E2EFD9"/>
            <w:tcMar>
              <w:top w:w="40" w:type="dxa"/>
              <w:left w:w="20" w:type="dxa"/>
              <w:bottom w:w="40" w:type="dxa"/>
              <w:right w:w="20" w:type="dxa"/>
            </w:tcMar>
            <w:vAlign w:val="bottom"/>
          </w:tcPr>
          <w:p w14:paraId="19502656" w14:textId="77777777" w:rsidR="00BF3A3A" w:rsidRDefault="00A76802">
            <w:pPr>
              <w:textAlignment w:val="bottom"/>
            </w:pPr>
            <w:r>
              <w:rPr>
                <w:rFonts w:ascii="sans-serif" w:eastAsia="sans-serif" w:hAnsi="sans-serif" w:cs="sans-serif"/>
                <w:color w:val="000000"/>
                <w:sz w:val="15"/>
                <w:szCs w:val="15"/>
              </w:rPr>
              <w:t xml:space="preserve">Tax withholding related to vesting of </w:t>
            </w:r>
            <w:r>
              <w:rPr>
                <w:rFonts w:ascii="sans-serif" w:eastAsia="sans-serif" w:hAnsi="sans-serif" w:cs="sans-serif"/>
                <w:color w:val="000000"/>
                <w:sz w:val="15"/>
                <w:szCs w:val="15"/>
              </w:rPr>
              <w:t>restricted stock units</w:t>
            </w:r>
          </w:p>
        </w:tc>
        <w:tc>
          <w:tcPr>
            <w:tcW w:w="0" w:type="auto"/>
            <w:gridSpan w:val="2"/>
            <w:shd w:val="clear" w:color="auto" w:fill="E2EFD9"/>
            <w:tcMar>
              <w:top w:w="40" w:type="dxa"/>
              <w:left w:w="20" w:type="dxa"/>
              <w:bottom w:w="40" w:type="dxa"/>
              <w:right w:w="0" w:type="dxa"/>
            </w:tcMar>
            <w:vAlign w:val="bottom"/>
          </w:tcPr>
          <w:p w14:paraId="19502657" w14:textId="77777777" w:rsidR="00BF3A3A" w:rsidRDefault="00A76802">
            <w:pPr>
              <w:jc w:val="right"/>
              <w:textAlignment w:val="bottom"/>
            </w:pPr>
            <w:r>
              <w:rPr>
                <w:rFonts w:ascii="sans-serif" w:eastAsia="sans-serif" w:hAnsi="sans-serif" w:cs="sans-serif"/>
                <w:color w:val="000000"/>
                <w:sz w:val="15"/>
                <w:szCs w:val="15"/>
              </w:rPr>
              <w:t>(4)</w:t>
            </w:r>
          </w:p>
        </w:tc>
        <w:tc>
          <w:tcPr>
            <w:tcW w:w="0" w:type="auto"/>
            <w:shd w:val="clear" w:color="auto" w:fill="E2EFD9"/>
            <w:tcMar>
              <w:top w:w="40" w:type="dxa"/>
              <w:left w:w="0" w:type="dxa"/>
              <w:bottom w:w="40" w:type="dxa"/>
              <w:right w:w="20" w:type="dxa"/>
            </w:tcMar>
            <w:vAlign w:val="bottom"/>
          </w:tcPr>
          <w:p w14:paraId="1950265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59"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65A"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65B"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5C"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65D" w14:textId="77777777" w:rsidR="00BF3A3A" w:rsidRDefault="00A76802">
            <w:pPr>
              <w:jc w:val="right"/>
              <w:textAlignment w:val="bottom"/>
            </w:pPr>
            <w:r>
              <w:rPr>
                <w:rFonts w:ascii="sans-serif" w:eastAsia="sans-serif" w:hAnsi="sans-serif" w:cs="sans-serif"/>
                <w:color w:val="000000"/>
                <w:sz w:val="15"/>
                <w:szCs w:val="15"/>
              </w:rPr>
              <w:t>(837)</w:t>
            </w:r>
          </w:p>
        </w:tc>
        <w:tc>
          <w:tcPr>
            <w:tcW w:w="0" w:type="auto"/>
            <w:shd w:val="clear" w:color="auto" w:fill="E2EFD9"/>
            <w:tcMar>
              <w:top w:w="40" w:type="dxa"/>
              <w:left w:w="0" w:type="dxa"/>
              <w:bottom w:w="40" w:type="dxa"/>
              <w:right w:w="20" w:type="dxa"/>
            </w:tcMar>
            <w:vAlign w:val="bottom"/>
          </w:tcPr>
          <w:p w14:paraId="1950265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5F"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660"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661"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62"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663"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66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65"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666"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66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68"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669" w14:textId="77777777" w:rsidR="00BF3A3A" w:rsidRDefault="00A76802">
            <w:pPr>
              <w:jc w:val="right"/>
              <w:textAlignment w:val="bottom"/>
            </w:pPr>
            <w:r>
              <w:rPr>
                <w:rFonts w:ascii="sans-serif" w:eastAsia="sans-serif" w:hAnsi="sans-serif" w:cs="sans-serif"/>
                <w:color w:val="000000"/>
                <w:sz w:val="15"/>
                <w:szCs w:val="15"/>
              </w:rPr>
              <w:t>(837)</w:t>
            </w:r>
          </w:p>
        </w:tc>
        <w:tc>
          <w:tcPr>
            <w:tcW w:w="0" w:type="auto"/>
            <w:shd w:val="clear" w:color="auto" w:fill="E2EFD9"/>
            <w:tcMar>
              <w:top w:w="40" w:type="dxa"/>
              <w:left w:w="0" w:type="dxa"/>
              <w:bottom w:w="40" w:type="dxa"/>
              <w:right w:w="20" w:type="dxa"/>
            </w:tcMar>
            <w:vAlign w:val="bottom"/>
          </w:tcPr>
          <w:p w14:paraId="1950266A" w14:textId="77777777" w:rsidR="00BF3A3A" w:rsidRDefault="00BF3A3A">
            <w:pPr>
              <w:jc w:val="right"/>
              <w:rPr>
                <w:rFonts w:ascii="宋体"/>
              </w:rPr>
            </w:pPr>
          </w:p>
        </w:tc>
      </w:tr>
      <w:tr w:rsidR="00BF3A3A" w14:paraId="19502681" w14:textId="77777777">
        <w:trPr>
          <w:jc w:val="center"/>
        </w:trPr>
        <w:tc>
          <w:tcPr>
            <w:tcW w:w="0" w:type="auto"/>
            <w:gridSpan w:val="3"/>
            <w:shd w:val="clear" w:color="auto" w:fill="FFFFFF"/>
            <w:tcMar>
              <w:top w:w="40" w:type="dxa"/>
              <w:left w:w="20" w:type="dxa"/>
              <w:bottom w:w="40" w:type="dxa"/>
              <w:right w:w="20" w:type="dxa"/>
            </w:tcMar>
            <w:vAlign w:val="bottom"/>
          </w:tcPr>
          <w:p w14:paraId="1950266C" w14:textId="77777777" w:rsidR="00BF3A3A" w:rsidRDefault="00A76802">
            <w:pPr>
              <w:textAlignment w:val="bottom"/>
            </w:pPr>
            <w:r>
              <w:rPr>
                <w:rFonts w:ascii="sans-serif" w:eastAsia="sans-serif" w:hAnsi="sans-serif" w:cs="sans-serif"/>
                <w:color w:val="000000"/>
                <w:sz w:val="15"/>
                <w:szCs w:val="15"/>
              </w:rPr>
              <w:t>Shares repurchased</w:t>
            </w:r>
          </w:p>
        </w:tc>
        <w:tc>
          <w:tcPr>
            <w:tcW w:w="0" w:type="auto"/>
            <w:gridSpan w:val="2"/>
            <w:shd w:val="clear" w:color="auto" w:fill="FFFFFF"/>
            <w:tcMar>
              <w:top w:w="40" w:type="dxa"/>
              <w:left w:w="20" w:type="dxa"/>
              <w:bottom w:w="40" w:type="dxa"/>
              <w:right w:w="0" w:type="dxa"/>
            </w:tcMar>
            <w:vAlign w:val="bottom"/>
          </w:tcPr>
          <w:p w14:paraId="1950266D" w14:textId="77777777" w:rsidR="00BF3A3A" w:rsidRDefault="00A76802">
            <w:pPr>
              <w:jc w:val="right"/>
              <w:textAlignment w:val="bottom"/>
            </w:pPr>
            <w:r>
              <w:rPr>
                <w:rFonts w:ascii="sans-serif" w:eastAsia="sans-serif" w:hAnsi="sans-serif" w:cs="sans-serif"/>
                <w:color w:val="000000"/>
                <w:sz w:val="15"/>
                <w:szCs w:val="15"/>
              </w:rPr>
              <w:t>(28)</w:t>
            </w:r>
          </w:p>
        </w:tc>
        <w:tc>
          <w:tcPr>
            <w:tcW w:w="0" w:type="auto"/>
            <w:shd w:val="clear" w:color="auto" w:fill="FFFFFF"/>
            <w:tcMar>
              <w:top w:w="40" w:type="dxa"/>
              <w:left w:w="0" w:type="dxa"/>
              <w:bottom w:w="40" w:type="dxa"/>
              <w:right w:w="20" w:type="dxa"/>
            </w:tcMar>
            <w:vAlign w:val="bottom"/>
          </w:tcPr>
          <w:p w14:paraId="1950266E"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6F"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70" w14:textId="77777777" w:rsidR="00BF3A3A" w:rsidRDefault="00A76802">
            <w:pPr>
              <w:jc w:val="right"/>
              <w:textAlignment w:val="bottom"/>
            </w:pPr>
            <w:r>
              <w:rPr>
                <w:rFonts w:ascii="sans-serif" w:eastAsia="sans-serif" w:hAnsi="sans-serif" w:cs="sans-serif"/>
                <w:color w:val="000000"/>
                <w:sz w:val="15"/>
                <w:szCs w:val="15"/>
              </w:rPr>
              <w:t>(1)</w:t>
            </w:r>
          </w:p>
        </w:tc>
        <w:tc>
          <w:tcPr>
            <w:tcW w:w="0" w:type="auto"/>
            <w:shd w:val="clear" w:color="auto" w:fill="FFFFFF"/>
            <w:tcMar>
              <w:top w:w="40" w:type="dxa"/>
              <w:left w:w="0" w:type="dxa"/>
              <w:bottom w:w="40" w:type="dxa"/>
              <w:right w:w="20" w:type="dxa"/>
            </w:tcMar>
            <w:vAlign w:val="bottom"/>
          </w:tcPr>
          <w:p w14:paraId="19502671"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72"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73" w14:textId="77777777" w:rsidR="00BF3A3A" w:rsidRDefault="00A76802">
            <w:pPr>
              <w:jc w:val="right"/>
              <w:textAlignment w:val="bottom"/>
            </w:pPr>
            <w:r>
              <w:rPr>
                <w:rFonts w:ascii="sans-serif" w:eastAsia="sans-serif" w:hAnsi="sans-serif" w:cs="sans-serif"/>
                <w:color w:val="000000"/>
                <w:sz w:val="15"/>
                <w:szCs w:val="15"/>
              </w:rPr>
              <w:t>(2)</w:t>
            </w:r>
          </w:p>
        </w:tc>
        <w:tc>
          <w:tcPr>
            <w:tcW w:w="0" w:type="auto"/>
            <w:shd w:val="clear" w:color="auto" w:fill="FFFFFF"/>
            <w:tcMar>
              <w:top w:w="40" w:type="dxa"/>
              <w:left w:w="0" w:type="dxa"/>
              <w:bottom w:w="40" w:type="dxa"/>
              <w:right w:w="20" w:type="dxa"/>
            </w:tcMar>
            <w:vAlign w:val="bottom"/>
          </w:tcPr>
          <w:p w14:paraId="19502674"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75"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76"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677"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78"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79"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67A"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7B"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7C" w14:textId="77777777" w:rsidR="00BF3A3A" w:rsidRDefault="00A76802">
            <w:pPr>
              <w:jc w:val="right"/>
              <w:textAlignment w:val="bottom"/>
            </w:pPr>
            <w:r>
              <w:rPr>
                <w:rFonts w:ascii="sans-serif" w:eastAsia="sans-serif" w:hAnsi="sans-serif" w:cs="sans-serif"/>
                <w:color w:val="000000"/>
                <w:sz w:val="15"/>
                <w:szCs w:val="15"/>
              </w:rPr>
              <w:t>(5,338)</w:t>
            </w:r>
          </w:p>
        </w:tc>
        <w:tc>
          <w:tcPr>
            <w:tcW w:w="0" w:type="auto"/>
            <w:shd w:val="clear" w:color="auto" w:fill="FFFFFF"/>
            <w:tcMar>
              <w:top w:w="40" w:type="dxa"/>
              <w:left w:w="0" w:type="dxa"/>
              <w:bottom w:w="40" w:type="dxa"/>
              <w:right w:w="20" w:type="dxa"/>
            </w:tcMar>
            <w:vAlign w:val="bottom"/>
          </w:tcPr>
          <w:p w14:paraId="1950267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7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7F" w14:textId="77777777" w:rsidR="00BF3A3A" w:rsidRDefault="00A76802">
            <w:pPr>
              <w:jc w:val="right"/>
              <w:textAlignment w:val="bottom"/>
            </w:pPr>
            <w:r>
              <w:rPr>
                <w:rFonts w:ascii="sans-serif" w:eastAsia="sans-serif" w:hAnsi="sans-serif" w:cs="sans-serif"/>
                <w:color w:val="000000"/>
                <w:sz w:val="15"/>
                <w:szCs w:val="15"/>
              </w:rPr>
              <w:t>(5,341)</w:t>
            </w:r>
          </w:p>
        </w:tc>
        <w:tc>
          <w:tcPr>
            <w:tcW w:w="0" w:type="auto"/>
            <w:shd w:val="clear" w:color="auto" w:fill="FFFFFF"/>
            <w:tcMar>
              <w:top w:w="40" w:type="dxa"/>
              <w:left w:w="0" w:type="dxa"/>
              <w:bottom w:w="40" w:type="dxa"/>
              <w:right w:w="20" w:type="dxa"/>
            </w:tcMar>
            <w:vAlign w:val="bottom"/>
          </w:tcPr>
          <w:p w14:paraId="19502680" w14:textId="77777777" w:rsidR="00BF3A3A" w:rsidRDefault="00BF3A3A">
            <w:pPr>
              <w:jc w:val="right"/>
              <w:rPr>
                <w:rFonts w:ascii="宋体"/>
              </w:rPr>
            </w:pPr>
          </w:p>
        </w:tc>
      </w:tr>
      <w:tr w:rsidR="00BF3A3A" w14:paraId="19502697" w14:textId="77777777">
        <w:trPr>
          <w:jc w:val="center"/>
        </w:trPr>
        <w:tc>
          <w:tcPr>
            <w:tcW w:w="0" w:type="auto"/>
            <w:gridSpan w:val="3"/>
            <w:shd w:val="clear" w:color="auto" w:fill="E2EFD9"/>
            <w:tcMar>
              <w:top w:w="40" w:type="dxa"/>
              <w:left w:w="20" w:type="dxa"/>
              <w:bottom w:w="40" w:type="dxa"/>
              <w:right w:w="20" w:type="dxa"/>
            </w:tcMar>
            <w:vAlign w:val="bottom"/>
          </w:tcPr>
          <w:p w14:paraId="19502682" w14:textId="77777777" w:rsidR="00BF3A3A" w:rsidRDefault="00A76802">
            <w:pPr>
              <w:textAlignment w:val="bottom"/>
            </w:pPr>
            <w:r>
              <w:rPr>
                <w:rFonts w:ascii="sans-serif" w:eastAsia="sans-serif" w:hAnsi="sans-serif" w:cs="sans-serif"/>
                <w:color w:val="000000"/>
                <w:sz w:val="15"/>
                <w:szCs w:val="15"/>
              </w:rPr>
              <w:t xml:space="preserve">Cash dividends declared and paid ($0.08 per </w:t>
            </w:r>
            <w:r>
              <w:rPr>
                <w:rFonts w:ascii="sans-serif" w:eastAsia="sans-serif" w:hAnsi="sans-serif" w:cs="sans-serif"/>
                <w:color w:val="000000"/>
                <w:sz w:val="15"/>
                <w:szCs w:val="15"/>
              </w:rPr>
              <w:t>common share)</w:t>
            </w:r>
          </w:p>
        </w:tc>
        <w:tc>
          <w:tcPr>
            <w:tcW w:w="0" w:type="auto"/>
            <w:gridSpan w:val="2"/>
            <w:shd w:val="clear" w:color="auto" w:fill="E2EFD9"/>
            <w:tcMar>
              <w:top w:w="40" w:type="dxa"/>
              <w:left w:w="20" w:type="dxa"/>
              <w:bottom w:w="40" w:type="dxa"/>
              <w:right w:w="0" w:type="dxa"/>
            </w:tcMar>
            <w:vAlign w:val="bottom"/>
          </w:tcPr>
          <w:p w14:paraId="19502683"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68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85"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686"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68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88"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689"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68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8B"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68C"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68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8E"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68F"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69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91"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692" w14:textId="77777777" w:rsidR="00BF3A3A" w:rsidRDefault="00A76802">
            <w:pPr>
              <w:jc w:val="right"/>
              <w:textAlignment w:val="bottom"/>
            </w:pPr>
            <w:r>
              <w:rPr>
                <w:rFonts w:ascii="sans-serif" w:eastAsia="sans-serif" w:hAnsi="sans-serif" w:cs="sans-serif"/>
                <w:color w:val="000000"/>
                <w:sz w:val="15"/>
                <w:szCs w:val="15"/>
              </w:rPr>
              <w:t>(200)</w:t>
            </w:r>
          </w:p>
        </w:tc>
        <w:tc>
          <w:tcPr>
            <w:tcW w:w="0" w:type="auto"/>
            <w:shd w:val="clear" w:color="auto" w:fill="E2EFD9"/>
            <w:tcMar>
              <w:top w:w="40" w:type="dxa"/>
              <w:left w:w="0" w:type="dxa"/>
              <w:bottom w:w="40" w:type="dxa"/>
              <w:right w:w="20" w:type="dxa"/>
            </w:tcMar>
            <w:vAlign w:val="bottom"/>
          </w:tcPr>
          <w:p w14:paraId="1950269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94"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695" w14:textId="77777777" w:rsidR="00BF3A3A" w:rsidRDefault="00A76802">
            <w:pPr>
              <w:jc w:val="right"/>
              <w:textAlignment w:val="bottom"/>
            </w:pPr>
            <w:r>
              <w:rPr>
                <w:rFonts w:ascii="sans-serif" w:eastAsia="sans-serif" w:hAnsi="sans-serif" w:cs="sans-serif"/>
                <w:color w:val="000000"/>
                <w:sz w:val="15"/>
                <w:szCs w:val="15"/>
              </w:rPr>
              <w:t>(200)</w:t>
            </w:r>
          </w:p>
        </w:tc>
        <w:tc>
          <w:tcPr>
            <w:tcW w:w="0" w:type="auto"/>
            <w:shd w:val="clear" w:color="auto" w:fill="E2EFD9"/>
            <w:tcMar>
              <w:top w:w="40" w:type="dxa"/>
              <w:left w:w="0" w:type="dxa"/>
              <w:bottom w:w="40" w:type="dxa"/>
              <w:right w:w="20" w:type="dxa"/>
            </w:tcMar>
            <w:vAlign w:val="bottom"/>
          </w:tcPr>
          <w:p w14:paraId="19502696" w14:textId="77777777" w:rsidR="00BF3A3A" w:rsidRDefault="00BF3A3A">
            <w:pPr>
              <w:jc w:val="right"/>
              <w:rPr>
                <w:rFonts w:ascii="宋体"/>
              </w:rPr>
            </w:pPr>
          </w:p>
        </w:tc>
      </w:tr>
      <w:tr w:rsidR="00BF3A3A" w14:paraId="195026A6" w14:textId="77777777">
        <w:trPr>
          <w:jc w:val="center"/>
          <w:hidden/>
        </w:trPr>
        <w:tc>
          <w:tcPr>
            <w:tcW w:w="0" w:type="auto"/>
            <w:gridSpan w:val="3"/>
            <w:shd w:val="clear" w:color="auto" w:fill="auto"/>
            <w:vAlign w:val="bottom"/>
          </w:tcPr>
          <w:p w14:paraId="19502698" w14:textId="77777777" w:rsidR="00BF3A3A" w:rsidRDefault="00BF3A3A">
            <w:pPr>
              <w:rPr>
                <w:rFonts w:ascii="宋体"/>
                <w:vanish/>
              </w:rPr>
            </w:pPr>
          </w:p>
        </w:tc>
        <w:tc>
          <w:tcPr>
            <w:tcW w:w="0" w:type="auto"/>
            <w:gridSpan w:val="3"/>
            <w:shd w:val="clear" w:color="auto" w:fill="auto"/>
            <w:vAlign w:val="bottom"/>
          </w:tcPr>
          <w:p w14:paraId="19502699" w14:textId="77777777" w:rsidR="00BF3A3A" w:rsidRDefault="00BF3A3A">
            <w:pPr>
              <w:rPr>
                <w:rFonts w:ascii="宋体"/>
                <w:vanish/>
              </w:rPr>
            </w:pPr>
          </w:p>
        </w:tc>
        <w:tc>
          <w:tcPr>
            <w:tcW w:w="0" w:type="auto"/>
            <w:gridSpan w:val="3"/>
            <w:shd w:val="clear" w:color="auto" w:fill="auto"/>
            <w:vAlign w:val="bottom"/>
          </w:tcPr>
          <w:p w14:paraId="1950269A" w14:textId="77777777" w:rsidR="00BF3A3A" w:rsidRDefault="00BF3A3A">
            <w:pPr>
              <w:rPr>
                <w:rFonts w:ascii="宋体"/>
                <w:vanish/>
              </w:rPr>
            </w:pPr>
          </w:p>
        </w:tc>
        <w:tc>
          <w:tcPr>
            <w:tcW w:w="0" w:type="auto"/>
            <w:gridSpan w:val="3"/>
            <w:shd w:val="clear" w:color="auto" w:fill="auto"/>
            <w:vAlign w:val="bottom"/>
          </w:tcPr>
          <w:p w14:paraId="1950269B" w14:textId="77777777" w:rsidR="00BF3A3A" w:rsidRDefault="00BF3A3A">
            <w:pPr>
              <w:rPr>
                <w:rFonts w:ascii="宋体"/>
                <w:vanish/>
              </w:rPr>
            </w:pPr>
          </w:p>
        </w:tc>
        <w:tc>
          <w:tcPr>
            <w:tcW w:w="0" w:type="auto"/>
            <w:gridSpan w:val="3"/>
            <w:shd w:val="clear" w:color="auto" w:fill="auto"/>
            <w:vAlign w:val="bottom"/>
          </w:tcPr>
          <w:p w14:paraId="1950269C" w14:textId="77777777" w:rsidR="00BF3A3A" w:rsidRDefault="00BF3A3A">
            <w:pPr>
              <w:rPr>
                <w:rFonts w:ascii="宋体"/>
                <w:vanish/>
              </w:rPr>
            </w:pPr>
          </w:p>
        </w:tc>
        <w:tc>
          <w:tcPr>
            <w:tcW w:w="0" w:type="auto"/>
            <w:gridSpan w:val="3"/>
            <w:shd w:val="clear" w:color="auto" w:fill="auto"/>
            <w:vAlign w:val="bottom"/>
          </w:tcPr>
          <w:p w14:paraId="1950269D" w14:textId="77777777" w:rsidR="00BF3A3A" w:rsidRDefault="00BF3A3A">
            <w:pPr>
              <w:rPr>
                <w:rFonts w:ascii="宋体"/>
                <w:vanish/>
              </w:rPr>
            </w:pPr>
          </w:p>
        </w:tc>
        <w:tc>
          <w:tcPr>
            <w:tcW w:w="0" w:type="auto"/>
            <w:gridSpan w:val="3"/>
            <w:shd w:val="clear" w:color="auto" w:fill="auto"/>
            <w:vAlign w:val="bottom"/>
          </w:tcPr>
          <w:p w14:paraId="1950269E" w14:textId="77777777" w:rsidR="00BF3A3A" w:rsidRDefault="00BF3A3A">
            <w:pPr>
              <w:rPr>
                <w:rFonts w:ascii="宋体"/>
                <w:vanish/>
              </w:rPr>
            </w:pPr>
          </w:p>
        </w:tc>
        <w:tc>
          <w:tcPr>
            <w:tcW w:w="0" w:type="auto"/>
            <w:gridSpan w:val="3"/>
            <w:shd w:val="clear" w:color="auto" w:fill="auto"/>
            <w:vAlign w:val="bottom"/>
          </w:tcPr>
          <w:p w14:paraId="1950269F" w14:textId="77777777" w:rsidR="00BF3A3A" w:rsidRDefault="00BF3A3A">
            <w:pPr>
              <w:rPr>
                <w:rFonts w:ascii="宋体"/>
                <w:vanish/>
              </w:rPr>
            </w:pPr>
          </w:p>
        </w:tc>
        <w:tc>
          <w:tcPr>
            <w:tcW w:w="0" w:type="auto"/>
            <w:gridSpan w:val="3"/>
            <w:shd w:val="clear" w:color="auto" w:fill="auto"/>
            <w:vAlign w:val="bottom"/>
          </w:tcPr>
          <w:p w14:paraId="195026A0" w14:textId="77777777" w:rsidR="00BF3A3A" w:rsidRDefault="00BF3A3A">
            <w:pPr>
              <w:rPr>
                <w:rFonts w:ascii="宋体"/>
                <w:vanish/>
              </w:rPr>
            </w:pPr>
          </w:p>
        </w:tc>
        <w:tc>
          <w:tcPr>
            <w:tcW w:w="0" w:type="auto"/>
            <w:gridSpan w:val="3"/>
            <w:shd w:val="clear" w:color="auto" w:fill="auto"/>
            <w:vAlign w:val="bottom"/>
          </w:tcPr>
          <w:p w14:paraId="195026A1" w14:textId="77777777" w:rsidR="00BF3A3A" w:rsidRDefault="00BF3A3A">
            <w:pPr>
              <w:rPr>
                <w:rFonts w:ascii="宋体"/>
                <w:vanish/>
              </w:rPr>
            </w:pPr>
          </w:p>
        </w:tc>
        <w:tc>
          <w:tcPr>
            <w:tcW w:w="0" w:type="auto"/>
            <w:gridSpan w:val="3"/>
            <w:shd w:val="clear" w:color="auto" w:fill="auto"/>
            <w:vAlign w:val="bottom"/>
          </w:tcPr>
          <w:p w14:paraId="195026A2" w14:textId="77777777" w:rsidR="00BF3A3A" w:rsidRDefault="00BF3A3A">
            <w:pPr>
              <w:rPr>
                <w:rFonts w:ascii="宋体"/>
                <w:vanish/>
              </w:rPr>
            </w:pPr>
          </w:p>
        </w:tc>
        <w:tc>
          <w:tcPr>
            <w:tcW w:w="0" w:type="auto"/>
            <w:gridSpan w:val="3"/>
            <w:shd w:val="clear" w:color="auto" w:fill="auto"/>
            <w:vAlign w:val="bottom"/>
          </w:tcPr>
          <w:p w14:paraId="195026A3" w14:textId="77777777" w:rsidR="00BF3A3A" w:rsidRDefault="00BF3A3A">
            <w:pPr>
              <w:rPr>
                <w:rFonts w:ascii="宋体"/>
                <w:vanish/>
              </w:rPr>
            </w:pPr>
          </w:p>
        </w:tc>
        <w:tc>
          <w:tcPr>
            <w:tcW w:w="0" w:type="auto"/>
            <w:gridSpan w:val="3"/>
            <w:shd w:val="clear" w:color="auto" w:fill="auto"/>
            <w:vAlign w:val="bottom"/>
          </w:tcPr>
          <w:p w14:paraId="195026A4" w14:textId="77777777" w:rsidR="00BF3A3A" w:rsidRDefault="00BF3A3A">
            <w:pPr>
              <w:rPr>
                <w:rFonts w:ascii="宋体"/>
                <w:vanish/>
              </w:rPr>
            </w:pPr>
          </w:p>
        </w:tc>
        <w:tc>
          <w:tcPr>
            <w:tcW w:w="0" w:type="auto"/>
            <w:gridSpan w:val="3"/>
            <w:shd w:val="clear" w:color="auto" w:fill="auto"/>
            <w:vAlign w:val="bottom"/>
          </w:tcPr>
          <w:p w14:paraId="195026A5" w14:textId="77777777" w:rsidR="00BF3A3A" w:rsidRDefault="00BF3A3A">
            <w:pPr>
              <w:rPr>
                <w:rFonts w:ascii="宋体"/>
                <w:vanish/>
              </w:rPr>
            </w:pPr>
          </w:p>
        </w:tc>
      </w:tr>
      <w:tr w:rsidR="00BF3A3A" w14:paraId="195026BC" w14:textId="77777777">
        <w:trPr>
          <w:jc w:val="center"/>
        </w:trPr>
        <w:tc>
          <w:tcPr>
            <w:tcW w:w="0" w:type="auto"/>
            <w:gridSpan w:val="3"/>
            <w:shd w:val="clear" w:color="auto" w:fill="FFFFFF"/>
            <w:tcMar>
              <w:top w:w="40" w:type="dxa"/>
              <w:left w:w="20" w:type="dxa"/>
              <w:bottom w:w="40" w:type="dxa"/>
              <w:right w:w="20" w:type="dxa"/>
            </w:tcMar>
            <w:vAlign w:val="bottom"/>
          </w:tcPr>
          <w:p w14:paraId="195026A7" w14:textId="77777777" w:rsidR="00BF3A3A" w:rsidRDefault="00A76802">
            <w:pPr>
              <w:textAlignment w:val="bottom"/>
            </w:pPr>
            <w:r>
              <w:rPr>
                <w:rFonts w:ascii="sans-serif" w:eastAsia="sans-serif" w:hAnsi="sans-serif" w:cs="sans-serif"/>
                <w:color w:val="000000"/>
                <w:sz w:val="15"/>
                <w:szCs w:val="15"/>
              </w:rPr>
              <w:t>Stock-based compensation</w:t>
            </w:r>
          </w:p>
        </w:tc>
        <w:tc>
          <w:tcPr>
            <w:tcW w:w="0" w:type="auto"/>
            <w:gridSpan w:val="2"/>
            <w:shd w:val="clear" w:color="auto" w:fill="FFFFFF"/>
            <w:tcMar>
              <w:top w:w="40" w:type="dxa"/>
              <w:left w:w="20" w:type="dxa"/>
              <w:bottom w:w="40" w:type="dxa"/>
              <w:right w:w="0" w:type="dxa"/>
            </w:tcMar>
            <w:vAlign w:val="bottom"/>
          </w:tcPr>
          <w:p w14:paraId="195026A8"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6A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AA"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AB"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6AC"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AD"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AE" w14:textId="77777777" w:rsidR="00BF3A3A" w:rsidRDefault="00A76802">
            <w:pPr>
              <w:jc w:val="right"/>
              <w:textAlignment w:val="bottom"/>
            </w:pPr>
            <w:r>
              <w:rPr>
                <w:rFonts w:ascii="sans-serif" w:eastAsia="sans-serif" w:hAnsi="sans-serif" w:cs="sans-serif"/>
                <w:color w:val="000000"/>
                <w:sz w:val="15"/>
                <w:szCs w:val="15"/>
              </w:rPr>
              <w:t>1,217 </w:t>
            </w:r>
          </w:p>
        </w:tc>
        <w:tc>
          <w:tcPr>
            <w:tcW w:w="0" w:type="auto"/>
            <w:shd w:val="clear" w:color="auto" w:fill="FFFFFF"/>
            <w:tcMar>
              <w:top w:w="40" w:type="dxa"/>
              <w:left w:w="0" w:type="dxa"/>
              <w:bottom w:w="40" w:type="dxa"/>
              <w:right w:w="20" w:type="dxa"/>
            </w:tcMar>
            <w:vAlign w:val="bottom"/>
          </w:tcPr>
          <w:p w14:paraId="195026AF"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B0"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B1"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6B2"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B3"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B4"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6B5"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B6"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B7"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6B8"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B9"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6BA" w14:textId="77777777" w:rsidR="00BF3A3A" w:rsidRDefault="00A76802">
            <w:pPr>
              <w:jc w:val="right"/>
              <w:textAlignment w:val="bottom"/>
            </w:pPr>
            <w:r>
              <w:rPr>
                <w:rFonts w:ascii="sans-serif" w:eastAsia="sans-serif" w:hAnsi="sans-serif" w:cs="sans-serif"/>
                <w:color w:val="000000"/>
                <w:sz w:val="15"/>
                <w:szCs w:val="15"/>
              </w:rPr>
              <w:t>1,217 </w:t>
            </w:r>
          </w:p>
        </w:tc>
        <w:tc>
          <w:tcPr>
            <w:tcW w:w="0" w:type="auto"/>
            <w:shd w:val="clear" w:color="auto" w:fill="FFFFFF"/>
            <w:tcMar>
              <w:top w:w="40" w:type="dxa"/>
              <w:left w:w="0" w:type="dxa"/>
              <w:bottom w:w="40" w:type="dxa"/>
              <w:right w:w="20" w:type="dxa"/>
            </w:tcMar>
            <w:vAlign w:val="bottom"/>
          </w:tcPr>
          <w:p w14:paraId="195026BB" w14:textId="77777777" w:rsidR="00BF3A3A" w:rsidRDefault="00BF3A3A">
            <w:pPr>
              <w:jc w:val="right"/>
              <w:rPr>
                <w:rFonts w:ascii="宋体"/>
              </w:rPr>
            </w:pPr>
          </w:p>
        </w:tc>
      </w:tr>
      <w:tr w:rsidR="00BF3A3A" w14:paraId="195026D8" w14:textId="77777777">
        <w:trPr>
          <w:jc w:val="center"/>
        </w:trPr>
        <w:tc>
          <w:tcPr>
            <w:tcW w:w="0" w:type="auto"/>
            <w:gridSpan w:val="3"/>
            <w:shd w:val="clear" w:color="auto" w:fill="E2EFD9"/>
            <w:tcMar>
              <w:top w:w="40" w:type="dxa"/>
              <w:left w:w="20" w:type="dxa"/>
              <w:bottom w:w="40" w:type="dxa"/>
              <w:right w:w="20" w:type="dxa"/>
            </w:tcMar>
            <w:vAlign w:val="bottom"/>
          </w:tcPr>
          <w:p w14:paraId="195026BD" w14:textId="77777777" w:rsidR="00BF3A3A" w:rsidRDefault="00A76802">
            <w:pPr>
              <w:textAlignment w:val="bottom"/>
            </w:pPr>
            <w:r>
              <w:rPr>
                <w:rFonts w:ascii="sans-serif" w:eastAsia="sans-serif" w:hAnsi="sans-serif" w:cs="sans-serif"/>
                <w:color w:val="000000"/>
                <w:sz w:val="15"/>
                <w:szCs w:val="15"/>
              </w:rPr>
              <w:t>Balances, July 31, 2022</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6BE" w14:textId="77777777" w:rsidR="00BF3A3A" w:rsidRDefault="00A76802">
            <w:pPr>
              <w:jc w:val="right"/>
              <w:textAlignment w:val="bottom"/>
            </w:pPr>
            <w:r>
              <w:rPr>
                <w:rFonts w:ascii="sans-serif" w:eastAsia="sans-serif" w:hAnsi="sans-serif" w:cs="sans-serif"/>
                <w:color w:val="000000"/>
                <w:sz w:val="15"/>
                <w:szCs w:val="15"/>
              </w:rPr>
              <w:t>2,489 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6B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C0"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6C1"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6C2" w14:textId="77777777" w:rsidR="00BF3A3A" w:rsidRDefault="00A76802">
            <w:pPr>
              <w:jc w:val="right"/>
              <w:textAlignment w:val="bottom"/>
            </w:pPr>
            <w:r>
              <w:rPr>
                <w:rFonts w:ascii="sans-serif" w:eastAsia="sans-serif" w:hAnsi="sans-serif" w:cs="sans-serif"/>
                <w:color w:val="000000"/>
                <w:sz w:val="15"/>
                <w:szCs w:val="15"/>
              </w:rPr>
              <w:t>2 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6C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C4"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6C5"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6C6" w14:textId="77777777" w:rsidR="00BF3A3A" w:rsidRDefault="00A76802">
            <w:pPr>
              <w:jc w:val="right"/>
              <w:textAlignment w:val="bottom"/>
            </w:pPr>
            <w:r>
              <w:rPr>
                <w:rFonts w:ascii="sans-serif" w:eastAsia="sans-serif" w:hAnsi="sans-serif" w:cs="sans-serif"/>
                <w:color w:val="000000"/>
                <w:sz w:val="15"/>
                <w:szCs w:val="15"/>
              </w:rPr>
              <w:t>10,968 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6C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C8"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6C9"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6CA" w14:textId="77777777" w:rsidR="00BF3A3A" w:rsidRDefault="00A76802">
            <w:pPr>
              <w:jc w:val="right"/>
              <w:textAlignment w:val="bottom"/>
            </w:pPr>
            <w:r>
              <w:rPr>
                <w:rFonts w:ascii="sans-serif" w:eastAsia="sans-serif" w:hAnsi="sans-serif" w:cs="sans-serif"/>
                <w:color w:val="000000"/>
                <w:sz w:val="15"/>
                <w:szCs w:val="15"/>
              </w:rPr>
              <w:t>—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6CB"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CC"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6CD"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6CE" w14:textId="77777777" w:rsidR="00BF3A3A" w:rsidRDefault="00A76802">
            <w:pPr>
              <w:jc w:val="right"/>
              <w:textAlignment w:val="bottom"/>
            </w:pPr>
            <w:r>
              <w:rPr>
                <w:rFonts w:ascii="sans-serif" w:eastAsia="sans-serif" w:hAnsi="sans-serif" w:cs="sans-serif"/>
                <w:color w:val="000000"/>
                <w:sz w:val="15"/>
                <w:szCs w:val="15"/>
              </w:rPr>
              <w:t>(90)</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6C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D0"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6D1"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6D2" w14:textId="77777777" w:rsidR="00BF3A3A" w:rsidRDefault="00A76802">
            <w:pPr>
              <w:jc w:val="right"/>
              <w:textAlignment w:val="bottom"/>
            </w:pPr>
            <w:r>
              <w:rPr>
                <w:rFonts w:ascii="sans-serif" w:eastAsia="sans-serif" w:hAnsi="sans-serif" w:cs="sans-serif"/>
                <w:color w:val="000000"/>
                <w:sz w:val="15"/>
                <w:szCs w:val="15"/>
              </w:rPr>
              <w:t>12,971 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6D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D4"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6D5"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6D6" w14:textId="77777777" w:rsidR="00BF3A3A" w:rsidRDefault="00A76802">
            <w:pPr>
              <w:jc w:val="right"/>
              <w:textAlignment w:val="bottom"/>
            </w:pPr>
            <w:r>
              <w:rPr>
                <w:rFonts w:ascii="sans-serif" w:eastAsia="sans-serif" w:hAnsi="sans-serif" w:cs="sans-serif"/>
                <w:color w:val="000000"/>
                <w:sz w:val="15"/>
                <w:szCs w:val="15"/>
              </w:rPr>
              <w:t>23,851 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6D7" w14:textId="77777777" w:rsidR="00BF3A3A" w:rsidRDefault="00BF3A3A">
            <w:pPr>
              <w:jc w:val="right"/>
              <w:rPr>
                <w:rFonts w:ascii="宋体"/>
              </w:rPr>
            </w:pPr>
          </w:p>
        </w:tc>
      </w:tr>
      <w:tr w:rsidR="00BF3A3A" w14:paraId="195026F4" w14:textId="77777777">
        <w:trPr>
          <w:jc w:val="center"/>
        </w:trPr>
        <w:tc>
          <w:tcPr>
            <w:tcW w:w="0" w:type="auto"/>
            <w:gridSpan w:val="3"/>
            <w:shd w:val="clear" w:color="auto" w:fill="FFFFFF"/>
            <w:tcMar>
              <w:top w:w="40" w:type="dxa"/>
              <w:left w:w="20" w:type="dxa"/>
              <w:bottom w:w="40" w:type="dxa"/>
              <w:right w:w="20" w:type="dxa"/>
            </w:tcMar>
            <w:vAlign w:val="bottom"/>
          </w:tcPr>
          <w:p w14:paraId="195026D9" w14:textId="77777777" w:rsidR="00BF3A3A" w:rsidRDefault="00A76802">
            <w:pPr>
              <w:textAlignment w:val="bottom"/>
            </w:pPr>
            <w:r>
              <w:rPr>
                <w:rFonts w:ascii="sans-serif" w:eastAsia="sans-serif" w:hAnsi="sans-serif" w:cs="sans-serif"/>
                <w:color w:val="000000"/>
                <w:sz w:val="15"/>
                <w:szCs w:val="15"/>
              </w:rPr>
              <w:t>Balances, January 31, 2021</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95026DA" w14:textId="77777777" w:rsidR="00BF3A3A" w:rsidRDefault="00A76802">
            <w:pPr>
              <w:jc w:val="right"/>
              <w:textAlignment w:val="bottom"/>
            </w:pPr>
            <w:r>
              <w:rPr>
                <w:rFonts w:ascii="sans-serif" w:eastAsia="sans-serif" w:hAnsi="sans-serif" w:cs="sans-serif"/>
                <w:color w:val="000000"/>
                <w:sz w:val="15"/>
                <w:szCs w:val="15"/>
              </w:rPr>
              <w:t>2,479 </w:t>
            </w:r>
          </w:p>
        </w:tc>
        <w:tc>
          <w:tcPr>
            <w:tcW w:w="0" w:type="auto"/>
            <w:tcBorders>
              <w:top w:val="double" w:sz="6" w:space="0" w:color="000000"/>
            </w:tcBorders>
            <w:shd w:val="clear" w:color="auto" w:fill="FFFFFF"/>
            <w:tcMar>
              <w:top w:w="40" w:type="dxa"/>
              <w:left w:w="0" w:type="dxa"/>
              <w:bottom w:w="40" w:type="dxa"/>
              <w:right w:w="20" w:type="dxa"/>
            </w:tcMar>
            <w:vAlign w:val="bottom"/>
          </w:tcPr>
          <w:p w14:paraId="195026DB"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DC" w14:textId="77777777" w:rsidR="00BF3A3A" w:rsidRDefault="00BF3A3A">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95026DD"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95026DE" w14:textId="77777777" w:rsidR="00BF3A3A" w:rsidRDefault="00A76802">
            <w:pPr>
              <w:jc w:val="right"/>
              <w:textAlignment w:val="bottom"/>
            </w:pPr>
            <w:r>
              <w:rPr>
                <w:rFonts w:ascii="sans-serif" w:eastAsia="sans-serif" w:hAnsi="sans-serif" w:cs="sans-serif"/>
                <w:color w:val="000000"/>
                <w:sz w:val="15"/>
                <w:szCs w:val="15"/>
              </w:rPr>
              <w:t>3 </w:t>
            </w:r>
          </w:p>
        </w:tc>
        <w:tc>
          <w:tcPr>
            <w:tcW w:w="0" w:type="auto"/>
            <w:tcBorders>
              <w:top w:val="double" w:sz="6" w:space="0" w:color="000000"/>
            </w:tcBorders>
            <w:shd w:val="clear" w:color="auto" w:fill="FFFFFF"/>
            <w:tcMar>
              <w:top w:w="40" w:type="dxa"/>
              <w:left w:w="0" w:type="dxa"/>
              <w:bottom w:w="40" w:type="dxa"/>
              <w:right w:w="20" w:type="dxa"/>
            </w:tcMar>
            <w:vAlign w:val="bottom"/>
          </w:tcPr>
          <w:p w14:paraId="195026DF"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E0" w14:textId="77777777" w:rsidR="00BF3A3A" w:rsidRDefault="00BF3A3A">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95026E1"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95026E2" w14:textId="77777777" w:rsidR="00BF3A3A" w:rsidRDefault="00A76802">
            <w:pPr>
              <w:jc w:val="right"/>
              <w:textAlignment w:val="bottom"/>
            </w:pPr>
            <w:r>
              <w:rPr>
                <w:rFonts w:ascii="sans-serif" w:eastAsia="sans-serif" w:hAnsi="sans-serif" w:cs="sans-serif"/>
                <w:color w:val="000000"/>
                <w:sz w:val="15"/>
                <w:szCs w:val="15"/>
              </w:rPr>
              <w:t>8,719 </w:t>
            </w:r>
          </w:p>
        </w:tc>
        <w:tc>
          <w:tcPr>
            <w:tcW w:w="0" w:type="auto"/>
            <w:tcBorders>
              <w:top w:val="double" w:sz="6" w:space="0" w:color="000000"/>
            </w:tcBorders>
            <w:shd w:val="clear" w:color="auto" w:fill="FFFFFF"/>
            <w:tcMar>
              <w:top w:w="40" w:type="dxa"/>
              <w:left w:w="0" w:type="dxa"/>
              <w:bottom w:w="40" w:type="dxa"/>
              <w:right w:w="20" w:type="dxa"/>
            </w:tcMar>
            <w:vAlign w:val="bottom"/>
          </w:tcPr>
          <w:p w14:paraId="195026E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E4" w14:textId="77777777" w:rsidR="00BF3A3A" w:rsidRDefault="00BF3A3A">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95026E5"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95026E6" w14:textId="77777777" w:rsidR="00BF3A3A" w:rsidRDefault="00A76802">
            <w:pPr>
              <w:jc w:val="right"/>
              <w:textAlignment w:val="bottom"/>
            </w:pPr>
            <w:r>
              <w:rPr>
                <w:rFonts w:ascii="sans-serif" w:eastAsia="sans-serif" w:hAnsi="sans-serif" w:cs="sans-serif"/>
                <w:color w:val="000000"/>
                <w:sz w:val="15"/>
                <w:szCs w:val="15"/>
              </w:rPr>
              <w:t>(10,756)</w:t>
            </w:r>
          </w:p>
        </w:tc>
        <w:tc>
          <w:tcPr>
            <w:tcW w:w="0" w:type="auto"/>
            <w:tcBorders>
              <w:top w:val="double" w:sz="6" w:space="0" w:color="000000"/>
            </w:tcBorders>
            <w:shd w:val="clear" w:color="auto" w:fill="FFFFFF"/>
            <w:tcMar>
              <w:top w:w="40" w:type="dxa"/>
              <w:left w:w="0" w:type="dxa"/>
              <w:bottom w:w="40" w:type="dxa"/>
              <w:right w:w="20" w:type="dxa"/>
            </w:tcMar>
            <w:vAlign w:val="bottom"/>
          </w:tcPr>
          <w:p w14:paraId="195026E7"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E8" w14:textId="77777777" w:rsidR="00BF3A3A" w:rsidRDefault="00BF3A3A">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95026E9"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95026EA" w14:textId="77777777" w:rsidR="00BF3A3A" w:rsidRDefault="00A76802">
            <w:pPr>
              <w:jc w:val="right"/>
              <w:textAlignment w:val="bottom"/>
            </w:pPr>
            <w:r>
              <w:rPr>
                <w:rFonts w:ascii="sans-serif" w:eastAsia="sans-serif" w:hAnsi="sans-serif" w:cs="sans-serif"/>
                <w:color w:val="000000"/>
                <w:sz w:val="15"/>
                <w:szCs w:val="15"/>
              </w:rPr>
              <w:t>19 </w:t>
            </w:r>
          </w:p>
        </w:tc>
        <w:tc>
          <w:tcPr>
            <w:tcW w:w="0" w:type="auto"/>
            <w:tcBorders>
              <w:top w:val="double" w:sz="6" w:space="0" w:color="000000"/>
            </w:tcBorders>
            <w:shd w:val="clear" w:color="auto" w:fill="FFFFFF"/>
            <w:tcMar>
              <w:top w:w="40" w:type="dxa"/>
              <w:left w:w="0" w:type="dxa"/>
              <w:bottom w:w="40" w:type="dxa"/>
              <w:right w:w="20" w:type="dxa"/>
            </w:tcMar>
            <w:vAlign w:val="bottom"/>
          </w:tcPr>
          <w:p w14:paraId="195026EB"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EC" w14:textId="77777777" w:rsidR="00BF3A3A" w:rsidRDefault="00BF3A3A">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95026ED"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95026EE" w14:textId="77777777" w:rsidR="00BF3A3A" w:rsidRDefault="00A76802">
            <w:pPr>
              <w:jc w:val="right"/>
              <w:textAlignment w:val="bottom"/>
            </w:pPr>
            <w:r>
              <w:rPr>
                <w:rFonts w:ascii="sans-serif" w:eastAsia="sans-serif" w:hAnsi="sans-serif" w:cs="sans-serif"/>
                <w:color w:val="000000"/>
                <w:sz w:val="15"/>
                <w:szCs w:val="15"/>
              </w:rPr>
              <w:t>18,908 </w:t>
            </w:r>
          </w:p>
        </w:tc>
        <w:tc>
          <w:tcPr>
            <w:tcW w:w="0" w:type="auto"/>
            <w:tcBorders>
              <w:top w:val="double" w:sz="6" w:space="0" w:color="000000"/>
            </w:tcBorders>
            <w:shd w:val="clear" w:color="auto" w:fill="FFFFFF"/>
            <w:tcMar>
              <w:top w:w="40" w:type="dxa"/>
              <w:left w:w="0" w:type="dxa"/>
              <w:bottom w:w="40" w:type="dxa"/>
              <w:right w:w="20" w:type="dxa"/>
            </w:tcMar>
            <w:vAlign w:val="bottom"/>
          </w:tcPr>
          <w:p w14:paraId="195026EF"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6F0" w14:textId="77777777" w:rsidR="00BF3A3A" w:rsidRDefault="00BF3A3A">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95026F1"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95026F2" w14:textId="77777777" w:rsidR="00BF3A3A" w:rsidRDefault="00A76802">
            <w:pPr>
              <w:jc w:val="right"/>
              <w:textAlignment w:val="bottom"/>
            </w:pPr>
            <w:r>
              <w:rPr>
                <w:rFonts w:ascii="sans-serif" w:eastAsia="sans-serif" w:hAnsi="sans-serif" w:cs="sans-serif"/>
                <w:color w:val="000000"/>
                <w:sz w:val="15"/>
                <w:szCs w:val="15"/>
              </w:rPr>
              <w:t>16,893 </w:t>
            </w:r>
          </w:p>
        </w:tc>
        <w:tc>
          <w:tcPr>
            <w:tcW w:w="0" w:type="auto"/>
            <w:tcBorders>
              <w:top w:val="double" w:sz="6" w:space="0" w:color="000000"/>
            </w:tcBorders>
            <w:shd w:val="clear" w:color="auto" w:fill="FFFFFF"/>
            <w:tcMar>
              <w:top w:w="40" w:type="dxa"/>
              <w:left w:w="0" w:type="dxa"/>
              <w:bottom w:w="40" w:type="dxa"/>
              <w:right w:w="20" w:type="dxa"/>
            </w:tcMar>
            <w:vAlign w:val="bottom"/>
          </w:tcPr>
          <w:p w14:paraId="195026F3" w14:textId="77777777" w:rsidR="00BF3A3A" w:rsidRDefault="00BF3A3A">
            <w:pPr>
              <w:jc w:val="right"/>
              <w:rPr>
                <w:rFonts w:ascii="宋体"/>
              </w:rPr>
            </w:pPr>
          </w:p>
        </w:tc>
      </w:tr>
      <w:tr w:rsidR="00BF3A3A" w14:paraId="1950270A" w14:textId="77777777">
        <w:trPr>
          <w:jc w:val="center"/>
        </w:trPr>
        <w:tc>
          <w:tcPr>
            <w:tcW w:w="0" w:type="auto"/>
            <w:gridSpan w:val="3"/>
            <w:shd w:val="clear" w:color="auto" w:fill="E2EFD9"/>
            <w:tcMar>
              <w:top w:w="40" w:type="dxa"/>
              <w:left w:w="20" w:type="dxa"/>
              <w:bottom w:w="40" w:type="dxa"/>
              <w:right w:w="20" w:type="dxa"/>
            </w:tcMar>
            <w:vAlign w:val="bottom"/>
          </w:tcPr>
          <w:p w14:paraId="195026F5" w14:textId="77777777" w:rsidR="00BF3A3A" w:rsidRDefault="00A76802">
            <w:pPr>
              <w:textAlignment w:val="bottom"/>
            </w:pPr>
            <w:r>
              <w:rPr>
                <w:rFonts w:ascii="sans-serif" w:eastAsia="sans-serif" w:hAnsi="sans-serif" w:cs="sans-serif"/>
                <w:color w:val="000000"/>
                <w:sz w:val="15"/>
                <w:szCs w:val="15"/>
              </w:rPr>
              <w:t>Net income</w:t>
            </w:r>
          </w:p>
        </w:tc>
        <w:tc>
          <w:tcPr>
            <w:tcW w:w="0" w:type="auto"/>
            <w:gridSpan w:val="2"/>
            <w:shd w:val="clear" w:color="auto" w:fill="E2EFD9"/>
            <w:tcMar>
              <w:top w:w="40" w:type="dxa"/>
              <w:left w:w="20" w:type="dxa"/>
              <w:bottom w:w="40" w:type="dxa"/>
              <w:right w:w="0" w:type="dxa"/>
            </w:tcMar>
            <w:vAlign w:val="bottom"/>
          </w:tcPr>
          <w:p w14:paraId="195026F6"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6F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F8"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6F9"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6F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FB"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6FC"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6F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6FE"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6FF"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70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701"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702"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70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704"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705" w14:textId="77777777" w:rsidR="00BF3A3A" w:rsidRDefault="00A76802">
            <w:pPr>
              <w:jc w:val="right"/>
              <w:textAlignment w:val="bottom"/>
            </w:pPr>
            <w:r>
              <w:rPr>
                <w:rFonts w:ascii="sans-serif" w:eastAsia="sans-serif" w:hAnsi="sans-serif" w:cs="sans-serif"/>
                <w:color w:val="000000"/>
                <w:sz w:val="15"/>
                <w:szCs w:val="15"/>
              </w:rPr>
              <w:t>4,285 </w:t>
            </w:r>
          </w:p>
        </w:tc>
        <w:tc>
          <w:tcPr>
            <w:tcW w:w="0" w:type="auto"/>
            <w:shd w:val="clear" w:color="auto" w:fill="E2EFD9"/>
            <w:tcMar>
              <w:top w:w="40" w:type="dxa"/>
              <w:left w:w="0" w:type="dxa"/>
              <w:bottom w:w="40" w:type="dxa"/>
              <w:right w:w="20" w:type="dxa"/>
            </w:tcMar>
            <w:vAlign w:val="bottom"/>
          </w:tcPr>
          <w:p w14:paraId="1950270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707"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708" w14:textId="77777777" w:rsidR="00BF3A3A" w:rsidRDefault="00A76802">
            <w:pPr>
              <w:jc w:val="right"/>
              <w:textAlignment w:val="bottom"/>
            </w:pPr>
            <w:r>
              <w:rPr>
                <w:rFonts w:ascii="sans-serif" w:eastAsia="sans-serif" w:hAnsi="sans-serif" w:cs="sans-serif"/>
                <w:color w:val="000000"/>
                <w:sz w:val="15"/>
                <w:szCs w:val="15"/>
              </w:rPr>
              <w:t>4,285 </w:t>
            </w:r>
          </w:p>
        </w:tc>
        <w:tc>
          <w:tcPr>
            <w:tcW w:w="0" w:type="auto"/>
            <w:shd w:val="clear" w:color="auto" w:fill="E2EFD9"/>
            <w:tcMar>
              <w:top w:w="40" w:type="dxa"/>
              <w:left w:w="0" w:type="dxa"/>
              <w:bottom w:w="40" w:type="dxa"/>
              <w:right w:w="20" w:type="dxa"/>
            </w:tcMar>
            <w:vAlign w:val="bottom"/>
          </w:tcPr>
          <w:p w14:paraId="19502709" w14:textId="77777777" w:rsidR="00BF3A3A" w:rsidRDefault="00BF3A3A">
            <w:pPr>
              <w:jc w:val="right"/>
              <w:rPr>
                <w:rFonts w:ascii="宋体"/>
              </w:rPr>
            </w:pPr>
          </w:p>
        </w:tc>
      </w:tr>
      <w:tr w:rsidR="00BF3A3A" w14:paraId="19502720" w14:textId="77777777">
        <w:trPr>
          <w:jc w:val="center"/>
        </w:trPr>
        <w:tc>
          <w:tcPr>
            <w:tcW w:w="0" w:type="auto"/>
            <w:gridSpan w:val="3"/>
            <w:shd w:val="clear" w:color="auto" w:fill="FFFFFF"/>
            <w:tcMar>
              <w:top w:w="40" w:type="dxa"/>
              <w:left w:w="20" w:type="dxa"/>
              <w:bottom w:w="40" w:type="dxa"/>
              <w:right w:w="20" w:type="dxa"/>
            </w:tcMar>
            <w:vAlign w:val="bottom"/>
          </w:tcPr>
          <w:p w14:paraId="1950270B" w14:textId="77777777" w:rsidR="00BF3A3A" w:rsidRDefault="00A76802">
            <w:pPr>
              <w:textAlignment w:val="bottom"/>
            </w:pPr>
            <w:r>
              <w:rPr>
                <w:rFonts w:ascii="sans-serif" w:eastAsia="sans-serif" w:hAnsi="sans-serif" w:cs="sans-serif"/>
                <w:color w:val="000000"/>
                <w:sz w:val="15"/>
                <w:szCs w:val="15"/>
              </w:rPr>
              <w:t>Other comprehensive loss</w:t>
            </w:r>
          </w:p>
        </w:tc>
        <w:tc>
          <w:tcPr>
            <w:tcW w:w="0" w:type="auto"/>
            <w:gridSpan w:val="2"/>
            <w:shd w:val="clear" w:color="auto" w:fill="FFFFFF"/>
            <w:tcMar>
              <w:top w:w="40" w:type="dxa"/>
              <w:left w:w="20" w:type="dxa"/>
              <w:bottom w:w="40" w:type="dxa"/>
              <w:right w:w="0" w:type="dxa"/>
            </w:tcMar>
            <w:vAlign w:val="bottom"/>
          </w:tcPr>
          <w:p w14:paraId="1950270C"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70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70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70F"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71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711"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712"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71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714"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715"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71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717"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718" w14:textId="77777777" w:rsidR="00BF3A3A" w:rsidRDefault="00A76802">
            <w:pPr>
              <w:jc w:val="right"/>
              <w:textAlignment w:val="bottom"/>
            </w:pPr>
            <w:r>
              <w:rPr>
                <w:rFonts w:ascii="sans-serif" w:eastAsia="sans-serif" w:hAnsi="sans-serif" w:cs="sans-serif"/>
                <w:color w:val="000000"/>
                <w:sz w:val="15"/>
                <w:szCs w:val="15"/>
              </w:rPr>
              <w:t>(11)</w:t>
            </w:r>
          </w:p>
        </w:tc>
        <w:tc>
          <w:tcPr>
            <w:tcW w:w="0" w:type="auto"/>
            <w:shd w:val="clear" w:color="auto" w:fill="FFFFFF"/>
            <w:tcMar>
              <w:top w:w="40" w:type="dxa"/>
              <w:left w:w="0" w:type="dxa"/>
              <w:bottom w:w="40" w:type="dxa"/>
              <w:right w:w="20" w:type="dxa"/>
            </w:tcMar>
            <w:vAlign w:val="bottom"/>
          </w:tcPr>
          <w:p w14:paraId="1950271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71A"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71B"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71C"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71D"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71E" w14:textId="77777777" w:rsidR="00BF3A3A" w:rsidRDefault="00A76802">
            <w:pPr>
              <w:jc w:val="right"/>
              <w:textAlignment w:val="bottom"/>
            </w:pPr>
            <w:r>
              <w:rPr>
                <w:rFonts w:ascii="sans-serif" w:eastAsia="sans-serif" w:hAnsi="sans-serif" w:cs="sans-serif"/>
                <w:color w:val="000000"/>
                <w:sz w:val="15"/>
                <w:szCs w:val="15"/>
              </w:rPr>
              <w:t>(11)</w:t>
            </w:r>
          </w:p>
        </w:tc>
        <w:tc>
          <w:tcPr>
            <w:tcW w:w="0" w:type="auto"/>
            <w:shd w:val="clear" w:color="auto" w:fill="FFFFFF"/>
            <w:tcMar>
              <w:top w:w="40" w:type="dxa"/>
              <w:left w:w="0" w:type="dxa"/>
              <w:bottom w:w="40" w:type="dxa"/>
              <w:right w:w="20" w:type="dxa"/>
            </w:tcMar>
            <w:vAlign w:val="bottom"/>
          </w:tcPr>
          <w:p w14:paraId="1950271F" w14:textId="77777777" w:rsidR="00BF3A3A" w:rsidRDefault="00BF3A3A">
            <w:pPr>
              <w:jc w:val="right"/>
              <w:rPr>
                <w:rFonts w:ascii="宋体"/>
              </w:rPr>
            </w:pPr>
          </w:p>
        </w:tc>
      </w:tr>
      <w:tr w:rsidR="00BF3A3A" w14:paraId="19502736" w14:textId="77777777">
        <w:trPr>
          <w:jc w:val="center"/>
        </w:trPr>
        <w:tc>
          <w:tcPr>
            <w:tcW w:w="0" w:type="auto"/>
            <w:gridSpan w:val="3"/>
            <w:shd w:val="clear" w:color="auto" w:fill="E2EFD9"/>
            <w:tcMar>
              <w:top w:w="40" w:type="dxa"/>
              <w:left w:w="20" w:type="dxa"/>
              <w:bottom w:w="40" w:type="dxa"/>
              <w:right w:w="20" w:type="dxa"/>
            </w:tcMar>
            <w:vAlign w:val="bottom"/>
          </w:tcPr>
          <w:p w14:paraId="19502721" w14:textId="77777777" w:rsidR="00BF3A3A" w:rsidRDefault="00A76802">
            <w:pPr>
              <w:textAlignment w:val="bottom"/>
            </w:pPr>
            <w:r>
              <w:rPr>
                <w:rFonts w:ascii="sans-serif" w:eastAsia="sans-serif" w:hAnsi="sans-serif" w:cs="sans-serif"/>
                <w:color w:val="000000"/>
                <w:sz w:val="15"/>
                <w:szCs w:val="15"/>
              </w:rPr>
              <w:t>Issuance of common stock from stock plans </w:t>
            </w:r>
          </w:p>
        </w:tc>
        <w:tc>
          <w:tcPr>
            <w:tcW w:w="0" w:type="auto"/>
            <w:gridSpan w:val="2"/>
            <w:shd w:val="clear" w:color="auto" w:fill="E2EFD9"/>
            <w:tcMar>
              <w:top w:w="40" w:type="dxa"/>
              <w:left w:w="20" w:type="dxa"/>
              <w:bottom w:w="40" w:type="dxa"/>
              <w:right w:w="0" w:type="dxa"/>
            </w:tcMar>
            <w:vAlign w:val="bottom"/>
          </w:tcPr>
          <w:p w14:paraId="19502722" w14:textId="77777777" w:rsidR="00BF3A3A" w:rsidRDefault="00A76802">
            <w:pPr>
              <w:jc w:val="right"/>
              <w:textAlignment w:val="bottom"/>
            </w:pPr>
            <w:r>
              <w:rPr>
                <w:rFonts w:ascii="sans-serif" w:eastAsia="sans-serif" w:hAnsi="sans-serif" w:cs="sans-serif"/>
                <w:color w:val="000000"/>
                <w:sz w:val="15"/>
                <w:szCs w:val="15"/>
              </w:rPr>
              <w:t>22 </w:t>
            </w:r>
          </w:p>
        </w:tc>
        <w:tc>
          <w:tcPr>
            <w:tcW w:w="0" w:type="auto"/>
            <w:shd w:val="clear" w:color="auto" w:fill="E2EFD9"/>
            <w:tcMar>
              <w:top w:w="40" w:type="dxa"/>
              <w:left w:w="0" w:type="dxa"/>
              <w:bottom w:w="40" w:type="dxa"/>
              <w:right w:w="20" w:type="dxa"/>
            </w:tcMar>
            <w:vAlign w:val="bottom"/>
          </w:tcPr>
          <w:p w14:paraId="1950272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724"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725"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72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727"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728" w14:textId="77777777" w:rsidR="00BF3A3A" w:rsidRDefault="00A76802">
            <w:pPr>
              <w:jc w:val="right"/>
              <w:textAlignment w:val="bottom"/>
            </w:pPr>
            <w:r>
              <w:rPr>
                <w:rFonts w:ascii="sans-serif" w:eastAsia="sans-serif" w:hAnsi="sans-serif" w:cs="sans-serif"/>
                <w:color w:val="000000"/>
                <w:sz w:val="15"/>
                <w:szCs w:val="15"/>
              </w:rPr>
              <w:t>128 </w:t>
            </w:r>
          </w:p>
        </w:tc>
        <w:tc>
          <w:tcPr>
            <w:tcW w:w="0" w:type="auto"/>
            <w:shd w:val="clear" w:color="auto" w:fill="E2EFD9"/>
            <w:tcMar>
              <w:top w:w="40" w:type="dxa"/>
              <w:left w:w="0" w:type="dxa"/>
              <w:bottom w:w="40" w:type="dxa"/>
              <w:right w:w="20" w:type="dxa"/>
            </w:tcMar>
            <w:vAlign w:val="bottom"/>
          </w:tcPr>
          <w:p w14:paraId="1950272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72A"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72B"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72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72D"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72E"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72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730"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731"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73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733"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734" w14:textId="77777777" w:rsidR="00BF3A3A" w:rsidRDefault="00A76802">
            <w:pPr>
              <w:jc w:val="right"/>
              <w:textAlignment w:val="bottom"/>
            </w:pPr>
            <w:r>
              <w:rPr>
                <w:rFonts w:ascii="sans-serif" w:eastAsia="sans-serif" w:hAnsi="sans-serif" w:cs="sans-serif"/>
                <w:color w:val="000000"/>
                <w:sz w:val="15"/>
                <w:szCs w:val="15"/>
              </w:rPr>
              <w:t>128 </w:t>
            </w:r>
          </w:p>
        </w:tc>
        <w:tc>
          <w:tcPr>
            <w:tcW w:w="0" w:type="auto"/>
            <w:shd w:val="clear" w:color="auto" w:fill="E2EFD9"/>
            <w:tcMar>
              <w:top w:w="40" w:type="dxa"/>
              <w:left w:w="0" w:type="dxa"/>
              <w:bottom w:w="40" w:type="dxa"/>
              <w:right w:w="20" w:type="dxa"/>
            </w:tcMar>
            <w:vAlign w:val="bottom"/>
          </w:tcPr>
          <w:p w14:paraId="19502735" w14:textId="77777777" w:rsidR="00BF3A3A" w:rsidRDefault="00BF3A3A">
            <w:pPr>
              <w:jc w:val="right"/>
              <w:rPr>
                <w:rFonts w:ascii="宋体"/>
              </w:rPr>
            </w:pPr>
          </w:p>
        </w:tc>
      </w:tr>
      <w:tr w:rsidR="00BF3A3A" w14:paraId="1950274C" w14:textId="77777777">
        <w:trPr>
          <w:jc w:val="center"/>
        </w:trPr>
        <w:tc>
          <w:tcPr>
            <w:tcW w:w="0" w:type="auto"/>
            <w:gridSpan w:val="3"/>
            <w:shd w:val="clear" w:color="auto" w:fill="FFFFFF"/>
            <w:tcMar>
              <w:top w:w="40" w:type="dxa"/>
              <w:left w:w="20" w:type="dxa"/>
              <w:bottom w:w="40" w:type="dxa"/>
              <w:right w:w="20" w:type="dxa"/>
            </w:tcMar>
            <w:vAlign w:val="bottom"/>
          </w:tcPr>
          <w:p w14:paraId="19502737" w14:textId="77777777" w:rsidR="00BF3A3A" w:rsidRDefault="00A76802">
            <w:pPr>
              <w:textAlignment w:val="bottom"/>
            </w:pPr>
            <w:r>
              <w:rPr>
                <w:rFonts w:ascii="sans-serif" w:eastAsia="sans-serif" w:hAnsi="sans-serif" w:cs="sans-serif"/>
                <w:color w:val="000000"/>
                <w:sz w:val="15"/>
                <w:szCs w:val="15"/>
              </w:rPr>
              <w:t>Tax withholding related to vesting of restricted stoc</w:t>
            </w:r>
            <w:r>
              <w:rPr>
                <w:rFonts w:ascii="sans-serif" w:eastAsia="sans-serif" w:hAnsi="sans-serif" w:cs="sans-serif"/>
                <w:color w:val="000000"/>
                <w:sz w:val="15"/>
                <w:szCs w:val="15"/>
              </w:rPr>
              <w:t>k units</w:t>
            </w:r>
          </w:p>
        </w:tc>
        <w:tc>
          <w:tcPr>
            <w:tcW w:w="0" w:type="auto"/>
            <w:gridSpan w:val="2"/>
            <w:shd w:val="clear" w:color="auto" w:fill="FFFFFF"/>
            <w:tcMar>
              <w:top w:w="40" w:type="dxa"/>
              <w:left w:w="20" w:type="dxa"/>
              <w:bottom w:w="40" w:type="dxa"/>
              <w:right w:w="0" w:type="dxa"/>
            </w:tcMar>
            <w:vAlign w:val="bottom"/>
          </w:tcPr>
          <w:p w14:paraId="19502738" w14:textId="77777777" w:rsidR="00BF3A3A" w:rsidRDefault="00A76802">
            <w:pPr>
              <w:jc w:val="right"/>
              <w:textAlignment w:val="bottom"/>
            </w:pPr>
            <w:r>
              <w:rPr>
                <w:rFonts w:ascii="sans-serif" w:eastAsia="sans-serif" w:hAnsi="sans-serif" w:cs="sans-serif"/>
                <w:color w:val="000000"/>
                <w:sz w:val="15"/>
                <w:szCs w:val="15"/>
              </w:rPr>
              <w:t>(5)</w:t>
            </w:r>
          </w:p>
        </w:tc>
        <w:tc>
          <w:tcPr>
            <w:tcW w:w="0" w:type="auto"/>
            <w:shd w:val="clear" w:color="auto" w:fill="FFFFFF"/>
            <w:tcMar>
              <w:top w:w="40" w:type="dxa"/>
              <w:left w:w="0" w:type="dxa"/>
              <w:bottom w:w="40" w:type="dxa"/>
              <w:right w:w="20" w:type="dxa"/>
            </w:tcMar>
            <w:vAlign w:val="bottom"/>
          </w:tcPr>
          <w:p w14:paraId="1950273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73A"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73B"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73C"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73D"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73E"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73F"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740"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741" w14:textId="77777777" w:rsidR="00BF3A3A" w:rsidRDefault="00A76802">
            <w:pPr>
              <w:jc w:val="right"/>
              <w:textAlignment w:val="bottom"/>
            </w:pPr>
            <w:r>
              <w:rPr>
                <w:rFonts w:ascii="sans-serif" w:eastAsia="sans-serif" w:hAnsi="sans-serif" w:cs="sans-serif"/>
                <w:color w:val="000000"/>
                <w:sz w:val="15"/>
                <w:szCs w:val="15"/>
              </w:rPr>
              <w:t>(848)</w:t>
            </w:r>
          </w:p>
        </w:tc>
        <w:tc>
          <w:tcPr>
            <w:tcW w:w="0" w:type="auto"/>
            <w:shd w:val="clear" w:color="auto" w:fill="FFFFFF"/>
            <w:tcMar>
              <w:top w:w="40" w:type="dxa"/>
              <w:left w:w="0" w:type="dxa"/>
              <w:bottom w:w="40" w:type="dxa"/>
              <w:right w:w="20" w:type="dxa"/>
            </w:tcMar>
            <w:vAlign w:val="bottom"/>
          </w:tcPr>
          <w:p w14:paraId="19502742"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743"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744"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745"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746"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747"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748"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749"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74A" w14:textId="77777777" w:rsidR="00BF3A3A" w:rsidRDefault="00A76802">
            <w:pPr>
              <w:jc w:val="right"/>
              <w:textAlignment w:val="bottom"/>
            </w:pPr>
            <w:r>
              <w:rPr>
                <w:rFonts w:ascii="sans-serif" w:eastAsia="sans-serif" w:hAnsi="sans-serif" w:cs="sans-serif"/>
                <w:color w:val="000000"/>
                <w:sz w:val="15"/>
                <w:szCs w:val="15"/>
              </w:rPr>
              <w:t>(848)</w:t>
            </w:r>
          </w:p>
        </w:tc>
        <w:tc>
          <w:tcPr>
            <w:tcW w:w="0" w:type="auto"/>
            <w:shd w:val="clear" w:color="auto" w:fill="FFFFFF"/>
            <w:tcMar>
              <w:top w:w="40" w:type="dxa"/>
              <w:left w:w="0" w:type="dxa"/>
              <w:bottom w:w="40" w:type="dxa"/>
              <w:right w:w="20" w:type="dxa"/>
            </w:tcMar>
            <w:vAlign w:val="bottom"/>
          </w:tcPr>
          <w:p w14:paraId="1950274B" w14:textId="77777777" w:rsidR="00BF3A3A" w:rsidRDefault="00BF3A3A">
            <w:pPr>
              <w:jc w:val="right"/>
              <w:rPr>
                <w:rFonts w:ascii="宋体"/>
              </w:rPr>
            </w:pPr>
          </w:p>
        </w:tc>
      </w:tr>
      <w:tr w:rsidR="00BF3A3A" w14:paraId="1950275B" w14:textId="77777777">
        <w:trPr>
          <w:jc w:val="center"/>
          <w:hidden/>
        </w:trPr>
        <w:tc>
          <w:tcPr>
            <w:tcW w:w="0" w:type="auto"/>
            <w:gridSpan w:val="3"/>
            <w:shd w:val="clear" w:color="auto" w:fill="auto"/>
            <w:vAlign w:val="bottom"/>
          </w:tcPr>
          <w:p w14:paraId="1950274D" w14:textId="77777777" w:rsidR="00BF3A3A" w:rsidRDefault="00BF3A3A">
            <w:pPr>
              <w:rPr>
                <w:rFonts w:ascii="宋体"/>
                <w:vanish/>
              </w:rPr>
            </w:pPr>
          </w:p>
        </w:tc>
        <w:tc>
          <w:tcPr>
            <w:tcW w:w="0" w:type="auto"/>
            <w:gridSpan w:val="3"/>
            <w:shd w:val="clear" w:color="auto" w:fill="auto"/>
            <w:vAlign w:val="bottom"/>
          </w:tcPr>
          <w:p w14:paraId="1950274E" w14:textId="77777777" w:rsidR="00BF3A3A" w:rsidRDefault="00BF3A3A">
            <w:pPr>
              <w:rPr>
                <w:rFonts w:ascii="宋体"/>
                <w:vanish/>
              </w:rPr>
            </w:pPr>
          </w:p>
        </w:tc>
        <w:tc>
          <w:tcPr>
            <w:tcW w:w="0" w:type="auto"/>
            <w:gridSpan w:val="3"/>
            <w:shd w:val="clear" w:color="auto" w:fill="auto"/>
            <w:vAlign w:val="bottom"/>
          </w:tcPr>
          <w:p w14:paraId="1950274F" w14:textId="77777777" w:rsidR="00BF3A3A" w:rsidRDefault="00BF3A3A">
            <w:pPr>
              <w:rPr>
                <w:rFonts w:ascii="宋体"/>
                <w:vanish/>
              </w:rPr>
            </w:pPr>
          </w:p>
        </w:tc>
        <w:tc>
          <w:tcPr>
            <w:tcW w:w="0" w:type="auto"/>
            <w:gridSpan w:val="3"/>
            <w:shd w:val="clear" w:color="auto" w:fill="auto"/>
            <w:vAlign w:val="bottom"/>
          </w:tcPr>
          <w:p w14:paraId="19502750" w14:textId="77777777" w:rsidR="00BF3A3A" w:rsidRDefault="00BF3A3A">
            <w:pPr>
              <w:rPr>
                <w:rFonts w:ascii="宋体"/>
                <w:vanish/>
              </w:rPr>
            </w:pPr>
          </w:p>
        </w:tc>
        <w:tc>
          <w:tcPr>
            <w:tcW w:w="0" w:type="auto"/>
            <w:gridSpan w:val="3"/>
            <w:shd w:val="clear" w:color="auto" w:fill="auto"/>
            <w:vAlign w:val="bottom"/>
          </w:tcPr>
          <w:p w14:paraId="19502751" w14:textId="77777777" w:rsidR="00BF3A3A" w:rsidRDefault="00BF3A3A">
            <w:pPr>
              <w:rPr>
                <w:rFonts w:ascii="宋体"/>
                <w:vanish/>
              </w:rPr>
            </w:pPr>
          </w:p>
        </w:tc>
        <w:tc>
          <w:tcPr>
            <w:tcW w:w="0" w:type="auto"/>
            <w:gridSpan w:val="3"/>
            <w:shd w:val="clear" w:color="auto" w:fill="auto"/>
            <w:vAlign w:val="bottom"/>
          </w:tcPr>
          <w:p w14:paraId="19502752" w14:textId="77777777" w:rsidR="00BF3A3A" w:rsidRDefault="00BF3A3A">
            <w:pPr>
              <w:rPr>
                <w:rFonts w:ascii="宋体"/>
                <w:vanish/>
              </w:rPr>
            </w:pPr>
          </w:p>
        </w:tc>
        <w:tc>
          <w:tcPr>
            <w:tcW w:w="0" w:type="auto"/>
            <w:gridSpan w:val="3"/>
            <w:shd w:val="clear" w:color="auto" w:fill="auto"/>
            <w:vAlign w:val="bottom"/>
          </w:tcPr>
          <w:p w14:paraId="19502753" w14:textId="77777777" w:rsidR="00BF3A3A" w:rsidRDefault="00BF3A3A">
            <w:pPr>
              <w:rPr>
                <w:rFonts w:ascii="宋体"/>
                <w:vanish/>
              </w:rPr>
            </w:pPr>
          </w:p>
        </w:tc>
        <w:tc>
          <w:tcPr>
            <w:tcW w:w="0" w:type="auto"/>
            <w:gridSpan w:val="3"/>
            <w:shd w:val="clear" w:color="auto" w:fill="auto"/>
            <w:vAlign w:val="bottom"/>
          </w:tcPr>
          <w:p w14:paraId="19502754" w14:textId="77777777" w:rsidR="00BF3A3A" w:rsidRDefault="00BF3A3A">
            <w:pPr>
              <w:rPr>
                <w:rFonts w:ascii="宋体"/>
                <w:vanish/>
              </w:rPr>
            </w:pPr>
          </w:p>
        </w:tc>
        <w:tc>
          <w:tcPr>
            <w:tcW w:w="0" w:type="auto"/>
            <w:gridSpan w:val="3"/>
            <w:shd w:val="clear" w:color="auto" w:fill="auto"/>
            <w:vAlign w:val="bottom"/>
          </w:tcPr>
          <w:p w14:paraId="19502755" w14:textId="77777777" w:rsidR="00BF3A3A" w:rsidRDefault="00BF3A3A">
            <w:pPr>
              <w:rPr>
                <w:rFonts w:ascii="宋体"/>
                <w:vanish/>
              </w:rPr>
            </w:pPr>
          </w:p>
        </w:tc>
        <w:tc>
          <w:tcPr>
            <w:tcW w:w="0" w:type="auto"/>
            <w:gridSpan w:val="3"/>
            <w:shd w:val="clear" w:color="auto" w:fill="auto"/>
            <w:vAlign w:val="bottom"/>
          </w:tcPr>
          <w:p w14:paraId="19502756" w14:textId="77777777" w:rsidR="00BF3A3A" w:rsidRDefault="00BF3A3A">
            <w:pPr>
              <w:rPr>
                <w:rFonts w:ascii="宋体"/>
                <w:vanish/>
              </w:rPr>
            </w:pPr>
          </w:p>
        </w:tc>
        <w:tc>
          <w:tcPr>
            <w:tcW w:w="0" w:type="auto"/>
            <w:gridSpan w:val="3"/>
            <w:shd w:val="clear" w:color="auto" w:fill="auto"/>
            <w:vAlign w:val="bottom"/>
          </w:tcPr>
          <w:p w14:paraId="19502757" w14:textId="77777777" w:rsidR="00BF3A3A" w:rsidRDefault="00BF3A3A">
            <w:pPr>
              <w:rPr>
                <w:rFonts w:ascii="宋体"/>
                <w:vanish/>
              </w:rPr>
            </w:pPr>
          </w:p>
        </w:tc>
        <w:tc>
          <w:tcPr>
            <w:tcW w:w="0" w:type="auto"/>
            <w:gridSpan w:val="3"/>
            <w:shd w:val="clear" w:color="auto" w:fill="auto"/>
            <w:vAlign w:val="bottom"/>
          </w:tcPr>
          <w:p w14:paraId="19502758" w14:textId="77777777" w:rsidR="00BF3A3A" w:rsidRDefault="00BF3A3A">
            <w:pPr>
              <w:rPr>
                <w:rFonts w:ascii="宋体"/>
                <w:vanish/>
              </w:rPr>
            </w:pPr>
          </w:p>
        </w:tc>
        <w:tc>
          <w:tcPr>
            <w:tcW w:w="0" w:type="auto"/>
            <w:gridSpan w:val="3"/>
            <w:shd w:val="clear" w:color="auto" w:fill="auto"/>
            <w:vAlign w:val="bottom"/>
          </w:tcPr>
          <w:p w14:paraId="19502759" w14:textId="77777777" w:rsidR="00BF3A3A" w:rsidRDefault="00BF3A3A">
            <w:pPr>
              <w:rPr>
                <w:rFonts w:ascii="宋体"/>
                <w:vanish/>
              </w:rPr>
            </w:pPr>
          </w:p>
        </w:tc>
        <w:tc>
          <w:tcPr>
            <w:tcW w:w="0" w:type="auto"/>
            <w:gridSpan w:val="3"/>
            <w:shd w:val="clear" w:color="auto" w:fill="auto"/>
            <w:vAlign w:val="bottom"/>
          </w:tcPr>
          <w:p w14:paraId="1950275A" w14:textId="77777777" w:rsidR="00BF3A3A" w:rsidRDefault="00BF3A3A">
            <w:pPr>
              <w:rPr>
                <w:rFonts w:ascii="宋体"/>
                <w:vanish/>
              </w:rPr>
            </w:pPr>
          </w:p>
        </w:tc>
      </w:tr>
      <w:tr w:rsidR="00BF3A3A" w14:paraId="19502771" w14:textId="77777777">
        <w:trPr>
          <w:jc w:val="center"/>
        </w:trPr>
        <w:tc>
          <w:tcPr>
            <w:tcW w:w="0" w:type="auto"/>
            <w:gridSpan w:val="3"/>
            <w:shd w:val="clear" w:color="auto" w:fill="E2EFD9"/>
            <w:tcMar>
              <w:top w:w="40" w:type="dxa"/>
              <w:left w:w="20" w:type="dxa"/>
              <w:bottom w:w="40" w:type="dxa"/>
              <w:right w:w="20" w:type="dxa"/>
            </w:tcMar>
            <w:vAlign w:val="bottom"/>
          </w:tcPr>
          <w:p w14:paraId="1950275C" w14:textId="77777777" w:rsidR="00BF3A3A" w:rsidRDefault="00A76802">
            <w:pPr>
              <w:textAlignment w:val="bottom"/>
            </w:pPr>
            <w:r>
              <w:rPr>
                <w:rFonts w:ascii="sans-serif" w:eastAsia="sans-serif" w:hAnsi="sans-serif" w:cs="sans-serif"/>
                <w:color w:val="000000"/>
                <w:sz w:val="15"/>
                <w:szCs w:val="15"/>
              </w:rPr>
              <w:t xml:space="preserve">Cash dividends declared and paid </w:t>
            </w:r>
            <w:r>
              <w:rPr>
                <w:rFonts w:ascii="sans-serif" w:eastAsia="sans-serif" w:hAnsi="sans-serif" w:cs="sans-serif"/>
                <w:color w:val="000000"/>
                <w:sz w:val="15"/>
                <w:szCs w:val="15"/>
              </w:rPr>
              <w:t>($0.08 per common share)</w:t>
            </w:r>
          </w:p>
        </w:tc>
        <w:tc>
          <w:tcPr>
            <w:tcW w:w="0" w:type="auto"/>
            <w:gridSpan w:val="2"/>
            <w:shd w:val="clear" w:color="auto" w:fill="E2EFD9"/>
            <w:tcMar>
              <w:top w:w="40" w:type="dxa"/>
              <w:left w:w="20" w:type="dxa"/>
              <w:bottom w:w="40" w:type="dxa"/>
              <w:right w:w="0" w:type="dxa"/>
            </w:tcMar>
            <w:vAlign w:val="bottom"/>
          </w:tcPr>
          <w:p w14:paraId="1950275D"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75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75F"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760"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761"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762"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763"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76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765"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766"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76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768"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769"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E2EFD9"/>
            <w:tcMar>
              <w:top w:w="40" w:type="dxa"/>
              <w:left w:w="0" w:type="dxa"/>
              <w:bottom w:w="40" w:type="dxa"/>
              <w:right w:w="20" w:type="dxa"/>
            </w:tcMar>
            <w:vAlign w:val="bottom"/>
          </w:tcPr>
          <w:p w14:paraId="1950276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76B"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76C" w14:textId="77777777" w:rsidR="00BF3A3A" w:rsidRDefault="00A76802">
            <w:pPr>
              <w:jc w:val="right"/>
              <w:textAlignment w:val="bottom"/>
            </w:pPr>
            <w:r>
              <w:rPr>
                <w:rFonts w:ascii="sans-serif" w:eastAsia="sans-serif" w:hAnsi="sans-serif" w:cs="sans-serif"/>
                <w:color w:val="000000"/>
                <w:sz w:val="15"/>
                <w:szCs w:val="15"/>
              </w:rPr>
              <w:t>(198)</w:t>
            </w:r>
          </w:p>
        </w:tc>
        <w:tc>
          <w:tcPr>
            <w:tcW w:w="0" w:type="auto"/>
            <w:shd w:val="clear" w:color="auto" w:fill="E2EFD9"/>
            <w:tcMar>
              <w:top w:w="40" w:type="dxa"/>
              <w:left w:w="0" w:type="dxa"/>
              <w:bottom w:w="40" w:type="dxa"/>
              <w:right w:w="20" w:type="dxa"/>
            </w:tcMar>
            <w:vAlign w:val="bottom"/>
          </w:tcPr>
          <w:p w14:paraId="1950276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76E"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76F" w14:textId="77777777" w:rsidR="00BF3A3A" w:rsidRDefault="00A76802">
            <w:pPr>
              <w:jc w:val="right"/>
              <w:textAlignment w:val="bottom"/>
            </w:pPr>
            <w:r>
              <w:rPr>
                <w:rFonts w:ascii="sans-serif" w:eastAsia="sans-serif" w:hAnsi="sans-serif" w:cs="sans-serif"/>
                <w:color w:val="000000"/>
                <w:sz w:val="15"/>
                <w:szCs w:val="15"/>
              </w:rPr>
              <w:t>(198)</w:t>
            </w:r>
          </w:p>
        </w:tc>
        <w:tc>
          <w:tcPr>
            <w:tcW w:w="0" w:type="auto"/>
            <w:shd w:val="clear" w:color="auto" w:fill="E2EFD9"/>
            <w:tcMar>
              <w:top w:w="40" w:type="dxa"/>
              <w:left w:w="0" w:type="dxa"/>
              <w:bottom w:w="40" w:type="dxa"/>
              <w:right w:w="20" w:type="dxa"/>
            </w:tcMar>
            <w:vAlign w:val="bottom"/>
          </w:tcPr>
          <w:p w14:paraId="19502770" w14:textId="77777777" w:rsidR="00BF3A3A" w:rsidRDefault="00BF3A3A">
            <w:pPr>
              <w:jc w:val="right"/>
              <w:rPr>
                <w:rFonts w:ascii="宋体"/>
              </w:rPr>
            </w:pPr>
          </w:p>
        </w:tc>
      </w:tr>
      <w:tr w:rsidR="00BF3A3A" w14:paraId="19502780" w14:textId="77777777">
        <w:trPr>
          <w:jc w:val="center"/>
          <w:hidden/>
        </w:trPr>
        <w:tc>
          <w:tcPr>
            <w:tcW w:w="0" w:type="auto"/>
            <w:gridSpan w:val="3"/>
            <w:shd w:val="clear" w:color="auto" w:fill="auto"/>
            <w:vAlign w:val="bottom"/>
          </w:tcPr>
          <w:p w14:paraId="19502772" w14:textId="77777777" w:rsidR="00BF3A3A" w:rsidRDefault="00BF3A3A">
            <w:pPr>
              <w:rPr>
                <w:rFonts w:ascii="宋体"/>
                <w:vanish/>
              </w:rPr>
            </w:pPr>
          </w:p>
        </w:tc>
        <w:tc>
          <w:tcPr>
            <w:tcW w:w="0" w:type="auto"/>
            <w:gridSpan w:val="3"/>
            <w:shd w:val="clear" w:color="auto" w:fill="auto"/>
            <w:vAlign w:val="bottom"/>
          </w:tcPr>
          <w:p w14:paraId="19502773" w14:textId="77777777" w:rsidR="00BF3A3A" w:rsidRDefault="00BF3A3A">
            <w:pPr>
              <w:rPr>
                <w:rFonts w:ascii="宋体"/>
                <w:vanish/>
              </w:rPr>
            </w:pPr>
          </w:p>
        </w:tc>
        <w:tc>
          <w:tcPr>
            <w:tcW w:w="0" w:type="auto"/>
            <w:gridSpan w:val="3"/>
            <w:shd w:val="clear" w:color="auto" w:fill="auto"/>
            <w:vAlign w:val="bottom"/>
          </w:tcPr>
          <w:p w14:paraId="19502774" w14:textId="77777777" w:rsidR="00BF3A3A" w:rsidRDefault="00BF3A3A">
            <w:pPr>
              <w:rPr>
                <w:rFonts w:ascii="宋体"/>
                <w:vanish/>
              </w:rPr>
            </w:pPr>
          </w:p>
        </w:tc>
        <w:tc>
          <w:tcPr>
            <w:tcW w:w="0" w:type="auto"/>
            <w:gridSpan w:val="3"/>
            <w:shd w:val="clear" w:color="auto" w:fill="auto"/>
            <w:vAlign w:val="bottom"/>
          </w:tcPr>
          <w:p w14:paraId="19502775" w14:textId="77777777" w:rsidR="00BF3A3A" w:rsidRDefault="00BF3A3A">
            <w:pPr>
              <w:rPr>
                <w:rFonts w:ascii="宋体"/>
                <w:vanish/>
              </w:rPr>
            </w:pPr>
          </w:p>
        </w:tc>
        <w:tc>
          <w:tcPr>
            <w:tcW w:w="0" w:type="auto"/>
            <w:gridSpan w:val="3"/>
            <w:shd w:val="clear" w:color="auto" w:fill="auto"/>
            <w:vAlign w:val="bottom"/>
          </w:tcPr>
          <w:p w14:paraId="19502776" w14:textId="77777777" w:rsidR="00BF3A3A" w:rsidRDefault="00BF3A3A">
            <w:pPr>
              <w:rPr>
                <w:rFonts w:ascii="宋体"/>
                <w:vanish/>
              </w:rPr>
            </w:pPr>
          </w:p>
        </w:tc>
        <w:tc>
          <w:tcPr>
            <w:tcW w:w="0" w:type="auto"/>
            <w:gridSpan w:val="3"/>
            <w:shd w:val="clear" w:color="auto" w:fill="auto"/>
            <w:vAlign w:val="bottom"/>
          </w:tcPr>
          <w:p w14:paraId="19502777" w14:textId="77777777" w:rsidR="00BF3A3A" w:rsidRDefault="00BF3A3A">
            <w:pPr>
              <w:rPr>
                <w:rFonts w:ascii="宋体"/>
                <w:vanish/>
              </w:rPr>
            </w:pPr>
          </w:p>
        </w:tc>
        <w:tc>
          <w:tcPr>
            <w:tcW w:w="0" w:type="auto"/>
            <w:gridSpan w:val="3"/>
            <w:shd w:val="clear" w:color="auto" w:fill="auto"/>
            <w:vAlign w:val="bottom"/>
          </w:tcPr>
          <w:p w14:paraId="19502778" w14:textId="77777777" w:rsidR="00BF3A3A" w:rsidRDefault="00BF3A3A">
            <w:pPr>
              <w:rPr>
                <w:rFonts w:ascii="宋体"/>
                <w:vanish/>
              </w:rPr>
            </w:pPr>
          </w:p>
        </w:tc>
        <w:tc>
          <w:tcPr>
            <w:tcW w:w="0" w:type="auto"/>
            <w:gridSpan w:val="3"/>
            <w:shd w:val="clear" w:color="auto" w:fill="auto"/>
            <w:vAlign w:val="bottom"/>
          </w:tcPr>
          <w:p w14:paraId="19502779" w14:textId="77777777" w:rsidR="00BF3A3A" w:rsidRDefault="00BF3A3A">
            <w:pPr>
              <w:rPr>
                <w:rFonts w:ascii="宋体"/>
                <w:vanish/>
              </w:rPr>
            </w:pPr>
          </w:p>
        </w:tc>
        <w:tc>
          <w:tcPr>
            <w:tcW w:w="0" w:type="auto"/>
            <w:gridSpan w:val="3"/>
            <w:shd w:val="clear" w:color="auto" w:fill="auto"/>
            <w:vAlign w:val="bottom"/>
          </w:tcPr>
          <w:p w14:paraId="1950277A" w14:textId="77777777" w:rsidR="00BF3A3A" w:rsidRDefault="00BF3A3A">
            <w:pPr>
              <w:rPr>
                <w:rFonts w:ascii="宋体"/>
                <w:vanish/>
              </w:rPr>
            </w:pPr>
          </w:p>
        </w:tc>
        <w:tc>
          <w:tcPr>
            <w:tcW w:w="0" w:type="auto"/>
            <w:gridSpan w:val="3"/>
            <w:shd w:val="clear" w:color="auto" w:fill="auto"/>
            <w:vAlign w:val="bottom"/>
          </w:tcPr>
          <w:p w14:paraId="1950277B" w14:textId="77777777" w:rsidR="00BF3A3A" w:rsidRDefault="00BF3A3A">
            <w:pPr>
              <w:rPr>
                <w:rFonts w:ascii="宋体"/>
                <w:vanish/>
              </w:rPr>
            </w:pPr>
          </w:p>
        </w:tc>
        <w:tc>
          <w:tcPr>
            <w:tcW w:w="0" w:type="auto"/>
            <w:gridSpan w:val="3"/>
            <w:shd w:val="clear" w:color="auto" w:fill="auto"/>
            <w:vAlign w:val="bottom"/>
          </w:tcPr>
          <w:p w14:paraId="1950277C" w14:textId="77777777" w:rsidR="00BF3A3A" w:rsidRDefault="00BF3A3A">
            <w:pPr>
              <w:rPr>
                <w:rFonts w:ascii="宋体"/>
                <w:vanish/>
              </w:rPr>
            </w:pPr>
          </w:p>
        </w:tc>
        <w:tc>
          <w:tcPr>
            <w:tcW w:w="0" w:type="auto"/>
            <w:gridSpan w:val="3"/>
            <w:shd w:val="clear" w:color="auto" w:fill="auto"/>
            <w:vAlign w:val="bottom"/>
          </w:tcPr>
          <w:p w14:paraId="1950277D" w14:textId="77777777" w:rsidR="00BF3A3A" w:rsidRDefault="00BF3A3A">
            <w:pPr>
              <w:rPr>
                <w:rFonts w:ascii="宋体"/>
                <w:vanish/>
              </w:rPr>
            </w:pPr>
          </w:p>
        </w:tc>
        <w:tc>
          <w:tcPr>
            <w:tcW w:w="0" w:type="auto"/>
            <w:gridSpan w:val="3"/>
            <w:shd w:val="clear" w:color="auto" w:fill="auto"/>
            <w:vAlign w:val="bottom"/>
          </w:tcPr>
          <w:p w14:paraId="1950277E" w14:textId="77777777" w:rsidR="00BF3A3A" w:rsidRDefault="00BF3A3A">
            <w:pPr>
              <w:rPr>
                <w:rFonts w:ascii="宋体"/>
                <w:vanish/>
              </w:rPr>
            </w:pPr>
          </w:p>
        </w:tc>
        <w:tc>
          <w:tcPr>
            <w:tcW w:w="0" w:type="auto"/>
            <w:gridSpan w:val="3"/>
            <w:shd w:val="clear" w:color="auto" w:fill="auto"/>
            <w:vAlign w:val="bottom"/>
          </w:tcPr>
          <w:p w14:paraId="1950277F" w14:textId="77777777" w:rsidR="00BF3A3A" w:rsidRDefault="00BF3A3A">
            <w:pPr>
              <w:rPr>
                <w:rFonts w:ascii="宋体"/>
                <w:vanish/>
              </w:rPr>
            </w:pPr>
          </w:p>
        </w:tc>
      </w:tr>
      <w:tr w:rsidR="00BF3A3A" w14:paraId="19502796" w14:textId="77777777">
        <w:trPr>
          <w:jc w:val="center"/>
        </w:trPr>
        <w:tc>
          <w:tcPr>
            <w:tcW w:w="0" w:type="auto"/>
            <w:gridSpan w:val="3"/>
            <w:shd w:val="clear" w:color="auto" w:fill="FFFFFF"/>
            <w:tcMar>
              <w:top w:w="40" w:type="dxa"/>
              <w:left w:w="20" w:type="dxa"/>
              <w:bottom w:w="40" w:type="dxa"/>
              <w:right w:w="20" w:type="dxa"/>
            </w:tcMar>
            <w:vAlign w:val="bottom"/>
          </w:tcPr>
          <w:p w14:paraId="19502781" w14:textId="77777777" w:rsidR="00BF3A3A" w:rsidRDefault="00A76802">
            <w:pPr>
              <w:textAlignment w:val="bottom"/>
            </w:pPr>
            <w:r>
              <w:rPr>
                <w:rFonts w:ascii="sans-serif" w:eastAsia="sans-serif" w:hAnsi="sans-serif" w:cs="sans-serif"/>
                <w:color w:val="000000"/>
                <w:sz w:val="15"/>
                <w:szCs w:val="15"/>
              </w:rPr>
              <w:t>Stock-based compensation</w:t>
            </w:r>
          </w:p>
        </w:tc>
        <w:tc>
          <w:tcPr>
            <w:tcW w:w="0" w:type="auto"/>
            <w:gridSpan w:val="2"/>
            <w:shd w:val="clear" w:color="auto" w:fill="FFFFFF"/>
            <w:tcMar>
              <w:top w:w="40" w:type="dxa"/>
              <w:left w:w="20" w:type="dxa"/>
              <w:bottom w:w="40" w:type="dxa"/>
              <w:right w:w="0" w:type="dxa"/>
            </w:tcMar>
            <w:vAlign w:val="bottom"/>
          </w:tcPr>
          <w:p w14:paraId="19502782"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78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784"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785"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78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787"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788" w14:textId="77777777" w:rsidR="00BF3A3A" w:rsidRDefault="00A76802">
            <w:pPr>
              <w:jc w:val="right"/>
              <w:textAlignment w:val="bottom"/>
            </w:pPr>
            <w:r>
              <w:rPr>
                <w:rFonts w:ascii="sans-serif" w:eastAsia="sans-serif" w:hAnsi="sans-serif" w:cs="sans-serif"/>
                <w:color w:val="000000"/>
                <w:sz w:val="15"/>
                <w:szCs w:val="15"/>
              </w:rPr>
              <w:t>898 </w:t>
            </w:r>
          </w:p>
        </w:tc>
        <w:tc>
          <w:tcPr>
            <w:tcW w:w="0" w:type="auto"/>
            <w:shd w:val="clear" w:color="auto" w:fill="FFFFFF"/>
            <w:tcMar>
              <w:top w:w="40" w:type="dxa"/>
              <w:left w:w="0" w:type="dxa"/>
              <w:bottom w:w="40" w:type="dxa"/>
              <w:right w:w="20" w:type="dxa"/>
            </w:tcMar>
            <w:vAlign w:val="bottom"/>
          </w:tcPr>
          <w:p w14:paraId="1950278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78A"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78B"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78C"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78D"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78E"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78F"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790"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791" w14:textId="77777777" w:rsidR="00BF3A3A" w:rsidRDefault="00A76802">
            <w:pPr>
              <w:jc w:val="right"/>
              <w:textAlignment w:val="bottom"/>
            </w:pPr>
            <w:r>
              <w:rPr>
                <w:rFonts w:ascii="sans-serif" w:eastAsia="sans-serif" w:hAnsi="sans-serif" w:cs="sans-serif"/>
                <w:color w:val="000000"/>
                <w:sz w:val="15"/>
                <w:szCs w:val="15"/>
              </w:rPr>
              <w:t>— </w:t>
            </w:r>
          </w:p>
        </w:tc>
        <w:tc>
          <w:tcPr>
            <w:tcW w:w="0" w:type="auto"/>
            <w:shd w:val="clear" w:color="auto" w:fill="FFFFFF"/>
            <w:tcMar>
              <w:top w:w="40" w:type="dxa"/>
              <w:left w:w="0" w:type="dxa"/>
              <w:bottom w:w="40" w:type="dxa"/>
              <w:right w:w="20" w:type="dxa"/>
            </w:tcMar>
            <w:vAlign w:val="bottom"/>
          </w:tcPr>
          <w:p w14:paraId="19502792"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793"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794" w14:textId="77777777" w:rsidR="00BF3A3A" w:rsidRDefault="00A76802">
            <w:pPr>
              <w:jc w:val="right"/>
              <w:textAlignment w:val="bottom"/>
            </w:pPr>
            <w:r>
              <w:rPr>
                <w:rFonts w:ascii="sans-serif" w:eastAsia="sans-serif" w:hAnsi="sans-serif" w:cs="sans-serif"/>
                <w:color w:val="000000"/>
                <w:sz w:val="15"/>
                <w:szCs w:val="15"/>
              </w:rPr>
              <w:t>898 </w:t>
            </w:r>
          </w:p>
        </w:tc>
        <w:tc>
          <w:tcPr>
            <w:tcW w:w="0" w:type="auto"/>
            <w:shd w:val="clear" w:color="auto" w:fill="FFFFFF"/>
            <w:tcMar>
              <w:top w:w="40" w:type="dxa"/>
              <w:left w:w="0" w:type="dxa"/>
              <w:bottom w:w="40" w:type="dxa"/>
              <w:right w:w="20" w:type="dxa"/>
            </w:tcMar>
            <w:vAlign w:val="bottom"/>
          </w:tcPr>
          <w:p w14:paraId="19502795" w14:textId="77777777" w:rsidR="00BF3A3A" w:rsidRDefault="00BF3A3A">
            <w:pPr>
              <w:jc w:val="right"/>
              <w:rPr>
                <w:rFonts w:ascii="宋体"/>
              </w:rPr>
            </w:pPr>
          </w:p>
        </w:tc>
      </w:tr>
      <w:tr w:rsidR="00BF3A3A" w14:paraId="195027B2" w14:textId="77777777">
        <w:trPr>
          <w:jc w:val="center"/>
        </w:trPr>
        <w:tc>
          <w:tcPr>
            <w:tcW w:w="0" w:type="auto"/>
            <w:gridSpan w:val="3"/>
            <w:shd w:val="clear" w:color="auto" w:fill="E2EFD9"/>
            <w:tcMar>
              <w:top w:w="40" w:type="dxa"/>
              <w:left w:w="20" w:type="dxa"/>
              <w:bottom w:w="40" w:type="dxa"/>
              <w:right w:w="20" w:type="dxa"/>
            </w:tcMar>
            <w:vAlign w:val="bottom"/>
          </w:tcPr>
          <w:p w14:paraId="19502797" w14:textId="77777777" w:rsidR="00BF3A3A" w:rsidRDefault="00A76802">
            <w:pPr>
              <w:textAlignment w:val="bottom"/>
            </w:pPr>
            <w:r>
              <w:rPr>
                <w:rFonts w:ascii="sans-serif" w:eastAsia="sans-serif" w:hAnsi="sans-serif" w:cs="sans-serif"/>
                <w:color w:val="000000"/>
                <w:sz w:val="15"/>
                <w:szCs w:val="15"/>
              </w:rPr>
              <w:t xml:space="preserve">Balances, August 1, </w:t>
            </w:r>
            <w:r>
              <w:rPr>
                <w:rFonts w:ascii="sans-serif" w:eastAsia="sans-serif" w:hAnsi="sans-serif" w:cs="sans-serif"/>
                <w:color w:val="000000"/>
                <w:sz w:val="15"/>
                <w:szCs w:val="15"/>
              </w:rPr>
              <w:t>2021</w:t>
            </w: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798" w14:textId="77777777" w:rsidR="00BF3A3A" w:rsidRDefault="00A76802">
            <w:pPr>
              <w:jc w:val="right"/>
              <w:textAlignment w:val="bottom"/>
            </w:pPr>
            <w:r>
              <w:rPr>
                <w:rFonts w:ascii="sans-serif" w:eastAsia="sans-serif" w:hAnsi="sans-serif" w:cs="sans-serif"/>
                <w:color w:val="000000"/>
                <w:sz w:val="15"/>
                <w:szCs w:val="15"/>
              </w:rPr>
              <w:t>2,496 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79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79A"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79B"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79C" w14:textId="77777777" w:rsidR="00BF3A3A" w:rsidRDefault="00A76802">
            <w:pPr>
              <w:jc w:val="right"/>
              <w:textAlignment w:val="bottom"/>
            </w:pPr>
            <w:r>
              <w:rPr>
                <w:rFonts w:ascii="sans-serif" w:eastAsia="sans-serif" w:hAnsi="sans-serif" w:cs="sans-serif"/>
                <w:color w:val="000000"/>
                <w:sz w:val="15"/>
                <w:szCs w:val="15"/>
              </w:rPr>
              <w:t>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79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79E"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79F"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7A0" w14:textId="77777777" w:rsidR="00BF3A3A" w:rsidRDefault="00A76802">
            <w:pPr>
              <w:jc w:val="right"/>
              <w:textAlignment w:val="bottom"/>
            </w:pPr>
            <w:r>
              <w:rPr>
                <w:rFonts w:ascii="sans-serif" w:eastAsia="sans-serif" w:hAnsi="sans-serif" w:cs="sans-serif"/>
                <w:color w:val="000000"/>
                <w:sz w:val="15"/>
                <w:szCs w:val="15"/>
              </w:rPr>
              <w:t>9,745 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7A1"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7A2"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7A3"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7A4" w14:textId="77777777" w:rsidR="00BF3A3A" w:rsidRDefault="00A76802">
            <w:pPr>
              <w:jc w:val="right"/>
              <w:textAlignment w:val="bottom"/>
            </w:pPr>
            <w:r>
              <w:rPr>
                <w:rFonts w:ascii="sans-serif" w:eastAsia="sans-serif" w:hAnsi="sans-serif" w:cs="sans-serif"/>
                <w:color w:val="000000"/>
                <w:sz w:val="15"/>
                <w:szCs w:val="15"/>
              </w:rPr>
              <w:t>(11,604)</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7A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7A6"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7A7"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7A8" w14:textId="77777777" w:rsidR="00BF3A3A" w:rsidRDefault="00A76802">
            <w:pPr>
              <w:jc w:val="right"/>
              <w:textAlignment w:val="bottom"/>
            </w:pPr>
            <w:r>
              <w:rPr>
                <w:rFonts w:ascii="sans-serif" w:eastAsia="sans-serif" w:hAnsi="sans-serif" w:cs="sans-serif"/>
                <w:color w:val="000000"/>
                <w:sz w:val="15"/>
                <w:szCs w:val="15"/>
              </w:rPr>
              <w:t>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7A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7AA"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7AB"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7AC" w14:textId="77777777" w:rsidR="00BF3A3A" w:rsidRDefault="00A76802">
            <w:pPr>
              <w:jc w:val="right"/>
              <w:textAlignment w:val="bottom"/>
            </w:pPr>
            <w:r>
              <w:rPr>
                <w:rFonts w:ascii="sans-serif" w:eastAsia="sans-serif" w:hAnsi="sans-serif" w:cs="sans-serif"/>
                <w:color w:val="000000"/>
                <w:sz w:val="15"/>
                <w:szCs w:val="15"/>
              </w:rPr>
              <w:t>22,995 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7A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7AE"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7AF" w14:textId="77777777" w:rsidR="00BF3A3A" w:rsidRDefault="00A76802">
            <w:pPr>
              <w:textAlignment w:val="bottom"/>
            </w:pPr>
            <w:r>
              <w:rPr>
                <w:rFonts w:ascii="sans-serif" w:eastAsia="sans-serif" w:hAnsi="sans-serif" w:cs="sans-serif"/>
                <w:color w:val="000000"/>
                <w:sz w:val="15"/>
                <w:szCs w:val="15"/>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7B0" w14:textId="77777777" w:rsidR="00BF3A3A" w:rsidRDefault="00A76802">
            <w:pPr>
              <w:jc w:val="right"/>
              <w:textAlignment w:val="bottom"/>
            </w:pPr>
            <w:r>
              <w:rPr>
                <w:rFonts w:ascii="sans-serif" w:eastAsia="sans-serif" w:hAnsi="sans-serif" w:cs="sans-serif"/>
                <w:color w:val="000000"/>
                <w:sz w:val="15"/>
                <w:szCs w:val="15"/>
              </w:rPr>
              <w:t>21,147 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7B1" w14:textId="77777777" w:rsidR="00BF3A3A" w:rsidRDefault="00BF3A3A">
            <w:pPr>
              <w:jc w:val="right"/>
              <w:rPr>
                <w:rFonts w:ascii="宋体"/>
              </w:rPr>
            </w:pPr>
          </w:p>
        </w:tc>
      </w:tr>
    </w:tbl>
    <w:p w14:paraId="195027B3" w14:textId="77777777" w:rsidR="00BF3A3A" w:rsidRDefault="00A76802">
      <w:pPr>
        <w:spacing w:after="180"/>
        <w:jc w:val="center"/>
      </w:pPr>
      <w:r>
        <w:rPr>
          <w:rFonts w:ascii="sans-serif" w:eastAsia="sans-serif" w:hAnsi="sans-serif" w:cs="sans-serif"/>
          <w:color w:val="000000"/>
          <w:sz w:val="20"/>
          <w:szCs w:val="20"/>
        </w:rPr>
        <w:t>See accompanying Notes to Condensed Consolidated Financial Statements.</w:t>
      </w:r>
    </w:p>
    <w:p w14:paraId="195027B4" w14:textId="77777777" w:rsidR="00BF3A3A" w:rsidRDefault="00A76802">
      <w:pPr>
        <w:spacing w:after="180"/>
        <w:jc w:val="center"/>
      </w:pPr>
      <w:r>
        <w:rPr>
          <w:rFonts w:ascii="sans-serif" w:eastAsia="sans-serif" w:hAnsi="sans-serif" w:cs="sans-serif"/>
          <w:color w:val="000000"/>
          <w:sz w:val="20"/>
          <w:szCs w:val="20"/>
        </w:rPr>
        <w:t>7</w:t>
      </w:r>
    </w:p>
    <w:p w14:paraId="195027B5" w14:textId="77777777" w:rsidR="00BF3A3A" w:rsidRDefault="00A76802">
      <w:r>
        <w:pict w14:anchorId="19503FCC">
          <v:rect id="_x0000_i1031" style="width:415.3pt;height:1.5pt" o:hralign="center" o:hrstd="t" o:hr="t" fillcolor="#a0a0a0" stroked="f"/>
        </w:pict>
      </w:r>
    </w:p>
    <w:p w14:paraId="195027B6" w14:textId="77777777" w:rsidR="00BF3A3A" w:rsidRDefault="00BF3A3A">
      <w:pPr>
        <w:spacing w:after="180"/>
        <w:jc w:val="both"/>
      </w:pPr>
    </w:p>
    <w:p w14:paraId="195027B7" w14:textId="77777777" w:rsidR="00BF3A3A" w:rsidRDefault="00A76802">
      <w:pPr>
        <w:jc w:val="center"/>
      </w:pPr>
      <w:r>
        <w:rPr>
          <w:rFonts w:ascii="sans-serif" w:eastAsia="sans-serif" w:hAnsi="sans-serif" w:cs="sans-serif"/>
          <w:b/>
          <w:bCs/>
          <w:color w:val="000000"/>
          <w:sz w:val="20"/>
          <w:szCs w:val="20"/>
        </w:rPr>
        <w:t>NVIDIA CORPORATION AND SUBSIDIARIES</w:t>
      </w:r>
    </w:p>
    <w:p w14:paraId="195027B8" w14:textId="77777777" w:rsidR="00BF3A3A" w:rsidRDefault="00A76802">
      <w:pPr>
        <w:jc w:val="center"/>
      </w:pPr>
      <w:r>
        <w:rPr>
          <w:rFonts w:ascii="sans-serif" w:eastAsia="sans-serif" w:hAnsi="sans-serif" w:cs="sans-serif"/>
          <w:b/>
          <w:bCs/>
          <w:color w:val="000000"/>
          <w:sz w:val="20"/>
          <w:szCs w:val="20"/>
        </w:rPr>
        <w:t>C</w:t>
      </w:r>
      <w:r>
        <w:rPr>
          <w:rFonts w:ascii="sans-serif" w:eastAsia="sans-serif" w:hAnsi="sans-serif" w:cs="sans-serif"/>
          <w:b/>
          <w:bCs/>
          <w:color w:val="000000"/>
          <w:sz w:val="20"/>
          <w:szCs w:val="20"/>
        </w:rPr>
        <w:t>ONDENSED CONSOLIDATED STATEMENTS OF CASH FLOWS</w:t>
      </w:r>
    </w:p>
    <w:p w14:paraId="195027B9" w14:textId="77777777" w:rsidR="00BF3A3A" w:rsidRDefault="00A76802">
      <w:pPr>
        <w:jc w:val="center"/>
      </w:pPr>
      <w:r>
        <w:rPr>
          <w:rFonts w:ascii="sans-serif" w:eastAsia="sans-serif" w:hAnsi="sans-serif" w:cs="sans-serif"/>
          <w:b/>
          <w:bCs/>
          <w:color w:val="000000"/>
          <w:sz w:val="20"/>
          <w:szCs w:val="20"/>
        </w:rPr>
        <w:t>(In millions)</w:t>
      </w:r>
    </w:p>
    <w:p w14:paraId="195027BA" w14:textId="77777777" w:rsidR="00BF3A3A" w:rsidRDefault="00A76802">
      <w:pPr>
        <w:spacing w:after="180"/>
        <w:jc w:val="center"/>
      </w:pPr>
      <w:r>
        <w:rPr>
          <w:rFonts w:ascii="sans-serif" w:eastAsia="sans-serif" w:hAnsi="sans-serif" w:cs="sans-serif"/>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5976"/>
        <w:gridCol w:w="38"/>
        <w:gridCol w:w="112"/>
        <w:gridCol w:w="928"/>
        <w:gridCol w:w="36"/>
        <w:gridCol w:w="36"/>
        <w:gridCol w:w="53"/>
        <w:gridCol w:w="36"/>
        <w:gridCol w:w="112"/>
        <w:gridCol w:w="930"/>
        <w:gridCol w:w="36"/>
      </w:tblGrid>
      <w:tr w:rsidR="00BF3A3A" w14:paraId="195027C7" w14:textId="77777777">
        <w:trPr>
          <w:jc w:val="center"/>
        </w:trPr>
        <w:tc>
          <w:tcPr>
            <w:tcW w:w="50" w:type="pct"/>
            <w:shd w:val="clear" w:color="auto" w:fill="auto"/>
            <w:vAlign w:val="bottom"/>
          </w:tcPr>
          <w:p w14:paraId="195027BB" w14:textId="77777777" w:rsidR="00BF3A3A" w:rsidRDefault="00BF3A3A">
            <w:pPr>
              <w:rPr>
                <w:rFonts w:ascii="宋体"/>
              </w:rPr>
            </w:pPr>
          </w:p>
        </w:tc>
        <w:tc>
          <w:tcPr>
            <w:tcW w:w="3607" w:type="pct"/>
            <w:shd w:val="clear" w:color="auto" w:fill="auto"/>
            <w:vAlign w:val="bottom"/>
          </w:tcPr>
          <w:p w14:paraId="195027BC" w14:textId="77777777" w:rsidR="00BF3A3A" w:rsidRDefault="00BF3A3A">
            <w:pPr>
              <w:rPr>
                <w:rFonts w:ascii="宋体"/>
              </w:rPr>
            </w:pPr>
          </w:p>
        </w:tc>
        <w:tc>
          <w:tcPr>
            <w:tcW w:w="5" w:type="pct"/>
            <w:shd w:val="clear" w:color="auto" w:fill="auto"/>
            <w:vAlign w:val="bottom"/>
          </w:tcPr>
          <w:p w14:paraId="195027BD" w14:textId="77777777" w:rsidR="00BF3A3A" w:rsidRDefault="00BF3A3A">
            <w:pPr>
              <w:rPr>
                <w:rFonts w:ascii="宋体"/>
              </w:rPr>
            </w:pPr>
          </w:p>
        </w:tc>
        <w:tc>
          <w:tcPr>
            <w:tcW w:w="50" w:type="pct"/>
            <w:shd w:val="clear" w:color="auto" w:fill="auto"/>
            <w:vAlign w:val="bottom"/>
          </w:tcPr>
          <w:p w14:paraId="195027BE" w14:textId="77777777" w:rsidR="00BF3A3A" w:rsidRDefault="00BF3A3A">
            <w:pPr>
              <w:rPr>
                <w:rFonts w:ascii="宋体"/>
              </w:rPr>
            </w:pPr>
          </w:p>
        </w:tc>
        <w:tc>
          <w:tcPr>
            <w:tcW w:w="580" w:type="pct"/>
            <w:shd w:val="clear" w:color="auto" w:fill="auto"/>
            <w:vAlign w:val="bottom"/>
          </w:tcPr>
          <w:p w14:paraId="195027BF" w14:textId="77777777" w:rsidR="00BF3A3A" w:rsidRDefault="00BF3A3A">
            <w:pPr>
              <w:rPr>
                <w:rFonts w:ascii="宋体"/>
              </w:rPr>
            </w:pPr>
          </w:p>
        </w:tc>
        <w:tc>
          <w:tcPr>
            <w:tcW w:w="5" w:type="pct"/>
            <w:shd w:val="clear" w:color="auto" w:fill="auto"/>
            <w:vAlign w:val="bottom"/>
          </w:tcPr>
          <w:p w14:paraId="195027C0" w14:textId="77777777" w:rsidR="00BF3A3A" w:rsidRDefault="00BF3A3A">
            <w:pPr>
              <w:rPr>
                <w:rFonts w:ascii="宋体"/>
              </w:rPr>
            </w:pPr>
          </w:p>
        </w:tc>
        <w:tc>
          <w:tcPr>
            <w:tcW w:w="5" w:type="pct"/>
            <w:shd w:val="clear" w:color="auto" w:fill="auto"/>
            <w:vAlign w:val="bottom"/>
          </w:tcPr>
          <w:p w14:paraId="195027C1" w14:textId="77777777" w:rsidR="00BF3A3A" w:rsidRDefault="00BF3A3A">
            <w:pPr>
              <w:rPr>
                <w:rFonts w:ascii="宋体"/>
              </w:rPr>
            </w:pPr>
          </w:p>
        </w:tc>
        <w:tc>
          <w:tcPr>
            <w:tcW w:w="55" w:type="pct"/>
            <w:shd w:val="clear" w:color="auto" w:fill="auto"/>
            <w:vAlign w:val="bottom"/>
          </w:tcPr>
          <w:p w14:paraId="195027C2" w14:textId="77777777" w:rsidR="00BF3A3A" w:rsidRDefault="00BF3A3A">
            <w:pPr>
              <w:rPr>
                <w:rFonts w:ascii="宋体"/>
              </w:rPr>
            </w:pPr>
          </w:p>
        </w:tc>
        <w:tc>
          <w:tcPr>
            <w:tcW w:w="5" w:type="pct"/>
            <w:shd w:val="clear" w:color="auto" w:fill="auto"/>
            <w:vAlign w:val="bottom"/>
          </w:tcPr>
          <w:p w14:paraId="195027C3" w14:textId="77777777" w:rsidR="00BF3A3A" w:rsidRDefault="00BF3A3A">
            <w:pPr>
              <w:rPr>
                <w:rFonts w:ascii="宋体"/>
              </w:rPr>
            </w:pPr>
          </w:p>
        </w:tc>
        <w:tc>
          <w:tcPr>
            <w:tcW w:w="50" w:type="pct"/>
            <w:shd w:val="clear" w:color="auto" w:fill="auto"/>
            <w:vAlign w:val="bottom"/>
          </w:tcPr>
          <w:p w14:paraId="195027C4" w14:textId="77777777" w:rsidR="00BF3A3A" w:rsidRDefault="00BF3A3A">
            <w:pPr>
              <w:rPr>
                <w:rFonts w:ascii="宋体"/>
              </w:rPr>
            </w:pPr>
          </w:p>
        </w:tc>
        <w:tc>
          <w:tcPr>
            <w:tcW w:w="581" w:type="pct"/>
            <w:shd w:val="clear" w:color="auto" w:fill="auto"/>
            <w:vAlign w:val="bottom"/>
          </w:tcPr>
          <w:p w14:paraId="195027C5" w14:textId="77777777" w:rsidR="00BF3A3A" w:rsidRDefault="00BF3A3A">
            <w:pPr>
              <w:rPr>
                <w:rFonts w:ascii="宋体"/>
              </w:rPr>
            </w:pPr>
          </w:p>
        </w:tc>
        <w:tc>
          <w:tcPr>
            <w:tcW w:w="5" w:type="pct"/>
            <w:shd w:val="clear" w:color="auto" w:fill="auto"/>
            <w:vAlign w:val="bottom"/>
          </w:tcPr>
          <w:p w14:paraId="195027C6" w14:textId="77777777" w:rsidR="00BF3A3A" w:rsidRDefault="00BF3A3A">
            <w:pPr>
              <w:rPr>
                <w:rFonts w:ascii="宋体"/>
              </w:rPr>
            </w:pPr>
          </w:p>
        </w:tc>
      </w:tr>
      <w:tr w:rsidR="00BF3A3A" w14:paraId="195027CA" w14:textId="77777777">
        <w:trPr>
          <w:jc w:val="center"/>
        </w:trPr>
        <w:tc>
          <w:tcPr>
            <w:tcW w:w="0" w:type="auto"/>
            <w:gridSpan w:val="3"/>
            <w:shd w:val="clear" w:color="auto" w:fill="auto"/>
            <w:tcMar>
              <w:top w:w="40" w:type="dxa"/>
              <w:left w:w="20" w:type="dxa"/>
              <w:bottom w:w="40" w:type="dxa"/>
              <w:right w:w="20" w:type="dxa"/>
            </w:tcMar>
            <w:vAlign w:val="bottom"/>
          </w:tcPr>
          <w:p w14:paraId="195027C8" w14:textId="77777777" w:rsidR="00BF3A3A" w:rsidRDefault="00A76802">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195027C9" w14:textId="77777777" w:rsidR="00BF3A3A" w:rsidRDefault="00A76802">
            <w:pPr>
              <w:jc w:val="center"/>
              <w:textAlignment w:val="bottom"/>
            </w:pPr>
            <w:r>
              <w:rPr>
                <w:rFonts w:ascii="sans-serif" w:eastAsia="sans-serif" w:hAnsi="sans-serif" w:cs="sans-serif"/>
                <w:b/>
                <w:bCs/>
                <w:color w:val="000000"/>
                <w:sz w:val="18"/>
                <w:szCs w:val="18"/>
              </w:rPr>
              <w:t>Six Months Ended</w:t>
            </w:r>
          </w:p>
        </w:tc>
      </w:tr>
      <w:tr w:rsidR="00BF3A3A" w14:paraId="195027CF" w14:textId="77777777">
        <w:trPr>
          <w:jc w:val="center"/>
        </w:trPr>
        <w:tc>
          <w:tcPr>
            <w:tcW w:w="0" w:type="auto"/>
            <w:gridSpan w:val="3"/>
            <w:shd w:val="clear" w:color="auto" w:fill="auto"/>
            <w:tcMar>
              <w:top w:w="0" w:type="dxa"/>
              <w:left w:w="20" w:type="dxa"/>
              <w:bottom w:w="0" w:type="dxa"/>
              <w:right w:w="20" w:type="dxa"/>
            </w:tcMar>
            <w:vAlign w:val="bottom"/>
          </w:tcPr>
          <w:p w14:paraId="195027CB"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7CC" w14:textId="77777777" w:rsidR="00BF3A3A" w:rsidRDefault="00A76802">
            <w:pPr>
              <w:jc w:val="center"/>
              <w:textAlignment w:val="bottom"/>
            </w:pPr>
            <w:r>
              <w:rPr>
                <w:rFonts w:ascii="sans-serif" w:eastAsia="sans-serif" w:hAnsi="sans-serif" w:cs="sans-serif"/>
                <w:b/>
                <w:bCs/>
                <w:color w:val="000000"/>
                <w:sz w:val="18"/>
                <w:szCs w:val="18"/>
              </w:rPr>
              <w:t>July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7CD"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7CE" w14:textId="77777777" w:rsidR="00BF3A3A" w:rsidRDefault="00A76802">
            <w:pPr>
              <w:jc w:val="center"/>
              <w:textAlignment w:val="bottom"/>
            </w:pPr>
            <w:r>
              <w:rPr>
                <w:rFonts w:ascii="sans-serif" w:eastAsia="sans-serif" w:hAnsi="sans-serif" w:cs="sans-serif"/>
                <w:b/>
                <w:bCs/>
                <w:color w:val="000000"/>
                <w:sz w:val="18"/>
                <w:szCs w:val="18"/>
              </w:rPr>
              <w:t>August 1,</w:t>
            </w:r>
          </w:p>
        </w:tc>
      </w:tr>
      <w:tr w:rsidR="00BF3A3A" w14:paraId="195027D4" w14:textId="77777777">
        <w:trPr>
          <w:jc w:val="center"/>
        </w:trPr>
        <w:tc>
          <w:tcPr>
            <w:tcW w:w="0" w:type="auto"/>
            <w:gridSpan w:val="3"/>
            <w:shd w:val="clear" w:color="auto" w:fill="auto"/>
            <w:tcMar>
              <w:top w:w="40" w:type="dxa"/>
              <w:left w:w="20" w:type="dxa"/>
              <w:bottom w:w="40" w:type="dxa"/>
              <w:right w:w="20" w:type="dxa"/>
            </w:tcMar>
            <w:vAlign w:val="bottom"/>
          </w:tcPr>
          <w:p w14:paraId="195027D0" w14:textId="77777777" w:rsidR="00BF3A3A" w:rsidRDefault="00A76802">
            <w:pPr>
              <w:textAlignment w:val="bottom"/>
            </w:pPr>
            <w:r>
              <w:rPr>
                <w:rFonts w:ascii="sans-serif" w:eastAsia="sans-serif" w:hAnsi="sans-serif" w:cs="sans-serif"/>
                <w:color w:val="000000"/>
                <w:sz w:val="18"/>
                <w:szCs w:val="18"/>
              </w:rPr>
              <w:t> </w:t>
            </w:r>
          </w:p>
        </w:tc>
        <w:tc>
          <w:tcPr>
            <w:tcW w:w="0" w:type="auto"/>
            <w:gridSpan w:val="3"/>
            <w:shd w:val="clear" w:color="auto" w:fill="auto"/>
            <w:tcMar>
              <w:top w:w="40" w:type="dxa"/>
              <w:left w:w="20" w:type="dxa"/>
              <w:bottom w:w="40" w:type="dxa"/>
              <w:right w:w="20" w:type="dxa"/>
            </w:tcMar>
            <w:vAlign w:val="bottom"/>
          </w:tcPr>
          <w:p w14:paraId="195027D1" w14:textId="77777777" w:rsidR="00BF3A3A" w:rsidRDefault="00A76802">
            <w:pPr>
              <w:jc w:val="center"/>
              <w:textAlignment w:val="bottom"/>
            </w:pPr>
            <w:r>
              <w:rPr>
                <w:rFonts w:ascii="sans-serif" w:eastAsia="sans-serif" w:hAnsi="sans-serif" w:cs="sans-serif"/>
                <w:b/>
                <w:bCs/>
                <w:color w:val="000000"/>
                <w:sz w:val="18"/>
                <w:szCs w:val="18"/>
              </w:rPr>
              <w:t>2022</w:t>
            </w:r>
          </w:p>
        </w:tc>
        <w:tc>
          <w:tcPr>
            <w:tcW w:w="0" w:type="auto"/>
            <w:gridSpan w:val="3"/>
            <w:shd w:val="clear" w:color="auto" w:fill="auto"/>
            <w:tcMar>
              <w:top w:w="0" w:type="dxa"/>
              <w:left w:w="20" w:type="dxa"/>
              <w:bottom w:w="0" w:type="dxa"/>
              <w:right w:w="20" w:type="dxa"/>
            </w:tcMar>
            <w:vAlign w:val="bottom"/>
          </w:tcPr>
          <w:p w14:paraId="195027D2"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27D3" w14:textId="77777777" w:rsidR="00BF3A3A" w:rsidRDefault="00A76802">
            <w:pPr>
              <w:jc w:val="center"/>
              <w:textAlignment w:val="bottom"/>
            </w:pPr>
            <w:r>
              <w:rPr>
                <w:rFonts w:ascii="sans-serif" w:eastAsia="sans-serif" w:hAnsi="sans-serif" w:cs="sans-serif"/>
                <w:b/>
                <w:bCs/>
                <w:color w:val="000000"/>
                <w:sz w:val="18"/>
                <w:szCs w:val="18"/>
              </w:rPr>
              <w:t>2021</w:t>
            </w:r>
          </w:p>
        </w:tc>
      </w:tr>
      <w:tr w:rsidR="00BF3A3A" w14:paraId="195027D9" w14:textId="77777777">
        <w:trPr>
          <w:jc w:val="center"/>
        </w:trPr>
        <w:tc>
          <w:tcPr>
            <w:tcW w:w="0" w:type="auto"/>
            <w:gridSpan w:val="3"/>
            <w:shd w:val="clear" w:color="auto" w:fill="E2EFD9"/>
            <w:tcMar>
              <w:top w:w="40" w:type="dxa"/>
              <w:left w:w="20" w:type="dxa"/>
              <w:bottom w:w="40" w:type="dxa"/>
              <w:right w:w="20" w:type="dxa"/>
            </w:tcMar>
            <w:vAlign w:val="bottom"/>
          </w:tcPr>
          <w:p w14:paraId="195027D5" w14:textId="77777777" w:rsidR="00BF3A3A" w:rsidRDefault="00A76802">
            <w:pPr>
              <w:textAlignment w:val="bottom"/>
            </w:pPr>
            <w:r>
              <w:rPr>
                <w:rFonts w:ascii="sans-serif" w:eastAsia="sans-serif" w:hAnsi="sans-serif" w:cs="sans-serif"/>
                <w:color w:val="000000"/>
                <w:sz w:val="18"/>
                <w:szCs w:val="18"/>
              </w:rPr>
              <w:t>Cash flows from operating activities:</w:t>
            </w: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195027D6" w14:textId="77777777" w:rsidR="00BF3A3A" w:rsidRDefault="00A76802">
            <w:pPr>
              <w:textAlignment w:val="bottom"/>
            </w:pPr>
            <w:r>
              <w:rPr>
                <w:rFonts w:ascii="sans-serif" w:eastAsia="sans-serif" w:hAnsi="sans-serif" w:cs="sans-serif"/>
                <w:color w:val="000000"/>
                <w:sz w:val="18"/>
                <w:szCs w:val="18"/>
              </w:rPr>
              <w:t> </w:t>
            </w:r>
          </w:p>
        </w:tc>
        <w:tc>
          <w:tcPr>
            <w:tcW w:w="0" w:type="auto"/>
            <w:gridSpan w:val="3"/>
            <w:shd w:val="clear" w:color="auto" w:fill="E2EFD9"/>
            <w:tcMar>
              <w:top w:w="0" w:type="dxa"/>
              <w:left w:w="20" w:type="dxa"/>
              <w:bottom w:w="0" w:type="dxa"/>
              <w:right w:w="20" w:type="dxa"/>
            </w:tcMar>
            <w:vAlign w:val="bottom"/>
          </w:tcPr>
          <w:p w14:paraId="195027D7" w14:textId="77777777" w:rsidR="00BF3A3A" w:rsidRDefault="00BF3A3A">
            <w:pPr>
              <w:rPr>
                <w:rFonts w:ascii="宋体"/>
              </w:rPr>
            </w:pPr>
          </w:p>
        </w:tc>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195027D8" w14:textId="77777777" w:rsidR="00BF3A3A" w:rsidRDefault="00A76802">
            <w:pPr>
              <w:textAlignment w:val="bottom"/>
            </w:pPr>
            <w:r>
              <w:rPr>
                <w:rFonts w:ascii="sans-serif" w:eastAsia="sans-serif" w:hAnsi="sans-serif" w:cs="sans-serif"/>
                <w:color w:val="000000"/>
                <w:sz w:val="18"/>
                <w:szCs w:val="18"/>
              </w:rPr>
              <w:t> </w:t>
            </w:r>
          </w:p>
        </w:tc>
      </w:tr>
      <w:tr w:rsidR="00BF3A3A" w14:paraId="195027E2" w14:textId="77777777">
        <w:trPr>
          <w:jc w:val="center"/>
        </w:trPr>
        <w:tc>
          <w:tcPr>
            <w:tcW w:w="0" w:type="auto"/>
            <w:gridSpan w:val="3"/>
            <w:shd w:val="clear" w:color="auto" w:fill="FFFFFF"/>
            <w:tcMar>
              <w:top w:w="40" w:type="dxa"/>
              <w:left w:w="20" w:type="dxa"/>
              <w:bottom w:w="40" w:type="dxa"/>
              <w:right w:w="20" w:type="dxa"/>
            </w:tcMar>
            <w:vAlign w:val="bottom"/>
          </w:tcPr>
          <w:p w14:paraId="195027DA" w14:textId="77777777" w:rsidR="00BF3A3A" w:rsidRDefault="00A76802">
            <w:pPr>
              <w:textAlignment w:val="bottom"/>
            </w:pPr>
            <w:r>
              <w:rPr>
                <w:rFonts w:ascii="sans-serif" w:eastAsia="sans-serif" w:hAnsi="sans-serif" w:cs="sans-serif"/>
                <w:color w:val="000000"/>
                <w:sz w:val="18"/>
                <w:szCs w:val="18"/>
              </w:rPr>
              <w:t>Net income</w:t>
            </w:r>
          </w:p>
        </w:tc>
        <w:tc>
          <w:tcPr>
            <w:tcW w:w="0" w:type="auto"/>
            <w:shd w:val="clear" w:color="auto" w:fill="FFFFFF"/>
            <w:tcMar>
              <w:top w:w="40" w:type="dxa"/>
              <w:left w:w="20" w:type="dxa"/>
              <w:bottom w:w="40" w:type="dxa"/>
              <w:right w:w="0" w:type="dxa"/>
            </w:tcMar>
            <w:vAlign w:val="bottom"/>
          </w:tcPr>
          <w:p w14:paraId="195027DB" w14:textId="77777777" w:rsidR="00BF3A3A" w:rsidRDefault="00A76802">
            <w:pPr>
              <w:textAlignment w:val="bottom"/>
            </w:pPr>
            <w:r>
              <w:rPr>
                <w:rFonts w:ascii="sans-serif" w:eastAsia="sans-serif" w:hAnsi="sans-serif" w:cs="sans-serif"/>
                <w:color w:val="000000"/>
                <w:sz w:val="18"/>
                <w:szCs w:val="18"/>
              </w:rPr>
              <w:t>$</w:t>
            </w:r>
          </w:p>
        </w:tc>
        <w:tc>
          <w:tcPr>
            <w:tcW w:w="0" w:type="auto"/>
            <w:shd w:val="clear" w:color="auto" w:fill="FFFFFF"/>
            <w:tcMar>
              <w:top w:w="40" w:type="dxa"/>
              <w:left w:w="0" w:type="dxa"/>
              <w:bottom w:w="40" w:type="dxa"/>
              <w:right w:w="0" w:type="dxa"/>
            </w:tcMar>
            <w:vAlign w:val="bottom"/>
          </w:tcPr>
          <w:p w14:paraId="195027DC" w14:textId="77777777" w:rsidR="00BF3A3A" w:rsidRDefault="00A76802">
            <w:pPr>
              <w:jc w:val="right"/>
              <w:textAlignment w:val="bottom"/>
            </w:pPr>
            <w:r>
              <w:rPr>
                <w:rFonts w:ascii="sans-serif" w:eastAsia="sans-serif" w:hAnsi="sans-serif" w:cs="sans-serif"/>
                <w:color w:val="000000"/>
                <w:sz w:val="18"/>
                <w:szCs w:val="18"/>
              </w:rPr>
              <w:t>2,274 </w:t>
            </w:r>
          </w:p>
        </w:tc>
        <w:tc>
          <w:tcPr>
            <w:tcW w:w="0" w:type="auto"/>
            <w:shd w:val="clear" w:color="auto" w:fill="FFFFFF"/>
            <w:tcMar>
              <w:top w:w="40" w:type="dxa"/>
              <w:left w:w="0" w:type="dxa"/>
              <w:bottom w:w="40" w:type="dxa"/>
              <w:right w:w="20" w:type="dxa"/>
            </w:tcMar>
            <w:vAlign w:val="bottom"/>
          </w:tcPr>
          <w:p w14:paraId="195027D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7DE"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27DF" w14:textId="77777777" w:rsidR="00BF3A3A" w:rsidRDefault="00A76802">
            <w:pPr>
              <w:textAlignment w:val="bottom"/>
            </w:pPr>
            <w:r>
              <w:rPr>
                <w:rFonts w:ascii="sans-serif" w:eastAsia="sans-serif" w:hAnsi="sans-serif" w:cs="sans-serif"/>
                <w:color w:val="000000"/>
                <w:sz w:val="18"/>
                <w:szCs w:val="18"/>
              </w:rPr>
              <w:t>$</w:t>
            </w:r>
          </w:p>
        </w:tc>
        <w:tc>
          <w:tcPr>
            <w:tcW w:w="0" w:type="auto"/>
            <w:shd w:val="clear" w:color="auto" w:fill="FFFFFF"/>
            <w:tcMar>
              <w:top w:w="40" w:type="dxa"/>
              <w:left w:w="0" w:type="dxa"/>
              <w:bottom w:w="40" w:type="dxa"/>
              <w:right w:w="0" w:type="dxa"/>
            </w:tcMar>
            <w:vAlign w:val="bottom"/>
          </w:tcPr>
          <w:p w14:paraId="195027E0" w14:textId="77777777" w:rsidR="00BF3A3A" w:rsidRDefault="00A76802">
            <w:pPr>
              <w:jc w:val="right"/>
              <w:textAlignment w:val="bottom"/>
            </w:pPr>
            <w:r>
              <w:rPr>
                <w:rFonts w:ascii="sans-serif" w:eastAsia="sans-serif" w:hAnsi="sans-serif" w:cs="sans-serif"/>
                <w:color w:val="000000"/>
                <w:sz w:val="18"/>
                <w:szCs w:val="18"/>
              </w:rPr>
              <w:t>4,285 </w:t>
            </w:r>
          </w:p>
        </w:tc>
        <w:tc>
          <w:tcPr>
            <w:tcW w:w="0" w:type="auto"/>
            <w:shd w:val="clear" w:color="auto" w:fill="FFFFFF"/>
            <w:tcMar>
              <w:top w:w="40" w:type="dxa"/>
              <w:left w:w="0" w:type="dxa"/>
              <w:bottom w:w="40" w:type="dxa"/>
              <w:right w:w="20" w:type="dxa"/>
            </w:tcMar>
            <w:vAlign w:val="bottom"/>
          </w:tcPr>
          <w:p w14:paraId="195027E1" w14:textId="77777777" w:rsidR="00BF3A3A" w:rsidRDefault="00BF3A3A">
            <w:pPr>
              <w:jc w:val="right"/>
              <w:rPr>
                <w:rFonts w:ascii="宋体"/>
              </w:rPr>
            </w:pPr>
          </w:p>
        </w:tc>
      </w:tr>
      <w:tr w:rsidR="00BF3A3A" w14:paraId="195027E7" w14:textId="77777777">
        <w:trPr>
          <w:jc w:val="center"/>
        </w:trPr>
        <w:tc>
          <w:tcPr>
            <w:tcW w:w="0" w:type="auto"/>
            <w:gridSpan w:val="3"/>
            <w:shd w:val="clear" w:color="auto" w:fill="E2EFD9"/>
            <w:tcMar>
              <w:top w:w="40" w:type="dxa"/>
              <w:left w:w="20" w:type="dxa"/>
              <w:bottom w:w="40" w:type="dxa"/>
              <w:right w:w="20" w:type="dxa"/>
            </w:tcMar>
            <w:vAlign w:val="bottom"/>
          </w:tcPr>
          <w:p w14:paraId="195027E3" w14:textId="77777777" w:rsidR="00BF3A3A" w:rsidRDefault="00A76802">
            <w:pPr>
              <w:textAlignment w:val="bottom"/>
            </w:pPr>
            <w:r>
              <w:rPr>
                <w:rFonts w:ascii="sans-serif" w:eastAsia="sans-serif" w:hAnsi="sans-serif" w:cs="sans-serif"/>
                <w:color w:val="000000"/>
                <w:sz w:val="18"/>
                <w:szCs w:val="18"/>
              </w:rPr>
              <w:t xml:space="preserve">Adjustments to reconcile net </w:t>
            </w:r>
            <w:r>
              <w:rPr>
                <w:rFonts w:ascii="sans-serif" w:eastAsia="sans-serif" w:hAnsi="sans-serif" w:cs="sans-serif"/>
                <w:color w:val="000000"/>
                <w:sz w:val="18"/>
                <w:szCs w:val="18"/>
              </w:rPr>
              <w:t>income to net cash provided by operating activities:</w:t>
            </w:r>
          </w:p>
        </w:tc>
        <w:tc>
          <w:tcPr>
            <w:tcW w:w="0" w:type="auto"/>
            <w:gridSpan w:val="3"/>
            <w:shd w:val="clear" w:color="auto" w:fill="E2EFD9"/>
            <w:tcMar>
              <w:top w:w="0" w:type="dxa"/>
              <w:left w:w="20" w:type="dxa"/>
              <w:bottom w:w="0" w:type="dxa"/>
              <w:right w:w="20" w:type="dxa"/>
            </w:tcMar>
            <w:vAlign w:val="bottom"/>
          </w:tcPr>
          <w:p w14:paraId="195027E4"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7E5"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7E6" w14:textId="77777777" w:rsidR="00BF3A3A" w:rsidRDefault="00BF3A3A">
            <w:pPr>
              <w:rPr>
                <w:rFonts w:ascii="宋体"/>
              </w:rPr>
            </w:pPr>
          </w:p>
        </w:tc>
      </w:tr>
      <w:tr w:rsidR="00BF3A3A" w14:paraId="195027EE" w14:textId="77777777">
        <w:trPr>
          <w:jc w:val="center"/>
        </w:trPr>
        <w:tc>
          <w:tcPr>
            <w:tcW w:w="0" w:type="auto"/>
            <w:gridSpan w:val="3"/>
            <w:shd w:val="clear" w:color="auto" w:fill="FFFFFF"/>
            <w:tcMar>
              <w:top w:w="40" w:type="dxa"/>
              <w:left w:w="20" w:type="dxa"/>
              <w:bottom w:w="40" w:type="dxa"/>
              <w:right w:w="20" w:type="dxa"/>
            </w:tcMar>
            <w:vAlign w:val="bottom"/>
          </w:tcPr>
          <w:p w14:paraId="195027E8" w14:textId="77777777" w:rsidR="00BF3A3A" w:rsidRDefault="00A76802">
            <w:pPr>
              <w:textAlignment w:val="bottom"/>
            </w:pPr>
            <w:r>
              <w:rPr>
                <w:rFonts w:ascii="sans-serif" w:eastAsia="sans-serif" w:hAnsi="sans-serif" w:cs="sans-serif"/>
                <w:color w:val="000000"/>
                <w:sz w:val="18"/>
                <w:szCs w:val="18"/>
              </w:rPr>
              <w:t>Acquisition termination cost</w:t>
            </w:r>
          </w:p>
        </w:tc>
        <w:tc>
          <w:tcPr>
            <w:tcW w:w="0" w:type="auto"/>
            <w:gridSpan w:val="2"/>
            <w:shd w:val="clear" w:color="auto" w:fill="FFFFFF"/>
            <w:tcMar>
              <w:top w:w="40" w:type="dxa"/>
              <w:left w:w="20" w:type="dxa"/>
              <w:bottom w:w="40" w:type="dxa"/>
              <w:right w:w="0" w:type="dxa"/>
            </w:tcMar>
            <w:vAlign w:val="bottom"/>
          </w:tcPr>
          <w:p w14:paraId="195027E9" w14:textId="77777777" w:rsidR="00BF3A3A" w:rsidRDefault="00A76802">
            <w:pPr>
              <w:jc w:val="right"/>
              <w:textAlignment w:val="bottom"/>
            </w:pPr>
            <w:r>
              <w:rPr>
                <w:rFonts w:ascii="sans-serif" w:eastAsia="sans-serif" w:hAnsi="sans-serif" w:cs="sans-serif"/>
                <w:color w:val="000000"/>
                <w:sz w:val="18"/>
                <w:szCs w:val="18"/>
              </w:rPr>
              <w:t>1,353 </w:t>
            </w:r>
          </w:p>
        </w:tc>
        <w:tc>
          <w:tcPr>
            <w:tcW w:w="0" w:type="auto"/>
            <w:shd w:val="clear" w:color="auto" w:fill="FFFFFF"/>
            <w:tcMar>
              <w:top w:w="40" w:type="dxa"/>
              <w:left w:w="0" w:type="dxa"/>
              <w:bottom w:w="40" w:type="dxa"/>
              <w:right w:w="20" w:type="dxa"/>
            </w:tcMar>
            <w:vAlign w:val="bottom"/>
          </w:tcPr>
          <w:p w14:paraId="195027EA"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7EB"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7EC" w14:textId="77777777" w:rsidR="00BF3A3A" w:rsidRDefault="00A76802">
            <w:pPr>
              <w:jc w:val="right"/>
              <w:textAlignment w:val="bottom"/>
            </w:pPr>
            <w:r>
              <w:rPr>
                <w:rFonts w:ascii="sans-serif" w:eastAsia="sans-serif" w:hAnsi="sans-serif" w:cs="sans-serif"/>
                <w:color w:val="000000"/>
                <w:sz w:val="18"/>
                <w:szCs w:val="18"/>
              </w:rPr>
              <w:t>— </w:t>
            </w:r>
          </w:p>
        </w:tc>
        <w:tc>
          <w:tcPr>
            <w:tcW w:w="0" w:type="auto"/>
            <w:shd w:val="clear" w:color="auto" w:fill="FFFFFF"/>
            <w:tcMar>
              <w:top w:w="40" w:type="dxa"/>
              <w:left w:w="0" w:type="dxa"/>
              <w:bottom w:w="40" w:type="dxa"/>
              <w:right w:w="20" w:type="dxa"/>
            </w:tcMar>
            <w:vAlign w:val="bottom"/>
          </w:tcPr>
          <w:p w14:paraId="195027ED" w14:textId="77777777" w:rsidR="00BF3A3A" w:rsidRDefault="00BF3A3A">
            <w:pPr>
              <w:jc w:val="right"/>
              <w:rPr>
                <w:rFonts w:ascii="宋体"/>
              </w:rPr>
            </w:pPr>
          </w:p>
        </w:tc>
      </w:tr>
      <w:tr w:rsidR="00BF3A3A" w14:paraId="195027F5" w14:textId="77777777">
        <w:trPr>
          <w:jc w:val="center"/>
        </w:trPr>
        <w:tc>
          <w:tcPr>
            <w:tcW w:w="0" w:type="auto"/>
            <w:gridSpan w:val="3"/>
            <w:shd w:val="clear" w:color="auto" w:fill="E2EFD9"/>
            <w:tcMar>
              <w:top w:w="40" w:type="dxa"/>
              <w:left w:w="155" w:type="dxa"/>
              <w:bottom w:w="40" w:type="dxa"/>
              <w:right w:w="20" w:type="dxa"/>
            </w:tcMar>
            <w:vAlign w:val="bottom"/>
          </w:tcPr>
          <w:p w14:paraId="195027EF" w14:textId="77777777" w:rsidR="00BF3A3A" w:rsidRDefault="00A76802">
            <w:pPr>
              <w:textAlignment w:val="bottom"/>
            </w:pPr>
            <w:r>
              <w:rPr>
                <w:rFonts w:ascii="sans-serif" w:eastAsia="sans-serif" w:hAnsi="sans-serif" w:cs="sans-serif"/>
                <w:color w:val="000000"/>
                <w:sz w:val="18"/>
                <w:szCs w:val="18"/>
              </w:rPr>
              <w:t>Stock-based compensation expense</w:t>
            </w:r>
          </w:p>
        </w:tc>
        <w:tc>
          <w:tcPr>
            <w:tcW w:w="0" w:type="auto"/>
            <w:gridSpan w:val="2"/>
            <w:shd w:val="clear" w:color="auto" w:fill="E2EFD9"/>
            <w:tcMar>
              <w:top w:w="40" w:type="dxa"/>
              <w:left w:w="20" w:type="dxa"/>
              <w:bottom w:w="40" w:type="dxa"/>
              <w:right w:w="0" w:type="dxa"/>
            </w:tcMar>
            <w:vAlign w:val="bottom"/>
          </w:tcPr>
          <w:p w14:paraId="195027F0" w14:textId="77777777" w:rsidR="00BF3A3A" w:rsidRDefault="00A76802">
            <w:pPr>
              <w:jc w:val="right"/>
              <w:textAlignment w:val="bottom"/>
            </w:pPr>
            <w:r>
              <w:rPr>
                <w:rFonts w:ascii="sans-serif" w:eastAsia="sans-serif" w:hAnsi="sans-serif" w:cs="sans-serif"/>
                <w:color w:val="000000"/>
                <w:sz w:val="18"/>
                <w:szCs w:val="18"/>
              </w:rPr>
              <w:t>1,226 </w:t>
            </w:r>
          </w:p>
        </w:tc>
        <w:tc>
          <w:tcPr>
            <w:tcW w:w="0" w:type="auto"/>
            <w:shd w:val="clear" w:color="auto" w:fill="E2EFD9"/>
            <w:tcMar>
              <w:top w:w="40" w:type="dxa"/>
              <w:left w:w="0" w:type="dxa"/>
              <w:bottom w:w="40" w:type="dxa"/>
              <w:right w:w="20" w:type="dxa"/>
            </w:tcMar>
            <w:vAlign w:val="bottom"/>
          </w:tcPr>
          <w:p w14:paraId="195027F1"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7F2"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7F3" w14:textId="77777777" w:rsidR="00BF3A3A" w:rsidRDefault="00A76802">
            <w:pPr>
              <w:jc w:val="right"/>
              <w:textAlignment w:val="bottom"/>
            </w:pPr>
            <w:r>
              <w:rPr>
                <w:rFonts w:ascii="sans-serif" w:eastAsia="sans-serif" w:hAnsi="sans-serif" w:cs="sans-serif"/>
                <w:color w:val="000000"/>
                <w:sz w:val="18"/>
                <w:szCs w:val="18"/>
              </w:rPr>
              <w:t>894 </w:t>
            </w:r>
          </w:p>
        </w:tc>
        <w:tc>
          <w:tcPr>
            <w:tcW w:w="0" w:type="auto"/>
            <w:shd w:val="clear" w:color="auto" w:fill="E2EFD9"/>
            <w:tcMar>
              <w:top w:w="40" w:type="dxa"/>
              <w:left w:w="0" w:type="dxa"/>
              <w:bottom w:w="40" w:type="dxa"/>
              <w:right w:w="20" w:type="dxa"/>
            </w:tcMar>
            <w:vAlign w:val="bottom"/>
          </w:tcPr>
          <w:p w14:paraId="195027F4" w14:textId="77777777" w:rsidR="00BF3A3A" w:rsidRDefault="00BF3A3A">
            <w:pPr>
              <w:jc w:val="right"/>
              <w:rPr>
                <w:rFonts w:ascii="宋体"/>
              </w:rPr>
            </w:pPr>
          </w:p>
        </w:tc>
      </w:tr>
      <w:tr w:rsidR="00BF3A3A" w14:paraId="195027FC" w14:textId="77777777">
        <w:trPr>
          <w:jc w:val="center"/>
        </w:trPr>
        <w:tc>
          <w:tcPr>
            <w:tcW w:w="0" w:type="auto"/>
            <w:gridSpan w:val="3"/>
            <w:shd w:val="clear" w:color="auto" w:fill="FFFFFF"/>
            <w:tcMar>
              <w:top w:w="40" w:type="dxa"/>
              <w:left w:w="155" w:type="dxa"/>
              <w:bottom w:w="40" w:type="dxa"/>
              <w:right w:w="20" w:type="dxa"/>
            </w:tcMar>
            <w:vAlign w:val="bottom"/>
          </w:tcPr>
          <w:p w14:paraId="195027F6" w14:textId="77777777" w:rsidR="00BF3A3A" w:rsidRDefault="00A76802">
            <w:pPr>
              <w:textAlignment w:val="bottom"/>
            </w:pPr>
            <w:r>
              <w:rPr>
                <w:rFonts w:ascii="sans-serif" w:eastAsia="sans-serif" w:hAnsi="sans-serif" w:cs="sans-serif"/>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195027F7" w14:textId="77777777" w:rsidR="00BF3A3A" w:rsidRDefault="00A76802">
            <w:pPr>
              <w:jc w:val="right"/>
              <w:textAlignment w:val="bottom"/>
            </w:pPr>
            <w:r>
              <w:rPr>
                <w:rFonts w:ascii="sans-serif" w:eastAsia="sans-serif" w:hAnsi="sans-serif" w:cs="sans-serif"/>
                <w:color w:val="000000"/>
                <w:sz w:val="18"/>
                <w:szCs w:val="18"/>
              </w:rPr>
              <w:t>712 </w:t>
            </w:r>
          </w:p>
        </w:tc>
        <w:tc>
          <w:tcPr>
            <w:tcW w:w="0" w:type="auto"/>
            <w:shd w:val="clear" w:color="auto" w:fill="FFFFFF"/>
            <w:tcMar>
              <w:top w:w="40" w:type="dxa"/>
              <w:left w:w="0" w:type="dxa"/>
              <w:bottom w:w="40" w:type="dxa"/>
              <w:right w:w="20" w:type="dxa"/>
            </w:tcMar>
            <w:vAlign w:val="bottom"/>
          </w:tcPr>
          <w:p w14:paraId="195027F8"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7F9"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7FA" w14:textId="77777777" w:rsidR="00BF3A3A" w:rsidRDefault="00A76802">
            <w:pPr>
              <w:jc w:val="right"/>
              <w:textAlignment w:val="bottom"/>
            </w:pPr>
            <w:r>
              <w:rPr>
                <w:rFonts w:ascii="sans-serif" w:eastAsia="sans-serif" w:hAnsi="sans-serif" w:cs="sans-serif"/>
                <w:color w:val="000000"/>
                <w:sz w:val="18"/>
                <w:szCs w:val="18"/>
              </w:rPr>
              <w:t>567 </w:t>
            </w:r>
          </w:p>
        </w:tc>
        <w:tc>
          <w:tcPr>
            <w:tcW w:w="0" w:type="auto"/>
            <w:shd w:val="clear" w:color="auto" w:fill="FFFFFF"/>
            <w:tcMar>
              <w:top w:w="40" w:type="dxa"/>
              <w:left w:w="0" w:type="dxa"/>
              <w:bottom w:w="40" w:type="dxa"/>
              <w:right w:w="20" w:type="dxa"/>
            </w:tcMar>
            <w:vAlign w:val="bottom"/>
          </w:tcPr>
          <w:p w14:paraId="195027FB" w14:textId="77777777" w:rsidR="00BF3A3A" w:rsidRDefault="00BF3A3A">
            <w:pPr>
              <w:jc w:val="right"/>
              <w:rPr>
                <w:rFonts w:ascii="宋体"/>
              </w:rPr>
            </w:pPr>
          </w:p>
        </w:tc>
      </w:tr>
      <w:tr w:rsidR="00BF3A3A" w14:paraId="19502803" w14:textId="77777777">
        <w:trPr>
          <w:jc w:val="center"/>
        </w:trPr>
        <w:tc>
          <w:tcPr>
            <w:tcW w:w="0" w:type="auto"/>
            <w:gridSpan w:val="3"/>
            <w:shd w:val="clear" w:color="auto" w:fill="E2EFD9"/>
            <w:tcMar>
              <w:top w:w="40" w:type="dxa"/>
              <w:left w:w="155" w:type="dxa"/>
              <w:bottom w:w="40" w:type="dxa"/>
              <w:right w:w="20" w:type="dxa"/>
            </w:tcMar>
            <w:vAlign w:val="bottom"/>
          </w:tcPr>
          <w:p w14:paraId="195027FD" w14:textId="77777777" w:rsidR="00BF3A3A" w:rsidRDefault="00A76802">
            <w:pPr>
              <w:textAlignment w:val="bottom"/>
            </w:pPr>
            <w:r>
              <w:rPr>
                <w:rFonts w:ascii="sans-serif" w:eastAsia="sans-serif" w:hAnsi="sans-serif" w:cs="sans-serif"/>
                <w:color w:val="000000"/>
                <w:sz w:val="18"/>
                <w:szCs w:val="18"/>
              </w:rPr>
              <w:t>Losses (gains) on investments in non-affiliates, net</w:t>
            </w:r>
          </w:p>
        </w:tc>
        <w:tc>
          <w:tcPr>
            <w:tcW w:w="0" w:type="auto"/>
            <w:gridSpan w:val="2"/>
            <w:shd w:val="clear" w:color="auto" w:fill="E2EFD9"/>
            <w:tcMar>
              <w:top w:w="40" w:type="dxa"/>
              <w:left w:w="20" w:type="dxa"/>
              <w:bottom w:w="40" w:type="dxa"/>
              <w:right w:w="0" w:type="dxa"/>
            </w:tcMar>
            <w:vAlign w:val="bottom"/>
          </w:tcPr>
          <w:p w14:paraId="195027FE" w14:textId="77777777" w:rsidR="00BF3A3A" w:rsidRDefault="00A76802">
            <w:pPr>
              <w:jc w:val="right"/>
              <w:textAlignment w:val="bottom"/>
            </w:pPr>
            <w:r>
              <w:rPr>
                <w:rFonts w:ascii="sans-serif" w:eastAsia="sans-serif" w:hAnsi="sans-serif" w:cs="sans-serif"/>
                <w:color w:val="000000"/>
                <w:sz w:val="18"/>
                <w:szCs w:val="18"/>
              </w:rPr>
              <w:t>24 </w:t>
            </w:r>
          </w:p>
        </w:tc>
        <w:tc>
          <w:tcPr>
            <w:tcW w:w="0" w:type="auto"/>
            <w:shd w:val="clear" w:color="auto" w:fill="E2EFD9"/>
            <w:tcMar>
              <w:top w:w="40" w:type="dxa"/>
              <w:left w:w="0" w:type="dxa"/>
              <w:bottom w:w="40" w:type="dxa"/>
              <w:right w:w="20" w:type="dxa"/>
            </w:tcMar>
            <w:vAlign w:val="bottom"/>
          </w:tcPr>
          <w:p w14:paraId="195027F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800"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801" w14:textId="77777777" w:rsidR="00BF3A3A" w:rsidRDefault="00A76802">
            <w:pPr>
              <w:jc w:val="right"/>
              <w:textAlignment w:val="bottom"/>
            </w:pPr>
            <w:r>
              <w:rPr>
                <w:rFonts w:ascii="sans-serif" w:eastAsia="sans-serif" w:hAnsi="sans-serif" w:cs="sans-serif"/>
                <w:color w:val="000000"/>
                <w:sz w:val="18"/>
                <w:szCs w:val="18"/>
              </w:rPr>
              <w:t>(133)</w:t>
            </w:r>
          </w:p>
        </w:tc>
        <w:tc>
          <w:tcPr>
            <w:tcW w:w="0" w:type="auto"/>
            <w:shd w:val="clear" w:color="auto" w:fill="E2EFD9"/>
            <w:tcMar>
              <w:top w:w="40" w:type="dxa"/>
              <w:left w:w="0" w:type="dxa"/>
              <w:bottom w:w="40" w:type="dxa"/>
              <w:right w:w="20" w:type="dxa"/>
            </w:tcMar>
            <w:vAlign w:val="bottom"/>
          </w:tcPr>
          <w:p w14:paraId="19502802" w14:textId="77777777" w:rsidR="00BF3A3A" w:rsidRDefault="00BF3A3A">
            <w:pPr>
              <w:jc w:val="right"/>
              <w:rPr>
                <w:rFonts w:ascii="宋体"/>
              </w:rPr>
            </w:pPr>
          </w:p>
        </w:tc>
      </w:tr>
      <w:tr w:rsidR="00BF3A3A" w14:paraId="1950280A" w14:textId="77777777">
        <w:trPr>
          <w:jc w:val="center"/>
        </w:trPr>
        <w:tc>
          <w:tcPr>
            <w:tcW w:w="0" w:type="auto"/>
            <w:gridSpan w:val="3"/>
            <w:shd w:val="clear" w:color="auto" w:fill="FFFFFF"/>
            <w:tcMar>
              <w:top w:w="40" w:type="dxa"/>
              <w:left w:w="155" w:type="dxa"/>
              <w:bottom w:w="40" w:type="dxa"/>
              <w:right w:w="20" w:type="dxa"/>
            </w:tcMar>
            <w:vAlign w:val="bottom"/>
          </w:tcPr>
          <w:p w14:paraId="19502804" w14:textId="77777777" w:rsidR="00BF3A3A" w:rsidRDefault="00A76802">
            <w:pPr>
              <w:textAlignment w:val="bottom"/>
            </w:pPr>
            <w:r>
              <w:rPr>
                <w:rFonts w:ascii="sans-serif" w:eastAsia="sans-serif" w:hAnsi="sans-serif" w:cs="sans-serif"/>
                <w:color w:val="000000"/>
                <w:sz w:val="18"/>
                <w:szCs w:val="18"/>
              </w:rPr>
              <w:t>Deferred income taxes</w:t>
            </w:r>
          </w:p>
        </w:tc>
        <w:tc>
          <w:tcPr>
            <w:tcW w:w="0" w:type="auto"/>
            <w:gridSpan w:val="2"/>
            <w:shd w:val="clear" w:color="auto" w:fill="FFFFFF"/>
            <w:tcMar>
              <w:top w:w="40" w:type="dxa"/>
              <w:left w:w="20" w:type="dxa"/>
              <w:bottom w:w="40" w:type="dxa"/>
              <w:right w:w="0" w:type="dxa"/>
            </w:tcMar>
            <w:vAlign w:val="bottom"/>
          </w:tcPr>
          <w:p w14:paraId="19502805" w14:textId="77777777" w:rsidR="00BF3A3A" w:rsidRDefault="00A76802">
            <w:pPr>
              <w:jc w:val="right"/>
              <w:textAlignment w:val="bottom"/>
            </w:pPr>
            <w:r>
              <w:rPr>
                <w:rFonts w:ascii="sans-serif" w:eastAsia="sans-serif" w:hAnsi="sans-serif" w:cs="sans-serif"/>
                <w:color w:val="000000"/>
                <w:sz w:val="18"/>
                <w:szCs w:val="18"/>
              </w:rPr>
              <w:t>(985)</w:t>
            </w:r>
          </w:p>
        </w:tc>
        <w:tc>
          <w:tcPr>
            <w:tcW w:w="0" w:type="auto"/>
            <w:shd w:val="clear" w:color="auto" w:fill="FFFFFF"/>
            <w:tcMar>
              <w:top w:w="40" w:type="dxa"/>
              <w:left w:w="0" w:type="dxa"/>
              <w:bottom w:w="40" w:type="dxa"/>
              <w:right w:w="20" w:type="dxa"/>
            </w:tcMar>
            <w:vAlign w:val="bottom"/>
          </w:tcPr>
          <w:p w14:paraId="1950280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807"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808" w14:textId="77777777" w:rsidR="00BF3A3A" w:rsidRDefault="00A76802">
            <w:pPr>
              <w:jc w:val="right"/>
              <w:textAlignment w:val="bottom"/>
            </w:pPr>
            <w:r>
              <w:rPr>
                <w:rFonts w:ascii="sans-serif" w:eastAsia="sans-serif" w:hAnsi="sans-serif" w:cs="sans-serif"/>
                <w:color w:val="000000"/>
                <w:sz w:val="18"/>
                <w:szCs w:val="18"/>
              </w:rPr>
              <w:t>(161)</w:t>
            </w:r>
          </w:p>
        </w:tc>
        <w:tc>
          <w:tcPr>
            <w:tcW w:w="0" w:type="auto"/>
            <w:shd w:val="clear" w:color="auto" w:fill="FFFFFF"/>
            <w:tcMar>
              <w:top w:w="40" w:type="dxa"/>
              <w:left w:w="0" w:type="dxa"/>
              <w:bottom w:w="40" w:type="dxa"/>
              <w:right w:w="20" w:type="dxa"/>
            </w:tcMar>
            <w:vAlign w:val="bottom"/>
          </w:tcPr>
          <w:p w14:paraId="19502809" w14:textId="77777777" w:rsidR="00BF3A3A" w:rsidRDefault="00BF3A3A">
            <w:pPr>
              <w:jc w:val="right"/>
              <w:rPr>
                <w:rFonts w:ascii="宋体"/>
              </w:rPr>
            </w:pPr>
          </w:p>
        </w:tc>
      </w:tr>
      <w:tr w:rsidR="00BF3A3A" w14:paraId="1950280F" w14:textId="77777777">
        <w:trPr>
          <w:jc w:val="center"/>
          <w:hidden/>
        </w:trPr>
        <w:tc>
          <w:tcPr>
            <w:tcW w:w="0" w:type="auto"/>
            <w:gridSpan w:val="3"/>
            <w:shd w:val="clear" w:color="auto" w:fill="auto"/>
            <w:vAlign w:val="bottom"/>
          </w:tcPr>
          <w:p w14:paraId="1950280B" w14:textId="77777777" w:rsidR="00BF3A3A" w:rsidRDefault="00BF3A3A">
            <w:pPr>
              <w:rPr>
                <w:rFonts w:ascii="宋体"/>
                <w:vanish/>
              </w:rPr>
            </w:pPr>
          </w:p>
        </w:tc>
        <w:tc>
          <w:tcPr>
            <w:tcW w:w="0" w:type="auto"/>
            <w:gridSpan w:val="3"/>
            <w:shd w:val="clear" w:color="auto" w:fill="auto"/>
            <w:vAlign w:val="bottom"/>
          </w:tcPr>
          <w:p w14:paraId="1950280C" w14:textId="77777777" w:rsidR="00BF3A3A" w:rsidRDefault="00BF3A3A">
            <w:pPr>
              <w:rPr>
                <w:rFonts w:ascii="宋体"/>
                <w:vanish/>
              </w:rPr>
            </w:pPr>
          </w:p>
        </w:tc>
        <w:tc>
          <w:tcPr>
            <w:tcW w:w="0" w:type="auto"/>
            <w:gridSpan w:val="3"/>
            <w:shd w:val="clear" w:color="auto" w:fill="auto"/>
            <w:vAlign w:val="bottom"/>
          </w:tcPr>
          <w:p w14:paraId="1950280D" w14:textId="77777777" w:rsidR="00BF3A3A" w:rsidRDefault="00BF3A3A">
            <w:pPr>
              <w:rPr>
                <w:rFonts w:ascii="宋体"/>
                <w:vanish/>
              </w:rPr>
            </w:pPr>
          </w:p>
        </w:tc>
        <w:tc>
          <w:tcPr>
            <w:tcW w:w="0" w:type="auto"/>
            <w:gridSpan w:val="3"/>
            <w:shd w:val="clear" w:color="auto" w:fill="auto"/>
            <w:vAlign w:val="bottom"/>
          </w:tcPr>
          <w:p w14:paraId="1950280E" w14:textId="77777777" w:rsidR="00BF3A3A" w:rsidRDefault="00BF3A3A">
            <w:pPr>
              <w:rPr>
                <w:rFonts w:ascii="宋体"/>
                <w:vanish/>
              </w:rPr>
            </w:pPr>
          </w:p>
        </w:tc>
      </w:tr>
      <w:tr w:rsidR="00BF3A3A" w14:paraId="19502816" w14:textId="77777777">
        <w:trPr>
          <w:jc w:val="center"/>
        </w:trPr>
        <w:tc>
          <w:tcPr>
            <w:tcW w:w="0" w:type="auto"/>
            <w:gridSpan w:val="3"/>
            <w:shd w:val="clear" w:color="auto" w:fill="E2EFD9"/>
            <w:tcMar>
              <w:top w:w="40" w:type="dxa"/>
              <w:left w:w="155" w:type="dxa"/>
              <w:bottom w:w="40" w:type="dxa"/>
              <w:right w:w="20" w:type="dxa"/>
            </w:tcMar>
            <w:vAlign w:val="bottom"/>
          </w:tcPr>
          <w:p w14:paraId="19502810" w14:textId="77777777" w:rsidR="00BF3A3A" w:rsidRDefault="00A76802">
            <w:pPr>
              <w:textAlignment w:val="bottom"/>
            </w:pPr>
            <w:r>
              <w:rPr>
                <w:rFonts w:ascii="sans-serif" w:eastAsia="sans-serif" w:hAnsi="sans-serif" w:cs="sans-serif"/>
                <w:color w:val="000000"/>
                <w:sz w:val="18"/>
                <w:szCs w:val="18"/>
              </w:rPr>
              <w:t>Other</w:t>
            </w:r>
          </w:p>
        </w:tc>
        <w:tc>
          <w:tcPr>
            <w:tcW w:w="0" w:type="auto"/>
            <w:gridSpan w:val="2"/>
            <w:shd w:val="clear" w:color="auto" w:fill="E2EFD9"/>
            <w:tcMar>
              <w:top w:w="40" w:type="dxa"/>
              <w:left w:w="20" w:type="dxa"/>
              <w:bottom w:w="40" w:type="dxa"/>
              <w:right w:w="0" w:type="dxa"/>
            </w:tcMar>
            <w:vAlign w:val="bottom"/>
          </w:tcPr>
          <w:p w14:paraId="19502811" w14:textId="77777777" w:rsidR="00BF3A3A" w:rsidRDefault="00A76802">
            <w:pPr>
              <w:jc w:val="right"/>
              <w:textAlignment w:val="bottom"/>
            </w:pPr>
            <w:r>
              <w:rPr>
                <w:rFonts w:ascii="sans-serif" w:eastAsia="sans-serif" w:hAnsi="sans-serif" w:cs="sans-serif"/>
                <w:color w:val="000000"/>
                <w:sz w:val="18"/>
                <w:szCs w:val="18"/>
              </w:rPr>
              <w:t>18 </w:t>
            </w:r>
          </w:p>
        </w:tc>
        <w:tc>
          <w:tcPr>
            <w:tcW w:w="0" w:type="auto"/>
            <w:shd w:val="clear" w:color="auto" w:fill="E2EFD9"/>
            <w:tcMar>
              <w:top w:w="40" w:type="dxa"/>
              <w:left w:w="0" w:type="dxa"/>
              <w:bottom w:w="40" w:type="dxa"/>
              <w:right w:w="20" w:type="dxa"/>
            </w:tcMar>
            <w:vAlign w:val="bottom"/>
          </w:tcPr>
          <w:p w14:paraId="1950281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813"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814" w14:textId="77777777" w:rsidR="00BF3A3A" w:rsidRDefault="00A76802">
            <w:pPr>
              <w:jc w:val="right"/>
              <w:textAlignment w:val="bottom"/>
            </w:pPr>
            <w:r>
              <w:rPr>
                <w:rFonts w:ascii="sans-serif" w:eastAsia="sans-serif" w:hAnsi="sans-serif" w:cs="sans-serif"/>
                <w:color w:val="000000"/>
                <w:sz w:val="18"/>
                <w:szCs w:val="18"/>
              </w:rPr>
              <w:t>16 </w:t>
            </w:r>
          </w:p>
        </w:tc>
        <w:tc>
          <w:tcPr>
            <w:tcW w:w="0" w:type="auto"/>
            <w:shd w:val="clear" w:color="auto" w:fill="E2EFD9"/>
            <w:tcMar>
              <w:top w:w="40" w:type="dxa"/>
              <w:left w:w="0" w:type="dxa"/>
              <w:bottom w:w="40" w:type="dxa"/>
              <w:right w:w="20" w:type="dxa"/>
            </w:tcMar>
            <w:vAlign w:val="bottom"/>
          </w:tcPr>
          <w:p w14:paraId="19502815" w14:textId="77777777" w:rsidR="00BF3A3A" w:rsidRDefault="00BF3A3A">
            <w:pPr>
              <w:jc w:val="right"/>
              <w:rPr>
                <w:rFonts w:ascii="宋体"/>
              </w:rPr>
            </w:pPr>
          </w:p>
        </w:tc>
      </w:tr>
      <w:tr w:rsidR="00BF3A3A" w14:paraId="1950281B" w14:textId="77777777">
        <w:trPr>
          <w:jc w:val="center"/>
        </w:trPr>
        <w:tc>
          <w:tcPr>
            <w:tcW w:w="0" w:type="auto"/>
            <w:gridSpan w:val="3"/>
            <w:shd w:val="clear" w:color="auto" w:fill="FFFFFF"/>
            <w:tcMar>
              <w:top w:w="40" w:type="dxa"/>
              <w:left w:w="20" w:type="dxa"/>
              <w:bottom w:w="40" w:type="dxa"/>
              <w:right w:w="20" w:type="dxa"/>
            </w:tcMar>
            <w:vAlign w:val="bottom"/>
          </w:tcPr>
          <w:p w14:paraId="19502817" w14:textId="77777777" w:rsidR="00BF3A3A" w:rsidRDefault="00A76802">
            <w:pPr>
              <w:textAlignment w:val="bottom"/>
            </w:pPr>
            <w:r>
              <w:rPr>
                <w:rFonts w:ascii="sans-serif" w:eastAsia="sans-serif" w:hAnsi="sans-serif" w:cs="sans-serif"/>
                <w:color w:val="000000"/>
                <w:sz w:val="18"/>
                <w:szCs w:val="18"/>
              </w:rPr>
              <w:t>Changes in operating assets and liabilities, net of acquisitions:</w:t>
            </w:r>
          </w:p>
        </w:tc>
        <w:tc>
          <w:tcPr>
            <w:tcW w:w="0" w:type="auto"/>
            <w:gridSpan w:val="3"/>
            <w:shd w:val="clear" w:color="auto" w:fill="FFFFFF"/>
            <w:tcMar>
              <w:top w:w="0" w:type="dxa"/>
              <w:left w:w="20" w:type="dxa"/>
              <w:bottom w:w="0" w:type="dxa"/>
              <w:right w:w="20" w:type="dxa"/>
            </w:tcMar>
            <w:vAlign w:val="bottom"/>
          </w:tcPr>
          <w:p w14:paraId="19502818"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819"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81A" w14:textId="77777777" w:rsidR="00BF3A3A" w:rsidRDefault="00BF3A3A">
            <w:pPr>
              <w:rPr>
                <w:rFonts w:ascii="宋体"/>
              </w:rPr>
            </w:pPr>
          </w:p>
        </w:tc>
      </w:tr>
      <w:tr w:rsidR="00BF3A3A" w14:paraId="19502822" w14:textId="77777777">
        <w:trPr>
          <w:jc w:val="center"/>
        </w:trPr>
        <w:tc>
          <w:tcPr>
            <w:tcW w:w="0" w:type="auto"/>
            <w:gridSpan w:val="3"/>
            <w:shd w:val="clear" w:color="auto" w:fill="E2EFD9"/>
            <w:tcMar>
              <w:top w:w="40" w:type="dxa"/>
              <w:left w:w="155" w:type="dxa"/>
              <w:bottom w:w="40" w:type="dxa"/>
              <w:right w:w="20" w:type="dxa"/>
            </w:tcMar>
            <w:vAlign w:val="bottom"/>
          </w:tcPr>
          <w:p w14:paraId="1950281C" w14:textId="77777777" w:rsidR="00BF3A3A" w:rsidRDefault="00A76802">
            <w:pPr>
              <w:textAlignment w:val="bottom"/>
            </w:pPr>
            <w:r>
              <w:rPr>
                <w:rFonts w:ascii="sans-serif" w:eastAsia="sans-serif" w:hAnsi="sans-serif" w:cs="sans-serif"/>
                <w:color w:val="000000"/>
                <w:sz w:val="18"/>
                <w:szCs w:val="18"/>
              </w:rPr>
              <w:t>Accounts receivable</w:t>
            </w:r>
          </w:p>
        </w:tc>
        <w:tc>
          <w:tcPr>
            <w:tcW w:w="0" w:type="auto"/>
            <w:gridSpan w:val="2"/>
            <w:shd w:val="clear" w:color="auto" w:fill="E2EFD9"/>
            <w:tcMar>
              <w:top w:w="40" w:type="dxa"/>
              <w:left w:w="20" w:type="dxa"/>
              <w:bottom w:w="40" w:type="dxa"/>
              <w:right w:w="0" w:type="dxa"/>
            </w:tcMar>
            <w:vAlign w:val="bottom"/>
          </w:tcPr>
          <w:p w14:paraId="1950281D" w14:textId="77777777" w:rsidR="00BF3A3A" w:rsidRDefault="00A76802">
            <w:pPr>
              <w:jc w:val="right"/>
              <w:textAlignment w:val="bottom"/>
            </w:pPr>
            <w:r>
              <w:rPr>
                <w:rFonts w:ascii="sans-serif" w:eastAsia="sans-serif" w:hAnsi="sans-serif" w:cs="sans-serif"/>
                <w:color w:val="000000"/>
                <w:sz w:val="18"/>
                <w:szCs w:val="18"/>
              </w:rPr>
              <w:t>(668)</w:t>
            </w:r>
          </w:p>
        </w:tc>
        <w:tc>
          <w:tcPr>
            <w:tcW w:w="0" w:type="auto"/>
            <w:shd w:val="clear" w:color="auto" w:fill="E2EFD9"/>
            <w:tcMar>
              <w:top w:w="40" w:type="dxa"/>
              <w:left w:w="0" w:type="dxa"/>
              <w:bottom w:w="40" w:type="dxa"/>
              <w:right w:w="20" w:type="dxa"/>
            </w:tcMar>
            <w:vAlign w:val="bottom"/>
          </w:tcPr>
          <w:p w14:paraId="1950281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81F"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820" w14:textId="77777777" w:rsidR="00BF3A3A" w:rsidRDefault="00A76802">
            <w:pPr>
              <w:jc w:val="right"/>
              <w:textAlignment w:val="bottom"/>
            </w:pPr>
            <w:r>
              <w:rPr>
                <w:rFonts w:ascii="sans-serif" w:eastAsia="sans-serif" w:hAnsi="sans-serif" w:cs="sans-serif"/>
                <w:color w:val="000000"/>
                <w:sz w:val="18"/>
                <w:szCs w:val="18"/>
              </w:rPr>
              <w:t>(1,157)</w:t>
            </w:r>
          </w:p>
        </w:tc>
        <w:tc>
          <w:tcPr>
            <w:tcW w:w="0" w:type="auto"/>
            <w:shd w:val="clear" w:color="auto" w:fill="E2EFD9"/>
            <w:tcMar>
              <w:top w:w="40" w:type="dxa"/>
              <w:left w:w="0" w:type="dxa"/>
              <w:bottom w:w="40" w:type="dxa"/>
              <w:right w:w="20" w:type="dxa"/>
            </w:tcMar>
            <w:vAlign w:val="bottom"/>
          </w:tcPr>
          <w:p w14:paraId="19502821" w14:textId="77777777" w:rsidR="00BF3A3A" w:rsidRDefault="00BF3A3A">
            <w:pPr>
              <w:jc w:val="right"/>
              <w:rPr>
                <w:rFonts w:ascii="宋体"/>
              </w:rPr>
            </w:pPr>
          </w:p>
        </w:tc>
      </w:tr>
      <w:tr w:rsidR="00BF3A3A" w14:paraId="19502829" w14:textId="77777777">
        <w:trPr>
          <w:jc w:val="center"/>
        </w:trPr>
        <w:tc>
          <w:tcPr>
            <w:tcW w:w="0" w:type="auto"/>
            <w:gridSpan w:val="3"/>
            <w:shd w:val="clear" w:color="auto" w:fill="FFFFFF"/>
            <w:tcMar>
              <w:top w:w="40" w:type="dxa"/>
              <w:left w:w="155" w:type="dxa"/>
              <w:bottom w:w="40" w:type="dxa"/>
              <w:right w:w="20" w:type="dxa"/>
            </w:tcMar>
            <w:vAlign w:val="bottom"/>
          </w:tcPr>
          <w:p w14:paraId="19502823" w14:textId="77777777" w:rsidR="00BF3A3A" w:rsidRDefault="00A76802">
            <w:pPr>
              <w:textAlignment w:val="bottom"/>
            </w:pPr>
            <w:r>
              <w:rPr>
                <w:rFonts w:ascii="sans-serif" w:eastAsia="sans-serif" w:hAnsi="sans-serif" w:cs="sans-serif"/>
                <w:color w:val="000000"/>
                <w:sz w:val="18"/>
                <w:szCs w:val="18"/>
              </w:rPr>
              <w:t>Inventories</w:t>
            </w:r>
          </w:p>
        </w:tc>
        <w:tc>
          <w:tcPr>
            <w:tcW w:w="0" w:type="auto"/>
            <w:gridSpan w:val="2"/>
            <w:shd w:val="clear" w:color="auto" w:fill="FFFFFF"/>
            <w:tcMar>
              <w:top w:w="40" w:type="dxa"/>
              <w:left w:w="20" w:type="dxa"/>
              <w:bottom w:w="40" w:type="dxa"/>
              <w:right w:w="0" w:type="dxa"/>
            </w:tcMar>
            <w:vAlign w:val="bottom"/>
          </w:tcPr>
          <w:p w14:paraId="19502824" w14:textId="77777777" w:rsidR="00BF3A3A" w:rsidRDefault="00A76802">
            <w:pPr>
              <w:jc w:val="right"/>
              <w:textAlignment w:val="bottom"/>
            </w:pPr>
            <w:r>
              <w:rPr>
                <w:rFonts w:ascii="sans-serif" w:eastAsia="sans-serif" w:hAnsi="sans-serif" w:cs="sans-serif"/>
                <w:color w:val="000000"/>
                <w:sz w:val="18"/>
                <w:szCs w:val="18"/>
              </w:rPr>
              <w:t>(1,285)</w:t>
            </w:r>
          </w:p>
        </w:tc>
        <w:tc>
          <w:tcPr>
            <w:tcW w:w="0" w:type="auto"/>
            <w:shd w:val="clear" w:color="auto" w:fill="FFFFFF"/>
            <w:tcMar>
              <w:top w:w="40" w:type="dxa"/>
              <w:left w:w="0" w:type="dxa"/>
              <w:bottom w:w="40" w:type="dxa"/>
              <w:right w:w="20" w:type="dxa"/>
            </w:tcMar>
            <w:vAlign w:val="bottom"/>
          </w:tcPr>
          <w:p w14:paraId="19502825"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826"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827" w14:textId="77777777" w:rsidR="00BF3A3A" w:rsidRDefault="00A76802">
            <w:pPr>
              <w:jc w:val="right"/>
              <w:textAlignment w:val="bottom"/>
            </w:pPr>
            <w:r>
              <w:rPr>
                <w:rFonts w:ascii="sans-serif" w:eastAsia="sans-serif" w:hAnsi="sans-serif" w:cs="sans-serif"/>
                <w:color w:val="000000"/>
                <w:sz w:val="18"/>
                <w:szCs w:val="18"/>
              </w:rPr>
              <w:t>(282)</w:t>
            </w:r>
          </w:p>
        </w:tc>
        <w:tc>
          <w:tcPr>
            <w:tcW w:w="0" w:type="auto"/>
            <w:shd w:val="clear" w:color="auto" w:fill="FFFFFF"/>
            <w:tcMar>
              <w:top w:w="40" w:type="dxa"/>
              <w:left w:w="0" w:type="dxa"/>
              <w:bottom w:w="40" w:type="dxa"/>
              <w:right w:w="20" w:type="dxa"/>
            </w:tcMar>
            <w:vAlign w:val="bottom"/>
          </w:tcPr>
          <w:p w14:paraId="19502828" w14:textId="77777777" w:rsidR="00BF3A3A" w:rsidRDefault="00BF3A3A">
            <w:pPr>
              <w:jc w:val="right"/>
              <w:rPr>
                <w:rFonts w:ascii="宋体"/>
              </w:rPr>
            </w:pPr>
          </w:p>
        </w:tc>
      </w:tr>
      <w:tr w:rsidR="00BF3A3A" w14:paraId="19502830" w14:textId="77777777">
        <w:trPr>
          <w:jc w:val="center"/>
        </w:trPr>
        <w:tc>
          <w:tcPr>
            <w:tcW w:w="0" w:type="auto"/>
            <w:gridSpan w:val="3"/>
            <w:shd w:val="clear" w:color="auto" w:fill="E2EFD9"/>
            <w:tcMar>
              <w:top w:w="40" w:type="dxa"/>
              <w:left w:w="155" w:type="dxa"/>
              <w:bottom w:w="40" w:type="dxa"/>
              <w:right w:w="20" w:type="dxa"/>
            </w:tcMar>
            <w:vAlign w:val="bottom"/>
          </w:tcPr>
          <w:p w14:paraId="1950282A" w14:textId="77777777" w:rsidR="00BF3A3A" w:rsidRDefault="00A76802">
            <w:pPr>
              <w:textAlignment w:val="bottom"/>
            </w:pPr>
            <w:r>
              <w:rPr>
                <w:rFonts w:ascii="sans-serif" w:eastAsia="sans-serif" w:hAnsi="sans-serif" w:cs="sans-serif"/>
                <w:color w:val="000000"/>
                <w:sz w:val="18"/>
                <w:szCs w:val="18"/>
              </w:rPr>
              <w:t>Prepaid expenses and other assets</w:t>
            </w:r>
          </w:p>
        </w:tc>
        <w:tc>
          <w:tcPr>
            <w:tcW w:w="0" w:type="auto"/>
            <w:gridSpan w:val="2"/>
            <w:shd w:val="clear" w:color="auto" w:fill="E2EFD9"/>
            <w:tcMar>
              <w:top w:w="40" w:type="dxa"/>
              <w:left w:w="20" w:type="dxa"/>
              <w:bottom w:w="40" w:type="dxa"/>
              <w:right w:w="0" w:type="dxa"/>
            </w:tcMar>
            <w:vAlign w:val="bottom"/>
          </w:tcPr>
          <w:p w14:paraId="1950282B" w14:textId="77777777" w:rsidR="00BF3A3A" w:rsidRDefault="00A76802">
            <w:pPr>
              <w:jc w:val="right"/>
              <w:textAlignment w:val="bottom"/>
            </w:pPr>
            <w:r>
              <w:rPr>
                <w:rFonts w:ascii="sans-serif" w:eastAsia="sans-serif" w:hAnsi="sans-serif" w:cs="sans-serif"/>
                <w:color w:val="000000"/>
                <w:sz w:val="18"/>
                <w:szCs w:val="18"/>
              </w:rPr>
              <w:t>(1,554)</w:t>
            </w:r>
          </w:p>
        </w:tc>
        <w:tc>
          <w:tcPr>
            <w:tcW w:w="0" w:type="auto"/>
            <w:shd w:val="clear" w:color="auto" w:fill="E2EFD9"/>
            <w:tcMar>
              <w:top w:w="40" w:type="dxa"/>
              <w:left w:w="0" w:type="dxa"/>
              <w:bottom w:w="40" w:type="dxa"/>
              <w:right w:w="20" w:type="dxa"/>
            </w:tcMar>
            <w:vAlign w:val="bottom"/>
          </w:tcPr>
          <w:p w14:paraId="1950282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82D"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82E" w14:textId="77777777" w:rsidR="00BF3A3A" w:rsidRDefault="00A76802">
            <w:pPr>
              <w:jc w:val="right"/>
              <w:textAlignment w:val="bottom"/>
            </w:pPr>
            <w:r>
              <w:rPr>
                <w:rFonts w:ascii="sans-serif" w:eastAsia="sans-serif" w:hAnsi="sans-serif" w:cs="sans-serif"/>
                <w:color w:val="000000"/>
                <w:sz w:val="18"/>
                <w:szCs w:val="18"/>
              </w:rPr>
              <w:t>18 </w:t>
            </w:r>
          </w:p>
        </w:tc>
        <w:tc>
          <w:tcPr>
            <w:tcW w:w="0" w:type="auto"/>
            <w:shd w:val="clear" w:color="auto" w:fill="E2EFD9"/>
            <w:tcMar>
              <w:top w:w="40" w:type="dxa"/>
              <w:left w:w="0" w:type="dxa"/>
              <w:bottom w:w="40" w:type="dxa"/>
              <w:right w:w="20" w:type="dxa"/>
            </w:tcMar>
            <w:vAlign w:val="bottom"/>
          </w:tcPr>
          <w:p w14:paraId="1950282F" w14:textId="77777777" w:rsidR="00BF3A3A" w:rsidRDefault="00BF3A3A">
            <w:pPr>
              <w:jc w:val="right"/>
              <w:rPr>
                <w:rFonts w:ascii="宋体"/>
              </w:rPr>
            </w:pPr>
          </w:p>
        </w:tc>
      </w:tr>
      <w:tr w:rsidR="00BF3A3A" w14:paraId="19502837" w14:textId="77777777">
        <w:trPr>
          <w:jc w:val="center"/>
        </w:trPr>
        <w:tc>
          <w:tcPr>
            <w:tcW w:w="0" w:type="auto"/>
            <w:gridSpan w:val="3"/>
            <w:shd w:val="clear" w:color="auto" w:fill="FFFFFF"/>
            <w:tcMar>
              <w:top w:w="40" w:type="dxa"/>
              <w:left w:w="155" w:type="dxa"/>
              <w:bottom w:w="40" w:type="dxa"/>
              <w:right w:w="20" w:type="dxa"/>
            </w:tcMar>
            <w:vAlign w:val="bottom"/>
          </w:tcPr>
          <w:p w14:paraId="19502831" w14:textId="77777777" w:rsidR="00BF3A3A" w:rsidRDefault="00A76802">
            <w:pPr>
              <w:textAlignment w:val="bottom"/>
            </w:pPr>
            <w:r>
              <w:rPr>
                <w:rFonts w:ascii="sans-serif" w:eastAsia="sans-serif" w:hAnsi="sans-serif" w:cs="sans-serif"/>
                <w:color w:val="000000"/>
                <w:sz w:val="18"/>
                <w:szCs w:val="18"/>
              </w:rPr>
              <w:t>Accounts payable</w:t>
            </w:r>
          </w:p>
        </w:tc>
        <w:tc>
          <w:tcPr>
            <w:tcW w:w="0" w:type="auto"/>
            <w:gridSpan w:val="2"/>
            <w:shd w:val="clear" w:color="auto" w:fill="FFFFFF"/>
            <w:tcMar>
              <w:top w:w="40" w:type="dxa"/>
              <w:left w:w="20" w:type="dxa"/>
              <w:bottom w:w="40" w:type="dxa"/>
              <w:right w:w="0" w:type="dxa"/>
            </w:tcMar>
            <w:vAlign w:val="bottom"/>
          </w:tcPr>
          <w:p w14:paraId="19502832" w14:textId="77777777" w:rsidR="00BF3A3A" w:rsidRDefault="00A76802">
            <w:pPr>
              <w:jc w:val="right"/>
              <w:textAlignment w:val="bottom"/>
            </w:pPr>
            <w:r>
              <w:rPr>
                <w:rFonts w:ascii="sans-serif" w:eastAsia="sans-serif" w:hAnsi="sans-serif" w:cs="sans-serif"/>
                <w:color w:val="000000"/>
                <w:sz w:val="18"/>
                <w:szCs w:val="18"/>
              </w:rPr>
              <w:t>559 </w:t>
            </w:r>
          </w:p>
        </w:tc>
        <w:tc>
          <w:tcPr>
            <w:tcW w:w="0" w:type="auto"/>
            <w:shd w:val="clear" w:color="auto" w:fill="FFFFFF"/>
            <w:tcMar>
              <w:top w:w="40" w:type="dxa"/>
              <w:left w:w="0" w:type="dxa"/>
              <w:bottom w:w="40" w:type="dxa"/>
              <w:right w:w="20" w:type="dxa"/>
            </w:tcMar>
            <w:vAlign w:val="bottom"/>
          </w:tcPr>
          <w:p w14:paraId="1950283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834"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835" w14:textId="77777777" w:rsidR="00BF3A3A" w:rsidRDefault="00A76802">
            <w:pPr>
              <w:jc w:val="right"/>
              <w:textAlignment w:val="bottom"/>
            </w:pPr>
            <w:r>
              <w:rPr>
                <w:rFonts w:ascii="sans-serif" w:eastAsia="sans-serif" w:hAnsi="sans-serif" w:cs="sans-serif"/>
                <w:color w:val="000000"/>
                <w:sz w:val="18"/>
                <w:szCs w:val="18"/>
              </w:rPr>
              <w:t>245 </w:t>
            </w:r>
          </w:p>
        </w:tc>
        <w:tc>
          <w:tcPr>
            <w:tcW w:w="0" w:type="auto"/>
            <w:shd w:val="clear" w:color="auto" w:fill="FFFFFF"/>
            <w:tcMar>
              <w:top w:w="40" w:type="dxa"/>
              <w:left w:w="0" w:type="dxa"/>
              <w:bottom w:w="40" w:type="dxa"/>
              <w:right w:w="20" w:type="dxa"/>
            </w:tcMar>
            <w:vAlign w:val="bottom"/>
          </w:tcPr>
          <w:p w14:paraId="19502836" w14:textId="77777777" w:rsidR="00BF3A3A" w:rsidRDefault="00BF3A3A">
            <w:pPr>
              <w:jc w:val="right"/>
              <w:rPr>
                <w:rFonts w:ascii="宋体"/>
              </w:rPr>
            </w:pPr>
          </w:p>
        </w:tc>
      </w:tr>
      <w:tr w:rsidR="00BF3A3A" w14:paraId="1950283E" w14:textId="77777777">
        <w:trPr>
          <w:jc w:val="center"/>
        </w:trPr>
        <w:tc>
          <w:tcPr>
            <w:tcW w:w="0" w:type="auto"/>
            <w:gridSpan w:val="3"/>
            <w:shd w:val="clear" w:color="auto" w:fill="E2EFD9"/>
            <w:tcMar>
              <w:top w:w="40" w:type="dxa"/>
              <w:left w:w="155" w:type="dxa"/>
              <w:bottom w:w="40" w:type="dxa"/>
              <w:right w:w="20" w:type="dxa"/>
            </w:tcMar>
            <w:vAlign w:val="bottom"/>
          </w:tcPr>
          <w:p w14:paraId="19502838" w14:textId="77777777" w:rsidR="00BF3A3A" w:rsidRDefault="00A76802">
            <w:pPr>
              <w:textAlignment w:val="bottom"/>
            </w:pPr>
            <w:r>
              <w:rPr>
                <w:rFonts w:ascii="sans-serif" w:eastAsia="sans-serif" w:hAnsi="sans-serif" w:cs="sans-serif"/>
                <w:color w:val="000000"/>
                <w:sz w:val="18"/>
                <w:szCs w:val="18"/>
              </w:rPr>
              <w:t>Accrued and other current liabilities</w:t>
            </w:r>
          </w:p>
        </w:tc>
        <w:tc>
          <w:tcPr>
            <w:tcW w:w="0" w:type="auto"/>
            <w:gridSpan w:val="2"/>
            <w:shd w:val="clear" w:color="auto" w:fill="E2EFD9"/>
            <w:tcMar>
              <w:top w:w="40" w:type="dxa"/>
              <w:left w:w="20" w:type="dxa"/>
              <w:bottom w:w="40" w:type="dxa"/>
              <w:right w:w="0" w:type="dxa"/>
            </w:tcMar>
            <w:vAlign w:val="bottom"/>
          </w:tcPr>
          <w:p w14:paraId="19502839" w14:textId="77777777" w:rsidR="00BF3A3A" w:rsidRDefault="00A76802">
            <w:pPr>
              <w:jc w:val="right"/>
              <w:textAlignment w:val="bottom"/>
            </w:pPr>
            <w:r>
              <w:rPr>
                <w:rFonts w:ascii="sans-serif" w:eastAsia="sans-serif" w:hAnsi="sans-serif" w:cs="sans-serif"/>
                <w:color w:val="000000"/>
                <w:sz w:val="18"/>
                <w:szCs w:val="18"/>
              </w:rPr>
              <w:t>1,267 </w:t>
            </w:r>
          </w:p>
        </w:tc>
        <w:tc>
          <w:tcPr>
            <w:tcW w:w="0" w:type="auto"/>
            <w:shd w:val="clear" w:color="auto" w:fill="E2EFD9"/>
            <w:tcMar>
              <w:top w:w="40" w:type="dxa"/>
              <w:left w:w="0" w:type="dxa"/>
              <w:bottom w:w="40" w:type="dxa"/>
              <w:right w:w="20" w:type="dxa"/>
            </w:tcMar>
            <w:vAlign w:val="bottom"/>
          </w:tcPr>
          <w:p w14:paraId="1950283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83B"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83C" w14:textId="77777777" w:rsidR="00BF3A3A" w:rsidRDefault="00A76802">
            <w:pPr>
              <w:jc w:val="right"/>
              <w:textAlignment w:val="bottom"/>
            </w:pPr>
            <w:r>
              <w:rPr>
                <w:rFonts w:ascii="sans-serif" w:eastAsia="sans-serif" w:hAnsi="sans-serif" w:cs="sans-serif"/>
                <w:color w:val="000000"/>
                <w:sz w:val="18"/>
                <w:szCs w:val="18"/>
              </w:rPr>
              <w:t>166 </w:t>
            </w:r>
          </w:p>
        </w:tc>
        <w:tc>
          <w:tcPr>
            <w:tcW w:w="0" w:type="auto"/>
            <w:shd w:val="clear" w:color="auto" w:fill="E2EFD9"/>
            <w:tcMar>
              <w:top w:w="40" w:type="dxa"/>
              <w:left w:w="0" w:type="dxa"/>
              <w:bottom w:w="40" w:type="dxa"/>
              <w:right w:w="20" w:type="dxa"/>
            </w:tcMar>
            <w:vAlign w:val="bottom"/>
          </w:tcPr>
          <w:p w14:paraId="1950283D" w14:textId="77777777" w:rsidR="00BF3A3A" w:rsidRDefault="00BF3A3A">
            <w:pPr>
              <w:jc w:val="right"/>
              <w:rPr>
                <w:rFonts w:ascii="宋体"/>
              </w:rPr>
            </w:pPr>
          </w:p>
        </w:tc>
      </w:tr>
      <w:tr w:rsidR="00BF3A3A" w14:paraId="19502845" w14:textId="77777777">
        <w:trPr>
          <w:jc w:val="center"/>
        </w:trPr>
        <w:tc>
          <w:tcPr>
            <w:tcW w:w="0" w:type="auto"/>
            <w:gridSpan w:val="3"/>
            <w:shd w:val="clear" w:color="auto" w:fill="FFFFFF"/>
            <w:tcMar>
              <w:top w:w="40" w:type="dxa"/>
              <w:left w:w="155" w:type="dxa"/>
              <w:bottom w:w="40" w:type="dxa"/>
              <w:right w:w="20" w:type="dxa"/>
            </w:tcMar>
            <w:vAlign w:val="bottom"/>
          </w:tcPr>
          <w:p w14:paraId="1950283F" w14:textId="77777777" w:rsidR="00BF3A3A" w:rsidRDefault="00A76802">
            <w:pPr>
              <w:textAlignment w:val="bottom"/>
            </w:pPr>
            <w:r>
              <w:rPr>
                <w:rFonts w:ascii="sans-serif" w:eastAsia="sans-serif" w:hAnsi="sans-serif" w:cs="sans-serif"/>
                <w:color w:val="000000"/>
                <w:sz w:val="18"/>
                <w:szCs w:val="18"/>
              </w:rPr>
              <w:t>Other long-term liabilities</w:t>
            </w:r>
          </w:p>
        </w:tc>
        <w:tc>
          <w:tcPr>
            <w:tcW w:w="0" w:type="auto"/>
            <w:gridSpan w:val="2"/>
            <w:shd w:val="clear" w:color="auto" w:fill="FFFFFF"/>
            <w:tcMar>
              <w:top w:w="40" w:type="dxa"/>
              <w:left w:w="20" w:type="dxa"/>
              <w:bottom w:w="40" w:type="dxa"/>
              <w:right w:w="0" w:type="dxa"/>
            </w:tcMar>
            <w:vAlign w:val="bottom"/>
          </w:tcPr>
          <w:p w14:paraId="19502840" w14:textId="77777777" w:rsidR="00BF3A3A" w:rsidRDefault="00A76802">
            <w:pPr>
              <w:jc w:val="right"/>
              <w:textAlignment w:val="bottom"/>
            </w:pPr>
            <w:r>
              <w:rPr>
                <w:rFonts w:ascii="sans-serif" w:eastAsia="sans-serif" w:hAnsi="sans-serif" w:cs="sans-serif"/>
                <w:color w:val="000000"/>
                <w:sz w:val="18"/>
                <w:szCs w:val="18"/>
              </w:rPr>
              <w:t>60 </w:t>
            </w:r>
          </w:p>
        </w:tc>
        <w:tc>
          <w:tcPr>
            <w:tcW w:w="0" w:type="auto"/>
            <w:shd w:val="clear" w:color="auto" w:fill="FFFFFF"/>
            <w:tcMar>
              <w:top w:w="40" w:type="dxa"/>
              <w:left w:w="0" w:type="dxa"/>
              <w:bottom w:w="40" w:type="dxa"/>
              <w:right w:w="20" w:type="dxa"/>
            </w:tcMar>
            <w:vAlign w:val="bottom"/>
          </w:tcPr>
          <w:p w14:paraId="19502841"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842"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843" w14:textId="77777777" w:rsidR="00BF3A3A" w:rsidRDefault="00A76802">
            <w:pPr>
              <w:jc w:val="right"/>
              <w:textAlignment w:val="bottom"/>
            </w:pPr>
            <w:r>
              <w:rPr>
                <w:rFonts w:ascii="sans-serif" w:eastAsia="sans-serif" w:hAnsi="sans-serif" w:cs="sans-serif"/>
                <w:color w:val="000000"/>
                <w:sz w:val="18"/>
                <w:szCs w:val="18"/>
              </w:rPr>
              <w:t>98 </w:t>
            </w:r>
          </w:p>
        </w:tc>
        <w:tc>
          <w:tcPr>
            <w:tcW w:w="0" w:type="auto"/>
            <w:shd w:val="clear" w:color="auto" w:fill="FFFFFF"/>
            <w:tcMar>
              <w:top w:w="40" w:type="dxa"/>
              <w:left w:w="0" w:type="dxa"/>
              <w:bottom w:w="40" w:type="dxa"/>
              <w:right w:w="20" w:type="dxa"/>
            </w:tcMar>
            <w:vAlign w:val="bottom"/>
          </w:tcPr>
          <w:p w14:paraId="19502844" w14:textId="77777777" w:rsidR="00BF3A3A" w:rsidRDefault="00BF3A3A">
            <w:pPr>
              <w:jc w:val="right"/>
              <w:rPr>
                <w:rFonts w:ascii="宋体"/>
              </w:rPr>
            </w:pPr>
          </w:p>
        </w:tc>
      </w:tr>
      <w:tr w:rsidR="00BF3A3A" w14:paraId="1950284C" w14:textId="77777777">
        <w:trPr>
          <w:jc w:val="center"/>
        </w:trPr>
        <w:tc>
          <w:tcPr>
            <w:tcW w:w="0" w:type="auto"/>
            <w:gridSpan w:val="3"/>
            <w:shd w:val="clear" w:color="auto" w:fill="E2EFD9"/>
            <w:tcMar>
              <w:top w:w="40" w:type="dxa"/>
              <w:left w:w="20" w:type="dxa"/>
              <w:bottom w:w="40" w:type="dxa"/>
              <w:right w:w="20" w:type="dxa"/>
            </w:tcMar>
            <w:vAlign w:val="bottom"/>
          </w:tcPr>
          <w:p w14:paraId="19502846" w14:textId="77777777" w:rsidR="00BF3A3A" w:rsidRDefault="00A76802">
            <w:pPr>
              <w:textAlignment w:val="bottom"/>
            </w:pPr>
            <w:r>
              <w:rPr>
                <w:rFonts w:ascii="sans-serif" w:eastAsia="sans-serif" w:hAnsi="sans-serif" w:cs="sans-serif"/>
                <w:color w:val="000000"/>
                <w:sz w:val="18"/>
                <w:szCs w:val="18"/>
              </w:rPr>
              <w:t>Net cash provided by operating activities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847" w14:textId="77777777" w:rsidR="00BF3A3A" w:rsidRDefault="00A76802">
            <w:pPr>
              <w:jc w:val="right"/>
              <w:textAlignment w:val="bottom"/>
            </w:pPr>
            <w:r>
              <w:rPr>
                <w:rFonts w:ascii="sans-serif" w:eastAsia="sans-serif" w:hAnsi="sans-serif" w:cs="sans-serif"/>
                <w:color w:val="000000"/>
                <w:sz w:val="18"/>
                <w:szCs w:val="18"/>
              </w:rPr>
              <w:t>3,001 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84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849"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84A" w14:textId="77777777" w:rsidR="00BF3A3A" w:rsidRDefault="00A76802">
            <w:pPr>
              <w:jc w:val="right"/>
              <w:textAlignment w:val="bottom"/>
            </w:pPr>
            <w:r>
              <w:rPr>
                <w:rFonts w:ascii="sans-serif" w:eastAsia="sans-serif" w:hAnsi="sans-serif" w:cs="sans-serif"/>
                <w:color w:val="000000"/>
                <w:sz w:val="18"/>
                <w:szCs w:val="18"/>
              </w:rPr>
              <w:t>4,556 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84B" w14:textId="77777777" w:rsidR="00BF3A3A" w:rsidRDefault="00BF3A3A">
            <w:pPr>
              <w:jc w:val="right"/>
              <w:rPr>
                <w:rFonts w:ascii="宋体"/>
              </w:rPr>
            </w:pPr>
          </w:p>
        </w:tc>
      </w:tr>
      <w:tr w:rsidR="00BF3A3A" w14:paraId="19502851" w14:textId="77777777">
        <w:trPr>
          <w:jc w:val="center"/>
        </w:trPr>
        <w:tc>
          <w:tcPr>
            <w:tcW w:w="0" w:type="auto"/>
            <w:gridSpan w:val="3"/>
            <w:shd w:val="clear" w:color="auto" w:fill="FFFFFF"/>
            <w:tcMar>
              <w:top w:w="40" w:type="dxa"/>
              <w:left w:w="20" w:type="dxa"/>
              <w:bottom w:w="40" w:type="dxa"/>
              <w:right w:w="20" w:type="dxa"/>
            </w:tcMar>
            <w:vAlign w:val="bottom"/>
          </w:tcPr>
          <w:p w14:paraId="1950284D" w14:textId="77777777" w:rsidR="00BF3A3A" w:rsidRDefault="00A76802">
            <w:pPr>
              <w:textAlignment w:val="bottom"/>
            </w:pPr>
            <w:r>
              <w:rPr>
                <w:rFonts w:ascii="sans-serif" w:eastAsia="sans-serif" w:hAnsi="sans-serif" w:cs="sans-serif"/>
                <w:color w:val="000000"/>
                <w:sz w:val="18"/>
                <w:szCs w:val="18"/>
              </w:rPr>
              <w:t>Cash flows from investing activities: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950284E" w14:textId="77777777" w:rsidR="00BF3A3A" w:rsidRDefault="00A76802">
            <w:pPr>
              <w:textAlignment w:val="bottom"/>
            </w:pPr>
            <w:r>
              <w:rPr>
                <w:rFonts w:ascii="sans-serif" w:eastAsia="sans-serif" w:hAnsi="sans-serif" w:cs="sans-serif"/>
                <w:color w:val="000000"/>
                <w:sz w:val="18"/>
                <w:szCs w:val="18"/>
              </w:rPr>
              <w:t> </w:t>
            </w:r>
          </w:p>
        </w:tc>
        <w:tc>
          <w:tcPr>
            <w:tcW w:w="0" w:type="auto"/>
            <w:gridSpan w:val="3"/>
            <w:shd w:val="clear" w:color="auto" w:fill="FFFFFF"/>
            <w:tcMar>
              <w:top w:w="0" w:type="dxa"/>
              <w:left w:w="20" w:type="dxa"/>
              <w:bottom w:w="0" w:type="dxa"/>
              <w:right w:w="20" w:type="dxa"/>
            </w:tcMar>
            <w:vAlign w:val="bottom"/>
          </w:tcPr>
          <w:p w14:paraId="1950284F" w14:textId="77777777" w:rsidR="00BF3A3A" w:rsidRDefault="00BF3A3A">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9502850" w14:textId="77777777" w:rsidR="00BF3A3A" w:rsidRDefault="00A76802">
            <w:pPr>
              <w:textAlignment w:val="bottom"/>
            </w:pPr>
            <w:r>
              <w:rPr>
                <w:rFonts w:ascii="sans-serif" w:eastAsia="sans-serif" w:hAnsi="sans-serif" w:cs="sans-serif"/>
                <w:color w:val="000000"/>
                <w:sz w:val="18"/>
                <w:szCs w:val="18"/>
              </w:rPr>
              <w:t> </w:t>
            </w:r>
          </w:p>
        </w:tc>
      </w:tr>
      <w:tr w:rsidR="00BF3A3A" w14:paraId="19502858" w14:textId="77777777">
        <w:trPr>
          <w:jc w:val="center"/>
        </w:trPr>
        <w:tc>
          <w:tcPr>
            <w:tcW w:w="0" w:type="auto"/>
            <w:gridSpan w:val="3"/>
            <w:shd w:val="clear" w:color="auto" w:fill="E2EFD9"/>
            <w:tcMar>
              <w:top w:w="40" w:type="dxa"/>
              <w:left w:w="155" w:type="dxa"/>
              <w:bottom w:w="40" w:type="dxa"/>
              <w:right w:w="20" w:type="dxa"/>
            </w:tcMar>
            <w:vAlign w:val="bottom"/>
          </w:tcPr>
          <w:p w14:paraId="19502852" w14:textId="77777777" w:rsidR="00BF3A3A" w:rsidRDefault="00A76802">
            <w:pPr>
              <w:textAlignment w:val="bottom"/>
            </w:pPr>
            <w:r>
              <w:rPr>
                <w:rFonts w:ascii="sans-serif" w:eastAsia="sans-serif" w:hAnsi="sans-serif" w:cs="sans-serif"/>
                <w:color w:val="000000"/>
                <w:sz w:val="18"/>
                <w:szCs w:val="18"/>
              </w:rPr>
              <w:t xml:space="preserve">Proceeds from </w:t>
            </w:r>
            <w:r>
              <w:rPr>
                <w:rFonts w:ascii="sans-serif" w:eastAsia="sans-serif" w:hAnsi="sans-serif" w:cs="sans-serif"/>
                <w:color w:val="000000"/>
                <w:sz w:val="18"/>
                <w:szCs w:val="18"/>
              </w:rPr>
              <w:t>maturities of marketable securities</w:t>
            </w:r>
          </w:p>
        </w:tc>
        <w:tc>
          <w:tcPr>
            <w:tcW w:w="0" w:type="auto"/>
            <w:gridSpan w:val="2"/>
            <w:shd w:val="clear" w:color="auto" w:fill="E2EFD9"/>
            <w:tcMar>
              <w:top w:w="40" w:type="dxa"/>
              <w:left w:w="20" w:type="dxa"/>
              <w:bottom w:w="40" w:type="dxa"/>
              <w:right w:w="0" w:type="dxa"/>
            </w:tcMar>
            <w:vAlign w:val="bottom"/>
          </w:tcPr>
          <w:p w14:paraId="19502853" w14:textId="77777777" w:rsidR="00BF3A3A" w:rsidRDefault="00A76802">
            <w:pPr>
              <w:jc w:val="right"/>
              <w:textAlignment w:val="bottom"/>
            </w:pPr>
            <w:r>
              <w:rPr>
                <w:rFonts w:ascii="sans-serif" w:eastAsia="sans-serif" w:hAnsi="sans-serif" w:cs="sans-serif"/>
                <w:color w:val="000000"/>
                <w:sz w:val="18"/>
                <w:szCs w:val="18"/>
              </w:rPr>
              <w:t>10,983 </w:t>
            </w:r>
          </w:p>
        </w:tc>
        <w:tc>
          <w:tcPr>
            <w:tcW w:w="0" w:type="auto"/>
            <w:shd w:val="clear" w:color="auto" w:fill="E2EFD9"/>
            <w:tcMar>
              <w:top w:w="40" w:type="dxa"/>
              <w:left w:w="0" w:type="dxa"/>
              <w:bottom w:w="40" w:type="dxa"/>
              <w:right w:w="20" w:type="dxa"/>
            </w:tcMar>
            <w:vAlign w:val="bottom"/>
          </w:tcPr>
          <w:p w14:paraId="1950285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855"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856" w14:textId="77777777" w:rsidR="00BF3A3A" w:rsidRDefault="00A76802">
            <w:pPr>
              <w:jc w:val="right"/>
              <w:textAlignment w:val="bottom"/>
            </w:pPr>
            <w:r>
              <w:rPr>
                <w:rFonts w:ascii="sans-serif" w:eastAsia="sans-serif" w:hAnsi="sans-serif" w:cs="sans-serif"/>
                <w:color w:val="000000"/>
                <w:sz w:val="18"/>
                <w:szCs w:val="18"/>
              </w:rPr>
              <w:t>5,236 </w:t>
            </w:r>
          </w:p>
        </w:tc>
        <w:tc>
          <w:tcPr>
            <w:tcW w:w="0" w:type="auto"/>
            <w:shd w:val="clear" w:color="auto" w:fill="E2EFD9"/>
            <w:tcMar>
              <w:top w:w="40" w:type="dxa"/>
              <w:left w:w="0" w:type="dxa"/>
              <w:bottom w:w="40" w:type="dxa"/>
              <w:right w:w="20" w:type="dxa"/>
            </w:tcMar>
            <w:vAlign w:val="bottom"/>
          </w:tcPr>
          <w:p w14:paraId="19502857" w14:textId="77777777" w:rsidR="00BF3A3A" w:rsidRDefault="00BF3A3A">
            <w:pPr>
              <w:jc w:val="right"/>
              <w:rPr>
                <w:rFonts w:ascii="宋体"/>
              </w:rPr>
            </w:pPr>
          </w:p>
        </w:tc>
      </w:tr>
      <w:tr w:rsidR="00BF3A3A" w14:paraId="1950285F" w14:textId="77777777">
        <w:trPr>
          <w:jc w:val="center"/>
        </w:trPr>
        <w:tc>
          <w:tcPr>
            <w:tcW w:w="0" w:type="auto"/>
            <w:gridSpan w:val="3"/>
            <w:shd w:val="clear" w:color="auto" w:fill="FFFFFF"/>
            <w:tcMar>
              <w:top w:w="40" w:type="dxa"/>
              <w:left w:w="155" w:type="dxa"/>
              <w:bottom w:w="40" w:type="dxa"/>
              <w:right w:w="20" w:type="dxa"/>
            </w:tcMar>
            <w:vAlign w:val="bottom"/>
          </w:tcPr>
          <w:p w14:paraId="19502859" w14:textId="77777777" w:rsidR="00BF3A3A" w:rsidRDefault="00A76802">
            <w:pPr>
              <w:textAlignment w:val="bottom"/>
            </w:pPr>
            <w:r>
              <w:rPr>
                <w:rFonts w:ascii="sans-serif" w:eastAsia="sans-serif" w:hAnsi="sans-serif" w:cs="sans-serif"/>
                <w:color w:val="000000"/>
                <w:sz w:val="18"/>
                <w:szCs w:val="18"/>
              </w:rPr>
              <w:t>Proceeds from sales of marketable securities</w:t>
            </w:r>
          </w:p>
        </w:tc>
        <w:tc>
          <w:tcPr>
            <w:tcW w:w="0" w:type="auto"/>
            <w:gridSpan w:val="2"/>
            <w:shd w:val="clear" w:color="auto" w:fill="FFFFFF"/>
            <w:tcMar>
              <w:top w:w="40" w:type="dxa"/>
              <w:left w:w="20" w:type="dxa"/>
              <w:bottom w:w="40" w:type="dxa"/>
              <w:right w:w="0" w:type="dxa"/>
            </w:tcMar>
            <w:vAlign w:val="bottom"/>
          </w:tcPr>
          <w:p w14:paraId="1950285A" w14:textId="77777777" w:rsidR="00BF3A3A" w:rsidRDefault="00A76802">
            <w:pPr>
              <w:jc w:val="right"/>
              <w:textAlignment w:val="bottom"/>
            </w:pPr>
            <w:r>
              <w:rPr>
                <w:rFonts w:ascii="sans-serif" w:eastAsia="sans-serif" w:hAnsi="sans-serif" w:cs="sans-serif"/>
                <w:color w:val="000000"/>
                <w:sz w:val="18"/>
                <w:szCs w:val="18"/>
              </w:rPr>
              <w:t>1,731 </w:t>
            </w:r>
          </w:p>
        </w:tc>
        <w:tc>
          <w:tcPr>
            <w:tcW w:w="0" w:type="auto"/>
            <w:shd w:val="clear" w:color="auto" w:fill="FFFFFF"/>
            <w:tcMar>
              <w:top w:w="40" w:type="dxa"/>
              <w:left w:w="0" w:type="dxa"/>
              <w:bottom w:w="40" w:type="dxa"/>
              <w:right w:w="20" w:type="dxa"/>
            </w:tcMar>
            <w:vAlign w:val="bottom"/>
          </w:tcPr>
          <w:p w14:paraId="1950285B"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85C"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85D" w14:textId="77777777" w:rsidR="00BF3A3A" w:rsidRDefault="00A76802">
            <w:pPr>
              <w:jc w:val="right"/>
              <w:textAlignment w:val="bottom"/>
            </w:pPr>
            <w:r>
              <w:rPr>
                <w:rFonts w:ascii="sans-serif" w:eastAsia="sans-serif" w:hAnsi="sans-serif" w:cs="sans-serif"/>
                <w:color w:val="000000"/>
                <w:sz w:val="18"/>
                <w:szCs w:val="18"/>
              </w:rPr>
              <w:t>705 </w:t>
            </w:r>
          </w:p>
        </w:tc>
        <w:tc>
          <w:tcPr>
            <w:tcW w:w="0" w:type="auto"/>
            <w:shd w:val="clear" w:color="auto" w:fill="FFFFFF"/>
            <w:tcMar>
              <w:top w:w="40" w:type="dxa"/>
              <w:left w:w="0" w:type="dxa"/>
              <w:bottom w:w="40" w:type="dxa"/>
              <w:right w:w="20" w:type="dxa"/>
            </w:tcMar>
            <w:vAlign w:val="bottom"/>
          </w:tcPr>
          <w:p w14:paraId="1950285E" w14:textId="77777777" w:rsidR="00BF3A3A" w:rsidRDefault="00BF3A3A">
            <w:pPr>
              <w:jc w:val="right"/>
              <w:rPr>
                <w:rFonts w:ascii="宋体"/>
              </w:rPr>
            </w:pPr>
          </w:p>
        </w:tc>
      </w:tr>
      <w:tr w:rsidR="00BF3A3A" w14:paraId="19502864" w14:textId="77777777">
        <w:trPr>
          <w:jc w:val="center"/>
          <w:hidden/>
        </w:trPr>
        <w:tc>
          <w:tcPr>
            <w:tcW w:w="0" w:type="auto"/>
            <w:gridSpan w:val="3"/>
            <w:shd w:val="clear" w:color="auto" w:fill="auto"/>
            <w:vAlign w:val="bottom"/>
          </w:tcPr>
          <w:p w14:paraId="19502860" w14:textId="77777777" w:rsidR="00BF3A3A" w:rsidRDefault="00BF3A3A">
            <w:pPr>
              <w:rPr>
                <w:rFonts w:ascii="宋体"/>
                <w:vanish/>
              </w:rPr>
            </w:pPr>
          </w:p>
        </w:tc>
        <w:tc>
          <w:tcPr>
            <w:tcW w:w="0" w:type="auto"/>
            <w:gridSpan w:val="3"/>
            <w:shd w:val="clear" w:color="auto" w:fill="auto"/>
            <w:vAlign w:val="bottom"/>
          </w:tcPr>
          <w:p w14:paraId="19502861" w14:textId="77777777" w:rsidR="00BF3A3A" w:rsidRDefault="00BF3A3A">
            <w:pPr>
              <w:rPr>
                <w:rFonts w:ascii="宋体"/>
                <w:vanish/>
              </w:rPr>
            </w:pPr>
          </w:p>
        </w:tc>
        <w:tc>
          <w:tcPr>
            <w:tcW w:w="0" w:type="auto"/>
            <w:gridSpan w:val="3"/>
            <w:shd w:val="clear" w:color="auto" w:fill="auto"/>
            <w:vAlign w:val="bottom"/>
          </w:tcPr>
          <w:p w14:paraId="19502862" w14:textId="77777777" w:rsidR="00BF3A3A" w:rsidRDefault="00BF3A3A">
            <w:pPr>
              <w:rPr>
                <w:rFonts w:ascii="宋体"/>
                <w:vanish/>
              </w:rPr>
            </w:pPr>
          </w:p>
        </w:tc>
        <w:tc>
          <w:tcPr>
            <w:tcW w:w="0" w:type="auto"/>
            <w:gridSpan w:val="3"/>
            <w:shd w:val="clear" w:color="auto" w:fill="auto"/>
            <w:vAlign w:val="bottom"/>
          </w:tcPr>
          <w:p w14:paraId="19502863" w14:textId="77777777" w:rsidR="00BF3A3A" w:rsidRDefault="00BF3A3A">
            <w:pPr>
              <w:rPr>
                <w:rFonts w:ascii="宋体"/>
                <w:vanish/>
              </w:rPr>
            </w:pPr>
          </w:p>
        </w:tc>
      </w:tr>
      <w:tr w:rsidR="00BF3A3A" w14:paraId="1950286B" w14:textId="77777777">
        <w:trPr>
          <w:jc w:val="center"/>
        </w:trPr>
        <w:tc>
          <w:tcPr>
            <w:tcW w:w="0" w:type="auto"/>
            <w:gridSpan w:val="3"/>
            <w:shd w:val="clear" w:color="auto" w:fill="E2EFD9"/>
            <w:tcMar>
              <w:top w:w="40" w:type="dxa"/>
              <w:left w:w="155" w:type="dxa"/>
              <w:bottom w:w="40" w:type="dxa"/>
              <w:right w:w="20" w:type="dxa"/>
            </w:tcMar>
            <w:vAlign w:val="bottom"/>
          </w:tcPr>
          <w:p w14:paraId="19502865" w14:textId="77777777" w:rsidR="00BF3A3A" w:rsidRDefault="00A76802">
            <w:pPr>
              <w:textAlignment w:val="bottom"/>
            </w:pPr>
            <w:r>
              <w:rPr>
                <w:rFonts w:ascii="sans-serif" w:eastAsia="sans-serif" w:hAnsi="sans-serif" w:cs="sans-serif"/>
                <w:color w:val="000000"/>
                <w:sz w:val="18"/>
                <w:szCs w:val="18"/>
              </w:rPr>
              <w:t>Purchases of marketable securities</w:t>
            </w:r>
          </w:p>
        </w:tc>
        <w:tc>
          <w:tcPr>
            <w:tcW w:w="0" w:type="auto"/>
            <w:gridSpan w:val="2"/>
            <w:shd w:val="clear" w:color="auto" w:fill="E2EFD9"/>
            <w:tcMar>
              <w:top w:w="40" w:type="dxa"/>
              <w:left w:w="20" w:type="dxa"/>
              <w:bottom w:w="40" w:type="dxa"/>
              <w:right w:w="0" w:type="dxa"/>
            </w:tcMar>
            <w:vAlign w:val="bottom"/>
          </w:tcPr>
          <w:p w14:paraId="19502866" w14:textId="77777777" w:rsidR="00BF3A3A" w:rsidRDefault="00A76802">
            <w:pPr>
              <w:jc w:val="right"/>
              <w:textAlignment w:val="bottom"/>
            </w:pPr>
            <w:r>
              <w:rPr>
                <w:rFonts w:ascii="sans-serif" w:eastAsia="sans-serif" w:hAnsi="sans-serif" w:cs="sans-serif"/>
                <w:color w:val="000000"/>
                <w:sz w:val="18"/>
                <w:szCs w:val="18"/>
              </w:rPr>
              <w:t>(7,576)</w:t>
            </w:r>
          </w:p>
        </w:tc>
        <w:tc>
          <w:tcPr>
            <w:tcW w:w="0" w:type="auto"/>
            <w:shd w:val="clear" w:color="auto" w:fill="E2EFD9"/>
            <w:tcMar>
              <w:top w:w="40" w:type="dxa"/>
              <w:left w:w="0" w:type="dxa"/>
              <w:bottom w:w="40" w:type="dxa"/>
              <w:right w:w="20" w:type="dxa"/>
            </w:tcMar>
            <w:vAlign w:val="bottom"/>
          </w:tcPr>
          <w:p w14:paraId="1950286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868"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869" w14:textId="77777777" w:rsidR="00BF3A3A" w:rsidRDefault="00A76802">
            <w:pPr>
              <w:jc w:val="right"/>
              <w:textAlignment w:val="bottom"/>
            </w:pPr>
            <w:r>
              <w:rPr>
                <w:rFonts w:ascii="sans-serif" w:eastAsia="sans-serif" w:hAnsi="sans-serif" w:cs="sans-serif"/>
                <w:color w:val="000000"/>
                <w:sz w:val="18"/>
                <w:szCs w:val="18"/>
              </w:rPr>
              <w:t>(9,268)</w:t>
            </w:r>
          </w:p>
        </w:tc>
        <w:tc>
          <w:tcPr>
            <w:tcW w:w="0" w:type="auto"/>
            <w:shd w:val="clear" w:color="auto" w:fill="E2EFD9"/>
            <w:tcMar>
              <w:top w:w="40" w:type="dxa"/>
              <w:left w:w="0" w:type="dxa"/>
              <w:bottom w:w="40" w:type="dxa"/>
              <w:right w:w="20" w:type="dxa"/>
            </w:tcMar>
            <w:vAlign w:val="bottom"/>
          </w:tcPr>
          <w:p w14:paraId="1950286A" w14:textId="77777777" w:rsidR="00BF3A3A" w:rsidRDefault="00BF3A3A">
            <w:pPr>
              <w:jc w:val="right"/>
              <w:rPr>
                <w:rFonts w:ascii="宋体"/>
              </w:rPr>
            </w:pPr>
          </w:p>
        </w:tc>
      </w:tr>
      <w:tr w:rsidR="00BF3A3A" w14:paraId="19502872" w14:textId="77777777">
        <w:trPr>
          <w:jc w:val="center"/>
        </w:trPr>
        <w:tc>
          <w:tcPr>
            <w:tcW w:w="0" w:type="auto"/>
            <w:gridSpan w:val="3"/>
            <w:shd w:val="clear" w:color="auto" w:fill="FFFFFF"/>
            <w:tcMar>
              <w:top w:w="40" w:type="dxa"/>
              <w:left w:w="155" w:type="dxa"/>
              <w:bottom w:w="40" w:type="dxa"/>
              <w:right w:w="20" w:type="dxa"/>
            </w:tcMar>
            <w:vAlign w:val="bottom"/>
          </w:tcPr>
          <w:p w14:paraId="1950286C" w14:textId="77777777" w:rsidR="00BF3A3A" w:rsidRDefault="00A76802">
            <w:pPr>
              <w:textAlignment w:val="bottom"/>
            </w:pPr>
            <w:r>
              <w:rPr>
                <w:rFonts w:ascii="sans-serif" w:eastAsia="sans-serif" w:hAnsi="sans-serif" w:cs="sans-serif"/>
                <w:color w:val="000000"/>
                <w:sz w:val="18"/>
                <w:szCs w:val="18"/>
              </w:rPr>
              <w:t>Purchases related to property and equipment and intangible assets</w:t>
            </w:r>
          </w:p>
        </w:tc>
        <w:tc>
          <w:tcPr>
            <w:tcW w:w="0" w:type="auto"/>
            <w:gridSpan w:val="2"/>
            <w:shd w:val="clear" w:color="auto" w:fill="FFFFFF"/>
            <w:tcMar>
              <w:top w:w="40" w:type="dxa"/>
              <w:left w:w="20" w:type="dxa"/>
              <w:bottom w:w="40" w:type="dxa"/>
              <w:right w:w="0" w:type="dxa"/>
            </w:tcMar>
            <w:vAlign w:val="bottom"/>
          </w:tcPr>
          <w:p w14:paraId="1950286D" w14:textId="77777777" w:rsidR="00BF3A3A" w:rsidRDefault="00A76802">
            <w:pPr>
              <w:jc w:val="right"/>
              <w:textAlignment w:val="bottom"/>
            </w:pPr>
            <w:r>
              <w:rPr>
                <w:rFonts w:ascii="sans-serif" w:eastAsia="sans-serif" w:hAnsi="sans-serif" w:cs="sans-serif"/>
                <w:color w:val="000000"/>
                <w:sz w:val="18"/>
                <w:szCs w:val="18"/>
              </w:rPr>
              <w:t>(794)</w:t>
            </w:r>
          </w:p>
        </w:tc>
        <w:tc>
          <w:tcPr>
            <w:tcW w:w="0" w:type="auto"/>
            <w:shd w:val="clear" w:color="auto" w:fill="FFFFFF"/>
            <w:tcMar>
              <w:top w:w="40" w:type="dxa"/>
              <w:left w:w="0" w:type="dxa"/>
              <w:bottom w:w="40" w:type="dxa"/>
              <w:right w:w="20" w:type="dxa"/>
            </w:tcMar>
            <w:vAlign w:val="bottom"/>
          </w:tcPr>
          <w:p w14:paraId="1950286E"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86F"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870" w14:textId="77777777" w:rsidR="00BF3A3A" w:rsidRDefault="00A76802">
            <w:pPr>
              <w:jc w:val="right"/>
              <w:textAlignment w:val="bottom"/>
            </w:pPr>
            <w:r>
              <w:rPr>
                <w:rFonts w:ascii="sans-serif" w:eastAsia="sans-serif" w:hAnsi="sans-serif" w:cs="sans-serif"/>
                <w:color w:val="000000"/>
                <w:sz w:val="18"/>
                <w:szCs w:val="18"/>
              </w:rPr>
              <w:t>(481)</w:t>
            </w:r>
          </w:p>
        </w:tc>
        <w:tc>
          <w:tcPr>
            <w:tcW w:w="0" w:type="auto"/>
            <w:shd w:val="clear" w:color="auto" w:fill="FFFFFF"/>
            <w:tcMar>
              <w:top w:w="40" w:type="dxa"/>
              <w:left w:w="0" w:type="dxa"/>
              <w:bottom w:w="40" w:type="dxa"/>
              <w:right w:w="20" w:type="dxa"/>
            </w:tcMar>
            <w:vAlign w:val="bottom"/>
          </w:tcPr>
          <w:p w14:paraId="19502871" w14:textId="77777777" w:rsidR="00BF3A3A" w:rsidRDefault="00BF3A3A">
            <w:pPr>
              <w:jc w:val="right"/>
              <w:rPr>
                <w:rFonts w:ascii="宋体"/>
              </w:rPr>
            </w:pPr>
          </w:p>
        </w:tc>
      </w:tr>
      <w:tr w:rsidR="00BF3A3A" w14:paraId="19502879" w14:textId="77777777">
        <w:trPr>
          <w:jc w:val="center"/>
        </w:trPr>
        <w:tc>
          <w:tcPr>
            <w:tcW w:w="0" w:type="auto"/>
            <w:gridSpan w:val="3"/>
            <w:shd w:val="clear" w:color="auto" w:fill="E2EFD9"/>
            <w:tcMar>
              <w:top w:w="40" w:type="dxa"/>
              <w:left w:w="155" w:type="dxa"/>
              <w:bottom w:w="40" w:type="dxa"/>
              <w:right w:w="20" w:type="dxa"/>
            </w:tcMar>
            <w:vAlign w:val="bottom"/>
          </w:tcPr>
          <w:p w14:paraId="19502873" w14:textId="77777777" w:rsidR="00BF3A3A" w:rsidRDefault="00A76802">
            <w:pPr>
              <w:textAlignment w:val="bottom"/>
            </w:pPr>
            <w:r>
              <w:rPr>
                <w:rFonts w:ascii="sans-serif" w:eastAsia="sans-serif" w:hAnsi="sans-serif" w:cs="sans-serif"/>
                <w:color w:val="000000"/>
                <w:sz w:val="18"/>
                <w:szCs w:val="18"/>
              </w:rPr>
              <w:t>Acquisitions, net of cash acquired</w:t>
            </w:r>
          </w:p>
        </w:tc>
        <w:tc>
          <w:tcPr>
            <w:tcW w:w="0" w:type="auto"/>
            <w:gridSpan w:val="2"/>
            <w:shd w:val="clear" w:color="auto" w:fill="E2EFD9"/>
            <w:tcMar>
              <w:top w:w="40" w:type="dxa"/>
              <w:left w:w="20" w:type="dxa"/>
              <w:bottom w:w="40" w:type="dxa"/>
              <w:right w:w="0" w:type="dxa"/>
            </w:tcMar>
            <w:vAlign w:val="bottom"/>
          </w:tcPr>
          <w:p w14:paraId="19502874" w14:textId="77777777" w:rsidR="00BF3A3A" w:rsidRDefault="00A76802">
            <w:pPr>
              <w:jc w:val="right"/>
              <w:textAlignment w:val="bottom"/>
            </w:pPr>
            <w:r>
              <w:rPr>
                <w:rFonts w:ascii="sans-serif" w:eastAsia="sans-serif" w:hAnsi="sans-serif" w:cs="sans-serif"/>
                <w:color w:val="000000"/>
                <w:sz w:val="18"/>
                <w:szCs w:val="18"/>
              </w:rPr>
              <w:t>(49)</w:t>
            </w:r>
          </w:p>
        </w:tc>
        <w:tc>
          <w:tcPr>
            <w:tcW w:w="0" w:type="auto"/>
            <w:shd w:val="clear" w:color="auto" w:fill="E2EFD9"/>
            <w:tcMar>
              <w:top w:w="40" w:type="dxa"/>
              <w:left w:w="0" w:type="dxa"/>
              <w:bottom w:w="40" w:type="dxa"/>
              <w:right w:w="20" w:type="dxa"/>
            </w:tcMar>
            <w:vAlign w:val="bottom"/>
          </w:tcPr>
          <w:p w14:paraId="1950287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876"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877" w14:textId="77777777" w:rsidR="00BF3A3A" w:rsidRDefault="00A76802">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left w:w="0" w:type="dxa"/>
              <w:bottom w:w="40" w:type="dxa"/>
              <w:right w:w="20" w:type="dxa"/>
            </w:tcMar>
            <w:vAlign w:val="bottom"/>
          </w:tcPr>
          <w:p w14:paraId="19502878" w14:textId="77777777" w:rsidR="00BF3A3A" w:rsidRDefault="00BF3A3A">
            <w:pPr>
              <w:jc w:val="right"/>
              <w:rPr>
                <w:rFonts w:ascii="宋体"/>
              </w:rPr>
            </w:pPr>
          </w:p>
        </w:tc>
      </w:tr>
      <w:tr w:rsidR="00BF3A3A" w14:paraId="19502880" w14:textId="77777777">
        <w:trPr>
          <w:jc w:val="center"/>
        </w:trPr>
        <w:tc>
          <w:tcPr>
            <w:tcW w:w="0" w:type="auto"/>
            <w:gridSpan w:val="3"/>
            <w:shd w:val="clear" w:color="auto" w:fill="FFFFFF"/>
            <w:tcMar>
              <w:top w:w="40" w:type="dxa"/>
              <w:left w:w="155" w:type="dxa"/>
              <w:bottom w:w="40" w:type="dxa"/>
              <w:right w:w="20" w:type="dxa"/>
            </w:tcMar>
            <w:vAlign w:val="bottom"/>
          </w:tcPr>
          <w:p w14:paraId="1950287A" w14:textId="77777777" w:rsidR="00BF3A3A" w:rsidRDefault="00A76802">
            <w:pPr>
              <w:textAlignment w:val="bottom"/>
            </w:pPr>
            <w:r>
              <w:rPr>
                <w:rFonts w:ascii="sans-serif" w:eastAsia="sans-serif" w:hAnsi="sans-serif" w:cs="sans-serif"/>
                <w:color w:val="000000"/>
                <w:sz w:val="18"/>
                <w:szCs w:val="18"/>
              </w:rPr>
              <w:t>Investments and other, net</w:t>
            </w:r>
          </w:p>
        </w:tc>
        <w:tc>
          <w:tcPr>
            <w:tcW w:w="0" w:type="auto"/>
            <w:gridSpan w:val="2"/>
            <w:shd w:val="clear" w:color="auto" w:fill="FFFFFF"/>
            <w:tcMar>
              <w:top w:w="40" w:type="dxa"/>
              <w:left w:w="20" w:type="dxa"/>
              <w:bottom w:w="40" w:type="dxa"/>
              <w:right w:w="0" w:type="dxa"/>
            </w:tcMar>
            <w:vAlign w:val="bottom"/>
          </w:tcPr>
          <w:p w14:paraId="1950287B" w14:textId="77777777" w:rsidR="00BF3A3A" w:rsidRDefault="00A76802">
            <w:pPr>
              <w:jc w:val="right"/>
              <w:textAlignment w:val="bottom"/>
            </w:pPr>
            <w:r>
              <w:rPr>
                <w:rFonts w:ascii="sans-serif" w:eastAsia="sans-serif" w:hAnsi="sans-serif" w:cs="sans-serif"/>
                <w:color w:val="000000"/>
                <w:sz w:val="18"/>
                <w:szCs w:val="18"/>
              </w:rPr>
              <w:t>(65)</w:t>
            </w:r>
          </w:p>
        </w:tc>
        <w:tc>
          <w:tcPr>
            <w:tcW w:w="0" w:type="auto"/>
            <w:shd w:val="clear" w:color="auto" w:fill="FFFFFF"/>
            <w:tcMar>
              <w:top w:w="40" w:type="dxa"/>
              <w:left w:w="0" w:type="dxa"/>
              <w:bottom w:w="40" w:type="dxa"/>
              <w:right w:w="20" w:type="dxa"/>
            </w:tcMar>
            <w:vAlign w:val="bottom"/>
          </w:tcPr>
          <w:p w14:paraId="1950287C"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87D"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87E" w14:textId="77777777" w:rsidR="00BF3A3A" w:rsidRDefault="00A76802">
            <w:pPr>
              <w:jc w:val="right"/>
              <w:textAlignment w:val="bottom"/>
            </w:pPr>
            <w:r>
              <w:rPr>
                <w:rFonts w:ascii="sans-serif" w:eastAsia="sans-serif" w:hAnsi="sans-serif" w:cs="sans-serif"/>
                <w:color w:val="000000"/>
                <w:sz w:val="18"/>
                <w:szCs w:val="18"/>
              </w:rPr>
              <w:t>3 </w:t>
            </w:r>
          </w:p>
        </w:tc>
        <w:tc>
          <w:tcPr>
            <w:tcW w:w="0" w:type="auto"/>
            <w:shd w:val="clear" w:color="auto" w:fill="FFFFFF"/>
            <w:tcMar>
              <w:top w:w="40" w:type="dxa"/>
              <w:left w:w="0" w:type="dxa"/>
              <w:bottom w:w="40" w:type="dxa"/>
              <w:right w:w="20" w:type="dxa"/>
            </w:tcMar>
            <w:vAlign w:val="bottom"/>
          </w:tcPr>
          <w:p w14:paraId="1950287F" w14:textId="77777777" w:rsidR="00BF3A3A" w:rsidRDefault="00BF3A3A">
            <w:pPr>
              <w:jc w:val="right"/>
              <w:rPr>
                <w:rFonts w:ascii="宋体"/>
              </w:rPr>
            </w:pPr>
          </w:p>
        </w:tc>
      </w:tr>
      <w:tr w:rsidR="00BF3A3A" w14:paraId="19502887" w14:textId="77777777">
        <w:trPr>
          <w:jc w:val="center"/>
        </w:trPr>
        <w:tc>
          <w:tcPr>
            <w:tcW w:w="0" w:type="auto"/>
            <w:gridSpan w:val="3"/>
            <w:shd w:val="clear" w:color="auto" w:fill="E2EFD9"/>
            <w:tcMar>
              <w:top w:w="40" w:type="dxa"/>
              <w:left w:w="20" w:type="dxa"/>
              <w:bottom w:w="40" w:type="dxa"/>
              <w:right w:w="20" w:type="dxa"/>
            </w:tcMar>
            <w:vAlign w:val="bottom"/>
          </w:tcPr>
          <w:p w14:paraId="19502881" w14:textId="77777777" w:rsidR="00BF3A3A" w:rsidRDefault="00A76802">
            <w:pPr>
              <w:textAlignment w:val="bottom"/>
            </w:pPr>
            <w:r>
              <w:rPr>
                <w:rFonts w:ascii="sans-serif" w:eastAsia="sans-serif" w:hAnsi="sans-serif" w:cs="sans-serif"/>
                <w:color w:val="000000"/>
                <w:sz w:val="18"/>
                <w:szCs w:val="18"/>
              </w:rPr>
              <w:t>Net cash provided by (used in) investing activities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882" w14:textId="77777777" w:rsidR="00BF3A3A" w:rsidRDefault="00A76802">
            <w:pPr>
              <w:jc w:val="right"/>
              <w:textAlignment w:val="bottom"/>
            </w:pPr>
            <w:r>
              <w:rPr>
                <w:rFonts w:ascii="sans-serif" w:eastAsia="sans-serif" w:hAnsi="sans-serif" w:cs="sans-serif"/>
                <w:color w:val="000000"/>
                <w:sz w:val="18"/>
                <w:szCs w:val="18"/>
              </w:rPr>
              <w:t>4,230 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88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884"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885" w14:textId="77777777" w:rsidR="00BF3A3A" w:rsidRDefault="00A76802">
            <w:pPr>
              <w:jc w:val="right"/>
              <w:textAlignment w:val="bottom"/>
            </w:pPr>
            <w:r>
              <w:rPr>
                <w:rFonts w:ascii="sans-serif" w:eastAsia="sans-serif" w:hAnsi="sans-serif" w:cs="sans-serif"/>
                <w:color w:val="000000"/>
                <w:sz w:val="18"/>
                <w:szCs w:val="18"/>
              </w:rPr>
              <w:t>(3,805)</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886" w14:textId="77777777" w:rsidR="00BF3A3A" w:rsidRDefault="00BF3A3A">
            <w:pPr>
              <w:jc w:val="right"/>
              <w:rPr>
                <w:rFonts w:ascii="宋体"/>
              </w:rPr>
            </w:pPr>
          </w:p>
        </w:tc>
      </w:tr>
      <w:tr w:rsidR="00BF3A3A" w14:paraId="1950288C" w14:textId="77777777">
        <w:trPr>
          <w:jc w:val="center"/>
        </w:trPr>
        <w:tc>
          <w:tcPr>
            <w:tcW w:w="0" w:type="auto"/>
            <w:gridSpan w:val="3"/>
            <w:shd w:val="clear" w:color="auto" w:fill="FFFFFF"/>
            <w:tcMar>
              <w:top w:w="40" w:type="dxa"/>
              <w:left w:w="20" w:type="dxa"/>
              <w:bottom w:w="40" w:type="dxa"/>
              <w:right w:w="20" w:type="dxa"/>
            </w:tcMar>
            <w:vAlign w:val="bottom"/>
          </w:tcPr>
          <w:p w14:paraId="19502888" w14:textId="77777777" w:rsidR="00BF3A3A" w:rsidRDefault="00A76802">
            <w:pPr>
              <w:textAlignment w:val="bottom"/>
            </w:pPr>
            <w:r>
              <w:rPr>
                <w:rFonts w:ascii="sans-serif" w:eastAsia="sans-serif" w:hAnsi="sans-serif" w:cs="sans-serif"/>
                <w:color w:val="000000"/>
                <w:sz w:val="18"/>
                <w:szCs w:val="18"/>
              </w:rPr>
              <w:t>Cash flows from financing activities: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9502889" w14:textId="77777777" w:rsidR="00BF3A3A" w:rsidRDefault="00A76802">
            <w:pPr>
              <w:textAlignment w:val="bottom"/>
            </w:pPr>
            <w:r>
              <w:rPr>
                <w:rFonts w:ascii="sans-serif" w:eastAsia="sans-serif" w:hAnsi="sans-serif" w:cs="sans-serif"/>
                <w:color w:val="000000"/>
                <w:sz w:val="18"/>
                <w:szCs w:val="18"/>
              </w:rPr>
              <w:t> </w:t>
            </w:r>
          </w:p>
        </w:tc>
        <w:tc>
          <w:tcPr>
            <w:tcW w:w="0" w:type="auto"/>
            <w:gridSpan w:val="3"/>
            <w:shd w:val="clear" w:color="auto" w:fill="FFFFFF"/>
            <w:tcMar>
              <w:top w:w="0" w:type="dxa"/>
              <w:left w:w="20" w:type="dxa"/>
              <w:bottom w:w="0" w:type="dxa"/>
              <w:right w:w="20" w:type="dxa"/>
            </w:tcMar>
            <w:vAlign w:val="bottom"/>
          </w:tcPr>
          <w:p w14:paraId="1950288A" w14:textId="77777777" w:rsidR="00BF3A3A" w:rsidRDefault="00BF3A3A">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950288B" w14:textId="77777777" w:rsidR="00BF3A3A" w:rsidRDefault="00A76802">
            <w:pPr>
              <w:textAlignment w:val="bottom"/>
            </w:pPr>
            <w:r>
              <w:rPr>
                <w:rFonts w:ascii="sans-serif" w:eastAsia="sans-serif" w:hAnsi="sans-serif" w:cs="sans-serif"/>
                <w:color w:val="000000"/>
                <w:sz w:val="18"/>
                <w:szCs w:val="18"/>
              </w:rPr>
              <w:t> </w:t>
            </w:r>
          </w:p>
        </w:tc>
      </w:tr>
      <w:tr w:rsidR="00BF3A3A" w14:paraId="19502893" w14:textId="77777777">
        <w:trPr>
          <w:jc w:val="center"/>
        </w:trPr>
        <w:tc>
          <w:tcPr>
            <w:tcW w:w="0" w:type="auto"/>
            <w:gridSpan w:val="3"/>
            <w:shd w:val="clear" w:color="auto" w:fill="E2EFD9"/>
            <w:tcMar>
              <w:top w:w="40" w:type="dxa"/>
              <w:left w:w="155" w:type="dxa"/>
              <w:bottom w:w="40" w:type="dxa"/>
              <w:right w:w="20" w:type="dxa"/>
            </w:tcMar>
            <w:vAlign w:val="bottom"/>
          </w:tcPr>
          <w:p w14:paraId="1950288D" w14:textId="77777777" w:rsidR="00BF3A3A" w:rsidRDefault="00A76802">
            <w:pPr>
              <w:textAlignment w:val="bottom"/>
            </w:pPr>
            <w:r>
              <w:rPr>
                <w:rFonts w:ascii="sans-serif" w:eastAsia="sans-serif" w:hAnsi="sans-serif" w:cs="sans-serif"/>
                <w:color w:val="000000"/>
                <w:sz w:val="18"/>
                <w:szCs w:val="18"/>
              </w:rPr>
              <w:t>Issuance of debt, net of issuance costs</w:t>
            </w:r>
          </w:p>
        </w:tc>
        <w:tc>
          <w:tcPr>
            <w:tcW w:w="0" w:type="auto"/>
            <w:gridSpan w:val="2"/>
            <w:shd w:val="clear" w:color="auto" w:fill="E2EFD9"/>
            <w:tcMar>
              <w:top w:w="40" w:type="dxa"/>
              <w:left w:w="20" w:type="dxa"/>
              <w:bottom w:w="40" w:type="dxa"/>
              <w:right w:w="0" w:type="dxa"/>
            </w:tcMar>
            <w:vAlign w:val="bottom"/>
          </w:tcPr>
          <w:p w14:paraId="1950288E" w14:textId="77777777" w:rsidR="00BF3A3A" w:rsidRDefault="00A76802">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left w:w="0" w:type="dxa"/>
              <w:bottom w:w="40" w:type="dxa"/>
              <w:right w:w="20" w:type="dxa"/>
            </w:tcMar>
            <w:vAlign w:val="bottom"/>
          </w:tcPr>
          <w:p w14:paraId="1950288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890"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891" w14:textId="77777777" w:rsidR="00BF3A3A" w:rsidRDefault="00A76802">
            <w:pPr>
              <w:jc w:val="right"/>
              <w:textAlignment w:val="bottom"/>
            </w:pPr>
            <w:r>
              <w:rPr>
                <w:rFonts w:ascii="sans-serif" w:eastAsia="sans-serif" w:hAnsi="sans-serif" w:cs="sans-serif"/>
                <w:color w:val="000000"/>
                <w:sz w:val="18"/>
                <w:szCs w:val="18"/>
              </w:rPr>
              <w:t>4,985 </w:t>
            </w:r>
          </w:p>
        </w:tc>
        <w:tc>
          <w:tcPr>
            <w:tcW w:w="0" w:type="auto"/>
            <w:shd w:val="clear" w:color="auto" w:fill="E2EFD9"/>
            <w:tcMar>
              <w:top w:w="40" w:type="dxa"/>
              <w:left w:w="0" w:type="dxa"/>
              <w:bottom w:w="40" w:type="dxa"/>
              <w:right w:w="20" w:type="dxa"/>
            </w:tcMar>
            <w:vAlign w:val="bottom"/>
          </w:tcPr>
          <w:p w14:paraId="19502892" w14:textId="77777777" w:rsidR="00BF3A3A" w:rsidRDefault="00BF3A3A">
            <w:pPr>
              <w:jc w:val="right"/>
              <w:rPr>
                <w:rFonts w:ascii="宋体"/>
              </w:rPr>
            </w:pPr>
          </w:p>
        </w:tc>
      </w:tr>
      <w:tr w:rsidR="00BF3A3A" w14:paraId="1950289A" w14:textId="77777777">
        <w:trPr>
          <w:jc w:val="center"/>
        </w:trPr>
        <w:tc>
          <w:tcPr>
            <w:tcW w:w="0" w:type="auto"/>
            <w:gridSpan w:val="3"/>
            <w:shd w:val="clear" w:color="auto" w:fill="FFFFFF"/>
            <w:tcMar>
              <w:top w:w="40" w:type="dxa"/>
              <w:left w:w="155" w:type="dxa"/>
              <w:bottom w:w="40" w:type="dxa"/>
              <w:right w:w="20" w:type="dxa"/>
            </w:tcMar>
            <w:vAlign w:val="bottom"/>
          </w:tcPr>
          <w:p w14:paraId="19502894" w14:textId="77777777" w:rsidR="00BF3A3A" w:rsidRDefault="00A76802">
            <w:pPr>
              <w:textAlignment w:val="bottom"/>
            </w:pPr>
            <w:r>
              <w:rPr>
                <w:rFonts w:ascii="sans-serif" w:eastAsia="sans-serif" w:hAnsi="sans-serif" w:cs="sans-serif"/>
                <w:color w:val="000000"/>
                <w:sz w:val="18"/>
                <w:szCs w:val="18"/>
              </w:rPr>
              <w:t>Proceeds related to employee stock plans</w:t>
            </w:r>
          </w:p>
        </w:tc>
        <w:tc>
          <w:tcPr>
            <w:tcW w:w="0" w:type="auto"/>
            <w:gridSpan w:val="2"/>
            <w:shd w:val="clear" w:color="auto" w:fill="FFFFFF"/>
            <w:tcMar>
              <w:top w:w="40" w:type="dxa"/>
              <w:left w:w="20" w:type="dxa"/>
              <w:bottom w:w="40" w:type="dxa"/>
              <w:right w:w="0" w:type="dxa"/>
            </w:tcMar>
            <w:vAlign w:val="bottom"/>
          </w:tcPr>
          <w:p w14:paraId="19502895" w14:textId="77777777" w:rsidR="00BF3A3A" w:rsidRDefault="00A76802">
            <w:pPr>
              <w:jc w:val="right"/>
              <w:textAlignment w:val="bottom"/>
            </w:pPr>
            <w:r>
              <w:rPr>
                <w:rFonts w:ascii="sans-serif" w:eastAsia="sans-serif" w:hAnsi="sans-serif" w:cs="sans-serif"/>
                <w:color w:val="000000"/>
                <w:sz w:val="18"/>
                <w:szCs w:val="18"/>
              </w:rPr>
              <w:t>205 </w:t>
            </w:r>
          </w:p>
        </w:tc>
        <w:tc>
          <w:tcPr>
            <w:tcW w:w="0" w:type="auto"/>
            <w:shd w:val="clear" w:color="auto" w:fill="FFFFFF"/>
            <w:tcMar>
              <w:top w:w="40" w:type="dxa"/>
              <w:left w:w="0" w:type="dxa"/>
              <w:bottom w:w="40" w:type="dxa"/>
              <w:right w:w="20" w:type="dxa"/>
            </w:tcMar>
            <w:vAlign w:val="bottom"/>
          </w:tcPr>
          <w:p w14:paraId="1950289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897"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898" w14:textId="77777777" w:rsidR="00BF3A3A" w:rsidRDefault="00A76802">
            <w:pPr>
              <w:jc w:val="right"/>
              <w:textAlignment w:val="bottom"/>
            </w:pPr>
            <w:r>
              <w:rPr>
                <w:rFonts w:ascii="sans-serif" w:eastAsia="sans-serif" w:hAnsi="sans-serif" w:cs="sans-serif"/>
                <w:color w:val="000000"/>
                <w:sz w:val="18"/>
                <w:szCs w:val="18"/>
              </w:rPr>
              <w:t>128 </w:t>
            </w:r>
          </w:p>
        </w:tc>
        <w:tc>
          <w:tcPr>
            <w:tcW w:w="0" w:type="auto"/>
            <w:shd w:val="clear" w:color="auto" w:fill="FFFFFF"/>
            <w:tcMar>
              <w:top w:w="40" w:type="dxa"/>
              <w:left w:w="0" w:type="dxa"/>
              <w:bottom w:w="40" w:type="dxa"/>
              <w:right w:w="20" w:type="dxa"/>
            </w:tcMar>
            <w:vAlign w:val="bottom"/>
          </w:tcPr>
          <w:p w14:paraId="19502899" w14:textId="77777777" w:rsidR="00BF3A3A" w:rsidRDefault="00BF3A3A">
            <w:pPr>
              <w:jc w:val="right"/>
              <w:rPr>
                <w:rFonts w:ascii="宋体"/>
              </w:rPr>
            </w:pPr>
          </w:p>
        </w:tc>
      </w:tr>
      <w:tr w:rsidR="00BF3A3A" w14:paraId="195028A1" w14:textId="77777777">
        <w:trPr>
          <w:jc w:val="center"/>
        </w:trPr>
        <w:tc>
          <w:tcPr>
            <w:tcW w:w="0" w:type="auto"/>
            <w:gridSpan w:val="3"/>
            <w:shd w:val="clear" w:color="auto" w:fill="E2EFD9"/>
            <w:tcMar>
              <w:top w:w="40" w:type="dxa"/>
              <w:left w:w="155" w:type="dxa"/>
              <w:bottom w:w="40" w:type="dxa"/>
              <w:right w:w="20" w:type="dxa"/>
            </w:tcMar>
            <w:vAlign w:val="bottom"/>
          </w:tcPr>
          <w:p w14:paraId="1950289B" w14:textId="77777777" w:rsidR="00BF3A3A" w:rsidRDefault="00A76802">
            <w:pPr>
              <w:textAlignment w:val="bottom"/>
            </w:pPr>
            <w:r>
              <w:rPr>
                <w:rFonts w:ascii="sans-serif" w:eastAsia="sans-serif" w:hAnsi="sans-serif" w:cs="sans-serif"/>
                <w:color w:val="000000"/>
                <w:sz w:val="18"/>
                <w:szCs w:val="18"/>
              </w:rPr>
              <w:t xml:space="preserve">Payments related to repurchases of common stock </w:t>
            </w:r>
          </w:p>
        </w:tc>
        <w:tc>
          <w:tcPr>
            <w:tcW w:w="0" w:type="auto"/>
            <w:gridSpan w:val="2"/>
            <w:shd w:val="clear" w:color="auto" w:fill="E2EFD9"/>
            <w:tcMar>
              <w:top w:w="40" w:type="dxa"/>
              <w:left w:w="20" w:type="dxa"/>
              <w:bottom w:w="40" w:type="dxa"/>
              <w:right w:w="0" w:type="dxa"/>
            </w:tcMar>
            <w:vAlign w:val="bottom"/>
          </w:tcPr>
          <w:p w14:paraId="1950289C" w14:textId="77777777" w:rsidR="00BF3A3A" w:rsidRDefault="00A76802">
            <w:pPr>
              <w:jc w:val="right"/>
              <w:textAlignment w:val="bottom"/>
            </w:pPr>
            <w:r>
              <w:rPr>
                <w:rFonts w:ascii="sans-serif" w:eastAsia="sans-serif" w:hAnsi="sans-serif" w:cs="sans-serif"/>
                <w:color w:val="000000"/>
                <w:sz w:val="18"/>
                <w:szCs w:val="18"/>
              </w:rPr>
              <w:t>(5,341)</w:t>
            </w:r>
          </w:p>
        </w:tc>
        <w:tc>
          <w:tcPr>
            <w:tcW w:w="0" w:type="auto"/>
            <w:shd w:val="clear" w:color="auto" w:fill="E2EFD9"/>
            <w:tcMar>
              <w:top w:w="40" w:type="dxa"/>
              <w:left w:w="0" w:type="dxa"/>
              <w:bottom w:w="40" w:type="dxa"/>
              <w:right w:w="20" w:type="dxa"/>
            </w:tcMar>
            <w:vAlign w:val="bottom"/>
          </w:tcPr>
          <w:p w14:paraId="1950289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89E"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89F" w14:textId="77777777" w:rsidR="00BF3A3A" w:rsidRDefault="00A76802">
            <w:pPr>
              <w:jc w:val="right"/>
              <w:textAlignment w:val="bottom"/>
            </w:pPr>
            <w:r>
              <w:rPr>
                <w:rFonts w:ascii="sans-serif" w:eastAsia="sans-serif" w:hAnsi="sans-serif" w:cs="sans-serif"/>
                <w:color w:val="000000"/>
                <w:sz w:val="18"/>
                <w:szCs w:val="18"/>
              </w:rPr>
              <w:t>— </w:t>
            </w:r>
          </w:p>
        </w:tc>
        <w:tc>
          <w:tcPr>
            <w:tcW w:w="0" w:type="auto"/>
            <w:shd w:val="clear" w:color="auto" w:fill="E2EFD9"/>
            <w:tcMar>
              <w:top w:w="40" w:type="dxa"/>
              <w:left w:w="0" w:type="dxa"/>
              <w:bottom w:w="40" w:type="dxa"/>
              <w:right w:w="20" w:type="dxa"/>
            </w:tcMar>
            <w:vAlign w:val="bottom"/>
          </w:tcPr>
          <w:p w14:paraId="195028A0" w14:textId="77777777" w:rsidR="00BF3A3A" w:rsidRDefault="00BF3A3A">
            <w:pPr>
              <w:jc w:val="right"/>
              <w:rPr>
                <w:rFonts w:ascii="宋体"/>
              </w:rPr>
            </w:pPr>
          </w:p>
        </w:tc>
      </w:tr>
      <w:tr w:rsidR="00BF3A3A" w14:paraId="195028A8" w14:textId="77777777">
        <w:trPr>
          <w:jc w:val="center"/>
        </w:trPr>
        <w:tc>
          <w:tcPr>
            <w:tcW w:w="0" w:type="auto"/>
            <w:gridSpan w:val="3"/>
            <w:shd w:val="clear" w:color="auto" w:fill="FFFFFF"/>
            <w:tcMar>
              <w:top w:w="40" w:type="dxa"/>
              <w:left w:w="155" w:type="dxa"/>
              <w:bottom w:w="40" w:type="dxa"/>
              <w:right w:w="20" w:type="dxa"/>
            </w:tcMar>
            <w:vAlign w:val="bottom"/>
          </w:tcPr>
          <w:p w14:paraId="195028A2" w14:textId="77777777" w:rsidR="00BF3A3A" w:rsidRDefault="00A76802">
            <w:pPr>
              <w:textAlignment w:val="bottom"/>
            </w:pPr>
            <w:r>
              <w:rPr>
                <w:rFonts w:ascii="sans-serif" w:eastAsia="sans-serif" w:hAnsi="sans-serif" w:cs="sans-serif"/>
                <w:color w:val="000000"/>
                <w:sz w:val="18"/>
                <w:szCs w:val="18"/>
              </w:rPr>
              <w:t>Payments related to tax on restricted stock units</w:t>
            </w:r>
          </w:p>
        </w:tc>
        <w:tc>
          <w:tcPr>
            <w:tcW w:w="0" w:type="auto"/>
            <w:gridSpan w:val="2"/>
            <w:shd w:val="clear" w:color="auto" w:fill="FFFFFF"/>
            <w:tcMar>
              <w:top w:w="40" w:type="dxa"/>
              <w:left w:w="20" w:type="dxa"/>
              <w:bottom w:w="40" w:type="dxa"/>
              <w:right w:w="0" w:type="dxa"/>
            </w:tcMar>
            <w:vAlign w:val="bottom"/>
          </w:tcPr>
          <w:p w14:paraId="195028A3" w14:textId="77777777" w:rsidR="00BF3A3A" w:rsidRDefault="00A76802">
            <w:pPr>
              <w:jc w:val="right"/>
              <w:textAlignment w:val="bottom"/>
            </w:pPr>
            <w:r>
              <w:rPr>
                <w:rFonts w:ascii="sans-serif" w:eastAsia="sans-serif" w:hAnsi="sans-serif" w:cs="sans-serif"/>
                <w:color w:val="000000"/>
                <w:sz w:val="18"/>
                <w:szCs w:val="18"/>
              </w:rPr>
              <w:t>(837)</w:t>
            </w:r>
          </w:p>
        </w:tc>
        <w:tc>
          <w:tcPr>
            <w:tcW w:w="0" w:type="auto"/>
            <w:shd w:val="clear" w:color="auto" w:fill="FFFFFF"/>
            <w:tcMar>
              <w:top w:w="40" w:type="dxa"/>
              <w:left w:w="0" w:type="dxa"/>
              <w:bottom w:w="40" w:type="dxa"/>
              <w:right w:w="20" w:type="dxa"/>
            </w:tcMar>
            <w:vAlign w:val="bottom"/>
          </w:tcPr>
          <w:p w14:paraId="195028A4"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8A5"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8A6" w14:textId="77777777" w:rsidR="00BF3A3A" w:rsidRDefault="00A76802">
            <w:pPr>
              <w:jc w:val="right"/>
              <w:textAlignment w:val="bottom"/>
            </w:pPr>
            <w:r>
              <w:rPr>
                <w:rFonts w:ascii="sans-serif" w:eastAsia="sans-serif" w:hAnsi="sans-serif" w:cs="sans-serif"/>
                <w:color w:val="000000"/>
                <w:sz w:val="18"/>
                <w:szCs w:val="18"/>
              </w:rPr>
              <w:t>(843)</w:t>
            </w:r>
          </w:p>
        </w:tc>
        <w:tc>
          <w:tcPr>
            <w:tcW w:w="0" w:type="auto"/>
            <w:shd w:val="clear" w:color="auto" w:fill="FFFFFF"/>
            <w:tcMar>
              <w:top w:w="40" w:type="dxa"/>
              <w:left w:w="0" w:type="dxa"/>
              <w:bottom w:w="40" w:type="dxa"/>
              <w:right w:w="20" w:type="dxa"/>
            </w:tcMar>
            <w:vAlign w:val="bottom"/>
          </w:tcPr>
          <w:p w14:paraId="195028A7" w14:textId="77777777" w:rsidR="00BF3A3A" w:rsidRDefault="00BF3A3A">
            <w:pPr>
              <w:jc w:val="right"/>
              <w:rPr>
                <w:rFonts w:ascii="宋体"/>
              </w:rPr>
            </w:pPr>
          </w:p>
        </w:tc>
      </w:tr>
      <w:tr w:rsidR="00BF3A3A" w14:paraId="195028AD" w14:textId="77777777">
        <w:trPr>
          <w:jc w:val="center"/>
          <w:hidden/>
        </w:trPr>
        <w:tc>
          <w:tcPr>
            <w:tcW w:w="0" w:type="auto"/>
            <w:gridSpan w:val="3"/>
            <w:shd w:val="clear" w:color="auto" w:fill="auto"/>
            <w:vAlign w:val="bottom"/>
          </w:tcPr>
          <w:p w14:paraId="195028A9" w14:textId="77777777" w:rsidR="00BF3A3A" w:rsidRDefault="00BF3A3A">
            <w:pPr>
              <w:rPr>
                <w:rFonts w:ascii="宋体"/>
                <w:vanish/>
              </w:rPr>
            </w:pPr>
          </w:p>
        </w:tc>
        <w:tc>
          <w:tcPr>
            <w:tcW w:w="0" w:type="auto"/>
            <w:gridSpan w:val="3"/>
            <w:shd w:val="clear" w:color="auto" w:fill="auto"/>
            <w:vAlign w:val="bottom"/>
          </w:tcPr>
          <w:p w14:paraId="195028AA" w14:textId="77777777" w:rsidR="00BF3A3A" w:rsidRDefault="00BF3A3A">
            <w:pPr>
              <w:rPr>
                <w:rFonts w:ascii="宋体"/>
                <w:vanish/>
              </w:rPr>
            </w:pPr>
          </w:p>
        </w:tc>
        <w:tc>
          <w:tcPr>
            <w:tcW w:w="0" w:type="auto"/>
            <w:gridSpan w:val="3"/>
            <w:shd w:val="clear" w:color="auto" w:fill="auto"/>
            <w:vAlign w:val="bottom"/>
          </w:tcPr>
          <w:p w14:paraId="195028AB" w14:textId="77777777" w:rsidR="00BF3A3A" w:rsidRDefault="00BF3A3A">
            <w:pPr>
              <w:rPr>
                <w:rFonts w:ascii="宋体"/>
                <w:vanish/>
              </w:rPr>
            </w:pPr>
          </w:p>
        </w:tc>
        <w:tc>
          <w:tcPr>
            <w:tcW w:w="0" w:type="auto"/>
            <w:gridSpan w:val="3"/>
            <w:shd w:val="clear" w:color="auto" w:fill="auto"/>
            <w:vAlign w:val="bottom"/>
          </w:tcPr>
          <w:p w14:paraId="195028AC" w14:textId="77777777" w:rsidR="00BF3A3A" w:rsidRDefault="00BF3A3A">
            <w:pPr>
              <w:rPr>
                <w:rFonts w:ascii="宋体"/>
                <w:vanish/>
              </w:rPr>
            </w:pPr>
          </w:p>
        </w:tc>
      </w:tr>
      <w:tr w:rsidR="00BF3A3A" w14:paraId="195028B4" w14:textId="77777777">
        <w:trPr>
          <w:jc w:val="center"/>
        </w:trPr>
        <w:tc>
          <w:tcPr>
            <w:tcW w:w="0" w:type="auto"/>
            <w:gridSpan w:val="3"/>
            <w:shd w:val="clear" w:color="auto" w:fill="E2EFD9"/>
            <w:tcMar>
              <w:top w:w="40" w:type="dxa"/>
              <w:left w:w="155" w:type="dxa"/>
              <w:bottom w:w="40" w:type="dxa"/>
              <w:right w:w="20" w:type="dxa"/>
            </w:tcMar>
            <w:vAlign w:val="bottom"/>
          </w:tcPr>
          <w:p w14:paraId="195028AE" w14:textId="77777777" w:rsidR="00BF3A3A" w:rsidRDefault="00A76802">
            <w:pPr>
              <w:textAlignment w:val="bottom"/>
            </w:pPr>
            <w:r>
              <w:rPr>
                <w:rFonts w:ascii="sans-serif" w:eastAsia="sans-serif" w:hAnsi="sans-serif" w:cs="sans-serif"/>
                <w:color w:val="000000"/>
                <w:sz w:val="18"/>
                <w:szCs w:val="18"/>
              </w:rPr>
              <w:t>Dividends paid</w:t>
            </w:r>
          </w:p>
        </w:tc>
        <w:tc>
          <w:tcPr>
            <w:tcW w:w="0" w:type="auto"/>
            <w:gridSpan w:val="2"/>
            <w:shd w:val="clear" w:color="auto" w:fill="E2EFD9"/>
            <w:tcMar>
              <w:top w:w="40" w:type="dxa"/>
              <w:left w:w="20" w:type="dxa"/>
              <w:bottom w:w="40" w:type="dxa"/>
              <w:right w:w="0" w:type="dxa"/>
            </w:tcMar>
            <w:vAlign w:val="bottom"/>
          </w:tcPr>
          <w:p w14:paraId="195028AF" w14:textId="77777777" w:rsidR="00BF3A3A" w:rsidRDefault="00A76802">
            <w:pPr>
              <w:jc w:val="right"/>
              <w:textAlignment w:val="bottom"/>
            </w:pPr>
            <w:r>
              <w:rPr>
                <w:rFonts w:ascii="sans-serif" w:eastAsia="sans-serif" w:hAnsi="sans-serif" w:cs="sans-serif"/>
                <w:color w:val="000000"/>
                <w:sz w:val="18"/>
                <w:szCs w:val="18"/>
              </w:rPr>
              <w:t>(200)</w:t>
            </w:r>
          </w:p>
        </w:tc>
        <w:tc>
          <w:tcPr>
            <w:tcW w:w="0" w:type="auto"/>
            <w:shd w:val="clear" w:color="auto" w:fill="E2EFD9"/>
            <w:tcMar>
              <w:top w:w="40" w:type="dxa"/>
              <w:left w:w="0" w:type="dxa"/>
              <w:bottom w:w="40" w:type="dxa"/>
              <w:right w:w="20" w:type="dxa"/>
            </w:tcMar>
            <w:vAlign w:val="bottom"/>
          </w:tcPr>
          <w:p w14:paraId="195028B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8B1"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8B2" w14:textId="77777777" w:rsidR="00BF3A3A" w:rsidRDefault="00A76802">
            <w:pPr>
              <w:jc w:val="right"/>
              <w:textAlignment w:val="bottom"/>
            </w:pPr>
            <w:r>
              <w:rPr>
                <w:rFonts w:ascii="sans-serif" w:eastAsia="sans-serif" w:hAnsi="sans-serif" w:cs="sans-serif"/>
                <w:color w:val="000000"/>
                <w:sz w:val="18"/>
                <w:szCs w:val="18"/>
              </w:rPr>
              <w:t>(198)</w:t>
            </w:r>
          </w:p>
        </w:tc>
        <w:tc>
          <w:tcPr>
            <w:tcW w:w="0" w:type="auto"/>
            <w:shd w:val="clear" w:color="auto" w:fill="E2EFD9"/>
            <w:tcMar>
              <w:top w:w="40" w:type="dxa"/>
              <w:left w:w="0" w:type="dxa"/>
              <w:bottom w:w="40" w:type="dxa"/>
              <w:right w:w="20" w:type="dxa"/>
            </w:tcMar>
            <w:vAlign w:val="bottom"/>
          </w:tcPr>
          <w:p w14:paraId="195028B3" w14:textId="77777777" w:rsidR="00BF3A3A" w:rsidRDefault="00BF3A3A">
            <w:pPr>
              <w:jc w:val="right"/>
              <w:rPr>
                <w:rFonts w:ascii="宋体"/>
              </w:rPr>
            </w:pPr>
          </w:p>
        </w:tc>
      </w:tr>
      <w:tr w:rsidR="00BF3A3A" w14:paraId="195028BB" w14:textId="77777777">
        <w:trPr>
          <w:jc w:val="center"/>
        </w:trPr>
        <w:tc>
          <w:tcPr>
            <w:tcW w:w="0" w:type="auto"/>
            <w:gridSpan w:val="3"/>
            <w:shd w:val="clear" w:color="auto" w:fill="FFFFFF"/>
            <w:tcMar>
              <w:top w:w="40" w:type="dxa"/>
              <w:left w:w="155" w:type="dxa"/>
              <w:bottom w:w="40" w:type="dxa"/>
              <w:right w:w="20" w:type="dxa"/>
            </w:tcMar>
            <w:vAlign w:val="bottom"/>
          </w:tcPr>
          <w:p w14:paraId="195028B5" w14:textId="77777777" w:rsidR="00BF3A3A" w:rsidRDefault="00A76802">
            <w:pPr>
              <w:textAlignment w:val="bottom"/>
            </w:pPr>
            <w:r>
              <w:rPr>
                <w:rFonts w:ascii="sans-serif" w:eastAsia="sans-serif" w:hAnsi="sans-serif" w:cs="sans-serif"/>
                <w:color w:val="000000"/>
                <w:sz w:val="18"/>
                <w:szCs w:val="18"/>
              </w:rPr>
              <w:t xml:space="preserve">Principal payments on </w:t>
            </w:r>
            <w:r>
              <w:rPr>
                <w:rFonts w:ascii="sans-serif" w:eastAsia="sans-serif" w:hAnsi="sans-serif" w:cs="sans-serif"/>
                <w:color w:val="000000"/>
                <w:sz w:val="18"/>
                <w:szCs w:val="18"/>
              </w:rPr>
              <w:t>property and equipment and intangible asset</w:t>
            </w:r>
          </w:p>
        </w:tc>
        <w:tc>
          <w:tcPr>
            <w:tcW w:w="0" w:type="auto"/>
            <w:gridSpan w:val="2"/>
            <w:shd w:val="clear" w:color="auto" w:fill="FFFFFF"/>
            <w:tcMar>
              <w:top w:w="40" w:type="dxa"/>
              <w:left w:w="20" w:type="dxa"/>
              <w:bottom w:w="40" w:type="dxa"/>
              <w:right w:w="0" w:type="dxa"/>
            </w:tcMar>
            <w:vAlign w:val="bottom"/>
          </w:tcPr>
          <w:p w14:paraId="195028B6" w14:textId="77777777" w:rsidR="00BF3A3A" w:rsidRDefault="00A76802">
            <w:pPr>
              <w:jc w:val="right"/>
              <w:textAlignment w:val="bottom"/>
            </w:pPr>
            <w:r>
              <w:rPr>
                <w:rFonts w:ascii="sans-serif" w:eastAsia="sans-serif" w:hAnsi="sans-serif" w:cs="sans-serif"/>
                <w:color w:val="000000"/>
                <w:sz w:val="18"/>
                <w:szCs w:val="18"/>
              </w:rPr>
              <w:t>(36)</w:t>
            </w:r>
          </w:p>
        </w:tc>
        <w:tc>
          <w:tcPr>
            <w:tcW w:w="0" w:type="auto"/>
            <w:shd w:val="clear" w:color="auto" w:fill="FFFFFF"/>
            <w:tcMar>
              <w:top w:w="40" w:type="dxa"/>
              <w:left w:w="0" w:type="dxa"/>
              <w:bottom w:w="40" w:type="dxa"/>
              <w:right w:w="20" w:type="dxa"/>
            </w:tcMar>
            <w:vAlign w:val="bottom"/>
          </w:tcPr>
          <w:p w14:paraId="195028B7"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8B8"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8B9" w14:textId="77777777" w:rsidR="00BF3A3A" w:rsidRDefault="00A76802">
            <w:pPr>
              <w:jc w:val="right"/>
              <w:textAlignment w:val="bottom"/>
            </w:pPr>
            <w:r>
              <w:rPr>
                <w:rFonts w:ascii="sans-serif" w:eastAsia="sans-serif" w:hAnsi="sans-serif" w:cs="sans-serif"/>
                <w:color w:val="000000"/>
                <w:sz w:val="18"/>
                <w:szCs w:val="18"/>
              </w:rPr>
              <w:t>(40)</w:t>
            </w:r>
          </w:p>
        </w:tc>
        <w:tc>
          <w:tcPr>
            <w:tcW w:w="0" w:type="auto"/>
            <w:shd w:val="clear" w:color="auto" w:fill="FFFFFF"/>
            <w:tcMar>
              <w:top w:w="40" w:type="dxa"/>
              <w:left w:w="0" w:type="dxa"/>
              <w:bottom w:w="40" w:type="dxa"/>
              <w:right w:w="20" w:type="dxa"/>
            </w:tcMar>
            <w:vAlign w:val="bottom"/>
          </w:tcPr>
          <w:p w14:paraId="195028BA" w14:textId="77777777" w:rsidR="00BF3A3A" w:rsidRDefault="00BF3A3A">
            <w:pPr>
              <w:jc w:val="right"/>
              <w:rPr>
                <w:rFonts w:ascii="宋体"/>
              </w:rPr>
            </w:pPr>
          </w:p>
        </w:tc>
      </w:tr>
      <w:tr w:rsidR="00BF3A3A" w14:paraId="195028C0" w14:textId="77777777">
        <w:trPr>
          <w:jc w:val="center"/>
          <w:hidden/>
        </w:trPr>
        <w:tc>
          <w:tcPr>
            <w:tcW w:w="0" w:type="auto"/>
            <w:gridSpan w:val="3"/>
            <w:shd w:val="clear" w:color="auto" w:fill="auto"/>
            <w:vAlign w:val="bottom"/>
          </w:tcPr>
          <w:p w14:paraId="195028BC" w14:textId="77777777" w:rsidR="00BF3A3A" w:rsidRDefault="00BF3A3A">
            <w:pPr>
              <w:rPr>
                <w:rFonts w:ascii="宋体"/>
                <w:vanish/>
              </w:rPr>
            </w:pPr>
          </w:p>
        </w:tc>
        <w:tc>
          <w:tcPr>
            <w:tcW w:w="0" w:type="auto"/>
            <w:gridSpan w:val="3"/>
            <w:shd w:val="clear" w:color="auto" w:fill="auto"/>
            <w:vAlign w:val="bottom"/>
          </w:tcPr>
          <w:p w14:paraId="195028BD" w14:textId="77777777" w:rsidR="00BF3A3A" w:rsidRDefault="00BF3A3A">
            <w:pPr>
              <w:rPr>
                <w:rFonts w:ascii="宋体"/>
                <w:vanish/>
              </w:rPr>
            </w:pPr>
          </w:p>
        </w:tc>
        <w:tc>
          <w:tcPr>
            <w:tcW w:w="0" w:type="auto"/>
            <w:gridSpan w:val="3"/>
            <w:shd w:val="clear" w:color="auto" w:fill="auto"/>
            <w:vAlign w:val="bottom"/>
          </w:tcPr>
          <w:p w14:paraId="195028BE" w14:textId="77777777" w:rsidR="00BF3A3A" w:rsidRDefault="00BF3A3A">
            <w:pPr>
              <w:rPr>
                <w:rFonts w:ascii="宋体"/>
                <w:vanish/>
              </w:rPr>
            </w:pPr>
          </w:p>
        </w:tc>
        <w:tc>
          <w:tcPr>
            <w:tcW w:w="0" w:type="auto"/>
            <w:gridSpan w:val="3"/>
            <w:shd w:val="clear" w:color="auto" w:fill="auto"/>
            <w:vAlign w:val="bottom"/>
          </w:tcPr>
          <w:p w14:paraId="195028BF" w14:textId="77777777" w:rsidR="00BF3A3A" w:rsidRDefault="00BF3A3A">
            <w:pPr>
              <w:rPr>
                <w:rFonts w:ascii="宋体"/>
                <w:vanish/>
              </w:rPr>
            </w:pPr>
          </w:p>
        </w:tc>
      </w:tr>
      <w:tr w:rsidR="00BF3A3A" w14:paraId="195028C7" w14:textId="77777777">
        <w:trPr>
          <w:jc w:val="center"/>
        </w:trPr>
        <w:tc>
          <w:tcPr>
            <w:tcW w:w="0" w:type="auto"/>
            <w:gridSpan w:val="3"/>
            <w:shd w:val="clear" w:color="auto" w:fill="E2EFD9"/>
            <w:tcMar>
              <w:top w:w="40" w:type="dxa"/>
              <w:left w:w="155" w:type="dxa"/>
              <w:bottom w:w="40" w:type="dxa"/>
              <w:right w:w="20" w:type="dxa"/>
            </w:tcMar>
            <w:vAlign w:val="bottom"/>
          </w:tcPr>
          <w:p w14:paraId="195028C1" w14:textId="77777777" w:rsidR="00BF3A3A" w:rsidRDefault="00A76802">
            <w:pPr>
              <w:textAlignment w:val="bottom"/>
            </w:pPr>
            <w:r>
              <w:rPr>
                <w:rFonts w:ascii="sans-serif" w:eastAsia="sans-serif" w:hAnsi="sans-serif" w:cs="sans-serif"/>
                <w:color w:val="000000"/>
                <w:sz w:val="18"/>
                <w:szCs w:val="18"/>
              </w:rPr>
              <w:t>Other</w:t>
            </w:r>
          </w:p>
        </w:tc>
        <w:tc>
          <w:tcPr>
            <w:tcW w:w="0" w:type="auto"/>
            <w:gridSpan w:val="2"/>
            <w:shd w:val="clear" w:color="auto" w:fill="E2EFD9"/>
            <w:tcMar>
              <w:top w:w="40" w:type="dxa"/>
              <w:left w:w="20" w:type="dxa"/>
              <w:bottom w:w="40" w:type="dxa"/>
              <w:right w:w="0" w:type="dxa"/>
            </w:tcMar>
            <w:vAlign w:val="bottom"/>
          </w:tcPr>
          <w:p w14:paraId="195028C2" w14:textId="77777777" w:rsidR="00BF3A3A" w:rsidRDefault="00A76802">
            <w:pPr>
              <w:jc w:val="right"/>
              <w:textAlignment w:val="bottom"/>
            </w:pPr>
            <w:r>
              <w:rPr>
                <w:rFonts w:ascii="sans-serif" w:eastAsia="sans-serif" w:hAnsi="sans-serif" w:cs="sans-serif"/>
                <w:color w:val="000000"/>
                <w:sz w:val="18"/>
                <w:szCs w:val="18"/>
              </w:rPr>
              <w:t>1 </w:t>
            </w:r>
          </w:p>
        </w:tc>
        <w:tc>
          <w:tcPr>
            <w:tcW w:w="0" w:type="auto"/>
            <w:shd w:val="clear" w:color="auto" w:fill="E2EFD9"/>
            <w:tcMar>
              <w:top w:w="40" w:type="dxa"/>
              <w:left w:w="0" w:type="dxa"/>
              <w:bottom w:w="40" w:type="dxa"/>
              <w:right w:w="20" w:type="dxa"/>
            </w:tcMar>
            <w:vAlign w:val="bottom"/>
          </w:tcPr>
          <w:p w14:paraId="195028C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8C4"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8C5" w14:textId="77777777" w:rsidR="00BF3A3A" w:rsidRDefault="00A76802">
            <w:pPr>
              <w:jc w:val="right"/>
              <w:textAlignment w:val="bottom"/>
            </w:pPr>
            <w:r>
              <w:rPr>
                <w:rFonts w:ascii="sans-serif" w:eastAsia="sans-serif" w:hAnsi="sans-serif" w:cs="sans-serif"/>
                <w:color w:val="000000"/>
                <w:sz w:val="18"/>
                <w:szCs w:val="18"/>
              </w:rPr>
              <w:t>(2)</w:t>
            </w:r>
          </w:p>
        </w:tc>
        <w:tc>
          <w:tcPr>
            <w:tcW w:w="0" w:type="auto"/>
            <w:shd w:val="clear" w:color="auto" w:fill="E2EFD9"/>
            <w:tcMar>
              <w:top w:w="40" w:type="dxa"/>
              <w:left w:w="0" w:type="dxa"/>
              <w:bottom w:w="40" w:type="dxa"/>
              <w:right w:w="20" w:type="dxa"/>
            </w:tcMar>
            <w:vAlign w:val="bottom"/>
          </w:tcPr>
          <w:p w14:paraId="195028C6" w14:textId="77777777" w:rsidR="00BF3A3A" w:rsidRDefault="00BF3A3A">
            <w:pPr>
              <w:jc w:val="right"/>
              <w:rPr>
                <w:rFonts w:ascii="宋体"/>
              </w:rPr>
            </w:pPr>
          </w:p>
        </w:tc>
      </w:tr>
      <w:tr w:rsidR="00BF3A3A" w14:paraId="195028CE" w14:textId="77777777">
        <w:trPr>
          <w:jc w:val="center"/>
        </w:trPr>
        <w:tc>
          <w:tcPr>
            <w:tcW w:w="0" w:type="auto"/>
            <w:gridSpan w:val="3"/>
            <w:shd w:val="clear" w:color="auto" w:fill="FFFFFF"/>
            <w:tcMar>
              <w:top w:w="40" w:type="dxa"/>
              <w:left w:w="20" w:type="dxa"/>
              <w:bottom w:w="40" w:type="dxa"/>
              <w:right w:w="20" w:type="dxa"/>
            </w:tcMar>
            <w:vAlign w:val="bottom"/>
          </w:tcPr>
          <w:p w14:paraId="195028C8" w14:textId="77777777" w:rsidR="00BF3A3A" w:rsidRDefault="00A76802">
            <w:pPr>
              <w:textAlignment w:val="bottom"/>
            </w:pPr>
            <w:r>
              <w:rPr>
                <w:rFonts w:ascii="sans-serif" w:eastAsia="sans-serif" w:hAnsi="sans-serif" w:cs="sans-serif"/>
                <w:color w:val="000000"/>
                <w:sz w:val="18"/>
                <w:szCs w:val="18"/>
              </w:rPr>
              <w:t>Net cash provided by (used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8C9" w14:textId="77777777" w:rsidR="00BF3A3A" w:rsidRDefault="00A76802">
            <w:pPr>
              <w:jc w:val="right"/>
              <w:textAlignment w:val="bottom"/>
            </w:pPr>
            <w:r>
              <w:rPr>
                <w:rFonts w:ascii="sans-serif" w:eastAsia="sans-serif" w:hAnsi="sans-serif" w:cs="sans-serif"/>
                <w:color w:val="000000"/>
                <w:sz w:val="18"/>
                <w:szCs w:val="18"/>
              </w:rPr>
              <w:t>(6,208)</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8CA"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8CB"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8CC" w14:textId="77777777" w:rsidR="00BF3A3A" w:rsidRDefault="00A76802">
            <w:pPr>
              <w:jc w:val="right"/>
              <w:textAlignment w:val="bottom"/>
            </w:pPr>
            <w:r>
              <w:rPr>
                <w:rFonts w:ascii="sans-serif" w:eastAsia="sans-serif" w:hAnsi="sans-serif" w:cs="sans-serif"/>
                <w:color w:val="000000"/>
                <w:sz w:val="18"/>
                <w:szCs w:val="18"/>
              </w:rPr>
              <w:t>4,030 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8CD" w14:textId="77777777" w:rsidR="00BF3A3A" w:rsidRDefault="00BF3A3A">
            <w:pPr>
              <w:jc w:val="right"/>
              <w:rPr>
                <w:rFonts w:ascii="宋体"/>
              </w:rPr>
            </w:pPr>
          </w:p>
        </w:tc>
      </w:tr>
      <w:tr w:rsidR="00BF3A3A" w14:paraId="195028D5" w14:textId="77777777">
        <w:trPr>
          <w:jc w:val="center"/>
        </w:trPr>
        <w:tc>
          <w:tcPr>
            <w:tcW w:w="0" w:type="auto"/>
            <w:gridSpan w:val="3"/>
            <w:shd w:val="clear" w:color="auto" w:fill="E2EFD9"/>
            <w:tcMar>
              <w:top w:w="40" w:type="dxa"/>
              <w:left w:w="20" w:type="dxa"/>
              <w:bottom w:w="40" w:type="dxa"/>
              <w:right w:w="20" w:type="dxa"/>
            </w:tcMar>
            <w:vAlign w:val="bottom"/>
          </w:tcPr>
          <w:p w14:paraId="195028CF" w14:textId="77777777" w:rsidR="00BF3A3A" w:rsidRDefault="00A76802">
            <w:pPr>
              <w:textAlignment w:val="bottom"/>
            </w:pPr>
            <w:r>
              <w:rPr>
                <w:rFonts w:ascii="sans-serif" w:eastAsia="sans-serif" w:hAnsi="sans-serif" w:cs="sans-serif"/>
                <w:color w:val="000000"/>
                <w:sz w:val="18"/>
                <w:szCs w:val="18"/>
              </w:rPr>
              <w:t>Change in cash and cash equivalents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8D0" w14:textId="77777777" w:rsidR="00BF3A3A" w:rsidRDefault="00A76802">
            <w:pPr>
              <w:jc w:val="right"/>
              <w:textAlignment w:val="bottom"/>
            </w:pPr>
            <w:r>
              <w:rPr>
                <w:rFonts w:ascii="sans-serif" w:eastAsia="sans-serif" w:hAnsi="sans-serif" w:cs="sans-serif"/>
                <w:color w:val="000000"/>
                <w:sz w:val="18"/>
                <w:szCs w:val="18"/>
              </w:rPr>
              <w:t>1,023 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8D1"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8D2"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28D3" w14:textId="77777777" w:rsidR="00BF3A3A" w:rsidRDefault="00A76802">
            <w:pPr>
              <w:jc w:val="right"/>
              <w:textAlignment w:val="bottom"/>
            </w:pPr>
            <w:r>
              <w:rPr>
                <w:rFonts w:ascii="sans-serif" w:eastAsia="sans-serif" w:hAnsi="sans-serif" w:cs="sans-serif"/>
                <w:color w:val="000000"/>
                <w:sz w:val="18"/>
                <w:szCs w:val="18"/>
              </w:rPr>
              <w:t>4,781 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8D4" w14:textId="77777777" w:rsidR="00BF3A3A" w:rsidRDefault="00BF3A3A">
            <w:pPr>
              <w:jc w:val="right"/>
              <w:rPr>
                <w:rFonts w:ascii="宋体"/>
              </w:rPr>
            </w:pPr>
          </w:p>
        </w:tc>
      </w:tr>
      <w:tr w:rsidR="00BF3A3A" w14:paraId="195028DC" w14:textId="77777777">
        <w:trPr>
          <w:jc w:val="center"/>
        </w:trPr>
        <w:tc>
          <w:tcPr>
            <w:tcW w:w="0" w:type="auto"/>
            <w:gridSpan w:val="3"/>
            <w:shd w:val="clear" w:color="auto" w:fill="FFFFFF"/>
            <w:tcMar>
              <w:top w:w="40" w:type="dxa"/>
              <w:left w:w="20" w:type="dxa"/>
              <w:bottom w:w="40" w:type="dxa"/>
              <w:right w:w="20" w:type="dxa"/>
            </w:tcMar>
            <w:vAlign w:val="bottom"/>
          </w:tcPr>
          <w:p w14:paraId="195028D6" w14:textId="77777777" w:rsidR="00BF3A3A" w:rsidRDefault="00A76802">
            <w:pPr>
              <w:textAlignment w:val="bottom"/>
            </w:pPr>
            <w:r>
              <w:rPr>
                <w:rFonts w:ascii="sans-serif" w:eastAsia="sans-serif" w:hAnsi="sans-serif" w:cs="sans-serif"/>
                <w:color w:val="000000"/>
                <w:sz w:val="18"/>
                <w:szCs w:val="18"/>
              </w:rPr>
              <w:t xml:space="preserve">Cash and cash equivalents at beginning of </w:t>
            </w:r>
            <w:r>
              <w:rPr>
                <w:rFonts w:ascii="sans-serif" w:eastAsia="sans-serif" w:hAnsi="sans-serif" w:cs="sans-serif"/>
                <w:color w:val="000000"/>
                <w:sz w:val="18"/>
                <w:szCs w:val="18"/>
              </w:rPr>
              <w:t>period</w:t>
            </w:r>
          </w:p>
        </w:tc>
        <w:tc>
          <w:tcPr>
            <w:tcW w:w="0" w:type="auto"/>
            <w:gridSpan w:val="2"/>
            <w:shd w:val="clear" w:color="auto" w:fill="FFFFFF"/>
            <w:tcMar>
              <w:top w:w="40" w:type="dxa"/>
              <w:left w:w="20" w:type="dxa"/>
              <w:bottom w:w="40" w:type="dxa"/>
              <w:right w:w="0" w:type="dxa"/>
            </w:tcMar>
            <w:vAlign w:val="bottom"/>
          </w:tcPr>
          <w:p w14:paraId="195028D7" w14:textId="77777777" w:rsidR="00BF3A3A" w:rsidRDefault="00A76802">
            <w:pPr>
              <w:jc w:val="right"/>
              <w:textAlignment w:val="bottom"/>
            </w:pPr>
            <w:r>
              <w:rPr>
                <w:rFonts w:ascii="sans-serif" w:eastAsia="sans-serif" w:hAnsi="sans-serif" w:cs="sans-serif"/>
                <w:color w:val="000000"/>
                <w:sz w:val="18"/>
                <w:szCs w:val="18"/>
              </w:rPr>
              <w:t>1,990 </w:t>
            </w:r>
          </w:p>
        </w:tc>
        <w:tc>
          <w:tcPr>
            <w:tcW w:w="0" w:type="auto"/>
            <w:shd w:val="clear" w:color="auto" w:fill="FFFFFF"/>
            <w:tcMar>
              <w:top w:w="40" w:type="dxa"/>
              <w:left w:w="0" w:type="dxa"/>
              <w:bottom w:w="40" w:type="dxa"/>
              <w:right w:w="20" w:type="dxa"/>
            </w:tcMar>
            <w:vAlign w:val="bottom"/>
          </w:tcPr>
          <w:p w14:paraId="195028D8"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8D9"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8DA" w14:textId="77777777" w:rsidR="00BF3A3A" w:rsidRDefault="00A76802">
            <w:pPr>
              <w:jc w:val="right"/>
              <w:textAlignment w:val="bottom"/>
            </w:pPr>
            <w:r>
              <w:rPr>
                <w:rFonts w:ascii="sans-serif" w:eastAsia="sans-serif" w:hAnsi="sans-serif" w:cs="sans-serif"/>
                <w:color w:val="000000"/>
                <w:sz w:val="18"/>
                <w:szCs w:val="18"/>
              </w:rPr>
              <w:t>847 </w:t>
            </w:r>
          </w:p>
        </w:tc>
        <w:tc>
          <w:tcPr>
            <w:tcW w:w="0" w:type="auto"/>
            <w:shd w:val="clear" w:color="auto" w:fill="FFFFFF"/>
            <w:tcMar>
              <w:top w:w="40" w:type="dxa"/>
              <w:left w:w="0" w:type="dxa"/>
              <w:bottom w:w="40" w:type="dxa"/>
              <w:right w:w="20" w:type="dxa"/>
            </w:tcMar>
            <w:vAlign w:val="bottom"/>
          </w:tcPr>
          <w:p w14:paraId="195028DB" w14:textId="77777777" w:rsidR="00BF3A3A" w:rsidRDefault="00BF3A3A">
            <w:pPr>
              <w:jc w:val="right"/>
              <w:rPr>
                <w:rFonts w:ascii="宋体"/>
              </w:rPr>
            </w:pPr>
          </w:p>
        </w:tc>
      </w:tr>
      <w:tr w:rsidR="00BF3A3A" w14:paraId="195028E5" w14:textId="77777777">
        <w:trPr>
          <w:jc w:val="center"/>
        </w:trPr>
        <w:tc>
          <w:tcPr>
            <w:tcW w:w="0" w:type="auto"/>
            <w:gridSpan w:val="3"/>
            <w:shd w:val="clear" w:color="auto" w:fill="E2EFD9"/>
            <w:tcMar>
              <w:top w:w="40" w:type="dxa"/>
              <w:left w:w="20" w:type="dxa"/>
              <w:bottom w:w="40" w:type="dxa"/>
              <w:right w:w="20" w:type="dxa"/>
            </w:tcMar>
            <w:vAlign w:val="bottom"/>
          </w:tcPr>
          <w:p w14:paraId="195028DD" w14:textId="77777777" w:rsidR="00BF3A3A" w:rsidRDefault="00A76802">
            <w:pPr>
              <w:textAlignment w:val="bottom"/>
            </w:pPr>
            <w:r>
              <w:rPr>
                <w:rFonts w:ascii="sans-serif" w:eastAsia="sans-serif" w:hAnsi="sans-serif" w:cs="sans-serif"/>
                <w:color w:val="000000"/>
                <w:sz w:val="18"/>
                <w:szCs w:val="18"/>
              </w:rPr>
              <w:t>Cash and cash equivalents at end of period</w:t>
            </w:r>
          </w:p>
        </w:tc>
        <w:tc>
          <w:tcPr>
            <w:tcW w:w="0" w:type="auto"/>
            <w:tcBorders>
              <w:top w:val="single" w:sz="8" w:space="0" w:color="000000"/>
            </w:tcBorders>
            <w:shd w:val="clear" w:color="auto" w:fill="E2EFD9"/>
            <w:tcMar>
              <w:top w:w="40" w:type="dxa"/>
              <w:left w:w="20" w:type="dxa"/>
              <w:bottom w:w="40" w:type="dxa"/>
              <w:right w:w="0" w:type="dxa"/>
            </w:tcMar>
            <w:vAlign w:val="bottom"/>
          </w:tcPr>
          <w:p w14:paraId="195028DE" w14:textId="77777777" w:rsidR="00BF3A3A" w:rsidRDefault="00A76802">
            <w:pPr>
              <w:textAlignment w:val="bottom"/>
            </w:pPr>
            <w:r>
              <w:rPr>
                <w:rFonts w:ascii="sans-serif" w:eastAsia="sans-serif" w:hAnsi="sans-serif" w:cs="sans-serif"/>
                <w:color w:val="000000"/>
                <w:sz w:val="18"/>
                <w:szCs w:val="18"/>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8DF" w14:textId="77777777" w:rsidR="00BF3A3A" w:rsidRDefault="00A76802">
            <w:pPr>
              <w:jc w:val="right"/>
              <w:textAlignment w:val="bottom"/>
            </w:pPr>
            <w:r>
              <w:rPr>
                <w:rFonts w:ascii="sans-serif" w:eastAsia="sans-serif" w:hAnsi="sans-serif" w:cs="sans-serif"/>
                <w:color w:val="000000"/>
                <w:sz w:val="18"/>
                <w:szCs w:val="18"/>
              </w:rPr>
              <w:t>3,013 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8E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8E1"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28E2" w14:textId="77777777" w:rsidR="00BF3A3A" w:rsidRDefault="00A76802">
            <w:pPr>
              <w:textAlignment w:val="bottom"/>
            </w:pPr>
            <w:r>
              <w:rPr>
                <w:rFonts w:ascii="sans-serif" w:eastAsia="sans-serif" w:hAnsi="sans-serif" w:cs="sans-serif"/>
                <w:color w:val="000000"/>
                <w:sz w:val="18"/>
                <w:szCs w:val="18"/>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28E3" w14:textId="77777777" w:rsidR="00BF3A3A" w:rsidRDefault="00A76802">
            <w:pPr>
              <w:jc w:val="right"/>
              <w:textAlignment w:val="bottom"/>
            </w:pPr>
            <w:r>
              <w:rPr>
                <w:rFonts w:ascii="sans-serif" w:eastAsia="sans-serif" w:hAnsi="sans-serif" w:cs="sans-serif"/>
                <w:color w:val="000000"/>
                <w:sz w:val="18"/>
                <w:szCs w:val="18"/>
              </w:rPr>
              <w:t>5,628 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28E4" w14:textId="77777777" w:rsidR="00BF3A3A" w:rsidRDefault="00BF3A3A">
            <w:pPr>
              <w:jc w:val="right"/>
              <w:rPr>
                <w:rFonts w:ascii="宋体"/>
              </w:rPr>
            </w:pPr>
          </w:p>
        </w:tc>
      </w:tr>
      <w:tr w:rsidR="00BF3A3A" w14:paraId="195028EA" w14:textId="77777777">
        <w:trPr>
          <w:trHeight w:val="240"/>
          <w:jc w:val="center"/>
        </w:trPr>
        <w:tc>
          <w:tcPr>
            <w:tcW w:w="0" w:type="auto"/>
            <w:gridSpan w:val="3"/>
            <w:shd w:val="clear" w:color="auto" w:fill="FFFFFF"/>
            <w:tcMar>
              <w:top w:w="0" w:type="dxa"/>
              <w:left w:w="20" w:type="dxa"/>
              <w:bottom w:w="0" w:type="dxa"/>
              <w:right w:w="20" w:type="dxa"/>
            </w:tcMar>
            <w:vAlign w:val="bottom"/>
          </w:tcPr>
          <w:p w14:paraId="195028E6" w14:textId="77777777" w:rsidR="00BF3A3A" w:rsidRDefault="00BF3A3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95028E7"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8E8" w14:textId="77777777" w:rsidR="00BF3A3A" w:rsidRDefault="00BF3A3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95028E9" w14:textId="77777777" w:rsidR="00BF3A3A" w:rsidRDefault="00BF3A3A">
            <w:pPr>
              <w:rPr>
                <w:rFonts w:ascii="宋体"/>
              </w:rPr>
            </w:pPr>
          </w:p>
        </w:tc>
      </w:tr>
      <w:tr w:rsidR="00BF3A3A" w14:paraId="195028EF" w14:textId="77777777">
        <w:trPr>
          <w:jc w:val="center"/>
        </w:trPr>
        <w:tc>
          <w:tcPr>
            <w:tcW w:w="0" w:type="auto"/>
            <w:gridSpan w:val="3"/>
            <w:shd w:val="clear" w:color="auto" w:fill="E2EFD9"/>
            <w:tcMar>
              <w:top w:w="40" w:type="dxa"/>
              <w:left w:w="20" w:type="dxa"/>
              <w:bottom w:w="40" w:type="dxa"/>
              <w:right w:w="20" w:type="dxa"/>
            </w:tcMar>
            <w:vAlign w:val="bottom"/>
          </w:tcPr>
          <w:p w14:paraId="195028EB" w14:textId="77777777" w:rsidR="00BF3A3A" w:rsidRDefault="00A76802">
            <w:pPr>
              <w:textAlignment w:val="bottom"/>
            </w:pPr>
            <w:r>
              <w:rPr>
                <w:rFonts w:ascii="sans-serif" w:eastAsia="sans-serif" w:hAnsi="sans-serif" w:cs="sans-serif"/>
                <w:color w:val="000000"/>
                <w:sz w:val="18"/>
                <w:szCs w:val="18"/>
              </w:rPr>
              <w:t>Supplemental disclosures of cash flow information:</w:t>
            </w:r>
          </w:p>
        </w:tc>
        <w:tc>
          <w:tcPr>
            <w:tcW w:w="0" w:type="auto"/>
            <w:gridSpan w:val="3"/>
            <w:shd w:val="clear" w:color="auto" w:fill="E2EFD9"/>
            <w:tcMar>
              <w:top w:w="40" w:type="dxa"/>
              <w:left w:w="20" w:type="dxa"/>
              <w:bottom w:w="40" w:type="dxa"/>
              <w:right w:w="20" w:type="dxa"/>
            </w:tcMar>
            <w:vAlign w:val="bottom"/>
          </w:tcPr>
          <w:p w14:paraId="195028EC" w14:textId="77777777" w:rsidR="00BF3A3A" w:rsidRDefault="00A76802">
            <w:pPr>
              <w:textAlignment w:val="bottom"/>
            </w:pPr>
            <w:r>
              <w:rPr>
                <w:rFonts w:ascii="sans-serif" w:eastAsia="sans-serif" w:hAnsi="sans-serif" w:cs="sans-serif"/>
                <w:color w:val="000000"/>
                <w:sz w:val="18"/>
                <w:szCs w:val="18"/>
              </w:rPr>
              <w:t> </w:t>
            </w:r>
          </w:p>
        </w:tc>
        <w:tc>
          <w:tcPr>
            <w:tcW w:w="0" w:type="auto"/>
            <w:gridSpan w:val="3"/>
            <w:shd w:val="clear" w:color="auto" w:fill="E2EFD9"/>
            <w:tcMar>
              <w:top w:w="0" w:type="dxa"/>
              <w:left w:w="20" w:type="dxa"/>
              <w:bottom w:w="0" w:type="dxa"/>
              <w:right w:w="20" w:type="dxa"/>
            </w:tcMar>
            <w:vAlign w:val="bottom"/>
          </w:tcPr>
          <w:p w14:paraId="195028ED" w14:textId="77777777" w:rsidR="00BF3A3A" w:rsidRDefault="00BF3A3A">
            <w:pPr>
              <w:rPr>
                <w:rFonts w:ascii="宋体"/>
              </w:rPr>
            </w:pPr>
          </w:p>
        </w:tc>
        <w:tc>
          <w:tcPr>
            <w:tcW w:w="0" w:type="auto"/>
            <w:gridSpan w:val="3"/>
            <w:shd w:val="clear" w:color="auto" w:fill="E2EFD9"/>
            <w:tcMar>
              <w:top w:w="40" w:type="dxa"/>
              <w:left w:w="20" w:type="dxa"/>
              <w:bottom w:w="40" w:type="dxa"/>
              <w:right w:w="20" w:type="dxa"/>
            </w:tcMar>
            <w:vAlign w:val="bottom"/>
          </w:tcPr>
          <w:p w14:paraId="195028EE" w14:textId="77777777" w:rsidR="00BF3A3A" w:rsidRDefault="00A76802">
            <w:pPr>
              <w:textAlignment w:val="bottom"/>
            </w:pPr>
            <w:r>
              <w:rPr>
                <w:rFonts w:ascii="sans-serif" w:eastAsia="sans-serif" w:hAnsi="sans-serif" w:cs="sans-serif"/>
                <w:color w:val="000000"/>
                <w:sz w:val="18"/>
                <w:szCs w:val="18"/>
              </w:rPr>
              <w:t> </w:t>
            </w:r>
          </w:p>
        </w:tc>
      </w:tr>
      <w:tr w:rsidR="00BF3A3A" w14:paraId="195028F8" w14:textId="77777777">
        <w:trPr>
          <w:jc w:val="center"/>
        </w:trPr>
        <w:tc>
          <w:tcPr>
            <w:tcW w:w="0" w:type="auto"/>
            <w:gridSpan w:val="3"/>
            <w:shd w:val="clear" w:color="auto" w:fill="FFFFFF"/>
            <w:tcMar>
              <w:top w:w="40" w:type="dxa"/>
              <w:left w:w="20" w:type="dxa"/>
              <w:bottom w:w="40" w:type="dxa"/>
              <w:right w:w="20" w:type="dxa"/>
            </w:tcMar>
            <w:vAlign w:val="bottom"/>
          </w:tcPr>
          <w:p w14:paraId="195028F0" w14:textId="77777777" w:rsidR="00BF3A3A" w:rsidRDefault="00A76802">
            <w:pPr>
              <w:textAlignment w:val="bottom"/>
            </w:pPr>
            <w:r>
              <w:rPr>
                <w:rFonts w:ascii="sans-serif" w:eastAsia="sans-serif" w:hAnsi="sans-serif" w:cs="sans-serif"/>
                <w:color w:val="000000"/>
                <w:sz w:val="18"/>
                <w:szCs w:val="18"/>
              </w:rPr>
              <w:t>Cash paid for income taxes, net</w:t>
            </w:r>
          </w:p>
        </w:tc>
        <w:tc>
          <w:tcPr>
            <w:tcW w:w="0" w:type="auto"/>
            <w:shd w:val="clear" w:color="auto" w:fill="FFFFFF"/>
            <w:tcMar>
              <w:top w:w="40" w:type="dxa"/>
              <w:left w:w="20" w:type="dxa"/>
              <w:bottom w:w="40" w:type="dxa"/>
              <w:right w:w="0" w:type="dxa"/>
            </w:tcMar>
            <w:vAlign w:val="bottom"/>
          </w:tcPr>
          <w:p w14:paraId="195028F1" w14:textId="77777777" w:rsidR="00BF3A3A" w:rsidRDefault="00A76802">
            <w:pPr>
              <w:textAlignment w:val="bottom"/>
            </w:pPr>
            <w:r>
              <w:rPr>
                <w:rFonts w:ascii="sans-serif" w:eastAsia="sans-serif" w:hAnsi="sans-serif" w:cs="sans-serif"/>
                <w:color w:val="000000"/>
                <w:sz w:val="18"/>
                <w:szCs w:val="18"/>
              </w:rPr>
              <w:t>$</w:t>
            </w:r>
          </w:p>
        </w:tc>
        <w:tc>
          <w:tcPr>
            <w:tcW w:w="0" w:type="auto"/>
            <w:shd w:val="clear" w:color="auto" w:fill="FFFFFF"/>
            <w:tcMar>
              <w:top w:w="40" w:type="dxa"/>
              <w:left w:w="0" w:type="dxa"/>
              <w:bottom w:w="40" w:type="dxa"/>
              <w:right w:w="0" w:type="dxa"/>
            </w:tcMar>
            <w:vAlign w:val="bottom"/>
          </w:tcPr>
          <w:p w14:paraId="195028F2" w14:textId="77777777" w:rsidR="00BF3A3A" w:rsidRDefault="00A76802">
            <w:pPr>
              <w:jc w:val="right"/>
              <w:textAlignment w:val="bottom"/>
            </w:pPr>
            <w:r>
              <w:rPr>
                <w:rFonts w:ascii="sans-serif" w:eastAsia="sans-serif" w:hAnsi="sans-serif" w:cs="sans-serif"/>
                <w:color w:val="000000"/>
                <w:sz w:val="18"/>
                <w:szCs w:val="18"/>
              </w:rPr>
              <w:t>1,108 </w:t>
            </w:r>
          </w:p>
        </w:tc>
        <w:tc>
          <w:tcPr>
            <w:tcW w:w="0" w:type="auto"/>
            <w:shd w:val="clear" w:color="auto" w:fill="FFFFFF"/>
            <w:tcMar>
              <w:top w:w="40" w:type="dxa"/>
              <w:left w:w="0" w:type="dxa"/>
              <w:bottom w:w="40" w:type="dxa"/>
              <w:right w:w="20" w:type="dxa"/>
            </w:tcMar>
            <w:vAlign w:val="bottom"/>
          </w:tcPr>
          <w:p w14:paraId="195028F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8F4"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28F5" w14:textId="77777777" w:rsidR="00BF3A3A" w:rsidRDefault="00A76802">
            <w:pPr>
              <w:textAlignment w:val="bottom"/>
            </w:pPr>
            <w:r>
              <w:rPr>
                <w:rFonts w:ascii="sans-serif" w:eastAsia="sans-serif" w:hAnsi="sans-serif" w:cs="sans-serif"/>
                <w:color w:val="000000"/>
                <w:sz w:val="18"/>
                <w:szCs w:val="18"/>
              </w:rPr>
              <w:t>$</w:t>
            </w:r>
          </w:p>
        </w:tc>
        <w:tc>
          <w:tcPr>
            <w:tcW w:w="0" w:type="auto"/>
            <w:shd w:val="clear" w:color="auto" w:fill="FFFFFF"/>
            <w:tcMar>
              <w:top w:w="40" w:type="dxa"/>
              <w:left w:w="0" w:type="dxa"/>
              <w:bottom w:w="40" w:type="dxa"/>
              <w:right w:w="0" w:type="dxa"/>
            </w:tcMar>
            <w:vAlign w:val="bottom"/>
          </w:tcPr>
          <w:p w14:paraId="195028F6" w14:textId="77777777" w:rsidR="00BF3A3A" w:rsidRDefault="00A76802">
            <w:pPr>
              <w:jc w:val="right"/>
              <w:textAlignment w:val="bottom"/>
            </w:pPr>
            <w:r>
              <w:rPr>
                <w:rFonts w:ascii="sans-serif" w:eastAsia="sans-serif" w:hAnsi="sans-serif" w:cs="sans-serif"/>
                <w:color w:val="000000"/>
                <w:sz w:val="18"/>
                <w:szCs w:val="18"/>
              </w:rPr>
              <w:t>241 </w:t>
            </w:r>
          </w:p>
        </w:tc>
        <w:tc>
          <w:tcPr>
            <w:tcW w:w="0" w:type="auto"/>
            <w:shd w:val="clear" w:color="auto" w:fill="FFFFFF"/>
            <w:tcMar>
              <w:top w:w="40" w:type="dxa"/>
              <w:left w:w="0" w:type="dxa"/>
              <w:bottom w:w="40" w:type="dxa"/>
              <w:right w:w="20" w:type="dxa"/>
            </w:tcMar>
            <w:vAlign w:val="bottom"/>
          </w:tcPr>
          <w:p w14:paraId="195028F7" w14:textId="77777777" w:rsidR="00BF3A3A" w:rsidRDefault="00BF3A3A">
            <w:pPr>
              <w:jc w:val="right"/>
              <w:rPr>
                <w:rFonts w:ascii="宋体"/>
              </w:rPr>
            </w:pPr>
          </w:p>
        </w:tc>
      </w:tr>
      <w:tr w:rsidR="00BF3A3A" w14:paraId="195028FD" w14:textId="77777777">
        <w:trPr>
          <w:jc w:val="center"/>
          <w:hidden/>
        </w:trPr>
        <w:tc>
          <w:tcPr>
            <w:tcW w:w="0" w:type="auto"/>
            <w:gridSpan w:val="3"/>
            <w:shd w:val="clear" w:color="auto" w:fill="auto"/>
            <w:vAlign w:val="bottom"/>
          </w:tcPr>
          <w:p w14:paraId="195028F9" w14:textId="77777777" w:rsidR="00BF3A3A" w:rsidRDefault="00BF3A3A">
            <w:pPr>
              <w:rPr>
                <w:rFonts w:ascii="宋体"/>
                <w:vanish/>
              </w:rPr>
            </w:pPr>
          </w:p>
        </w:tc>
        <w:tc>
          <w:tcPr>
            <w:tcW w:w="0" w:type="auto"/>
            <w:gridSpan w:val="3"/>
            <w:shd w:val="clear" w:color="auto" w:fill="auto"/>
            <w:vAlign w:val="bottom"/>
          </w:tcPr>
          <w:p w14:paraId="195028FA" w14:textId="77777777" w:rsidR="00BF3A3A" w:rsidRDefault="00BF3A3A">
            <w:pPr>
              <w:rPr>
                <w:rFonts w:ascii="宋体"/>
                <w:vanish/>
              </w:rPr>
            </w:pPr>
          </w:p>
        </w:tc>
        <w:tc>
          <w:tcPr>
            <w:tcW w:w="0" w:type="auto"/>
            <w:gridSpan w:val="3"/>
            <w:shd w:val="clear" w:color="auto" w:fill="auto"/>
            <w:vAlign w:val="bottom"/>
          </w:tcPr>
          <w:p w14:paraId="195028FB" w14:textId="77777777" w:rsidR="00BF3A3A" w:rsidRDefault="00BF3A3A">
            <w:pPr>
              <w:rPr>
                <w:rFonts w:ascii="宋体"/>
                <w:vanish/>
              </w:rPr>
            </w:pPr>
          </w:p>
        </w:tc>
        <w:tc>
          <w:tcPr>
            <w:tcW w:w="0" w:type="auto"/>
            <w:gridSpan w:val="3"/>
            <w:shd w:val="clear" w:color="auto" w:fill="auto"/>
            <w:vAlign w:val="bottom"/>
          </w:tcPr>
          <w:p w14:paraId="195028FC" w14:textId="77777777" w:rsidR="00BF3A3A" w:rsidRDefault="00BF3A3A">
            <w:pPr>
              <w:rPr>
                <w:rFonts w:ascii="宋体"/>
                <w:vanish/>
              </w:rPr>
            </w:pPr>
          </w:p>
        </w:tc>
      </w:tr>
    </w:tbl>
    <w:p w14:paraId="195028FE" w14:textId="77777777" w:rsidR="00BF3A3A" w:rsidRDefault="00A76802">
      <w:pPr>
        <w:spacing w:after="180"/>
        <w:jc w:val="center"/>
      </w:pPr>
      <w:r>
        <w:rPr>
          <w:rFonts w:ascii="sans-serif" w:eastAsia="sans-serif" w:hAnsi="sans-serif" w:cs="sans-serif"/>
          <w:color w:val="000000"/>
          <w:sz w:val="20"/>
          <w:szCs w:val="20"/>
        </w:rPr>
        <w:t xml:space="preserve">See accompanying Notes to Condensed </w:t>
      </w:r>
      <w:r>
        <w:rPr>
          <w:rFonts w:ascii="sans-serif" w:eastAsia="sans-serif" w:hAnsi="sans-serif" w:cs="sans-serif"/>
          <w:color w:val="000000"/>
          <w:sz w:val="20"/>
          <w:szCs w:val="20"/>
        </w:rPr>
        <w:t>Consolidated Financial Statements.</w:t>
      </w:r>
    </w:p>
    <w:p w14:paraId="195028FF" w14:textId="77777777" w:rsidR="00BF3A3A" w:rsidRDefault="00A76802">
      <w:pPr>
        <w:spacing w:after="180"/>
        <w:jc w:val="center"/>
      </w:pPr>
      <w:r>
        <w:rPr>
          <w:rFonts w:ascii="sans-serif" w:eastAsia="sans-serif" w:hAnsi="sans-serif" w:cs="sans-serif"/>
          <w:color w:val="000000"/>
          <w:sz w:val="20"/>
          <w:szCs w:val="20"/>
        </w:rPr>
        <w:t>8</w:t>
      </w:r>
    </w:p>
    <w:p w14:paraId="19502900" w14:textId="77777777" w:rsidR="00BF3A3A" w:rsidRDefault="00A76802">
      <w:r>
        <w:pict w14:anchorId="19503FCD">
          <v:rect id="_x0000_i1032" style="width:415.3pt;height:1.5pt" o:hralign="center" o:hrstd="t" o:hr="t" fillcolor="#a0a0a0" stroked="f"/>
        </w:pict>
      </w:r>
    </w:p>
    <w:p w14:paraId="19502901" w14:textId="77777777" w:rsidR="00BF3A3A" w:rsidRDefault="00A76802">
      <w:pPr>
        <w:jc w:val="center"/>
      </w:pPr>
      <w:r>
        <w:rPr>
          <w:rFonts w:ascii="sans-serif" w:eastAsia="sans-serif" w:hAnsi="sans-serif" w:cs="sans-serif"/>
          <w:b/>
          <w:bCs/>
          <w:color w:val="000000"/>
          <w:sz w:val="20"/>
          <w:szCs w:val="20"/>
        </w:rPr>
        <w:t>NVIDIA CORPORATION AND SUBSIDIARIES</w:t>
      </w:r>
    </w:p>
    <w:p w14:paraId="19502902" w14:textId="77777777" w:rsidR="00BF3A3A" w:rsidRDefault="00A76802">
      <w:pPr>
        <w:jc w:val="center"/>
      </w:pPr>
      <w:r>
        <w:rPr>
          <w:rFonts w:ascii="sans-serif" w:eastAsia="sans-serif" w:hAnsi="sans-serif" w:cs="sans-serif"/>
          <w:b/>
          <w:bCs/>
          <w:color w:val="000000"/>
          <w:sz w:val="20"/>
          <w:szCs w:val="20"/>
        </w:rPr>
        <w:t>NOTES TO CONDENSED CONSOLIDATED FINANCIAL STATEMENTS</w:t>
      </w:r>
    </w:p>
    <w:p w14:paraId="19502903" w14:textId="77777777" w:rsidR="00BF3A3A" w:rsidRDefault="00A76802">
      <w:pPr>
        <w:jc w:val="center"/>
      </w:pPr>
      <w:r>
        <w:rPr>
          <w:rFonts w:ascii="sans-serif" w:eastAsia="sans-serif" w:hAnsi="sans-serif" w:cs="sans-serif"/>
          <w:b/>
          <w:bCs/>
          <w:color w:val="000000"/>
          <w:sz w:val="20"/>
          <w:szCs w:val="20"/>
        </w:rPr>
        <w:t>(Unaudited)</w:t>
      </w:r>
    </w:p>
    <w:p w14:paraId="19502904" w14:textId="77777777" w:rsidR="00BF3A3A" w:rsidRDefault="00BF3A3A">
      <w:pPr>
        <w:spacing w:after="180"/>
        <w:jc w:val="both"/>
      </w:pPr>
    </w:p>
    <w:p w14:paraId="19502905" w14:textId="77777777" w:rsidR="00BF3A3A" w:rsidRDefault="00BF3A3A">
      <w:pPr>
        <w:spacing w:after="180"/>
        <w:jc w:val="center"/>
      </w:pPr>
    </w:p>
    <w:p w14:paraId="19502906" w14:textId="77777777" w:rsidR="00BF3A3A" w:rsidRDefault="00A76802">
      <w:pPr>
        <w:spacing w:before="240" w:after="120"/>
        <w:jc w:val="both"/>
      </w:pPr>
      <w:r>
        <w:rPr>
          <w:rFonts w:ascii="sans-serif" w:eastAsia="sans-serif" w:hAnsi="sans-serif" w:cs="sans-serif"/>
          <w:b/>
          <w:bCs/>
          <w:color w:val="76B900"/>
          <w:sz w:val="22"/>
          <w:szCs w:val="22"/>
        </w:rPr>
        <w:t>Note 1 - Summary of Significant Accounting Policies</w:t>
      </w:r>
    </w:p>
    <w:p w14:paraId="19502907" w14:textId="77777777" w:rsidR="00BF3A3A" w:rsidRDefault="00A76802">
      <w:pPr>
        <w:spacing w:before="240" w:after="60"/>
        <w:jc w:val="both"/>
      </w:pPr>
      <w:r>
        <w:rPr>
          <w:rFonts w:ascii="sans-serif" w:eastAsia="sans-serif" w:hAnsi="sans-serif" w:cs="sans-serif"/>
          <w:b/>
          <w:bCs/>
          <w:color w:val="76B900"/>
          <w:sz w:val="20"/>
          <w:szCs w:val="20"/>
        </w:rPr>
        <w:t>Basis of Presentation</w:t>
      </w:r>
    </w:p>
    <w:p w14:paraId="19502908" w14:textId="77777777" w:rsidR="00BF3A3A" w:rsidRDefault="00A76802">
      <w:pPr>
        <w:spacing w:after="180"/>
        <w:jc w:val="both"/>
      </w:pPr>
      <w:r>
        <w:rPr>
          <w:rFonts w:ascii="sans-serif" w:eastAsia="sans-serif" w:hAnsi="sans-serif" w:cs="sans-serif"/>
          <w:color w:val="000000"/>
          <w:sz w:val="20"/>
          <w:szCs w:val="20"/>
        </w:rPr>
        <w:t>The accompanying unaudited condensed con</w:t>
      </w:r>
      <w:r>
        <w:rPr>
          <w:rFonts w:ascii="sans-serif" w:eastAsia="sans-serif" w:hAnsi="sans-serif" w:cs="sans-serif"/>
          <w:color w:val="000000"/>
          <w:sz w:val="20"/>
          <w:szCs w:val="20"/>
        </w:rPr>
        <w:t>solidated financial statements were prepared in accordance with accounting principles generally accepted in the United States of America, or U.S. GAAP, for interim financial information and with the instructions to Form 10-Q and Article 10 of Securities an</w:t>
      </w:r>
      <w:r>
        <w:rPr>
          <w:rFonts w:ascii="sans-serif" w:eastAsia="sans-serif" w:hAnsi="sans-serif" w:cs="sans-serif"/>
          <w:color w:val="000000"/>
          <w:sz w:val="20"/>
          <w:szCs w:val="20"/>
        </w:rPr>
        <w:t>d Exchange Commission, or SEC, Regulation S-X. The January 30, 2022 consolidated balance sheet was derived from our audited consolidated financial statements included in our Annual Report on Form 10-K for the fiscal year ended January 30, 2022, as filed wi</w:t>
      </w:r>
      <w:r>
        <w:rPr>
          <w:rFonts w:ascii="sans-serif" w:eastAsia="sans-serif" w:hAnsi="sans-serif" w:cs="sans-serif"/>
          <w:color w:val="000000"/>
          <w:sz w:val="20"/>
          <w:szCs w:val="20"/>
        </w:rPr>
        <w:t>th the SEC, but does not include all disclosures required by U.S. GAAP. In the opinion of management, all adjustments, consisting only of normal recurring adjustments considered necessary for a fair statement of results of operations and financial position</w:t>
      </w:r>
      <w:r>
        <w:rPr>
          <w:rFonts w:ascii="sans-serif" w:eastAsia="sans-serif" w:hAnsi="sans-serif" w:cs="sans-serif"/>
          <w:color w:val="000000"/>
          <w:sz w:val="20"/>
          <w:szCs w:val="20"/>
        </w:rPr>
        <w:t>, have been included. The results for the interim periods presented are not necessarily indicative of the results expected for any future period. The following information should be read in conjunction with the audited consolidated financial statements and</w:t>
      </w:r>
      <w:r>
        <w:rPr>
          <w:rFonts w:ascii="sans-serif" w:eastAsia="sans-serif" w:hAnsi="sans-serif" w:cs="sans-serif"/>
          <w:color w:val="000000"/>
          <w:sz w:val="20"/>
          <w:szCs w:val="20"/>
        </w:rPr>
        <w:t xml:space="preserve"> notes thereto included in our Annual Report on Form 10-K for the fiscal year ended January 30, 2022.</w:t>
      </w:r>
      <w:r>
        <w:rPr>
          <w:rFonts w:ascii="sans-serif" w:eastAsia="sans-serif" w:hAnsi="sans-serif" w:cs="sans-serif"/>
          <w:b/>
          <w:bCs/>
          <w:color w:val="000000"/>
          <w:sz w:val="20"/>
          <w:szCs w:val="20"/>
        </w:rPr>
        <w:t> </w:t>
      </w:r>
    </w:p>
    <w:p w14:paraId="19502909" w14:textId="77777777" w:rsidR="00BF3A3A" w:rsidRDefault="00A76802">
      <w:pPr>
        <w:spacing w:before="240" w:after="60"/>
        <w:jc w:val="both"/>
      </w:pPr>
      <w:r>
        <w:rPr>
          <w:rFonts w:ascii="sans-serif" w:eastAsia="sans-serif" w:hAnsi="sans-serif" w:cs="sans-serif"/>
          <w:b/>
          <w:bCs/>
          <w:color w:val="76B900"/>
          <w:sz w:val="20"/>
          <w:szCs w:val="20"/>
        </w:rPr>
        <w:t>Significant Accounting Policies</w:t>
      </w:r>
    </w:p>
    <w:p w14:paraId="1950290A" w14:textId="77777777" w:rsidR="00BF3A3A" w:rsidRDefault="00A76802">
      <w:pPr>
        <w:spacing w:after="180"/>
        <w:jc w:val="both"/>
      </w:pPr>
      <w:r>
        <w:rPr>
          <w:rFonts w:ascii="sans-serif" w:eastAsia="sans-serif" w:hAnsi="sans-serif" w:cs="sans-serif"/>
          <w:color w:val="000000"/>
          <w:sz w:val="20"/>
          <w:szCs w:val="20"/>
        </w:rPr>
        <w:t>There have been no material changes to our significant accounting policies disclosed in Note 1 - Organization and Summary</w:t>
      </w:r>
      <w:r>
        <w:rPr>
          <w:rFonts w:ascii="sans-serif" w:eastAsia="sans-serif" w:hAnsi="sans-serif" w:cs="sans-serif"/>
          <w:color w:val="000000"/>
          <w:sz w:val="20"/>
          <w:szCs w:val="20"/>
        </w:rPr>
        <w:t xml:space="preserve"> of Significant Accounting Policies, of the Notes to the Consolidated Financial Statements included in our Annual Report on Form 10-K for the fiscal year ended January 30, 2022.</w:t>
      </w:r>
    </w:p>
    <w:p w14:paraId="1950290B" w14:textId="77777777" w:rsidR="00BF3A3A" w:rsidRDefault="00A76802">
      <w:pPr>
        <w:spacing w:before="240" w:after="60"/>
        <w:jc w:val="both"/>
      </w:pPr>
      <w:r>
        <w:rPr>
          <w:rFonts w:ascii="sans-serif" w:eastAsia="sans-serif" w:hAnsi="sans-serif" w:cs="sans-serif"/>
          <w:b/>
          <w:bCs/>
          <w:color w:val="76B900"/>
          <w:sz w:val="20"/>
          <w:szCs w:val="20"/>
        </w:rPr>
        <w:t>Fiscal Year</w:t>
      </w:r>
    </w:p>
    <w:p w14:paraId="1950290C" w14:textId="77777777" w:rsidR="00BF3A3A" w:rsidRDefault="00A76802">
      <w:pPr>
        <w:spacing w:after="180"/>
        <w:jc w:val="both"/>
      </w:pPr>
      <w:r>
        <w:rPr>
          <w:rFonts w:ascii="sans-serif" w:eastAsia="sans-serif" w:hAnsi="sans-serif" w:cs="sans-serif"/>
          <w:color w:val="000000"/>
          <w:sz w:val="20"/>
          <w:szCs w:val="20"/>
        </w:rPr>
        <w:t xml:space="preserve">We operate on a 52- or 53-week year, ending on the last Sunday in </w:t>
      </w:r>
      <w:r>
        <w:rPr>
          <w:rFonts w:ascii="sans-serif" w:eastAsia="sans-serif" w:hAnsi="sans-serif" w:cs="sans-serif"/>
          <w:color w:val="000000"/>
          <w:sz w:val="20"/>
          <w:szCs w:val="20"/>
        </w:rPr>
        <w:t>January. Fiscal years 2023 and 2022 are both 52-week years. The second quarters of fiscal years 2023 and 2022 were both 13-week quarters.</w:t>
      </w:r>
    </w:p>
    <w:p w14:paraId="1950290D" w14:textId="77777777" w:rsidR="00BF3A3A" w:rsidRDefault="00A76802">
      <w:pPr>
        <w:spacing w:before="240" w:after="60"/>
        <w:jc w:val="both"/>
      </w:pPr>
      <w:r>
        <w:rPr>
          <w:rFonts w:ascii="sans-serif" w:eastAsia="sans-serif" w:hAnsi="sans-serif" w:cs="sans-serif"/>
          <w:b/>
          <w:bCs/>
          <w:color w:val="76B900"/>
          <w:sz w:val="20"/>
          <w:szCs w:val="20"/>
        </w:rPr>
        <w:t>Reclassifications</w:t>
      </w:r>
    </w:p>
    <w:p w14:paraId="1950290E" w14:textId="77777777" w:rsidR="00BF3A3A" w:rsidRDefault="00A76802">
      <w:pPr>
        <w:spacing w:after="180"/>
        <w:jc w:val="both"/>
      </w:pPr>
      <w:r>
        <w:rPr>
          <w:rFonts w:ascii="sans-serif" w:eastAsia="sans-serif" w:hAnsi="sans-serif" w:cs="sans-serif"/>
          <w:color w:val="000000"/>
          <w:sz w:val="20"/>
          <w:szCs w:val="20"/>
        </w:rPr>
        <w:t xml:space="preserve">Certain prior fiscal year balances have been reclassified to conform to the current fiscal year </w:t>
      </w:r>
      <w:r>
        <w:rPr>
          <w:rFonts w:ascii="sans-serif" w:eastAsia="sans-serif" w:hAnsi="sans-serif" w:cs="sans-serif"/>
          <w:color w:val="000000"/>
          <w:sz w:val="20"/>
          <w:szCs w:val="20"/>
        </w:rPr>
        <w:t>presentation.</w:t>
      </w:r>
    </w:p>
    <w:p w14:paraId="1950290F" w14:textId="77777777" w:rsidR="00BF3A3A" w:rsidRDefault="00A76802">
      <w:pPr>
        <w:spacing w:before="240" w:after="60"/>
        <w:jc w:val="both"/>
      </w:pPr>
      <w:r>
        <w:rPr>
          <w:rFonts w:ascii="sans-serif" w:eastAsia="sans-serif" w:hAnsi="sans-serif" w:cs="sans-serif"/>
          <w:b/>
          <w:bCs/>
          <w:color w:val="76B900"/>
          <w:sz w:val="20"/>
          <w:szCs w:val="20"/>
        </w:rPr>
        <w:t>Principles of Consolidation</w:t>
      </w:r>
    </w:p>
    <w:p w14:paraId="19502910" w14:textId="77777777" w:rsidR="00BF3A3A" w:rsidRDefault="00A76802">
      <w:pPr>
        <w:spacing w:after="180"/>
        <w:jc w:val="both"/>
      </w:pPr>
      <w:r>
        <w:rPr>
          <w:rFonts w:ascii="sans-serif" w:eastAsia="sans-serif" w:hAnsi="sans-serif" w:cs="sans-serif"/>
          <w:color w:val="000000"/>
          <w:sz w:val="20"/>
          <w:szCs w:val="20"/>
        </w:rPr>
        <w:t>Our condensed consolidated financial statements include the accounts of NVIDIA Corporation and our wholly-owned subsidiaries. All intercompany balances and transactions have been eliminated in consolidation.</w:t>
      </w:r>
    </w:p>
    <w:p w14:paraId="19502911" w14:textId="77777777" w:rsidR="00BF3A3A" w:rsidRDefault="00BF3A3A">
      <w:pPr>
        <w:spacing w:before="240" w:after="120"/>
        <w:jc w:val="both"/>
      </w:pPr>
    </w:p>
    <w:p w14:paraId="19502912" w14:textId="77777777" w:rsidR="00BF3A3A" w:rsidRDefault="00A76802">
      <w:pPr>
        <w:spacing w:after="180"/>
        <w:jc w:val="center"/>
      </w:pPr>
      <w:r>
        <w:rPr>
          <w:rFonts w:ascii="sans-serif" w:eastAsia="sans-serif" w:hAnsi="sans-serif" w:cs="sans-serif"/>
          <w:color w:val="000000"/>
          <w:sz w:val="20"/>
          <w:szCs w:val="20"/>
        </w:rPr>
        <w:t>9</w:t>
      </w:r>
    </w:p>
    <w:p w14:paraId="19502913" w14:textId="77777777" w:rsidR="00BF3A3A" w:rsidRDefault="00A76802">
      <w:r>
        <w:pict w14:anchorId="19503FCE">
          <v:rect id="_x0000_i1033" style="width:415.3pt;height:1.5pt" o:hralign="center" o:hrstd="t" o:hr="t" fillcolor="#a0a0a0" stroked="f"/>
        </w:pict>
      </w:r>
    </w:p>
    <w:p w14:paraId="19502914" w14:textId="77777777" w:rsidR="00BF3A3A" w:rsidRDefault="00A76802">
      <w:pPr>
        <w:jc w:val="center"/>
      </w:pPr>
      <w:r>
        <w:rPr>
          <w:rFonts w:ascii="sans-serif" w:eastAsia="sans-serif" w:hAnsi="sans-serif" w:cs="sans-serif"/>
          <w:b/>
          <w:bCs/>
          <w:color w:val="000000"/>
          <w:sz w:val="20"/>
          <w:szCs w:val="20"/>
        </w:rPr>
        <w:t>NVIDIA CORPORATION AND SUBSIDIARIES</w:t>
      </w:r>
    </w:p>
    <w:p w14:paraId="19502915" w14:textId="77777777" w:rsidR="00BF3A3A" w:rsidRDefault="00A76802">
      <w:pPr>
        <w:jc w:val="center"/>
      </w:pPr>
      <w:r>
        <w:rPr>
          <w:rFonts w:ascii="sans-serif" w:eastAsia="sans-serif" w:hAnsi="sans-serif" w:cs="sans-serif"/>
          <w:b/>
          <w:bCs/>
          <w:color w:val="000000"/>
          <w:sz w:val="20"/>
          <w:szCs w:val="20"/>
        </w:rPr>
        <w:t>NOTES TO CONDENSED CONSOLIDATED FINANCIAL STATEMENTS (Continued)</w:t>
      </w:r>
    </w:p>
    <w:p w14:paraId="19502916" w14:textId="77777777" w:rsidR="00BF3A3A" w:rsidRDefault="00A76802">
      <w:pPr>
        <w:jc w:val="center"/>
      </w:pPr>
      <w:r>
        <w:rPr>
          <w:rFonts w:ascii="sans-serif" w:eastAsia="sans-serif" w:hAnsi="sans-serif" w:cs="sans-serif"/>
          <w:b/>
          <w:bCs/>
          <w:color w:val="000000"/>
          <w:sz w:val="20"/>
          <w:szCs w:val="20"/>
        </w:rPr>
        <w:t>(Unaudited)</w:t>
      </w:r>
    </w:p>
    <w:p w14:paraId="19502917" w14:textId="77777777" w:rsidR="00BF3A3A" w:rsidRDefault="00BF3A3A">
      <w:pPr>
        <w:spacing w:after="180"/>
        <w:jc w:val="both"/>
      </w:pPr>
    </w:p>
    <w:p w14:paraId="19502918" w14:textId="77777777" w:rsidR="00BF3A3A" w:rsidRDefault="00BF3A3A">
      <w:pPr>
        <w:spacing w:after="180"/>
        <w:jc w:val="both"/>
      </w:pPr>
    </w:p>
    <w:p w14:paraId="19502919" w14:textId="77777777" w:rsidR="00BF3A3A" w:rsidRDefault="00A76802">
      <w:pPr>
        <w:spacing w:before="240" w:after="120"/>
        <w:jc w:val="both"/>
      </w:pPr>
      <w:r>
        <w:rPr>
          <w:rFonts w:ascii="sans-serif" w:eastAsia="sans-serif" w:hAnsi="sans-serif" w:cs="sans-serif"/>
          <w:b/>
          <w:bCs/>
          <w:color w:val="76B900"/>
          <w:sz w:val="22"/>
          <w:szCs w:val="22"/>
        </w:rPr>
        <w:t>Note 2 - Business Combination</w:t>
      </w:r>
    </w:p>
    <w:p w14:paraId="1950291A" w14:textId="77777777" w:rsidR="00BF3A3A" w:rsidRDefault="00A76802">
      <w:pPr>
        <w:spacing w:before="240" w:after="60"/>
        <w:jc w:val="both"/>
      </w:pPr>
      <w:r>
        <w:rPr>
          <w:rFonts w:ascii="sans-serif" w:eastAsia="sans-serif" w:hAnsi="sans-serif" w:cs="sans-serif"/>
          <w:b/>
          <w:bCs/>
          <w:color w:val="76B900"/>
          <w:sz w:val="20"/>
          <w:szCs w:val="20"/>
        </w:rPr>
        <w:t>Termination of the Arm Share Purchase Agreement</w:t>
      </w:r>
    </w:p>
    <w:p w14:paraId="1950291B" w14:textId="77777777" w:rsidR="00BF3A3A" w:rsidRDefault="00A76802">
      <w:pPr>
        <w:jc w:val="both"/>
      </w:pPr>
      <w:r>
        <w:rPr>
          <w:rFonts w:ascii="sans-serif" w:eastAsia="sans-serif" w:hAnsi="sans-serif" w:cs="sans-serif"/>
          <w:color w:val="000000"/>
          <w:sz w:val="20"/>
          <w:szCs w:val="20"/>
        </w:rPr>
        <w:t xml:space="preserve">In February 2022, NVIDIA and SoftBank Group Corp, or SoftBank, </w:t>
      </w:r>
      <w:r>
        <w:rPr>
          <w:rFonts w:ascii="sans-serif" w:eastAsia="sans-serif" w:hAnsi="sans-serif" w:cs="sans-serif"/>
          <w:color w:val="000000"/>
          <w:sz w:val="20"/>
          <w:szCs w:val="20"/>
        </w:rPr>
        <w:t>announced the termination of the Share Purchase Agreement whereby NVIDIA would have acquired Arm Limited from SoftBank. The parties agreed to terminate because of significant regulatory challenges preventing the completion of the transaction. We recorded a</w:t>
      </w:r>
      <w:r>
        <w:rPr>
          <w:rFonts w:ascii="sans-serif" w:eastAsia="sans-serif" w:hAnsi="sans-serif" w:cs="sans-serif"/>
          <w:color w:val="000000"/>
          <w:sz w:val="20"/>
          <w:szCs w:val="20"/>
        </w:rPr>
        <w:t>n acquisition termination cost of $1.35 billion in the first quarter of fiscal year 2023 reflecting the write-off of the prepayment provided at signing in September 2020.</w:t>
      </w:r>
    </w:p>
    <w:p w14:paraId="1950291C" w14:textId="77777777" w:rsidR="00BF3A3A" w:rsidRDefault="00A76802">
      <w:pPr>
        <w:spacing w:before="240" w:after="120"/>
        <w:jc w:val="both"/>
      </w:pPr>
      <w:r>
        <w:rPr>
          <w:rFonts w:ascii="sans-serif" w:eastAsia="sans-serif" w:hAnsi="sans-serif" w:cs="sans-serif"/>
          <w:b/>
          <w:bCs/>
          <w:color w:val="76B900"/>
          <w:sz w:val="22"/>
          <w:szCs w:val="22"/>
        </w:rPr>
        <w:t>Note 3 - Leases</w:t>
      </w:r>
    </w:p>
    <w:p w14:paraId="1950291D" w14:textId="77777777" w:rsidR="00BF3A3A" w:rsidRDefault="00A76802">
      <w:pPr>
        <w:spacing w:before="240" w:after="60"/>
        <w:jc w:val="both"/>
      </w:pPr>
      <w:r>
        <w:rPr>
          <w:rFonts w:ascii="sans-serif" w:eastAsia="sans-serif" w:hAnsi="sans-serif" w:cs="sans-serif"/>
          <w:color w:val="000000"/>
          <w:sz w:val="20"/>
          <w:szCs w:val="20"/>
        </w:rPr>
        <w:t>Our lease obligations primarily consist of operating leases for our h</w:t>
      </w:r>
      <w:r>
        <w:rPr>
          <w:rFonts w:ascii="sans-serif" w:eastAsia="sans-serif" w:hAnsi="sans-serif" w:cs="sans-serif"/>
          <w:color w:val="000000"/>
          <w:sz w:val="20"/>
          <w:szCs w:val="20"/>
        </w:rPr>
        <w:t>eadquarters complex, domestic and international office facilities, and data center space, with lease periods expiring between fiscal years 2023 and 2035.</w:t>
      </w:r>
    </w:p>
    <w:p w14:paraId="1950291E" w14:textId="77777777" w:rsidR="00BF3A3A" w:rsidRDefault="00A76802">
      <w:pPr>
        <w:spacing w:before="180" w:after="180"/>
        <w:jc w:val="both"/>
      </w:pPr>
      <w:r>
        <w:rPr>
          <w:rFonts w:ascii="sans-serif" w:eastAsia="sans-serif" w:hAnsi="sans-serif" w:cs="sans-serif"/>
          <w:color w:val="000000"/>
          <w:sz w:val="20"/>
          <w:szCs w:val="20"/>
        </w:rPr>
        <w:t>Future minimum lease payments under our non-cancelable operating leases as of July 31, 2022 are as fol</w:t>
      </w:r>
      <w:r>
        <w:rPr>
          <w:rFonts w:ascii="sans-serif" w:eastAsia="sans-serif" w:hAnsi="sans-serif" w:cs="sans-serif"/>
          <w:color w:val="000000"/>
          <w:sz w:val="20"/>
          <w:szCs w:val="20"/>
        </w:rPr>
        <w:t xml:space="preserve">lows: </w:t>
      </w:r>
    </w:p>
    <w:tbl>
      <w:tblPr>
        <w:tblW w:w="5000" w:type="pct"/>
        <w:tblCellMar>
          <w:top w:w="15" w:type="dxa"/>
          <w:left w:w="15" w:type="dxa"/>
          <w:bottom w:w="15" w:type="dxa"/>
          <w:right w:w="15" w:type="dxa"/>
        </w:tblCellMar>
        <w:tblLook w:val="04A0" w:firstRow="1" w:lastRow="0" w:firstColumn="1" w:lastColumn="0" w:noHBand="0" w:noVBand="1"/>
      </w:tblPr>
      <w:tblGrid>
        <w:gridCol w:w="51"/>
        <w:gridCol w:w="6653"/>
        <w:gridCol w:w="38"/>
        <w:gridCol w:w="123"/>
        <w:gridCol w:w="1435"/>
        <w:gridCol w:w="36"/>
      </w:tblGrid>
      <w:tr w:rsidR="00BF3A3A" w14:paraId="19502925" w14:textId="77777777">
        <w:tc>
          <w:tcPr>
            <w:tcW w:w="50" w:type="pct"/>
            <w:shd w:val="clear" w:color="auto" w:fill="auto"/>
            <w:vAlign w:val="bottom"/>
          </w:tcPr>
          <w:p w14:paraId="1950291F" w14:textId="77777777" w:rsidR="00BF3A3A" w:rsidRDefault="00BF3A3A">
            <w:pPr>
              <w:rPr>
                <w:rFonts w:ascii="宋体"/>
              </w:rPr>
            </w:pPr>
          </w:p>
        </w:tc>
        <w:tc>
          <w:tcPr>
            <w:tcW w:w="4009" w:type="pct"/>
            <w:shd w:val="clear" w:color="auto" w:fill="auto"/>
            <w:vAlign w:val="bottom"/>
          </w:tcPr>
          <w:p w14:paraId="19502920" w14:textId="77777777" w:rsidR="00BF3A3A" w:rsidRDefault="00BF3A3A">
            <w:pPr>
              <w:rPr>
                <w:rFonts w:ascii="宋体"/>
              </w:rPr>
            </w:pPr>
          </w:p>
        </w:tc>
        <w:tc>
          <w:tcPr>
            <w:tcW w:w="5" w:type="pct"/>
            <w:shd w:val="clear" w:color="auto" w:fill="auto"/>
            <w:vAlign w:val="bottom"/>
          </w:tcPr>
          <w:p w14:paraId="19502921" w14:textId="77777777" w:rsidR="00BF3A3A" w:rsidRDefault="00BF3A3A">
            <w:pPr>
              <w:rPr>
                <w:rFonts w:ascii="宋体"/>
              </w:rPr>
            </w:pPr>
          </w:p>
        </w:tc>
        <w:tc>
          <w:tcPr>
            <w:tcW w:w="50" w:type="pct"/>
            <w:shd w:val="clear" w:color="auto" w:fill="auto"/>
            <w:vAlign w:val="bottom"/>
          </w:tcPr>
          <w:p w14:paraId="19502922" w14:textId="77777777" w:rsidR="00BF3A3A" w:rsidRDefault="00BF3A3A">
            <w:pPr>
              <w:rPr>
                <w:rFonts w:ascii="宋体"/>
              </w:rPr>
            </w:pPr>
          </w:p>
        </w:tc>
        <w:tc>
          <w:tcPr>
            <w:tcW w:w="880" w:type="pct"/>
            <w:shd w:val="clear" w:color="auto" w:fill="auto"/>
            <w:vAlign w:val="bottom"/>
          </w:tcPr>
          <w:p w14:paraId="19502923" w14:textId="77777777" w:rsidR="00BF3A3A" w:rsidRDefault="00BF3A3A">
            <w:pPr>
              <w:rPr>
                <w:rFonts w:ascii="宋体"/>
              </w:rPr>
            </w:pPr>
          </w:p>
        </w:tc>
        <w:tc>
          <w:tcPr>
            <w:tcW w:w="5" w:type="pct"/>
            <w:shd w:val="clear" w:color="auto" w:fill="auto"/>
            <w:vAlign w:val="bottom"/>
          </w:tcPr>
          <w:p w14:paraId="19502924" w14:textId="77777777" w:rsidR="00BF3A3A" w:rsidRDefault="00BF3A3A">
            <w:pPr>
              <w:rPr>
                <w:rFonts w:ascii="宋体"/>
              </w:rPr>
            </w:pPr>
          </w:p>
        </w:tc>
      </w:tr>
      <w:tr w:rsidR="00BF3A3A" w14:paraId="19502928" w14:textId="77777777">
        <w:tc>
          <w:tcPr>
            <w:tcW w:w="0" w:type="auto"/>
            <w:gridSpan w:val="3"/>
            <w:shd w:val="clear" w:color="auto" w:fill="auto"/>
            <w:tcMar>
              <w:top w:w="0" w:type="dxa"/>
              <w:left w:w="20" w:type="dxa"/>
              <w:bottom w:w="0" w:type="dxa"/>
              <w:right w:w="20" w:type="dxa"/>
            </w:tcMar>
            <w:vAlign w:val="bottom"/>
          </w:tcPr>
          <w:p w14:paraId="19502926" w14:textId="77777777" w:rsidR="00BF3A3A" w:rsidRDefault="00BF3A3A">
            <w:pPr>
              <w:rPr>
                <w:rFonts w:ascii="宋体"/>
              </w:rPr>
            </w:pPr>
          </w:p>
        </w:tc>
        <w:tc>
          <w:tcPr>
            <w:tcW w:w="0" w:type="auto"/>
            <w:gridSpan w:val="3"/>
            <w:shd w:val="clear" w:color="auto" w:fill="FFFFFF"/>
            <w:tcMar>
              <w:top w:w="40" w:type="dxa"/>
              <w:left w:w="20" w:type="dxa"/>
              <w:bottom w:w="40" w:type="dxa"/>
              <w:right w:w="20" w:type="dxa"/>
            </w:tcMar>
            <w:vAlign w:val="bottom"/>
          </w:tcPr>
          <w:p w14:paraId="19502927" w14:textId="77777777" w:rsidR="00BF3A3A" w:rsidRDefault="00A76802">
            <w:pPr>
              <w:jc w:val="center"/>
              <w:textAlignment w:val="bottom"/>
            </w:pPr>
            <w:r>
              <w:rPr>
                <w:rFonts w:ascii="sans-serif" w:eastAsia="sans-serif" w:hAnsi="sans-serif" w:cs="sans-serif"/>
                <w:b/>
                <w:bCs/>
                <w:color w:val="000000"/>
                <w:sz w:val="20"/>
                <w:szCs w:val="20"/>
              </w:rPr>
              <w:t>Operating Lease Obligations</w:t>
            </w:r>
          </w:p>
        </w:tc>
      </w:tr>
      <w:tr w:rsidR="00BF3A3A" w14:paraId="1950292B" w14:textId="77777777">
        <w:tc>
          <w:tcPr>
            <w:tcW w:w="0" w:type="auto"/>
            <w:gridSpan w:val="3"/>
            <w:shd w:val="clear" w:color="auto" w:fill="auto"/>
            <w:tcMar>
              <w:top w:w="40" w:type="dxa"/>
              <w:left w:w="20" w:type="dxa"/>
              <w:bottom w:w="40" w:type="dxa"/>
              <w:right w:w="20" w:type="dxa"/>
            </w:tcMar>
            <w:vAlign w:val="bottom"/>
          </w:tcPr>
          <w:p w14:paraId="19502929"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92A" w14:textId="77777777" w:rsidR="00BF3A3A" w:rsidRDefault="00A76802">
            <w:pPr>
              <w:jc w:val="center"/>
              <w:textAlignment w:val="bottom"/>
            </w:pPr>
            <w:r>
              <w:rPr>
                <w:rFonts w:ascii="sans-serif" w:eastAsia="sans-serif" w:hAnsi="sans-serif" w:cs="sans-serif"/>
                <w:i/>
                <w:iCs/>
                <w:color w:val="000000"/>
                <w:sz w:val="20"/>
                <w:szCs w:val="20"/>
              </w:rPr>
              <w:t>(In millions)</w:t>
            </w:r>
          </w:p>
        </w:tc>
      </w:tr>
      <w:tr w:rsidR="00BF3A3A" w14:paraId="1950292E" w14:textId="77777777">
        <w:tc>
          <w:tcPr>
            <w:tcW w:w="0" w:type="auto"/>
            <w:gridSpan w:val="3"/>
            <w:shd w:val="clear" w:color="auto" w:fill="E2EFD9"/>
            <w:tcMar>
              <w:top w:w="40" w:type="dxa"/>
              <w:left w:w="20" w:type="dxa"/>
              <w:bottom w:w="40" w:type="dxa"/>
              <w:right w:w="20" w:type="dxa"/>
            </w:tcMar>
            <w:vAlign w:val="bottom"/>
          </w:tcPr>
          <w:p w14:paraId="1950292C" w14:textId="77777777" w:rsidR="00BF3A3A" w:rsidRDefault="00A76802">
            <w:pPr>
              <w:textAlignment w:val="bottom"/>
            </w:pPr>
            <w:r>
              <w:rPr>
                <w:rFonts w:ascii="sans-serif" w:eastAsia="sans-serif" w:hAnsi="sans-serif" w:cs="sans-serif"/>
                <w:b/>
                <w:bCs/>
                <w:color w:val="000000"/>
                <w:sz w:val="20"/>
                <w:szCs w:val="20"/>
              </w:rPr>
              <w:t>Fiscal Year:</w:t>
            </w:r>
          </w:p>
        </w:tc>
        <w:tc>
          <w:tcPr>
            <w:tcW w:w="0" w:type="auto"/>
            <w:gridSpan w:val="3"/>
            <w:shd w:val="clear" w:color="auto" w:fill="E2EFD9"/>
            <w:tcMar>
              <w:top w:w="40" w:type="dxa"/>
              <w:left w:w="20" w:type="dxa"/>
              <w:bottom w:w="40" w:type="dxa"/>
              <w:right w:w="20" w:type="dxa"/>
            </w:tcMar>
            <w:vAlign w:val="bottom"/>
          </w:tcPr>
          <w:p w14:paraId="1950292D" w14:textId="77777777" w:rsidR="00BF3A3A" w:rsidRDefault="00A76802">
            <w:pPr>
              <w:textAlignment w:val="bottom"/>
            </w:pPr>
            <w:r>
              <w:rPr>
                <w:rFonts w:ascii="sans-serif" w:eastAsia="sans-serif" w:hAnsi="sans-serif" w:cs="sans-serif"/>
                <w:color w:val="000000"/>
                <w:sz w:val="20"/>
                <w:szCs w:val="20"/>
              </w:rPr>
              <w:t> </w:t>
            </w:r>
          </w:p>
        </w:tc>
      </w:tr>
      <w:tr w:rsidR="00BF3A3A" w14:paraId="19502933" w14:textId="77777777">
        <w:tc>
          <w:tcPr>
            <w:tcW w:w="0" w:type="auto"/>
            <w:gridSpan w:val="3"/>
            <w:shd w:val="clear" w:color="auto" w:fill="FFFFFF"/>
            <w:tcMar>
              <w:top w:w="40" w:type="dxa"/>
              <w:left w:w="20" w:type="dxa"/>
              <w:bottom w:w="40" w:type="dxa"/>
              <w:right w:w="20" w:type="dxa"/>
            </w:tcMar>
            <w:vAlign w:val="bottom"/>
          </w:tcPr>
          <w:p w14:paraId="1950292F" w14:textId="77777777" w:rsidR="00BF3A3A" w:rsidRDefault="00A76802">
            <w:pPr>
              <w:textAlignment w:val="bottom"/>
            </w:pPr>
            <w:r>
              <w:rPr>
                <w:rFonts w:ascii="sans-serif" w:eastAsia="sans-serif" w:hAnsi="sans-serif" w:cs="sans-serif"/>
                <w:color w:val="000000"/>
                <w:sz w:val="20"/>
                <w:szCs w:val="20"/>
              </w:rPr>
              <w:t>2023 (excluding first half of fiscal year 2023)</w:t>
            </w:r>
          </w:p>
        </w:tc>
        <w:tc>
          <w:tcPr>
            <w:tcW w:w="0" w:type="auto"/>
            <w:shd w:val="clear" w:color="auto" w:fill="FFFFFF"/>
            <w:tcMar>
              <w:top w:w="40" w:type="dxa"/>
              <w:left w:w="20" w:type="dxa"/>
              <w:bottom w:w="40" w:type="dxa"/>
              <w:right w:w="0" w:type="dxa"/>
            </w:tcMar>
            <w:vAlign w:val="bottom"/>
          </w:tcPr>
          <w:p w14:paraId="19502930"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2931" w14:textId="77777777" w:rsidR="00BF3A3A" w:rsidRDefault="00A76802">
            <w:pPr>
              <w:jc w:val="right"/>
              <w:textAlignment w:val="bottom"/>
            </w:pPr>
            <w:r>
              <w:rPr>
                <w:rFonts w:ascii="sans-serif" w:eastAsia="sans-serif" w:hAnsi="sans-serif" w:cs="sans-serif"/>
                <w:color w:val="000000"/>
                <w:sz w:val="20"/>
                <w:szCs w:val="20"/>
              </w:rPr>
              <w:t>91 </w:t>
            </w:r>
          </w:p>
        </w:tc>
        <w:tc>
          <w:tcPr>
            <w:tcW w:w="0" w:type="auto"/>
            <w:shd w:val="clear" w:color="auto" w:fill="FFFFFF"/>
            <w:tcMar>
              <w:top w:w="40" w:type="dxa"/>
              <w:left w:w="0" w:type="dxa"/>
              <w:bottom w:w="40" w:type="dxa"/>
              <w:right w:w="20" w:type="dxa"/>
            </w:tcMar>
            <w:vAlign w:val="bottom"/>
          </w:tcPr>
          <w:p w14:paraId="19502932" w14:textId="77777777" w:rsidR="00BF3A3A" w:rsidRDefault="00BF3A3A">
            <w:pPr>
              <w:jc w:val="right"/>
              <w:rPr>
                <w:rFonts w:ascii="宋体"/>
              </w:rPr>
            </w:pPr>
          </w:p>
        </w:tc>
      </w:tr>
      <w:tr w:rsidR="00BF3A3A" w14:paraId="19502937" w14:textId="77777777">
        <w:tc>
          <w:tcPr>
            <w:tcW w:w="0" w:type="auto"/>
            <w:gridSpan w:val="3"/>
            <w:shd w:val="clear" w:color="auto" w:fill="E2EFD9"/>
            <w:tcMar>
              <w:top w:w="40" w:type="dxa"/>
              <w:left w:w="20" w:type="dxa"/>
              <w:bottom w:w="40" w:type="dxa"/>
              <w:right w:w="20" w:type="dxa"/>
            </w:tcMar>
            <w:vAlign w:val="bottom"/>
          </w:tcPr>
          <w:p w14:paraId="19502934" w14:textId="77777777" w:rsidR="00BF3A3A" w:rsidRDefault="00A76802">
            <w:pPr>
              <w:textAlignment w:val="bottom"/>
            </w:pPr>
            <w:r>
              <w:rPr>
                <w:rFonts w:ascii="sans-serif" w:eastAsia="sans-serif" w:hAnsi="sans-serif" w:cs="sans-serif"/>
                <w:color w:val="000000"/>
                <w:sz w:val="20"/>
                <w:szCs w:val="20"/>
              </w:rPr>
              <w:t>2024</w:t>
            </w:r>
          </w:p>
        </w:tc>
        <w:tc>
          <w:tcPr>
            <w:tcW w:w="0" w:type="auto"/>
            <w:gridSpan w:val="2"/>
            <w:shd w:val="clear" w:color="auto" w:fill="E2EFD9"/>
            <w:tcMar>
              <w:top w:w="40" w:type="dxa"/>
              <w:left w:w="20" w:type="dxa"/>
              <w:bottom w:w="40" w:type="dxa"/>
              <w:right w:w="0" w:type="dxa"/>
            </w:tcMar>
            <w:vAlign w:val="bottom"/>
          </w:tcPr>
          <w:p w14:paraId="19502935" w14:textId="77777777" w:rsidR="00BF3A3A" w:rsidRDefault="00A76802">
            <w:pPr>
              <w:jc w:val="right"/>
              <w:textAlignment w:val="bottom"/>
            </w:pPr>
            <w:r>
              <w:rPr>
                <w:rFonts w:ascii="sans-serif" w:eastAsia="sans-serif" w:hAnsi="sans-serif" w:cs="sans-serif"/>
                <w:color w:val="000000"/>
                <w:sz w:val="20"/>
                <w:szCs w:val="20"/>
              </w:rPr>
              <w:t>169 </w:t>
            </w:r>
          </w:p>
        </w:tc>
        <w:tc>
          <w:tcPr>
            <w:tcW w:w="0" w:type="auto"/>
            <w:shd w:val="clear" w:color="auto" w:fill="E2EFD9"/>
            <w:tcMar>
              <w:top w:w="40" w:type="dxa"/>
              <w:left w:w="0" w:type="dxa"/>
              <w:bottom w:w="40" w:type="dxa"/>
              <w:right w:w="20" w:type="dxa"/>
            </w:tcMar>
            <w:vAlign w:val="bottom"/>
          </w:tcPr>
          <w:p w14:paraId="19502936" w14:textId="77777777" w:rsidR="00BF3A3A" w:rsidRDefault="00BF3A3A">
            <w:pPr>
              <w:jc w:val="right"/>
              <w:rPr>
                <w:rFonts w:ascii="宋体"/>
              </w:rPr>
            </w:pPr>
          </w:p>
        </w:tc>
      </w:tr>
      <w:tr w:rsidR="00BF3A3A" w14:paraId="1950293B" w14:textId="77777777">
        <w:tc>
          <w:tcPr>
            <w:tcW w:w="0" w:type="auto"/>
            <w:gridSpan w:val="3"/>
            <w:shd w:val="clear" w:color="auto" w:fill="FFFFFF"/>
            <w:tcMar>
              <w:top w:w="40" w:type="dxa"/>
              <w:left w:w="20" w:type="dxa"/>
              <w:bottom w:w="40" w:type="dxa"/>
              <w:right w:w="20" w:type="dxa"/>
            </w:tcMar>
            <w:vAlign w:val="bottom"/>
          </w:tcPr>
          <w:p w14:paraId="19502938" w14:textId="77777777" w:rsidR="00BF3A3A" w:rsidRDefault="00A76802">
            <w:pPr>
              <w:textAlignment w:val="bottom"/>
            </w:pPr>
            <w:r>
              <w:rPr>
                <w:rFonts w:ascii="sans-serif" w:eastAsia="sans-serif" w:hAnsi="sans-serif" w:cs="sans-serif"/>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19502939" w14:textId="77777777" w:rsidR="00BF3A3A" w:rsidRDefault="00A76802">
            <w:pPr>
              <w:jc w:val="right"/>
              <w:textAlignment w:val="bottom"/>
            </w:pPr>
            <w:r>
              <w:rPr>
                <w:rFonts w:ascii="sans-serif" w:eastAsia="sans-serif" w:hAnsi="sans-serif" w:cs="sans-serif"/>
                <w:color w:val="000000"/>
                <w:sz w:val="20"/>
                <w:szCs w:val="20"/>
              </w:rPr>
              <w:t>148 </w:t>
            </w:r>
          </w:p>
        </w:tc>
        <w:tc>
          <w:tcPr>
            <w:tcW w:w="0" w:type="auto"/>
            <w:shd w:val="clear" w:color="auto" w:fill="FFFFFF"/>
            <w:tcMar>
              <w:top w:w="40" w:type="dxa"/>
              <w:left w:w="0" w:type="dxa"/>
              <w:bottom w:w="40" w:type="dxa"/>
              <w:right w:w="20" w:type="dxa"/>
            </w:tcMar>
            <w:vAlign w:val="bottom"/>
          </w:tcPr>
          <w:p w14:paraId="1950293A" w14:textId="77777777" w:rsidR="00BF3A3A" w:rsidRDefault="00BF3A3A">
            <w:pPr>
              <w:jc w:val="right"/>
              <w:rPr>
                <w:rFonts w:ascii="宋体"/>
              </w:rPr>
            </w:pPr>
          </w:p>
        </w:tc>
      </w:tr>
      <w:tr w:rsidR="00BF3A3A" w14:paraId="1950293F" w14:textId="77777777">
        <w:tc>
          <w:tcPr>
            <w:tcW w:w="0" w:type="auto"/>
            <w:gridSpan w:val="3"/>
            <w:shd w:val="clear" w:color="auto" w:fill="E2EFD9"/>
            <w:tcMar>
              <w:top w:w="40" w:type="dxa"/>
              <w:left w:w="20" w:type="dxa"/>
              <w:bottom w:w="40" w:type="dxa"/>
              <w:right w:w="20" w:type="dxa"/>
            </w:tcMar>
            <w:vAlign w:val="bottom"/>
          </w:tcPr>
          <w:p w14:paraId="1950293C" w14:textId="77777777" w:rsidR="00BF3A3A" w:rsidRDefault="00A76802">
            <w:pPr>
              <w:textAlignment w:val="bottom"/>
            </w:pPr>
            <w:r>
              <w:rPr>
                <w:rFonts w:ascii="sans-serif" w:eastAsia="sans-serif" w:hAnsi="sans-serif" w:cs="sans-serif"/>
                <w:color w:val="000000"/>
                <w:sz w:val="20"/>
                <w:szCs w:val="20"/>
              </w:rPr>
              <w:t>2026</w:t>
            </w:r>
          </w:p>
        </w:tc>
        <w:tc>
          <w:tcPr>
            <w:tcW w:w="0" w:type="auto"/>
            <w:gridSpan w:val="2"/>
            <w:shd w:val="clear" w:color="auto" w:fill="E2EFD9"/>
            <w:tcMar>
              <w:top w:w="40" w:type="dxa"/>
              <w:left w:w="20" w:type="dxa"/>
              <w:bottom w:w="40" w:type="dxa"/>
              <w:right w:w="0" w:type="dxa"/>
            </w:tcMar>
            <w:vAlign w:val="bottom"/>
          </w:tcPr>
          <w:p w14:paraId="1950293D" w14:textId="77777777" w:rsidR="00BF3A3A" w:rsidRDefault="00A76802">
            <w:pPr>
              <w:jc w:val="right"/>
              <w:textAlignment w:val="bottom"/>
            </w:pPr>
            <w:r>
              <w:rPr>
                <w:rFonts w:ascii="sans-serif" w:eastAsia="sans-serif" w:hAnsi="sans-serif" w:cs="sans-serif"/>
                <w:color w:val="000000"/>
                <w:sz w:val="20"/>
                <w:szCs w:val="20"/>
              </w:rPr>
              <w:t>132 </w:t>
            </w:r>
          </w:p>
        </w:tc>
        <w:tc>
          <w:tcPr>
            <w:tcW w:w="0" w:type="auto"/>
            <w:shd w:val="clear" w:color="auto" w:fill="E2EFD9"/>
            <w:tcMar>
              <w:top w:w="40" w:type="dxa"/>
              <w:left w:w="0" w:type="dxa"/>
              <w:bottom w:w="40" w:type="dxa"/>
              <w:right w:w="20" w:type="dxa"/>
            </w:tcMar>
            <w:vAlign w:val="bottom"/>
          </w:tcPr>
          <w:p w14:paraId="1950293E" w14:textId="77777777" w:rsidR="00BF3A3A" w:rsidRDefault="00BF3A3A">
            <w:pPr>
              <w:jc w:val="right"/>
              <w:rPr>
                <w:rFonts w:ascii="宋体"/>
              </w:rPr>
            </w:pPr>
          </w:p>
        </w:tc>
      </w:tr>
      <w:tr w:rsidR="00BF3A3A" w14:paraId="19502943" w14:textId="77777777">
        <w:tc>
          <w:tcPr>
            <w:tcW w:w="0" w:type="auto"/>
            <w:gridSpan w:val="3"/>
            <w:shd w:val="clear" w:color="auto" w:fill="FFFFFF"/>
            <w:tcMar>
              <w:top w:w="40" w:type="dxa"/>
              <w:left w:w="20" w:type="dxa"/>
              <w:bottom w:w="40" w:type="dxa"/>
              <w:right w:w="20" w:type="dxa"/>
            </w:tcMar>
            <w:vAlign w:val="bottom"/>
          </w:tcPr>
          <w:p w14:paraId="19502940" w14:textId="77777777" w:rsidR="00BF3A3A" w:rsidRDefault="00A76802">
            <w:pPr>
              <w:textAlignment w:val="bottom"/>
            </w:pPr>
            <w:r>
              <w:rPr>
                <w:rFonts w:ascii="sans-serif" w:eastAsia="sans-serif" w:hAnsi="sans-serif" w:cs="sans-serif"/>
                <w:color w:val="000000"/>
                <w:sz w:val="20"/>
                <w:szCs w:val="20"/>
              </w:rPr>
              <w:t>2027</w:t>
            </w:r>
          </w:p>
        </w:tc>
        <w:tc>
          <w:tcPr>
            <w:tcW w:w="0" w:type="auto"/>
            <w:gridSpan w:val="2"/>
            <w:shd w:val="clear" w:color="auto" w:fill="FFFFFF"/>
            <w:tcMar>
              <w:top w:w="40" w:type="dxa"/>
              <w:left w:w="20" w:type="dxa"/>
              <w:bottom w:w="40" w:type="dxa"/>
              <w:right w:w="0" w:type="dxa"/>
            </w:tcMar>
            <w:vAlign w:val="bottom"/>
          </w:tcPr>
          <w:p w14:paraId="19502941" w14:textId="77777777" w:rsidR="00BF3A3A" w:rsidRDefault="00A76802">
            <w:pPr>
              <w:jc w:val="right"/>
              <w:textAlignment w:val="bottom"/>
            </w:pPr>
            <w:r>
              <w:rPr>
                <w:rFonts w:ascii="sans-serif" w:eastAsia="sans-serif" w:hAnsi="sans-serif" w:cs="sans-serif"/>
                <w:color w:val="000000"/>
                <w:sz w:val="20"/>
                <w:szCs w:val="20"/>
              </w:rPr>
              <w:t>123 </w:t>
            </w:r>
          </w:p>
        </w:tc>
        <w:tc>
          <w:tcPr>
            <w:tcW w:w="0" w:type="auto"/>
            <w:shd w:val="clear" w:color="auto" w:fill="FFFFFF"/>
            <w:tcMar>
              <w:top w:w="40" w:type="dxa"/>
              <w:left w:w="0" w:type="dxa"/>
              <w:bottom w:w="40" w:type="dxa"/>
              <w:right w:w="20" w:type="dxa"/>
            </w:tcMar>
            <w:vAlign w:val="bottom"/>
          </w:tcPr>
          <w:p w14:paraId="19502942" w14:textId="77777777" w:rsidR="00BF3A3A" w:rsidRDefault="00BF3A3A">
            <w:pPr>
              <w:jc w:val="right"/>
              <w:rPr>
                <w:rFonts w:ascii="宋体"/>
              </w:rPr>
            </w:pPr>
          </w:p>
        </w:tc>
      </w:tr>
      <w:tr w:rsidR="00BF3A3A" w14:paraId="19502947" w14:textId="77777777">
        <w:tc>
          <w:tcPr>
            <w:tcW w:w="0" w:type="auto"/>
            <w:gridSpan w:val="3"/>
            <w:shd w:val="clear" w:color="auto" w:fill="E2EFD9"/>
            <w:tcMar>
              <w:top w:w="40" w:type="dxa"/>
              <w:left w:w="20" w:type="dxa"/>
              <w:bottom w:w="40" w:type="dxa"/>
              <w:right w:w="20" w:type="dxa"/>
            </w:tcMar>
            <w:vAlign w:val="bottom"/>
          </w:tcPr>
          <w:p w14:paraId="19502944" w14:textId="77777777" w:rsidR="00BF3A3A" w:rsidRDefault="00A76802">
            <w:pPr>
              <w:textAlignment w:val="bottom"/>
            </w:pPr>
            <w:r>
              <w:rPr>
                <w:rFonts w:ascii="sans-serif" w:eastAsia="sans-serif" w:hAnsi="sans-serif" w:cs="sans-serif"/>
                <w:color w:val="000000"/>
                <w:sz w:val="20"/>
                <w:szCs w:val="20"/>
              </w:rPr>
              <w:t>2028 and thereafter</w:t>
            </w:r>
          </w:p>
        </w:tc>
        <w:tc>
          <w:tcPr>
            <w:tcW w:w="0" w:type="auto"/>
            <w:gridSpan w:val="2"/>
            <w:shd w:val="clear" w:color="auto" w:fill="E2EFD9"/>
            <w:tcMar>
              <w:top w:w="40" w:type="dxa"/>
              <w:left w:w="20" w:type="dxa"/>
              <w:bottom w:w="40" w:type="dxa"/>
              <w:right w:w="0" w:type="dxa"/>
            </w:tcMar>
            <w:vAlign w:val="bottom"/>
          </w:tcPr>
          <w:p w14:paraId="19502945" w14:textId="77777777" w:rsidR="00BF3A3A" w:rsidRDefault="00A76802">
            <w:pPr>
              <w:jc w:val="right"/>
              <w:textAlignment w:val="bottom"/>
            </w:pPr>
            <w:r>
              <w:rPr>
                <w:rFonts w:ascii="sans-serif" w:eastAsia="sans-serif" w:hAnsi="sans-serif" w:cs="sans-serif"/>
                <w:color w:val="000000"/>
                <w:sz w:val="20"/>
                <w:szCs w:val="20"/>
              </w:rPr>
              <w:t>348 </w:t>
            </w:r>
          </w:p>
        </w:tc>
        <w:tc>
          <w:tcPr>
            <w:tcW w:w="0" w:type="auto"/>
            <w:shd w:val="clear" w:color="auto" w:fill="E2EFD9"/>
            <w:tcMar>
              <w:top w:w="40" w:type="dxa"/>
              <w:left w:w="0" w:type="dxa"/>
              <w:bottom w:w="40" w:type="dxa"/>
              <w:right w:w="20" w:type="dxa"/>
            </w:tcMar>
            <w:vAlign w:val="bottom"/>
          </w:tcPr>
          <w:p w14:paraId="19502946" w14:textId="77777777" w:rsidR="00BF3A3A" w:rsidRDefault="00BF3A3A">
            <w:pPr>
              <w:jc w:val="right"/>
              <w:rPr>
                <w:rFonts w:ascii="宋体"/>
              </w:rPr>
            </w:pPr>
          </w:p>
        </w:tc>
      </w:tr>
      <w:tr w:rsidR="00BF3A3A" w14:paraId="1950294B" w14:textId="77777777">
        <w:tc>
          <w:tcPr>
            <w:tcW w:w="0" w:type="auto"/>
            <w:gridSpan w:val="3"/>
            <w:shd w:val="clear" w:color="auto" w:fill="FFFFFF"/>
            <w:tcMar>
              <w:top w:w="40" w:type="dxa"/>
              <w:left w:w="245" w:type="dxa"/>
              <w:bottom w:w="40" w:type="dxa"/>
              <w:right w:w="20" w:type="dxa"/>
            </w:tcMar>
            <w:vAlign w:val="bottom"/>
          </w:tcPr>
          <w:p w14:paraId="19502948" w14:textId="77777777" w:rsidR="00BF3A3A" w:rsidRDefault="00A76802">
            <w:pPr>
              <w:textAlignment w:val="bottom"/>
            </w:pPr>
            <w:r>
              <w:rPr>
                <w:rFonts w:ascii="sans-serif" w:eastAsia="sans-serif" w:hAnsi="sans-serif" w:cs="sans-serif"/>
                <w:color w:val="000000"/>
                <w:sz w:val="20"/>
                <w:szCs w:val="20"/>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949" w14:textId="77777777" w:rsidR="00BF3A3A" w:rsidRDefault="00A76802">
            <w:pPr>
              <w:jc w:val="right"/>
              <w:textAlignment w:val="bottom"/>
            </w:pPr>
            <w:r>
              <w:rPr>
                <w:rFonts w:ascii="sans-serif" w:eastAsia="sans-serif" w:hAnsi="sans-serif" w:cs="sans-serif"/>
                <w:color w:val="000000"/>
                <w:sz w:val="20"/>
                <w:szCs w:val="20"/>
              </w:rPr>
              <w:t>1,011 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94A" w14:textId="77777777" w:rsidR="00BF3A3A" w:rsidRDefault="00BF3A3A">
            <w:pPr>
              <w:jc w:val="right"/>
              <w:rPr>
                <w:rFonts w:ascii="宋体"/>
              </w:rPr>
            </w:pPr>
          </w:p>
        </w:tc>
      </w:tr>
      <w:tr w:rsidR="00BF3A3A" w14:paraId="1950294F" w14:textId="77777777">
        <w:tc>
          <w:tcPr>
            <w:tcW w:w="0" w:type="auto"/>
            <w:gridSpan w:val="3"/>
            <w:shd w:val="clear" w:color="auto" w:fill="E2EFD9"/>
            <w:tcMar>
              <w:top w:w="40" w:type="dxa"/>
              <w:left w:w="20" w:type="dxa"/>
              <w:bottom w:w="40" w:type="dxa"/>
              <w:right w:w="20" w:type="dxa"/>
            </w:tcMar>
            <w:vAlign w:val="bottom"/>
          </w:tcPr>
          <w:p w14:paraId="1950294C" w14:textId="77777777" w:rsidR="00BF3A3A" w:rsidRDefault="00A76802">
            <w:pPr>
              <w:textAlignment w:val="bottom"/>
            </w:pPr>
            <w:r>
              <w:rPr>
                <w:rFonts w:ascii="sans-serif" w:eastAsia="sans-serif" w:hAnsi="sans-serif" w:cs="sans-serif"/>
                <w:color w:val="000000"/>
                <w:sz w:val="20"/>
                <w:szCs w:val="20"/>
              </w:rPr>
              <w:t>Less imputed interest</w:t>
            </w:r>
          </w:p>
        </w:tc>
        <w:tc>
          <w:tcPr>
            <w:tcW w:w="0" w:type="auto"/>
            <w:gridSpan w:val="2"/>
            <w:shd w:val="clear" w:color="auto" w:fill="E2EFD9"/>
            <w:tcMar>
              <w:top w:w="40" w:type="dxa"/>
              <w:left w:w="20" w:type="dxa"/>
              <w:bottom w:w="40" w:type="dxa"/>
              <w:right w:w="0" w:type="dxa"/>
            </w:tcMar>
            <w:vAlign w:val="bottom"/>
          </w:tcPr>
          <w:p w14:paraId="1950294D" w14:textId="77777777" w:rsidR="00BF3A3A" w:rsidRDefault="00A76802">
            <w:pPr>
              <w:jc w:val="right"/>
              <w:textAlignment w:val="bottom"/>
            </w:pPr>
            <w:r>
              <w:rPr>
                <w:rFonts w:ascii="sans-serif" w:eastAsia="sans-serif" w:hAnsi="sans-serif" w:cs="sans-serif"/>
                <w:color w:val="000000"/>
                <w:sz w:val="20"/>
                <w:szCs w:val="20"/>
              </w:rPr>
              <w:t>123 </w:t>
            </w:r>
          </w:p>
        </w:tc>
        <w:tc>
          <w:tcPr>
            <w:tcW w:w="0" w:type="auto"/>
            <w:shd w:val="clear" w:color="auto" w:fill="E2EFD9"/>
            <w:tcMar>
              <w:top w:w="40" w:type="dxa"/>
              <w:left w:w="0" w:type="dxa"/>
              <w:bottom w:w="40" w:type="dxa"/>
              <w:right w:w="20" w:type="dxa"/>
            </w:tcMar>
            <w:vAlign w:val="bottom"/>
          </w:tcPr>
          <w:p w14:paraId="1950294E" w14:textId="77777777" w:rsidR="00BF3A3A" w:rsidRDefault="00BF3A3A">
            <w:pPr>
              <w:jc w:val="right"/>
              <w:rPr>
                <w:rFonts w:ascii="宋体"/>
              </w:rPr>
            </w:pPr>
          </w:p>
        </w:tc>
      </w:tr>
      <w:tr w:rsidR="00BF3A3A" w14:paraId="19502953" w14:textId="77777777">
        <w:tc>
          <w:tcPr>
            <w:tcW w:w="0" w:type="auto"/>
            <w:gridSpan w:val="3"/>
            <w:shd w:val="clear" w:color="auto" w:fill="FFFFFF"/>
            <w:tcMar>
              <w:top w:w="40" w:type="dxa"/>
              <w:left w:w="20" w:type="dxa"/>
              <w:bottom w:w="40" w:type="dxa"/>
              <w:right w:w="20" w:type="dxa"/>
            </w:tcMar>
            <w:vAlign w:val="bottom"/>
          </w:tcPr>
          <w:p w14:paraId="19502950" w14:textId="77777777" w:rsidR="00BF3A3A" w:rsidRDefault="00A76802">
            <w:pPr>
              <w:textAlignment w:val="bottom"/>
            </w:pPr>
            <w:r>
              <w:rPr>
                <w:rFonts w:ascii="sans-serif" w:eastAsia="sans-serif" w:hAnsi="sans-serif" w:cs="sans-serif"/>
                <w:color w:val="000000"/>
                <w:sz w:val="20"/>
                <w:szCs w:val="20"/>
              </w:rPr>
              <w:t>Present value of net future minimum lease payments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951" w14:textId="77777777" w:rsidR="00BF3A3A" w:rsidRDefault="00A76802">
            <w:pPr>
              <w:jc w:val="right"/>
              <w:textAlignment w:val="bottom"/>
            </w:pPr>
            <w:r>
              <w:rPr>
                <w:rFonts w:ascii="sans-serif" w:eastAsia="sans-serif" w:hAnsi="sans-serif" w:cs="sans-serif"/>
                <w:color w:val="000000"/>
                <w:sz w:val="20"/>
                <w:szCs w:val="20"/>
              </w:rPr>
              <w:t>888 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952" w14:textId="77777777" w:rsidR="00BF3A3A" w:rsidRDefault="00BF3A3A">
            <w:pPr>
              <w:jc w:val="right"/>
              <w:rPr>
                <w:rFonts w:ascii="宋体"/>
              </w:rPr>
            </w:pPr>
          </w:p>
        </w:tc>
      </w:tr>
      <w:tr w:rsidR="00BF3A3A" w14:paraId="19502957" w14:textId="77777777">
        <w:tc>
          <w:tcPr>
            <w:tcW w:w="0" w:type="auto"/>
            <w:gridSpan w:val="3"/>
            <w:shd w:val="clear" w:color="auto" w:fill="E2EFD9"/>
            <w:tcMar>
              <w:top w:w="40" w:type="dxa"/>
              <w:left w:w="20" w:type="dxa"/>
              <w:bottom w:w="40" w:type="dxa"/>
              <w:right w:w="20" w:type="dxa"/>
            </w:tcMar>
            <w:vAlign w:val="bottom"/>
          </w:tcPr>
          <w:p w14:paraId="19502954" w14:textId="77777777" w:rsidR="00BF3A3A" w:rsidRDefault="00A76802">
            <w:pPr>
              <w:textAlignment w:val="bottom"/>
            </w:pPr>
            <w:r>
              <w:rPr>
                <w:rFonts w:ascii="sans-serif" w:eastAsia="sans-serif" w:hAnsi="sans-serif" w:cs="sans-serif"/>
                <w:color w:val="000000"/>
                <w:sz w:val="20"/>
                <w:szCs w:val="20"/>
              </w:rPr>
              <w:t>Less short-term operating lease liabilities</w:t>
            </w:r>
          </w:p>
        </w:tc>
        <w:tc>
          <w:tcPr>
            <w:tcW w:w="0" w:type="auto"/>
            <w:gridSpan w:val="2"/>
            <w:shd w:val="clear" w:color="auto" w:fill="E2EFD9"/>
            <w:tcMar>
              <w:top w:w="40" w:type="dxa"/>
              <w:left w:w="20" w:type="dxa"/>
              <w:bottom w:w="40" w:type="dxa"/>
              <w:right w:w="0" w:type="dxa"/>
            </w:tcMar>
            <w:vAlign w:val="bottom"/>
          </w:tcPr>
          <w:p w14:paraId="19502955" w14:textId="77777777" w:rsidR="00BF3A3A" w:rsidRDefault="00A76802">
            <w:pPr>
              <w:jc w:val="right"/>
              <w:textAlignment w:val="bottom"/>
            </w:pPr>
            <w:r>
              <w:rPr>
                <w:rFonts w:ascii="sans-serif" w:eastAsia="sans-serif" w:hAnsi="sans-serif" w:cs="sans-serif"/>
                <w:color w:val="000000"/>
                <w:sz w:val="20"/>
                <w:szCs w:val="20"/>
              </w:rPr>
              <w:t>145 </w:t>
            </w:r>
          </w:p>
        </w:tc>
        <w:tc>
          <w:tcPr>
            <w:tcW w:w="0" w:type="auto"/>
            <w:shd w:val="clear" w:color="auto" w:fill="E2EFD9"/>
            <w:tcMar>
              <w:top w:w="40" w:type="dxa"/>
              <w:left w:w="0" w:type="dxa"/>
              <w:bottom w:w="40" w:type="dxa"/>
              <w:right w:w="20" w:type="dxa"/>
            </w:tcMar>
            <w:vAlign w:val="bottom"/>
          </w:tcPr>
          <w:p w14:paraId="19502956" w14:textId="77777777" w:rsidR="00BF3A3A" w:rsidRDefault="00BF3A3A">
            <w:pPr>
              <w:jc w:val="right"/>
              <w:rPr>
                <w:rFonts w:ascii="宋体"/>
              </w:rPr>
            </w:pPr>
          </w:p>
        </w:tc>
      </w:tr>
      <w:tr w:rsidR="00BF3A3A" w14:paraId="1950295C" w14:textId="77777777">
        <w:tc>
          <w:tcPr>
            <w:tcW w:w="0" w:type="auto"/>
            <w:gridSpan w:val="3"/>
            <w:shd w:val="clear" w:color="auto" w:fill="FFFFFF"/>
            <w:tcMar>
              <w:top w:w="40" w:type="dxa"/>
              <w:left w:w="245" w:type="dxa"/>
              <w:bottom w:w="40" w:type="dxa"/>
              <w:right w:w="20" w:type="dxa"/>
            </w:tcMar>
            <w:vAlign w:val="bottom"/>
          </w:tcPr>
          <w:p w14:paraId="19502958" w14:textId="77777777" w:rsidR="00BF3A3A" w:rsidRDefault="00A76802">
            <w:pPr>
              <w:textAlignment w:val="bottom"/>
            </w:pPr>
            <w:r>
              <w:rPr>
                <w:rFonts w:ascii="sans-serif" w:eastAsia="sans-serif" w:hAnsi="sans-serif" w:cs="sans-serif"/>
                <w:color w:val="000000"/>
                <w:sz w:val="20"/>
                <w:szCs w:val="20"/>
              </w:rPr>
              <w:t>Long-term operating lease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2959"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295A" w14:textId="77777777" w:rsidR="00BF3A3A" w:rsidRDefault="00A76802">
            <w:pPr>
              <w:jc w:val="right"/>
              <w:textAlignment w:val="bottom"/>
            </w:pPr>
            <w:r>
              <w:rPr>
                <w:rFonts w:ascii="sans-serif" w:eastAsia="sans-serif" w:hAnsi="sans-serif" w:cs="sans-serif"/>
                <w:color w:val="000000"/>
                <w:sz w:val="20"/>
                <w:szCs w:val="20"/>
              </w:rPr>
              <w:t>743 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295B" w14:textId="77777777" w:rsidR="00BF3A3A" w:rsidRDefault="00BF3A3A">
            <w:pPr>
              <w:jc w:val="right"/>
              <w:rPr>
                <w:rFonts w:ascii="宋体"/>
              </w:rPr>
            </w:pPr>
          </w:p>
        </w:tc>
      </w:tr>
    </w:tbl>
    <w:p w14:paraId="1950295D" w14:textId="77777777" w:rsidR="00BF3A3A" w:rsidRDefault="00A76802">
      <w:pPr>
        <w:spacing w:after="180"/>
        <w:jc w:val="both"/>
      </w:pPr>
      <w:r>
        <w:rPr>
          <w:rFonts w:ascii="sans-serif" w:eastAsia="sans-serif" w:hAnsi="sans-serif" w:cs="sans-serif"/>
          <w:color w:val="000000"/>
          <w:sz w:val="20"/>
          <w:szCs w:val="20"/>
        </w:rPr>
        <w:t xml:space="preserve">In addition to our existing operating lease obligations, we have operating leases that are </w:t>
      </w:r>
      <w:r>
        <w:rPr>
          <w:rFonts w:ascii="sans-serif" w:eastAsia="sans-serif" w:hAnsi="sans-serif" w:cs="sans-serif"/>
          <w:color w:val="000000"/>
          <w:sz w:val="20"/>
          <w:szCs w:val="20"/>
        </w:rPr>
        <w:t>expected to commence between the third quarter of fiscal year 2023 and fiscal year 2025 with lease terms of 2 to 8 years for $798 million, consisting primarily of data center space.</w:t>
      </w:r>
    </w:p>
    <w:p w14:paraId="1950295E" w14:textId="77777777" w:rsidR="00BF3A3A" w:rsidRDefault="00A76802">
      <w:pPr>
        <w:spacing w:after="180"/>
        <w:jc w:val="both"/>
      </w:pPr>
      <w:r>
        <w:rPr>
          <w:rFonts w:ascii="sans-serif" w:eastAsia="sans-serif" w:hAnsi="sans-serif" w:cs="sans-serif"/>
          <w:color w:val="000000"/>
          <w:sz w:val="20"/>
          <w:szCs w:val="20"/>
        </w:rPr>
        <w:t>Operating lease expenses were $47 million and $42 million for the second q</w:t>
      </w:r>
      <w:r>
        <w:rPr>
          <w:rFonts w:ascii="sans-serif" w:eastAsia="sans-serif" w:hAnsi="sans-serif" w:cs="sans-serif"/>
          <w:color w:val="000000"/>
          <w:sz w:val="20"/>
          <w:szCs w:val="20"/>
        </w:rPr>
        <w:t>uarter of fiscal years 2023 and 2022, respectively, and $90 million and $81 million for the first half of fiscal years 2023 and 2022, respectively. Short-term and variable lease expenses for the second quarter and first half of fiscal years 2023 and 2022 w</w:t>
      </w:r>
      <w:r>
        <w:rPr>
          <w:rFonts w:ascii="sans-serif" w:eastAsia="sans-serif" w:hAnsi="sans-serif" w:cs="sans-serif"/>
          <w:color w:val="000000"/>
          <w:sz w:val="20"/>
          <w:szCs w:val="20"/>
        </w:rPr>
        <w:t xml:space="preserve">ere not significant. </w:t>
      </w:r>
    </w:p>
    <w:p w14:paraId="1950295F" w14:textId="77777777" w:rsidR="00BF3A3A" w:rsidRDefault="00A76802">
      <w:pPr>
        <w:spacing w:after="180"/>
        <w:jc w:val="both"/>
      </w:pPr>
      <w:r>
        <w:rPr>
          <w:rFonts w:ascii="sans-serif" w:eastAsia="sans-serif" w:hAnsi="sans-serif" w:cs="sans-serif"/>
          <w:color w:val="000000"/>
          <w:sz w:val="20"/>
          <w:szCs w:val="20"/>
        </w:rPr>
        <w:t>Other information related to leases was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448"/>
        <w:gridCol w:w="36"/>
        <w:gridCol w:w="123"/>
        <w:gridCol w:w="1192"/>
        <w:gridCol w:w="37"/>
        <w:gridCol w:w="36"/>
        <w:gridCol w:w="37"/>
        <w:gridCol w:w="36"/>
        <w:gridCol w:w="123"/>
        <w:gridCol w:w="1192"/>
        <w:gridCol w:w="37"/>
      </w:tblGrid>
      <w:tr w:rsidR="00BF3A3A" w14:paraId="1950296C" w14:textId="77777777">
        <w:tc>
          <w:tcPr>
            <w:tcW w:w="50" w:type="pct"/>
            <w:shd w:val="clear" w:color="auto" w:fill="auto"/>
            <w:vAlign w:val="bottom"/>
          </w:tcPr>
          <w:p w14:paraId="19502960" w14:textId="77777777" w:rsidR="00BF3A3A" w:rsidRDefault="00BF3A3A">
            <w:pPr>
              <w:rPr>
                <w:rFonts w:ascii="宋体"/>
              </w:rPr>
            </w:pPr>
          </w:p>
        </w:tc>
        <w:tc>
          <w:tcPr>
            <w:tcW w:w="3292" w:type="pct"/>
            <w:shd w:val="clear" w:color="auto" w:fill="auto"/>
            <w:vAlign w:val="bottom"/>
          </w:tcPr>
          <w:p w14:paraId="19502961" w14:textId="77777777" w:rsidR="00BF3A3A" w:rsidRDefault="00BF3A3A">
            <w:pPr>
              <w:rPr>
                <w:rFonts w:ascii="宋体"/>
              </w:rPr>
            </w:pPr>
          </w:p>
        </w:tc>
        <w:tc>
          <w:tcPr>
            <w:tcW w:w="5" w:type="pct"/>
            <w:shd w:val="clear" w:color="auto" w:fill="auto"/>
            <w:vAlign w:val="bottom"/>
          </w:tcPr>
          <w:p w14:paraId="19502962" w14:textId="77777777" w:rsidR="00BF3A3A" w:rsidRDefault="00BF3A3A">
            <w:pPr>
              <w:rPr>
                <w:rFonts w:ascii="宋体"/>
              </w:rPr>
            </w:pPr>
          </w:p>
        </w:tc>
        <w:tc>
          <w:tcPr>
            <w:tcW w:w="50" w:type="pct"/>
            <w:shd w:val="clear" w:color="auto" w:fill="auto"/>
            <w:vAlign w:val="bottom"/>
          </w:tcPr>
          <w:p w14:paraId="19502963" w14:textId="77777777" w:rsidR="00BF3A3A" w:rsidRDefault="00BF3A3A">
            <w:pPr>
              <w:rPr>
                <w:rFonts w:ascii="宋体"/>
              </w:rPr>
            </w:pPr>
          </w:p>
        </w:tc>
        <w:tc>
          <w:tcPr>
            <w:tcW w:w="741" w:type="pct"/>
            <w:shd w:val="clear" w:color="auto" w:fill="auto"/>
            <w:vAlign w:val="bottom"/>
          </w:tcPr>
          <w:p w14:paraId="19502964" w14:textId="77777777" w:rsidR="00BF3A3A" w:rsidRDefault="00BF3A3A">
            <w:pPr>
              <w:rPr>
                <w:rFonts w:ascii="宋体"/>
              </w:rPr>
            </w:pPr>
          </w:p>
        </w:tc>
        <w:tc>
          <w:tcPr>
            <w:tcW w:w="5" w:type="pct"/>
            <w:shd w:val="clear" w:color="auto" w:fill="auto"/>
            <w:vAlign w:val="bottom"/>
          </w:tcPr>
          <w:p w14:paraId="19502965" w14:textId="77777777" w:rsidR="00BF3A3A" w:rsidRDefault="00BF3A3A">
            <w:pPr>
              <w:rPr>
                <w:rFonts w:ascii="宋体"/>
              </w:rPr>
            </w:pPr>
          </w:p>
        </w:tc>
        <w:tc>
          <w:tcPr>
            <w:tcW w:w="5" w:type="pct"/>
            <w:shd w:val="clear" w:color="auto" w:fill="auto"/>
            <w:vAlign w:val="bottom"/>
          </w:tcPr>
          <w:p w14:paraId="19502966" w14:textId="77777777" w:rsidR="00BF3A3A" w:rsidRDefault="00BF3A3A">
            <w:pPr>
              <w:rPr>
                <w:rFonts w:ascii="宋体"/>
              </w:rPr>
            </w:pPr>
          </w:p>
        </w:tc>
        <w:tc>
          <w:tcPr>
            <w:tcW w:w="48" w:type="pct"/>
            <w:shd w:val="clear" w:color="auto" w:fill="auto"/>
            <w:vAlign w:val="bottom"/>
          </w:tcPr>
          <w:p w14:paraId="19502967" w14:textId="77777777" w:rsidR="00BF3A3A" w:rsidRDefault="00BF3A3A">
            <w:pPr>
              <w:rPr>
                <w:rFonts w:ascii="宋体"/>
              </w:rPr>
            </w:pPr>
          </w:p>
        </w:tc>
        <w:tc>
          <w:tcPr>
            <w:tcW w:w="5" w:type="pct"/>
            <w:shd w:val="clear" w:color="auto" w:fill="auto"/>
            <w:vAlign w:val="bottom"/>
          </w:tcPr>
          <w:p w14:paraId="19502968" w14:textId="77777777" w:rsidR="00BF3A3A" w:rsidRDefault="00BF3A3A">
            <w:pPr>
              <w:rPr>
                <w:rFonts w:ascii="宋体"/>
              </w:rPr>
            </w:pPr>
          </w:p>
        </w:tc>
        <w:tc>
          <w:tcPr>
            <w:tcW w:w="50" w:type="pct"/>
            <w:shd w:val="clear" w:color="auto" w:fill="auto"/>
            <w:vAlign w:val="bottom"/>
          </w:tcPr>
          <w:p w14:paraId="19502969" w14:textId="77777777" w:rsidR="00BF3A3A" w:rsidRDefault="00BF3A3A">
            <w:pPr>
              <w:rPr>
                <w:rFonts w:ascii="宋体"/>
              </w:rPr>
            </w:pPr>
          </w:p>
        </w:tc>
        <w:tc>
          <w:tcPr>
            <w:tcW w:w="741" w:type="pct"/>
            <w:shd w:val="clear" w:color="auto" w:fill="auto"/>
            <w:vAlign w:val="bottom"/>
          </w:tcPr>
          <w:p w14:paraId="1950296A" w14:textId="77777777" w:rsidR="00BF3A3A" w:rsidRDefault="00BF3A3A">
            <w:pPr>
              <w:rPr>
                <w:rFonts w:ascii="宋体"/>
              </w:rPr>
            </w:pPr>
          </w:p>
        </w:tc>
        <w:tc>
          <w:tcPr>
            <w:tcW w:w="5" w:type="pct"/>
            <w:shd w:val="clear" w:color="auto" w:fill="auto"/>
            <w:vAlign w:val="bottom"/>
          </w:tcPr>
          <w:p w14:paraId="1950296B" w14:textId="77777777" w:rsidR="00BF3A3A" w:rsidRDefault="00BF3A3A">
            <w:pPr>
              <w:rPr>
                <w:rFonts w:ascii="宋体"/>
              </w:rPr>
            </w:pPr>
          </w:p>
        </w:tc>
      </w:tr>
      <w:tr w:rsidR="00BF3A3A" w14:paraId="1950296F" w14:textId="77777777">
        <w:tc>
          <w:tcPr>
            <w:tcW w:w="0" w:type="auto"/>
            <w:gridSpan w:val="3"/>
            <w:shd w:val="clear" w:color="auto" w:fill="auto"/>
            <w:tcMar>
              <w:top w:w="0" w:type="dxa"/>
              <w:left w:w="20" w:type="dxa"/>
              <w:bottom w:w="0" w:type="dxa"/>
              <w:right w:w="20" w:type="dxa"/>
            </w:tcMar>
            <w:vAlign w:val="bottom"/>
          </w:tcPr>
          <w:p w14:paraId="1950296D" w14:textId="77777777" w:rsidR="00BF3A3A" w:rsidRDefault="00BF3A3A">
            <w:pPr>
              <w:rPr>
                <w:rFonts w:ascii="宋体"/>
              </w:rPr>
            </w:pPr>
          </w:p>
        </w:tc>
        <w:tc>
          <w:tcPr>
            <w:tcW w:w="0" w:type="auto"/>
            <w:gridSpan w:val="9"/>
            <w:shd w:val="clear" w:color="auto" w:fill="auto"/>
            <w:tcMar>
              <w:top w:w="40" w:type="dxa"/>
              <w:left w:w="20" w:type="dxa"/>
              <w:bottom w:w="40" w:type="dxa"/>
              <w:right w:w="20" w:type="dxa"/>
            </w:tcMar>
            <w:vAlign w:val="bottom"/>
          </w:tcPr>
          <w:p w14:paraId="1950296E" w14:textId="77777777" w:rsidR="00BF3A3A" w:rsidRDefault="00A76802">
            <w:pPr>
              <w:jc w:val="center"/>
              <w:textAlignment w:val="bottom"/>
            </w:pPr>
            <w:r>
              <w:rPr>
                <w:rFonts w:ascii="sans-serif" w:eastAsia="sans-serif" w:hAnsi="sans-serif" w:cs="sans-serif"/>
                <w:b/>
                <w:bCs/>
                <w:color w:val="000000"/>
                <w:sz w:val="20"/>
                <w:szCs w:val="20"/>
              </w:rPr>
              <w:t>Six Months Ended</w:t>
            </w:r>
          </w:p>
        </w:tc>
      </w:tr>
      <w:tr w:rsidR="00BF3A3A" w14:paraId="19502974" w14:textId="77777777">
        <w:tc>
          <w:tcPr>
            <w:tcW w:w="0" w:type="auto"/>
            <w:gridSpan w:val="3"/>
            <w:shd w:val="clear" w:color="auto" w:fill="auto"/>
            <w:tcMar>
              <w:top w:w="0" w:type="dxa"/>
              <w:left w:w="20" w:type="dxa"/>
              <w:bottom w:w="0" w:type="dxa"/>
              <w:right w:w="20" w:type="dxa"/>
            </w:tcMar>
            <w:vAlign w:val="bottom"/>
          </w:tcPr>
          <w:p w14:paraId="19502970"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971" w14:textId="77777777" w:rsidR="00BF3A3A" w:rsidRDefault="00A76802">
            <w:pPr>
              <w:jc w:val="center"/>
              <w:textAlignment w:val="bottom"/>
            </w:pPr>
            <w:r>
              <w:rPr>
                <w:rFonts w:ascii="sans-serif" w:eastAsia="sans-serif" w:hAnsi="sans-serif" w:cs="sans-serif"/>
                <w:b/>
                <w:bCs/>
                <w:color w:val="000000"/>
                <w:sz w:val="20"/>
                <w:szCs w:val="20"/>
              </w:rPr>
              <w:t>July 31,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972"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973" w14:textId="77777777" w:rsidR="00BF3A3A" w:rsidRDefault="00A76802">
            <w:pPr>
              <w:jc w:val="center"/>
              <w:textAlignment w:val="bottom"/>
            </w:pPr>
            <w:r>
              <w:rPr>
                <w:rFonts w:ascii="sans-serif" w:eastAsia="sans-serif" w:hAnsi="sans-serif" w:cs="sans-serif"/>
                <w:b/>
                <w:bCs/>
                <w:color w:val="000000"/>
                <w:sz w:val="20"/>
                <w:szCs w:val="20"/>
              </w:rPr>
              <w:t>August 1, 2021</w:t>
            </w:r>
          </w:p>
        </w:tc>
      </w:tr>
      <w:tr w:rsidR="00BF3A3A" w14:paraId="19502979" w14:textId="77777777">
        <w:trPr>
          <w:trHeight w:val="60"/>
        </w:trPr>
        <w:tc>
          <w:tcPr>
            <w:tcW w:w="0" w:type="auto"/>
            <w:gridSpan w:val="3"/>
            <w:shd w:val="clear" w:color="auto" w:fill="auto"/>
            <w:tcMar>
              <w:top w:w="0" w:type="dxa"/>
              <w:left w:w="20" w:type="dxa"/>
              <w:bottom w:w="0" w:type="dxa"/>
              <w:right w:w="20" w:type="dxa"/>
            </w:tcMar>
            <w:vAlign w:val="bottom"/>
          </w:tcPr>
          <w:p w14:paraId="19502975"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976"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977"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978" w14:textId="77777777" w:rsidR="00BF3A3A" w:rsidRDefault="00BF3A3A">
            <w:pPr>
              <w:rPr>
                <w:rFonts w:ascii="宋体"/>
              </w:rPr>
            </w:pPr>
          </w:p>
        </w:tc>
      </w:tr>
      <w:tr w:rsidR="00BF3A3A" w14:paraId="1950297C" w14:textId="77777777">
        <w:tc>
          <w:tcPr>
            <w:tcW w:w="0" w:type="auto"/>
            <w:gridSpan w:val="3"/>
            <w:shd w:val="clear" w:color="auto" w:fill="auto"/>
            <w:tcMar>
              <w:top w:w="40" w:type="dxa"/>
              <w:left w:w="20" w:type="dxa"/>
              <w:bottom w:w="40" w:type="dxa"/>
              <w:right w:w="20" w:type="dxa"/>
            </w:tcMar>
            <w:vAlign w:val="bottom"/>
          </w:tcPr>
          <w:p w14:paraId="1950297A" w14:textId="77777777" w:rsidR="00BF3A3A" w:rsidRDefault="00A76802">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950297B" w14:textId="77777777" w:rsidR="00BF3A3A" w:rsidRDefault="00A76802">
            <w:pPr>
              <w:jc w:val="center"/>
              <w:textAlignment w:val="bottom"/>
            </w:pPr>
            <w:r>
              <w:rPr>
                <w:rFonts w:ascii="sans-serif" w:eastAsia="sans-serif" w:hAnsi="sans-serif" w:cs="sans-serif"/>
                <w:i/>
                <w:iCs/>
                <w:color w:val="000000"/>
                <w:sz w:val="20"/>
                <w:szCs w:val="20"/>
              </w:rPr>
              <w:t>(In millions)</w:t>
            </w:r>
          </w:p>
        </w:tc>
      </w:tr>
      <w:tr w:rsidR="00BF3A3A" w14:paraId="19502981" w14:textId="77777777">
        <w:tc>
          <w:tcPr>
            <w:tcW w:w="0" w:type="auto"/>
            <w:gridSpan w:val="3"/>
            <w:shd w:val="clear" w:color="auto" w:fill="E2EFD9"/>
            <w:tcMar>
              <w:top w:w="40" w:type="dxa"/>
              <w:left w:w="20" w:type="dxa"/>
              <w:bottom w:w="40" w:type="dxa"/>
              <w:right w:w="20" w:type="dxa"/>
            </w:tcMar>
            <w:vAlign w:val="bottom"/>
          </w:tcPr>
          <w:p w14:paraId="1950297D" w14:textId="77777777" w:rsidR="00BF3A3A" w:rsidRDefault="00A76802">
            <w:pPr>
              <w:textAlignment w:val="bottom"/>
            </w:pPr>
            <w:r>
              <w:rPr>
                <w:rFonts w:ascii="sans-serif" w:eastAsia="sans-serif" w:hAnsi="sans-serif" w:cs="sans-serif"/>
                <w:b/>
                <w:bCs/>
                <w:color w:val="000000"/>
                <w:sz w:val="20"/>
                <w:szCs w:val="20"/>
              </w:rPr>
              <w:t>Supplemental cash flows information</w:t>
            </w:r>
          </w:p>
        </w:tc>
        <w:tc>
          <w:tcPr>
            <w:tcW w:w="0" w:type="auto"/>
            <w:gridSpan w:val="3"/>
            <w:shd w:val="clear" w:color="auto" w:fill="E2EFD9"/>
            <w:tcMar>
              <w:top w:w="0" w:type="dxa"/>
              <w:left w:w="20" w:type="dxa"/>
              <w:bottom w:w="0" w:type="dxa"/>
              <w:right w:w="20" w:type="dxa"/>
            </w:tcMar>
            <w:vAlign w:val="bottom"/>
          </w:tcPr>
          <w:p w14:paraId="1950297E"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97F" w14:textId="77777777" w:rsidR="00BF3A3A" w:rsidRDefault="00BF3A3A">
            <w:pPr>
              <w:rPr>
                <w:rFonts w:ascii="宋体"/>
              </w:rPr>
            </w:pPr>
          </w:p>
        </w:tc>
        <w:tc>
          <w:tcPr>
            <w:tcW w:w="0" w:type="auto"/>
            <w:gridSpan w:val="3"/>
            <w:shd w:val="clear" w:color="auto" w:fill="E2EFD9"/>
            <w:tcMar>
              <w:top w:w="40" w:type="dxa"/>
              <w:left w:w="20" w:type="dxa"/>
              <w:bottom w:w="40" w:type="dxa"/>
              <w:right w:w="20" w:type="dxa"/>
            </w:tcMar>
            <w:vAlign w:val="bottom"/>
          </w:tcPr>
          <w:p w14:paraId="19502980" w14:textId="77777777" w:rsidR="00BF3A3A" w:rsidRDefault="00A76802">
            <w:pPr>
              <w:textAlignment w:val="bottom"/>
            </w:pPr>
            <w:r>
              <w:rPr>
                <w:rFonts w:ascii="sans-serif" w:eastAsia="sans-serif" w:hAnsi="sans-serif" w:cs="sans-serif"/>
                <w:color w:val="000000"/>
                <w:sz w:val="20"/>
                <w:szCs w:val="20"/>
              </w:rPr>
              <w:t> </w:t>
            </w:r>
          </w:p>
        </w:tc>
      </w:tr>
      <w:tr w:rsidR="00BF3A3A" w14:paraId="1950298A" w14:textId="77777777">
        <w:tc>
          <w:tcPr>
            <w:tcW w:w="0" w:type="auto"/>
            <w:gridSpan w:val="3"/>
            <w:shd w:val="clear" w:color="auto" w:fill="FFFFFF"/>
            <w:tcMar>
              <w:top w:w="40" w:type="dxa"/>
              <w:left w:w="20" w:type="dxa"/>
              <w:bottom w:w="40" w:type="dxa"/>
              <w:right w:w="20" w:type="dxa"/>
            </w:tcMar>
            <w:vAlign w:val="bottom"/>
          </w:tcPr>
          <w:p w14:paraId="19502982" w14:textId="77777777" w:rsidR="00BF3A3A" w:rsidRDefault="00A76802">
            <w:pPr>
              <w:textAlignment w:val="bottom"/>
            </w:pPr>
            <w:r>
              <w:rPr>
                <w:rFonts w:ascii="sans-serif" w:eastAsia="sans-serif" w:hAnsi="sans-serif" w:cs="sans-serif"/>
                <w:color w:val="000000"/>
                <w:sz w:val="20"/>
                <w:szCs w:val="20"/>
              </w:rPr>
              <w:t>Operating cash flows used for operating leases</w:t>
            </w:r>
          </w:p>
        </w:tc>
        <w:tc>
          <w:tcPr>
            <w:tcW w:w="0" w:type="auto"/>
            <w:shd w:val="clear" w:color="auto" w:fill="FFFFFF"/>
            <w:tcMar>
              <w:top w:w="40" w:type="dxa"/>
              <w:left w:w="20" w:type="dxa"/>
              <w:bottom w:w="40" w:type="dxa"/>
              <w:right w:w="0" w:type="dxa"/>
            </w:tcMar>
            <w:vAlign w:val="bottom"/>
          </w:tcPr>
          <w:p w14:paraId="19502983"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2984" w14:textId="77777777" w:rsidR="00BF3A3A" w:rsidRDefault="00A76802">
            <w:pPr>
              <w:jc w:val="right"/>
              <w:textAlignment w:val="bottom"/>
            </w:pPr>
            <w:r>
              <w:rPr>
                <w:rFonts w:ascii="sans-serif" w:eastAsia="sans-serif" w:hAnsi="sans-serif" w:cs="sans-serif"/>
                <w:color w:val="000000"/>
                <w:sz w:val="20"/>
                <w:szCs w:val="20"/>
              </w:rPr>
              <w:t>91 </w:t>
            </w:r>
          </w:p>
        </w:tc>
        <w:tc>
          <w:tcPr>
            <w:tcW w:w="0" w:type="auto"/>
            <w:shd w:val="clear" w:color="auto" w:fill="FFFFFF"/>
            <w:tcMar>
              <w:top w:w="40" w:type="dxa"/>
              <w:left w:w="0" w:type="dxa"/>
              <w:bottom w:w="40" w:type="dxa"/>
              <w:right w:w="20" w:type="dxa"/>
            </w:tcMar>
            <w:vAlign w:val="bottom"/>
          </w:tcPr>
          <w:p w14:paraId="19502985"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986"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2987"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2988" w14:textId="77777777" w:rsidR="00BF3A3A" w:rsidRDefault="00A76802">
            <w:pPr>
              <w:jc w:val="right"/>
              <w:textAlignment w:val="bottom"/>
            </w:pPr>
            <w:r>
              <w:rPr>
                <w:rFonts w:ascii="sans-serif" w:eastAsia="sans-serif" w:hAnsi="sans-serif" w:cs="sans-serif"/>
                <w:color w:val="000000"/>
                <w:sz w:val="20"/>
                <w:szCs w:val="20"/>
              </w:rPr>
              <w:t>75 </w:t>
            </w:r>
          </w:p>
        </w:tc>
        <w:tc>
          <w:tcPr>
            <w:tcW w:w="0" w:type="auto"/>
            <w:shd w:val="clear" w:color="auto" w:fill="FFFFFF"/>
            <w:tcMar>
              <w:top w:w="40" w:type="dxa"/>
              <w:left w:w="0" w:type="dxa"/>
              <w:bottom w:w="40" w:type="dxa"/>
              <w:right w:w="20" w:type="dxa"/>
            </w:tcMar>
            <w:vAlign w:val="bottom"/>
          </w:tcPr>
          <w:p w14:paraId="19502989" w14:textId="77777777" w:rsidR="00BF3A3A" w:rsidRDefault="00BF3A3A">
            <w:pPr>
              <w:jc w:val="right"/>
              <w:rPr>
                <w:rFonts w:ascii="宋体"/>
              </w:rPr>
            </w:pPr>
          </w:p>
        </w:tc>
      </w:tr>
      <w:tr w:rsidR="00BF3A3A" w14:paraId="19502993" w14:textId="77777777">
        <w:tc>
          <w:tcPr>
            <w:tcW w:w="0" w:type="auto"/>
            <w:gridSpan w:val="3"/>
            <w:shd w:val="clear" w:color="auto" w:fill="E2EFD9"/>
            <w:tcMar>
              <w:top w:w="40" w:type="dxa"/>
              <w:left w:w="20" w:type="dxa"/>
              <w:bottom w:w="40" w:type="dxa"/>
              <w:right w:w="20" w:type="dxa"/>
            </w:tcMar>
            <w:vAlign w:val="bottom"/>
          </w:tcPr>
          <w:p w14:paraId="1950298B" w14:textId="77777777" w:rsidR="00BF3A3A" w:rsidRDefault="00A76802">
            <w:pPr>
              <w:textAlignment w:val="bottom"/>
            </w:pPr>
            <w:r>
              <w:rPr>
                <w:rFonts w:ascii="sans-serif" w:eastAsia="sans-serif" w:hAnsi="sans-serif" w:cs="sans-serif"/>
                <w:color w:val="000000"/>
                <w:sz w:val="20"/>
                <w:szCs w:val="20"/>
              </w:rPr>
              <w:t>Operating lease assets obtained in exchange for lease obligations</w:t>
            </w:r>
          </w:p>
        </w:tc>
        <w:tc>
          <w:tcPr>
            <w:tcW w:w="0" w:type="auto"/>
            <w:shd w:val="clear" w:color="auto" w:fill="E2EFD9"/>
            <w:tcMar>
              <w:top w:w="40" w:type="dxa"/>
              <w:left w:w="20" w:type="dxa"/>
              <w:bottom w:w="40" w:type="dxa"/>
              <w:right w:w="0" w:type="dxa"/>
            </w:tcMar>
            <w:vAlign w:val="bottom"/>
          </w:tcPr>
          <w:p w14:paraId="1950298C"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98D" w14:textId="77777777" w:rsidR="00BF3A3A" w:rsidRDefault="00A76802">
            <w:pPr>
              <w:jc w:val="right"/>
              <w:textAlignment w:val="bottom"/>
            </w:pPr>
            <w:r>
              <w:rPr>
                <w:rFonts w:ascii="sans-serif" w:eastAsia="sans-serif" w:hAnsi="sans-serif" w:cs="sans-serif"/>
                <w:color w:val="000000"/>
                <w:sz w:val="20"/>
                <w:szCs w:val="20"/>
              </w:rPr>
              <w:t>98 </w:t>
            </w:r>
          </w:p>
        </w:tc>
        <w:tc>
          <w:tcPr>
            <w:tcW w:w="0" w:type="auto"/>
            <w:shd w:val="clear" w:color="auto" w:fill="E2EFD9"/>
            <w:tcMar>
              <w:top w:w="40" w:type="dxa"/>
              <w:left w:w="0" w:type="dxa"/>
              <w:bottom w:w="40" w:type="dxa"/>
              <w:right w:w="20" w:type="dxa"/>
            </w:tcMar>
            <w:vAlign w:val="bottom"/>
          </w:tcPr>
          <w:p w14:paraId="1950298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98F"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990"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991" w14:textId="77777777" w:rsidR="00BF3A3A" w:rsidRDefault="00A76802">
            <w:pPr>
              <w:jc w:val="right"/>
              <w:textAlignment w:val="bottom"/>
            </w:pPr>
            <w:r>
              <w:rPr>
                <w:rFonts w:ascii="sans-serif" w:eastAsia="sans-serif" w:hAnsi="sans-serif" w:cs="sans-serif"/>
                <w:color w:val="000000"/>
                <w:sz w:val="20"/>
                <w:szCs w:val="20"/>
              </w:rPr>
              <w:t>164 </w:t>
            </w:r>
          </w:p>
        </w:tc>
        <w:tc>
          <w:tcPr>
            <w:tcW w:w="0" w:type="auto"/>
            <w:shd w:val="clear" w:color="auto" w:fill="E2EFD9"/>
            <w:tcMar>
              <w:top w:w="40" w:type="dxa"/>
              <w:left w:w="0" w:type="dxa"/>
              <w:bottom w:w="40" w:type="dxa"/>
              <w:right w:w="20" w:type="dxa"/>
            </w:tcMar>
            <w:vAlign w:val="bottom"/>
          </w:tcPr>
          <w:p w14:paraId="19502992" w14:textId="77777777" w:rsidR="00BF3A3A" w:rsidRDefault="00BF3A3A">
            <w:pPr>
              <w:jc w:val="right"/>
              <w:rPr>
                <w:rFonts w:ascii="宋体"/>
              </w:rPr>
            </w:pPr>
          </w:p>
        </w:tc>
      </w:tr>
    </w:tbl>
    <w:p w14:paraId="19502994" w14:textId="77777777" w:rsidR="00BF3A3A" w:rsidRDefault="00A76802">
      <w:pPr>
        <w:spacing w:after="180"/>
        <w:jc w:val="center"/>
      </w:pPr>
      <w:r>
        <w:rPr>
          <w:rFonts w:ascii="sans-serif" w:eastAsia="sans-serif" w:hAnsi="sans-serif" w:cs="sans-serif"/>
          <w:color w:val="000000"/>
          <w:sz w:val="20"/>
          <w:szCs w:val="20"/>
        </w:rPr>
        <w:t>10</w:t>
      </w:r>
    </w:p>
    <w:p w14:paraId="19502995" w14:textId="77777777" w:rsidR="00BF3A3A" w:rsidRDefault="00A76802">
      <w:r>
        <w:pict w14:anchorId="19503FCF">
          <v:rect id="_x0000_i1034" style="width:415.3pt;height:1.5pt" o:hralign="center" o:hrstd="t" o:hr="t" fillcolor="#a0a0a0" stroked="f"/>
        </w:pict>
      </w:r>
    </w:p>
    <w:p w14:paraId="19502996" w14:textId="77777777" w:rsidR="00BF3A3A" w:rsidRDefault="00A76802">
      <w:pPr>
        <w:jc w:val="center"/>
      </w:pPr>
      <w:r>
        <w:rPr>
          <w:rFonts w:ascii="sans-serif" w:eastAsia="sans-serif" w:hAnsi="sans-serif" w:cs="sans-serif"/>
          <w:b/>
          <w:bCs/>
          <w:color w:val="000000"/>
          <w:sz w:val="20"/>
          <w:szCs w:val="20"/>
        </w:rPr>
        <w:t>NVIDIA CORPORATION AND SUBSIDIARIES</w:t>
      </w:r>
    </w:p>
    <w:p w14:paraId="19502997" w14:textId="77777777" w:rsidR="00BF3A3A" w:rsidRDefault="00A76802">
      <w:pPr>
        <w:jc w:val="center"/>
      </w:pPr>
      <w:r>
        <w:rPr>
          <w:rFonts w:ascii="sans-serif" w:eastAsia="sans-serif" w:hAnsi="sans-serif" w:cs="sans-serif"/>
          <w:b/>
          <w:bCs/>
          <w:color w:val="000000"/>
          <w:sz w:val="20"/>
          <w:szCs w:val="20"/>
        </w:rPr>
        <w:t>NOTES TO CONDENSED CONSOLIDATED FINANCIAL STATEMENTS (Continued)</w:t>
      </w:r>
    </w:p>
    <w:p w14:paraId="19502998" w14:textId="77777777" w:rsidR="00BF3A3A" w:rsidRDefault="00A76802">
      <w:pPr>
        <w:jc w:val="center"/>
      </w:pPr>
      <w:r>
        <w:rPr>
          <w:rFonts w:ascii="sans-serif" w:eastAsia="sans-serif" w:hAnsi="sans-serif" w:cs="sans-serif"/>
          <w:b/>
          <w:bCs/>
          <w:color w:val="000000"/>
          <w:sz w:val="20"/>
          <w:szCs w:val="20"/>
        </w:rPr>
        <w:t>(Unaudited)</w:t>
      </w:r>
    </w:p>
    <w:p w14:paraId="19502999" w14:textId="77777777" w:rsidR="00BF3A3A" w:rsidRDefault="00BF3A3A">
      <w:pPr>
        <w:spacing w:after="180"/>
        <w:jc w:val="both"/>
      </w:pPr>
    </w:p>
    <w:p w14:paraId="1950299A" w14:textId="77777777" w:rsidR="00BF3A3A" w:rsidRDefault="00BF3A3A">
      <w:pPr>
        <w:spacing w:after="180"/>
        <w:jc w:val="both"/>
      </w:pPr>
    </w:p>
    <w:p w14:paraId="1950299B" w14:textId="77777777" w:rsidR="00BF3A3A" w:rsidRDefault="00A76802">
      <w:pPr>
        <w:jc w:val="both"/>
      </w:pPr>
      <w:r>
        <w:rPr>
          <w:rFonts w:ascii="sans-serif" w:eastAsia="sans-serif" w:hAnsi="sans-serif" w:cs="sans-serif"/>
          <w:color w:val="000000"/>
          <w:sz w:val="20"/>
          <w:szCs w:val="20"/>
        </w:rPr>
        <w:t xml:space="preserve">As of July 31, 2022, our operating </w:t>
      </w:r>
      <w:r>
        <w:rPr>
          <w:rFonts w:ascii="sans-serif" w:eastAsia="sans-serif" w:hAnsi="sans-serif" w:cs="sans-serif"/>
          <w:color w:val="000000"/>
          <w:sz w:val="20"/>
          <w:szCs w:val="20"/>
        </w:rPr>
        <w:t>leases had a weighted average remaining lease term of 7.1 years and a weighted average discount rate of 2.73%. As of January 30, 2022, our operating leases had a weighted average remaining lease term of 7.1 years and a weighted average discount rate of 2.5</w:t>
      </w:r>
      <w:r>
        <w:rPr>
          <w:rFonts w:ascii="sans-serif" w:eastAsia="sans-serif" w:hAnsi="sans-serif" w:cs="sans-serif"/>
          <w:color w:val="000000"/>
          <w:sz w:val="20"/>
          <w:szCs w:val="20"/>
        </w:rPr>
        <w:t>1%.</w:t>
      </w:r>
    </w:p>
    <w:p w14:paraId="1950299C" w14:textId="77777777" w:rsidR="00BF3A3A" w:rsidRDefault="00A76802">
      <w:pPr>
        <w:spacing w:before="240" w:after="120"/>
        <w:jc w:val="both"/>
      </w:pPr>
      <w:r>
        <w:rPr>
          <w:rFonts w:ascii="sans-serif" w:eastAsia="sans-serif" w:hAnsi="sans-serif" w:cs="sans-serif"/>
          <w:b/>
          <w:bCs/>
          <w:color w:val="76B900"/>
          <w:sz w:val="22"/>
          <w:szCs w:val="22"/>
        </w:rPr>
        <w:t>Note 4 - Stock-Based Compensation</w:t>
      </w:r>
    </w:p>
    <w:p w14:paraId="1950299D" w14:textId="77777777" w:rsidR="00BF3A3A" w:rsidRDefault="00A76802">
      <w:pPr>
        <w:spacing w:after="180"/>
        <w:jc w:val="both"/>
      </w:pPr>
      <w:r>
        <w:rPr>
          <w:rFonts w:ascii="sans-serif" w:eastAsia="sans-serif" w:hAnsi="sans-serif" w:cs="sans-serif"/>
          <w:color w:val="000000"/>
          <w:sz w:val="20"/>
          <w:szCs w:val="20"/>
        </w:rPr>
        <w:t xml:space="preserve">Our stock-based compensation expense is associated with restricted stock units, or RSUs, performance stock units that are based on our corporate financial performance targets, or PSUs, performance stock units that are </w:t>
      </w:r>
      <w:r>
        <w:rPr>
          <w:rFonts w:ascii="sans-serif" w:eastAsia="sans-serif" w:hAnsi="sans-serif" w:cs="sans-serif"/>
          <w:color w:val="000000"/>
          <w:sz w:val="20"/>
          <w:szCs w:val="20"/>
        </w:rPr>
        <w:t>based on market conditions, or market-based PSUs, and our employee stock purchase plan, or ESPP.</w:t>
      </w:r>
    </w:p>
    <w:p w14:paraId="1950299E" w14:textId="77777777" w:rsidR="00BF3A3A" w:rsidRDefault="00A76802">
      <w:pPr>
        <w:spacing w:after="180"/>
        <w:jc w:val="both"/>
      </w:pPr>
      <w:r>
        <w:rPr>
          <w:rFonts w:ascii="sans-serif" w:eastAsia="sans-serif" w:hAnsi="sans-serif" w:cs="sans-serif"/>
          <w:color w:val="000000"/>
          <w:sz w:val="20"/>
          <w:szCs w:val="20"/>
        </w:rPr>
        <w:t>Our Condensed Consolidated Statements of Income include stock-based compensation expense, net of amounts allocated to inventory,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2526"/>
        <w:gridCol w:w="38"/>
        <w:gridCol w:w="122"/>
        <w:gridCol w:w="1219"/>
        <w:gridCol w:w="36"/>
        <w:gridCol w:w="36"/>
        <w:gridCol w:w="36"/>
        <w:gridCol w:w="36"/>
        <w:gridCol w:w="123"/>
        <w:gridCol w:w="1168"/>
        <w:gridCol w:w="37"/>
        <w:gridCol w:w="36"/>
        <w:gridCol w:w="36"/>
        <w:gridCol w:w="36"/>
        <w:gridCol w:w="122"/>
        <w:gridCol w:w="1219"/>
        <w:gridCol w:w="36"/>
        <w:gridCol w:w="36"/>
        <w:gridCol w:w="36"/>
        <w:gridCol w:w="36"/>
        <w:gridCol w:w="123"/>
        <w:gridCol w:w="1168"/>
        <w:gridCol w:w="36"/>
      </w:tblGrid>
      <w:tr w:rsidR="00BF3A3A" w14:paraId="195029B7" w14:textId="77777777">
        <w:tc>
          <w:tcPr>
            <w:tcW w:w="50" w:type="pct"/>
            <w:shd w:val="clear" w:color="auto" w:fill="auto"/>
            <w:vAlign w:val="bottom"/>
          </w:tcPr>
          <w:p w14:paraId="1950299F" w14:textId="77777777" w:rsidR="00BF3A3A" w:rsidRDefault="00BF3A3A">
            <w:pPr>
              <w:rPr>
                <w:rFonts w:ascii="宋体"/>
              </w:rPr>
            </w:pPr>
          </w:p>
        </w:tc>
        <w:tc>
          <w:tcPr>
            <w:tcW w:w="1558" w:type="pct"/>
            <w:shd w:val="clear" w:color="auto" w:fill="auto"/>
            <w:vAlign w:val="bottom"/>
          </w:tcPr>
          <w:p w14:paraId="195029A0" w14:textId="77777777" w:rsidR="00BF3A3A" w:rsidRDefault="00BF3A3A">
            <w:pPr>
              <w:rPr>
                <w:rFonts w:ascii="宋体"/>
              </w:rPr>
            </w:pPr>
          </w:p>
        </w:tc>
        <w:tc>
          <w:tcPr>
            <w:tcW w:w="5" w:type="pct"/>
            <w:shd w:val="clear" w:color="auto" w:fill="auto"/>
            <w:vAlign w:val="bottom"/>
          </w:tcPr>
          <w:p w14:paraId="195029A1" w14:textId="77777777" w:rsidR="00BF3A3A" w:rsidRDefault="00BF3A3A">
            <w:pPr>
              <w:rPr>
                <w:rFonts w:ascii="宋体"/>
              </w:rPr>
            </w:pPr>
          </w:p>
        </w:tc>
        <w:tc>
          <w:tcPr>
            <w:tcW w:w="50" w:type="pct"/>
            <w:shd w:val="clear" w:color="auto" w:fill="auto"/>
            <w:vAlign w:val="bottom"/>
          </w:tcPr>
          <w:p w14:paraId="195029A2" w14:textId="77777777" w:rsidR="00BF3A3A" w:rsidRDefault="00BF3A3A">
            <w:pPr>
              <w:rPr>
                <w:rFonts w:ascii="宋体"/>
              </w:rPr>
            </w:pPr>
          </w:p>
        </w:tc>
        <w:tc>
          <w:tcPr>
            <w:tcW w:w="766" w:type="pct"/>
            <w:shd w:val="clear" w:color="auto" w:fill="auto"/>
            <w:vAlign w:val="bottom"/>
          </w:tcPr>
          <w:p w14:paraId="195029A3" w14:textId="77777777" w:rsidR="00BF3A3A" w:rsidRDefault="00BF3A3A">
            <w:pPr>
              <w:rPr>
                <w:rFonts w:ascii="宋体"/>
              </w:rPr>
            </w:pPr>
          </w:p>
        </w:tc>
        <w:tc>
          <w:tcPr>
            <w:tcW w:w="5" w:type="pct"/>
            <w:shd w:val="clear" w:color="auto" w:fill="auto"/>
            <w:vAlign w:val="bottom"/>
          </w:tcPr>
          <w:p w14:paraId="195029A4" w14:textId="77777777" w:rsidR="00BF3A3A" w:rsidRDefault="00BF3A3A">
            <w:pPr>
              <w:rPr>
                <w:rFonts w:ascii="宋体"/>
              </w:rPr>
            </w:pPr>
          </w:p>
        </w:tc>
        <w:tc>
          <w:tcPr>
            <w:tcW w:w="5" w:type="pct"/>
            <w:shd w:val="clear" w:color="auto" w:fill="auto"/>
            <w:vAlign w:val="bottom"/>
          </w:tcPr>
          <w:p w14:paraId="195029A5" w14:textId="77777777" w:rsidR="00BF3A3A" w:rsidRDefault="00BF3A3A">
            <w:pPr>
              <w:rPr>
                <w:rFonts w:ascii="宋体"/>
              </w:rPr>
            </w:pPr>
          </w:p>
        </w:tc>
        <w:tc>
          <w:tcPr>
            <w:tcW w:w="26" w:type="pct"/>
            <w:shd w:val="clear" w:color="auto" w:fill="auto"/>
            <w:vAlign w:val="bottom"/>
          </w:tcPr>
          <w:p w14:paraId="195029A6" w14:textId="77777777" w:rsidR="00BF3A3A" w:rsidRDefault="00BF3A3A">
            <w:pPr>
              <w:rPr>
                <w:rFonts w:ascii="宋体"/>
              </w:rPr>
            </w:pPr>
          </w:p>
        </w:tc>
        <w:tc>
          <w:tcPr>
            <w:tcW w:w="5" w:type="pct"/>
            <w:shd w:val="clear" w:color="auto" w:fill="auto"/>
            <w:vAlign w:val="bottom"/>
          </w:tcPr>
          <w:p w14:paraId="195029A7" w14:textId="77777777" w:rsidR="00BF3A3A" w:rsidRDefault="00BF3A3A">
            <w:pPr>
              <w:rPr>
                <w:rFonts w:ascii="宋体"/>
              </w:rPr>
            </w:pPr>
          </w:p>
        </w:tc>
        <w:tc>
          <w:tcPr>
            <w:tcW w:w="50" w:type="pct"/>
            <w:shd w:val="clear" w:color="auto" w:fill="auto"/>
            <w:vAlign w:val="bottom"/>
          </w:tcPr>
          <w:p w14:paraId="195029A8" w14:textId="77777777" w:rsidR="00BF3A3A" w:rsidRDefault="00BF3A3A">
            <w:pPr>
              <w:rPr>
                <w:rFonts w:ascii="宋体"/>
              </w:rPr>
            </w:pPr>
          </w:p>
        </w:tc>
        <w:tc>
          <w:tcPr>
            <w:tcW w:w="766" w:type="pct"/>
            <w:shd w:val="clear" w:color="auto" w:fill="auto"/>
            <w:vAlign w:val="bottom"/>
          </w:tcPr>
          <w:p w14:paraId="195029A9" w14:textId="77777777" w:rsidR="00BF3A3A" w:rsidRDefault="00BF3A3A">
            <w:pPr>
              <w:rPr>
                <w:rFonts w:ascii="宋体"/>
              </w:rPr>
            </w:pPr>
          </w:p>
        </w:tc>
        <w:tc>
          <w:tcPr>
            <w:tcW w:w="5" w:type="pct"/>
            <w:shd w:val="clear" w:color="auto" w:fill="auto"/>
            <w:vAlign w:val="bottom"/>
          </w:tcPr>
          <w:p w14:paraId="195029AA" w14:textId="77777777" w:rsidR="00BF3A3A" w:rsidRDefault="00BF3A3A">
            <w:pPr>
              <w:rPr>
                <w:rFonts w:ascii="宋体"/>
              </w:rPr>
            </w:pPr>
          </w:p>
        </w:tc>
        <w:tc>
          <w:tcPr>
            <w:tcW w:w="5" w:type="pct"/>
            <w:shd w:val="clear" w:color="auto" w:fill="auto"/>
            <w:vAlign w:val="bottom"/>
          </w:tcPr>
          <w:p w14:paraId="195029AB" w14:textId="77777777" w:rsidR="00BF3A3A" w:rsidRDefault="00BF3A3A">
            <w:pPr>
              <w:rPr>
                <w:rFonts w:ascii="宋体"/>
              </w:rPr>
            </w:pPr>
          </w:p>
        </w:tc>
        <w:tc>
          <w:tcPr>
            <w:tcW w:w="19" w:type="pct"/>
            <w:shd w:val="clear" w:color="auto" w:fill="auto"/>
            <w:vAlign w:val="bottom"/>
          </w:tcPr>
          <w:p w14:paraId="195029AC" w14:textId="77777777" w:rsidR="00BF3A3A" w:rsidRDefault="00BF3A3A">
            <w:pPr>
              <w:rPr>
                <w:rFonts w:ascii="宋体"/>
              </w:rPr>
            </w:pPr>
          </w:p>
        </w:tc>
        <w:tc>
          <w:tcPr>
            <w:tcW w:w="5" w:type="pct"/>
            <w:shd w:val="clear" w:color="auto" w:fill="auto"/>
            <w:vAlign w:val="bottom"/>
          </w:tcPr>
          <w:p w14:paraId="195029AD" w14:textId="77777777" w:rsidR="00BF3A3A" w:rsidRDefault="00BF3A3A">
            <w:pPr>
              <w:rPr>
                <w:rFonts w:ascii="宋体"/>
              </w:rPr>
            </w:pPr>
          </w:p>
        </w:tc>
        <w:tc>
          <w:tcPr>
            <w:tcW w:w="50" w:type="pct"/>
            <w:shd w:val="clear" w:color="auto" w:fill="auto"/>
            <w:vAlign w:val="bottom"/>
          </w:tcPr>
          <w:p w14:paraId="195029AE" w14:textId="77777777" w:rsidR="00BF3A3A" w:rsidRDefault="00BF3A3A">
            <w:pPr>
              <w:rPr>
                <w:rFonts w:ascii="宋体"/>
              </w:rPr>
            </w:pPr>
          </w:p>
        </w:tc>
        <w:tc>
          <w:tcPr>
            <w:tcW w:w="766" w:type="pct"/>
            <w:shd w:val="clear" w:color="auto" w:fill="auto"/>
            <w:vAlign w:val="bottom"/>
          </w:tcPr>
          <w:p w14:paraId="195029AF" w14:textId="77777777" w:rsidR="00BF3A3A" w:rsidRDefault="00BF3A3A">
            <w:pPr>
              <w:rPr>
                <w:rFonts w:ascii="宋体"/>
              </w:rPr>
            </w:pPr>
          </w:p>
        </w:tc>
        <w:tc>
          <w:tcPr>
            <w:tcW w:w="5" w:type="pct"/>
            <w:shd w:val="clear" w:color="auto" w:fill="auto"/>
            <w:vAlign w:val="bottom"/>
          </w:tcPr>
          <w:p w14:paraId="195029B0" w14:textId="77777777" w:rsidR="00BF3A3A" w:rsidRDefault="00BF3A3A">
            <w:pPr>
              <w:rPr>
                <w:rFonts w:ascii="宋体"/>
              </w:rPr>
            </w:pPr>
          </w:p>
        </w:tc>
        <w:tc>
          <w:tcPr>
            <w:tcW w:w="5" w:type="pct"/>
            <w:shd w:val="clear" w:color="auto" w:fill="auto"/>
            <w:vAlign w:val="bottom"/>
          </w:tcPr>
          <w:p w14:paraId="195029B1" w14:textId="77777777" w:rsidR="00BF3A3A" w:rsidRDefault="00BF3A3A">
            <w:pPr>
              <w:rPr>
                <w:rFonts w:ascii="宋体"/>
              </w:rPr>
            </w:pPr>
          </w:p>
        </w:tc>
        <w:tc>
          <w:tcPr>
            <w:tcW w:w="26" w:type="pct"/>
            <w:shd w:val="clear" w:color="auto" w:fill="auto"/>
            <w:vAlign w:val="bottom"/>
          </w:tcPr>
          <w:p w14:paraId="195029B2" w14:textId="77777777" w:rsidR="00BF3A3A" w:rsidRDefault="00BF3A3A">
            <w:pPr>
              <w:rPr>
                <w:rFonts w:ascii="宋体"/>
              </w:rPr>
            </w:pPr>
          </w:p>
        </w:tc>
        <w:tc>
          <w:tcPr>
            <w:tcW w:w="5" w:type="pct"/>
            <w:shd w:val="clear" w:color="auto" w:fill="auto"/>
            <w:vAlign w:val="bottom"/>
          </w:tcPr>
          <w:p w14:paraId="195029B3" w14:textId="77777777" w:rsidR="00BF3A3A" w:rsidRDefault="00BF3A3A">
            <w:pPr>
              <w:rPr>
                <w:rFonts w:ascii="宋体"/>
              </w:rPr>
            </w:pPr>
          </w:p>
        </w:tc>
        <w:tc>
          <w:tcPr>
            <w:tcW w:w="50" w:type="pct"/>
            <w:shd w:val="clear" w:color="auto" w:fill="auto"/>
            <w:vAlign w:val="bottom"/>
          </w:tcPr>
          <w:p w14:paraId="195029B4" w14:textId="77777777" w:rsidR="00BF3A3A" w:rsidRDefault="00BF3A3A">
            <w:pPr>
              <w:rPr>
                <w:rFonts w:ascii="宋体"/>
              </w:rPr>
            </w:pPr>
          </w:p>
        </w:tc>
        <w:tc>
          <w:tcPr>
            <w:tcW w:w="766" w:type="pct"/>
            <w:shd w:val="clear" w:color="auto" w:fill="auto"/>
            <w:vAlign w:val="bottom"/>
          </w:tcPr>
          <w:p w14:paraId="195029B5" w14:textId="77777777" w:rsidR="00BF3A3A" w:rsidRDefault="00BF3A3A">
            <w:pPr>
              <w:rPr>
                <w:rFonts w:ascii="宋体"/>
              </w:rPr>
            </w:pPr>
          </w:p>
        </w:tc>
        <w:tc>
          <w:tcPr>
            <w:tcW w:w="5" w:type="pct"/>
            <w:shd w:val="clear" w:color="auto" w:fill="auto"/>
            <w:vAlign w:val="bottom"/>
          </w:tcPr>
          <w:p w14:paraId="195029B6" w14:textId="77777777" w:rsidR="00BF3A3A" w:rsidRDefault="00BF3A3A">
            <w:pPr>
              <w:rPr>
                <w:rFonts w:ascii="宋体"/>
              </w:rPr>
            </w:pPr>
          </w:p>
        </w:tc>
      </w:tr>
      <w:tr w:rsidR="00BF3A3A" w14:paraId="195029BC" w14:textId="77777777">
        <w:tc>
          <w:tcPr>
            <w:tcW w:w="0" w:type="auto"/>
            <w:gridSpan w:val="3"/>
            <w:shd w:val="clear" w:color="auto" w:fill="auto"/>
            <w:tcMar>
              <w:top w:w="40" w:type="dxa"/>
              <w:left w:w="20" w:type="dxa"/>
              <w:bottom w:w="40" w:type="dxa"/>
              <w:right w:w="20" w:type="dxa"/>
            </w:tcMar>
            <w:vAlign w:val="bottom"/>
          </w:tcPr>
          <w:p w14:paraId="195029B8" w14:textId="77777777" w:rsidR="00BF3A3A" w:rsidRDefault="00A76802">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95029B9" w14:textId="77777777" w:rsidR="00BF3A3A" w:rsidRDefault="00A76802">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195029BA" w14:textId="77777777" w:rsidR="00BF3A3A" w:rsidRDefault="00BF3A3A">
            <w:pPr>
              <w:rPr>
                <w:rFonts w:ascii="宋体"/>
              </w:rPr>
            </w:pPr>
          </w:p>
        </w:tc>
        <w:tc>
          <w:tcPr>
            <w:tcW w:w="0" w:type="auto"/>
            <w:gridSpan w:val="9"/>
            <w:shd w:val="clear" w:color="auto" w:fill="auto"/>
            <w:tcMar>
              <w:top w:w="40" w:type="dxa"/>
              <w:left w:w="20" w:type="dxa"/>
              <w:bottom w:w="40" w:type="dxa"/>
              <w:right w:w="20" w:type="dxa"/>
            </w:tcMar>
            <w:vAlign w:val="bottom"/>
          </w:tcPr>
          <w:p w14:paraId="195029BB" w14:textId="77777777" w:rsidR="00BF3A3A" w:rsidRDefault="00A76802">
            <w:pPr>
              <w:jc w:val="center"/>
              <w:textAlignment w:val="bottom"/>
            </w:pPr>
            <w:r>
              <w:rPr>
                <w:rFonts w:ascii="sans-serif" w:eastAsia="sans-serif" w:hAnsi="sans-serif" w:cs="sans-serif"/>
                <w:b/>
                <w:bCs/>
                <w:color w:val="000000"/>
                <w:sz w:val="20"/>
                <w:szCs w:val="20"/>
              </w:rPr>
              <w:t>Six Months Ended</w:t>
            </w:r>
          </w:p>
        </w:tc>
      </w:tr>
      <w:tr w:rsidR="00BF3A3A" w14:paraId="195029C5" w14:textId="77777777">
        <w:tc>
          <w:tcPr>
            <w:tcW w:w="0" w:type="auto"/>
            <w:gridSpan w:val="3"/>
            <w:shd w:val="clear" w:color="auto" w:fill="auto"/>
            <w:tcMar>
              <w:top w:w="40" w:type="dxa"/>
              <w:left w:w="20" w:type="dxa"/>
              <w:bottom w:w="40" w:type="dxa"/>
              <w:right w:w="20" w:type="dxa"/>
            </w:tcMar>
            <w:vAlign w:val="bottom"/>
          </w:tcPr>
          <w:p w14:paraId="195029BD"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9BE" w14:textId="77777777" w:rsidR="00BF3A3A" w:rsidRDefault="00A76802">
            <w:pPr>
              <w:jc w:val="center"/>
              <w:textAlignment w:val="bottom"/>
            </w:pPr>
            <w:r>
              <w:rPr>
                <w:rFonts w:ascii="sans-serif" w:eastAsia="sans-serif" w:hAnsi="sans-serif" w:cs="sans-serif"/>
                <w:b/>
                <w:bCs/>
                <w:color w:val="000000"/>
                <w:sz w:val="20"/>
                <w:szCs w:val="20"/>
              </w:rPr>
              <w:t>July 31,</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9BF"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9C0" w14:textId="77777777" w:rsidR="00BF3A3A" w:rsidRDefault="00A76802">
            <w:pPr>
              <w:jc w:val="center"/>
              <w:textAlignment w:val="bottom"/>
            </w:pPr>
            <w:r>
              <w:rPr>
                <w:rFonts w:ascii="sans-serif" w:eastAsia="sans-serif" w:hAnsi="sans-serif" w:cs="sans-serif"/>
                <w:b/>
                <w:bCs/>
                <w:color w:val="000000"/>
                <w:sz w:val="20"/>
                <w:szCs w:val="20"/>
              </w:rPr>
              <w:t>August 1,</w:t>
            </w:r>
            <w:r>
              <w:rPr>
                <w:rFonts w:ascii="sans-serif" w:eastAsia="sans-serif" w:hAnsi="sans-serif" w:cs="sans-serif"/>
                <w:b/>
                <w:bCs/>
                <w:color w:val="000000"/>
                <w:sz w:val="20"/>
                <w:szCs w:val="20"/>
              </w:rPr>
              <w:br/>
              <w:t>2021</w:t>
            </w:r>
          </w:p>
        </w:tc>
        <w:tc>
          <w:tcPr>
            <w:tcW w:w="0" w:type="auto"/>
            <w:gridSpan w:val="3"/>
            <w:shd w:val="clear" w:color="auto" w:fill="auto"/>
            <w:tcMar>
              <w:top w:w="0" w:type="dxa"/>
              <w:left w:w="20" w:type="dxa"/>
              <w:bottom w:w="0" w:type="dxa"/>
              <w:right w:w="20" w:type="dxa"/>
            </w:tcMar>
            <w:vAlign w:val="bottom"/>
          </w:tcPr>
          <w:p w14:paraId="195029C1"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9C2" w14:textId="77777777" w:rsidR="00BF3A3A" w:rsidRDefault="00A76802">
            <w:pPr>
              <w:jc w:val="center"/>
              <w:textAlignment w:val="bottom"/>
            </w:pPr>
            <w:r>
              <w:rPr>
                <w:rFonts w:ascii="sans-serif" w:eastAsia="sans-serif" w:hAnsi="sans-serif" w:cs="sans-serif"/>
                <w:b/>
                <w:bCs/>
                <w:color w:val="000000"/>
                <w:sz w:val="20"/>
                <w:szCs w:val="20"/>
              </w:rPr>
              <w:t>July 31,</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9C3"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9C4" w14:textId="77777777" w:rsidR="00BF3A3A" w:rsidRDefault="00A76802">
            <w:pPr>
              <w:jc w:val="center"/>
              <w:textAlignment w:val="bottom"/>
            </w:pPr>
            <w:r>
              <w:rPr>
                <w:rFonts w:ascii="sans-serif" w:eastAsia="sans-serif" w:hAnsi="sans-serif" w:cs="sans-serif"/>
                <w:b/>
                <w:bCs/>
                <w:color w:val="000000"/>
                <w:sz w:val="20"/>
                <w:szCs w:val="20"/>
              </w:rPr>
              <w:t>August 1,</w:t>
            </w:r>
            <w:r>
              <w:rPr>
                <w:rFonts w:ascii="sans-serif" w:eastAsia="sans-serif" w:hAnsi="sans-serif" w:cs="sans-serif"/>
                <w:b/>
                <w:bCs/>
                <w:color w:val="000000"/>
                <w:sz w:val="20"/>
                <w:szCs w:val="20"/>
              </w:rPr>
              <w:br/>
              <w:t>2021</w:t>
            </w:r>
          </w:p>
        </w:tc>
      </w:tr>
      <w:tr w:rsidR="00BF3A3A" w14:paraId="195029CE" w14:textId="77777777">
        <w:trPr>
          <w:trHeight w:val="60"/>
        </w:trPr>
        <w:tc>
          <w:tcPr>
            <w:tcW w:w="0" w:type="auto"/>
            <w:gridSpan w:val="3"/>
            <w:shd w:val="clear" w:color="auto" w:fill="auto"/>
            <w:tcMar>
              <w:top w:w="0" w:type="dxa"/>
              <w:left w:w="20" w:type="dxa"/>
              <w:bottom w:w="0" w:type="dxa"/>
              <w:right w:w="20" w:type="dxa"/>
            </w:tcMar>
            <w:vAlign w:val="bottom"/>
          </w:tcPr>
          <w:p w14:paraId="195029C6"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9C7"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9C8"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9C9"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9CA"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9CB"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9CC"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9CD" w14:textId="77777777" w:rsidR="00BF3A3A" w:rsidRDefault="00BF3A3A">
            <w:pPr>
              <w:rPr>
                <w:rFonts w:ascii="宋体"/>
              </w:rPr>
            </w:pPr>
          </w:p>
        </w:tc>
      </w:tr>
      <w:tr w:rsidR="00BF3A3A" w14:paraId="195029D1" w14:textId="77777777">
        <w:tc>
          <w:tcPr>
            <w:tcW w:w="0" w:type="auto"/>
            <w:gridSpan w:val="3"/>
            <w:shd w:val="clear" w:color="auto" w:fill="auto"/>
            <w:tcMar>
              <w:top w:w="0" w:type="dxa"/>
              <w:left w:w="20" w:type="dxa"/>
              <w:bottom w:w="0" w:type="dxa"/>
              <w:right w:w="20" w:type="dxa"/>
            </w:tcMar>
            <w:vAlign w:val="bottom"/>
          </w:tcPr>
          <w:p w14:paraId="195029CF" w14:textId="77777777" w:rsidR="00BF3A3A" w:rsidRDefault="00BF3A3A">
            <w:pPr>
              <w:rPr>
                <w:rFonts w:ascii="宋体"/>
              </w:rPr>
            </w:pPr>
          </w:p>
        </w:tc>
        <w:tc>
          <w:tcPr>
            <w:tcW w:w="0" w:type="auto"/>
            <w:gridSpan w:val="21"/>
            <w:shd w:val="clear" w:color="auto" w:fill="FFFFFF"/>
            <w:tcMar>
              <w:top w:w="40" w:type="dxa"/>
              <w:left w:w="20" w:type="dxa"/>
              <w:bottom w:w="40" w:type="dxa"/>
              <w:right w:w="20" w:type="dxa"/>
            </w:tcMar>
            <w:vAlign w:val="bottom"/>
          </w:tcPr>
          <w:p w14:paraId="195029D0" w14:textId="77777777" w:rsidR="00BF3A3A" w:rsidRDefault="00A76802">
            <w:pPr>
              <w:jc w:val="center"/>
              <w:textAlignment w:val="bottom"/>
            </w:pPr>
            <w:r>
              <w:rPr>
                <w:rFonts w:ascii="sans-serif" w:eastAsia="sans-serif" w:hAnsi="sans-serif" w:cs="sans-serif"/>
                <w:i/>
                <w:iCs/>
                <w:color w:val="000000"/>
                <w:sz w:val="20"/>
                <w:szCs w:val="20"/>
              </w:rPr>
              <w:t>(In millions)</w:t>
            </w:r>
          </w:p>
        </w:tc>
      </w:tr>
      <w:tr w:rsidR="00BF3A3A" w14:paraId="195029E2" w14:textId="77777777">
        <w:tc>
          <w:tcPr>
            <w:tcW w:w="0" w:type="auto"/>
            <w:gridSpan w:val="3"/>
            <w:shd w:val="clear" w:color="auto" w:fill="E2EFD9"/>
            <w:tcMar>
              <w:top w:w="40" w:type="dxa"/>
              <w:left w:w="20" w:type="dxa"/>
              <w:bottom w:w="40" w:type="dxa"/>
              <w:right w:w="20" w:type="dxa"/>
            </w:tcMar>
            <w:vAlign w:val="bottom"/>
          </w:tcPr>
          <w:p w14:paraId="195029D2" w14:textId="77777777" w:rsidR="00BF3A3A" w:rsidRDefault="00A76802">
            <w:pPr>
              <w:textAlignment w:val="bottom"/>
            </w:pPr>
            <w:r>
              <w:rPr>
                <w:rFonts w:ascii="sans-serif" w:eastAsia="sans-serif" w:hAnsi="sans-serif" w:cs="sans-serif"/>
                <w:color w:val="000000"/>
                <w:sz w:val="20"/>
                <w:szCs w:val="20"/>
              </w:rPr>
              <w:t>Cost of revenue</w:t>
            </w:r>
          </w:p>
        </w:tc>
        <w:tc>
          <w:tcPr>
            <w:tcW w:w="0" w:type="auto"/>
            <w:shd w:val="clear" w:color="auto" w:fill="E2EFD9"/>
            <w:tcMar>
              <w:top w:w="40" w:type="dxa"/>
              <w:left w:w="20" w:type="dxa"/>
              <w:bottom w:w="40" w:type="dxa"/>
              <w:right w:w="0" w:type="dxa"/>
            </w:tcMar>
            <w:vAlign w:val="bottom"/>
          </w:tcPr>
          <w:p w14:paraId="195029D3"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9D4" w14:textId="77777777" w:rsidR="00BF3A3A" w:rsidRDefault="00A76802">
            <w:pPr>
              <w:jc w:val="right"/>
              <w:textAlignment w:val="bottom"/>
            </w:pPr>
            <w:r>
              <w:rPr>
                <w:rFonts w:ascii="sans-serif" w:eastAsia="sans-serif" w:hAnsi="sans-serif" w:cs="sans-serif"/>
                <w:color w:val="000000"/>
                <w:sz w:val="20"/>
                <w:szCs w:val="20"/>
              </w:rPr>
              <w:t>38 </w:t>
            </w:r>
          </w:p>
        </w:tc>
        <w:tc>
          <w:tcPr>
            <w:tcW w:w="0" w:type="auto"/>
            <w:shd w:val="clear" w:color="auto" w:fill="E2EFD9"/>
            <w:tcMar>
              <w:top w:w="40" w:type="dxa"/>
              <w:left w:w="0" w:type="dxa"/>
              <w:bottom w:w="40" w:type="dxa"/>
              <w:right w:w="20" w:type="dxa"/>
            </w:tcMar>
            <w:vAlign w:val="bottom"/>
          </w:tcPr>
          <w:p w14:paraId="195029D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9D6"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9D7"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9D8" w14:textId="77777777" w:rsidR="00BF3A3A" w:rsidRDefault="00A76802">
            <w:pPr>
              <w:jc w:val="right"/>
              <w:textAlignment w:val="bottom"/>
            </w:pPr>
            <w:r>
              <w:rPr>
                <w:rFonts w:ascii="sans-serif" w:eastAsia="sans-serif" w:hAnsi="sans-serif" w:cs="sans-serif"/>
                <w:color w:val="000000"/>
                <w:sz w:val="20"/>
                <w:szCs w:val="20"/>
              </w:rPr>
              <w:t>32 </w:t>
            </w:r>
          </w:p>
        </w:tc>
        <w:tc>
          <w:tcPr>
            <w:tcW w:w="0" w:type="auto"/>
            <w:shd w:val="clear" w:color="auto" w:fill="E2EFD9"/>
            <w:tcMar>
              <w:top w:w="40" w:type="dxa"/>
              <w:left w:w="0" w:type="dxa"/>
              <w:bottom w:w="40" w:type="dxa"/>
              <w:right w:w="20" w:type="dxa"/>
            </w:tcMar>
            <w:vAlign w:val="bottom"/>
          </w:tcPr>
          <w:p w14:paraId="195029D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9DA"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9DB"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9DC" w14:textId="77777777" w:rsidR="00BF3A3A" w:rsidRDefault="00A76802">
            <w:pPr>
              <w:jc w:val="right"/>
              <w:textAlignment w:val="bottom"/>
            </w:pPr>
            <w:r>
              <w:rPr>
                <w:rFonts w:ascii="sans-serif" w:eastAsia="sans-serif" w:hAnsi="sans-serif" w:cs="sans-serif"/>
                <w:color w:val="000000"/>
                <w:sz w:val="20"/>
                <w:szCs w:val="20"/>
              </w:rPr>
              <w:t>76 </w:t>
            </w:r>
          </w:p>
        </w:tc>
        <w:tc>
          <w:tcPr>
            <w:tcW w:w="0" w:type="auto"/>
            <w:shd w:val="clear" w:color="auto" w:fill="E2EFD9"/>
            <w:tcMar>
              <w:top w:w="40" w:type="dxa"/>
              <w:left w:w="0" w:type="dxa"/>
              <w:bottom w:w="40" w:type="dxa"/>
              <w:right w:w="20" w:type="dxa"/>
            </w:tcMar>
            <w:vAlign w:val="bottom"/>
          </w:tcPr>
          <w:p w14:paraId="195029D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9DE"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9DF"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9E0" w14:textId="77777777" w:rsidR="00BF3A3A" w:rsidRDefault="00A76802">
            <w:pPr>
              <w:jc w:val="right"/>
              <w:textAlignment w:val="bottom"/>
            </w:pPr>
            <w:r>
              <w:rPr>
                <w:rFonts w:ascii="sans-serif" w:eastAsia="sans-serif" w:hAnsi="sans-serif" w:cs="sans-serif"/>
                <w:color w:val="000000"/>
                <w:sz w:val="20"/>
                <w:szCs w:val="20"/>
              </w:rPr>
              <w:t>57 </w:t>
            </w:r>
          </w:p>
        </w:tc>
        <w:tc>
          <w:tcPr>
            <w:tcW w:w="0" w:type="auto"/>
            <w:shd w:val="clear" w:color="auto" w:fill="E2EFD9"/>
            <w:tcMar>
              <w:top w:w="40" w:type="dxa"/>
              <w:left w:w="0" w:type="dxa"/>
              <w:bottom w:w="40" w:type="dxa"/>
              <w:right w:w="20" w:type="dxa"/>
            </w:tcMar>
            <w:vAlign w:val="bottom"/>
          </w:tcPr>
          <w:p w14:paraId="195029E1" w14:textId="77777777" w:rsidR="00BF3A3A" w:rsidRDefault="00BF3A3A">
            <w:pPr>
              <w:jc w:val="right"/>
              <w:rPr>
                <w:rFonts w:ascii="宋体"/>
              </w:rPr>
            </w:pPr>
          </w:p>
        </w:tc>
      </w:tr>
      <w:tr w:rsidR="00BF3A3A" w14:paraId="195029EF" w14:textId="77777777">
        <w:tc>
          <w:tcPr>
            <w:tcW w:w="0" w:type="auto"/>
            <w:gridSpan w:val="3"/>
            <w:shd w:val="clear" w:color="auto" w:fill="FFFFFF"/>
            <w:tcMar>
              <w:top w:w="40" w:type="dxa"/>
              <w:left w:w="20" w:type="dxa"/>
              <w:bottom w:w="40" w:type="dxa"/>
              <w:right w:w="20" w:type="dxa"/>
            </w:tcMar>
            <w:vAlign w:val="bottom"/>
          </w:tcPr>
          <w:p w14:paraId="195029E3" w14:textId="77777777" w:rsidR="00BF3A3A" w:rsidRDefault="00A76802">
            <w:pPr>
              <w:textAlignment w:val="bottom"/>
            </w:pPr>
            <w:r>
              <w:rPr>
                <w:rFonts w:ascii="sans-serif" w:eastAsia="sans-serif" w:hAnsi="sans-serif" w:cs="sans-serif"/>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195029E4" w14:textId="77777777" w:rsidR="00BF3A3A" w:rsidRDefault="00A76802">
            <w:pPr>
              <w:jc w:val="right"/>
              <w:textAlignment w:val="bottom"/>
            </w:pPr>
            <w:r>
              <w:rPr>
                <w:rFonts w:ascii="sans-serif" w:eastAsia="sans-serif" w:hAnsi="sans-serif" w:cs="sans-serif"/>
                <w:color w:val="000000"/>
                <w:sz w:val="20"/>
                <w:szCs w:val="20"/>
              </w:rPr>
              <w:t>452 </w:t>
            </w:r>
          </w:p>
        </w:tc>
        <w:tc>
          <w:tcPr>
            <w:tcW w:w="0" w:type="auto"/>
            <w:shd w:val="clear" w:color="auto" w:fill="FFFFFF"/>
            <w:tcMar>
              <w:top w:w="40" w:type="dxa"/>
              <w:left w:w="0" w:type="dxa"/>
              <w:bottom w:w="40" w:type="dxa"/>
              <w:right w:w="20" w:type="dxa"/>
            </w:tcMar>
            <w:vAlign w:val="bottom"/>
          </w:tcPr>
          <w:p w14:paraId="195029E5"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9E6"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9E7" w14:textId="77777777" w:rsidR="00BF3A3A" w:rsidRDefault="00A76802">
            <w:pPr>
              <w:jc w:val="right"/>
              <w:textAlignment w:val="bottom"/>
            </w:pPr>
            <w:r>
              <w:rPr>
                <w:rFonts w:ascii="sans-serif" w:eastAsia="sans-serif" w:hAnsi="sans-serif" w:cs="sans-serif"/>
                <w:color w:val="000000"/>
                <w:sz w:val="20"/>
                <w:szCs w:val="20"/>
              </w:rPr>
              <w:t>297 </w:t>
            </w:r>
          </w:p>
        </w:tc>
        <w:tc>
          <w:tcPr>
            <w:tcW w:w="0" w:type="auto"/>
            <w:shd w:val="clear" w:color="auto" w:fill="FFFFFF"/>
            <w:tcMar>
              <w:top w:w="40" w:type="dxa"/>
              <w:left w:w="0" w:type="dxa"/>
              <w:bottom w:w="40" w:type="dxa"/>
              <w:right w:w="20" w:type="dxa"/>
            </w:tcMar>
            <w:vAlign w:val="bottom"/>
          </w:tcPr>
          <w:p w14:paraId="195029E8"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9E9"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9EA" w14:textId="77777777" w:rsidR="00BF3A3A" w:rsidRDefault="00A76802">
            <w:pPr>
              <w:jc w:val="right"/>
              <w:textAlignment w:val="bottom"/>
            </w:pPr>
            <w:r>
              <w:rPr>
                <w:rFonts w:ascii="sans-serif" w:eastAsia="sans-serif" w:hAnsi="sans-serif" w:cs="sans-serif"/>
                <w:color w:val="000000"/>
                <w:sz w:val="20"/>
                <w:szCs w:val="20"/>
              </w:rPr>
              <w:t>836 </w:t>
            </w:r>
          </w:p>
        </w:tc>
        <w:tc>
          <w:tcPr>
            <w:tcW w:w="0" w:type="auto"/>
            <w:shd w:val="clear" w:color="auto" w:fill="FFFFFF"/>
            <w:tcMar>
              <w:top w:w="40" w:type="dxa"/>
              <w:left w:w="0" w:type="dxa"/>
              <w:bottom w:w="40" w:type="dxa"/>
              <w:right w:w="20" w:type="dxa"/>
            </w:tcMar>
            <w:vAlign w:val="bottom"/>
          </w:tcPr>
          <w:p w14:paraId="195029EB"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9EC"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9ED" w14:textId="77777777" w:rsidR="00BF3A3A" w:rsidRDefault="00A76802">
            <w:pPr>
              <w:jc w:val="right"/>
              <w:textAlignment w:val="bottom"/>
            </w:pPr>
            <w:r>
              <w:rPr>
                <w:rFonts w:ascii="sans-serif" w:eastAsia="sans-serif" w:hAnsi="sans-serif" w:cs="sans-serif"/>
                <w:color w:val="000000"/>
                <w:sz w:val="20"/>
                <w:szCs w:val="20"/>
              </w:rPr>
              <w:t>573 </w:t>
            </w:r>
          </w:p>
        </w:tc>
        <w:tc>
          <w:tcPr>
            <w:tcW w:w="0" w:type="auto"/>
            <w:shd w:val="clear" w:color="auto" w:fill="FFFFFF"/>
            <w:tcMar>
              <w:top w:w="40" w:type="dxa"/>
              <w:left w:w="0" w:type="dxa"/>
              <w:bottom w:w="40" w:type="dxa"/>
              <w:right w:w="20" w:type="dxa"/>
            </w:tcMar>
            <w:vAlign w:val="bottom"/>
          </w:tcPr>
          <w:p w14:paraId="195029EE" w14:textId="77777777" w:rsidR="00BF3A3A" w:rsidRDefault="00BF3A3A">
            <w:pPr>
              <w:jc w:val="right"/>
              <w:rPr>
                <w:rFonts w:ascii="宋体"/>
              </w:rPr>
            </w:pPr>
          </w:p>
        </w:tc>
      </w:tr>
      <w:tr w:rsidR="00BF3A3A" w14:paraId="195029FC" w14:textId="77777777">
        <w:tc>
          <w:tcPr>
            <w:tcW w:w="0" w:type="auto"/>
            <w:gridSpan w:val="3"/>
            <w:shd w:val="clear" w:color="auto" w:fill="E2EFD9"/>
            <w:tcMar>
              <w:top w:w="40" w:type="dxa"/>
              <w:left w:w="20" w:type="dxa"/>
              <w:bottom w:w="40" w:type="dxa"/>
              <w:right w:w="20" w:type="dxa"/>
            </w:tcMar>
            <w:vAlign w:val="bottom"/>
          </w:tcPr>
          <w:p w14:paraId="195029F0" w14:textId="77777777" w:rsidR="00BF3A3A" w:rsidRDefault="00A76802">
            <w:pPr>
              <w:textAlignment w:val="bottom"/>
            </w:pPr>
            <w:r>
              <w:rPr>
                <w:rFonts w:ascii="sans-serif" w:eastAsia="sans-serif" w:hAnsi="sans-serif" w:cs="sans-serif"/>
                <w:color w:val="000000"/>
                <w:sz w:val="20"/>
                <w:szCs w:val="20"/>
              </w:rPr>
              <w:t>Sales, general and administrative</w:t>
            </w:r>
          </w:p>
        </w:tc>
        <w:tc>
          <w:tcPr>
            <w:tcW w:w="0" w:type="auto"/>
            <w:gridSpan w:val="2"/>
            <w:shd w:val="clear" w:color="auto" w:fill="E2EFD9"/>
            <w:tcMar>
              <w:top w:w="40" w:type="dxa"/>
              <w:left w:w="20" w:type="dxa"/>
              <w:bottom w:w="40" w:type="dxa"/>
              <w:right w:w="0" w:type="dxa"/>
            </w:tcMar>
            <w:vAlign w:val="bottom"/>
          </w:tcPr>
          <w:p w14:paraId="195029F1" w14:textId="77777777" w:rsidR="00BF3A3A" w:rsidRDefault="00A76802">
            <w:pPr>
              <w:jc w:val="right"/>
              <w:textAlignment w:val="bottom"/>
            </w:pPr>
            <w:r>
              <w:rPr>
                <w:rFonts w:ascii="sans-serif" w:eastAsia="sans-serif" w:hAnsi="sans-serif" w:cs="sans-serif"/>
                <w:color w:val="000000"/>
                <w:sz w:val="20"/>
                <w:szCs w:val="20"/>
              </w:rPr>
              <w:t>159 </w:t>
            </w:r>
          </w:p>
        </w:tc>
        <w:tc>
          <w:tcPr>
            <w:tcW w:w="0" w:type="auto"/>
            <w:shd w:val="clear" w:color="auto" w:fill="E2EFD9"/>
            <w:tcMar>
              <w:top w:w="40" w:type="dxa"/>
              <w:left w:w="0" w:type="dxa"/>
              <w:bottom w:w="40" w:type="dxa"/>
              <w:right w:w="20" w:type="dxa"/>
            </w:tcMar>
            <w:vAlign w:val="bottom"/>
          </w:tcPr>
          <w:p w14:paraId="195029F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9F3"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9F4" w14:textId="77777777" w:rsidR="00BF3A3A" w:rsidRDefault="00A76802">
            <w:pPr>
              <w:jc w:val="right"/>
              <w:textAlignment w:val="bottom"/>
            </w:pPr>
            <w:r>
              <w:rPr>
                <w:rFonts w:ascii="sans-serif" w:eastAsia="sans-serif" w:hAnsi="sans-serif" w:cs="sans-serif"/>
                <w:color w:val="000000"/>
                <w:sz w:val="20"/>
                <w:szCs w:val="20"/>
              </w:rPr>
              <w:t>136 </w:t>
            </w:r>
          </w:p>
        </w:tc>
        <w:tc>
          <w:tcPr>
            <w:tcW w:w="0" w:type="auto"/>
            <w:shd w:val="clear" w:color="auto" w:fill="E2EFD9"/>
            <w:tcMar>
              <w:top w:w="40" w:type="dxa"/>
              <w:left w:w="0" w:type="dxa"/>
              <w:bottom w:w="40" w:type="dxa"/>
              <w:right w:w="20" w:type="dxa"/>
            </w:tcMar>
            <w:vAlign w:val="bottom"/>
          </w:tcPr>
          <w:p w14:paraId="195029F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9F6"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9F7" w14:textId="77777777" w:rsidR="00BF3A3A" w:rsidRDefault="00A76802">
            <w:pPr>
              <w:jc w:val="right"/>
              <w:textAlignment w:val="bottom"/>
            </w:pPr>
            <w:r>
              <w:rPr>
                <w:rFonts w:ascii="sans-serif" w:eastAsia="sans-serif" w:hAnsi="sans-serif" w:cs="sans-serif"/>
                <w:color w:val="000000"/>
                <w:sz w:val="20"/>
                <w:szCs w:val="20"/>
              </w:rPr>
              <w:t>315 </w:t>
            </w:r>
          </w:p>
        </w:tc>
        <w:tc>
          <w:tcPr>
            <w:tcW w:w="0" w:type="auto"/>
            <w:shd w:val="clear" w:color="auto" w:fill="E2EFD9"/>
            <w:tcMar>
              <w:top w:w="40" w:type="dxa"/>
              <w:left w:w="0" w:type="dxa"/>
              <w:bottom w:w="40" w:type="dxa"/>
              <w:right w:w="20" w:type="dxa"/>
            </w:tcMar>
            <w:vAlign w:val="bottom"/>
          </w:tcPr>
          <w:p w14:paraId="195029F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9F9"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9FA" w14:textId="77777777" w:rsidR="00BF3A3A" w:rsidRDefault="00A76802">
            <w:pPr>
              <w:jc w:val="right"/>
              <w:textAlignment w:val="bottom"/>
            </w:pPr>
            <w:r>
              <w:rPr>
                <w:rFonts w:ascii="sans-serif" w:eastAsia="sans-serif" w:hAnsi="sans-serif" w:cs="sans-serif"/>
                <w:color w:val="000000"/>
                <w:sz w:val="20"/>
                <w:szCs w:val="20"/>
              </w:rPr>
              <w:t>264 </w:t>
            </w:r>
          </w:p>
        </w:tc>
        <w:tc>
          <w:tcPr>
            <w:tcW w:w="0" w:type="auto"/>
            <w:shd w:val="clear" w:color="auto" w:fill="E2EFD9"/>
            <w:tcMar>
              <w:top w:w="40" w:type="dxa"/>
              <w:left w:w="0" w:type="dxa"/>
              <w:bottom w:w="40" w:type="dxa"/>
              <w:right w:w="20" w:type="dxa"/>
            </w:tcMar>
            <w:vAlign w:val="bottom"/>
          </w:tcPr>
          <w:p w14:paraId="195029FB" w14:textId="77777777" w:rsidR="00BF3A3A" w:rsidRDefault="00BF3A3A">
            <w:pPr>
              <w:jc w:val="right"/>
              <w:rPr>
                <w:rFonts w:ascii="宋体"/>
              </w:rPr>
            </w:pPr>
          </w:p>
        </w:tc>
      </w:tr>
      <w:tr w:rsidR="00BF3A3A" w14:paraId="19502A0D" w14:textId="77777777">
        <w:tc>
          <w:tcPr>
            <w:tcW w:w="0" w:type="auto"/>
            <w:gridSpan w:val="3"/>
            <w:shd w:val="clear" w:color="auto" w:fill="FFFFFF"/>
            <w:tcMar>
              <w:top w:w="40" w:type="dxa"/>
              <w:left w:w="20" w:type="dxa"/>
              <w:bottom w:w="40" w:type="dxa"/>
              <w:right w:w="20" w:type="dxa"/>
            </w:tcMar>
            <w:vAlign w:val="bottom"/>
          </w:tcPr>
          <w:p w14:paraId="195029FD" w14:textId="77777777" w:rsidR="00BF3A3A" w:rsidRDefault="00A76802">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29FE"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29FF" w14:textId="77777777" w:rsidR="00BF3A3A" w:rsidRDefault="00A76802">
            <w:pPr>
              <w:jc w:val="right"/>
              <w:textAlignment w:val="bottom"/>
            </w:pPr>
            <w:r>
              <w:rPr>
                <w:rFonts w:ascii="sans-serif" w:eastAsia="sans-serif" w:hAnsi="sans-serif" w:cs="sans-serif"/>
                <w:color w:val="000000"/>
                <w:sz w:val="20"/>
                <w:szCs w:val="20"/>
              </w:rPr>
              <w:t>649 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2A0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A01"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2A02"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2A03" w14:textId="77777777" w:rsidR="00BF3A3A" w:rsidRDefault="00A76802">
            <w:pPr>
              <w:jc w:val="right"/>
              <w:textAlignment w:val="bottom"/>
            </w:pPr>
            <w:r>
              <w:rPr>
                <w:rFonts w:ascii="sans-serif" w:eastAsia="sans-serif" w:hAnsi="sans-serif" w:cs="sans-serif"/>
                <w:color w:val="000000"/>
                <w:sz w:val="20"/>
                <w:szCs w:val="20"/>
              </w:rPr>
              <w:t>465 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2A04"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A05"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2A06"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2A07" w14:textId="77777777" w:rsidR="00BF3A3A" w:rsidRDefault="00A76802">
            <w:pPr>
              <w:jc w:val="right"/>
              <w:textAlignment w:val="bottom"/>
            </w:pPr>
            <w:r>
              <w:rPr>
                <w:rFonts w:ascii="sans-serif" w:eastAsia="sans-serif" w:hAnsi="sans-serif" w:cs="sans-serif"/>
                <w:color w:val="000000"/>
                <w:sz w:val="20"/>
                <w:szCs w:val="20"/>
              </w:rPr>
              <w:t>1,227 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2A08"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A09"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2A0A"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2A0B" w14:textId="77777777" w:rsidR="00BF3A3A" w:rsidRDefault="00A76802">
            <w:pPr>
              <w:jc w:val="right"/>
              <w:textAlignment w:val="bottom"/>
            </w:pPr>
            <w:r>
              <w:rPr>
                <w:rFonts w:ascii="sans-serif" w:eastAsia="sans-serif" w:hAnsi="sans-serif" w:cs="sans-serif"/>
                <w:color w:val="000000"/>
                <w:sz w:val="20"/>
                <w:szCs w:val="20"/>
              </w:rPr>
              <w:t>894 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2A0C" w14:textId="77777777" w:rsidR="00BF3A3A" w:rsidRDefault="00BF3A3A">
            <w:pPr>
              <w:jc w:val="right"/>
              <w:rPr>
                <w:rFonts w:ascii="宋体"/>
              </w:rPr>
            </w:pPr>
          </w:p>
        </w:tc>
      </w:tr>
    </w:tbl>
    <w:p w14:paraId="19502A0E" w14:textId="77777777" w:rsidR="00BF3A3A" w:rsidRDefault="00A76802">
      <w:pPr>
        <w:spacing w:before="240" w:after="60"/>
        <w:jc w:val="both"/>
      </w:pPr>
      <w:r>
        <w:rPr>
          <w:rFonts w:ascii="sans-serif" w:eastAsia="sans-serif" w:hAnsi="sans-serif" w:cs="sans-serif"/>
          <w:b/>
          <w:bCs/>
          <w:color w:val="76B900"/>
          <w:sz w:val="20"/>
          <w:szCs w:val="20"/>
        </w:rPr>
        <w:t>Equity Award Activity</w:t>
      </w:r>
    </w:p>
    <w:p w14:paraId="19502A0F" w14:textId="77777777" w:rsidR="00BF3A3A" w:rsidRDefault="00A76802">
      <w:pPr>
        <w:spacing w:after="60"/>
        <w:jc w:val="both"/>
      </w:pPr>
      <w:r>
        <w:rPr>
          <w:rFonts w:ascii="sans-serif" w:eastAsia="sans-serif" w:hAnsi="sans-serif" w:cs="sans-serif"/>
          <w:color w:val="000000"/>
          <w:sz w:val="20"/>
          <w:szCs w:val="20"/>
        </w:rPr>
        <w:t xml:space="preserve">The following is a summary of our equity award transactions under our equity </w:t>
      </w:r>
      <w:r>
        <w:rPr>
          <w:rFonts w:ascii="sans-serif" w:eastAsia="sans-serif" w:hAnsi="sans-serif" w:cs="sans-serif"/>
          <w:color w:val="000000"/>
          <w:sz w:val="20"/>
          <w:szCs w:val="20"/>
        </w:rPr>
        <w:t>incentive plans:</w:t>
      </w:r>
    </w:p>
    <w:tbl>
      <w:tblPr>
        <w:tblW w:w="5000" w:type="pct"/>
        <w:tblCellMar>
          <w:top w:w="15" w:type="dxa"/>
          <w:left w:w="15" w:type="dxa"/>
          <w:bottom w:w="15" w:type="dxa"/>
          <w:right w:w="15" w:type="dxa"/>
        </w:tblCellMar>
        <w:tblLook w:val="04A0" w:firstRow="1" w:lastRow="0" w:firstColumn="1" w:lastColumn="0" w:noHBand="0" w:noVBand="1"/>
      </w:tblPr>
      <w:tblGrid>
        <w:gridCol w:w="46"/>
        <w:gridCol w:w="4008"/>
        <w:gridCol w:w="38"/>
        <w:gridCol w:w="46"/>
        <w:gridCol w:w="1730"/>
        <w:gridCol w:w="38"/>
        <w:gridCol w:w="37"/>
        <w:gridCol w:w="36"/>
        <w:gridCol w:w="36"/>
        <w:gridCol w:w="123"/>
        <w:gridCol w:w="1729"/>
        <w:gridCol w:w="37"/>
        <w:gridCol w:w="36"/>
        <w:gridCol w:w="36"/>
        <w:gridCol w:w="36"/>
        <w:gridCol w:w="36"/>
        <w:gridCol w:w="36"/>
        <w:gridCol w:w="36"/>
        <w:gridCol w:w="36"/>
        <w:gridCol w:w="36"/>
        <w:gridCol w:w="36"/>
        <w:gridCol w:w="36"/>
        <w:gridCol w:w="36"/>
        <w:gridCol w:w="36"/>
      </w:tblGrid>
      <w:tr w:rsidR="00BF3A3A" w14:paraId="19502A20" w14:textId="77777777">
        <w:tc>
          <w:tcPr>
            <w:tcW w:w="50" w:type="pct"/>
            <w:shd w:val="clear" w:color="auto" w:fill="auto"/>
            <w:vAlign w:val="bottom"/>
          </w:tcPr>
          <w:p w14:paraId="19502A10" w14:textId="77777777" w:rsidR="00BF3A3A" w:rsidRDefault="00BF3A3A">
            <w:pPr>
              <w:rPr>
                <w:rFonts w:ascii="宋体"/>
              </w:rPr>
            </w:pPr>
          </w:p>
        </w:tc>
        <w:tc>
          <w:tcPr>
            <w:tcW w:w="2554" w:type="pct"/>
            <w:shd w:val="clear" w:color="auto" w:fill="auto"/>
            <w:vAlign w:val="bottom"/>
          </w:tcPr>
          <w:p w14:paraId="19502A11" w14:textId="77777777" w:rsidR="00BF3A3A" w:rsidRDefault="00BF3A3A">
            <w:pPr>
              <w:rPr>
                <w:rFonts w:ascii="宋体"/>
              </w:rPr>
            </w:pPr>
          </w:p>
        </w:tc>
        <w:tc>
          <w:tcPr>
            <w:tcW w:w="5" w:type="pct"/>
            <w:shd w:val="clear" w:color="auto" w:fill="auto"/>
            <w:vAlign w:val="bottom"/>
          </w:tcPr>
          <w:p w14:paraId="19502A12" w14:textId="77777777" w:rsidR="00BF3A3A" w:rsidRDefault="00BF3A3A">
            <w:pPr>
              <w:rPr>
                <w:rFonts w:ascii="宋体"/>
              </w:rPr>
            </w:pPr>
          </w:p>
        </w:tc>
        <w:tc>
          <w:tcPr>
            <w:tcW w:w="50" w:type="pct"/>
            <w:shd w:val="clear" w:color="auto" w:fill="auto"/>
            <w:vAlign w:val="bottom"/>
          </w:tcPr>
          <w:p w14:paraId="19502A13" w14:textId="77777777" w:rsidR="00BF3A3A" w:rsidRDefault="00BF3A3A">
            <w:pPr>
              <w:rPr>
                <w:rFonts w:ascii="宋体"/>
              </w:rPr>
            </w:pPr>
          </w:p>
        </w:tc>
        <w:tc>
          <w:tcPr>
            <w:tcW w:w="1114" w:type="pct"/>
            <w:shd w:val="clear" w:color="auto" w:fill="auto"/>
            <w:vAlign w:val="bottom"/>
          </w:tcPr>
          <w:p w14:paraId="19502A14" w14:textId="77777777" w:rsidR="00BF3A3A" w:rsidRDefault="00BF3A3A">
            <w:pPr>
              <w:rPr>
                <w:rFonts w:ascii="宋体"/>
              </w:rPr>
            </w:pPr>
          </w:p>
        </w:tc>
        <w:tc>
          <w:tcPr>
            <w:tcW w:w="5" w:type="pct"/>
            <w:shd w:val="clear" w:color="auto" w:fill="auto"/>
            <w:vAlign w:val="bottom"/>
          </w:tcPr>
          <w:p w14:paraId="19502A15" w14:textId="77777777" w:rsidR="00BF3A3A" w:rsidRDefault="00BF3A3A">
            <w:pPr>
              <w:rPr>
                <w:rFonts w:ascii="宋体"/>
              </w:rPr>
            </w:pPr>
          </w:p>
        </w:tc>
        <w:tc>
          <w:tcPr>
            <w:tcW w:w="5" w:type="pct"/>
            <w:shd w:val="clear" w:color="auto" w:fill="auto"/>
            <w:vAlign w:val="bottom"/>
          </w:tcPr>
          <w:p w14:paraId="19502A16" w14:textId="77777777" w:rsidR="00BF3A3A" w:rsidRDefault="00BF3A3A">
            <w:pPr>
              <w:rPr>
                <w:rFonts w:ascii="宋体"/>
              </w:rPr>
            </w:pPr>
          </w:p>
        </w:tc>
        <w:tc>
          <w:tcPr>
            <w:tcW w:w="41" w:type="pct"/>
            <w:shd w:val="clear" w:color="auto" w:fill="auto"/>
            <w:vAlign w:val="bottom"/>
          </w:tcPr>
          <w:p w14:paraId="19502A17" w14:textId="77777777" w:rsidR="00BF3A3A" w:rsidRDefault="00BF3A3A">
            <w:pPr>
              <w:rPr>
                <w:rFonts w:ascii="宋体"/>
              </w:rPr>
            </w:pPr>
          </w:p>
        </w:tc>
        <w:tc>
          <w:tcPr>
            <w:tcW w:w="5" w:type="pct"/>
            <w:shd w:val="clear" w:color="auto" w:fill="auto"/>
            <w:vAlign w:val="bottom"/>
          </w:tcPr>
          <w:p w14:paraId="19502A18" w14:textId="77777777" w:rsidR="00BF3A3A" w:rsidRDefault="00BF3A3A">
            <w:pPr>
              <w:rPr>
                <w:rFonts w:ascii="宋体"/>
              </w:rPr>
            </w:pPr>
          </w:p>
        </w:tc>
        <w:tc>
          <w:tcPr>
            <w:tcW w:w="50" w:type="pct"/>
            <w:shd w:val="clear" w:color="auto" w:fill="auto"/>
            <w:vAlign w:val="bottom"/>
          </w:tcPr>
          <w:p w14:paraId="19502A19" w14:textId="77777777" w:rsidR="00BF3A3A" w:rsidRDefault="00BF3A3A">
            <w:pPr>
              <w:rPr>
                <w:rFonts w:ascii="宋体"/>
              </w:rPr>
            </w:pPr>
          </w:p>
        </w:tc>
        <w:tc>
          <w:tcPr>
            <w:tcW w:w="1114" w:type="pct"/>
            <w:shd w:val="clear" w:color="auto" w:fill="auto"/>
            <w:vAlign w:val="bottom"/>
          </w:tcPr>
          <w:p w14:paraId="19502A1A" w14:textId="77777777" w:rsidR="00BF3A3A" w:rsidRDefault="00BF3A3A">
            <w:pPr>
              <w:rPr>
                <w:rFonts w:ascii="宋体"/>
              </w:rPr>
            </w:pPr>
          </w:p>
        </w:tc>
        <w:tc>
          <w:tcPr>
            <w:tcW w:w="5" w:type="pct"/>
            <w:shd w:val="clear" w:color="auto" w:fill="auto"/>
            <w:vAlign w:val="bottom"/>
          </w:tcPr>
          <w:p w14:paraId="19502A1B" w14:textId="77777777" w:rsidR="00BF3A3A" w:rsidRDefault="00BF3A3A">
            <w:pPr>
              <w:rPr>
                <w:rFonts w:ascii="宋体"/>
              </w:rPr>
            </w:pPr>
          </w:p>
        </w:tc>
        <w:tc>
          <w:tcPr>
            <w:tcW w:w="0" w:type="auto"/>
            <w:gridSpan w:val="3"/>
            <w:shd w:val="clear" w:color="auto" w:fill="auto"/>
            <w:vAlign w:val="bottom"/>
          </w:tcPr>
          <w:p w14:paraId="19502A1C" w14:textId="77777777" w:rsidR="00BF3A3A" w:rsidRDefault="00BF3A3A">
            <w:pPr>
              <w:rPr>
                <w:rFonts w:ascii="宋体"/>
                <w:vanish/>
              </w:rPr>
            </w:pPr>
          </w:p>
        </w:tc>
        <w:tc>
          <w:tcPr>
            <w:tcW w:w="0" w:type="auto"/>
            <w:gridSpan w:val="3"/>
            <w:shd w:val="clear" w:color="auto" w:fill="auto"/>
            <w:vAlign w:val="bottom"/>
          </w:tcPr>
          <w:p w14:paraId="19502A1D" w14:textId="77777777" w:rsidR="00BF3A3A" w:rsidRDefault="00BF3A3A">
            <w:pPr>
              <w:rPr>
                <w:rFonts w:ascii="宋体"/>
                <w:vanish/>
              </w:rPr>
            </w:pPr>
          </w:p>
        </w:tc>
        <w:tc>
          <w:tcPr>
            <w:tcW w:w="0" w:type="auto"/>
            <w:gridSpan w:val="3"/>
            <w:shd w:val="clear" w:color="auto" w:fill="auto"/>
            <w:vAlign w:val="bottom"/>
          </w:tcPr>
          <w:p w14:paraId="19502A1E" w14:textId="77777777" w:rsidR="00BF3A3A" w:rsidRDefault="00BF3A3A">
            <w:pPr>
              <w:rPr>
                <w:rFonts w:ascii="宋体"/>
                <w:vanish/>
              </w:rPr>
            </w:pPr>
          </w:p>
        </w:tc>
        <w:tc>
          <w:tcPr>
            <w:tcW w:w="0" w:type="auto"/>
            <w:gridSpan w:val="3"/>
            <w:shd w:val="clear" w:color="auto" w:fill="auto"/>
            <w:vAlign w:val="bottom"/>
          </w:tcPr>
          <w:p w14:paraId="19502A1F" w14:textId="77777777" w:rsidR="00BF3A3A" w:rsidRDefault="00BF3A3A">
            <w:pPr>
              <w:rPr>
                <w:rFonts w:ascii="宋体"/>
                <w:vanish/>
              </w:rPr>
            </w:pPr>
          </w:p>
        </w:tc>
      </w:tr>
      <w:tr w:rsidR="00BF3A3A" w14:paraId="19502A2B" w14:textId="77777777">
        <w:tc>
          <w:tcPr>
            <w:tcW w:w="0" w:type="auto"/>
            <w:gridSpan w:val="3"/>
            <w:shd w:val="clear" w:color="auto" w:fill="auto"/>
            <w:tcMar>
              <w:top w:w="0" w:type="dxa"/>
              <w:left w:w="20" w:type="dxa"/>
              <w:bottom w:w="0" w:type="dxa"/>
              <w:right w:w="20" w:type="dxa"/>
            </w:tcMar>
            <w:vAlign w:val="bottom"/>
          </w:tcPr>
          <w:p w14:paraId="19502A21" w14:textId="77777777" w:rsidR="00BF3A3A" w:rsidRDefault="00BF3A3A">
            <w:pPr>
              <w:rPr>
                <w:rFonts w:ascii="宋体"/>
              </w:rPr>
            </w:pPr>
          </w:p>
        </w:tc>
        <w:tc>
          <w:tcPr>
            <w:tcW w:w="0" w:type="auto"/>
            <w:gridSpan w:val="9"/>
            <w:shd w:val="clear" w:color="auto" w:fill="auto"/>
            <w:tcMar>
              <w:top w:w="40" w:type="dxa"/>
              <w:left w:w="20" w:type="dxa"/>
              <w:bottom w:w="40" w:type="dxa"/>
              <w:right w:w="20" w:type="dxa"/>
            </w:tcMar>
            <w:vAlign w:val="bottom"/>
          </w:tcPr>
          <w:p w14:paraId="19502A22" w14:textId="77777777" w:rsidR="00BF3A3A" w:rsidRDefault="00A76802">
            <w:pPr>
              <w:jc w:val="center"/>
              <w:textAlignment w:val="bottom"/>
            </w:pPr>
            <w:r>
              <w:rPr>
                <w:rFonts w:ascii="sans-serif" w:eastAsia="sans-serif" w:hAnsi="sans-serif" w:cs="sans-serif"/>
                <w:b/>
                <w:bCs/>
                <w:color w:val="000000"/>
                <w:sz w:val="20"/>
                <w:szCs w:val="20"/>
              </w:rPr>
              <w:t>RSUs, PSUs, and Market-based PSUs Outstanding</w:t>
            </w:r>
          </w:p>
        </w:tc>
        <w:tc>
          <w:tcPr>
            <w:tcW w:w="0" w:type="auto"/>
            <w:gridSpan w:val="3"/>
            <w:shd w:val="clear" w:color="auto" w:fill="auto"/>
            <w:vAlign w:val="bottom"/>
          </w:tcPr>
          <w:p w14:paraId="19502A23" w14:textId="77777777" w:rsidR="00BF3A3A" w:rsidRDefault="00BF3A3A">
            <w:pPr>
              <w:rPr>
                <w:rFonts w:ascii="宋体"/>
                <w:vanish/>
              </w:rPr>
            </w:pPr>
          </w:p>
        </w:tc>
        <w:tc>
          <w:tcPr>
            <w:tcW w:w="0" w:type="auto"/>
            <w:gridSpan w:val="3"/>
            <w:shd w:val="clear" w:color="auto" w:fill="auto"/>
            <w:vAlign w:val="bottom"/>
          </w:tcPr>
          <w:p w14:paraId="19502A24" w14:textId="77777777" w:rsidR="00BF3A3A" w:rsidRDefault="00BF3A3A">
            <w:pPr>
              <w:rPr>
                <w:rFonts w:ascii="宋体"/>
                <w:vanish/>
              </w:rPr>
            </w:pPr>
          </w:p>
        </w:tc>
        <w:tc>
          <w:tcPr>
            <w:tcW w:w="0" w:type="auto"/>
            <w:shd w:val="clear" w:color="auto" w:fill="auto"/>
            <w:vAlign w:val="bottom"/>
          </w:tcPr>
          <w:p w14:paraId="19502A25" w14:textId="77777777" w:rsidR="00BF3A3A" w:rsidRDefault="00BF3A3A">
            <w:pPr>
              <w:rPr>
                <w:rFonts w:ascii="宋体"/>
              </w:rPr>
            </w:pPr>
          </w:p>
        </w:tc>
        <w:tc>
          <w:tcPr>
            <w:tcW w:w="0" w:type="auto"/>
            <w:shd w:val="clear" w:color="auto" w:fill="auto"/>
            <w:vAlign w:val="bottom"/>
          </w:tcPr>
          <w:p w14:paraId="19502A26" w14:textId="77777777" w:rsidR="00BF3A3A" w:rsidRDefault="00BF3A3A">
            <w:pPr>
              <w:rPr>
                <w:rFonts w:ascii="宋体"/>
              </w:rPr>
            </w:pPr>
          </w:p>
        </w:tc>
        <w:tc>
          <w:tcPr>
            <w:tcW w:w="0" w:type="auto"/>
            <w:shd w:val="clear" w:color="auto" w:fill="auto"/>
            <w:vAlign w:val="bottom"/>
          </w:tcPr>
          <w:p w14:paraId="19502A27" w14:textId="77777777" w:rsidR="00BF3A3A" w:rsidRDefault="00BF3A3A">
            <w:pPr>
              <w:rPr>
                <w:rFonts w:ascii="宋体"/>
              </w:rPr>
            </w:pPr>
          </w:p>
        </w:tc>
        <w:tc>
          <w:tcPr>
            <w:tcW w:w="0" w:type="auto"/>
            <w:shd w:val="clear" w:color="auto" w:fill="auto"/>
            <w:vAlign w:val="bottom"/>
          </w:tcPr>
          <w:p w14:paraId="19502A28" w14:textId="77777777" w:rsidR="00BF3A3A" w:rsidRDefault="00BF3A3A">
            <w:pPr>
              <w:rPr>
                <w:rFonts w:ascii="宋体"/>
              </w:rPr>
            </w:pPr>
          </w:p>
        </w:tc>
        <w:tc>
          <w:tcPr>
            <w:tcW w:w="0" w:type="auto"/>
            <w:shd w:val="clear" w:color="auto" w:fill="auto"/>
            <w:vAlign w:val="bottom"/>
          </w:tcPr>
          <w:p w14:paraId="19502A29" w14:textId="77777777" w:rsidR="00BF3A3A" w:rsidRDefault="00BF3A3A">
            <w:pPr>
              <w:rPr>
                <w:rFonts w:ascii="宋体"/>
              </w:rPr>
            </w:pPr>
          </w:p>
        </w:tc>
        <w:tc>
          <w:tcPr>
            <w:tcW w:w="0" w:type="auto"/>
            <w:shd w:val="clear" w:color="auto" w:fill="auto"/>
            <w:vAlign w:val="bottom"/>
          </w:tcPr>
          <w:p w14:paraId="19502A2A" w14:textId="77777777" w:rsidR="00BF3A3A" w:rsidRDefault="00BF3A3A">
            <w:pPr>
              <w:rPr>
                <w:rFonts w:ascii="宋体"/>
              </w:rPr>
            </w:pPr>
          </w:p>
        </w:tc>
      </w:tr>
      <w:tr w:rsidR="00BF3A3A" w14:paraId="19502A34" w14:textId="77777777">
        <w:tc>
          <w:tcPr>
            <w:tcW w:w="0" w:type="auto"/>
            <w:gridSpan w:val="3"/>
            <w:shd w:val="clear" w:color="auto" w:fill="auto"/>
            <w:tcMar>
              <w:top w:w="40" w:type="dxa"/>
              <w:left w:w="20" w:type="dxa"/>
              <w:bottom w:w="40" w:type="dxa"/>
              <w:right w:w="20" w:type="dxa"/>
            </w:tcMar>
            <w:vAlign w:val="bottom"/>
          </w:tcPr>
          <w:p w14:paraId="19502A2C"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A2D" w14:textId="77777777" w:rsidR="00BF3A3A" w:rsidRDefault="00A76802">
            <w:pPr>
              <w:jc w:val="center"/>
              <w:textAlignment w:val="bottom"/>
            </w:pPr>
            <w:r>
              <w:rPr>
                <w:rFonts w:ascii="sans-serif" w:eastAsia="sans-serif" w:hAnsi="sans-serif" w:cs="sans-serif"/>
                <w:b/>
                <w:bCs/>
                <w:color w:val="000000"/>
                <w:sz w:val="20"/>
                <w:szCs w:val="20"/>
              </w:rPr>
              <w:t>Number of 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A2E"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A2F" w14:textId="77777777" w:rsidR="00BF3A3A" w:rsidRDefault="00A76802">
            <w:pPr>
              <w:jc w:val="center"/>
              <w:textAlignment w:val="bottom"/>
            </w:pPr>
            <w:r>
              <w:rPr>
                <w:rFonts w:ascii="sans-serif" w:eastAsia="sans-serif" w:hAnsi="sans-serif" w:cs="sans-serif"/>
                <w:b/>
                <w:bCs/>
                <w:color w:val="000000"/>
                <w:sz w:val="20"/>
                <w:szCs w:val="20"/>
              </w:rPr>
              <w:t>Weighted Average Grant-Date Fair Value Per Share</w:t>
            </w:r>
          </w:p>
        </w:tc>
        <w:tc>
          <w:tcPr>
            <w:tcW w:w="0" w:type="auto"/>
            <w:gridSpan w:val="3"/>
            <w:shd w:val="clear" w:color="auto" w:fill="auto"/>
            <w:vAlign w:val="bottom"/>
          </w:tcPr>
          <w:p w14:paraId="19502A30" w14:textId="77777777" w:rsidR="00BF3A3A" w:rsidRDefault="00BF3A3A">
            <w:pPr>
              <w:rPr>
                <w:rFonts w:ascii="宋体"/>
                <w:vanish/>
              </w:rPr>
            </w:pPr>
          </w:p>
        </w:tc>
        <w:tc>
          <w:tcPr>
            <w:tcW w:w="0" w:type="auto"/>
            <w:gridSpan w:val="3"/>
            <w:shd w:val="clear" w:color="auto" w:fill="auto"/>
            <w:vAlign w:val="bottom"/>
          </w:tcPr>
          <w:p w14:paraId="19502A31" w14:textId="77777777" w:rsidR="00BF3A3A" w:rsidRDefault="00BF3A3A">
            <w:pPr>
              <w:rPr>
                <w:rFonts w:ascii="宋体"/>
                <w:vanish/>
              </w:rPr>
            </w:pPr>
          </w:p>
        </w:tc>
        <w:tc>
          <w:tcPr>
            <w:tcW w:w="0" w:type="auto"/>
            <w:gridSpan w:val="3"/>
            <w:shd w:val="clear" w:color="auto" w:fill="auto"/>
            <w:vAlign w:val="bottom"/>
          </w:tcPr>
          <w:p w14:paraId="19502A32" w14:textId="77777777" w:rsidR="00BF3A3A" w:rsidRDefault="00BF3A3A">
            <w:pPr>
              <w:rPr>
                <w:rFonts w:ascii="宋体"/>
                <w:vanish/>
              </w:rPr>
            </w:pPr>
          </w:p>
        </w:tc>
        <w:tc>
          <w:tcPr>
            <w:tcW w:w="0" w:type="auto"/>
            <w:gridSpan w:val="3"/>
            <w:shd w:val="clear" w:color="auto" w:fill="auto"/>
            <w:vAlign w:val="bottom"/>
          </w:tcPr>
          <w:p w14:paraId="19502A33" w14:textId="77777777" w:rsidR="00BF3A3A" w:rsidRDefault="00BF3A3A">
            <w:pPr>
              <w:rPr>
                <w:rFonts w:ascii="宋体"/>
                <w:vanish/>
              </w:rPr>
            </w:pPr>
          </w:p>
        </w:tc>
      </w:tr>
      <w:tr w:rsidR="00BF3A3A" w14:paraId="19502A3D" w14:textId="77777777">
        <w:trPr>
          <w:trHeight w:val="60"/>
        </w:trPr>
        <w:tc>
          <w:tcPr>
            <w:tcW w:w="0" w:type="auto"/>
            <w:gridSpan w:val="3"/>
            <w:shd w:val="clear" w:color="auto" w:fill="auto"/>
            <w:tcMar>
              <w:top w:w="0" w:type="dxa"/>
              <w:left w:w="20" w:type="dxa"/>
              <w:bottom w:w="0" w:type="dxa"/>
              <w:right w:w="20" w:type="dxa"/>
            </w:tcMar>
            <w:vAlign w:val="bottom"/>
          </w:tcPr>
          <w:p w14:paraId="19502A35"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A36"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A37"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A38" w14:textId="77777777" w:rsidR="00BF3A3A" w:rsidRDefault="00BF3A3A">
            <w:pPr>
              <w:rPr>
                <w:rFonts w:ascii="宋体"/>
              </w:rPr>
            </w:pPr>
          </w:p>
        </w:tc>
        <w:tc>
          <w:tcPr>
            <w:tcW w:w="0" w:type="auto"/>
            <w:gridSpan w:val="3"/>
            <w:shd w:val="clear" w:color="auto" w:fill="auto"/>
            <w:vAlign w:val="bottom"/>
          </w:tcPr>
          <w:p w14:paraId="19502A39" w14:textId="77777777" w:rsidR="00BF3A3A" w:rsidRDefault="00BF3A3A">
            <w:pPr>
              <w:rPr>
                <w:rFonts w:ascii="宋体"/>
                <w:vanish/>
              </w:rPr>
            </w:pPr>
          </w:p>
        </w:tc>
        <w:tc>
          <w:tcPr>
            <w:tcW w:w="0" w:type="auto"/>
            <w:gridSpan w:val="3"/>
            <w:shd w:val="clear" w:color="auto" w:fill="auto"/>
            <w:vAlign w:val="bottom"/>
          </w:tcPr>
          <w:p w14:paraId="19502A3A" w14:textId="77777777" w:rsidR="00BF3A3A" w:rsidRDefault="00BF3A3A">
            <w:pPr>
              <w:rPr>
                <w:rFonts w:ascii="宋体"/>
                <w:vanish/>
              </w:rPr>
            </w:pPr>
          </w:p>
        </w:tc>
        <w:tc>
          <w:tcPr>
            <w:tcW w:w="0" w:type="auto"/>
            <w:gridSpan w:val="3"/>
            <w:shd w:val="clear" w:color="auto" w:fill="auto"/>
            <w:vAlign w:val="bottom"/>
          </w:tcPr>
          <w:p w14:paraId="19502A3B" w14:textId="77777777" w:rsidR="00BF3A3A" w:rsidRDefault="00BF3A3A">
            <w:pPr>
              <w:rPr>
                <w:rFonts w:ascii="宋体"/>
                <w:vanish/>
              </w:rPr>
            </w:pPr>
          </w:p>
        </w:tc>
        <w:tc>
          <w:tcPr>
            <w:tcW w:w="0" w:type="auto"/>
            <w:gridSpan w:val="3"/>
            <w:shd w:val="clear" w:color="auto" w:fill="auto"/>
            <w:vAlign w:val="bottom"/>
          </w:tcPr>
          <w:p w14:paraId="19502A3C" w14:textId="77777777" w:rsidR="00BF3A3A" w:rsidRDefault="00BF3A3A">
            <w:pPr>
              <w:rPr>
                <w:rFonts w:ascii="宋体"/>
                <w:vanish/>
              </w:rPr>
            </w:pPr>
          </w:p>
        </w:tc>
      </w:tr>
      <w:tr w:rsidR="00BF3A3A" w14:paraId="19502A4C" w14:textId="77777777">
        <w:tc>
          <w:tcPr>
            <w:tcW w:w="0" w:type="auto"/>
            <w:gridSpan w:val="3"/>
            <w:shd w:val="clear" w:color="auto" w:fill="auto"/>
            <w:tcMar>
              <w:top w:w="0" w:type="dxa"/>
              <w:left w:w="20" w:type="dxa"/>
              <w:bottom w:w="0" w:type="dxa"/>
              <w:right w:w="20" w:type="dxa"/>
            </w:tcMar>
            <w:vAlign w:val="bottom"/>
          </w:tcPr>
          <w:p w14:paraId="19502A3E" w14:textId="77777777" w:rsidR="00BF3A3A" w:rsidRDefault="00BF3A3A">
            <w:pPr>
              <w:rPr>
                <w:rFonts w:ascii="宋体"/>
              </w:rPr>
            </w:pPr>
          </w:p>
        </w:tc>
        <w:tc>
          <w:tcPr>
            <w:tcW w:w="0" w:type="auto"/>
            <w:gridSpan w:val="9"/>
            <w:shd w:val="clear" w:color="auto" w:fill="auto"/>
            <w:tcMar>
              <w:top w:w="40" w:type="dxa"/>
              <w:left w:w="20" w:type="dxa"/>
              <w:bottom w:w="40" w:type="dxa"/>
              <w:right w:w="20" w:type="dxa"/>
            </w:tcMar>
            <w:vAlign w:val="bottom"/>
          </w:tcPr>
          <w:p w14:paraId="19502A3F" w14:textId="77777777" w:rsidR="00BF3A3A" w:rsidRDefault="00A76802">
            <w:pPr>
              <w:jc w:val="center"/>
              <w:textAlignment w:val="bottom"/>
            </w:pPr>
            <w:r>
              <w:rPr>
                <w:rFonts w:ascii="sans-serif" w:eastAsia="sans-serif" w:hAnsi="sans-serif" w:cs="sans-serif"/>
                <w:i/>
                <w:iCs/>
                <w:color w:val="000000"/>
                <w:sz w:val="20"/>
                <w:szCs w:val="20"/>
              </w:rPr>
              <w:t>(In millions, except per share data)</w:t>
            </w:r>
          </w:p>
        </w:tc>
        <w:tc>
          <w:tcPr>
            <w:tcW w:w="0" w:type="auto"/>
            <w:shd w:val="clear" w:color="auto" w:fill="auto"/>
            <w:vAlign w:val="bottom"/>
          </w:tcPr>
          <w:p w14:paraId="19502A40" w14:textId="77777777" w:rsidR="00BF3A3A" w:rsidRDefault="00BF3A3A">
            <w:pPr>
              <w:rPr>
                <w:rFonts w:ascii="宋体"/>
              </w:rPr>
            </w:pPr>
          </w:p>
        </w:tc>
        <w:tc>
          <w:tcPr>
            <w:tcW w:w="0" w:type="auto"/>
            <w:shd w:val="clear" w:color="auto" w:fill="auto"/>
            <w:vAlign w:val="bottom"/>
          </w:tcPr>
          <w:p w14:paraId="19502A41" w14:textId="77777777" w:rsidR="00BF3A3A" w:rsidRDefault="00BF3A3A">
            <w:pPr>
              <w:rPr>
                <w:rFonts w:ascii="宋体"/>
              </w:rPr>
            </w:pPr>
          </w:p>
        </w:tc>
        <w:tc>
          <w:tcPr>
            <w:tcW w:w="0" w:type="auto"/>
            <w:shd w:val="clear" w:color="auto" w:fill="auto"/>
            <w:vAlign w:val="bottom"/>
          </w:tcPr>
          <w:p w14:paraId="19502A42" w14:textId="77777777" w:rsidR="00BF3A3A" w:rsidRDefault="00BF3A3A">
            <w:pPr>
              <w:rPr>
                <w:rFonts w:ascii="宋体"/>
              </w:rPr>
            </w:pPr>
          </w:p>
        </w:tc>
        <w:tc>
          <w:tcPr>
            <w:tcW w:w="0" w:type="auto"/>
            <w:shd w:val="clear" w:color="auto" w:fill="auto"/>
            <w:vAlign w:val="bottom"/>
          </w:tcPr>
          <w:p w14:paraId="19502A43" w14:textId="77777777" w:rsidR="00BF3A3A" w:rsidRDefault="00BF3A3A">
            <w:pPr>
              <w:rPr>
                <w:rFonts w:ascii="宋体"/>
              </w:rPr>
            </w:pPr>
          </w:p>
        </w:tc>
        <w:tc>
          <w:tcPr>
            <w:tcW w:w="0" w:type="auto"/>
            <w:shd w:val="clear" w:color="auto" w:fill="auto"/>
            <w:vAlign w:val="bottom"/>
          </w:tcPr>
          <w:p w14:paraId="19502A44" w14:textId="77777777" w:rsidR="00BF3A3A" w:rsidRDefault="00BF3A3A">
            <w:pPr>
              <w:rPr>
                <w:rFonts w:ascii="宋体"/>
              </w:rPr>
            </w:pPr>
          </w:p>
        </w:tc>
        <w:tc>
          <w:tcPr>
            <w:tcW w:w="0" w:type="auto"/>
            <w:shd w:val="clear" w:color="auto" w:fill="auto"/>
            <w:vAlign w:val="bottom"/>
          </w:tcPr>
          <w:p w14:paraId="19502A45" w14:textId="77777777" w:rsidR="00BF3A3A" w:rsidRDefault="00BF3A3A">
            <w:pPr>
              <w:rPr>
                <w:rFonts w:ascii="宋体"/>
              </w:rPr>
            </w:pPr>
          </w:p>
        </w:tc>
        <w:tc>
          <w:tcPr>
            <w:tcW w:w="0" w:type="auto"/>
            <w:shd w:val="clear" w:color="auto" w:fill="auto"/>
            <w:vAlign w:val="bottom"/>
          </w:tcPr>
          <w:p w14:paraId="19502A46" w14:textId="77777777" w:rsidR="00BF3A3A" w:rsidRDefault="00BF3A3A">
            <w:pPr>
              <w:rPr>
                <w:rFonts w:ascii="宋体"/>
              </w:rPr>
            </w:pPr>
          </w:p>
        </w:tc>
        <w:tc>
          <w:tcPr>
            <w:tcW w:w="0" w:type="auto"/>
            <w:shd w:val="clear" w:color="auto" w:fill="auto"/>
            <w:vAlign w:val="bottom"/>
          </w:tcPr>
          <w:p w14:paraId="19502A47" w14:textId="77777777" w:rsidR="00BF3A3A" w:rsidRDefault="00BF3A3A">
            <w:pPr>
              <w:rPr>
                <w:rFonts w:ascii="宋体"/>
              </w:rPr>
            </w:pPr>
          </w:p>
        </w:tc>
        <w:tc>
          <w:tcPr>
            <w:tcW w:w="0" w:type="auto"/>
            <w:shd w:val="clear" w:color="auto" w:fill="auto"/>
            <w:vAlign w:val="bottom"/>
          </w:tcPr>
          <w:p w14:paraId="19502A48" w14:textId="77777777" w:rsidR="00BF3A3A" w:rsidRDefault="00BF3A3A">
            <w:pPr>
              <w:rPr>
                <w:rFonts w:ascii="宋体"/>
              </w:rPr>
            </w:pPr>
          </w:p>
        </w:tc>
        <w:tc>
          <w:tcPr>
            <w:tcW w:w="0" w:type="auto"/>
            <w:shd w:val="clear" w:color="auto" w:fill="auto"/>
            <w:vAlign w:val="bottom"/>
          </w:tcPr>
          <w:p w14:paraId="19502A49" w14:textId="77777777" w:rsidR="00BF3A3A" w:rsidRDefault="00BF3A3A">
            <w:pPr>
              <w:rPr>
                <w:rFonts w:ascii="宋体"/>
              </w:rPr>
            </w:pPr>
          </w:p>
        </w:tc>
        <w:tc>
          <w:tcPr>
            <w:tcW w:w="0" w:type="auto"/>
            <w:shd w:val="clear" w:color="auto" w:fill="auto"/>
            <w:vAlign w:val="bottom"/>
          </w:tcPr>
          <w:p w14:paraId="19502A4A" w14:textId="77777777" w:rsidR="00BF3A3A" w:rsidRDefault="00BF3A3A">
            <w:pPr>
              <w:rPr>
                <w:rFonts w:ascii="宋体"/>
              </w:rPr>
            </w:pPr>
          </w:p>
        </w:tc>
        <w:tc>
          <w:tcPr>
            <w:tcW w:w="0" w:type="auto"/>
            <w:shd w:val="clear" w:color="auto" w:fill="auto"/>
            <w:vAlign w:val="bottom"/>
          </w:tcPr>
          <w:p w14:paraId="19502A4B" w14:textId="77777777" w:rsidR="00BF3A3A" w:rsidRDefault="00BF3A3A">
            <w:pPr>
              <w:rPr>
                <w:rFonts w:ascii="宋体"/>
              </w:rPr>
            </w:pPr>
          </w:p>
        </w:tc>
      </w:tr>
      <w:tr w:rsidR="00BF3A3A" w14:paraId="19502A58" w14:textId="77777777">
        <w:tc>
          <w:tcPr>
            <w:tcW w:w="0" w:type="auto"/>
            <w:gridSpan w:val="3"/>
            <w:shd w:val="clear" w:color="auto" w:fill="E2EFD9"/>
            <w:tcMar>
              <w:top w:w="40" w:type="dxa"/>
              <w:left w:w="20" w:type="dxa"/>
              <w:bottom w:w="40" w:type="dxa"/>
              <w:right w:w="20" w:type="dxa"/>
            </w:tcMar>
            <w:vAlign w:val="bottom"/>
          </w:tcPr>
          <w:p w14:paraId="19502A4D" w14:textId="77777777" w:rsidR="00BF3A3A" w:rsidRDefault="00A76802">
            <w:pPr>
              <w:textAlignment w:val="bottom"/>
            </w:pPr>
            <w:r>
              <w:rPr>
                <w:rFonts w:ascii="sans-serif" w:eastAsia="sans-serif" w:hAnsi="sans-serif" w:cs="sans-serif"/>
                <w:color w:val="000000"/>
                <w:sz w:val="20"/>
                <w:szCs w:val="20"/>
              </w:rPr>
              <w:t>Balances, January 30, 2022</w:t>
            </w:r>
          </w:p>
        </w:tc>
        <w:tc>
          <w:tcPr>
            <w:tcW w:w="0" w:type="auto"/>
            <w:gridSpan w:val="2"/>
            <w:shd w:val="clear" w:color="auto" w:fill="E2EFD9"/>
            <w:tcMar>
              <w:top w:w="40" w:type="dxa"/>
              <w:left w:w="20" w:type="dxa"/>
              <w:bottom w:w="40" w:type="dxa"/>
              <w:right w:w="0" w:type="dxa"/>
            </w:tcMar>
            <w:vAlign w:val="bottom"/>
          </w:tcPr>
          <w:p w14:paraId="19502A4E" w14:textId="77777777" w:rsidR="00BF3A3A" w:rsidRDefault="00A76802">
            <w:pPr>
              <w:jc w:val="right"/>
              <w:textAlignment w:val="bottom"/>
            </w:pPr>
            <w:r>
              <w:rPr>
                <w:rFonts w:ascii="sans-serif" w:eastAsia="sans-serif" w:hAnsi="sans-serif" w:cs="sans-serif"/>
                <w:color w:val="000000"/>
                <w:sz w:val="20"/>
                <w:szCs w:val="20"/>
              </w:rPr>
              <w:t>46 </w:t>
            </w:r>
          </w:p>
        </w:tc>
        <w:tc>
          <w:tcPr>
            <w:tcW w:w="0" w:type="auto"/>
            <w:shd w:val="clear" w:color="auto" w:fill="E2EFD9"/>
            <w:tcMar>
              <w:top w:w="40" w:type="dxa"/>
              <w:left w:w="0" w:type="dxa"/>
              <w:bottom w:w="40" w:type="dxa"/>
              <w:right w:w="20" w:type="dxa"/>
            </w:tcMar>
            <w:vAlign w:val="bottom"/>
          </w:tcPr>
          <w:p w14:paraId="19502A4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A50"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A51"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A52" w14:textId="77777777" w:rsidR="00BF3A3A" w:rsidRDefault="00A76802">
            <w:pPr>
              <w:jc w:val="right"/>
              <w:textAlignment w:val="bottom"/>
            </w:pPr>
            <w:r>
              <w:rPr>
                <w:rFonts w:ascii="sans-serif" w:eastAsia="sans-serif" w:hAnsi="sans-serif" w:cs="sans-serif"/>
                <w:color w:val="000000"/>
                <w:sz w:val="20"/>
                <w:szCs w:val="20"/>
              </w:rPr>
              <w:t>114.19 </w:t>
            </w:r>
          </w:p>
        </w:tc>
        <w:tc>
          <w:tcPr>
            <w:tcW w:w="0" w:type="auto"/>
            <w:shd w:val="clear" w:color="auto" w:fill="E2EFD9"/>
            <w:tcMar>
              <w:top w:w="40" w:type="dxa"/>
              <w:left w:w="0" w:type="dxa"/>
              <w:bottom w:w="40" w:type="dxa"/>
              <w:right w:w="20" w:type="dxa"/>
            </w:tcMar>
            <w:vAlign w:val="bottom"/>
          </w:tcPr>
          <w:p w14:paraId="19502A53" w14:textId="77777777" w:rsidR="00BF3A3A" w:rsidRDefault="00BF3A3A">
            <w:pPr>
              <w:jc w:val="right"/>
              <w:rPr>
                <w:rFonts w:ascii="宋体"/>
              </w:rPr>
            </w:pPr>
          </w:p>
        </w:tc>
        <w:tc>
          <w:tcPr>
            <w:tcW w:w="0" w:type="auto"/>
            <w:gridSpan w:val="3"/>
            <w:shd w:val="clear" w:color="auto" w:fill="auto"/>
            <w:vAlign w:val="bottom"/>
          </w:tcPr>
          <w:p w14:paraId="19502A54" w14:textId="77777777" w:rsidR="00BF3A3A" w:rsidRDefault="00BF3A3A">
            <w:pPr>
              <w:rPr>
                <w:rFonts w:ascii="宋体"/>
                <w:vanish/>
              </w:rPr>
            </w:pPr>
          </w:p>
        </w:tc>
        <w:tc>
          <w:tcPr>
            <w:tcW w:w="0" w:type="auto"/>
            <w:gridSpan w:val="3"/>
            <w:shd w:val="clear" w:color="auto" w:fill="auto"/>
            <w:vAlign w:val="bottom"/>
          </w:tcPr>
          <w:p w14:paraId="19502A55" w14:textId="77777777" w:rsidR="00BF3A3A" w:rsidRDefault="00BF3A3A">
            <w:pPr>
              <w:rPr>
                <w:rFonts w:ascii="宋体"/>
                <w:vanish/>
              </w:rPr>
            </w:pPr>
          </w:p>
        </w:tc>
        <w:tc>
          <w:tcPr>
            <w:tcW w:w="0" w:type="auto"/>
            <w:gridSpan w:val="3"/>
            <w:shd w:val="clear" w:color="auto" w:fill="auto"/>
            <w:vAlign w:val="bottom"/>
          </w:tcPr>
          <w:p w14:paraId="19502A56" w14:textId="77777777" w:rsidR="00BF3A3A" w:rsidRDefault="00BF3A3A">
            <w:pPr>
              <w:rPr>
                <w:rFonts w:ascii="宋体"/>
                <w:vanish/>
              </w:rPr>
            </w:pPr>
          </w:p>
        </w:tc>
        <w:tc>
          <w:tcPr>
            <w:tcW w:w="0" w:type="auto"/>
            <w:gridSpan w:val="3"/>
            <w:shd w:val="clear" w:color="auto" w:fill="auto"/>
            <w:vAlign w:val="bottom"/>
          </w:tcPr>
          <w:p w14:paraId="19502A57" w14:textId="77777777" w:rsidR="00BF3A3A" w:rsidRDefault="00BF3A3A">
            <w:pPr>
              <w:rPr>
                <w:rFonts w:ascii="宋体"/>
                <w:vanish/>
              </w:rPr>
            </w:pPr>
          </w:p>
        </w:tc>
      </w:tr>
      <w:tr w:rsidR="00BF3A3A" w14:paraId="19502A64" w14:textId="77777777">
        <w:tc>
          <w:tcPr>
            <w:tcW w:w="0" w:type="auto"/>
            <w:gridSpan w:val="3"/>
            <w:shd w:val="clear" w:color="auto" w:fill="FFFFFF"/>
            <w:tcMar>
              <w:top w:w="40" w:type="dxa"/>
              <w:left w:w="380" w:type="dxa"/>
              <w:bottom w:w="40" w:type="dxa"/>
              <w:right w:w="20" w:type="dxa"/>
            </w:tcMar>
            <w:vAlign w:val="bottom"/>
          </w:tcPr>
          <w:p w14:paraId="19502A59" w14:textId="77777777" w:rsidR="00BF3A3A" w:rsidRDefault="00A76802">
            <w:pPr>
              <w:textAlignment w:val="bottom"/>
            </w:pPr>
            <w:r>
              <w:rPr>
                <w:rFonts w:ascii="sans-serif" w:eastAsia="sans-serif" w:hAnsi="sans-serif" w:cs="sans-serif"/>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19502A5A" w14:textId="77777777" w:rsidR="00BF3A3A" w:rsidRDefault="00A76802">
            <w:pPr>
              <w:jc w:val="right"/>
              <w:textAlignment w:val="bottom"/>
            </w:pPr>
            <w:r>
              <w:rPr>
                <w:rFonts w:ascii="sans-serif" w:eastAsia="sans-serif" w:hAnsi="sans-serif" w:cs="sans-serif"/>
                <w:color w:val="000000"/>
                <w:sz w:val="20"/>
                <w:szCs w:val="20"/>
              </w:rPr>
              <w:t>22 </w:t>
            </w:r>
          </w:p>
        </w:tc>
        <w:tc>
          <w:tcPr>
            <w:tcW w:w="0" w:type="auto"/>
            <w:shd w:val="clear" w:color="auto" w:fill="FFFFFF"/>
            <w:tcMar>
              <w:top w:w="40" w:type="dxa"/>
              <w:left w:w="0" w:type="dxa"/>
              <w:bottom w:w="40" w:type="dxa"/>
              <w:right w:w="20" w:type="dxa"/>
            </w:tcMar>
            <w:vAlign w:val="bottom"/>
          </w:tcPr>
          <w:p w14:paraId="19502A5B"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A5C"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2A5D"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2A5E" w14:textId="77777777" w:rsidR="00BF3A3A" w:rsidRDefault="00A76802">
            <w:pPr>
              <w:jc w:val="right"/>
              <w:textAlignment w:val="bottom"/>
            </w:pPr>
            <w:r>
              <w:rPr>
                <w:rFonts w:ascii="sans-serif" w:eastAsia="sans-serif" w:hAnsi="sans-serif" w:cs="sans-serif"/>
                <w:color w:val="000000"/>
                <w:sz w:val="20"/>
                <w:szCs w:val="20"/>
              </w:rPr>
              <w:t>187.51 </w:t>
            </w:r>
          </w:p>
        </w:tc>
        <w:tc>
          <w:tcPr>
            <w:tcW w:w="0" w:type="auto"/>
            <w:shd w:val="clear" w:color="auto" w:fill="FFFFFF"/>
            <w:tcMar>
              <w:top w:w="40" w:type="dxa"/>
              <w:left w:w="0" w:type="dxa"/>
              <w:bottom w:w="40" w:type="dxa"/>
              <w:right w:w="20" w:type="dxa"/>
            </w:tcMar>
            <w:vAlign w:val="bottom"/>
          </w:tcPr>
          <w:p w14:paraId="19502A5F" w14:textId="77777777" w:rsidR="00BF3A3A" w:rsidRDefault="00BF3A3A">
            <w:pPr>
              <w:jc w:val="right"/>
              <w:rPr>
                <w:rFonts w:ascii="宋体"/>
              </w:rPr>
            </w:pPr>
          </w:p>
        </w:tc>
        <w:tc>
          <w:tcPr>
            <w:tcW w:w="0" w:type="auto"/>
            <w:gridSpan w:val="3"/>
            <w:shd w:val="clear" w:color="auto" w:fill="auto"/>
            <w:vAlign w:val="bottom"/>
          </w:tcPr>
          <w:p w14:paraId="19502A60" w14:textId="77777777" w:rsidR="00BF3A3A" w:rsidRDefault="00BF3A3A">
            <w:pPr>
              <w:rPr>
                <w:rFonts w:ascii="宋体"/>
                <w:vanish/>
              </w:rPr>
            </w:pPr>
          </w:p>
        </w:tc>
        <w:tc>
          <w:tcPr>
            <w:tcW w:w="0" w:type="auto"/>
            <w:gridSpan w:val="3"/>
            <w:shd w:val="clear" w:color="auto" w:fill="auto"/>
            <w:vAlign w:val="bottom"/>
          </w:tcPr>
          <w:p w14:paraId="19502A61" w14:textId="77777777" w:rsidR="00BF3A3A" w:rsidRDefault="00BF3A3A">
            <w:pPr>
              <w:rPr>
                <w:rFonts w:ascii="宋体"/>
                <w:vanish/>
              </w:rPr>
            </w:pPr>
          </w:p>
        </w:tc>
        <w:tc>
          <w:tcPr>
            <w:tcW w:w="0" w:type="auto"/>
            <w:gridSpan w:val="3"/>
            <w:shd w:val="clear" w:color="auto" w:fill="auto"/>
            <w:vAlign w:val="bottom"/>
          </w:tcPr>
          <w:p w14:paraId="19502A62" w14:textId="77777777" w:rsidR="00BF3A3A" w:rsidRDefault="00BF3A3A">
            <w:pPr>
              <w:rPr>
                <w:rFonts w:ascii="宋体"/>
                <w:vanish/>
              </w:rPr>
            </w:pPr>
          </w:p>
        </w:tc>
        <w:tc>
          <w:tcPr>
            <w:tcW w:w="0" w:type="auto"/>
            <w:gridSpan w:val="3"/>
            <w:shd w:val="clear" w:color="auto" w:fill="auto"/>
            <w:vAlign w:val="bottom"/>
          </w:tcPr>
          <w:p w14:paraId="19502A63" w14:textId="77777777" w:rsidR="00BF3A3A" w:rsidRDefault="00BF3A3A">
            <w:pPr>
              <w:rPr>
                <w:rFonts w:ascii="宋体"/>
                <w:vanish/>
              </w:rPr>
            </w:pPr>
          </w:p>
        </w:tc>
      </w:tr>
      <w:tr w:rsidR="00BF3A3A" w14:paraId="19502A6D" w14:textId="77777777">
        <w:trPr>
          <w:hidden/>
        </w:trPr>
        <w:tc>
          <w:tcPr>
            <w:tcW w:w="0" w:type="auto"/>
            <w:gridSpan w:val="3"/>
            <w:shd w:val="clear" w:color="auto" w:fill="auto"/>
            <w:vAlign w:val="bottom"/>
          </w:tcPr>
          <w:p w14:paraId="19502A65" w14:textId="77777777" w:rsidR="00BF3A3A" w:rsidRDefault="00BF3A3A">
            <w:pPr>
              <w:rPr>
                <w:rFonts w:ascii="宋体"/>
                <w:vanish/>
              </w:rPr>
            </w:pPr>
          </w:p>
        </w:tc>
        <w:tc>
          <w:tcPr>
            <w:tcW w:w="0" w:type="auto"/>
            <w:gridSpan w:val="3"/>
            <w:shd w:val="clear" w:color="auto" w:fill="auto"/>
            <w:vAlign w:val="bottom"/>
          </w:tcPr>
          <w:p w14:paraId="19502A66" w14:textId="77777777" w:rsidR="00BF3A3A" w:rsidRDefault="00BF3A3A">
            <w:pPr>
              <w:rPr>
                <w:rFonts w:ascii="宋体"/>
                <w:vanish/>
              </w:rPr>
            </w:pPr>
          </w:p>
        </w:tc>
        <w:tc>
          <w:tcPr>
            <w:tcW w:w="0" w:type="auto"/>
            <w:gridSpan w:val="3"/>
            <w:shd w:val="clear" w:color="auto" w:fill="auto"/>
            <w:vAlign w:val="bottom"/>
          </w:tcPr>
          <w:p w14:paraId="19502A67" w14:textId="77777777" w:rsidR="00BF3A3A" w:rsidRDefault="00BF3A3A">
            <w:pPr>
              <w:rPr>
                <w:rFonts w:ascii="宋体"/>
                <w:vanish/>
              </w:rPr>
            </w:pPr>
          </w:p>
        </w:tc>
        <w:tc>
          <w:tcPr>
            <w:tcW w:w="0" w:type="auto"/>
            <w:gridSpan w:val="3"/>
            <w:shd w:val="clear" w:color="auto" w:fill="auto"/>
            <w:vAlign w:val="bottom"/>
          </w:tcPr>
          <w:p w14:paraId="19502A68" w14:textId="77777777" w:rsidR="00BF3A3A" w:rsidRDefault="00BF3A3A">
            <w:pPr>
              <w:rPr>
                <w:rFonts w:ascii="宋体"/>
                <w:vanish/>
              </w:rPr>
            </w:pPr>
          </w:p>
        </w:tc>
        <w:tc>
          <w:tcPr>
            <w:tcW w:w="0" w:type="auto"/>
            <w:gridSpan w:val="3"/>
            <w:shd w:val="clear" w:color="auto" w:fill="auto"/>
            <w:vAlign w:val="bottom"/>
          </w:tcPr>
          <w:p w14:paraId="19502A69" w14:textId="77777777" w:rsidR="00BF3A3A" w:rsidRDefault="00BF3A3A">
            <w:pPr>
              <w:rPr>
                <w:rFonts w:ascii="宋体"/>
                <w:vanish/>
              </w:rPr>
            </w:pPr>
          </w:p>
        </w:tc>
        <w:tc>
          <w:tcPr>
            <w:tcW w:w="0" w:type="auto"/>
            <w:gridSpan w:val="3"/>
            <w:shd w:val="clear" w:color="auto" w:fill="auto"/>
            <w:vAlign w:val="bottom"/>
          </w:tcPr>
          <w:p w14:paraId="19502A6A" w14:textId="77777777" w:rsidR="00BF3A3A" w:rsidRDefault="00BF3A3A">
            <w:pPr>
              <w:rPr>
                <w:rFonts w:ascii="宋体"/>
                <w:vanish/>
              </w:rPr>
            </w:pPr>
          </w:p>
        </w:tc>
        <w:tc>
          <w:tcPr>
            <w:tcW w:w="0" w:type="auto"/>
            <w:gridSpan w:val="3"/>
            <w:shd w:val="clear" w:color="auto" w:fill="auto"/>
            <w:vAlign w:val="bottom"/>
          </w:tcPr>
          <w:p w14:paraId="19502A6B" w14:textId="77777777" w:rsidR="00BF3A3A" w:rsidRDefault="00BF3A3A">
            <w:pPr>
              <w:rPr>
                <w:rFonts w:ascii="宋体"/>
                <w:vanish/>
              </w:rPr>
            </w:pPr>
          </w:p>
        </w:tc>
        <w:tc>
          <w:tcPr>
            <w:tcW w:w="0" w:type="auto"/>
            <w:gridSpan w:val="3"/>
            <w:shd w:val="clear" w:color="auto" w:fill="auto"/>
            <w:vAlign w:val="bottom"/>
          </w:tcPr>
          <w:p w14:paraId="19502A6C" w14:textId="77777777" w:rsidR="00BF3A3A" w:rsidRDefault="00BF3A3A">
            <w:pPr>
              <w:rPr>
                <w:rFonts w:ascii="宋体"/>
                <w:vanish/>
              </w:rPr>
            </w:pPr>
          </w:p>
        </w:tc>
      </w:tr>
      <w:tr w:rsidR="00BF3A3A" w14:paraId="19502A79" w14:textId="77777777">
        <w:tc>
          <w:tcPr>
            <w:tcW w:w="0" w:type="auto"/>
            <w:gridSpan w:val="3"/>
            <w:shd w:val="clear" w:color="auto" w:fill="E2EFD9"/>
            <w:tcMar>
              <w:top w:w="40" w:type="dxa"/>
              <w:left w:w="380" w:type="dxa"/>
              <w:bottom w:w="40" w:type="dxa"/>
              <w:right w:w="20" w:type="dxa"/>
            </w:tcMar>
            <w:vAlign w:val="bottom"/>
          </w:tcPr>
          <w:p w14:paraId="19502A6E" w14:textId="77777777" w:rsidR="00BF3A3A" w:rsidRDefault="00A76802">
            <w:pPr>
              <w:textAlignment w:val="bottom"/>
            </w:pPr>
            <w:r>
              <w:rPr>
                <w:rFonts w:ascii="sans-serif" w:eastAsia="sans-serif" w:hAnsi="sans-serif" w:cs="sans-serif"/>
                <w:color w:val="000000"/>
                <w:sz w:val="20"/>
                <w:szCs w:val="20"/>
              </w:rPr>
              <w:t>Vested restricted stock</w:t>
            </w:r>
          </w:p>
        </w:tc>
        <w:tc>
          <w:tcPr>
            <w:tcW w:w="0" w:type="auto"/>
            <w:gridSpan w:val="2"/>
            <w:shd w:val="clear" w:color="auto" w:fill="E2EFD9"/>
            <w:tcMar>
              <w:top w:w="40" w:type="dxa"/>
              <w:left w:w="20" w:type="dxa"/>
              <w:bottom w:w="40" w:type="dxa"/>
              <w:right w:w="0" w:type="dxa"/>
            </w:tcMar>
            <w:vAlign w:val="bottom"/>
          </w:tcPr>
          <w:p w14:paraId="19502A6F" w14:textId="77777777" w:rsidR="00BF3A3A" w:rsidRDefault="00A76802">
            <w:pPr>
              <w:jc w:val="right"/>
              <w:textAlignment w:val="bottom"/>
            </w:pPr>
            <w:r>
              <w:rPr>
                <w:rFonts w:ascii="sans-serif" w:eastAsia="sans-serif" w:hAnsi="sans-serif" w:cs="sans-serif"/>
                <w:color w:val="000000"/>
                <w:sz w:val="20"/>
                <w:szCs w:val="20"/>
              </w:rPr>
              <w:t>(11)</w:t>
            </w:r>
          </w:p>
        </w:tc>
        <w:tc>
          <w:tcPr>
            <w:tcW w:w="0" w:type="auto"/>
            <w:shd w:val="clear" w:color="auto" w:fill="E2EFD9"/>
            <w:tcMar>
              <w:top w:w="40" w:type="dxa"/>
              <w:left w:w="0" w:type="dxa"/>
              <w:bottom w:w="40" w:type="dxa"/>
              <w:right w:w="20" w:type="dxa"/>
            </w:tcMar>
            <w:vAlign w:val="bottom"/>
          </w:tcPr>
          <w:p w14:paraId="19502A7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A71"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A72"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A73" w14:textId="77777777" w:rsidR="00BF3A3A" w:rsidRDefault="00A76802">
            <w:pPr>
              <w:jc w:val="right"/>
              <w:textAlignment w:val="bottom"/>
            </w:pPr>
            <w:r>
              <w:rPr>
                <w:rFonts w:ascii="sans-serif" w:eastAsia="sans-serif" w:hAnsi="sans-serif" w:cs="sans-serif"/>
                <w:color w:val="000000"/>
                <w:sz w:val="20"/>
                <w:szCs w:val="20"/>
              </w:rPr>
              <w:t>86.77 </w:t>
            </w:r>
          </w:p>
        </w:tc>
        <w:tc>
          <w:tcPr>
            <w:tcW w:w="0" w:type="auto"/>
            <w:shd w:val="clear" w:color="auto" w:fill="E2EFD9"/>
            <w:tcMar>
              <w:top w:w="40" w:type="dxa"/>
              <w:left w:w="0" w:type="dxa"/>
              <w:bottom w:w="40" w:type="dxa"/>
              <w:right w:w="20" w:type="dxa"/>
            </w:tcMar>
            <w:vAlign w:val="bottom"/>
          </w:tcPr>
          <w:p w14:paraId="19502A74" w14:textId="77777777" w:rsidR="00BF3A3A" w:rsidRDefault="00BF3A3A">
            <w:pPr>
              <w:jc w:val="right"/>
              <w:rPr>
                <w:rFonts w:ascii="宋体"/>
              </w:rPr>
            </w:pPr>
          </w:p>
        </w:tc>
        <w:tc>
          <w:tcPr>
            <w:tcW w:w="0" w:type="auto"/>
            <w:gridSpan w:val="3"/>
            <w:shd w:val="clear" w:color="auto" w:fill="auto"/>
            <w:vAlign w:val="bottom"/>
          </w:tcPr>
          <w:p w14:paraId="19502A75" w14:textId="77777777" w:rsidR="00BF3A3A" w:rsidRDefault="00BF3A3A">
            <w:pPr>
              <w:rPr>
                <w:rFonts w:ascii="宋体"/>
                <w:vanish/>
              </w:rPr>
            </w:pPr>
          </w:p>
        </w:tc>
        <w:tc>
          <w:tcPr>
            <w:tcW w:w="0" w:type="auto"/>
            <w:gridSpan w:val="3"/>
            <w:shd w:val="clear" w:color="auto" w:fill="auto"/>
            <w:vAlign w:val="bottom"/>
          </w:tcPr>
          <w:p w14:paraId="19502A76" w14:textId="77777777" w:rsidR="00BF3A3A" w:rsidRDefault="00BF3A3A">
            <w:pPr>
              <w:rPr>
                <w:rFonts w:ascii="宋体"/>
                <w:vanish/>
              </w:rPr>
            </w:pPr>
          </w:p>
        </w:tc>
        <w:tc>
          <w:tcPr>
            <w:tcW w:w="0" w:type="auto"/>
            <w:gridSpan w:val="3"/>
            <w:shd w:val="clear" w:color="auto" w:fill="auto"/>
            <w:vAlign w:val="bottom"/>
          </w:tcPr>
          <w:p w14:paraId="19502A77" w14:textId="77777777" w:rsidR="00BF3A3A" w:rsidRDefault="00BF3A3A">
            <w:pPr>
              <w:rPr>
                <w:rFonts w:ascii="宋体"/>
                <w:vanish/>
              </w:rPr>
            </w:pPr>
          </w:p>
        </w:tc>
        <w:tc>
          <w:tcPr>
            <w:tcW w:w="0" w:type="auto"/>
            <w:gridSpan w:val="3"/>
            <w:shd w:val="clear" w:color="auto" w:fill="auto"/>
            <w:vAlign w:val="bottom"/>
          </w:tcPr>
          <w:p w14:paraId="19502A78" w14:textId="77777777" w:rsidR="00BF3A3A" w:rsidRDefault="00BF3A3A">
            <w:pPr>
              <w:rPr>
                <w:rFonts w:ascii="宋体"/>
                <w:vanish/>
              </w:rPr>
            </w:pPr>
          </w:p>
        </w:tc>
      </w:tr>
      <w:tr w:rsidR="00BF3A3A" w14:paraId="19502A85" w14:textId="77777777">
        <w:tc>
          <w:tcPr>
            <w:tcW w:w="0" w:type="auto"/>
            <w:gridSpan w:val="3"/>
            <w:shd w:val="clear" w:color="auto" w:fill="FFFFFF"/>
            <w:tcMar>
              <w:top w:w="40" w:type="dxa"/>
              <w:left w:w="380" w:type="dxa"/>
              <w:bottom w:w="40" w:type="dxa"/>
              <w:right w:w="20" w:type="dxa"/>
            </w:tcMar>
            <w:vAlign w:val="bottom"/>
          </w:tcPr>
          <w:p w14:paraId="19502A7A" w14:textId="77777777" w:rsidR="00BF3A3A" w:rsidRDefault="00A76802">
            <w:pPr>
              <w:textAlignment w:val="bottom"/>
            </w:pPr>
            <w:r>
              <w:rPr>
                <w:rFonts w:ascii="sans-serif" w:eastAsia="sans-serif" w:hAnsi="sans-serif" w:cs="sans-serif"/>
                <w:color w:val="000000"/>
                <w:sz w:val="20"/>
                <w:szCs w:val="20"/>
              </w:rPr>
              <w:t>Canceled and forfeited</w:t>
            </w:r>
          </w:p>
        </w:tc>
        <w:tc>
          <w:tcPr>
            <w:tcW w:w="0" w:type="auto"/>
            <w:gridSpan w:val="2"/>
            <w:shd w:val="clear" w:color="auto" w:fill="FFFFFF"/>
            <w:tcMar>
              <w:top w:w="40" w:type="dxa"/>
              <w:left w:w="20" w:type="dxa"/>
              <w:bottom w:w="40" w:type="dxa"/>
              <w:right w:w="0" w:type="dxa"/>
            </w:tcMar>
            <w:vAlign w:val="bottom"/>
          </w:tcPr>
          <w:p w14:paraId="19502A7B" w14:textId="77777777" w:rsidR="00BF3A3A" w:rsidRDefault="00A76802">
            <w:pPr>
              <w:jc w:val="right"/>
              <w:textAlignment w:val="bottom"/>
            </w:pPr>
            <w:r>
              <w:rPr>
                <w:rFonts w:ascii="sans-serif" w:eastAsia="sans-serif" w:hAnsi="sans-serif" w:cs="sans-serif"/>
                <w:color w:val="000000"/>
                <w:sz w:val="20"/>
                <w:szCs w:val="20"/>
              </w:rPr>
              <w:t>(1)</w:t>
            </w:r>
          </w:p>
        </w:tc>
        <w:tc>
          <w:tcPr>
            <w:tcW w:w="0" w:type="auto"/>
            <w:shd w:val="clear" w:color="auto" w:fill="FFFFFF"/>
            <w:tcMar>
              <w:top w:w="40" w:type="dxa"/>
              <w:left w:w="0" w:type="dxa"/>
              <w:bottom w:w="40" w:type="dxa"/>
              <w:right w:w="20" w:type="dxa"/>
            </w:tcMar>
            <w:vAlign w:val="bottom"/>
          </w:tcPr>
          <w:p w14:paraId="19502A7C"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A7D"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2A7E"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2A7F" w14:textId="77777777" w:rsidR="00BF3A3A" w:rsidRDefault="00A76802">
            <w:pPr>
              <w:jc w:val="right"/>
              <w:textAlignment w:val="bottom"/>
            </w:pPr>
            <w:r>
              <w:rPr>
                <w:rFonts w:ascii="sans-serif" w:eastAsia="sans-serif" w:hAnsi="sans-serif" w:cs="sans-serif"/>
                <w:color w:val="000000"/>
                <w:sz w:val="20"/>
                <w:szCs w:val="20"/>
              </w:rPr>
              <w:t>131.19 </w:t>
            </w:r>
          </w:p>
        </w:tc>
        <w:tc>
          <w:tcPr>
            <w:tcW w:w="0" w:type="auto"/>
            <w:shd w:val="clear" w:color="auto" w:fill="FFFFFF"/>
            <w:tcMar>
              <w:top w:w="40" w:type="dxa"/>
              <w:left w:w="0" w:type="dxa"/>
              <w:bottom w:w="40" w:type="dxa"/>
              <w:right w:w="20" w:type="dxa"/>
            </w:tcMar>
            <w:vAlign w:val="bottom"/>
          </w:tcPr>
          <w:p w14:paraId="19502A80" w14:textId="77777777" w:rsidR="00BF3A3A" w:rsidRDefault="00BF3A3A">
            <w:pPr>
              <w:jc w:val="right"/>
              <w:rPr>
                <w:rFonts w:ascii="宋体"/>
              </w:rPr>
            </w:pPr>
          </w:p>
        </w:tc>
        <w:tc>
          <w:tcPr>
            <w:tcW w:w="0" w:type="auto"/>
            <w:gridSpan w:val="3"/>
            <w:shd w:val="clear" w:color="auto" w:fill="auto"/>
            <w:vAlign w:val="bottom"/>
          </w:tcPr>
          <w:p w14:paraId="19502A81" w14:textId="77777777" w:rsidR="00BF3A3A" w:rsidRDefault="00BF3A3A">
            <w:pPr>
              <w:rPr>
                <w:rFonts w:ascii="宋体"/>
                <w:vanish/>
              </w:rPr>
            </w:pPr>
          </w:p>
        </w:tc>
        <w:tc>
          <w:tcPr>
            <w:tcW w:w="0" w:type="auto"/>
            <w:gridSpan w:val="3"/>
            <w:shd w:val="clear" w:color="auto" w:fill="auto"/>
            <w:vAlign w:val="bottom"/>
          </w:tcPr>
          <w:p w14:paraId="19502A82" w14:textId="77777777" w:rsidR="00BF3A3A" w:rsidRDefault="00BF3A3A">
            <w:pPr>
              <w:rPr>
                <w:rFonts w:ascii="宋体"/>
                <w:vanish/>
              </w:rPr>
            </w:pPr>
          </w:p>
        </w:tc>
        <w:tc>
          <w:tcPr>
            <w:tcW w:w="0" w:type="auto"/>
            <w:gridSpan w:val="3"/>
            <w:shd w:val="clear" w:color="auto" w:fill="auto"/>
            <w:vAlign w:val="bottom"/>
          </w:tcPr>
          <w:p w14:paraId="19502A83" w14:textId="77777777" w:rsidR="00BF3A3A" w:rsidRDefault="00BF3A3A">
            <w:pPr>
              <w:rPr>
                <w:rFonts w:ascii="宋体"/>
                <w:vanish/>
              </w:rPr>
            </w:pPr>
          </w:p>
        </w:tc>
        <w:tc>
          <w:tcPr>
            <w:tcW w:w="0" w:type="auto"/>
            <w:gridSpan w:val="3"/>
            <w:shd w:val="clear" w:color="auto" w:fill="auto"/>
            <w:vAlign w:val="bottom"/>
          </w:tcPr>
          <w:p w14:paraId="19502A84" w14:textId="77777777" w:rsidR="00BF3A3A" w:rsidRDefault="00BF3A3A">
            <w:pPr>
              <w:rPr>
                <w:rFonts w:ascii="宋体"/>
                <w:vanish/>
              </w:rPr>
            </w:pPr>
          </w:p>
        </w:tc>
      </w:tr>
      <w:tr w:rsidR="00BF3A3A" w14:paraId="19502A91" w14:textId="77777777">
        <w:tc>
          <w:tcPr>
            <w:tcW w:w="0" w:type="auto"/>
            <w:gridSpan w:val="3"/>
            <w:shd w:val="clear" w:color="auto" w:fill="E2EFD9"/>
            <w:tcMar>
              <w:top w:w="40" w:type="dxa"/>
              <w:left w:w="20" w:type="dxa"/>
              <w:bottom w:w="40" w:type="dxa"/>
              <w:right w:w="20" w:type="dxa"/>
            </w:tcMar>
            <w:vAlign w:val="bottom"/>
          </w:tcPr>
          <w:p w14:paraId="19502A86" w14:textId="77777777" w:rsidR="00BF3A3A" w:rsidRDefault="00A76802">
            <w:pPr>
              <w:textAlignment w:val="bottom"/>
            </w:pPr>
            <w:r>
              <w:rPr>
                <w:rFonts w:ascii="sans-serif" w:eastAsia="sans-serif" w:hAnsi="sans-serif" w:cs="sans-serif"/>
                <w:color w:val="000000"/>
                <w:sz w:val="20"/>
                <w:szCs w:val="20"/>
              </w:rPr>
              <w:t>Balances, July 31, 2022</w:t>
            </w: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A87" w14:textId="77777777" w:rsidR="00BF3A3A" w:rsidRDefault="00A76802">
            <w:pPr>
              <w:jc w:val="right"/>
              <w:textAlignment w:val="bottom"/>
            </w:pPr>
            <w:r>
              <w:rPr>
                <w:rFonts w:ascii="sans-serif" w:eastAsia="sans-serif" w:hAnsi="sans-serif" w:cs="sans-serif"/>
                <w:color w:val="000000"/>
                <w:sz w:val="20"/>
                <w:szCs w:val="20"/>
              </w:rPr>
              <w:t>56 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A8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A89"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A8A"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A8B" w14:textId="77777777" w:rsidR="00BF3A3A" w:rsidRDefault="00A76802">
            <w:pPr>
              <w:jc w:val="right"/>
              <w:textAlignment w:val="bottom"/>
            </w:pPr>
            <w:r>
              <w:rPr>
                <w:rFonts w:ascii="sans-serif" w:eastAsia="sans-serif" w:hAnsi="sans-serif" w:cs="sans-serif"/>
                <w:color w:val="000000"/>
                <w:sz w:val="20"/>
                <w:szCs w:val="20"/>
              </w:rPr>
              <w:t>148.43 </w:t>
            </w:r>
          </w:p>
        </w:tc>
        <w:tc>
          <w:tcPr>
            <w:tcW w:w="0" w:type="auto"/>
            <w:shd w:val="clear" w:color="auto" w:fill="E2EFD9"/>
            <w:tcMar>
              <w:top w:w="40" w:type="dxa"/>
              <w:left w:w="0" w:type="dxa"/>
              <w:bottom w:w="40" w:type="dxa"/>
              <w:right w:w="20" w:type="dxa"/>
            </w:tcMar>
            <w:vAlign w:val="bottom"/>
          </w:tcPr>
          <w:p w14:paraId="19502A8C" w14:textId="77777777" w:rsidR="00BF3A3A" w:rsidRDefault="00BF3A3A">
            <w:pPr>
              <w:jc w:val="right"/>
              <w:rPr>
                <w:rFonts w:ascii="宋体"/>
              </w:rPr>
            </w:pPr>
          </w:p>
        </w:tc>
        <w:tc>
          <w:tcPr>
            <w:tcW w:w="0" w:type="auto"/>
            <w:gridSpan w:val="3"/>
            <w:shd w:val="clear" w:color="auto" w:fill="auto"/>
            <w:vAlign w:val="bottom"/>
          </w:tcPr>
          <w:p w14:paraId="19502A8D" w14:textId="77777777" w:rsidR="00BF3A3A" w:rsidRDefault="00BF3A3A">
            <w:pPr>
              <w:rPr>
                <w:rFonts w:ascii="宋体"/>
                <w:vanish/>
              </w:rPr>
            </w:pPr>
          </w:p>
        </w:tc>
        <w:tc>
          <w:tcPr>
            <w:tcW w:w="0" w:type="auto"/>
            <w:gridSpan w:val="3"/>
            <w:shd w:val="clear" w:color="auto" w:fill="auto"/>
            <w:vAlign w:val="bottom"/>
          </w:tcPr>
          <w:p w14:paraId="19502A8E" w14:textId="77777777" w:rsidR="00BF3A3A" w:rsidRDefault="00BF3A3A">
            <w:pPr>
              <w:rPr>
                <w:rFonts w:ascii="宋体"/>
                <w:vanish/>
              </w:rPr>
            </w:pPr>
          </w:p>
        </w:tc>
        <w:tc>
          <w:tcPr>
            <w:tcW w:w="0" w:type="auto"/>
            <w:gridSpan w:val="3"/>
            <w:shd w:val="clear" w:color="auto" w:fill="auto"/>
            <w:vAlign w:val="bottom"/>
          </w:tcPr>
          <w:p w14:paraId="19502A8F" w14:textId="77777777" w:rsidR="00BF3A3A" w:rsidRDefault="00BF3A3A">
            <w:pPr>
              <w:rPr>
                <w:rFonts w:ascii="宋体"/>
                <w:vanish/>
              </w:rPr>
            </w:pPr>
          </w:p>
        </w:tc>
        <w:tc>
          <w:tcPr>
            <w:tcW w:w="0" w:type="auto"/>
            <w:gridSpan w:val="3"/>
            <w:shd w:val="clear" w:color="auto" w:fill="auto"/>
            <w:vAlign w:val="bottom"/>
          </w:tcPr>
          <w:p w14:paraId="19502A90" w14:textId="77777777" w:rsidR="00BF3A3A" w:rsidRDefault="00BF3A3A">
            <w:pPr>
              <w:rPr>
                <w:rFonts w:ascii="宋体"/>
                <w:vanish/>
              </w:rPr>
            </w:pPr>
          </w:p>
        </w:tc>
      </w:tr>
    </w:tbl>
    <w:p w14:paraId="19502A92" w14:textId="77777777" w:rsidR="00BF3A3A" w:rsidRDefault="00A76802">
      <w:pPr>
        <w:spacing w:after="180"/>
        <w:jc w:val="both"/>
      </w:pPr>
      <w:r>
        <w:rPr>
          <w:rFonts w:ascii="sans-serif" w:eastAsia="sans-serif" w:hAnsi="sans-serif" w:cs="sans-serif"/>
          <w:color w:val="000000"/>
          <w:sz w:val="20"/>
          <w:szCs w:val="20"/>
        </w:rPr>
        <w:t xml:space="preserve">As of July 31, 2022, there was $7.61 billion of </w:t>
      </w:r>
      <w:r>
        <w:rPr>
          <w:rFonts w:ascii="sans-serif" w:eastAsia="sans-serif" w:hAnsi="sans-serif" w:cs="sans-serif"/>
          <w:color w:val="000000"/>
          <w:sz w:val="20"/>
          <w:szCs w:val="20"/>
        </w:rPr>
        <w:t>aggregate unearned stock-based compensation expense. This amount is expected to be recognized over a weighted average period of 2.8 years for RSUs, PSUs, and market-based PSUs, and 1.0 year for ESPP.</w:t>
      </w:r>
    </w:p>
    <w:p w14:paraId="19502A93" w14:textId="77777777" w:rsidR="00BF3A3A" w:rsidRDefault="00BF3A3A">
      <w:pPr>
        <w:spacing w:before="240" w:after="120"/>
        <w:jc w:val="both"/>
      </w:pPr>
    </w:p>
    <w:p w14:paraId="19502A94" w14:textId="77777777" w:rsidR="00BF3A3A" w:rsidRDefault="00A76802">
      <w:pPr>
        <w:spacing w:after="180"/>
        <w:jc w:val="center"/>
      </w:pPr>
      <w:r>
        <w:rPr>
          <w:rFonts w:ascii="sans-serif" w:eastAsia="sans-serif" w:hAnsi="sans-serif" w:cs="sans-serif"/>
          <w:color w:val="000000"/>
          <w:sz w:val="20"/>
          <w:szCs w:val="20"/>
        </w:rPr>
        <w:t>11</w:t>
      </w:r>
    </w:p>
    <w:p w14:paraId="19502A95" w14:textId="77777777" w:rsidR="00BF3A3A" w:rsidRDefault="00A76802">
      <w:r>
        <w:pict w14:anchorId="19503FD0">
          <v:rect id="_x0000_i1035" style="width:415.3pt;height:1.5pt" o:hralign="center" o:hrstd="t" o:hr="t" fillcolor="#a0a0a0" stroked="f"/>
        </w:pict>
      </w:r>
    </w:p>
    <w:p w14:paraId="19502A96" w14:textId="77777777" w:rsidR="00BF3A3A" w:rsidRDefault="00A76802">
      <w:pPr>
        <w:jc w:val="center"/>
      </w:pPr>
      <w:r>
        <w:rPr>
          <w:rFonts w:ascii="sans-serif" w:eastAsia="sans-serif" w:hAnsi="sans-serif" w:cs="sans-serif"/>
          <w:b/>
          <w:bCs/>
          <w:color w:val="000000"/>
          <w:sz w:val="20"/>
          <w:szCs w:val="20"/>
        </w:rPr>
        <w:t>NVIDIA CORPORATION AND SUBSIDIARIES</w:t>
      </w:r>
    </w:p>
    <w:p w14:paraId="19502A97" w14:textId="77777777" w:rsidR="00BF3A3A" w:rsidRDefault="00A76802">
      <w:pPr>
        <w:jc w:val="center"/>
      </w:pPr>
      <w:r>
        <w:rPr>
          <w:rFonts w:ascii="sans-serif" w:eastAsia="sans-serif" w:hAnsi="sans-serif" w:cs="sans-serif"/>
          <w:b/>
          <w:bCs/>
          <w:color w:val="000000"/>
          <w:sz w:val="20"/>
          <w:szCs w:val="20"/>
        </w:rPr>
        <w:t xml:space="preserve">NOTES TO </w:t>
      </w:r>
      <w:r>
        <w:rPr>
          <w:rFonts w:ascii="sans-serif" w:eastAsia="sans-serif" w:hAnsi="sans-serif" w:cs="sans-serif"/>
          <w:b/>
          <w:bCs/>
          <w:color w:val="000000"/>
          <w:sz w:val="20"/>
          <w:szCs w:val="20"/>
        </w:rPr>
        <w:t>CONDENSED CONSOLIDATED FINANCIAL STATEMENTS (Continued)</w:t>
      </w:r>
    </w:p>
    <w:p w14:paraId="19502A98" w14:textId="77777777" w:rsidR="00BF3A3A" w:rsidRDefault="00A76802">
      <w:pPr>
        <w:jc w:val="center"/>
      </w:pPr>
      <w:r>
        <w:rPr>
          <w:rFonts w:ascii="sans-serif" w:eastAsia="sans-serif" w:hAnsi="sans-serif" w:cs="sans-serif"/>
          <w:b/>
          <w:bCs/>
          <w:color w:val="000000"/>
          <w:sz w:val="20"/>
          <w:szCs w:val="20"/>
        </w:rPr>
        <w:t>(Unaudited)</w:t>
      </w:r>
    </w:p>
    <w:p w14:paraId="19502A99" w14:textId="77777777" w:rsidR="00BF3A3A" w:rsidRDefault="00BF3A3A">
      <w:pPr>
        <w:spacing w:after="180"/>
        <w:jc w:val="both"/>
      </w:pPr>
    </w:p>
    <w:p w14:paraId="19502A9A" w14:textId="77777777" w:rsidR="00BF3A3A" w:rsidRDefault="00BF3A3A">
      <w:pPr>
        <w:spacing w:after="180"/>
        <w:jc w:val="both"/>
      </w:pPr>
    </w:p>
    <w:p w14:paraId="19502A9B" w14:textId="77777777" w:rsidR="00BF3A3A" w:rsidRDefault="00A76802">
      <w:pPr>
        <w:spacing w:before="240" w:after="120"/>
        <w:jc w:val="both"/>
      </w:pPr>
      <w:r>
        <w:rPr>
          <w:rFonts w:ascii="sans-serif" w:eastAsia="sans-serif" w:hAnsi="sans-serif" w:cs="sans-serif"/>
          <w:b/>
          <w:bCs/>
          <w:color w:val="76B900"/>
          <w:sz w:val="22"/>
          <w:szCs w:val="22"/>
        </w:rPr>
        <w:t>Note 5 – Net Income Per Share</w:t>
      </w:r>
    </w:p>
    <w:p w14:paraId="19502A9C" w14:textId="77777777" w:rsidR="00BF3A3A" w:rsidRDefault="00A76802">
      <w:pPr>
        <w:spacing w:after="180"/>
        <w:jc w:val="both"/>
      </w:pPr>
      <w:r>
        <w:rPr>
          <w:rFonts w:ascii="sans-serif" w:eastAsia="sans-serif" w:hAnsi="sans-serif" w:cs="sans-serif"/>
          <w:color w:val="000000"/>
          <w:sz w:val="20"/>
          <w:szCs w:val="20"/>
        </w:rPr>
        <w:t>The following is a reconciliation of the denominator of the basic and diluted net income per share computations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032"/>
        <w:gridCol w:w="36"/>
        <w:gridCol w:w="122"/>
        <w:gridCol w:w="1234"/>
        <w:gridCol w:w="36"/>
        <w:gridCol w:w="36"/>
        <w:gridCol w:w="36"/>
        <w:gridCol w:w="36"/>
        <w:gridCol w:w="122"/>
        <w:gridCol w:w="1192"/>
        <w:gridCol w:w="36"/>
        <w:gridCol w:w="36"/>
        <w:gridCol w:w="36"/>
        <w:gridCol w:w="36"/>
        <w:gridCol w:w="122"/>
        <w:gridCol w:w="924"/>
        <w:gridCol w:w="36"/>
        <w:gridCol w:w="36"/>
        <w:gridCol w:w="36"/>
        <w:gridCol w:w="36"/>
        <w:gridCol w:w="122"/>
        <w:gridCol w:w="924"/>
        <w:gridCol w:w="36"/>
      </w:tblGrid>
      <w:tr w:rsidR="00BF3A3A" w14:paraId="19502AB5" w14:textId="77777777">
        <w:tc>
          <w:tcPr>
            <w:tcW w:w="50" w:type="pct"/>
            <w:shd w:val="clear" w:color="auto" w:fill="auto"/>
            <w:vAlign w:val="bottom"/>
          </w:tcPr>
          <w:p w14:paraId="19502A9D" w14:textId="77777777" w:rsidR="00BF3A3A" w:rsidRDefault="00BF3A3A">
            <w:pPr>
              <w:rPr>
                <w:rFonts w:ascii="宋体"/>
              </w:rPr>
            </w:pPr>
          </w:p>
        </w:tc>
        <w:tc>
          <w:tcPr>
            <w:tcW w:w="1852" w:type="pct"/>
            <w:shd w:val="clear" w:color="auto" w:fill="auto"/>
            <w:vAlign w:val="bottom"/>
          </w:tcPr>
          <w:p w14:paraId="19502A9E" w14:textId="77777777" w:rsidR="00BF3A3A" w:rsidRDefault="00BF3A3A">
            <w:pPr>
              <w:rPr>
                <w:rFonts w:ascii="宋体"/>
              </w:rPr>
            </w:pPr>
          </w:p>
        </w:tc>
        <w:tc>
          <w:tcPr>
            <w:tcW w:w="5" w:type="pct"/>
            <w:shd w:val="clear" w:color="auto" w:fill="auto"/>
            <w:vAlign w:val="bottom"/>
          </w:tcPr>
          <w:p w14:paraId="19502A9F" w14:textId="77777777" w:rsidR="00BF3A3A" w:rsidRDefault="00BF3A3A">
            <w:pPr>
              <w:rPr>
                <w:rFonts w:ascii="宋体"/>
              </w:rPr>
            </w:pPr>
          </w:p>
        </w:tc>
        <w:tc>
          <w:tcPr>
            <w:tcW w:w="50" w:type="pct"/>
            <w:shd w:val="clear" w:color="auto" w:fill="auto"/>
            <w:vAlign w:val="bottom"/>
          </w:tcPr>
          <w:p w14:paraId="19502AA0" w14:textId="77777777" w:rsidR="00BF3A3A" w:rsidRDefault="00BF3A3A">
            <w:pPr>
              <w:rPr>
                <w:rFonts w:ascii="宋体"/>
              </w:rPr>
            </w:pPr>
          </w:p>
        </w:tc>
        <w:tc>
          <w:tcPr>
            <w:tcW w:w="771" w:type="pct"/>
            <w:shd w:val="clear" w:color="auto" w:fill="auto"/>
            <w:vAlign w:val="bottom"/>
          </w:tcPr>
          <w:p w14:paraId="19502AA1" w14:textId="77777777" w:rsidR="00BF3A3A" w:rsidRDefault="00BF3A3A">
            <w:pPr>
              <w:rPr>
                <w:rFonts w:ascii="宋体"/>
              </w:rPr>
            </w:pPr>
          </w:p>
        </w:tc>
        <w:tc>
          <w:tcPr>
            <w:tcW w:w="5" w:type="pct"/>
            <w:shd w:val="clear" w:color="auto" w:fill="auto"/>
            <w:vAlign w:val="bottom"/>
          </w:tcPr>
          <w:p w14:paraId="19502AA2" w14:textId="77777777" w:rsidR="00BF3A3A" w:rsidRDefault="00BF3A3A">
            <w:pPr>
              <w:rPr>
                <w:rFonts w:ascii="宋体"/>
              </w:rPr>
            </w:pPr>
          </w:p>
        </w:tc>
        <w:tc>
          <w:tcPr>
            <w:tcW w:w="5" w:type="pct"/>
            <w:shd w:val="clear" w:color="auto" w:fill="auto"/>
            <w:vAlign w:val="bottom"/>
          </w:tcPr>
          <w:p w14:paraId="19502AA3" w14:textId="77777777" w:rsidR="00BF3A3A" w:rsidRDefault="00BF3A3A">
            <w:pPr>
              <w:rPr>
                <w:rFonts w:ascii="宋体"/>
              </w:rPr>
            </w:pPr>
          </w:p>
        </w:tc>
        <w:tc>
          <w:tcPr>
            <w:tcW w:w="26" w:type="pct"/>
            <w:shd w:val="clear" w:color="auto" w:fill="auto"/>
            <w:vAlign w:val="bottom"/>
          </w:tcPr>
          <w:p w14:paraId="19502AA4" w14:textId="77777777" w:rsidR="00BF3A3A" w:rsidRDefault="00BF3A3A">
            <w:pPr>
              <w:rPr>
                <w:rFonts w:ascii="宋体"/>
              </w:rPr>
            </w:pPr>
          </w:p>
        </w:tc>
        <w:tc>
          <w:tcPr>
            <w:tcW w:w="5" w:type="pct"/>
            <w:shd w:val="clear" w:color="auto" w:fill="auto"/>
            <w:vAlign w:val="bottom"/>
          </w:tcPr>
          <w:p w14:paraId="19502AA5" w14:textId="77777777" w:rsidR="00BF3A3A" w:rsidRDefault="00BF3A3A">
            <w:pPr>
              <w:rPr>
                <w:rFonts w:ascii="宋体"/>
              </w:rPr>
            </w:pPr>
          </w:p>
        </w:tc>
        <w:tc>
          <w:tcPr>
            <w:tcW w:w="50" w:type="pct"/>
            <w:shd w:val="clear" w:color="auto" w:fill="auto"/>
            <w:vAlign w:val="bottom"/>
          </w:tcPr>
          <w:p w14:paraId="19502AA6" w14:textId="77777777" w:rsidR="00BF3A3A" w:rsidRDefault="00BF3A3A">
            <w:pPr>
              <w:rPr>
                <w:rFonts w:ascii="宋体"/>
              </w:rPr>
            </w:pPr>
          </w:p>
        </w:tc>
        <w:tc>
          <w:tcPr>
            <w:tcW w:w="771" w:type="pct"/>
            <w:shd w:val="clear" w:color="auto" w:fill="auto"/>
            <w:vAlign w:val="bottom"/>
          </w:tcPr>
          <w:p w14:paraId="19502AA7" w14:textId="77777777" w:rsidR="00BF3A3A" w:rsidRDefault="00BF3A3A">
            <w:pPr>
              <w:rPr>
                <w:rFonts w:ascii="宋体"/>
              </w:rPr>
            </w:pPr>
          </w:p>
        </w:tc>
        <w:tc>
          <w:tcPr>
            <w:tcW w:w="5" w:type="pct"/>
            <w:shd w:val="clear" w:color="auto" w:fill="auto"/>
            <w:vAlign w:val="bottom"/>
          </w:tcPr>
          <w:p w14:paraId="19502AA8" w14:textId="77777777" w:rsidR="00BF3A3A" w:rsidRDefault="00BF3A3A">
            <w:pPr>
              <w:rPr>
                <w:rFonts w:ascii="宋体"/>
              </w:rPr>
            </w:pPr>
          </w:p>
        </w:tc>
        <w:tc>
          <w:tcPr>
            <w:tcW w:w="5" w:type="pct"/>
            <w:shd w:val="clear" w:color="auto" w:fill="auto"/>
            <w:vAlign w:val="bottom"/>
          </w:tcPr>
          <w:p w14:paraId="19502AA9" w14:textId="77777777" w:rsidR="00BF3A3A" w:rsidRDefault="00BF3A3A">
            <w:pPr>
              <w:rPr>
                <w:rFonts w:ascii="宋体"/>
              </w:rPr>
            </w:pPr>
          </w:p>
        </w:tc>
        <w:tc>
          <w:tcPr>
            <w:tcW w:w="26" w:type="pct"/>
            <w:shd w:val="clear" w:color="auto" w:fill="auto"/>
            <w:vAlign w:val="bottom"/>
          </w:tcPr>
          <w:p w14:paraId="19502AAA" w14:textId="77777777" w:rsidR="00BF3A3A" w:rsidRDefault="00BF3A3A">
            <w:pPr>
              <w:rPr>
                <w:rFonts w:ascii="宋体"/>
              </w:rPr>
            </w:pPr>
          </w:p>
        </w:tc>
        <w:tc>
          <w:tcPr>
            <w:tcW w:w="5" w:type="pct"/>
            <w:shd w:val="clear" w:color="auto" w:fill="auto"/>
            <w:vAlign w:val="bottom"/>
          </w:tcPr>
          <w:p w14:paraId="19502AAB" w14:textId="77777777" w:rsidR="00BF3A3A" w:rsidRDefault="00BF3A3A">
            <w:pPr>
              <w:rPr>
                <w:rFonts w:ascii="宋体"/>
              </w:rPr>
            </w:pPr>
          </w:p>
        </w:tc>
        <w:tc>
          <w:tcPr>
            <w:tcW w:w="50" w:type="pct"/>
            <w:shd w:val="clear" w:color="auto" w:fill="auto"/>
            <w:vAlign w:val="bottom"/>
          </w:tcPr>
          <w:p w14:paraId="19502AAC" w14:textId="77777777" w:rsidR="00BF3A3A" w:rsidRDefault="00BF3A3A">
            <w:pPr>
              <w:rPr>
                <w:rFonts w:ascii="宋体"/>
              </w:rPr>
            </w:pPr>
          </w:p>
        </w:tc>
        <w:tc>
          <w:tcPr>
            <w:tcW w:w="610" w:type="pct"/>
            <w:shd w:val="clear" w:color="auto" w:fill="auto"/>
            <w:vAlign w:val="bottom"/>
          </w:tcPr>
          <w:p w14:paraId="19502AAD" w14:textId="77777777" w:rsidR="00BF3A3A" w:rsidRDefault="00BF3A3A">
            <w:pPr>
              <w:rPr>
                <w:rFonts w:ascii="宋体"/>
              </w:rPr>
            </w:pPr>
          </w:p>
        </w:tc>
        <w:tc>
          <w:tcPr>
            <w:tcW w:w="5" w:type="pct"/>
            <w:shd w:val="clear" w:color="auto" w:fill="auto"/>
            <w:vAlign w:val="bottom"/>
          </w:tcPr>
          <w:p w14:paraId="19502AAE" w14:textId="77777777" w:rsidR="00BF3A3A" w:rsidRDefault="00BF3A3A">
            <w:pPr>
              <w:rPr>
                <w:rFonts w:ascii="宋体"/>
              </w:rPr>
            </w:pPr>
          </w:p>
        </w:tc>
        <w:tc>
          <w:tcPr>
            <w:tcW w:w="5" w:type="pct"/>
            <w:shd w:val="clear" w:color="auto" w:fill="auto"/>
            <w:vAlign w:val="bottom"/>
          </w:tcPr>
          <w:p w14:paraId="19502AAF" w14:textId="77777777" w:rsidR="00BF3A3A" w:rsidRDefault="00BF3A3A">
            <w:pPr>
              <w:rPr>
                <w:rFonts w:ascii="宋体"/>
              </w:rPr>
            </w:pPr>
          </w:p>
        </w:tc>
        <w:tc>
          <w:tcPr>
            <w:tcW w:w="26" w:type="pct"/>
            <w:shd w:val="clear" w:color="auto" w:fill="auto"/>
            <w:vAlign w:val="bottom"/>
          </w:tcPr>
          <w:p w14:paraId="19502AB0" w14:textId="77777777" w:rsidR="00BF3A3A" w:rsidRDefault="00BF3A3A">
            <w:pPr>
              <w:rPr>
                <w:rFonts w:ascii="宋体"/>
              </w:rPr>
            </w:pPr>
          </w:p>
        </w:tc>
        <w:tc>
          <w:tcPr>
            <w:tcW w:w="5" w:type="pct"/>
            <w:shd w:val="clear" w:color="auto" w:fill="auto"/>
            <w:vAlign w:val="bottom"/>
          </w:tcPr>
          <w:p w14:paraId="19502AB1" w14:textId="77777777" w:rsidR="00BF3A3A" w:rsidRDefault="00BF3A3A">
            <w:pPr>
              <w:rPr>
                <w:rFonts w:ascii="宋体"/>
              </w:rPr>
            </w:pPr>
          </w:p>
        </w:tc>
        <w:tc>
          <w:tcPr>
            <w:tcW w:w="50" w:type="pct"/>
            <w:shd w:val="clear" w:color="auto" w:fill="auto"/>
            <w:vAlign w:val="bottom"/>
          </w:tcPr>
          <w:p w14:paraId="19502AB2" w14:textId="77777777" w:rsidR="00BF3A3A" w:rsidRDefault="00BF3A3A">
            <w:pPr>
              <w:rPr>
                <w:rFonts w:ascii="宋体"/>
              </w:rPr>
            </w:pPr>
          </w:p>
        </w:tc>
        <w:tc>
          <w:tcPr>
            <w:tcW w:w="610" w:type="pct"/>
            <w:shd w:val="clear" w:color="auto" w:fill="auto"/>
            <w:vAlign w:val="bottom"/>
          </w:tcPr>
          <w:p w14:paraId="19502AB3" w14:textId="77777777" w:rsidR="00BF3A3A" w:rsidRDefault="00BF3A3A">
            <w:pPr>
              <w:rPr>
                <w:rFonts w:ascii="宋体"/>
              </w:rPr>
            </w:pPr>
          </w:p>
        </w:tc>
        <w:tc>
          <w:tcPr>
            <w:tcW w:w="5" w:type="pct"/>
            <w:shd w:val="clear" w:color="auto" w:fill="auto"/>
            <w:vAlign w:val="bottom"/>
          </w:tcPr>
          <w:p w14:paraId="19502AB4" w14:textId="77777777" w:rsidR="00BF3A3A" w:rsidRDefault="00BF3A3A">
            <w:pPr>
              <w:rPr>
                <w:rFonts w:ascii="宋体"/>
              </w:rPr>
            </w:pPr>
          </w:p>
        </w:tc>
      </w:tr>
      <w:tr w:rsidR="00BF3A3A" w14:paraId="19502ABA" w14:textId="77777777">
        <w:tc>
          <w:tcPr>
            <w:tcW w:w="0" w:type="auto"/>
            <w:gridSpan w:val="3"/>
            <w:shd w:val="clear" w:color="auto" w:fill="auto"/>
            <w:tcMar>
              <w:top w:w="40" w:type="dxa"/>
              <w:left w:w="20" w:type="dxa"/>
              <w:bottom w:w="40" w:type="dxa"/>
              <w:right w:w="20" w:type="dxa"/>
            </w:tcMar>
            <w:vAlign w:val="bottom"/>
          </w:tcPr>
          <w:p w14:paraId="19502AB6" w14:textId="77777777" w:rsidR="00BF3A3A" w:rsidRDefault="00A76802">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9502AB7" w14:textId="77777777" w:rsidR="00BF3A3A" w:rsidRDefault="00A76802">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19502AB8" w14:textId="77777777" w:rsidR="00BF3A3A" w:rsidRDefault="00BF3A3A">
            <w:pPr>
              <w:rPr>
                <w:rFonts w:ascii="宋体"/>
              </w:rPr>
            </w:pPr>
          </w:p>
        </w:tc>
        <w:tc>
          <w:tcPr>
            <w:tcW w:w="0" w:type="auto"/>
            <w:gridSpan w:val="9"/>
            <w:shd w:val="clear" w:color="auto" w:fill="auto"/>
            <w:tcMar>
              <w:top w:w="40" w:type="dxa"/>
              <w:left w:w="20" w:type="dxa"/>
              <w:bottom w:w="40" w:type="dxa"/>
              <w:right w:w="20" w:type="dxa"/>
            </w:tcMar>
            <w:vAlign w:val="bottom"/>
          </w:tcPr>
          <w:p w14:paraId="19502AB9" w14:textId="77777777" w:rsidR="00BF3A3A" w:rsidRDefault="00A76802">
            <w:pPr>
              <w:jc w:val="center"/>
              <w:textAlignment w:val="bottom"/>
            </w:pPr>
            <w:r>
              <w:rPr>
                <w:rFonts w:ascii="sans-serif" w:eastAsia="sans-serif" w:hAnsi="sans-serif" w:cs="sans-serif"/>
                <w:b/>
                <w:bCs/>
                <w:color w:val="000000"/>
                <w:sz w:val="20"/>
                <w:szCs w:val="20"/>
              </w:rPr>
              <w:t>Six Months Ended</w:t>
            </w:r>
          </w:p>
        </w:tc>
      </w:tr>
      <w:tr w:rsidR="00BF3A3A" w14:paraId="19502AC3" w14:textId="77777777">
        <w:tc>
          <w:tcPr>
            <w:tcW w:w="0" w:type="auto"/>
            <w:gridSpan w:val="3"/>
            <w:shd w:val="clear" w:color="auto" w:fill="auto"/>
            <w:tcMar>
              <w:top w:w="0" w:type="dxa"/>
              <w:left w:w="20" w:type="dxa"/>
              <w:bottom w:w="0" w:type="dxa"/>
              <w:right w:w="20" w:type="dxa"/>
            </w:tcMar>
            <w:vAlign w:val="bottom"/>
          </w:tcPr>
          <w:p w14:paraId="19502ABB"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ABC" w14:textId="77777777" w:rsidR="00BF3A3A" w:rsidRDefault="00A76802">
            <w:pPr>
              <w:jc w:val="center"/>
              <w:textAlignment w:val="bottom"/>
            </w:pPr>
            <w:r>
              <w:rPr>
                <w:rFonts w:ascii="sans-serif" w:eastAsia="sans-serif" w:hAnsi="sans-serif" w:cs="sans-serif"/>
                <w:b/>
                <w:bCs/>
                <w:color w:val="000000"/>
                <w:sz w:val="20"/>
                <w:szCs w:val="20"/>
              </w:rPr>
              <w:t>July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ABD"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ABE" w14:textId="77777777" w:rsidR="00BF3A3A" w:rsidRDefault="00A76802">
            <w:pPr>
              <w:jc w:val="center"/>
              <w:textAlignment w:val="bottom"/>
            </w:pPr>
            <w:r>
              <w:rPr>
                <w:rFonts w:ascii="sans-serif" w:eastAsia="sans-serif" w:hAnsi="sans-serif" w:cs="sans-serif"/>
                <w:b/>
                <w:bCs/>
                <w:color w:val="000000"/>
                <w:sz w:val="20"/>
                <w:szCs w:val="20"/>
              </w:rPr>
              <w:t>August 1,</w:t>
            </w:r>
          </w:p>
        </w:tc>
        <w:tc>
          <w:tcPr>
            <w:tcW w:w="0" w:type="auto"/>
            <w:gridSpan w:val="3"/>
            <w:shd w:val="clear" w:color="auto" w:fill="auto"/>
            <w:tcMar>
              <w:top w:w="0" w:type="dxa"/>
              <w:left w:w="20" w:type="dxa"/>
              <w:bottom w:w="0" w:type="dxa"/>
              <w:right w:w="20" w:type="dxa"/>
            </w:tcMar>
            <w:vAlign w:val="bottom"/>
          </w:tcPr>
          <w:p w14:paraId="19502ABF"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AC0" w14:textId="77777777" w:rsidR="00BF3A3A" w:rsidRDefault="00A76802">
            <w:pPr>
              <w:jc w:val="center"/>
              <w:textAlignment w:val="bottom"/>
            </w:pPr>
            <w:r>
              <w:rPr>
                <w:rFonts w:ascii="sans-serif" w:eastAsia="sans-serif" w:hAnsi="sans-serif" w:cs="sans-serif"/>
                <w:b/>
                <w:bCs/>
                <w:color w:val="000000"/>
                <w:sz w:val="20"/>
                <w:szCs w:val="20"/>
              </w:rPr>
              <w:t>July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AC1"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AC2" w14:textId="77777777" w:rsidR="00BF3A3A" w:rsidRDefault="00A76802">
            <w:pPr>
              <w:jc w:val="center"/>
              <w:textAlignment w:val="bottom"/>
            </w:pPr>
            <w:r>
              <w:rPr>
                <w:rFonts w:ascii="sans-serif" w:eastAsia="sans-serif" w:hAnsi="sans-serif" w:cs="sans-serif"/>
                <w:b/>
                <w:bCs/>
                <w:color w:val="000000"/>
                <w:sz w:val="20"/>
                <w:szCs w:val="20"/>
              </w:rPr>
              <w:t>August 1,</w:t>
            </w:r>
          </w:p>
        </w:tc>
      </w:tr>
      <w:tr w:rsidR="00BF3A3A" w14:paraId="19502ACC" w14:textId="77777777">
        <w:tc>
          <w:tcPr>
            <w:tcW w:w="0" w:type="auto"/>
            <w:gridSpan w:val="3"/>
            <w:shd w:val="clear" w:color="auto" w:fill="auto"/>
            <w:tcMar>
              <w:top w:w="0" w:type="dxa"/>
              <w:left w:w="20" w:type="dxa"/>
              <w:bottom w:w="0" w:type="dxa"/>
              <w:right w:w="20" w:type="dxa"/>
            </w:tcMar>
            <w:vAlign w:val="bottom"/>
          </w:tcPr>
          <w:p w14:paraId="19502AC4"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2AC5" w14:textId="77777777" w:rsidR="00BF3A3A" w:rsidRDefault="00A76802">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19502AC6"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2AC7" w14:textId="77777777" w:rsidR="00BF3A3A" w:rsidRDefault="00A76802">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19502AC8"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2AC9" w14:textId="77777777" w:rsidR="00BF3A3A" w:rsidRDefault="00A76802">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19502ACA"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2ACB" w14:textId="77777777" w:rsidR="00BF3A3A" w:rsidRDefault="00A76802">
            <w:pPr>
              <w:jc w:val="center"/>
              <w:textAlignment w:val="bottom"/>
            </w:pPr>
            <w:r>
              <w:rPr>
                <w:rFonts w:ascii="sans-serif" w:eastAsia="sans-serif" w:hAnsi="sans-serif" w:cs="sans-serif"/>
                <w:b/>
                <w:bCs/>
                <w:color w:val="000000"/>
                <w:sz w:val="20"/>
                <w:szCs w:val="20"/>
              </w:rPr>
              <w:t>2021</w:t>
            </w:r>
          </w:p>
        </w:tc>
      </w:tr>
      <w:tr w:rsidR="00BF3A3A" w14:paraId="19502AD5" w14:textId="77777777">
        <w:trPr>
          <w:trHeight w:val="60"/>
        </w:trPr>
        <w:tc>
          <w:tcPr>
            <w:tcW w:w="0" w:type="auto"/>
            <w:gridSpan w:val="3"/>
            <w:shd w:val="clear" w:color="auto" w:fill="auto"/>
            <w:tcMar>
              <w:top w:w="0" w:type="dxa"/>
              <w:left w:w="20" w:type="dxa"/>
              <w:bottom w:w="0" w:type="dxa"/>
              <w:right w:w="20" w:type="dxa"/>
            </w:tcMar>
            <w:vAlign w:val="bottom"/>
          </w:tcPr>
          <w:p w14:paraId="19502ACD"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ACE"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ACF"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AD0"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AD1"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AD2"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AD3"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AD4" w14:textId="77777777" w:rsidR="00BF3A3A" w:rsidRDefault="00BF3A3A">
            <w:pPr>
              <w:rPr>
                <w:rFonts w:ascii="宋体"/>
              </w:rPr>
            </w:pPr>
          </w:p>
        </w:tc>
      </w:tr>
      <w:tr w:rsidR="00BF3A3A" w14:paraId="19502AD8" w14:textId="77777777">
        <w:tc>
          <w:tcPr>
            <w:tcW w:w="0" w:type="auto"/>
            <w:gridSpan w:val="3"/>
            <w:shd w:val="clear" w:color="auto" w:fill="auto"/>
            <w:tcMar>
              <w:top w:w="40" w:type="dxa"/>
              <w:left w:w="20" w:type="dxa"/>
              <w:bottom w:w="40" w:type="dxa"/>
              <w:right w:w="20" w:type="dxa"/>
            </w:tcMar>
            <w:vAlign w:val="bottom"/>
          </w:tcPr>
          <w:p w14:paraId="19502AD6" w14:textId="77777777" w:rsidR="00BF3A3A" w:rsidRDefault="00A76802">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19502AD7" w14:textId="77777777" w:rsidR="00BF3A3A" w:rsidRDefault="00A76802">
            <w:pPr>
              <w:jc w:val="center"/>
              <w:textAlignment w:val="bottom"/>
            </w:pPr>
            <w:r>
              <w:rPr>
                <w:rFonts w:ascii="sans-serif" w:eastAsia="sans-serif" w:hAnsi="sans-serif" w:cs="sans-serif"/>
                <w:i/>
                <w:iCs/>
                <w:color w:val="000000"/>
                <w:sz w:val="20"/>
                <w:szCs w:val="20"/>
              </w:rPr>
              <w:t>(In millions, except per share data)</w:t>
            </w:r>
          </w:p>
        </w:tc>
      </w:tr>
      <w:tr w:rsidR="00BF3A3A" w14:paraId="19502AE1" w14:textId="77777777">
        <w:tc>
          <w:tcPr>
            <w:tcW w:w="0" w:type="auto"/>
            <w:gridSpan w:val="3"/>
            <w:shd w:val="clear" w:color="auto" w:fill="E2EFD9"/>
            <w:tcMar>
              <w:top w:w="40" w:type="dxa"/>
              <w:left w:w="20" w:type="dxa"/>
              <w:bottom w:w="40" w:type="dxa"/>
              <w:right w:w="20" w:type="dxa"/>
            </w:tcMar>
            <w:vAlign w:val="bottom"/>
          </w:tcPr>
          <w:p w14:paraId="19502AD9" w14:textId="77777777" w:rsidR="00BF3A3A" w:rsidRDefault="00A76802">
            <w:pPr>
              <w:textAlignment w:val="bottom"/>
            </w:pPr>
            <w:r>
              <w:rPr>
                <w:rFonts w:ascii="sans-serif" w:eastAsia="sans-serif" w:hAnsi="sans-serif" w:cs="sans-serif"/>
                <w:color w:val="000000"/>
                <w:sz w:val="20"/>
                <w:szCs w:val="20"/>
              </w:rPr>
              <w:t>Numerator:</w:t>
            </w:r>
          </w:p>
        </w:tc>
        <w:tc>
          <w:tcPr>
            <w:tcW w:w="0" w:type="auto"/>
            <w:gridSpan w:val="3"/>
            <w:shd w:val="clear" w:color="auto" w:fill="E2EFD9"/>
            <w:tcMar>
              <w:top w:w="40" w:type="dxa"/>
              <w:left w:w="20" w:type="dxa"/>
              <w:bottom w:w="40" w:type="dxa"/>
              <w:right w:w="20" w:type="dxa"/>
            </w:tcMar>
            <w:vAlign w:val="bottom"/>
          </w:tcPr>
          <w:p w14:paraId="19502ADA"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9502ADB" w14:textId="77777777" w:rsidR="00BF3A3A" w:rsidRDefault="00BF3A3A">
            <w:pPr>
              <w:rPr>
                <w:rFonts w:ascii="宋体"/>
              </w:rPr>
            </w:pPr>
          </w:p>
        </w:tc>
        <w:tc>
          <w:tcPr>
            <w:tcW w:w="0" w:type="auto"/>
            <w:gridSpan w:val="3"/>
            <w:shd w:val="clear" w:color="auto" w:fill="E2EFD9"/>
            <w:tcMar>
              <w:top w:w="40" w:type="dxa"/>
              <w:left w:w="20" w:type="dxa"/>
              <w:bottom w:w="40" w:type="dxa"/>
              <w:right w:w="20" w:type="dxa"/>
            </w:tcMar>
            <w:vAlign w:val="bottom"/>
          </w:tcPr>
          <w:p w14:paraId="19502ADC"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9502ADD"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ADE"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ADF"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AE0" w14:textId="77777777" w:rsidR="00BF3A3A" w:rsidRDefault="00BF3A3A">
            <w:pPr>
              <w:rPr>
                <w:rFonts w:ascii="宋体"/>
              </w:rPr>
            </w:pPr>
          </w:p>
        </w:tc>
      </w:tr>
      <w:tr w:rsidR="00BF3A3A" w14:paraId="19502AF2" w14:textId="77777777">
        <w:tc>
          <w:tcPr>
            <w:tcW w:w="0" w:type="auto"/>
            <w:gridSpan w:val="3"/>
            <w:shd w:val="clear" w:color="auto" w:fill="FFFFFF"/>
            <w:tcMar>
              <w:top w:w="40" w:type="dxa"/>
              <w:left w:w="20" w:type="dxa"/>
              <w:bottom w:w="40" w:type="dxa"/>
              <w:right w:w="20" w:type="dxa"/>
            </w:tcMar>
            <w:vAlign w:val="bottom"/>
          </w:tcPr>
          <w:p w14:paraId="19502AE2" w14:textId="77777777" w:rsidR="00BF3A3A" w:rsidRDefault="00A76802">
            <w:pPr>
              <w:ind w:firstLine="180"/>
              <w:textAlignment w:val="bottom"/>
            </w:pPr>
            <w:r>
              <w:rPr>
                <w:rFonts w:ascii="sans-serif" w:eastAsia="sans-serif" w:hAnsi="sans-serif" w:cs="sans-serif"/>
                <w:color w:val="000000"/>
                <w:sz w:val="20"/>
                <w:szCs w:val="20"/>
              </w:rPr>
              <w:t>Net income</w:t>
            </w:r>
          </w:p>
        </w:tc>
        <w:tc>
          <w:tcPr>
            <w:tcW w:w="0" w:type="auto"/>
            <w:shd w:val="clear" w:color="auto" w:fill="FFFFFF"/>
            <w:tcMar>
              <w:top w:w="40" w:type="dxa"/>
              <w:left w:w="20" w:type="dxa"/>
              <w:bottom w:w="40" w:type="dxa"/>
              <w:right w:w="0" w:type="dxa"/>
            </w:tcMar>
            <w:vAlign w:val="bottom"/>
          </w:tcPr>
          <w:p w14:paraId="19502AE3"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2AE4" w14:textId="77777777" w:rsidR="00BF3A3A" w:rsidRDefault="00A76802">
            <w:pPr>
              <w:jc w:val="right"/>
              <w:textAlignment w:val="bottom"/>
            </w:pPr>
            <w:r>
              <w:rPr>
                <w:rFonts w:ascii="sans-serif" w:eastAsia="sans-serif" w:hAnsi="sans-serif" w:cs="sans-serif"/>
                <w:color w:val="000000"/>
                <w:sz w:val="20"/>
                <w:szCs w:val="20"/>
              </w:rPr>
              <w:t>656 </w:t>
            </w:r>
          </w:p>
        </w:tc>
        <w:tc>
          <w:tcPr>
            <w:tcW w:w="0" w:type="auto"/>
            <w:shd w:val="clear" w:color="auto" w:fill="FFFFFF"/>
            <w:tcMar>
              <w:top w:w="40" w:type="dxa"/>
              <w:left w:w="0" w:type="dxa"/>
              <w:bottom w:w="40" w:type="dxa"/>
              <w:right w:w="20" w:type="dxa"/>
            </w:tcMar>
            <w:vAlign w:val="bottom"/>
          </w:tcPr>
          <w:p w14:paraId="19502AE5"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AE6"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2AE7"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2AE8" w14:textId="77777777" w:rsidR="00BF3A3A" w:rsidRDefault="00A76802">
            <w:pPr>
              <w:jc w:val="right"/>
              <w:textAlignment w:val="bottom"/>
            </w:pPr>
            <w:r>
              <w:rPr>
                <w:rFonts w:ascii="sans-serif" w:eastAsia="sans-serif" w:hAnsi="sans-serif" w:cs="sans-serif"/>
                <w:color w:val="000000"/>
                <w:sz w:val="20"/>
                <w:szCs w:val="20"/>
              </w:rPr>
              <w:t>2,374 </w:t>
            </w:r>
          </w:p>
        </w:tc>
        <w:tc>
          <w:tcPr>
            <w:tcW w:w="0" w:type="auto"/>
            <w:shd w:val="clear" w:color="auto" w:fill="FFFFFF"/>
            <w:tcMar>
              <w:top w:w="40" w:type="dxa"/>
              <w:left w:w="0" w:type="dxa"/>
              <w:bottom w:w="40" w:type="dxa"/>
              <w:right w:w="20" w:type="dxa"/>
            </w:tcMar>
            <w:vAlign w:val="bottom"/>
          </w:tcPr>
          <w:p w14:paraId="19502AE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AEA"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2AEB"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2AEC" w14:textId="77777777" w:rsidR="00BF3A3A" w:rsidRDefault="00A76802">
            <w:pPr>
              <w:jc w:val="right"/>
              <w:textAlignment w:val="bottom"/>
            </w:pPr>
            <w:r>
              <w:rPr>
                <w:rFonts w:ascii="sans-serif" w:eastAsia="sans-serif" w:hAnsi="sans-serif" w:cs="sans-serif"/>
                <w:color w:val="000000"/>
                <w:sz w:val="20"/>
                <w:szCs w:val="20"/>
              </w:rPr>
              <w:t>2,274 </w:t>
            </w:r>
          </w:p>
        </w:tc>
        <w:tc>
          <w:tcPr>
            <w:tcW w:w="0" w:type="auto"/>
            <w:shd w:val="clear" w:color="auto" w:fill="FFFFFF"/>
            <w:tcMar>
              <w:top w:w="40" w:type="dxa"/>
              <w:left w:w="0" w:type="dxa"/>
              <w:bottom w:w="40" w:type="dxa"/>
              <w:right w:w="20" w:type="dxa"/>
            </w:tcMar>
            <w:vAlign w:val="bottom"/>
          </w:tcPr>
          <w:p w14:paraId="19502AE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AEE"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2AEF"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2AF0" w14:textId="77777777" w:rsidR="00BF3A3A" w:rsidRDefault="00A76802">
            <w:pPr>
              <w:jc w:val="right"/>
              <w:textAlignment w:val="bottom"/>
            </w:pPr>
            <w:r>
              <w:rPr>
                <w:rFonts w:ascii="sans-serif" w:eastAsia="sans-serif" w:hAnsi="sans-serif" w:cs="sans-serif"/>
                <w:color w:val="000000"/>
                <w:sz w:val="20"/>
                <w:szCs w:val="20"/>
              </w:rPr>
              <w:t>4,285 </w:t>
            </w:r>
          </w:p>
        </w:tc>
        <w:tc>
          <w:tcPr>
            <w:tcW w:w="0" w:type="auto"/>
            <w:shd w:val="clear" w:color="auto" w:fill="FFFFFF"/>
            <w:tcMar>
              <w:top w:w="40" w:type="dxa"/>
              <w:left w:w="0" w:type="dxa"/>
              <w:bottom w:w="40" w:type="dxa"/>
              <w:right w:w="20" w:type="dxa"/>
            </w:tcMar>
            <w:vAlign w:val="bottom"/>
          </w:tcPr>
          <w:p w14:paraId="19502AF1" w14:textId="77777777" w:rsidR="00BF3A3A" w:rsidRDefault="00BF3A3A">
            <w:pPr>
              <w:jc w:val="right"/>
              <w:rPr>
                <w:rFonts w:ascii="宋体"/>
              </w:rPr>
            </w:pPr>
          </w:p>
        </w:tc>
      </w:tr>
      <w:tr w:rsidR="00BF3A3A" w14:paraId="19502AFB" w14:textId="77777777">
        <w:tc>
          <w:tcPr>
            <w:tcW w:w="0" w:type="auto"/>
            <w:gridSpan w:val="3"/>
            <w:shd w:val="clear" w:color="auto" w:fill="E2EFD9"/>
            <w:tcMar>
              <w:top w:w="40" w:type="dxa"/>
              <w:left w:w="20" w:type="dxa"/>
              <w:bottom w:w="40" w:type="dxa"/>
              <w:right w:w="20" w:type="dxa"/>
            </w:tcMar>
            <w:vAlign w:val="bottom"/>
          </w:tcPr>
          <w:p w14:paraId="19502AF3" w14:textId="77777777" w:rsidR="00BF3A3A" w:rsidRDefault="00A76802">
            <w:pPr>
              <w:textAlignment w:val="bottom"/>
            </w:pPr>
            <w:r>
              <w:rPr>
                <w:rFonts w:ascii="sans-serif" w:eastAsia="sans-serif" w:hAnsi="sans-serif" w:cs="sans-serif"/>
                <w:color w:val="000000"/>
                <w:sz w:val="20"/>
                <w:szCs w:val="20"/>
              </w:rPr>
              <w:t>Denominator:</w:t>
            </w: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19502AF4"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AF5" w14:textId="77777777" w:rsidR="00BF3A3A" w:rsidRDefault="00BF3A3A">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19502AF6"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AF7" w14:textId="77777777" w:rsidR="00BF3A3A" w:rsidRDefault="00BF3A3A">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19502AF8"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AF9" w14:textId="77777777" w:rsidR="00BF3A3A" w:rsidRDefault="00BF3A3A">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19502AFA" w14:textId="77777777" w:rsidR="00BF3A3A" w:rsidRDefault="00BF3A3A">
            <w:pPr>
              <w:rPr>
                <w:rFonts w:ascii="宋体"/>
              </w:rPr>
            </w:pPr>
          </w:p>
        </w:tc>
      </w:tr>
      <w:tr w:rsidR="00BF3A3A" w14:paraId="19502B08" w14:textId="77777777">
        <w:tc>
          <w:tcPr>
            <w:tcW w:w="0" w:type="auto"/>
            <w:gridSpan w:val="3"/>
            <w:shd w:val="clear" w:color="auto" w:fill="FFFFFF"/>
            <w:tcMar>
              <w:top w:w="40" w:type="dxa"/>
              <w:left w:w="20" w:type="dxa"/>
              <w:bottom w:w="40" w:type="dxa"/>
              <w:right w:w="20" w:type="dxa"/>
            </w:tcMar>
            <w:vAlign w:val="bottom"/>
          </w:tcPr>
          <w:p w14:paraId="19502AFC" w14:textId="77777777" w:rsidR="00BF3A3A" w:rsidRDefault="00A76802">
            <w:pPr>
              <w:ind w:firstLine="180"/>
              <w:textAlignment w:val="bottom"/>
            </w:pPr>
            <w:r>
              <w:rPr>
                <w:rFonts w:ascii="sans-serif" w:eastAsia="sans-serif" w:hAnsi="sans-serif" w:cs="sans-serif"/>
                <w:color w:val="000000"/>
                <w:sz w:val="20"/>
                <w:szCs w:val="20"/>
              </w:rPr>
              <w:t>Basic weighted average shares</w:t>
            </w:r>
          </w:p>
        </w:tc>
        <w:tc>
          <w:tcPr>
            <w:tcW w:w="0" w:type="auto"/>
            <w:gridSpan w:val="2"/>
            <w:shd w:val="clear" w:color="auto" w:fill="FFFFFF"/>
            <w:tcMar>
              <w:top w:w="40" w:type="dxa"/>
              <w:left w:w="20" w:type="dxa"/>
              <w:bottom w:w="40" w:type="dxa"/>
              <w:right w:w="0" w:type="dxa"/>
            </w:tcMar>
            <w:vAlign w:val="bottom"/>
          </w:tcPr>
          <w:p w14:paraId="19502AFD" w14:textId="77777777" w:rsidR="00BF3A3A" w:rsidRDefault="00A76802">
            <w:pPr>
              <w:jc w:val="right"/>
              <w:textAlignment w:val="bottom"/>
            </w:pPr>
            <w:r>
              <w:rPr>
                <w:rFonts w:ascii="sans-serif" w:eastAsia="sans-serif" w:hAnsi="sans-serif" w:cs="sans-serif"/>
                <w:color w:val="000000"/>
                <w:sz w:val="20"/>
                <w:szCs w:val="20"/>
              </w:rPr>
              <w:t>2,495 </w:t>
            </w:r>
          </w:p>
        </w:tc>
        <w:tc>
          <w:tcPr>
            <w:tcW w:w="0" w:type="auto"/>
            <w:shd w:val="clear" w:color="auto" w:fill="FFFFFF"/>
            <w:tcMar>
              <w:top w:w="40" w:type="dxa"/>
              <w:left w:w="0" w:type="dxa"/>
              <w:bottom w:w="40" w:type="dxa"/>
              <w:right w:w="20" w:type="dxa"/>
            </w:tcMar>
            <w:vAlign w:val="bottom"/>
          </w:tcPr>
          <w:p w14:paraId="19502AFE"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AFF"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B00" w14:textId="77777777" w:rsidR="00BF3A3A" w:rsidRDefault="00A76802">
            <w:pPr>
              <w:jc w:val="right"/>
              <w:textAlignment w:val="bottom"/>
            </w:pPr>
            <w:r>
              <w:rPr>
                <w:rFonts w:ascii="sans-serif" w:eastAsia="sans-serif" w:hAnsi="sans-serif" w:cs="sans-serif"/>
                <w:color w:val="000000"/>
                <w:sz w:val="20"/>
                <w:szCs w:val="20"/>
              </w:rPr>
              <w:t>2,493 </w:t>
            </w:r>
          </w:p>
        </w:tc>
        <w:tc>
          <w:tcPr>
            <w:tcW w:w="0" w:type="auto"/>
            <w:shd w:val="clear" w:color="auto" w:fill="FFFFFF"/>
            <w:tcMar>
              <w:top w:w="40" w:type="dxa"/>
              <w:left w:w="0" w:type="dxa"/>
              <w:bottom w:w="40" w:type="dxa"/>
              <w:right w:w="20" w:type="dxa"/>
            </w:tcMar>
            <w:vAlign w:val="bottom"/>
          </w:tcPr>
          <w:p w14:paraId="19502B01"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B02"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B03" w14:textId="77777777" w:rsidR="00BF3A3A" w:rsidRDefault="00A76802">
            <w:pPr>
              <w:jc w:val="right"/>
              <w:textAlignment w:val="bottom"/>
            </w:pPr>
            <w:r>
              <w:rPr>
                <w:rFonts w:ascii="sans-serif" w:eastAsia="sans-serif" w:hAnsi="sans-serif" w:cs="sans-serif"/>
                <w:color w:val="000000"/>
                <w:sz w:val="20"/>
                <w:szCs w:val="20"/>
              </w:rPr>
              <w:t>2,500 </w:t>
            </w:r>
          </w:p>
        </w:tc>
        <w:tc>
          <w:tcPr>
            <w:tcW w:w="0" w:type="auto"/>
            <w:shd w:val="clear" w:color="auto" w:fill="FFFFFF"/>
            <w:tcMar>
              <w:top w:w="40" w:type="dxa"/>
              <w:left w:w="0" w:type="dxa"/>
              <w:bottom w:w="40" w:type="dxa"/>
              <w:right w:w="20" w:type="dxa"/>
            </w:tcMar>
            <w:vAlign w:val="bottom"/>
          </w:tcPr>
          <w:p w14:paraId="19502B04"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B05"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B06" w14:textId="77777777" w:rsidR="00BF3A3A" w:rsidRDefault="00A76802">
            <w:pPr>
              <w:jc w:val="right"/>
              <w:textAlignment w:val="bottom"/>
            </w:pPr>
            <w:r>
              <w:rPr>
                <w:rFonts w:ascii="sans-serif" w:eastAsia="sans-serif" w:hAnsi="sans-serif" w:cs="sans-serif"/>
                <w:color w:val="000000"/>
                <w:sz w:val="20"/>
                <w:szCs w:val="20"/>
              </w:rPr>
              <w:t>2,489 </w:t>
            </w:r>
          </w:p>
        </w:tc>
        <w:tc>
          <w:tcPr>
            <w:tcW w:w="0" w:type="auto"/>
            <w:shd w:val="clear" w:color="auto" w:fill="FFFFFF"/>
            <w:tcMar>
              <w:top w:w="40" w:type="dxa"/>
              <w:left w:w="0" w:type="dxa"/>
              <w:bottom w:w="40" w:type="dxa"/>
              <w:right w:w="20" w:type="dxa"/>
            </w:tcMar>
            <w:vAlign w:val="bottom"/>
          </w:tcPr>
          <w:p w14:paraId="19502B07" w14:textId="77777777" w:rsidR="00BF3A3A" w:rsidRDefault="00BF3A3A">
            <w:pPr>
              <w:jc w:val="right"/>
              <w:rPr>
                <w:rFonts w:ascii="宋体"/>
              </w:rPr>
            </w:pPr>
          </w:p>
        </w:tc>
      </w:tr>
      <w:tr w:rsidR="00BF3A3A" w14:paraId="19502B16" w14:textId="77777777">
        <w:tc>
          <w:tcPr>
            <w:tcW w:w="0" w:type="auto"/>
            <w:gridSpan w:val="3"/>
            <w:shd w:val="clear" w:color="auto" w:fill="E2EFD9"/>
            <w:tcMar>
              <w:top w:w="40" w:type="dxa"/>
              <w:left w:w="20" w:type="dxa"/>
              <w:bottom w:w="40" w:type="dxa"/>
              <w:right w:w="20" w:type="dxa"/>
            </w:tcMar>
            <w:vAlign w:val="bottom"/>
          </w:tcPr>
          <w:p w14:paraId="19502B09" w14:textId="77777777" w:rsidR="00BF3A3A" w:rsidRDefault="00A76802">
            <w:pPr>
              <w:ind w:firstLine="180"/>
              <w:textAlignment w:val="bottom"/>
            </w:pPr>
            <w:r>
              <w:rPr>
                <w:rFonts w:ascii="sans-serif" w:eastAsia="sans-serif" w:hAnsi="sans-serif" w:cs="sans-serif"/>
                <w:color w:val="000000"/>
                <w:sz w:val="20"/>
                <w:szCs w:val="20"/>
              </w:rPr>
              <w:t>Dilutive impact of outstanding</w:t>
            </w:r>
          </w:p>
          <w:p w14:paraId="19502B0A" w14:textId="77777777" w:rsidR="00BF3A3A" w:rsidRDefault="00A76802">
            <w:pPr>
              <w:ind w:firstLine="180"/>
              <w:textAlignment w:val="bottom"/>
            </w:pPr>
            <w:r>
              <w:rPr>
                <w:rFonts w:ascii="sans-serif" w:eastAsia="sans-serif" w:hAnsi="sans-serif" w:cs="sans-serif"/>
                <w:color w:val="000000"/>
                <w:sz w:val="20"/>
                <w:szCs w:val="20"/>
              </w:rPr>
              <w:t>equity awards</w:t>
            </w:r>
          </w:p>
        </w:tc>
        <w:tc>
          <w:tcPr>
            <w:tcW w:w="0" w:type="auto"/>
            <w:gridSpan w:val="2"/>
            <w:shd w:val="clear" w:color="auto" w:fill="E2EFD9"/>
            <w:tcMar>
              <w:top w:w="40" w:type="dxa"/>
              <w:left w:w="20" w:type="dxa"/>
              <w:bottom w:w="40" w:type="dxa"/>
              <w:right w:w="0" w:type="dxa"/>
            </w:tcMar>
            <w:vAlign w:val="bottom"/>
          </w:tcPr>
          <w:p w14:paraId="19502B0B" w14:textId="77777777" w:rsidR="00BF3A3A" w:rsidRDefault="00A76802">
            <w:pPr>
              <w:jc w:val="right"/>
              <w:textAlignment w:val="bottom"/>
            </w:pPr>
            <w:r>
              <w:rPr>
                <w:rFonts w:ascii="sans-serif" w:eastAsia="sans-serif" w:hAnsi="sans-serif" w:cs="sans-serif"/>
                <w:color w:val="000000"/>
                <w:sz w:val="20"/>
                <w:szCs w:val="20"/>
              </w:rPr>
              <w:t>21 </w:t>
            </w:r>
          </w:p>
        </w:tc>
        <w:tc>
          <w:tcPr>
            <w:tcW w:w="0" w:type="auto"/>
            <w:shd w:val="clear" w:color="auto" w:fill="E2EFD9"/>
            <w:tcMar>
              <w:top w:w="40" w:type="dxa"/>
              <w:left w:w="0" w:type="dxa"/>
              <w:bottom w:w="40" w:type="dxa"/>
              <w:right w:w="20" w:type="dxa"/>
            </w:tcMar>
            <w:vAlign w:val="bottom"/>
          </w:tcPr>
          <w:p w14:paraId="19502B0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B0D"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B0E" w14:textId="77777777" w:rsidR="00BF3A3A" w:rsidRDefault="00A76802">
            <w:pPr>
              <w:jc w:val="right"/>
              <w:textAlignment w:val="bottom"/>
            </w:pPr>
            <w:r>
              <w:rPr>
                <w:rFonts w:ascii="sans-serif" w:eastAsia="sans-serif" w:hAnsi="sans-serif" w:cs="sans-serif"/>
                <w:color w:val="000000"/>
                <w:sz w:val="20"/>
                <w:szCs w:val="20"/>
              </w:rPr>
              <w:t>39 </w:t>
            </w:r>
          </w:p>
        </w:tc>
        <w:tc>
          <w:tcPr>
            <w:tcW w:w="0" w:type="auto"/>
            <w:shd w:val="clear" w:color="auto" w:fill="E2EFD9"/>
            <w:tcMar>
              <w:top w:w="40" w:type="dxa"/>
              <w:left w:w="0" w:type="dxa"/>
              <w:bottom w:w="40" w:type="dxa"/>
              <w:right w:w="20" w:type="dxa"/>
            </w:tcMar>
            <w:vAlign w:val="bottom"/>
          </w:tcPr>
          <w:p w14:paraId="19502B0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B10"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B11" w14:textId="77777777" w:rsidR="00BF3A3A" w:rsidRDefault="00A76802">
            <w:pPr>
              <w:jc w:val="right"/>
              <w:textAlignment w:val="bottom"/>
            </w:pPr>
            <w:r>
              <w:rPr>
                <w:rFonts w:ascii="sans-serif" w:eastAsia="sans-serif" w:hAnsi="sans-serif" w:cs="sans-serif"/>
                <w:color w:val="000000"/>
                <w:sz w:val="20"/>
                <w:szCs w:val="20"/>
              </w:rPr>
              <w:t>26 </w:t>
            </w:r>
          </w:p>
        </w:tc>
        <w:tc>
          <w:tcPr>
            <w:tcW w:w="0" w:type="auto"/>
            <w:shd w:val="clear" w:color="auto" w:fill="E2EFD9"/>
            <w:tcMar>
              <w:top w:w="40" w:type="dxa"/>
              <w:left w:w="0" w:type="dxa"/>
              <w:bottom w:w="40" w:type="dxa"/>
              <w:right w:w="20" w:type="dxa"/>
            </w:tcMar>
            <w:vAlign w:val="bottom"/>
          </w:tcPr>
          <w:p w14:paraId="19502B1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B13"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B14" w14:textId="77777777" w:rsidR="00BF3A3A" w:rsidRDefault="00A76802">
            <w:pPr>
              <w:jc w:val="right"/>
              <w:textAlignment w:val="bottom"/>
            </w:pPr>
            <w:r>
              <w:rPr>
                <w:rFonts w:ascii="sans-serif" w:eastAsia="sans-serif" w:hAnsi="sans-serif" w:cs="sans-serif"/>
                <w:color w:val="000000"/>
                <w:sz w:val="20"/>
                <w:szCs w:val="20"/>
              </w:rPr>
              <w:t>40 </w:t>
            </w:r>
          </w:p>
        </w:tc>
        <w:tc>
          <w:tcPr>
            <w:tcW w:w="0" w:type="auto"/>
            <w:shd w:val="clear" w:color="auto" w:fill="E2EFD9"/>
            <w:tcMar>
              <w:top w:w="40" w:type="dxa"/>
              <w:left w:w="0" w:type="dxa"/>
              <w:bottom w:w="40" w:type="dxa"/>
              <w:right w:w="20" w:type="dxa"/>
            </w:tcMar>
            <w:vAlign w:val="bottom"/>
          </w:tcPr>
          <w:p w14:paraId="19502B15" w14:textId="77777777" w:rsidR="00BF3A3A" w:rsidRDefault="00BF3A3A">
            <w:pPr>
              <w:jc w:val="right"/>
              <w:rPr>
                <w:rFonts w:ascii="宋体"/>
              </w:rPr>
            </w:pPr>
          </w:p>
        </w:tc>
      </w:tr>
      <w:tr w:rsidR="00BF3A3A" w14:paraId="19502B1F" w14:textId="77777777">
        <w:trPr>
          <w:hidden/>
        </w:trPr>
        <w:tc>
          <w:tcPr>
            <w:tcW w:w="0" w:type="auto"/>
            <w:gridSpan w:val="3"/>
            <w:shd w:val="clear" w:color="auto" w:fill="auto"/>
            <w:vAlign w:val="bottom"/>
          </w:tcPr>
          <w:p w14:paraId="19502B17" w14:textId="77777777" w:rsidR="00BF3A3A" w:rsidRDefault="00BF3A3A">
            <w:pPr>
              <w:rPr>
                <w:rFonts w:ascii="宋体"/>
                <w:vanish/>
              </w:rPr>
            </w:pPr>
          </w:p>
        </w:tc>
        <w:tc>
          <w:tcPr>
            <w:tcW w:w="0" w:type="auto"/>
            <w:gridSpan w:val="3"/>
            <w:shd w:val="clear" w:color="auto" w:fill="auto"/>
            <w:vAlign w:val="bottom"/>
          </w:tcPr>
          <w:p w14:paraId="19502B18" w14:textId="77777777" w:rsidR="00BF3A3A" w:rsidRDefault="00BF3A3A">
            <w:pPr>
              <w:rPr>
                <w:rFonts w:ascii="宋体"/>
                <w:vanish/>
              </w:rPr>
            </w:pPr>
          </w:p>
        </w:tc>
        <w:tc>
          <w:tcPr>
            <w:tcW w:w="0" w:type="auto"/>
            <w:gridSpan w:val="3"/>
            <w:shd w:val="clear" w:color="auto" w:fill="auto"/>
            <w:vAlign w:val="bottom"/>
          </w:tcPr>
          <w:p w14:paraId="19502B19" w14:textId="77777777" w:rsidR="00BF3A3A" w:rsidRDefault="00BF3A3A">
            <w:pPr>
              <w:rPr>
                <w:rFonts w:ascii="宋体"/>
                <w:vanish/>
              </w:rPr>
            </w:pPr>
          </w:p>
        </w:tc>
        <w:tc>
          <w:tcPr>
            <w:tcW w:w="0" w:type="auto"/>
            <w:gridSpan w:val="3"/>
            <w:shd w:val="clear" w:color="auto" w:fill="auto"/>
            <w:vAlign w:val="bottom"/>
          </w:tcPr>
          <w:p w14:paraId="19502B1A" w14:textId="77777777" w:rsidR="00BF3A3A" w:rsidRDefault="00BF3A3A">
            <w:pPr>
              <w:rPr>
                <w:rFonts w:ascii="宋体"/>
                <w:vanish/>
              </w:rPr>
            </w:pPr>
          </w:p>
        </w:tc>
        <w:tc>
          <w:tcPr>
            <w:tcW w:w="0" w:type="auto"/>
            <w:gridSpan w:val="3"/>
            <w:shd w:val="clear" w:color="auto" w:fill="auto"/>
            <w:vAlign w:val="bottom"/>
          </w:tcPr>
          <w:p w14:paraId="19502B1B" w14:textId="77777777" w:rsidR="00BF3A3A" w:rsidRDefault="00BF3A3A">
            <w:pPr>
              <w:rPr>
                <w:rFonts w:ascii="宋体"/>
                <w:vanish/>
              </w:rPr>
            </w:pPr>
          </w:p>
        </w:tc>
        <w:tc>
          <w:tcPr>
            <w:tcW w:w="0" w:type="auto"/>
            <w:gridSpan w:val="3"/>
            <w:shd w:val="clear" w:color="auto" w:fill="auto"/>
            <w:vAlign w:val="bottom"/>
          </w:tcPr>
          <w:p w14:paraId="19502B1C" w14:textId="77777777" w:rsidR="00BF3A3A" w:rsidRDefault="00BF3A3A">
            <w:pPr>
              <w:rPr>
                <w:rFonts w:ascii="宋体"/>
                <w:vanish/>
              </w:rPr>
            </w:pPr>
          </w:p>
        </w:tc>
        <w:tc>
          <w:tcPr>
            <w:tcW w:w="0" w:type="auto"/>
            <w:gridSpan w:val="3"/>
            <w:shd w:val="clear" w:color="auto" w:fill="auto"/>
            <w:vAlign w:val="bottom"/>
          </w:tcPr>
          <w:p w14:paraId="19502B1D" w14:textId="77777777" w:rsidR="00BF3A3A" w:rsidRDefault="00BF3A3A">
            <w:pPr>
              <w:rPr>
                <w:rFonts w:ascii="宋体"/>
                <w:vanish/>
              </w:rPr>
            </w:pPr>
          </w:p>
        </w:tc>
        <w:tc>
          <w:tcPr>
            <w:tcW w:w="0" w:type="auto"/>
            <w:gridSpan w:val="3"/>
            <w:shd w:val="clear" w:color="auto" w:fill="auto"/>
            <w:vAlign w:val="bottom"/>
          </w:tcPr>
          <w:p w14:paraId="19502B1E" w14:textId="77777777" w:rsidR="00BF3A3A" w:rsidRDefault="00BF3A3A">
            <w:pPr>
              <w:rPr>
                <w:rFonts w:ascii="宋体"/>
                <w:vanish/>
              </w:rPr>
            </w:pPr>
          </w:p>
        </w:tc>
      </w:tr>
      <w:tr w:rsidR="00BF3A3A" w14:paraId="19502B28" w14:textId="77777777">
        <w:trPr>
          <w:hidden/>
        </w:trPr>
        <w:tc>
          <w:tcPr>
            <w:tcW w:w="0" w:type="auto"/>
            <w:gridSpan w:val="3"/>
            <w:shd w:val="clear" w:color="auto" w:fill="auto"/>
            <w:vAlign w:val="bottom"/>
          </w:tcPr>
          <w:p w14:paraId="19502B20" w14:textId="77777777" w:rsidR="00BF3A3A" w:rsidRDefault="00BF3A3A">
            <w:pPr>
              <w:rPr>
                <w:rFonts w:ascii="宋体"/>
                <w:vanish/>
              </w:rPr>
            </w:pPr>
          </w:p>
        </w:tc>
        <w:tc>
          <w:tcPr>
            <w:tcW w:w="0" w:type="auto"/>
            <w:gridSpan w:val="3"/>
            <w:shd w:val="clear" w:color="auto" w:fill="auto"/>
            <w:vAlign w:val="bottom"/>
          </w:tcPr>
          <w:p w14:paraId="19502B21" w14:textId="77777777" w:rsidR="00BF3A3A" w:rsidRDefault="00BF3A3A">
            <w:pPr>
              <w:rPr>
                <w:rFonts w:ascii="宋体"/>
                <w:vanish/>
              </w:rPr>
            </w:pPr>
          </w:p>
        </w:tc>
        <w:tc>
          <w:tcPr>
            <w:tcW w:w="0" w:type="auto"/>
            <w:gridSpan w:val="3"/>
            <w:shd w:val="clear" w:color="auto" w:fill="auto"/>
            <w:vAlign w:val="bottom"/>
          </w:tcPr>
          <w:p w14:paraId="19502B22" w14:textId="77777777" w:rsidR="00BF3A3A" w:rsidRDefault="00BF3A3A">
            <w:pPr>
              <w:rPr>
                <w:rFonts w:ascii="宋体"/>
                <w:vanish/>
              </w:rPr>
            </w:pPr>
          </w:p>
        </w:tc>
        <w:tc>
          <w:tcPr>
            <w:tcW w:w="0" w:type="auto"/>
            <w:gridSpan w:val="3"/>
            <w:shd w:val="clear" w:color="auto" w:fill="auto"/>
            <w:vAlign w:val="bottom"/>
          </w:tcPr>
          <w:p w14:paraId="19502B23" w14:textId="77777777" w:rsidR="00BF3A3A" w:rsidRDefault="00BF3A3A">
            <w:pPr>
              <w:rPr>
                <w:rFonts w:ascii="宋体"/>
                <w:vanish/>
              </w:rPr>
            </w:pPr>
          </w:p>
        </w:tc>
        <w:tc>
          <w:tcPr>
            <w:tcW w:w="0" w:type="auto"/>
            <w:gridSpan w:val="3"/>
            <w:shd w:val="clear" w:color="auto" w:fill="auto"/>
            <w:vAlign w:val="bottom"/>
          </w:tcPr>
          <w:p w14:paraId="19502B24" w14:textId="77777777" w:rsidR="00BF3A3A" w:rsidRDefault="00BF3A3A">
            <w:pPr>
              <w:rPr>
                <w:rFonts w:ascii="宋体"/>
                <w:vanish/>
              </w:rPr>
            </w:pPr>
          </w:p>
        </w:tc>
        <w:tc>
          <w:tcPr>
            <w:tcW w:w="0" w:type="auto"/>
            <w:gridSpan w:val="3"/>
            <w:shd w:val="clear" w:color="auto" w:fill="auto"/>
            <w:vAlign w:val="bottom"/>
          </w:tcPr>
          <w:p w14:paraId="19502B25" w14:textId="77777777" w:rsidR="00BF3A3A" w:rsidRDefault="00BF3A3A">
            <w:pPr>
              <w:rPr>
                <w:rFonts w:ascii="宋体"/>
                <w:vanish/>
              </w:rPr>
            </w:pPr>
          </w:p>
        </w:tc>
        <w:tc>
          <w:tcPr>
            <w:tcW w:w="0" w:type="auto"/>
            <w:gridSpan w:val="3"/>
            <w:shd w:val="clear" w:color="auto" w:fill="auto"/>
            <w:vAlign w:val="bottom"/>
          </w:tcPr>
          <w:p w14:paraId="19502B26" w14:textId="77777777" w:rsidR="00BF3A3A" w:rsidRDefault="00BF3A3A">
            <w:pPr>
              <w:rPr>
                <w:rFonts w:ascii="宋体"/>
                <w:vanish/>
              </w:rPr>
            </w:pPr>
          </w:p>
        </w:tc>
        <w:tc>
          <w:tcPr>
            <w:tcW w:w="0" w:type="auto"/>
            <w:gridSpan w:val="3"/>
            <w:shd w:val="clear" w:color="auto" w:fill="auto"/>
            <w:vAlign w:val="bottom"/>
          </w:tcPr>
          <w:p w14:paraId="19502B27" w14:textId="77777777" w:rsidR="00BF3A3A" w:rsidRDefault="00BF3A3A">
            <w:pPr>
              <w:rPr>
                <w:rFonts w:ascii="宋体"/>
                <w:vanish/>
              </w:rPr>
            </w:pPr>
          </w:p>
        </w:tc>
      </w:tr>
      <w:tr w:rsidR="00BF3A3A" w14:paraId="19502B35" w14:textId="77777777">
        <w:tc>
          <w:tcPr>
            <w:tcW w:w="0" w:type="auto"/>
            <w:gridSpan w:val="3"/>
            <w:shd w:val="clear" w:color="auto" w:fill="FFFFFF"/>
            <w:tcMar>
              <w:top w:w="40" w:type="dxa"/>
              <w:left w:w="20" w:type="dxa"/>
              <w:bottom w:w="40" w:type="dxa"/>
              <w:right w:w="20" w:type="dxa"/>
            </w:tcMar>
            <w:vAlign w:val="bottom"/>
          </w:tcPr>
          <w:p w14:paraId="19502B29" w14:textId="77777777" w:rsidR="00BF3A3A" w:rsidRDefault="00A76802">
            <w:pPr>
              <w:ind w:firstLine="180"/>
              <w:textAlignment w:val="bottom"/>
            </w:pPr>
            <w:r>
              <w:rPr>
                <w:rFonts w:ascii="sans-serif" w:eastAsia="sans-serif" w:hAnsi="sans-serif" w:cs="sans-serif"/>
                <w:color w:val="000000"/>
                <w:sz w:val="20"/>
                <w:szCs w:val="20"/>
              </w:rPr>
              <w:t>Diluted weighted average shares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B2A" w14:textId="77777777" w:rsidR="00BF3A3A" w:rsidRDefault="00A76802">
            <w:pPr>
              <w:jc w:val="right"/>
              <w:textAlignment w:val="bottom"/>
            </w:pPr>
            <w:r>
              <w:rPr>
                <w:rFonts w:ascii="sans-serif" w:eastAsia="sans-serif" w:hAnsi="sans-serif" w:cs="sans-serif"/>
                <w:color w:val="000000"/>
                <w:sz w:val="20"/>
                <w:szCs w:val="20"/>
              </w:rPr>
              <w:t>2,516 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B2B"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B2C"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B2D" w14:textId="77777777" w:rsidR="00BF3A3A" w:rsidRDefault="00A76802">
            <w:pPr>
              <w:jc w:val="right"/>
              <w:textAlignment w:val="bottom"/>
            </w:pPr>
            <w:r>
              <w:rPr>
                <w:rFonts w:ascii="sans-serif" w:eastAsia="sans-serif" w:hAnsi="sans-serif" w:cs="sans-serif"/>
                <w:color w:val="000000"/>
                <w:sz w:val="20"/>
                <w:szCs w:val="20"/>
              </w:rPr>
              <w:t>2,532 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B2E"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B2F"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B30" w14:textId="77777777" w:rsidR="00BF3A3A" w:rsidRDefault="00A76802">
            <w:pPr>
              <w:jc w:val="right"/>
              <w:textAlignment w:val="bottom"/>
            </w:pPr>
            <w:r>
              <w:rPr>
                <w:rFonts w:ascii="sans-serif" w:eastAsia="sans-serif" w:hAnsi="sans-serif" w:cs="sans-serif"/>
                <w:color w:val="000000"/>
                <w:sz w:val="20"/>
                <w:szCs w:val="20"/>
              </w:rPr>
              <w:t>2,526 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B31"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B32"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2B33" w14:textId="77777777" w:rsidR="00BF3A3A" w:rsidRDefault="00A76802">
            <w:pPr>
              <w:jc w:val="right"/>
              <w:textAlignment w:val="bottom"/>
            </w:pPr>
            <w:r>
              <w:rPr>
                <w:rFonts w:ascii="sans-serif" w:eastAsia="sans-serif" w:hAnsi="sans-serif" w:cs="sans-serif"/>
                <w:color w:val="000000"/>
                <w:sz w:val="20"/>
                <w:szCs w:val="20"/>
              </w:rPr>
              <w:t>2,529 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2B34" w14:textId="77777777" w:rsidR="00BF3A3A" w:rsidRDefault="00BF3A3A">
            <w:pPr>
              <w:jc w:val="right"/>
              <w:rPr>
                <w:rFonts w:ascii="宋体"/>
              </w:rPr>
            </w:pPr>
          </w:p>
        </w:tc>
      </w:tr>
      <w:tr w:rsidR="00BF3A3A" w14:paraId="19502B3E" w14:textId="77777777">
        <w:tc>
          <w:tcPr>
            <w:tcW w:w="0" w:type="auto"/>
            <w:gridSpan w:val="3"/>
            <w:shd w:val="clear" w:color="auto" w:fill="E2EFD9"/>
            <w:tcMar>
              <w:top w:w="40" w:type="dxa"/>
              <w:left w:w="20" w:type="dxa"/>
              <w:bottom w:w="40" w:type="dxa"/>
              <w:right w:w="20" w:type="dxa"/>
            </w:tcMar>
            <w:vAlign w:val="bottom"/>
          </w:tcPr>
          <w:p w14:paraId="19502B36" w14:textId="77777777" w:rsidR="00BF3A3A" w:rsidRDefault="00A76802">
            <w:pPr>
              <w:textAlignment w:val="bottom"/>
            </w:pPr>
            <w:r>
              <w:rPr>
                <w:rFonts w:ascii="sans-serif" w:eastAsia="sans-serif" w:hAnsi="sans-serif" w:cs="sans-serif"/>
                <w:color w:val="000000"/>
                <w:sz w:val="20"/>
                <w:szCs w:val="20"/>
              </w:rPr>
              <w:t>Net income per share:</w:t>
            </w: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19502B37"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B38" w14:textId="77777777" w:rsidR="00BF3A3A" w:rsidRDefault="00BF3A3A">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19502B39"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B3A" w14:textId="77777777" w:rsidR="00BF3A3A" w:rsidRDefault="00BF3A3A">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19502B3B"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B3C" w14:textId="77777777" w:rsidR="00BF3A3A" w:rsidRDefault="00BF3A3A">
            <w:pPr>
              <w:rPr>
                <w:rFonts w:ascii="宋体"/>
              </w:rPr>
            </w:pPr>
          </w:p>
        </w:tc>
        <w:tc>
          <w:tcPr>
            <w:tcW w:w="0" w:type="auto"/>
            <w:gridSpan w:val="3"/>
            <w:tcBorders>
              <w:top w:val="double" w:sz="6" w:space="0" w:color="000000"/>
            </w:tcBorders>
            <w:shd w:val="clear" w:color="auto" w:fill="E2EFD9"/>
            <w:tcMar>
              <w:top w:w="0" w:type="dxa"/>
              <w:left w:w="20" w:type="dxa"/>
              <w:bottom w:w="0" w:type="dxa"/>
              <w:right w:w="20" w:type="dxa"/>
            </w:tcMar>
            <w:vAlign w:val="bottom"/>
          </w:tcPr>
          <w:p w14:paraId="19502B3D" w14:textId="77777777" w:rsidR="00BF3A3A" w:rsidRDefault="00BF3A3A">
            <w:pPr>
              <w:rPr>
                <w:rFonts w:ascii="宋体"/>
              </w:rPr>
            </w:pPr>
          </w:p>
        </w:tc>
      </w:tr>
      <w:tr w:rsidR="00BF3A3A" w14:paraId="19502B4F" w14:textId="77777777">
        <w:tc>
          <w:tcPr>
            <w:tcW w:w="0" w:type="auto"/>
            <w:gridSpan w:val="3"/>
            <w:shd w:val="clear" w:color="auto" w:fill="FFFFFF"/>
            <w:tcMar>
              <w:top w:w="40" w:type="dxa"/>
              <w:left w:w="20" w:type="dxa"/>
              <w:bottom w:w="40" w:type="dxa"/>
              <w:right w:w="20" w:type="dxa"/>
            </w:tcMar>
            <w:vAlign w:val="bottom"/>
          </w:tcPr>
          <w:p w14:paraId="19502B3F" w14:textId="77777777" w:rsidR="00BF3A3A" w:rsidRDefault="00A76802">
            <w:pPr>
              <w:ind w:firstLine="180"/>
              <w:textAlignment w:val="bottom"/>
            </w:pPr>
            <w:r>
              <w:rPr>
                <w:rFonts w:ascii="sans-serif" w:eastAsia="sans-serif" w:hAnsi="sans-serif" w:cs="sans-serif"/>
                <w:color w:val="000000"/>
                <w:sz w:val="20"/>
                <w:szCs w:val="20"/>
              </w:rPr>
              <w:t>Basic (1)</w:t>
            </w:r>
          </w:p>
        </w:tc>
        <w:tc>
          <w:tcPr>
            <w:tcW w:w="0" w:type="auto"/>
            <w:shd w:val="clear" w:color="auto" w:fill="FFFFFF"/>
            <w:tcMar>
              <w:top w:w="40" w:type="dxa"/>
              <w:left w:w="20" w:type="dxa"/>
              <w:bottom w:w="40" w:type="dxa"/>
              <w:right w:w="0" w:type="dxa"/>
            </w:tcMar>
            <w:vAlign w:val="bottom"/>
          </w:tcPr>
          <w:p w14:paraId="19502B40"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2B41" w14:textId="77777777" w:rsidR="00BF3A3A" w:rsidRDefault="00A76802">
            <w:pPr>
              <w:jc w:val="right"/>
              <w:textAlignment w:val="bottom"/>
            </w:pPr>
            <w:r>
              <w:rPr>
                <w:rFonts w:ascii="sans-serif" w:eastAsia="sans-serif" w:hAnsi="sans-serif" w:cs="sans-serif"/>
                <w:color w:val="000000"/>
                <w:sz w:val="20"/>
                <w:szCs w:val="20"/>
              </w:rPr>
              <w:t>0.26 </w:t>
            </w:r>
          </w:p>
        </w:tc>
        <w:tc>
          <w:tcPr>
            <w:tcW w:w="0" w:type="auto"/>
            <w:shd w:val="clear" w:color="auto" w:fill="FFFFFF"/>
            <w:tcMar>
              <w:top w:w="40" w:type="dxa"/>
              <w:left w:w="0" w:type="dxa"/>
              <w:bottom w:w="40" w:type="dxa"/>
              <w:right w:w="20" w:type="dxa"/>
            </w:tcMar>
            <w:vAlign w:val="bottom"/>
          </w:tcPr>
          <w:p w14:paraId="19502B42"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B43"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2B44"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2B45" w14:textId="77777777" w:rsidR="00BF3A3A" w:rsidRDefault="00A76802">
            <w:pPr>
              <w:jc w:val="right"/>
              <w:textAlignment w:val="bottom"/>
            </w:pPr>
            <w:r>
              <w:rPr>
                <w:rFonts w:ascii="sans-serif" w:eastAsia="sans-serif" w:hAnsi="sans-serif" w:cs="sans-serif"/>
                <w:color w:val="000000"/>
                <w:sz w:val="20"/>
                <w:szCs w:val="20"/>
              </w:rPr>
              <w:t>0.95 </w:t>
            </w:r>
          </w:p>
        </w:tc>
        <w:tc>
          <w:tcPr>
            <w:tcW w:w="0" w:type="auto"/>
            <w:shd w:val="clear" w:color="auto" w:fill="FFFFFF"/>
            <w:tcMar>
              <w:top w:w="40" w:type="dxa"/>
              <w:left w:w="0" w:type="dxa"/>
              <w:bottom w:w="40" w:type="dxa"/>
              <w:right w:w="20" w:type="dxa"/>
            </w:tcMar>
            <w:vAlign w:val="bottom"/>
          </w:tcPr>
          <w:p w14:paraId="19502B4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B47"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2B48"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2B49" w14:textId="77777777" w:rsidR="00BF3A3A" w:rsidRDefault="00A76802">
            <w:pPr>
              <w:jc w:val="right"/>
              <w:textAlignment w:val="bottom"/>
            </w:pPr>
            <w:r>
              <w:rPr>
                <w:rFonts w:ascii="sans-serif" w:eastAsia="sans-serif" w:hAnsi="sans-serif" w:cs="sans-serif"/>
                <w:color w:val="000000"/>
                <w:sz w:val="20"/>
                <w:szCs w:val="20"/>
              </w:rPr>
              <w:t>0.91 </w:t>
            </w:r>
          </w:p>
        </w:tc>
        <w:tc>
          <w:tcPr>
            <w:tcW w:w="0" w:type="auto"/>
            <w:shd w:val="clear" w:color="auto" w:fill="FFFFFF"/>
            <w:tcMar>
              <w:top w:w="40" w:type="dxa"/>
              <w:left w:w="0" w:type="dxa"/>
              <w:bottom w:w="40" w:type="dxa"/>
              <w:right w:w="20" w:type="dxa"/>
            </w:tcMar>
            <w:vAlign w:val="bottom"/>
          </w:tcPr>
          <w:p w14:paraId="19502B4A"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B4B"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2B4C"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2B4D" w14:textId="77777777" w:rsidR="00BF3A3A" w:rsidRDefault="00A76802">
            <w:pPr>
              <w:jc w:val="right"/>
              <w:textAlignment w:val="bottom"/>
            </w:pPr>
            <w:r>
              <w:rPr>
                <w:rFonts w:ascii="sans-serif" w:eastAsia="sans-serif" w:hAnsi="sans-serif" w:cs="sans-serif"/>
                <w:color w:val="000000"/>
                <w:sz w:val="20"/>
                <w:szCs w:val="20"/>
              </w:rPr>
              <w:t>1.72 </w:t>
            </w:r>
          </w:p>
        </w:tc>
        <w:tc>
          <w:tcPr>
            <w:tcW w:w="0" w:type="auto"/>
            <w:shd w:val="clear" w:color="auto" w:fill="FFFFFF"/>
            <w:tcMar>
              <w:top w:w="40" w:type="dxa"/>
              <w:left w:w="0" w:type="dxa"/>
              <w:bottom w:w="40" w:type="dxa"/>
              <w:right w:w="20" w:type="dxa"/>
            </w:tcMar>
            <w:vAlign w:val="bottom"/>
          </w:tcPr>
          <w:p w14:paraId="19502B4E" w14:textId="77777777" w:rsidR="00BF3A3A" w:rsidRDefault="00BF3A3A">
            <w:pPr>
              <w:jc w:val="right"/>
              <w:rPr>
                <w:rFonts w:ascii="宋体"/>
              </w:rPr>
            </w:pPr>
          </w:p>
        </w:tc>
      </w:tr>
      <w:tr w:rsidR="00BF3A3A" w14:paraId="19502B60" w14:textId="77777777">
        <w:tc>
          <w:tcPr>
            <w:tcW w:w="0" w:type="auto"/>
            <w:gridSpan w:val="3"/>
            <w:shd w:val="clear" w:color="auto" w:fill="E2EFD9"/>
            <w:tcMar>
              <w:top w:w="40" w:type="dxa"/>
              <w:left w:w="20" w:type="dxa"/>
              <w:bottom w:w="40" w:type="dxa"/>
              <w:right w:w="20" w:type="dxa"/>
            </w:tcMar>
            <w:vAlign w:val="bottom"/>
          </w:tcPr>
          <w:p w14:paraId="19502B50" w14:textId="77777777" w:rsidR="00BF3A3A" w:rsidRDefault="00A76802">
            <w:pPr>
              <w:ind w:firstLine="180"/>
              <w:textAlignment w:val="bottom"/>
            </w:pPr>
            <w:r>
              <w:rPr>
                <w:rFonts w:ascii="sans-serif" w:eastAsia="sans-serif" w:hAnsi="sans-serif" w:cs="sans-serif"/>
                <w:color w:val="000000"/>
                <w:sz w:val="20"/>
                <w:szCs w:val="20"/>
              </w:rPr>
              <w:t>Diluted (2)</w:t>
            </w:r>
          </w:p>
        </w:tc>
        <w:tc>
          <w:tcPr>
            <w:tcW w:w="0" w:type="auto"/>
            <w:tcBorders>
              <w:top w:val="double" w:sz="6" w:space="0" w:color="000000"/>
            </w:tcBorders>
            <w:shd w:val="clear" w:color="auto" w:fill="E2EFD9"/>
            <w:tcMar>
              <w:top w:w="40" w:type="dxa"/>
              <w:left w:w="20" w:type="dxa"/>
              <w:bottom w:w="40" w:type="dxa"/>
              <w:right w:w="0" w:type="dxa"/>
            </w:tcMar>
            <w:vAlign w:val="bottom"/>
          </w:tcPr>
          <w:p w14:paraId="19502B51"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19502B52" w14:textId="77777777" w:rsidR="00BF3A3A" w:rsidRDefault="00A76802">
            <w:pPr>
              <w:jc w:val="right"/>
              <w:textAlignment w:val="bottom"/>
            </w:pPr>
            <w:r>
              <w:rPr>
                <w:rFonts w:ascii="sans-serif" w:eastAsia="sans-serif" w:hAnsi="sans-serif" w:cs="sans-serif"/>
                <w:color w:val="000000"/>
                <w:sz w:val="20"/>
                <w:szCs w:val="20"/>
              </w:rPr>
              <w:t>0.26 </w:t>
            </w:r>
          </w:p>
        </w:tc>
        <w:tc>
          <w:tcPr>
            <w:tcW w:w="0" w:type="auto"/>
            <w:tcBorders>
              <w:top w:val="double" w:sz="6" w:space="0" w:color="000000"/>
            </w:tcBorders>
            <w:shd w:val="clear" w:color="auto" w:fill="E2EFD9"/>
            <w:tcMar>
              <w:top w:w="40" w:type="dxa"/>
              <w:left w:w="0" w:type="dxa"/>
              <w:bottom w:w="40" w:type="dxa"/>
              <w:right w:w="20" w:type="dxa"/>
            </w:tcMar>
            <w:vAlign w:val="bottom"/>
          </w:tcPr>
          <w:p w14:paraId="19502B5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B54" w14:textId="77777777" w:rsidR="00BF3A3A" w:rsidRDefault="00BF3A3A">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19502B55"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19502B56" w14:textId="77777777" w:rsidR="00BF3A3A" w:rsidRDefault="00A76802">
            <w:pPr>
              <w:jc w:val="right"/>
              <w:textAlignment w:val="bottom"/>
            </w:pPr>
            <w:r>
              <w:rPr>
                <w:rFonts w:ascii="sans-serif" w:eastAsia="sans-serif" w:hAnsi="sans-serif" w:cs="sans-serif"/>
                <w:color w:val="000000"/>
                <w:sz w:val="20"/>
                <w:szCs w:val="20"/>
              </w:rPr>
              <w:t>0.94 </w:t>
            </w:r>
          </w:p>
        </w:tc>
        <w:tc>
          <w:tcPr>
            <w:tcW w:w="0" w:type="auto"/>
            <w:tcBorders>
              <w:top w:val="double" w:sz="6" w:space="0" w:color="000000"/>
            </w:tcBorders>
            <w:shd w:val="clear" w:color="auto" w:fill="E2EFD9"/>
            <w:tcMar>
              <w:top w:w="40" w:type="dxa"/>
              <w:left w:w="0" w:type="dxa"/>
              <w:bottom w:w="40" w:type="dxa"/>
              <w:right w:w="20" w:type="dxa"/>
            </w:tcMar>
            <w:vAlign w:val="bottom"/>
          </w:tcPr>
          <w:p w14:paraId="19502B5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B58" w14:textId="77777777" w:rsidR="00BF3A3A" w:rsidRDefault="00BF3A3A">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19502B59"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19502B5A" w14:textId="77777777" w:rsidR="00BF3A3A" w:rsidRDefault="00A76802">
            <w:pPr>
              <w:jc w:val="right"/>
              <w:textAlignment w:val="bottom"/>
            </w:pPr>
            <w:r>
              <w:rPr>
                <w:rFonts w:ascii="sans-serif" w:eastAsia="sans-serif" w:hAnsi="sans-serif" w:cs="sans-serif"/>
                <w:color w:val="000000"/>
                <w:sz w:val="20"/>
                <w:szCs w:val="20"/>
              </w:rPr>
              <w:t>0.90 </w:t>
            </w:r>
          </w:p>
        </w:tc>
        <w:tc>
          <w:tcPr>
            <w:tcW w:w="0" w:type="auto"/>
            <w:tcBorders>
              <w:top w:val="double" w:sz="6" w:space="0" w:color="000000"/>
            </w:tcBorders>
            <w:shd w:val="clear" w:color="auto" w:fill="E2EFD9"/>
            <w:tcMar>
              <w:top w:w="40" w:type="dxa"/>
              <w:left w:w="0" w:type="dxa"/>
              <w:bottom w:w="40" w:type="dxa"/>
              <w:right w:w="20" w:type="dxa"/>
            </w:tcMar>
            <w:vAlign w:val="bottom"/>
          </w:tcPr>
          <w:p w14:paraId="19502B5B"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B5C" w14:textId="77777777" w:rsidR="00BF3A3A" w:rsidRDefault="00BF3A3A">
            <w:pPr>
              <w:rPr>
                <w:rFonts w:ascii="宋体"/>
              </w:rPr>
            </w:pPr>
          </w:p>
        </w:tc>
        <w:tc>
          <w:tcPr>
            <w:tcW w:w="0" w:type="auto"/>
            <w:tcBorders>
              <w:top w:val="double" w:sz="6" w:space="0" w:color="000000"/>
            </w:tcBorders>
            <w:shd w:val="clear" w:color="auto" w:fill="E2EFD9"/>
            <w:tcMar>
              <w:top w:w="40" w:type="dxa"/>
              <w:left w:w="20" w:type="dxa"/>
              <w:bottom w:w="40" w:type="dxa"/>
              <w:right w:w="0" w:type="dxa"/>
            </w:tcMar>
            <w:vAlign w:val="bottom"/>
          </w:tcPr>
          <w:p w14:paraId="19502B5D"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double" w:sz="6" w:space="0" w:color="000000"/>
            </w:tcBorders>
            <w:shd w:val="clear" w:color="auto" w:fill="E2EFD9"/>
            <w:tcMar>
              <w:top w:w="40" w:type="dxa"/>
              <w:left w:w="0" w:type="dxa"/>
              <w:bottom w:w="40" w:type="dxa"/>
              <w:right w:w="0" w:type="dxa"/>
            </w:tcMar>
            <w:vAlign w:val="bottom"/>
          </w:tcPr>
          <w:p w14:paraId="19502B5E" w14:textId="77777777" w:rsidR="00BF3A3A" w:rsidRDefault="00A76802">
            <w:pPr>
              <w:jc w:val="right"/>
              <w:textAlignment w:val="bottom"/>
            </w:pPr>
            <w:r>
              <w:rPr>
                <w:rFonts w:ascii="sans-serif" w:eastAsia="sans-serif" w:hAnsi="sans-serif" w:cs="sans-serif"/>
                <w:color w:val="000000"/>
                <w:sz w:val="20"/>
                <w:szCs w:val="20"/>
              </w:rPr>
              <w:t>1.69 </w:t>
            </w:r>
          </w:p>
        </w:tc>
        <w:tc>
          <w:tcPr>
            <w:tcW w:w="0" w:type="auto"/>
            <w:tcBorders>
              <w:top w:val="double" w:sz="6" w:space="0" w:color="000000"/>
            </w:tcBorders>
            <w:shd w:val="clear" w:color="auto" w:fill="E2EFD9"/>
            <w:tcMar>
              <w:top w:w="40" w:type="dxa"/>
              <w:left w:w="0" w:type="dxa"/>
              <w:bottom w:w="40" w:type="dxa"/>
              <w:right w:w="20" w:type="dxa"/>
            </w:tcMar>
            <w:vAlign w:val="bottom"/>
          </w:tcPr>
          <w:p w14:paraId="19502B5F" w14:textId="77777777" w:rsidR="00BF3A3A" w:rsidRDefault="00BF3A3A">
            <w:pPr>
              <w:jc w:val="right"/>
              <w:rPr>
                <w:rFonts w:ascii="宋体"/>
              </w:rPr>
            </w:pPr>
          </w:p>
        </w:tc>
      </w:tr>
      <w:tr w:rsidR="00BF3A3A" w14:paraId="19502B6D" w14:textId="77777777">
        <w:tc>
          <w:tcPr>
            <w:tcW w:w="0" w:type="auto"/>
            <w:gridSpan w:val="3"/>
            <w:shd w:val="clear" w:color="auto" w:fill="FFFFFF"/>
            <w:tcMar>
              <w:top w:w="40" w:type="dxa"/>
              <w:left w:w="20" w:type="dxa"/>
              <w:bottom w:w="40" w:type="dxa"/>
              <w:right w:w="20" w:type="dxa"/>
            </w:tcMar>
            <w:vAlign w:val="bottom"/>
          </w:tcPr>
          <w:p w14:paraId="19502B61" w14:textId="77777777" w:rsidR="00BF3A3A" w:rsidRDefault="00A76802">
            <w:pPr>
              <w:textAlignment w:val="bottom"/>
            </w:pPr>
            <w:r>
              <w:rPr>
                <w:rFonts w:ascii="sans-serif" w:eastAsia="sans-serif" w:hAnsi="sans-serif" w:cs="sans-serif"/>
                <w:color w:val="000000"/>
                <w:sz w:val="20"/>
                <w:szCs w:val="20"/>
              </w:rPr>
              <w:t>Equity awards excluded from diluted net income per share because their effect would have been anti-dilutive</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9502B62" w14:textId="77777777" w:rsidR="00BF3A3A" w:rsidRDefault="00A76802">
            <w:pPr>
              <w:jc w:val="right"/>
              <w:textAlignment w:val="bottom"/>
            </w:pPr>
            <w:r>
              <w:rPr>
                <w:rFonts w:ascii="sans-serif" w:eastAsia="sans-serif" w:hAnsi="sans-serif" w:cs="sans-serif"/>
                <w:color w:val="000000"/>
                <w:sz w:val="20"/>
                <w:szCs w:val="20"/>
              </w:rPr>
              <w:t>33 </w:t>
            </w:r>
          </w:p>
        </w:tc>
        <w:tc>
          <w:tcPr>
            <w:tcW w:w="0" w:type="auto"/>
            <w:tcBorders>
              <w:top w:val="double" w:sz="6" w:space="0" w:color="000000"/>
            </w:tcBorders>
            <w:shd w:val="clear" w:color="auto" w:fill="FFFFFF"/>
            <w:tcMar>
              <w:top w:w="40" w:type="dxa"/>
              <w:left w:w="0" w:type="dxa"/>
              <w:bottom w:w="40" w:type="dxa"/>
              <w:right w:w="20" w:type="dxa"/>
            </w:tcMar>
            <w:vAlign w:val="bottom"/>
          </w:tcPr>
          <w:p w14:paraId="19502B6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B64" w14:textId="77777777" w:rsidR="00BF3A3A" w:rsidRDefault="00BF3A3A">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9502B65" w14:textId="77777777" w:rsidR="00BF3A3A" w:rsidRDefault="00A76802">
            <w:pPr>
              <w:jc w:val="right"/>
              <w:textAlignment w:val="bottom"/>
            </w:pPr>
            <w:r>
              <w:rPr>
                <w:rFonts w:ascii="sans-serif" w:eastAsia="sans-serif" w:hAnsi="sans-serif" w:cs="sans-serif"/>
                <w:color w:val="000000"/>
                <w:sz w:val="20"/>
                <w:szCs w:val="20"/>
              </w:rPr>
              <w:t>13 </w:t>
            </w:r>
          </w:p>
        </w:tc>
        <w:tc>
          <w:tcPr>
            <w:tcW w:w="0" w:type="auto"/>
            <w:tcBorders>
              <w:top w:val="double" w:sz="6" w:space="0" w:color="000000"/>
            </w:tcBorders>
            <w:shd w:val="clear" w:color="auto" w:fill="FFFFFF"/>
            <w:tcMar>
              <w:top w:w="40" w:type="dxa"/>
              <w:left w:w="0" w:type="dxa"/>
              <w:bottom w:w="40" w:type="dxa"/>
              <w:right w:w="20" w:type="dxa"/>
            </w:tcMar>
            <w:vAlign w:val="bottom"/>
          </w:tcPr>
          <w:p w14:paraId="19502B6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B67" w14:textId="77777777" w:rsidR="00BF3A3A" w:rsidRDefault="00BF3A3A">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9502B68" w14:textId="77777777" w:rsidR="00BF3A3A" w:rsidRDefault="00A76802">
            <w:pPr>
              <w:jc w:val="right"/>
              <w:textAlignment w:val="bottom"/>
            </w:pPr>
            <w:r>
              <w:rPr>
                <w:rFonts w:ascii="sans-serif" w:eastAsia="sans-serif" w:hAnsi="sans-serif" w:cs="sans-serif"/>
                <w:color w:val="000000"/>
                <w:sz w:val="20"/>
                <w:szCs w:val="20"/>
              </w:rPr>
              <w:t>25 </w:t>
            </w:r>
          </w:p>
        </w:tc>
        <w:tc>
          <w:tcPr>
            <w:tcW w:w="0" w:type="auto"/>
            <w:tcBorders>
              <w:top w:val="double" w:sz="6" w:space="0" w:color="000000"/>
            </w:tcBorders>
            <w:shd w:val="clear" w:color="auto" w:fill="FFFFFF"/>
            <w:tcMar>
              <w:top w:w="40" w:type="dxa"/>
              <w:left w:w="0" w:type="dxa"/>
              <w:bottom w:w="40" w:type="dxa"/>
              <w:right w:w="20" w:type="dxa"/>
            </w:tcMar>
            <w:vAlign w:val="bottom"/>
          </w:tcPr>
          <w:p w14:paraId="19502B6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B6A" w14:textId="77777777" w:rsidR="00BF3A3A" w:rsidRDefault="00BF3A3A">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9502B6B" w14:textId="77777777" w:rsidR="00BF3A3A" w:rsidRDefault="00A76802">
            <w:pPr>
              <w:jc w:val="right"/>
              <w:textAlignment w:val="bottom"/>
            </w:pPr>
            <w:r>
              <w:rPr>
                <w:rFonts w:ascii="sans-serif" w:eastAsia="sans-serif" w:hAnsi="sans-serif" w:cs="sans-serif"/>
                <w:color w:val="000000"/>
                <w:sz w:val="20"/>
                <w:szCs w:val="20"/>
              </w:rPr>
              <w:t>15 </w:t>
            </w:r>
          </w:p>
        </w:tc>
        <w:tc>
          <w:tcPr>
            <w:tcW w:w="0" w:type="auto"/>
            <w:tcBorders>
              <w:top w:val="double" w:sz="6" w:space="0" w:color="000000"/>
            </w:tcBorders>
            <w:shd w:val="clear" w:color="auto" w:fill="FFFFFF"/>
            <w:tcMar>
              <w:top w:w="40" w:type="dxa"/>
              <w:left w:w="0" w:type="dxa"/>
              <w:bottom w:w="40" w:type="dxa"/>
              <w:right w:w="20" w:type="dxa"/>
            </w:tcMar>
            <w:vAlign w:val="bottom"/>
          </w:tcPr>
          <w:p w14:paraId="19502B6C" w14:textId="77777777" w:rsidR="00BF3A3A" w:rsidRDefault="00BF3A3A">
            <w:pPr>
              <w:jc w:val="right"/>
              <w:rPr>
                <w:rFonts w:ascii="宋体"/>
              </w:rPr>
            </w:pPr>
          </w:p>
        </w:tc>
      </w:tr>
    </w:tbl>
    <w:p w14:paraId="19502B6E" w14:textId="77777777" w:rsidR="00BF3A3A" w:rsidRDefault="00A76802">
      <w:pPr>
        <w:spacing w:after="60"/>
        <w:ind w:hanging="360"/>
        <w:jc w:val="both"/>
      </w:pPr>
      <w:r>
        <w:rPr>
          <w:rFonts w:ascii="sans-serif" w:eastAsia="sans-serif" w:hAnsi="sans-serif" w:cs="sans-serif"/>
          <w:color w:val="000000"/>
          <w:sz w:val="16"/>
          <w:szCs w:val="16"/>
        </w:rPr>
        <w:t>(1)    Calculated as net income divided by basic weighted average shares.</w:t>
      </w:r>
    </w:p>
    <w:p w14:paraId="19502B6F" w14:textId="77777777" w:rsidR="00BF3A3A" w:rsidRDefault="00A76802">
      <w:pPr>
        <w:spacing w:after="180"/>
        <w:ind w:hanging="360"/>
        <w:jc w:val="both"/>
      </w:pPr>
      <w:r>
        <w:rPr>
          <w:rFonts w:ascii="sans-serif" w:eastAsia="sans-serif" w:hAnsi="sans-serif" w:cs="sans-serif"/>
          <w:color w:val="000000"/>
          <w:sz w:val="16"/>
          <w:szCs w:val="16"/>
        </w:rPr>
        <w:t>(2)    Calculated as net income divided by diluted weighted average shares.</w:t>
      </w:r>
    </w:p>
    <w:p w14:paraId="19502B70" w14:textId="77777777" w:rsidR="00BF3A3A" w:rsidRDefault="00A76802">
      <w:pPr>
        <w:spacing w:before="240" w:after="120"/>
        <w:jc w:val="both"/>
      </w:pPr>
      <w:r>
        <w:rPr>
          <w:rFonts w:ascii="sans-serif" w:eastAsia="sans-serif" w:hAnsi="sans-serif" w:cs="sans-serif"/>
          <w:b/>
          <w:bCs/>
          <w:color w:val="76B900"/>
          <w:sz w:val="22"/>
          <w:szCs w:val="22"/>
        </w:rPr>
        <w:t>Note 6 – Income Taxes</w:t>
      </w:r>
    </w:p>
    <w:p w14:paraId="19502B71" w14:textId="77777777" w:rsidR="00BF3A3A" w:rsidRDefault="00A76802">
      <w:pPr>
        <w:spacing w:before="120" w:after="120"/>
        <w:jc w:val="both"/>
      </w:pPr>
      <w:r>
        <w:rPr>
          <w:rFonts w:ascii="sans-serif" w:eastAsia="sans-serif" w:hAnsi="sans-serif" w:cs="sans-serif"/>
          <w:color w:val="000000"/>
          <w:sz w:val="20"/>
          <w:szCs w:val="20"/>
        </w:rPr>
        <w:t xml:space="preserve">We recognized an income tax </w:t>
      </w:r>
      <w:r>
        <w:rPr>
          <w:rFonts w:ascii="sans-serif" w:eastAsia="sans-serif" w:hAnsi="sans-serif" w:cs="sans-serif"/>
          <w:color w:val="000000"/>
          <w:sz w:val="20"/>
          <w:szCs w:val="20"/>
        </w:rPr>
        <w:t>benefit of $181 million and an income tax expense of $6 million for the second quarter and first half of fiscal year 2023, respectively, and an income tax expense of $20 million and $153 million for the second quarter and first half of fiscal year 2022, re</w:t>
      </w:r>
      <w:r>
        <w:rPr>
          <w:rFonts w:ascii="sans-serif" w:eastAsia="sans-serif" w:hAnsi="sans-serif" w:cs="sans-serif"/>
          <w:color w:val="000000"/>
          <w:sz w:val="20"/>
          <w:szCs w:val="20"/>
        </w:rPr>
        <w:t>spectively. Income tax as a percentage of income before income tax was a benefit of 38.0% for the second quarter of fiscal year 2023, and an expense of 0.3% for the first half of fiscal year 2023 and an expense of 0.9% and 3.4% for the second quarter and f</w:t>
      </w:r>
      <w:r>
        <w:rPr>
          <w:rFonts w:ascii="sans-serif" w:eastAsia="sans-serif" w:hAnsi="sans-serif" w:cs="sans-serif"/>
          <w:color w:val="000000"/>
          <w:sz w:val="20"/>
          <w:szCs w:val="20"/>
        </w:rPr>
        <w:t>irst half of fiscal year 2022, respectively.</w:t>
      </w:r>
    </w:p>
    <w:p w14:paraId="19502B72" w14:textId="77777777" w:rsidR="00BF3A3A" w:rsidRDefault="00A76802">
      <w:pPr>
        <w:jc w:val="both"/>
      </w:pPr>
      <w:r>
        <w:rPr>
          <w:rFonts w:ascii="sans-serif" w:eastAsia="sans-serif" w:hAnsi="sans-serif" w:cs="sans-serif"/>
          <w:color w:val="000000"/>
          <w:sz w:val="20"/>
          <w:szCs w:val="20"/>
        </w:rPr>
        <w:t xml:space="preserve">The decrease in our effective tax rate for the second quarter and first half of fiscal year 2023 as compared to the same periods of fiscal year 2022 was primarily due to the increased tax benefit of stock-based </w:t>
      </w:r>
      <w:r>
        <w:rPr>
          <w:rFonts w:ascii="sans-serif" w:eastAsia="sans-serif" w:hAnsi="sans-serif" w:cs="sans-serif"/>
          <w:color w:val="000000"/>
          <w:sz w:val="20"/>
          <w:szCs w:val="20"/>
        </w:rPr>
        <w:t xml:space="preserve">compensation, the foreign-derived intangible income deduction, and the U.S. federal research tax credit, relative to a reduction in expected profitability. This is partially offset by the impact of an increase in the proportion of earnings subject to U.S. </w:t>
      </w:r>
      <w:r>
        <w:rPr>
          <w:rFonts w:ascii="sans-serif" w:eastAsia="sans-serif" w:hAnsi="sans-serif" w:cs="sans-serif"/>
          <w:color w:val="000000"/>
          <w:sz w:val="20"/>
          <w:szCs w:val="20"/>
        </w:rPr>
        <w:t>tax in fiscal year 2023 and the one-time discrete benefit from re-valuing certain deferred tax assets in connection with the domestication of one of our foreign subsidiaries, or the Domestication, in fiscal year 2022.</w:t>
      </w:r>
    </w:p>
    <w:p w14:paraId="19502B73" w14:textId="77777777" w:rsidR="00BF3A3A" w:rsidRDefault="00BF3A3A">
      <w:pPr>
        <w:jc w:val="both"/>
      </w:pPr>
    </w:p>
    <w:p w14:paraId="19502B74" w14:textId="77777777" w:rsidR="00BF3A3A" w:rsidRDefault="00A76802">
      <w:pPr>
        <w:spacing w:after="180"/>
        <w:jc w:val="both"/>
      </w:pPr>
      <w:r>
        <w:rPr>
          <w:rFonts w:ascii="sans-serif" w:eastAsia="sans-serif" w:hAnsi="sans-serif" w:cs="sans-serif"/>
          <w:color w:val="000000"/>
          <w:sz w:val="20"/>
          <w:szCs w:val="20"/>
        </w:rPr>
        <w:t xml:space="preserve">Our effective tax rate for the first </w:t>
      </w:r>
      <w:r>
        <w:rPr>
          <w:rFonts w:ascii="sans-serif" w:eastAsia="sans-serif" w:hAnsi="sans-serif" w:cs="sans-serif"/>
          <w:color w:val="000000"/>
          <w:sz w:val="20"/>
          <w:szCs w:val="20"/>
        </w:rPr>
        <w:t>half of fiscal year 2023 was lower than the U.S. federal statutory rate of 21% due to tax benefits from the foreign-derived intangible income deduction, stock-based compensation and the U.S. federal research tax credit.</w:t>
      </w:r>
    </w:p>
    <w:p w14:paraId="19502B75" w14:textId="77777777" w:rsidR="00BF3A3A" w:rsidRDefault="00A76802">
      <w:pPr>
        <w:jc w:val="both"/>
      </w:pPr>
      <w:r>
        <w:rPr>
          <w:rFonts w:ascii="sans-serif" w:eastAsia="sans-serif" w:hAnsi="sans-serif" w:cs="sans-serif"/>
          <w:color w:val="000000"/>
          <w:sz w:val="20"/>
          <w:szCs w:val="20"/>
        </w:rPr>
        <w:t>Our effective tax rate for the first</w:t>
      </w:r>
      <w:r>
        <w:rPr>
          <w:rFonts w:ascii="sans-serif" w:eastAsia="sans-serif" w:hAnsi="sans-serif" w:cs="sans-serif"/>
          <w:color w:val="000000"/>
          <w:sz w:val="20"/>
          <w:szCs w:val="20"/>
        </w:rPr>
        <w:t xml:space="preserve"> half of fiscal year 2022 was lower than the U.S. federal statutory rate of 21% due to the discrete benefit of the Domestication, tax benefits related to the foreign-derived intangible income deduction, income earned in jurisdictions that are subject to ta</w:t>
      </w:r>
      <w:r>
        <w:rPr>
          <w:rFonts w:ascii="sans-serif" w:eastAsia="sans-serif" w:hAnsi="sans-serif" w:cs="sans-serif"/>
          <w:color w:val="000000"/>
          <w:sz w:val="20"/>
          <w:szCs w:val="20"/>
        </w:rPr>
        <w:t>xes lower than the U.S. federal statutory tax rate, and tax benefits related to the U.S. federal research tax credit and stock-based compensation.</w:t>
      </w:r>
    </w:p>
    <w:p w14:paraId="19502B76" w14:textId="77777777" w:rsidR="00BF3A3A" w:rsidRDefault="00BF3A3A">
      <w:pPr>
        <w:jc w:val="both"/>
      </w:pPr>
    </w:p>
    <w:p w14:paraId="19502B77" w14:textId="77777777" w:rsidR="00BF3A3A" w:rsidRDefault="00A76802">
      <w:pPr>
        <w:spacing w:after="180"/>
        <w:jc w:val="both"/>
      </w:pPr>
      <w:r>
        <w:rPr>
          <w:rFonts w:ascii="sans-serif" w:eastAsia="sans-serif" w:hAnsi="sans-serif" w:cs="sans-serif"/>
          <w:color w:val="000000"/>
          <w:sz w:val="20"/>
          <w:szCs w:val="20"/>
        </w:rPr>
        <w:t xml:space="preserve">For the first half of fiscal year 2023, there were no material changes to our tax years that remain subject </w:t>
      </w:r>
      <w:r>
        <w:rPr>
          <w:rFonts w:ascii="sans-serif" w:eastAsia="sans-serif" w:hAnsi="sans-serif" w:cs="sans-serif"/>
          <w:color w:val="000000"/>
          <w:sz w:val="20"/>
          <w:szCs w:val="20"/>
        </w:rPr>
        <w:t>to examination by major tax jurisdictions. We are currently under examination by the Internal Revenue Service for our fiscal years 2018 and 2019. Additionally, there have been no material changes to our unrecognized tax benefits and any related interest or</w:t>
      </w:r>
      <w:r>
        <w:rPr>
          <w:rFonts w:ascii="sans-serif" w:eastAsia="sans-serif" w:hAnsi="sans-serif" w:cs="sans-serif"/>
          <w:color w:val="000000"/>
          <w:sz w:val="20"/>
          <w:szCs w:val="20"/>
        </w:rPr>
        <w:t xml:space="preserve"> penalties since the fiscal year ended January 30, 2022.</w:t>
      </w:r>
    </w:p>
    <w:p w14:paraId="19502B78" w14:textId="77777777" w:rsidR="00BF3A3A" w:rsidRDefault="00A76802">
      <w:pPr>
        <w:spacing w:after="180"/>
        <w:jc w:val="center"/>
      </w:pPr>
      <w:r>
        <w:rPr>
          <w:rFonts w:ascii="sans-serif" w:eastAsia="sans-serif" w:hAnsi="sans-serif" w:cs="sans-serif"/>
          <w:color w:val="000000"/>
          <w:sz w:val="20"/>
          <w:szCs w:val="20"/>
        </w:rPr>
        <w:t>12</w:t>
      </w:r>
    </w:p>
    <w:p w14:paraId="19502B79" w14:textId="77777777" w:rsidR="00BF3A3A" w:rsidRDefault="00A76802">
      <w:r>
        <w:pict w14:anchorId="19503FD1">
          <v:rect id="_x0000_i1036" style="width:415.3pt;height:1.5pt" o:hralign="center" o:hrstd="t" o:hr="t" fillcolor="#a0a0a0" stroked="f"/>
        </w:pict>
      </w:r>
    </w:p>
    <w:p w14:paraId="19502B7A" w14:textId="77777777" w:rsidR="00BF3A3A" w:rsidRDefault="00A76802">
      <w:pPr>
        <w:jc w:val="center"/>
      </w:pPr>
      <w:r>
        <w:rPr>
          <w:rFonts w:ascii="sans-serif" w:eastAsia="sans-serif" w:hAnsi="sans-serif" w:cs="sans-serif"/>
          <w:b/>
          <w:bCs/>
          <w:color w:val="000000"/>
          <w:sz w:val="20"/>
          <w:szCs w:val="20"/>
        </w:rPr>
        <w:t>NVIDIA CORPORATION AND SUBSIDIARIES</w:t>
      </w:r>
    </w:p>
    <w:p w14:paraId="19502B7B" w14:textId="77777777" w:rsidR="00BF3A3A" w:rsidRDefault="00A76802">
      <w:pPr>
        <w:jc w:val="center"/>
      </w:pPr>
      <w:r>
        <w:rPr>
          <w:rFonts w:ascii="sans-serif" w:eastAsia="sans-serif" w:hAnsi="sans-serif" w:cs="sans-serif"/>
          <w:b/>
          <w:bCs/>
          <w:color w:val="000000"/>
          <w:sz w:val="20"/>
          <w:szCs w:val="20"/>
        </w:rPr>
        <w:t>NOTES TO CONDENSED CONSOLIDATED FINANCIAL STATEMENTS (Continued)</w:t>
      </w:r>
    </w:p>
    <w:p w14:paraId="19502B7C" w14:textId="77777777" w:rsidR="00BF3A3A" w:rsidRDefault="00A76802">
      <w:pPr>
        <w:jc w:val="center"/>
      </w:pPr>
      <w:r>
        <w:rPr>
          <w:rFonts w:ascii="sans-serif" w:eastAsia="sans-serif" w:hAnsi="sans-serif" w:cs="sans-serif"/>
          <w:b/>
          <w:bCs/>
          <w:color w:val="000000"/>
          <w:sz w:val="20"/>
          <w:szCs w:val="20"/>
        </w:rPr>
        <w:t>(Unaudited)</w:t>
      </w:r>
    </w:p>
    <w:p w14:paraId="19502B7D" w14:textId="77777777" w:rsidR="00BF3A3A" w:rsidRDefault="00BF3A3A">
      <w:pPr>
        <w:spacing w:after="180"/>
        <w:jc w:val="both"/>
      </w:pPr>
    </w:p>
    <w:p w14:paraId="19502B7E" w14:textId="77777777" w:rsidR="00BF3A3A" w:rsidRDefault="00BF3A3A">
      <w:pPr>
        <w:spacing w:after="180"/>
        <w:jc w:val="both"/>
      </w:pPr>
    </w:p>
    <w:p w14:paraId="19502B7F" w14:textId="77777777" w:rsidR="00BF3A3A" w:rsidRDefault="00A76802">
      <w:pPr>
        <w:spacing w:after="180"/>
        <w:jc w:val="both"/>
      </w:pPr>
      <w:r>
        <w:rPr>
          <w:rFonts w:ascii="sans-serif" w:eastAsia="sans-serif" w:hAnsi="sans-serif" w:cs="sans-serif"/>
          <w:color w:val="000000"/>
          <w:sz w:val="20"/>
          <w:szCs w:val="20"/>
        </w:rPr>
        <w:t>While we believe that we have adequately provided for all uncertain tax positio</w:t>
      </w:r>
      <w:r>
        <w:rPr>
          <w:rFonts w:ascii="sans-serif" w:eastAsia="sans-serif" w:hAnsi="sans-serif" w:cs="sans-serif"/>
          <w:color w:val="000000"/>
          <w:sz w:val="20"/>
          <w:szCs w:val="20"/>
        </w:rPr>
        <w:t xml:space="preserve">ns, or tax positions where we believe it is not more-likely-than-not that the position will be sustained upon review, amounts asserted by tax authorities could be greater or less than our accrued position. Accordingly, our provisions on federal, state and </w:t>
      </w:r>
      <w:r>
        <w:rPr>
          <w:rFonts w:ascii="sans-serif" w:eastAsia="sans-serif" w:hAnsi="sans-serif" w:cs="sans-serif"/>
          <w:color w:val="000000"/>
          <w:sz w:val="20"/>
          <w:szCs w:val="20"/>
        </w:rPr>
        <w:t>foreign tax related matters to be recorded in the future may change as revised estimates are made or the underlying matters are settled or otherwise resolved with the respective tax authorities. As of July 31, 2022, we do not believe that our estimates, as</w:t>
      </w:r>
      <w:r>
        <w:rPr>
          <w:rFonts w:ascii="sans-serif" w:eastAsia="sans-serif" w:hAnsi="sans-serif" w:cs="sans-serif"/>
          <w:color w:val="000000"/>
          <w:sz w:val="20"/>
          <w:szCs w:val="20"/>
        </w:rPr>
        <w:t xml:space="preserve"> otherwise provided for, on such tax positions will significantly increase or decrease within the next 12 months.</w:t>
      </w:r>
    </w:p>
    <w:p w14:paraId="19502B80" w14:textId="77777777" w:rsidR="00BF3A3A" w:rsidRDefault="00A76802">
      <w:pPr>
        <w:spacing w:before="240" w:after="120"/>
        <w:jc w:val="both"/>
      </w:pPr>
      <w:r>
        <w:rPr>
          <w:rFonts w:ascii="sans-serif" w:eastAsia="sans-serif" w:hAnsi="sans-serif" w:cs="sans-serif"/>
          <w:b/>
          <w:bCs/>
          <w:color w:val="76B900"/>
          <w:sz w:val="22"/>
          <w:szCs w:val="22"/>
        </w:rPr>
        <w:t>Note 7 - Cash Equivalents and Marketable Securities</w:t>
      </w:r>
      <w:r>
        <w:rPr>
          <w:rFonts w:ascii="sans-serif" w:eastAsia="sans-serif" w:hAnsi="sans-serif" w:cs="sans-serif"/>
          <w:color w:val="000000"/>
          <w:sz w:val="20"/>
          <w:szCs w:val="20"/>
        </w:rPr>
        <w:t> </w:t>
      </w:r>
    </w:p>
    <w:p w14:paraId="19502B81" w14:textId="77777777" w:rsidR="00BF3A3A" w:rsidRDefault="00A76802">
      <w:pPr>
        <w:spacing w:after="180"/>
        <w:jc w:val="both"/>
      </w:pPr>
      <w:r>
        <w:rPr>
          <w:rFonts w:ascii="sans-serif" w:eastAsia="sans-serif" w:hAnsi="sans-serif" w:cs="sans-serif"/>
          <w:color w:val="000000"/>
          <w:sz w:val="20"/>
          <w:szCs w:val="20"/>
        </w:rPr>
        <w:t xml:space="preserve">Our cash equivalents and marketable securities related to debt securities are classified </w:t>
      </w:r>
      <w:r>
        <w:rPr>
          <w:rFonts w:ascii="sans-serif" w:eastAsia="sans-serif" w:hAnsi="sans-serif" w:cs="sans-serif"/>
          <w:color w:val="000000"/>
          <w:sz w:val="20"/>
          <w:szCs w:val="20"/>
        </w:rPr>
        <w:t>as “available-for-sale” debt securities.</w:t>
      </w:r>
    </w:p>
    <w:p w14:paraId="19502B82" w14:textId="77777777" w:rsidR="00BF3A3A" w:rsidRDefault="00A76802">
      <w:pPr>
        <w:spacing w:after="180"/>
        <w:jc w:val="both"/>
      </w:pPr>
      <w:r>
        <w:rPr>
          <w:rFonts w:ascii="sans-serif" w:eastAsia="sans-serif" w:hAnsi="sans-serif" w:cs="sans-serif"/>
          <w:color w:val="000000"/>
          <w:sz w:val="20"/>
          <w:szCs w:val="20"/>
        </w:rPr>
        <w:t>The following is a summary of cash equivalents and marketable securities as of July 31, 2022 and January 30, 2022:</w:t>
      </w:r>
    </w:p>
    <w:tbl>
      <w:tblPr>
        <w:tblW w:w="4971" w:type="pct"/>
        <w:tblCellMar>
          <w:top w:w="15" w:type="dxa"/>
          <w:left w:w="15" w:type="dxa"/>
          <w:bottom w:w="15" w:type="dxa"/>
          <w:right w:w="15" w:type="dxa"/>
        </w:tblCellMar>
        <w:tblLook w:val="04A0" w:firstRow="1" w:lastRow="0" w:firstColumn="1" w:lastColumn="0" w:noHBand="0" w:noVBand="1"/>
      </w:tblPr>
      <w:tblGrid>
        <w:gridCol w:w="38"/>
        <w:gridCol w:w="1627"/>
        <w:gridCol w:w="37"/>
        <w:gridCol w:w="123"/>
        <w:gridCol w:w="816"/>
        <w:gridCol w:w="36"/>
        <w:gridCol w:w="36"/>
        <w:gridCol w:w="36"/>
        <w:gridCol w:w="36"/>
        <w:gridCol w:w="123"/>
        <w:gridCol w:w="842"/>
        <w:gridCol w:w="36"/>
        <w:gridCol w:w="36"/>
        <w:gridCol w:w="36"/>
        <w:gridCol w:w="36"/>
        <w:gridCol w:w="123"/>
        <w:gridCol w:w="839"/>
        <w:gridCol w:w="36"/>
        <w:gridCol w:w="36"/>
        <w:gridCol w:w="36"/>
        <w:gridCol w:w="36"/>
        <w:gridCol w:w="123"/>
        <w:gridCol w:w="785"/>
        <w:gridCol w:w="36"/>
        <w:gridCol w:w="36"/>
        <w:gridCol w:w="36"/>
        <w:gridCol w:w="36"/>
        <w:gridCol w:w="123"/>
        <w:gridCol w:w="904"/>
        <w:gridCol w:w="36"/>
        <w:gridCol w:w="36"/>
        <w:gridCol w:w="36"/>
        <w:gridCol w:w="36"/>
        <w:gridCol w:w="123"/>
        <w:gridCol w:w="906"/>
        <w:gridCol w:w="36"/>
      </w:tblGrid>
      <w:tr w:rsidR="00BF3A3A" w14:paraId="19502BA7" w14:textId="77777777">
        <w:tc>
          <w:tcPr>
            <w:tcW w:w="50" w:type="pct"/>
            <w:shd w:val="clear" w:color="auto" w:fill="auto"/>
            <w:vAlign w:val="bottom"/>
          </w:tcPr>
          <w:p w14:paraId="19502B83" w14:textId="77777777" w:rsidR="00BF3A3A" w:rsidRDefault="00BF3A3A">
            <w:pPr>
              <w:rPr>
                <w:rFonts w:ascii="宋体"/>
              </w:rPr>
            </w:pPr>
          </w:p>
        </w:tc>
        <w:tc>
          <w:tcPr>
            <w:tcW w:w="1481" w:type="pct"/>
            <w:shd w:val="clear" w:color="auto" w:fill="auto"/>
            <w:vAlign w:val="bottom"/>
          </w:tcPr>
          <w:p w14:paraId="19502B84" w14:textId="77777777" w:rsidR="00BF3A3A" w:rsidRDefault="00BF3A3A">
            <w:pPr>
              <w:rPr>
                <w:rFonts w:ascii="宋体"/>
              </w:rPr>
            </w:pPr>
          </w:p>
        </w:tc>
        <w:tc>
          <w:tcPr>
            <w:tcW w:w="5" w:type="pct"/>
            <w:shd w:val="clear" w:color="auto" w:fill="auto"/>
            <w:vAlign w:val="bottom"/>
          </w:tcPr>
          <w:p w14:paraId="19502B85" w14:textId="77777777" w:rsidR="00BF3A3A" w:rsidRDefault="00BF3A3A">
            <w:pPr>
              <w:rPr>
                <w:rFonts w:ascii="宋体"/>
              </w:rPr>
            </w:pPr>
          </w:p>
        </w:tc>
        <w:tc>
          <w:tcPr>
            <w:tcW w:w="50" w:type="pct"/>
            <w:shd w:val="clear" w:color="auto" w:fill="auto"/>
            <w:vAlign w:val="bottom"/>
          </w:tcPr>
          <w:p w14:paraId="19502B86" w14:textId="77777777" w:rsidR="00BF3A3A" w:rsidRDefault="00BF3A3A">
            <w:pPr>
              <w:rPr>
                <w:rFonts w:ascii="宋体"/>
              </w:rPr>
            </w:pPr>
          </w:p>
        </w:tc>
        <w:tc>
          <w:tcPr>
            <w:tcW w:w="481" w:type="pct"/>
            <w:shd w:val="clear" w:color="auto" w:fill="auto"/>
            <w:vAlign w:val="bottom"/>
          </w:tcPr>
          <w:p w14:paraId="19502B87" w14:textId="77777777" w:rsidR="00BF3A3A" w:rsidRDefault="00BF3A3A">
            <w:pPr>
              <w:rPr>
                <w:rFonts w:ascii="宋体"/>
              </w:rPr>
            </w:pPr>
          </w:p>
        </w:tc>
        <w:tc>
          <w:tcPr>
            <w:tcW w:w="5" w:type="pct"/>
            <w:shd w:val="clear" w:color="auto" w:fill="auto"/>
            <w:vAlign w:val="bottom"/>
          </w:tcPr>
          <w:p w14:paraId="19502B88" w14:textId="77777777" w:rsidR="00BF3A3A" w:rsidRDefault="00BF3A3A">
            <w:pPr>
              <w:rPr>
                <w:rFonts w:ascii="宋体"/>
              </w:rPr>
            </w:pPr>
          </w:p>
        </w:tc>
        <w:tc>
          <w:tcPr>
            <w:tcW w:w="5" w:type="pct"/>
            <w:shd w:val="clear" w:color="auto" w:fill="auto"/>
            <w:vAlign w:val="bottom"/>
          </w:tcPr>
          <w:p w14:paraId="19502B89" w14:textId="77777777" w:rsidR="00BF3A3A" w:rsidRDefault="00BF3A3A">
            <w:pPr>
              <w:rPr>
                <w:rFonts w:ascii="宋体"/>
              </w:rPr>
            </w:pPr>
          </w:p>
        </w:tc>
        <w:tc>
          <w:tcPr>
            <w:tcW w:w="26" w:type="pct"/>
            <w:shd w:val="clear" w:color="auto" w:fill="auto"/>
            <w:vAlign w:val="bottom"/>
          </w:tcPr>
          <w:p w14:paraId="19502B8A" w14:textId="77777777" w:rsidR="00BF3A3A" w:rsidRDefault="00BF3A3A">
            <w:pPr>
              <w:rPr>
                <w:rFonts w:ascii="宋体"/>
              </w:rPr>
            </w:pPr>
          </w:p>
        </w:tc>
        <w:tc>
          <w:tcPr>
            <w:tcW w:w="5" w:type="pct"/>
            <w:shd w:val="clear" w:color="auto" w:fill="auto"/>
            <w:vAlign w:val="bottom"/>
          </w:tcPr>
          <w:p w14:paraId="19502B8B" w14:textId="77777777" w:rsidR="00BF3A3A" w:rsidRDefault="00BF3A3A">
            <w:pPr>
              <w:rPr>
                <w:rFonts w:ascii="宋体"/>
              </w:rPr>
            </w:pPr>
          </w:p>
        </w:tc>
        <w:tc>
          <w:tcPr>
            <w:tcW w:w="50" w:type="pct"/>
            <w:shd w:val="clear" w:color="auto" w:fill="auto"/>
            <w:vAlign w:val="bottom"/>
          </w:tcPr>
          <w:p w14:paraId="19502B8C" w14:textId="77777777" w:rsidR="00BF3A3A" w:rsidRDefault="00BF3A3A">
            <w:pPr>
              <w:rPr>
                <w:rFonts w:ascii="宋体"/>
              </w:rPr>
            </w:pPr>
          </w:p>
        </w:tc>
        <w:tc>
          <w:tcPr>
            <w:tcW w:w="496" w:type="pct"/>
            <w:shd w:val="clear" w:color="auto" w:fill="auto"/>
            <w:vAlign w:val="bottom"/>
          </w:tcPr>
          <w:p w14:paraId="19502B8D" w14:textId="77777777" w:rsidR="00BF3A3A" w:rsidRDefault="00BF3A3A">
            <w:pPr>
              <w:rPr>
                <w:rFonts w:ascii="宋体"/>
              </w:rPr>
            </w:pPr>
          </w:p>
        </w:tc>
        <w:tc>
          <w:tcPr>
            <w:tcW w:w="5" w:type="pct"/>
            <w:shd w:val="clear" w:color="auto" w:fill="auto"/>
            <w:vAlign w:val="bottom"/>
          </w:tcPr>
          <w:p w14:paraId="19502B8E" w14:textId="77777777" w:rsidR="00BF3A3A" w:rsidRDefault="00BF3A3A">
            <w:pPr>
              <w:rPr>
                <w:rFonts w:ascii="宋体"/>
              </w:rPr>
            </w:pPr>
          </w:p>
        </w:tc>
        <w:tc>
          <w:tcPr>
            <w:tcW w:w="5" w:type="pct"/>
            <w:shd w:val="clear" w:color="auto" w:fill="auto"/>
            <w:vAlign w:val="bottom"/>
          </w:tcPr>
          <w:p w14:paraId="19502B8F" w14:textId="77777777" w:rsidR="00BF3A3A" w:rsidRDefault="00BF3A3A">
            <w:pPr>
              <w:rPr>
                <w:rFonts w:ascii="宋体"/>
              </w:rPr>
            </w:pPr>
          </w:p>
        </w:tc>
        <w:tc>
          <w:tcPr>
            <w:tcW w:w="26" w:type="pct"/>
            <w:shd w:val="clear" w:color="auto" w:fill="auto"/>
            <w:vAlign w:val="bottom"/>
          </w:tcPr>
          <w:p w14:paraId="19502B90" w14:textId="77777777" w:rsidR="00BF3A3A" w:rsidRDefault="00BF3A3A">
            <w:pPr>
              <w:rPr>
                <w:rFonts w:ascii="宋体"/>
              </w:rPr>
            </w:pPr>
          </w:p>
        </w:tc>
        <w:tc>
          <w:tcPr>
            <w:tcW w:w="5" w:type="pct"/>
            <w:shd w:val="clear" w:color="auto" w:fill="auto"/>
            <w:vAlign w:val="bottom"/>
          </w:tcPr>
          <w:p w14:paraId="19502B91" w14:textId="77777777" w:rsidR="00BF3A3A" w:rsidRDefault="00BF3A3A">
            <w:pPr>
              <w:rPr>
                <w:rFonts w:ascii="宋体"/>
              </w:rPr>
            </w:pPr>
          </w:p>
        </w:tc>
        <w:tc>
          <w:tcPr>
            <w:tcW w:w="50" w:type="pct"/>
            <w:shd w:val="clear" w:color="auto" w:fill="auto"/>
            <w:vAlign w:val="bottom"/>
          </w:tcPr>
          <w:p w14:paraId="19502B92" w14:textId="77777777" w:rsidR="00BF3A3A" w:rsidRDefault="00BF3A3A">
            <w:pPr>
              <w:rPr>
                <w:rFonts w:ascii="宋体"/>
              </w:rPr>
            </w:pPr>
          </w:p>
        </w:tc>
        <w:tc>
          <w:tcPr>
            <w:tcW w:w="481" w:type="pct"/>
            <w:shd w:val="clear" w:color="auto" w:fill="auto"/>
            <w:vAlign w:val="bottom"/>
          </w:tcPr>
          <w:p w14:paraId="19502B93" w14:textId="77777777" w:rsidR="00BF3A3A" w:rsidRDefault="00BF3A3A">
            <w:pPr>
              <w:rPr>
                <w:rFonts w:ascii="宋体"/>
              </w:rPr>
            </w:pPr>
          </w:p>
        </w:tc>
        <w:tc>
          <w:tcPr>
            <w:tcW w:w="5" w:type="pct"/>
            <w:shd w:val="clear" w:color="auto" w:fill="auto"/>
            <w:vAlign w:val="bottom"/>
          </w:tcPr>
          <w:p w14:paraId="19502B94" w14:textId="77777777" w:rsidR="00BF3A3A" w:rsidRDefault="00BF3A3A">
            <w:pPr>
              <w:rPr>
                <w:rFonts w:ascii="宋体"/>
              </w:rPr>
            </w:pPr>
          </w:p>
        </w:tc>
        <w:tc>
          <w:tcPr>
            <w:tcW w:w="5" w:type="pct"/>
            <w:shd w:val="clear" w:color="auto" w:fill="auto"/>
            <w:vAlign w:val="bottom"/>
          </w:tcPr>
          <w:p w14:paraId="19502B95" w14:textId="77777777" w:rsidR="00BF3A3A" w:rsidRDefault="00BF3A3A">
            <w:pPr>
              <w:rPr>
                <w:rFonts w:ascii="宋体"/>
              </w:rPr>
            </w:pPr>
          </w:p>
        </w:tc>
        <w:tc>
          <w:tcPr>
            <w:tcW w:w="26" w:type="pct"/>
            <w:shd w:val="clear" w:color="auto" w:fill="auto"/>
            <w:vAlign w:val="bottom"/>
          </w:tcPr>
          <w:p w14:paraId="19502B96" w14:textId="77777777" w:rsidR="00BF3A3A" w:rsidRDefault="00BF3A3A">
            <w:pPr>
              <w:rPr>
                <w:rFonts w:ascii="宋体"/>
              </w:rPr>
            </w:pPr>
          </w:p>
        </w:tc>
        <w:tc>
          <w:tcPr>
            <w:tcW w:w="5" w:type="pct"/>
            <w:shd w:val="clear" w:color="auto" w:fill="auto"/>
            <w:vAlign w:val="bottom"/>
          </w:tcPr>
          <w:p w14:paraId="19502B97" w14:textId="77777777" w:rsidR="00BF3A3A" w:rsidRDefault="00BF3A3A">
            <w:pPr>
              <w:rPr>
                <w:rFonts w:ascii="宋体"/>
              </w:rPr>
            </w:pPr>
          </w:p>
        </w:tc>
        <w:tc>
          <w:tcPr>
            <w:tcW w:w="50" w:type="pct"/>
            <w:shd w:val="clear" w:color="auto" w:fill="auto"/>
            <w:vAlign w:val="bottom"/>
          </w:tcPr>
          <w:p w14:paraId="19502B98" w14:textId="77777777" w:rsidR="00BF3A3A" w:rsidRDefault="00BF3A3A">
            <w:pPr>
              <w:rPr>
                <w:rFonts w:ascii="宋体"/>
              </w:rPr>
            </w:pPr>
          </w:p>
        </w:tc>
        <w:tc>
          <w:tcPr>
            <w:tcW w:w="481" w:type="pct"/>
            <w:shd w:val="clear" w:color="auto" w:fill="auto"/>
            <w:vAlign w:val="bottom"/>
          </w:tcPr>
          <w:p w14:paraId="19502B99" w14:textId="77777777" w:rsidR="00BF3A3A" w:rsidRDefault="00BF3A3A">
            <w:pPr>
              <w:rPr>
                <w:rFonts w:ascii="宋体"/>
              </w:rPr>
            </w:pPr>
          </w:p>
        </w:tc>
        <w:tc>
          <w:tcPr>
            <w:tcW w:w="5" w:type="pct"/>
            <w:shd w:val="clear" w:color="auto" w:fill="auto"/>
            <w:vAlign w:val="bottom"/>
          </w:tcPr>
          <w:p w14:paraId="19502B9A" w14:textId="77777777" w:rsidR="00BF3A3A" w:rsidRDefault="00BF3A3A">
            <w:pPr>
              <w:rPr>
                <w:rFonts w:ascii="宋体"/>
              </w:rPr>
            </w:pPr>
          </w:p>
        </w:tc>
        <w:tc>
          <w:tcPr>
            <w:tcW w:w="5" w:type="pct"/>
            <w:shd w:val="clear" w:color="auto" w:fill="auto"/>
            <w:vAlign w:val="bottom"/>
          </w:tcPr>
          <w:p w14:paraId="19502B9B" w14:textId="77777777" w:rsidR="00BF3A3A" w:rsidRDefault="00BF3A3A">
            <w:pPr>
              <w:rPr>
                <w:rFonts w:ascii="宋体"/>
              </w:rPr>
            </w:pPr>
          </w:p>
        </w:tc>
        <w:tc>
          <w:tcPr>
            <w:tcW w:w="26" w:type="pct"/>
            <w:shd w:val="clear" w:color="auto" w:fill="auto"/>
            <w:vAlign w:val="bottom"/>
          </w:tcPr>
          <w:p w14:paraId="19502B9C" w14:textId="77777777" w:rsidR="00BF3A3A" w:rsidRDefault="00BF3A3A">
            <w:pPr>
              <w:rPr>
                <w:rFonts w:ascii="宋体"/>
              </w:rPr>
            </w:pPr>
          </w:p>
        </w:tc>
        <w:tc>
          <w:tcPr>
            <w:tcW w:w="5" w:type="pct"/>
            <w:shd w:val="clear" w:color="auto" w:fill="auto"/>
            <w:vAlign w:val="bottom"/>
          </w:tcPr>
          <w:p w14:paraId="19502B9D" w14:textId="77777777" w:rsidR="00BF3A3A" w:rsidRDefault="00BF3A3A">
            <w:pPr>
              <w:rPr>
                <w:rFonts w:ascii="宋体"/>
              </w:rPr>
            </w:pPr>
          </w:p>
        </w:tc>
        <w:tc>
          <w:tcPr>
            <w:tcW w:w="50" w:type="pct"/>
            <w:shd w:val="clear" w:color="auto" w:fill="auto"/>
            <w:vAlign w:val="bottom"/>
          </w:tcPr>
          <w:p w14:paraId="19502B9E" w14:textId="77777777" w:rsidR="00BF3A3A" w:rsidRDefault="00BF3A3A">
            <w:pPr>
              <w:rPr>
                <w:rFonts w:ascii="宋体"/>
              </w:rPr>
            </w:pPr>
          </w:p>
        </w:tc>
        <w:tc>
          <w:tcPr>
            <w:tcW w:w="511" w:type="pct"/>
            <w:shd w:val="clear" w:color="auto" w:fill="auto"/>
            <w:vAlign w:val="bottom"/>
          </w:tcPr>
          <w:p w14:paraId="19502B9F" w14:textId="77777777" w:rsidR="00BF3A3A" w:rsidRDefault="00BF3A3A">
            <w:pPr>
              <w:rPr>
                <w:rFonts w:ascii="宋体"/>
              </w:rPr>
            </w:pPr>
          </w:p>
        </w:tc>
        <w:tc>
          <w:tcPr>
            <w:tcW w:w="5" w:type="pct"/>
            <w:shd w:val="clear" w:color="auto" w:fill="auto"/>
            <w:vAlign w:val="bottom"/>
          </w:tcPr>
          <w:p w14:paraId="19502BA0" w14:textId="77777777" w:rsidR="00BF3A3A" w:rsidRDefault="00BF3A3A">
            <w:pPr>
              <w:rPr>
                <w:rFonts w:ascii="宋体"/>
              </w:rPr>
            </w:pPr>
          </w:p>
        </w:tc>
        <w:tc>
          <w:tcPr>
            <w:tcW w:w="5" w:type="pct"/>
            <w:shd w:val="clear" w:color="auto" w:fill="auto"/>
            <w:vAlign w:val="bottom"/>
          </w:tcPr>
          <w:p w14:paraId="19502BA1" w14:textId="77777777" w:rsidR="00BF3A3A" w:rsidRDefault="00BF3A3A">
            <w:pPr>
              <w:rPr>
                <w:rFonts w:ascii="宋体"/>
              </w:rPr>
            </w:pPr>
          </w:p>
        </w:tc>
        <w:tc>
          <w:tcPr>
            <w:tcW w:w="26" w:type="pct"/>
            <w:shd w:val="clear" w:color="auto" w:fill="auto"/>
            <w:vAlign w:val="bottom"/>
          </w:tcPr>
          <w:p w14:paraId="19502BA2" w14:textId="77777777" w:rsidR="00BF3A3A" w:rsidRDefault="00BF3A3A">
            <w:pPr>
              <w:rPr>
                <w:rFonts w:ascii="宋体"/>
              </w:rPr>
            </w:pPr>
          </w:p>
        </w:tc>
        <w:tc>
          <w:tcPr>
            <w:tcW w:w="5" w:type="pct"/>
            <w:shd w:val="clear" w:color="auto" w:fill="auto"/>
            <w:vAlign w:val="bottom"/>
          </w:tcPr>
          <w:p w14:paraId="19502BA3" w14:textId="77777777" w:rsidR="00BF3A3A" w:rsidRDefault="00BF3A3A">
            <w:pPr>
              <w:rPr>
                <w:rFonts w:ascii="宋体"/>
              </w:rPr>
            </w:pPr>
          </w:p>
        </w:tc>
        <w:tc>
          <w:tcPr>
            <w:tcW w:w="50" w:type="pct"/>
            <w:shd w:val="clear" w:color="auto" w:fill="auto"/>
            <w:vAlign w:val="bottom"/>
          </w:tcPr>
          <w:p w14:paraId="19502BA4" w14:textId="77777777" w:rsidR="00BF3A3A" w:rsidRDefault="00BF3A3A">
            <w:pPr>
              <w:rPr>
                <w:rFonts w:ascii="宋体"/>
              </w:rPr>
            </w:pPr>
          </w:p>
        </w:tc>
        <w:tc>
          <w:tcPr>
            <w:tcW w:w="496" w:type="pct"/>
            <w:shd w:val="clear" w:color="auto" w:fill="auto"/>
            <w:vAlign w:val="bottom"/>
          </w:tcPr>
          <w:p w14:paraId="19502BA5" w14:textId="77777777" w:rsidR="00BF3A3A" w:rsidRDefault="00BF3A3A">
            <w:pPr>
              <w:rPr>
                <w:rFonts w:ascii="宋体"/>
              </w:rPr>
            </w:pPr>
          </w:p>
        </w:tc>
        <w:tc>
          <w:tcPr>
            <w:tcW w:w="5" w:type="pct"/>
            <w:shd w:val="clear" w:color="auto" w:fill="auto"/>
            <w:vAlign w:val="bottom"/>
          </w:tcPr>
          <w:p w14:paraId="19502BA6" w14:textId="77777777" w:rsidR="00BF3A3A" w:rsidRDefault="00BF3A3A">
            <w:pPr>
              <w:rPr>
                <w:rFonts w:ascii="宋体"/>
              </w:rPr>
            </w:pPr>
          </w:p>
        </w:tc>
      </w:tr>
      <w:tr w:rsidR="00BF3A3A" w14:paraId="19502BAA" w14:textId="77777777">
        <w:tc>
          <w:tcPr>
            <w:tcW w:w="0" w:type="auto"/>
            <w:gridSpan w:val="3"/>
            <w:shd w:val="clear" w:color="auto" w:fill="auto"/>
            <w:tcMar>
              <w:top w:w="40" w:type="dxa"/>
              <w:left w:w="20" w:type="dxa"/>
              <w:bottom w:w="40" w:type="dxa"/>
              <w:right w:w="20" w:type="dxa"/>
            </w:tcMar>
            <w:vAlign w:val="bottom"/>
          </w:tcPr>
          <w:p w14:paraId="19502BA8" w14:textId="77777777" w:rsidR="00BF3A3A" w:rsidRDefault="00A76802">
            <w:pPr>
              <w:textAlignment w:val="bottom"/>
            </w:pPr>
            <w:r>
              <w:rPr>
                <w:rFonts w:ascii="sans-serif" w:eastAsia="sans-serif" w:hAnsi="sans-serif" w:cs="sans-serif"/>
                <w:color w:val="000000"/>
                <w:sz w:val="20"/>
                <w:szCs w:val="20"/>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19502BA9" w14:textId="77777777" w:rsidR="00BF3A3A" w:rsidRDefault="00A76802">
            <w:pPr>
              <w:jc w:val="center"/>
              <w:textAlignment w:val="bottom"/>
            </w:pPr>
            <w:r>
              <w:rPr>
                <w:rFonts w:ascii="sans-serif" w:eastAsia="sans-serif" w:hAnsi="sans-serif" w:cs="sans-serif"/>
                <w:b/>
                <w:bCs/>
                <w:color w:val="000000"/>
                <w:sz w:val="20"/>
                <w:szCs w:val="20"/>
              </w:rPr>
              <w:t>July 31, 2022</w:t>
            </w:r>
          </w:p>
        </w:tc>
      </w:tr>
      <w:tr w:rsidR="00BF3A3A" w14:paraId="19502BB5" w14:textId="77777777">
        <w:trPr>
          <w:trHeight w:val="300"/>
        </w:trPr>
        <w:tc>
          <w:tcPr>
            <w:tcW w:w="0" w:type="auto"/>
            <w:gridSpan w:val="3"/>
            <w:shd w:val="clear" w:color="auto" w:fill="auto"/>
            <w:tcMar>
              <w:top w:w="0" w:type="dxa"/>
              <w:left w:w="20" w:type="dxa"/>
              <w:bottom w:w="0" w:type="dxa"/>
              <w:right w:w="20" w:type="dxa"/>
            </w:tcMar>
            <w:vAlign w:val="bottom"/>
          </w:tcPr>
          <w:p w14:paraId="19502BAB" w14:textId="77777777" w:rsidR="00BF3A3A" w:rsidRDefault="00BF3A3A">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9502BAC" w14:textId="77777777" w:rsidR="00BF3A3A" w:rsidRDefault="00A76802">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BAD" w14:textId="77777777" w:rsidR="00BF3A3A" w:rsidRDefault="00BF3A3A">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9502BAE" w14:textId="77777777" w:rsidR="00BF3A3A" w:rsidRDefault="00A76802">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Gain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BAF" w14:textId="77777777" w:rsidR="00BF3A3A" w:rsidRDefault="00BF3A3A">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9502BB0" w14:textId="77777777" w:rsidR="00BF3A3A" w:rsidRDefault="00A76802">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Loss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BB1" w14:textId="77777777" w:rsidR="00BF3A3A" w:rsidRDefault="00BF3A3A">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9502BB2" w14:textId="77777777" w:rsidR="00BF3A3A" w:rsidRDefault="00A76802">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BB3" w14:textId="77777777" w:rsidR="00BF3A3A" w:rsidRDefault="00BF3A3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9502BB4" w14:textId="77777777" w:rsidR="00BF3A3A" w:rsidRDefault="00A76802">
            <w:pPr>
              <w:jc w:val="center"/>
              <w:textAlignment w:val="bottom"/>
            </w:pPr>
            <w:r>
              <w:rPr>
                <w:rFonts w:ascii="sans-serif" w:eastAsia="sans-serif" w:hAnsi="sans-serif" w:cs="sans-serif"/>
                <w:b/>
                <w:bCs/>
                <w:color w:val="000000"/>
                <w:sz w:val="20"/>
                <w:szCs w:val="20"/>
              </w:rPr>
              <w:t>Reported as</w:t>
            </w:r>
          </w:p>
        </w:tc>
      </w:tr>
      <w:tr w:rsidR="00BF3A3A" w14:paraId="19502BC2" w14:textId="77777777">
        <w:trPr>
          <w:trHeight w:val="520"/>
        </w:trPr>
        <w:tc>
          <w:tcPr>
            <w:tcW w:w="0" w:type="auto"/>
            <w:gridSpan w:val="3"/>
            <w:shd w:val="clear" w:color="auto" w:fill="auto"/>
            <w:tcMar>
              <w:top w:w="40" w:type="dxa"/>
              <w:left w:w="20" w:type="dxa"/>
              <w:bottom w:w="40" w:type="dxa"/>
              <w:right w:w="20" w:type="dxa"/>
            </w:tcMar>
            <w:vAlign w:val="bottom"/>
          </w:tcPr>
          <w:p w14:paraId="19502BB6"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9502BB7" w14:textId="77777777" w:rsidR="00BF3A3A" w:rsidRDefault="00BF3A3A">
            <w:pPr>
              <w:jc w:val="center"/>
              <w:rPr>
                <w:rFonts w:ascii="宋体"/>
              </w:rPr>
            </w:pPr>
          </w:p>
        </w:tc>
        <w:tc>
          <w:tcPr>
            <w:tcW w:w="0" w:type="auto"/>
            <w:gridSpan w:val="3"/>
            <w:shd w:val="clear" w:color="auto" w:fill="auto"/>
            <w:tcMar>
              <w:top w:w="0" w:type="dxa"/>
              <w:left w:w="20" w:type="dxa"/>
              <w:bottom w:w="0" w:type="dxa"/>
              <w:right w:w="20" w:type="dxa"/>
            </w:tcMar>
            <w:vAlign w:val="bottom"/>
          </w:tcPr>
          <w:p w14:paraId="19502BB8" w14:textId="77777777" w:rsidR="00BF3A3A" w:rsidRDefault="00BF3A3A">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9502BB9" w14:textId="77777777" w:rsidR="00BF3A3A" w:rsidRDefault="00BF3A3A">
            <w:pPr>
              <w:jc w:val="center"/>
              <w:rPr>
                <w:rFonts w:ascii="宋体"/>
              </w:rPr>
            </w:pPr>
          </w:p>
        </w:tc>
        <w:tc>
          <w:tcPr>
            <w:tcW w:w="0" w:type="auto"/>
            <w:gridSpan w:val="3"/>
            <w:shd w:val="clear" w:color="auto" w:fill="auto"/>
            <w:tcMar>
              <w:top w:w="0" w:type="dxa"/>
              <w:left w:w="20" w:type="dxa"/>
              <w:bottom w:w="0" w:type="dxa"/>
              <w:right w:w="20" w:type="dxa"/>
            </w:tcMar>
            <w:vAlign w:val="bottom"/>
          </w:tcPr>
          <w:p w14:paraId="19502BBA" w14:textId="77777777" w:rsidR="00BF3A3A" w:rsidRDefault="00BF3A3A">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9502BBB" w14:textId="77777777" w:rsidR="00BF3A3A" w:rsidRDefault="00BF3A3A">
            <w:pPr>
              <w:jc w:val="center"/>
              <w:rPr>
                <w:rFonts w:ascii="宋体"/>
              </w:rPr>
            </w:pPr>
          </w:p>
        </w:tc>
        <w:tc>
          <w:tcPr>
            <w:tcW w:w="0" w:type="auto"/>
            <w:gridSpan w:val="3"/>
            <w:shd w:val="clear" w:color="auto" w:fill="auto"/>
            <w:tcMar>
              <w:top w:w="0" w:type="dxa"/>
              <w:left w:w="20" w:type="dxa"/>
              <w:bottom w:w="0" w:type="dxa"/>
              <w:right w:w="20" w:type="dxa"/>
            </w:tcMar>
            <w:vAlign w:val="bottom"/>
          </w:tcPr>
          <w:p w14:paraId="19502BBC" w14:textId="77777777" w:rsidR="00BF3A3A" w:rsidRDefault="00BF3A3A">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9502BBD" w14:textId="77777777" w:rsidR="00BF3A3A" w:rsidRDefault="00BF3A3A">
            <w:pPr>
              <w:jc w:val="center"/>
              <w:rPr>
                <w:rFonts w:ascii="宋体"/>
              </w:rPr>
            </w:pPr>
          </w:p>
        </w:tc>
        <w:tc>
          <w:tcPr>
            <w:tcW w:w="0" w:type="auto"/>
            <w:gridSpan w:val="3"/>
            <w:shd w:val="clear" w:color="auto" w:fill="auto"/>
            <w:tcMar>
              <w:top w:w="0" w:type="dxa"/>
              <w:left w:w="20" w:type="dxa"/>
              <w:bottom w:w="0" w:type="dxa"/>
              <w:right w:w="20" w:type="dxa"/>
            </w:tcMar>
            <w:vAlign w:val="bottom"/>
          </w:tcPr>
          <w:p w14:paraId="19502BBE"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BBF" w14:textId="77777777" w:rsidR="00BF3A3A" w:rsidRDefault="00A76802">
            <w:pPr>
              <w:jc w:val="center"/>
              <w:textAlignment w:val="bottom"/>
            </w:pPr>
            <w:r>
              <w:rPr>
                <w:rFonts w:ascii="sans-serif" w:eastAsia="sans-serif" w:hAnsi="sans-serif" w:cs="sans-serif"/>
                <w:b/>
                <w:bCs/>
                <w:color w:val="000000"/>
                <w:sz w:val="20"/>
                <w:szCs w:val="20"/>
              </w:rPr>
              <w:t>Cash Equivalents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BC0"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BC1" w14:textId="77777777" w:rsidR="00BF3A3A" w:rsidRDefault="00A76802">
            <w:pPr>
              <w:jc w:val="center"/>
              <w:textAlignment w:val="bottom"/>
            </w:pPr>
            <w:r>
              <w:rPr>
                <w:rFonts w:ascii="sans-serif" w:eastAsia="sans-serif" w:hAnsi="sans-serif" w:cs="sans-serif"/>
                <w:b/>
                <w:bCs/>
                <w:color w:val="000000"/>
                <w:sz w:val="20"/>
                <w:szCs w:val="20"/>
              </w:rPr>
              <w:t>Marketable Securities</w:t>
            </w:r>
          </w:p>
        </w:tc>
      </w:tr>
      <w:tr w:rsidR="00BF3A3A" w14:paraId="19502BCF" w14:textId="77777777">
        <w:trPr>
          <w:trHeight w:val="60"/>
        </w:trPr>
        <w:tc>
          <w:tcPr>
            <w:tcW w:w="0" w:type="auto"/>
            <w:gridSpan w:val="3"/>
            <w:shd w:val="clear" w:color="auto" w:fill="auto"/>
            <w:tcMar>
              <w:top w:w="0" w:type="dxa"/>
              <w:left w:w="20" w:type="dxa"/>
              <w:bottom w:w="0" w:type="dxa"/>
              <w:right w:w="20" w:type="dxa"/>
            </w:tcMar>
            <w:vAlign w:val="bottom"/>
          </w:tcPr>
          <w:p w14:paraId="19502BC3"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BC4"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BC5"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BC6"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BC7"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BC8"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BC9"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BCA"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BCB"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BCC"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BCD"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BCE" w14:textId="77777777" w:rsidR="00BF3A3A" w:rsidRDefault="00BF3A3A">
            <w:pPr>
              <w:rPr>
                <w:rFonts w:ascii="宋体"/>
              </w:rPr>
            </w:pPr>
          </w:p>
        </w:tc>
      </w:tr>
      <w:tr w:rsidR="00BF3A3A" w14:paraId="19502BD2" w14:textId="77777777">
        <w:tc>
          <w:tcPr>
            <w:tcW w:w="0" w:type="auto"/>
            <w:gridSpan w:val="3"/>
            <w:shd w:val="clear" w:color="auto" w:fill="auto"/>
            <w:tcMar>
              <w:top w:w="40" w:type="dxa"/>
              <w:left w:w="20" w:type="dxa"/>
              <w:bottom w:w="40" w:type="dxa"/>
              <w:right w:w="20" w:type="dxa"/>
            </w:tcMar>
            <w:vAlign w:val="bottom"/>
          </w:tcPr>
          <w:p w14:paraId="19502BD0" w14:textId="77777777" w:rsidR="00BF3A3A" w:rsidRDefault="00A76802">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19502BD1" w14:textId="77777777" w:rsidR="00BF3A3A" w:rsidRDefault="00A76802">
            <w:pPr>
              <w:jc w:val="center"/>
              <w:textAlignment w:val="bottom"/>
            </w:pPr>
            <w:r>
              <w:rPr>
                <w:rFonts w:ascii="sans-serif" w:eastAsia="sans-serif" w:hAnsi="sans-serif" w:cs="sans-serif"/>
                <w:i/>
                <w:iCs/>
                <w:color w:val="000000"/>
                <w:sz w:val="20"/>
                <w:szCs w:val="20"/>
              </w:rPr>
              <w:t>(In millions)</w:t>
            </w:r>
          </w:p>
        </w:tc>
      </w:tr>
      <w:tr w:rsidR="00BF3A3A" w14:paraId="19502BEB" w14:textId="77777777">
        <w:tc>
          <w:tcPr>
            <w:tcW w:w="0" w:type="auto"/>
            <w:gridSpan w:val="3"/>
            <w:shd w:val="clear" w:color="auto" w:fill="E2EFD9"/>
            <w:tcMar>
              <w:top w:w="40" w:type="dxa"/>
              <w:left w:w="20" w:type="dxa"/>
              <w:bottom w:w="40" w:type="dxa"/>
              <w:right w:w="20" w:type="dxa"/>
            </w:tcMar>
            <w:vAlign w:val="bottom"/>
          </w:tcPr>
          <w:p w14:paraId="19502BD3" w14:textId="77777777" w:rsidR="00BF3A3A" w:rsidRDefault="00A76802">
            <w:pPr>
              <w:textAlignment w:val="bottom"/>
            </w:pPr>
            <w:r>
              <w:rPr>
                <w:rFonts w:ascii="sans-serif" w:eastAsia="sans-serif" w:hAnsi="sans-serif" w:cs="sans-serif"/>
                <w:color w:val="000000"/>
                <w:sz w:val="20"/>
                <w:szCs w:val="20"/>
              </w:rPr>
              <w:t>Corporate debt securities</w:t>
            </w:r>
          </w:p>
        </w:tc>
        <w:tc>
          <w:tcPr>
            <w:tcW w:w="0" w:type="auto"/>
            <w:shd w:val="clear" w:color="auto" w:fill="E2EFD9"/>
            <w:tcMar>
              <w:top w:w="40" w:type="dxa"/>
              <w:left w:w="20" w:type="dxa"/>
              <w:bottom w:w="40" w:type="dxa"/>
              <w:right w:w="0" w:type="dxa"/>
            </w:tcMar>
            <w:vAlign w:val="bottom"/>
          </w:tcPr>
          <w:p w14:paraId="19502BD4"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BD5" w14:textId="77777777" w:rsidR="00BF3A3A" w:rsidRDefault="00A76802">
            <w:pPr>
              <w:jc w:val="right"/>
              <w:textAlignment w:val="bottom"/>
            </w:pPr>
            <w:r>
              <w:rPr>
                <w:rFonts w:ascii="sans-serif" w:eastAsia="sans-serif" w:hAnsi="sans-serif" w:cs="sans-serif"/>
                <w:color w:val="000000"/>
                <w:sz w:val="20"/>
                <w:szCs w:val="20"/>
              </w:rPr>
              <w:t>8,016 </w:t>
            </w:r>
          </w:p>
        </w:tc>
        <w:tc>
          <w:tcPr>
            <w:tcW w:w="0" w:type="auto"/>
            <w:shd w:val="clear" w:color="auto" w:fill="E2EFD9"/>
            <w:tcMar>
              <w:top w:w="40" w:type="dxa"/>
              <w:left w:w="0" w:type="dxa"/>
              <w:bottom w:w="40" w:type="dxa"/>
              <w:right w:w="20" w:type="dxa"/>
            </w:tcMar>
            <w:vAlign w:val="bottom"/>
          </w:tcPr>
          <w:p w14:paraId="19502BD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BD7"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BD8"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BD9"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2BD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BDB"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BDC"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BDD" w14:textId="77777777" w:rsidR="00BF3A3A" w:rsidRDefault="00A76802">
            <w:pPr>
              <w:jc w:val="right"/>
              <w:textAlignment w:val="bottom"/>
            </w:pPr>
            <w:r>
              <w:rPr>
                <w:rFonts w:ascii="sans-serif" w:eastAsia="sans-serif" w:hAnsi="sans-serif" w:cs="sans-serif"/>
                <w:color w:val="000000"/>
                <w:sz w:val="20"/>
                <w:szCs w:val="20"/>
              </w:rPr>
              <w:t>(18)</w:t>
            </w:r>
          </w:p>
        </w:tc>
        <w:tc>
          <w:tcPr>
            <w:tcW w:w="0" w:type="auto"/>
            <w:shd w:val="clear" w:color="auto" w:fill="E2EFD9"/>
            <w:tcMar>
              <w:top w:w="40" w:type="dxa"/>
              <w:left w:w="0" w:type="dxa"/>
              <w:bottom w:w="40" w:type="dxa"/>
              <w:right w:w="20" w:type="dxa"/>
            </w:tcMar>
            <w:vAlign w:val="bottom"/>
          </w:tcPr>
          <w:p w14:paraId="19502BD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BDF"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BE0"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BE1" w14:textId="77777777" w:rsidR="00BF3A3A" w:rsidRDefault="00A76802">
            <w:pPr>
              <w:jc w:val="right"/>
              <w:textAlignment w:val="bottom"/>
            </w:pPr>
            <w:r>
              <w:rPr>
                <w:rFonts w:ascii="sans-serif" w:eastAsia="sans-serif" w:hAnsi="sans-serif" w:cs="sans-serif"/>
                <w:color w:val="000000"/>
                <w:sz w:val="20"/>
                <w:szCs w:val="20"/>
              </w:rPr>
              <w:t>7,998 </w:t>
            </w:r>
          </w:p>
        </w:tc>
        <w:tc>
          <w:tcPr>
            <w:tcW w:w="0" w:type="auto"/>
            <w:shd w:val="clear" w:color="auto" w:fill="E2EFD9"/>
            <w:tcMar>
              <w:top w:w="40" w:type="dxa"/>
              <w:left w:w="0" w:type="dxa"/>
              <w:bottom w:w="40" w:type="dxa"/>
              <w:right w:w="20" w:type="dxa"/>
            </w:tcMar>
            <w:vAlign w:val="bottom"/>
          </w:tcPr>
          <w:p w14:paraId="19502BE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BE3"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BE4"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BE5" w14:textId="77777777" w:rsidR="00BF3A3A" w:rsidRDefault="00A76802">
            <w:pPr>
              <w:jc w:val="right"/>
              <w:textAlignment w:val="bottom"/>
            </w:pPr>
            <w:r>
              <w:rPr>
                <w:rFonts w:ascii="sans-serif" w:eastAsia="sans-serif" w:hAnsi="sans-serif" w:cs="sans-serif"/>
                <w:color w:val="000000"/>
                <w:sz w:val="20"/>
                <w:szCs w:val="20"/>
              </w:rPr>
              <w:t>1,115 </w:t>
            </w:r>
          </w:p>
        </w:tc>
        <w:tc>
          <w:tcPr>
            <w:tcW w:w="0" w:type="auto"/>
            <w:shd w:val="clear" w:color="auto" w:fill="E2EFD9"/>
            <w:tcMar>
              <w:top w:w="40" w:type="dxa"/>
              <w:left w:w="0" w:type="dxa"/>
              <w:bottom w:w="40" w:type="dxa"/>
              <w:right w:w="20" w:type="dxa"/>
            </w:tcMar>
            <w:vAlign w:val="bottom"/>
          </w:tcPr>
          <w:p w14:paraId="19502BE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BE7"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BE8"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BE9" w14:textId="77777777" w:rsidR="00BF3A3A" w:rsidRDefault="00A76802">
            <w:pPr>
              <w:jc w:val="right"/>
              <w:textAlignment w:val="bottom"/>
            </w:pPr>
            <w:r>
              <w:rPr>
                <w:rFonts w:ascii="sans-serif" w:eastAsia="sans-serif" w:hAnsi="sans-serif" w:cs="sans-serif"/>
                <w:color w:val="000000"/>
                <w:sz w:val="20"/>
                <w:szCs w:val="20"/>
              </w:rPr>
              <w:t>6,883 </w:t>
            </w:r>
          </w:p>
        </w:tc>
        <w:tc>
          <w:tcPr>
            <w:tcW w:w="0" w:type="auto"/>
            <w:shd w:val="clear" w:color="auto" w:fill="E2EFD9"/>
            <w:tcMar>
              <w:top w:w="40" w:type="dxa"/>
              <w:left w:w="0" w:type="dxa"/>
              <w:bottom w:w="40" w:type="dxa"/>
              <w:right w:w="20" w:type="dxa"/>
            </w:tcMar>
            <w:vAlign w:val="bottom"/>
          </w:tcPr>
          <w:p w14:paraId="19502BEA" w14:textId="77777777" w:rsidR="00BF3A3A" w:rsidRDefault="00BF3A3A">
            <w:pPr>
              <w:jc w:val="right"/>
              <w:rPr>
                <w:rFonts w:ascii="宋体"/>
              </w:rPr>
            </w:pPr>
          </w:p>
        </w:tc>
      </w:tr>
      <w:tr w:rsidR="00BF3A3A" w14:paraId="19502BFE" w14:textId="77777777">
        <w:tc>
          <w:tcPr>
            <w:tcW w:w="0" w:type="auto"/>
            <w:gridSpan w:val="3"/>
            <w:shd w:val="clear" w:color="auto" w:fill="FFFFFF"/>
            <w:tcMar>
              <w:top w:w="40" w:type="dxa"/>
              <w:left w:w="20" w:type="dxa"/>
              <w:bottom w:w="40" w:type="dxa"/>
              <w:right w:w="20" w:type="dxa"/>
            </w:tcMar>
            <w:vAlign w:val="bottom"/>
          </w:tcPr>
          <w:p w14:paraId="19502BEC" w14:textId="77777777" w:rsidR="00BF3A3A" w:rsidRDefault="00A76802">
            <w:pPr>
              <w:textAlignment w:val="bottom"/>
            </w:pPr>
            <w:r>
              <w:rPr>
                <w:rFonts w:ascii="sans-serif" w:eastAsia="sans-serif" w:hAnsi="sans-serif" w:cs="sans-serif"/>
                <w:color w:val="000000"/>
                <w:sz w:val="20"/>
                <w:szCs w:val="20"/>
              </w:rPr>
              <w:t>Debt securi</w:t>
            </w:r>
            <w:r>
              <w:rPr>
                <w:rFonts w:ascii="sans-serif" w:eastAsia="sans-serif" w:hAnsi="sans-serif" w:cs="sans-serif"/>
                <w:color w:val="000000"/>
                <w:sz w:val="20"/>
                <w:szCs w:val="20"/>
              </w:rPr>
              <w:t>ties issued by the United States Treasury</w:t>
            </w:r>
          </w:p>
        </w:tc>
        <w:tc>
          <w:tcPr>
            <w:tcW w:w="0" w:type="auto"/>
            <w:gridSpan w:val="2"/>
            <w:shd w:val="clear" w:color="auto" w:fill="FFFFFF"/>
            <w:tcMar>
              <w:top w:w="40" w:type="dxa"/>
              <w:left w:w="20" w:type="dxa"/>
              <w:bottom w:w="40" w:type="dxa"/>
              <w:right w:w="0" w:type="dxa"/>
            </w:tcMar>
            <w:vAlign w:val="bottom"/>
          </w:tcPr>
          <w:p w14:paraId="19502BED" w14:textId="77777777" w:rsidR="00BF3A3A" w:rsidRDefault="00A76802">
            <w:pPr>
              <w:jc w:val="right"/>
              <w:textAlignment w:val="bottom"/>
            </w:pPr>
            <w:r>
              <w:rPr>
                <w:rFonts w:ascii="sans-serif" w:eastAsia="sans-serif" w:hAnsi="sans-serif" w:cs="sans-serif"/>
                <w:color w:val="000000"/>
                <w:sz w:val="20"/>
                <w:szCs w:val="20"/>
              </w:rPr>
              <w:t>4,068 </w:t>
            </w:r>
          </w:p>
        </w:tc>
        <w:tc>
          <w:tcPr>
            <w:tcW w:w="0" w:type="auto"/>
            <w:shd w:val="clear" w:color="auto" w:fill="FFFFFF"/>
            <w:tcMar>
              <w:top w:w="40" w:type="dxa"/>
              <w:left w:w="0" w:type="dxa"/>
              <w:bottom w:w="40" w:type="dxa"/>
              <w:right w:w="20" w:type="dxa"/>
            </w:tcMar>
            <w:vAlign w:val="bottom"/>
          </w:tcPr>
          <w:p w14:paraId="19502BEE"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BEF"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BF0" w14:textId="77777777" w:rsidR="00BF3A3A" w:rsidRDefault="00A76802">
            <w:pPr>
              <w:jc w:val="right"/>
              <w:textAlignment w:val="bottom"/>
            </w:pPr>
            <w:r>
              <w:rPr>
                <w:rFonts w:ascii="sans-serif" w:eastAsia="sans-serif" w:hAnsi="sans-serif" w:cs="sans-serif"/>
                <w:color w:val="000000"/>
                <w:sz w:val="20"/>
                <w:szCs w:val="20"/>
              </w:rPr>
              <w:t>1 </w:t>
            </w:r>
          </w:p>
        </w:tc>
        <w:tc>
          <w:tcPr>
            <w:tcW w:w="0" w:type="auto"/>
            <w:shd w:val="clear" w:color="auto" w:fill="FFFFFF"/>
            <w:tcMar>
              <w:top w:w="40" w:type="dxa"/>
              <w:left w:w="0" w:type="dxa"/>
              <w:bottom w:w="40" w:type="dxa"/>
              <w:right w:w="20" w:type="dxa"/>
            </w:tcMar>
            <w:vAlign w:val="bottom"/>
          </w:tcPr>
          <w:p w14:paraId="19502BF1"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BF2"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BF3" w14:textId="77777777" w:rsidR="00BF3A3A" w:rsidRDefault="00A76802">
            <w:pPr>
              <w:jc w:val="right"/>
              <w:textAlignment w:val="bottom"/>
            </w:pPr>
            <w:r>
              <w:rPr>
                <w:rFonts w:ascii="sans-serif" w:eastAsia="sans-serif" w:hAnsi="sans-serif" w:cs="sans-serif"/>
                <w:color w:val="000000"/>
                <w:sz w:val="20"/>
                <w:szCs w:val="20"/>
              </w:rPr>
              <w:t>(39)</w:t>
            </w:r>
          </w:p>
        </w:tc>
        <w:tc>
          <w:tcPr>
            <w:tcW w:w="0" w:type="auto"/>
            <w:shd w:val="clear" w:color="auto" w:fill="FFFFFF"/>
            <w:tcMar>
              <w:top w:w="40" w:type="dxa"/>
              <w:left w:w="0" w:type="dxa"/>
              <w:bottom w:w="40" w:type="dxa"/>
              <w:right w:w="20" w:type="dxa"/>
            </w:tcMar>
            <w:vAlign w:val="bottom"/>
          </w:tcPr>
          <w:p w14:paraId="19502BF4"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BF5"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BF6" w14:textId="77777777" w:rsidR="00BF3A3A" w:rsidRDefault="00A76802">
            <w:pPr>
              <w:jc w:val="right"/>
              <w:textAlignment w:val="bottom"/>
            </w:pPr>
            <w:r>
              <w:rPr>
                <w:rFonts w:ascii="sans-serif" w:eastAsia="sans-serif" w:hAnsi="sans-serif" w:cs="sans-serif"/>
                <w:color w:val="000000"/>
                <w:sz w:val="20"/>
                <w:szCs w:val="20"/>
              </w:rPr>
              <w:t>4,030 </w:t>
            </w:r>
          </w:p>
        </w:tc>
        <w:tc>
          <w:tcPr>
            <w:tcW w:w="0" w:type="auto"/>
            <w:shd w:val="clear" w:color="auto" w:fill="FFFFFF"/>
            <w:tcMar>
              <w:top w:w="40" w:type="dxa"/>
              <w:left w:w="0" w:type="dxa"/>
              <w:bottom w:w="40" w:type="dxa"/>
              <w:right w:w="20" w:type="dxa"/>
            </w:tcMar>
            <w:vAlign w:val="bottom"/>
          </w:tcPr>
          <w:p w14:paraId="19502BF7"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BF8"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BF9" w14:textId="77777777" w:rsidR="00BF3A3A" w:rsidRDefault="00A76802">
            <w:pPr>
              <w:jc w:val="right"/>
              <w:textAlignment w:val="bottom"/>
            </w:pPr>
            <w:r>
              <w:rPr>
                <w:rFonts w:ascii="sans-serif" w:eastAsia="sans-serif" w:hAnsi="sans-serif" w:cs="sans-serif"/>
                <w:color w:val="000000"/>
                <w:sz w:val="20"/>
                <w:szCs w:val="20"/>
              </w:rPr>
              <w:t>108 </w:t>
            </w:r>
          </w:p>
        </w:tc>
        <w:tc>
          <w:tcPr>
            <w:tcW w:w="0" w:type="auto"/>
            <w:shd w:val="clear" w:color="auto" w:fill="FFFFFF"/>
            <w:tcMar>
              <w:top w:w="40" w:type="dxa"/>
              <w:left w:w="0" w:type="dxa"/>
              <w:bottom w:w="40" w:type="dxa"/>
              <w:right w:w="20" w:type="dxa"/>
            </w:tcMar>
            <w:vAlign w:val="bottom"/>
          </w:tcPr>
          <w:p w14:paraId="19502BFA"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BFB"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BFC" w14:textId="77777777" w:rsidR="00BF3A3A" w:rsidRDefault="00A76802">
            <w:pPr>
              <w:jc w:val="right"/>
              <w:textAlignment w:val="bottom"/>
            </w:pPr>
            <w:r>
              <w:rPr>
                <w:rFonts w:ascii="sans-serif" w:eastAsia="sans-serif" w:hAnsi="sans-serif" w:cs="sans-serif"/>
                <w:color w:val="000000"/>
                <w:sz w:val="20"/>
                <w:szCs w:val="20"/>
              </w:rPr>
              <w:t>3,922 </w:t>
            </w:r>
          </w:p>
        </w:tc>
        <w:tc>
          <w:tcPr>
            <w:tcW w:w="0" w:type="auto"/>
            <w:shd w:val="clear" w:color="auto" w:fill="FFFFFF"/>
            <w:tcMar>
              <w:top w:w="40" w:type="dxa"/>
              <w:left w:w="0" w:type="dxa"/>
              <w:bottom w:w="40" w:type="dxa"/>
              <w:right w:w="20" w:type="dxa"/>
            </w:tcMar>
            <w:vAlign w:val="bottom"/>
          </w:tcPr>
          <w:p w14:paraId="19502BFD" w14:textId="77777777" w:rsidR="00BF3A3A" w:rsidRDefault="00BF3A3A">
            <w:pPr>
              <w:jc w:val="right"/>
              <w:rPr>
                <w:rFonts w:ascii="宋体"/>
              </w:rPr>
            </w:pPr>
          </w:p>
        </w:tc>
      </w:tr>
      <w:tr w:rsidR="00BF3A3A" w14:paraId="19502C11" w14:textId="77777777">
        <w:tc>
          <w:tcPr>
            <w:tcW w:w="0" w:type="auto"/>
            <w:gridSpan w:val="3"/>
            <w:shd w:val="clear" w:color="auto" w:fill="E2EFD9"/>
            <w:tcMar>
              <w:top w:w="40" w:type="dxa"/>
              <w:left w:w="20" w:type="dxa"/>
              <w:bottom w:w="40" w:type="dxa"/>
              <w:right w:w="20" w:type="dxa"/>
            </w:tcMar>
            <w:vAlign w:val="bottom"/>
          </w:tcPr>
          <w:p w14:paraId="19502BFF" w14:textId="77777777" w:rsidR="00BF3A3A" w:rsidRDefault="00A76802">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2"/>
            <w:shd w:val="clear" w:color="auto" w:fill="E2EFD9"/>
            <w:tcMar>
              <w:top w:w="40" w:type="dxa"/>
              <w:left w:w="20" w:type="dxa"/>
              <w:bottom w:w="40" w:type="dxa"/>
              <w:right w:w="0" w:type="dxa"/>
            </w:tcMar>
            <w:vAlign w:val="bottom"/>
          </w:tcPr>
          <w:p w14:paraId="19502C00" w14:textId="77777777" w:rsidR="00BF3A3A" w:rsidRDefault="00A76802">
            <w:pPr>
              <w:jc w:val="right"/>
              <w:textAlignment w:val="bottom"/>
            </w:pPr>
            <w:r>
              <w:rPr>
                <w:rFonts w:ascii="sans-serif" w:eastAsia="sans-serif" w:hAnsi="sans-serif" w:cs="sans-serif"/>
                <w:color w:val="000000"/>
                <w:sz w:val="20"/>
                <w:szCs w:val="20"/>
              </w:rPr>
              <w:t>3,056 </w:t>
            </w:r>
          </w:p>
        </w:tc>
        <w:tc>
          <w:tcPr>
            <w:tcW w:w="0" w:type="auto"/>
            <w:shd w:val="clear" w:color="auto" w:fill="E2EFD9"/>
            <w:tcMar>
              <w:top w:w="40" w:type="dxa"/>
              <w:left w:w="0" w:type="dxa"/>
              <w:bottom w:w="40" w:type="dxa"/>
              <w:right w:w="20" w:type="dxa"/>
            </w:tcMar>
            <w:vAlign w:val="bottom"/>
          </w:tcPr>
          <w:p w14:paraId="19502C01"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C02"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C03"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2C0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C05"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C06" w14:textId="77777777" w:rsidR="00BF3A3A" w:rsidRDefault="00A76802">
            <w:pPr>
              <w:jc w:val="right"/>
              <w:textAlignment w:val="bottom"/>
            </w:pPr>
            <w:r>
              <w:rPr>
                <w:rFonts w:ascii="sans-serif" w:eastAsia="sans-serif" w:hAnsi="sans-serif" w:cs="sans-serif"/>
                <w:color w:val="000000"/>
                <w:sz w:val="20"/>
                <w:szCs w:val="20"/>
              </w:rPr>
              <w:t>(2)</w:t>
            </w:r>
          </w:p>
        </w:tc>
        <w:tc>
          <w:tcPr>
            <w:tcW w:w="0" w:type="auto"/>
            <w:shd w:val="clear" w:color="auto" w:fill="E2EFD9"/>
            <w:tcMar>
              <w:top w:w="40" w:type="dxa"/>
              <w:left w:w="0" w:type="dxa"/>
              <w:bottom w:w="40" w:type="dxa"/>
              <w:right w:w="20" w:type="dxa"/>
            </w:tcMar>
            <w:vAlign w:val="bottom"/>
          </w:tcPr>
          <w:p w14:paraId="19502C0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C08"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C09" w14:textId="77777777" w:rsidR="00BF3A3A" w:rsidRDefault="00A76802">
            <w:pPr>
              <w:jc w:val="right"/>
              <w:textAlignment w:val="bottom"/>
            </w:pPr>
            <w:r>
              <w:rPr>
                <w:rFonts w:ascii="sans-serif" w:eastAsia="sans-serif" w:hAnsi="sans-serif" w:cs="sans-serif"/>
                <w:color w:val="000000"/>
                <w:sz w:val="20"/>
                <w:szCs w:val="20"/>
              </w:rPr>
              <w:t>3,054 </w:t>
            </w:r>
          </w:p>
        </w:tc>
        <w:tc>
          <w:tcPr>
            <w:tcW w:w="0" w:type="auto"/>
            <w:shd w:val="clear" w:color="auto" w:fill="E2EFD9"/>
            <w:tcMar>
              <w:top w:w="40" w:type="dxa"/>
              <w:left w:w="0" w:type="dxa"/>
              <w:bottom w:w="40" w:type="dxa"/>
              <w:right w:w="20" w:type="dxa"/>
            </w:tcMar>
            <w:vAlign w:val="bottom"/>
          </w:tcPr>
          <w:p w14:paraId="19502C0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C0B"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C0C" w14:textId="77777777" w:rsidR="00BF3A3A" w:rsidRDefault="00A76802">
            <w:pPr>
              <w:jc w:val="right"/>
              <w:textAlignment w:val="bottom"/>
            </w:pPr>
            <w:r>
              <w:rPr>
                <w:rFonts w:ascii="sans-serif" w:eastAsia="sans-serif" w:hAnsi="sans-serif" w:cs="sans-serif"/>
                <w:color w:val="000000"/>
                <w:sz w:val="20"/>
                <w:szCs w:val="20"/>
              </w:rPr>
              <w:t>564 </w:t>
            </w:r>
          </w:p>
        </w:tc>
        <w:tc>
          <w:tcPr>
            <w:tcW w:w="0" w:type="auto"/>
            <w:shd w:val="clear" w:color="auto" w:fill="E2EFD9"/>
            <w:tcMar>
              <w:top w:w="40" w:type="dxa"/>
              <w:left w:w="0" w:type="dxa"/>
              <w:bottom w:w="40" w:type="dxa"/>
              <w:right w:w="20" w:type="dxa"/>
            </w:tcMar>
            <w:vAlign w:val="bottom"/>
          </w:tcPr>
          <w:p w14:paraId="19502C0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C0E"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C0F" w14:textId="77777777" w:rsidR="00BF3A3A" w:rsidRDefault="00A76802">
            <w:pPr>
              <w:jc w:val="right"/>
              <w:textAlignment w:val="bottom"/>
            </w:pPr>
            <w:r>
              <w:rPr>
                <w:rFonts w:ascii="sans-serif" w:eastAsia="sans-serif" w:hAnsi="sans-serif" w:cs="sans-serif"/>
                <w:color w:val="000000"/>
                <w:sz w:val="20"/>
                <w:szCs w:val="20"/>
              </w:rPr>
              <w:t>2,490 </w:t>
            </w:r>
          </w:p>
        </w:tc>
        <w:tc>
          <w:tcPr>
            <w:tcW w:w="0" w:type="auto"/>
            <w:shd w:val="clear" w:color="auto" w:fill="E2EFD9"/>
            <w:tcMar>
              <w:top w:w="40" w:type="dxa"/>
              <w:left w:w="0" w:type="dxa"/>
              <w:bottom w:w="40" w:type="dxa"/>
              <w:right w:w="20" w:type="dxa"/>
            </w:tcMar>
            <w:vAlign w:val="bottom"/>
          </w:tcPr>
          <w:p w14:paraId="19502C10" w14:textId="77777777" w:rsidR="00BF3A3A" w:rsidRDefault="00BF3A3A">
            <w:pPr>
              <w:jc w:val="right"/>
              <w:rPr>
                <w:rFonts w:ascii="宋体"/>
              </w:rPr>
            </w:pPr>
          </w:p>
        </w:tc>
      </w:tr>
      <w:tr w:rsidR="00BF3A3A" w14:paraId="19502C24" w14:textId="77777777">
        <w:tc>
          <w:tcPr>
            <w:tcW w:w="0" w:type="auto"/>
            <w:gridSpan w:val="3"/>
            <w:shd w:val="clear" w:color="auto" w:fill="FFFFFF"/>
            <w:tcMar>
              <w:top w:w="40" w:type="dxa"/>
              <w:left w:w="20" w:type="dxa"/>
              <w:bottom w:w="40" w:type="dxa"/>
              <w:right w:w="20" w:type="dxa"/>
            </w:tcMar>
            <w:vAlign w:val="bottom"/>
          </w:tcPr>
          <w:p w14:paraId="19502C12" w14:textId="77777777" w:rsidR="00BF3A3A" w:rsidRDefault="00A76802">
            <w:pPr>
              <w:textAlignment w:val="bottom"/>
            </w:pPr>
            <w:r>
              <w:rPr>
                <w:rFonts w:ascii="sans-serif" w:eastAsia="sans-serif" w:hAnsi="sans-serif" w:cs="sans-serif"/>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19502C13" w14:textId="77777777" w:rsidR="00BF3A3A" w:rsidRDefault="00A76802">
            <w:pPr>
              <w:jc w:val="right"/>
              <w:textAlignment w:val="bottom"/>
            </w:pPr>
            <w:r>
              <w:rPr>
                <w:rFonts w:ascii="sans-serif" w:eastAsia="sans-serif" w:hAnsi="sans-serif" w:cs="sans-serif"/>
                <w:color w:val="000000"/>
                <w:sz w:val="20"/>
                <w:szCs w:val="20"/>
              </w:rPr>
              <w:t>856 </w:t>
            </w:r>
          </w:p>
        </w:tc>
        <w:tc>
          <w:tcPr>
            <w:tcW w:w="0" w:type="auto"/>
            <w:shd w:val="clear" w:color="auto" w:fill="FFFFFF"/>
            <w:tcMar>
              <w:top w:w="40" w:type="dxa"/>
              <w:left w:w="0" w:type="dxa"/>
              <w:bottom w:w="40" w:type="dxa"/>
              <w:right w:w="20" w:type="dxa"/>
            </w:tcMar>
            <w:vAlign w:val="bottom"/>
          </w:tcPr>
          <w:p w14:paraId="19502C14"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C15"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C16"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2C17"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C18"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C19"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2C1A"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C1B"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C1C" w14:textId="77777777" w:rsidR="00BF3A3A" w:rsidRDefault="00A76802">
            <w:pPr>
              <w:jc w:val="right"/>
              <w:textAlignment w:val="bottom"/>
            </w:pPr>
            <w:r>
              <w:rPr>
                <w:rFonts w:ascii="sans-serif" w:eastAsia="sans-serif" w:hAnsi="sans-serif" w:cs="sans-serif"/>
                <w:color w:val="000000"/>
                <w:sz w:val="20"/>
                <w:szCs w:val="20"/>
              </w:rPr>
              <w:t>856 </w:t>
            </w:r>
          </w:p>
        </w:tc>
        <w:tc>
          <w:tcPr>
            <w:tcW w:w="0" w:type="auto"/>
            <w:shd w:val="clear" w:color="auto" w:fill="FFFFFF"/>
            <w:tcMar>
              <w:top w:w="40" w:type="dxa"/>
              <w:left w:w="0" w:type="dxa"/>
              <w:bottom w:w="40" w:type="dxa"/>
              <w:right w:w="20" w:type="dxa"/>
            </w:tcMar>
            <w:vAlign w:val="bottom"/>
          </w:tcPr>
          <w:p w14:paraId="19502C1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C1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C1F" w14:textId="77777777" w:rsidR="00BF3A3A" w:rsidRDefault="00A76802">
            <w:pPr>
              <w:jc w:val="right"/>
              <w:textAlignment w:val="bottom"/>
            </w:pPr>
            <w:r>
              <w:rPr>
                <w:rFonts w:ascii="sans-serif" w:eastAsia="sans-serif" w:hAnsi="sans-serif" w:cs="sans-serif"/>
                <w:color w:val="000000"/>
                <w:sz w:val="20"/>
                <w:szCs w:val="20"/>
              </w:rPr>
              <w:t>128 </w:t>
            </w:r>
          </w:p>
        </w:tc>
        <w:tc>
          <w:tcPr>
            <w:tcW w:w="0" w:type="auto"/>
            <w:shd w:val="clear" w:color="auto" w:fill="FFFFFF"/>
            <w:tcMar>
              <w:top w:w="40" w:type="dxa"/>
              <w:left w:w="0" w:type="dxa"/>
              <w:bottom w:w="40" w:type="dxa"/>
              <w:right w:w="20" w:type="dxa"/>
            </w:tcMar>
            <w:vAlign w:val="bottom"/>
          </w:tcPr>
          <w:p w14:paraId="19502C2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C21"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C22" w14:textId="77777777" w:rsidR="00BF3A3A" w:rsidRDefault="00A76802">
            <w:pPr>
              <w:jc w:val="right"/>
              <w:textAlignment w:val="bottom"/>
            </w:pPr>
            <w:r>
              <w:rPr>
                <w:rFonts w:ascii="sans-serif" w:eastAsia="sans-serif" w:hAnsi="sans-serif" w:cs="sans-serif"/>
                <w:color w:val="000000"/>
                <w:sz w:val="20"/>
                <w:szCs w:val="20"/>
              </w:rPr>
              <w:t>728 </w:t>
            </w:r>
          </w:p>
        </w:tc>
        <w:tc>
          <w:tcPr>
            <w:tcW w:w="0" w:type="auto"/>
            <w:shd w:val="clear" w:color="auto" w:fill="FFFFFF"/>
            <w:tcMar>
              <w:top w:w="40" w:type="dxa"/>
              <w:left w:w="0" w:type="dxa"/>
              <w:bottom w:w="40" w:type="dxa"/>
              <w:right w:w="20" w:type="dxa"/>
            </w:tcMar>
            <w:vAlign w:val="bottom"/>
          </w:tcPr>
          <w:p w14:paraId="19502C23" w14:textId="77777777" w:rsidR="00BF3A3A" w:rsidRDefault="00BF3A3A">
            <w:pPr>
              <w:jc w:val="right"/>
              <w:rPr>
                <w:rFonts w:ascii="宋体"/>
              </w:rPr>
            </w:pPr>
          </w:p>
        </w:tc>
      </w:tr>
      <w:tr w:rsidR="00BF3A3A" w14:paraId="19502C37" w14:textId="77777777">
        <w:tc>
          <w:tcPr>
            <w:tcW w:w="0" w:type="auto"/>
            <w:gridSpan w:val="3"/>
            <w:shd w:val="clear" w:color="auto" w:fill="E2EFD9"/>
            <w:tcMar>
              <w:top w:w="40" w:type="dxa"/>
              <w:left w:w="20" w:type="dxa"/>
              <w:bottom w:w="40" w:type="dxa"/>
              <w:right w:w="20" w:type="dxa"/>
            </w:tcMar>
            <w:vAlign w:val="bottom"/>
          </w:tcPr>
          <w:p w14:paraId="19502C25" w14:textId="77777777" w:rsidR="00BF3A3A" w:rsidRDefault="00A76802">
            <w:pPr>
              <w:textAlignment w:val="bottom"/>
            </w:pPr>
            <w:r>
              <w:rPr>
                <w:rFonts w:ascii="sans-serif" w:eastAsia="sans-serif" w:hAnsi="sans-serif" w:cs="sans-serif"/>
                <w:color w:val="000000"/>
                <w:sz w:val="20"/>
                <w:szCs w:val="20"/>
              </w:rPr>
              <w:t>Money market funds</w:t>
            </w:r>
          </w:p>
        </w:tc>
        <w:tc>
          <w:tcPr>
            <w:tcW w:w="0" w:type="auto"/>
            <w:gridSpan w:val="2"/>
            <w:shd w:val="clear" w:color="auto" w:fill="E2EFD9"/>
            <w:tcMar>
              <w:top w:w="40" w:type="dxa"/>
              <w:left w:w="20" w:type="dxa"/>
              <w:bottom w:w="40" w:type="dxa"/>
              <w:right w:w="0" w:type="dxa"/>
            </w:tcMar>
            <w:vAlign w:val="bottom"/>
          </w:tcPr>
          <w:p w14:paraId="19502C26" w14:textId="77777777" w:rsidR="00BF3A3A" w:rsidRDefault="00A76802">
            <w:pPr>
              <w:jc w:val="right"/>
              <w:textAlignment w:val="bottom"/>
            </w:pPr>
            <w:r>
              <w:rPr>
                <w:rFonts w:ascii="sans-serif" w:eastAsia="sans-serif" w:hAnsi="sans-serif" w:cs="sans-serif"/>
                <w:color w:val="000000"/>
                <w:sz w:val="20"/>
                <w:szCs w:val="20"/>
              </w:rPr>
              <w:t>639 </w:t>
            </w:r>
          </w:p>
        </w:tc>
        <w:tc>
          <w:tcPr>
            <w:tcW w:w="0" w:type="auto"/>
            <w:shd w:val="clear" w:color="auto" w:fill="E2EFD9"/>
            <w:tcMar>
              <w:top w:w="40" w:type="dxa"/>
              <w:left w:w="0" w:type="dxa"/>
              <w:bottom w:w="40" w:type="dxa"/>
              <w:right w:w="20" w:type="dxa"/>
            </w:tcMar>
            <w:vAlign w:val="bottom"/>
          </w:tcPr>
          <w:p w14:paraId="19502C2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C28"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C29"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2C2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C2B"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C2C"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2C2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C2E"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C2F" w14:textId="77777777" w:rsidR="00BF3A3A" w:rsidRDefault="00A76802">
            <w:pPr>
              <w:jc w:val="right"/>
              <w:textAlignment w:val="bottom"/>
            </w:pPr>
            <w:r>
              <w:rPr>
                <w:rFonts w:ascii="sans-serif" w:eastAsia="sans-serif" w:hAnsi="sans-serif" w:cs="sans-serif"/>
                <w:color w:val="000000"/>
                <w:sz w:val="20"/>
                <w:szCs w:val="20"/>
              </w:rPr>
              <w:t>639 </w:t>
            </w:r>
          </w:p>
        </w:tc>
        <w:tc>
          <w:tcPr>
            <w:tcW w:w="0" w:type="auto"/>
            <w:shd w:val="clear" w:color="auto" w:fill="E2EFD9"/>
            <w:tcMar>
              <w:top w:w="40" w:type="dxa"/>
              <w:left w:w="0" w:type="dxa"/>
              <w:bottom w:w="40" w:type="dxa"/>
              <w:right w:w="20" w:type="dxa"/>
            </w:tcMar>
            <w:vAlign w:val="bottom"/>
          </w:tcPr>
          <w:p w14:paraId="19502C3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C31"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C32" w14:textId="77777777" w:rsidR="00BF3A3A" w:rsidRDefault="00A76802">
            <w:pPr>
              <w:jc w:val="right"/>
              <w:textAlignment w:val="bottom"/>
            </w:pPr>
            <w:r>
              <w:rPr>
                <w:rFonts w:ascii="sans-serif" w:eastAsia="sans-serif" w:hAnsi="sans-serif" w:cs="sans-serif"/>
                <w:color w:val="000000"/>
                <w:sz w:val="20"/>
                <w:szCs w:val="20"/>
              </w:rPr>
              <w:t>639 </w:t>
            </w:r>
          </w:p>
        </w:tc>
        <w:tc>
          <w:tcPr>
            <w:tcW w:w="0" w:type="auto"/>
            <w:shd w:val="clear" w:color="auto" w:fill="E2EFD9"/>
            <w:tcMar>
              <w:top w:w="40" w:type="dxa"/>
              <w:left w:w="0" w:type="dxa"/>
              <w:bottom w:w="40" w:type="dxa"/>
              <w:right w:w="20" w:type="dxa"/>
            </w:tcMar>
            <w:vAlign w:val="bottom"/>
          </w:tcPr>
          <w:p w14:paraId="19502C3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C34"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C35"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2C36" w14:textId="77777777" w:rsidR="00BF3A3A" w:rsidRDefault="00BF3A3A">
            <w:pPr>
              <w:jc w:val="right"/>
              <w:rPr>
                <w:rFonts w:ascii="宋体"/>
              </w:rPr>
            </w:pPr>
          </w:p>
        </w:tc>
      </w:tr>
      <w:tr w:rsidR="00BF3A3A" w14:paraId="19502C4A" w14:textId="77777777">
        <w:tc>
          <w:tcPr>
            <w:tcW w:w="0" w:type="auto"/>
            <w:gridSpan w:val="3"/>
            <w:shd w:val="clear" w:color="auto" w:fill="FFFFFF"/>
            <w:tcMar>
              <w:top w:w="40" w:type="dxa"/>
              <w:left w:w="20" w:type="dxa"/>
              <w:bottom w:w="40" w:type="dxa"/>
              <w:right w:w="20" w:type="dxa"/>
            </w:tcMar>
            <w:vAlign w:val="bottom"/>
          </w:tcPr>
          <w:p w14:paraId="19502C38" w14:textId="77777777" w:rsidR="00BF3A3A" w:rsidRDefault="00A76802">
            <w:pPr>
              <w:textAlignment w:val="bottom"/>
            </w:pPr>
            <w:r>
              <w:rPr>
                <w:rFonts w:ascii="sans-serif" w:eastAsia="sans-serif" w:hAnsi="sans-serif" w:cs="sans-serif"/>
                <w:color w:val="000000"/>
                <w:sz w:val="20"/>
                <w:szCs w:val="20"/>
              </w:rPr>
              <w:t>Foreign government bonds</w:t>
            </w:r>
          </w:p>
        </w:tc>
        <w:tc>
          <w:tcPr>
            <w:tcW w:w="0" w:type="auto"/>
            <w:gridSpan w:val="2"/>
            <w:shd w:val="clear" w:color="auto" w:fill="FFFFFF"/>
            <w:tcMar>
              <w:top w:w="40" w:type="dxa"/>
              <w:left w:w="20" w:type="dxa"/>
              <w:bottom w:w="40" w:type="dxa"/>
              <w:right w:w="0" w:type="dxa"/>
            </w:tcMar>
            <w:vAlign w:val="bottom"/>
          </w:tcPr>
          <w:p w14:paraId="19502C39" w14:textId="77777777" w:rsidR="00BF3A3A" w:rsidRDefault="00A76802">
            <w:pPr>
              <w:jc w:val="right"/>
              <w:textAlignment w:val="bottom"/>
            </w:pPr>
            <w:r>
              <w:rPr>
                <w:rFonts w:ascii="sans-serif" w:eastAsia="sans-serif" w:hAnsi="sans-serif" w:cs="sans-serif"/>
                <w:color w:val="000000"/>
                <w:sz w:val="20"/>
                <w:szCs w:val="20"/>
              </w:rPr>
              <w:t>15 </w:t>
            </w:r>
          </w:p>
        </w:tc>
        <w:tc>
          <w:tcPr>
            <w:tcW w:w="0" w:type="auto"/>
            <w:shd w:val="clear" w:color="auto" w:fill="FFFFFF"/>
            <w:tcMar>
              <w:top w:w="40" w:type="dxa"/>
              <w:left w:w="0" w:type="dxa"/>
              <w:bottom w:w="40" w:type="dxa"/>
              <w:right w:w="20" w:type="dxa"/>
            </w:tcMar>
            <w:vAlign w:val="bottom"/>
          </w:tcPr>
          <w:p w14:paraId="19502C3A"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C3B"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C3C"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2C3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C3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C3F"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2C4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C41"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C42" w14:textId="77777777" w:rsidR="00BF3A3A" w:rsidRDefault="00A76802">
            <w:pPr>
              <w:jc w:val="right"/>
              <w:textAlignment w:val="bottom"/>
            </w:pPr>
            <w:r>
              <w:rPr>
                <w:rFonts w:ascii="sans-serif" w:eastAsia="sans-serif" w:hAnsi="sans-serif" w:cs="sans-serif"/>
                <w:color w:val="000000"/>
                <w:sz w:val="20"/>
                <w:szCs w:val="20"/>
              </w:rPr>
              <w:t>15 </w:t>
            </w:r>
          </w:p>
        </w:tc>
        <w:tc>
          <w:tcPr>
            <w:tcW w:w="0" w:type="auto"/>
            <w:shd w:val="clear" w:color="auto" w:fill="FFFFFF"/>
            <w:tcMar>
              <w:top w:w="40" w:type="dxa"/>
              <w:left w:w="0" w:type="dxa"/>
              <w:bottom w:w="40" w:type="dxa"/>
              <w:right w:w="20" w:type="dxa"/>
            </w:tcMar>
            <w:vAlign w:val="bottom"/>
          </w:tcPr>
          <w:p w14:paraId="19502C4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C44"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C45" w14:textId="77777777" w:rsidR="00BF3A3A" w:rsidRDefault="00A76802">
            <w:pPr>
              <w:jc w:val="right"/>
              <w:textAlignment w:val="bottom"/>
            </w:pPr>
            <w:r>
              <w:rPr>
                <w:rFonts w:ascii="sans-serif" w:eastAsia="sans-serif" w:hAnsi="sans-serif" w:cs="sans-serif"/>
                <w:color w:val="000000"/>
                <w:sz w:val="20"/>
                <w:szCs w:val="20"/>
              </w:rPr>
              <w:t>15 </w:t>
            </w:r>
          </w:p>
        </w:tc>
        <w:tc>
          <w:tcPr>
            <w:tcW w:w="0" w:type="auto"/>
            <w:shd w:val="clear" w:color="auto" w:fill="FFFFFF"/>
            <w:tcMar>
              <w:top w:w="40" w:type="dxa"/>
              <w:left w:w="0" w:type="dxa"/>
              <w:bottom w:w="40" w:type="dxa"/>
              <w:right w:w="20" w:type="dxa"/>
            </w:tcMar>
            <w:vAlign w:val="bottom"/>
          </w:tcPr>
          <w:p w14:paraId="19502C4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C47"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C48"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2C49" w14:textId="77777777" w:rsidR="00BF3A3A" w:rsidRDefault="00BF3A3A">
            <w:pPr>
              <w:jc w:val="right"/>
              <w:rPr>
                <w:rFonts w:ascii="宋体"/>
              </w:rPr>
            </w:pPr>
          </w:p>
        </w:tc>
      </w:tr>
      <w:tr w:rsidR="00BF3A3A" w14:paraId="19502C57" w14:textId="77777777">
        <w:trPr>
          <w:hidden/>
        </w:trPr>
        <w:tc>
          <w:tcPr>
            <w:tcW w:w="0" w:type="auto"/>
            <w:gridSpan w:val="3"/>
            <w:shd w:val="clear" w:color="auto" w:fill="auto"/>
            <w:vAlign w:val="bottom"/>
          </w:tcPr>
          <w:p w14:paraId="19502C4B" w14:textId="77777777" w:rsidR="00BF3A3A" w:rsidRDefault="00BF3A3A">
            <w:pPr>
              <w:rPr>
                <w:rFonts w:ascii="宋体"/>
                <w:vanish/>
              </w:rPr>
            </w:pPr>
          </w:p>
        </w:tc>
        <w:tc>
          <w:tcPr>
            <w:tcW w:w="0" w:type="auto"/>
            <w:gridSpan w:val="3"/>
            <w:shd w:val="clear" w:color="auto" w:fill="auto"/>
            <w:vAlign w:val="bottom"/>
          </w:tcPr>
          <w:p w14:paraId="19502C4C" w14:textId="77777777" w:rsidR="00BF3A3A" w:rsidRDefault="00BF3A3A">
            <w:pPr>
              <w:rPr>
                <w:rFonts w:ascii="宋体"/>
                <w:vanish/>
              </w:rPr>
            </w:pPr>
          </w:p>
        </w:tc>
        <w:tc>
          <w:tcPr>
            <w:tcW w:w="0" w:type="auto"/>
            <w:gridSpan w:val="3"/>
            <w:shd w:val="clear" w:color="auto" w:fill="auto"/>
            <w:vAlign w:val="bottom"/>
          </w:tcPr>
          <w:p w14:paraId="19502C4D" w14:textId="77777777" w:rsidR="00BF3A3A" w:rsidRDefault="00BF3A3A">
            <w:pPr>
              <w:rPr>
                <w:rFonts w:ascii="宋体"/>
                <w:vanish/>
              </w:rPr>
            </w:pPr>
          </w:p>
        </w:tc>
        <w:tc>
          <w:tcPr>
            <w:tcW w:w="0" w:type="auto"/>
            <w:gridSpan w:val="3"/>
            <w:shd w:val="clear" w:color="auto" w:fill="auto"/>
            <w:vAlign w:val="bottom"/>
          </w:tcPr>
          <w:p w14:paraId="19502C4E" w14:textId="77777777" w:rsidR="00BF3A3A" w:rsidRDefault="00BF3A3A">
            <w:pPr>
              <w:rPr>
                <w:rFonts w:ascii="宋体"/>
                <w:vanish/>
              </w:rPr>
            </w:pPr>
          </w:p>
        </w:tc>
        <w:tc>
          <w:tcPr>
            <w:tcW w:w="0" w:type="auto"/>
            <w:gridSpan w:val="3"/>
            <w:shd w:val="clear" w:color="auto" w:fill="auto"/>
            <w:vAlign w:val="bottom"/>
          </w:tcPr>
          <w:p w14:paraId="19502C4F" w14:textId="77777777" w:rsidR="00BF3A3A" w:rsidRDefault="00BF3A3A">
            <w:pPr>
              <w:rPr>
                <w:rFonts w:ascii="宋体"/>
                <w:vanish/>
              </w:rPr>
            </w:pPr>
          </w:p>
        </w:tc>
        <w:tc>
          <w:tcPr>
            <w:tcW w:w="0" w:type="auto"/>
            <w:gridSpan w:val="3"/>
            <w:shd w:val="clear" w:color="auto" w:fill="auto"/>
            <w:vAlign w:val="bottom"/>
          </w:tcPr>
          <w:p w14:paraId="19502C50" w14:textId="77777777" w:rsidR="00BF3A3A" w:rsidRDefault="00BF3A3A">
            <w:pPr>
              <w:rPr>
                <w:rFonts w:ascii="宋体"/>
                <w:vanish/>
              </w:rPr>
            </w:pPr>
          </w:p>
        </w:tc>
        <w:tc>
          <w:tcPr>
            <w:tcW w:w="0" w:type="auto"/>
            <w:gridSpan w:val="3"/>
            <w:shd w:val="clear" w:color="auto" w:fill="auto"/>
            <w:vAlign w:val="bottom"/>
          </w:tcPr>
          <w:p w14:paraId="19502C51" w14:textId="77777777" w:rsidR="00BF3A3A" w:rsidRDefault="00BF3A3A">
            <w:pPr>
              <w:rPr>
                <w:rFonts w:ascii="宋体"/>
                <w:vanish/>
              </w:rPr>
            </w:pPr>
          </w:p>
        </w:tc>
        <w:tc>
          <w:tcPr>
            <w:tcW w:w="0" w:type="auto"/>
            <w:gridSpan w:val="3"/>
            <w:shd w:val="clear" w:color="auto" w:fill="auto"/>
            <w:vAlign w:val="bottom"/>
          </w:tcPr>
          <w:p w14:paraId="19502C52" w14:textId="77777777" w:rsidR="00BF3A3A" w:rsidRDefault="00BF3A3A">
            <w:pPr>
              <w:rPr>
                <w:rFonts w:ascii="宋体"/>
                <w:vanish/>
              </w:rPr>
            </w:pPr>
          </w:p>
        </w:tc>
        <w:tc>
          <w:tcPr>
            <w:tcW w:w="0" w:type="auto"/>
            <w:gridSpan w:val="3"/>
            <w:shd w:val="clear" w:color="auto" w:fill="auto"/>
            <w:vAlign w:val="bottom"/>
          </w:tcPr>
          <w:p w14:paraId="19502C53" w14:textId="77777777" w:rsidR="00BF3A3A" w:rsidRDefault="00BF3A3A">
            <w:pPr>
              <w:rPr>
                <w:rFonts w:ascii="宋体"/>
                <w:vanish/>
              </w:rPr>
            </w:pPr>
          </w:p>
        </w:tc>
        <w:tc>
          <w:tcPr>
            <w:tcW w:w="0" w:type="auto"/>
            <w:gridSpan w:val="3"/>
            <w:shd w:val="clear" w:color="auto" w:fill="auto"/>
            <w:vAlign w:val="bottom"/>
          </w:tcPr>
          <w:p w14:paraId="19502C54" w14:textId="77777777" w:rsidR="00BF3A3A" w:rsidRDefault="00BF3A3A">
            <w:pPr>
              <w:rPr>
                <w:rFonts w:ascii="宋体"/>
                <w:vanish/>
              </w:rPr>
            </w:pPr>
          </w:p>
        </w:tc>
        <w:tc>
          <w:tcPr>
            <w:tcW w:w="0" w:type="auto"/>
            <w:gridSpan w:val="3"/>
            <w:shd w:val="clear" w:color="auto" w:fill="auto"/>
            <w:vAlign w:val="bottom"/>
          </w:tcPr>
          <w:p w14:paraId="19502C55" w14:textId="77777777" w:rsidR="00BF3A3A" w:rsidRDefault="00BF3A3A">
            <w:pPr>
              <w:rPr>
                <w:rFonts w:ascii="宋体"/>
                <w:vanish/>
              </w:rPr>
            </w:pPr>
          </w:p>
        </w:tc>
        <w:tc>
          <w:tcPr>
            <w:tcW w:w="0" w:type="auto"/>
            <w:gridSpan w:val="3"/>
            <w:shd w:val="clear" w:color="auto" w:fill="auto"/>
            <w:vAlign w:val="bottom"/>
          </w:tcPr>
          <w:p w14:paraId="19502C56" w14:textId="77777777" w:rsidR="00BF3A3A" w:rsidRDefault="00BF3A3A">
            <w:pPr>
              <w:rPr>
                <w:rFonts w:ascii="宋体"/>
                <w:vanish/>
              </w:rPr>
            </w:pPr>
          </w:p>
        </w:tc>
      </w:tr>
      <w:tr w:rsidR="00BF3A3A" w14:paraId="19502C64" w14:textId="77777777">
        <w:trPr>
          <w:hidden/>
        </w:trPr>
        <w:tc>
          <w:tcPr>
            <w:tcW w:w="0" w:type="auto"/>
            <w:gridSpan w:val="3"/>
            <w:shd w:val="clear" w:color="auto" w:fill="auto"/>
            <w:vAlign w:val="bottom"/>
          </w:tcPr>
          <w:p w14:paraId="19502C58" w14:textId="77777777" w:rsidR="00BF3A3A" w:rsidRDefault="00BF3A3A">
            <w:pPr>
              <w:rPr>
                <w:rFonts w:ascii="宋体"/>
                <w:vanish/>
              </w:rPr>
            </w:pPr>
          </w:p>
        </w:tc>
        <w:tc>
          <w:tcPr>
            <w:tcW w:w="0" w:type="auto"/>
            <w:gridSpan w:val="3"/>
            <w:shd w:val="clear" w:color="auto" w:fill="auto"/>
            <w:vAlign w:val="bottom"/>
          </w:tcPr>
          <w:p w14:paraId="19502C59" w14:textId="77777777" w:rsidR="00BF3A3A" w:rsidRDefault="00BF3A3A">
            <w:pPr>
              <w:rPr>
                <w:rFonts w:ascii="宋体"/>
                <w:vanish/>
              </w:rPr>
            </w:pPr>
          </w:p>
        </w:tc>
        <w:tc>
          <w:tcPr>
            <w:tcW w:w="0" w:type="auto"/>
            <w:gridSpan w:val="3"/>
            <w:shd w:val="clear" w:color="auto" w:fill="auto"/>
            <w:vAlign w:val="bottom"/>
          </w:tcPr>
          <w:p w14:paraId="19502C5A" w14:textId="77777777" w:rsidR="00BF3A3A" w:rsidRDefault="00BF3A3A">
            <w:pPr>
              <w:rPr>
                <w:rFonts w:ascii="宋体"/>
                <w:vanish/>
              </w:rPr>
            </w:pPr>
          </w:p>
        </w:tc>
        <w:tc>
          <w:tcPr>
            <w:tcW w:w="0" w:type="auto"/>
            <w:gridSpan w:val="3"/>
            <w:shd w:val="clear" w:color="auto" w:fill="auto"/>
            <w:vAlign w:val="bottom"/>
          </w:tcPr>
          <w:p w14:paraId="19502C5B" w14:textId="77777777" w:rsidR="00BF3A3A" w:rsidRDefault="00BF3A3A">
            <w:pPr>
              <w:rPr>
                <w:rFonts w:ascii="宋体"/>
                <w:vanish/>
              </w:rPr>
            </w:pPr>
          </w:p>
        </w:tc>
        <w:tc>
          <w:tcPr>
            <w:tcW w:w="0" w:type="auto"/>
            <w:gridSpan w:val="3"/>
            <w:shd w:val="clear" w:color="auto" w:fill="auto"/>
            <w:vAlign w:val="bottom"/>
          </w:tcPr>
          <w:p w14:paraId="19502C5C" w14:textId="77777777" w:rsidR="00BF3A3A" w:rsidRDefault="00BF3A3A">
            <w:pPr>
              <w:rPr>
                <w:rFonts w:ascii="宋体"/>
                <w:vanish/>
              </w:rPr>
            </w:pPr>
          </w:p>
        </w:tc>
        <w:tc>
          <w:tcPr>
            <w:tcW w:w="0" w:type="auto"/>
            <w:gridSpan w:val="3"/>
            <w:shd w:val="clear" w:color="auto" w:fill="auto"/>
            <w:vAlign w:val="bottom"/>
          </w:tcPr>
          <w:p w14:paraId="19502C5D" w14:textId="77777777" w:rsidR="00BF3A3A" w:rsidRDefault="00BF3A3A">
            <w:pPr>
              <w:rPr>
                <w:rFonts w:ascii="宋体"/>
                <w:vanish/>
              </w:rPr>
            </w:pPr>
          </w:p>
        </w:tc>
        <w:tc>
          <w:tcPr>
            <w:tcW w:w="0" w:type="auto"/>
            <w:gridSpan w:val="3"/>
            <w:shd w:val="clear" w:color="auto" w:fill="auto"/>
            <w:vAlign w:val="bottom"/>
          </w:tcPr>
          <w:p w14:paraId="19502C5E" w14:textId="77777777" w:rsidR="00BF3A3A" w:rsidRDefault="00BF3A3A">
            <w:pPr>
              <w:rPr>
                <w:rFonts w:ascii="宋体"/>
                <w:vanish/>
              </w:rPr>
            </w:pPr>
          </w:p>
        </w:tc>
        <w:tc>
          <w:tcPr>
            <w:tcW w:w="0" w:type="auto"/>
            <w:gridSpan w:val="3"/>
            <w:shd w:val="clear" w:color="auto" w:fill="auto"/>
            <w:vAlign w:val="bottom"/>
          </w:tcPr>
          <w:p w14:paraId="19502C5F" w14:textId="77777777" w:rsidR="00BF3A3A" w:rsidRDefault="00BF3A3A">
            <w:pPr>
              <w:rPr>
                <w:rFonts w:ascii="宋体"/>
                <w:vanish/>
              </w:rPr>
            </w:pPr>
          </w:p>
        </w:tc>
        <w:tc>
          <w:tcPr>
            <w:tcW w:w="0" w:type="auto"/>
            <w:gridSpan w:val="3"/>
            <w:shd w:val="clear" w:color="auto" w:fill="auto"/>
            <w:vAlign w:val="bottom"/>
          </w:tcPr>
          <w:p w14:paraId="19502C60" w14:textId="77777777" w:rsidR="00BF3A3A" w:rsidRDefault="00BF3A3A">
            <w:pPr>
              <w:rPr>
                <w:rFonts w:ascii="宋体"/>
                <w:vanish/>
              </w:rPr>
            </w:pPr>
          </w:p>
        </w:tc>
        <w:tc>
          <w:tcPr>
            <w:tcW w:w="0" w:type="auto"/>
            <w:gridSpan w:val="3"/>
            <w:shd w:val="clear" w:color="auto" w:fill="auto"/>
            <w:vAlign w:val="bottom"/>
          </w:tcPr>
          <w:p w14:paraId="19502C61" w14:textId="77777777" w:rsidR="00BF3A3A" w:rsidRDefault="00BF3A3A">
            <w:pPr>
              <w:rPr>
                <w:rFonts w:ascii="宋体"/>
                <w:vanish/>
              </w:rPr>
            </w:pPr>
          </w:p>
        </w:tc>
        <w:tc>
          <w:tcPr>
            <w:tcW w:w="0" w:type="auto"/>
            <w:gridSpan w:val="3"/>
            <w:shd w:val="clear" w:color="auto" w:fill="auto"/>
            <w:vAlign w:val="bottom"/>
          </w:tcPr>
          <w:p w14:paraId="19502C62" w14:textId="77777777" w:rsidR="00BF3A3A" w:rsidRDefault="00BF3A3A">
            <w:pPr>
              <w:rPr>
                <w:rFonts w:ascii="宋体"/>
                <w:vanish/>
              </w:rPr>
            </w:pPr>
          </w:p>
        </w:tc>
        <w:tc>
          <w:tcPr>
            <w:tcW w:w="0" w:type="auto"/>
            <w:gridSpan w:val="3"/>
            <w:shd w:val="clear" w:color="auto" w:fill="auto"/>
            <w:vAlign w:val="bottom"/>
          </w:tcPr>
          <w:p w14:paraId="19502C63" w14:textId="77777777" w:rsidR="00BF3A3A" w:rsidRDefault="00BF3A3A">
            <w:pPr>
              <w:rPr>
                <w:rFonts w:ascii="宋体"/>
                <w:vanish/>
              </w:rPr>
            </w:pPr>
          </w:p>
        </w:tc>
      </w:tr>
      <w:tr w:rsidR="00BF3A3A" w14:paraId="19502C7D" w14:textId="77777777">
        <w:tc>
          <w:tcPr>
            <w:tcW w:w="0" w:type="auto"/>
            <w:gridSpan w:val="3"/>
            <w:shd w:val="clear" w:color="auto" w:fill="E2EFD9"/>
            <w:tcMar>
              <w:top w:w="40" w:type="dxa"/>
              <w:left w:w="20" w:type="dxa"/>
              <w:bottom w:w="40" w:type="dxa"/>
              <w:right w:w="20" w:type="dxa"/>
            </w:tcMar>
            <w:vAlign w:val="bottom"/>
          </w:tcPr>
          <w:p w14:paraId="19502C65" w14:textId="77777777" w:rsidR="00BF3A3A" w:rsidRDefault="00A76802">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C66"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C67" w14:textId="77777777" w:rsidR="00BF3A3A" w:rsidRDefault="00A76802">
            <w:pPr>
              <w:jc w:val="right"/>
              <w:textAlignment w:val="bottom"/>
            </w:pPr>
            <w:r>
              <w:rPr>
                <w:rFonts w:ascii="sans-serif" w:eastAsia="sans-serif" w:hAnsi="sans-serif" w:cs="sans-serif"/>
                <w:color w:val="000000"/>
                <w:sz w:val="20"/>
                <w:szCs w:val="20"/>
              </w:rPr>
              <w:t>16,650 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C6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C69"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C6A"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C6B" w14:textId="77777777" w:rsidR="00BF3A3A" w:rsidRDefault="00A76802">
            <w:pPr>
              <w:jc w:val="right"/>
              <w:textAlignment w:val="bottom"/>
            </w:pPr>
            <w:r>
              <w:rPr>
                <w:rFonts w:ascii="sans-serif" w:eastAsia="sans-serif" w:hAnsi="sans-serif" w:cs="sans-serif"/>
                <w:color w:val="000000"/>
                <w:sz w:val="20"/>
                <w:szCs w:val="20"/>
              </w:rPr>
              <w:t>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C6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C6D"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C6E"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C6F" w14:textId="77777777" w:rsidR="00BF3A3A" w:rsidRDefault="00A76802">
            <w:pPr>
              <w:jc w:val="right"/>
              <w:textAlignment w:val="bottom"/>
            </w:pPr>
            <w:r>
              <w:rPr>
                <w:rFonts w:ascii="sans-serif" w:eastAsia="sans-serif" w:hAnsi="sans-serif" w:cs="sans-serif"/>
                <w:color w:val="000000"/>
                <w:sz w:val="20"/>
                <w:szCs w:val="20"/>
              </w:rPr>
              <w:t>(59)</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C7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C71"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C72"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C73" w14:textId="77777777" w:rsidR="00BF3A3A" w:rsidRDefault="00A76802">
            <w:pPr>
              <w:jc w:val="right"/>
              <w:textAlignment w:val="bottom"/>
            </w:pPr>
            <w:r>
              <w:rPr>
                <w:rFonts w:ascii="sans-serif" w:eastAsia="sans-serif" w:hAnsi="sans-serif" w:cs="sans-serif"/>
                <w:color w:val="000000"/>
                <w:sz w:val="20"/>
                <w:szCs w:val="20"/>
              </w:rPr>
              <w:t>16,592 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C7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C75"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C76"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C77" w14:textId="77777777" w:rsidR="00BF3A3A" w:rsidRDefault="00A76802">
            <w:pPr>
              <w:jc w:val="right"/>
              <w:textAlignment w:val="bottom"/>
            </w:pPr>
            <w:r>
              <w:rPr>
                <w:rFonts w:ascii="sans-serif" w:eastAsia="sans-serif" w:hAnsi="sans-serif" w:cs="sans-serif"/>
                <w:color w:val="000000"/>
                <w:sz w:val="20"/>
                <w:szCs w:val="20"/>
              </w:rPr>
              <w:t>2,569 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C7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C79"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C7A"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C7B" w14:textId="77777777" w:rsidR="00BF3A3A" w:rsidRDefault="00A76802">
            <w:pPr>
              <w:jc w:val="right"/>
              <w:textAlignment w:val="bottom"/>
            </w:pPr>
            <w:r>
              <w:rPr>
                <w:rFonts w:ascii="sans-serif" w:eastAsia="sans-serif" w:hAnsi="sans-serif" w:cs="sans-serif"/>
                <w:color w:val="000000"/>
                <w:sz w:val="20"/>
                <w:szCs w:val="20"/>
              </w:rPr>
              <w:t>14,023 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C7C" w14:textId="77777777" w:rsidR="00BF3A3A" w:rsidRDefault="00BF3A3A">
            <w:pPr>
              <w:jc w:val="right"/>
              <w:rPr>
                <w:rFonts w:ascii="宋体"/>
              </w:rPr>
            </w:pPr>
          </w:p>
        </w:tc>
      </w:tr>
    </w:tbl>
    <w:p w14:paraId="19502C7E" w14:textId="77777777" w:rsidR="00BF3A3A" w:rsidRDefault="00BF3A3A">
      <w:pPr>
        <w:rPr>
          <w:vanish/>
        </w:rPr>
      </w:pPr>
    </w:p>
    <w:tbl>
      <w:tblPr>
        <w:tblW w:w="4971" w:type="pct"/>
        <w:tblCellMar>
          <w:top w:w="15" w:type="dxa"/>
          <w:left w:w="15" w:type="dxa"/>
          <w:bottom w:w="15" w:type="dxa"/>
          <w:right w:w="15" w:type="dxa"/>
        </w:tblCellMar>
        <w:tblLook w:val="04A0" w:firstRow="1" w:lastRow="0" w:firstColumn="1" w:lastColumn="0" w:noHBand="0" w:noVBand="1"/>
      </w:tblPr>
      <w:tblGrid>
        <w:gridCol w:w="38"/>
        <w:gridCol w:w="1627"/>
        <w:gridCol w:w="37"/>
        <w:gridCol w:w="123"/>
        <w:gridCol w:w="816"/>
        <w:gridCol w:w="36"/>
        <w:gridCol w:w="36"/>
        <w:gridCol w:w="36"/>
        <w:gridCol w:w="36"/>
        <w:gridCol w:w="123"/>
        <w:gridCol w:w="842"/>
        <w:gridCol w:w="36"/>
        <w:gridCol w:w="36"/>
        <w:gridCol w:w="36"/>
        <w:gridCol w:w="36"/>
        <w:gridCol w:w="123"/>
        <w:gridCol w:w="839"/>
        <w:gridCol w:w="36"/>
        <w:gridCol w:w="36"/>
        <w:gridCol w:w="36"/>
        <w:gridCol w:w="36"/>
        <w:gridCol w:w="123"/>
        <w:gridCol w:w="785"/>
        <w:gridCol w:w="36"/>
        <w:gridCol w:w="36"/>
        <w:gridCol w:w="36"/>
        <w:gridCol w:w="36"/>
        <w:gridCol w:w="123"/>
        <w:gridCol w:w="904"/>
        <w:gridCol w:w="36"/>
        <w:gridCol w:w="36"/>
        <w:gridCol w:w="36"/>
        <w:gridCol w:w="36"/>
        <w:gridCol w:w="123"/>
        <w:gridCol w:w="906"/>
        <w:gridCol w:w="36"/>
      </w:tblGrid>
      <w:tr w:rsidR="00BF3A3A" w14:paraId="19502CA3" w14:textId="77777777">
        <w:tc>
          <w:tcPr>
            <w:tcW w:w="50" w:type="pct"/>
            <w:shd w:val="clear" w:color="auto" w:fill="auto"/>
            <w:vAlign w:val="bottom"/>
          </w:tcPr>
          <w:p w14:paraId="19502C7F" w14:textId="77777777" w:rsidR="00BF3A3A" w:rsidRDefault="00BF3A3A">
            <w:pPr>
              <w:rPr>
                <w:rFonts w:ascii="宋体"/>
              </w:rPr>
            </w:pPr>
          </w:p>
        </w:tc>
        <w:tc>
          <w:tcPr>
            <w:tcW w:w="1481" w:type="pct"/>
            <w:shd w:val="clear" w:color="auto" w:fill="auto"/>
            <w:vAlign w:val="bottom"/>
          </w:tcPr>
          <w:p w14:paraId="19502C80" w14:textId="77777777" w:rsidR="00BF3A3A" w:rsidRDefault="00BF3A3A">
            <w:pPr>
              <w:rPr>
                <w:rFonts w:ascii="宋体"/>
              </w:rPr>
            </w:pPr>
          </w:p>
        </w:tc>
        <w:tc>
          <w:tcPr>
            <w:tcW w:w="5" w:type="pct"/>
            <w:shd w:val="clear" w:color="auto" w:fill="auto"/>
            <w:vAlign w:val="bottom"/>
          </w:tcPr>
          <w:p w14:paraId="19502C81" w14:textId="77777777" w:rsidR="00BF3A3A" w:rsidRDefault="00BF3A3A">
            <w:pPr>
              <w:rPr>
                <w:rFonts w:ascii="宋体"/>
              </w:rPr>
            </w:pPr>
          </w:p>
        </w:tc>
        <w:tc>
          <w:tcPr>
            <w:tcW w:w="50" w:type="pct"/>
            <w:shd w:val="clear" w:color="auto" w:fill="auto"/>
            <w:vAlign w:val="bottom"/>
          </w:tcPr>
          <w:p w14:paraId="19502C82" w14:textId="77777777" w:rsidR="00BF3A3A" w:rsidRDefault="00BF3A3A">
            <w:pPr>
              <w:rPr>
                <w:rFonts w:ascii="宋体"/>
              </w:rPr>
            </w:pPr>
          </w:p>
        </w:tc>
        <w:tc>
          <w:tcPr>
            <w:tcW w:w="481" w:type="pct"/>
            <w:shd w:val="clear" w:color="auto" w:fill="auto"/>
            <w:vAlign w:val="bottom"/>
          </w:tcPr>
          <w:p w14:paraId="19502C83" w14:textId="77777777" w:rsidR="00BF3A3A" w:rsidRDefault="00BF3A3A">
            <w:pPr>
              <w:rPr>
                <w:rFonts w:ascii="宋体"/>
              </w:rPr>
            </w:pPr>
          </w:p>
        </w:tc>
        <w:tc>
          <w:tcPr>
            <w:tcW w:w="5" w:type="pct"/>
            <w:shd w:val="clear" w:color="auto" w:fill="auto"/>
            <w:vAlign w:val="bottom"/>
          </w:tcPr>
          <w:p w14:paraId="19502C84" w14:textId="77777777" w:rsidR="00BF3A3A" w:rsidRDefault="00BF3A3A">
            <w:pPr>
              <w:rPr>
                <w:rFonts w:ascii="宋体"/>
              </w:rPr>
            </w:pPr>
          </w:p>
        </w:tc>
        <w:tc>
          <w:tcPr>
            <w:tcW w:w="5" w:type="pct"/>
            <w:shd w:val="clear" w:color="auto" w:fill="auto"/>
            <w:vAlign w:val="bottom"/>
          </w:tcPr>
          <w:p w14:paraId="19502C85" w14:textId="77777777" w:rsidR="00BF3A3A" w:rsidRDefault="00BF3A3A">
            <w:pPr>
              <w:rPr>
                <w:rFonts w:ascii="宋体"/>
              </w:rPr>
            </w:pPr>
          </w:p>
        </w:tc>
        <w:tc>
          <w:tcPr>
            <w:tcW w:w="26" w:type="pct"/>
            <w:shd w:val="clear" w:color="auto" w:fill="auto"/>
            <w:vAlign w:val="bottom"/>
          </w:tcPr>
          <w:p w14:paraId="19502C86" w14:textId="77777777" w:rsidR="00BF3A3A" w:rsidRDefault="00BF3A3A">
            <w:pPr>
              <w:rPr>
                <w:rFonts w:ascii="宋体"/>
              </w:rPr>
            </w:pPr>
          </w:p>
        </w:tc>
        <w:tc>
          <w:tcPr>
            <w:tcW w:w="5" w:type="pct"/>
            <w:shd w:val="clear" w:color="auto" w:fill="auto"/>
            <w:vAlign w:val="bottom"/>
          </w:tcPr>
          <w:p w14:paraId="19502C87" w14:textId="77777777" w:rsidR="00BF3A3A" w:rsidRDefault="00BF3A3A">
            <w:pPr>
              <w:rPr>
                <w:rFonts w:ascii="宋体"/>
              </w:rPr>
            </w:pPr>
          </w:p>
        </w:tc>
        <w:tc>
          <w:tcPr>
            <w:tcW w:w="50" w:type="pct"/>
            <w:shd w:val="clear" w:color="auto" w:fill="auto"/>
            <w:vAlign w:val="bottom"/>
          </w:tcPr>
          <w:p w14:paraId="19502C88" w14:textId="77777777" w:rsidR="00BF3A3A" w:rsidRDefault="00BF3A3A">
            <w:pPr>
              <w:rPr>
                <w:rFonts w:ascii="宋体"/>
              </w:rPr>
            </w:pPr>
          </w:p>
        </w:tc>
        <w:tc>
          <w:tcPr>
            <w:tcW w:w="496" w:type="pct"/>
            <w:shd w:val="clear" w:color="auto" w:fill="auto"/>
            <w:vAlign w:val="bottom"/>
          </w:tcPr>
          <w:p w14:paraId="19502C89" w14:textId="77777777" w:rsidR="00BF3A3A" w:rsidRDefault="00BF3A3A">
            <w:pPr>
              <w:rPr>
                <w:rFonts w:ascii="宋体"/>
              </w:rPr>
            </w:pPr>
          </w:p>
        </w:tc>
        <w:tc>
          <w:tcPr>
            <w:tcW w:w="5" w:type="pct"/>
            <w:shd w:val="clear" w:color="auto" w:fill="auto"/>
            <w:vAlign w:val="bottom"/>
          </w:tcPr>
          <w:p w14:paraId="19502C8A" w14:textId="77777777" w:rsidR="00BF3A3A" w:rsidRDefault="00BF3A3A">
            <w:pPr>
              <w:rPr>
                <w:rFonts w:ascii="宋体"/>
              </w:rPr>
            </w:pPr>
          </w:p>
        </w:tc>
        <w:tc>
          <w:tcPr>
            <w:tcW w:w="5" w:type="pct"/>
            <w:shd w:val="clear" w:color="auto" w:fill="auto"/>
            <w:vAlign w:val="bottom"/>
          </w:tcPr>
          <w:p w14:paraId="19502C8B" w14:textId="77777777" w:rsidR="00BF3A3A" w:rsidRDefault="00BF3A3A">
            <w:pPr>
              <w:rPr>
                <w:rFonts w:ascii="宋体"/>
              </w:rPr>
            </w:pPr>
          </w:p>
        </w:tc>
        <w:tc>
          <w:tcPr>
            <w:tcW w:w="26" w:type="pct"/>
            <w:shd w:val="clear" w:color="auto" w:fill="auto"/>
            <w:vAlign w:val="bottom"/>
          </w:tcPr>
          <w:p w14:paraId="19502C8C" w14:textId="77777777" w:rsidR="00BF3A3A" w:rsidRDefault="00BF3A3A">
            <w:pPr>
              <w:rPr>
                <w:rFonts w:ascii="宋体"/>
              </w:rPr>
            </w:pPr>
          </w:p>
        </w:tc>
        <w:tc>
          <w:tcPr>
            <w:tcW w:w="5" w:type="pct"/>
            <w:shd w:val="clear" w:color="auto" w:fill="auto"/>
            <w:vAlign w:val="bottom"/>
          </w:tcPr>
          <w:p w14:paraId="19502C8D" w14:textId="77777777" w:rsidR="00BF3A3A" w:rsidRDefault="00BF3A3A">
            <w:pPr>
              <w:rPr>
                <w:rFonts w:ascii="宋体"/>
              </w:rPr>
            </w:pPr>
          </w:p>
        </w:tc>
        <w:tc>
          <w:tcPr>
            <w:tcW w:w="50" w:type="pct"/>
            <w:shd w:val="clear" w:color="auto" w:fill="auto"/>
            <w:vAlign w:val="bottom"/>
          </w:tcPr>
          <w:p w14:paraId="19502C8E" w14:textId="77777777" w:rsidR="00BF3A3A" w:rsidRDefault="00BF3A3A">
            <w:pPr>
              <w:rPr>
                <w:rFonts w:ascii="宋体"/>
              </w:rPr>
            </w:pPr>
          </w:p>
        </w:tc>
        <w:tc>
          <w:tcPr>
            <w:tcW w:w="481" w:type="pct"/>
            <w:shd w:val="clear" w:color="auto" w:fill="auto"/>
            <w:vAlign w:val="bottom"/>
          </w:tcPr>
          <w:p w14:paraId="19502C8F" w14:textId="77777777" w:rsidR="00BF3A3A" w:rsidRDefault="00BF3A3A">
            <w:pPr>
              <w:rPr>
                <w:rFonts w:ascii="宋体"/>
              </w:rPr>
            </w:pPr>
          </w:p>
        </w:tc>
        <w:tc>
          <w:tcPr>
            <w:tcW w:w="5" w:type="pct"/>
            <w:shd w:val="clear" w:color="auto" w:fill="auto"/>
            <w:vAlign w:val="bottom"/>
          </w:tcPr>
          <w:p w14:paraId="19502C90" w14:textId="77777777" w:rsidR="00BF3A3A" w:rsidRDefault="00BF3A3A">
            <w:pPr>
              <w:rPr>
                <w:rFonts w:ascii="宋体"/>
              </w:rPr>
            </w:pPr>
          </w:p>
        </w:tc>
        <w:tc>
          <w:tcPr>
            <w:tcW w:w="5" w:type="pct"/>
            <w:shd w:val="clear" w:color="auto" w:fill="auto"/>
            <w:vAlign w:val="bottom"/>
          </w:tcPr>
          <w:p w14:paraId="19502C91" w14:textId="77777777" w:rsidR="00BF3A3A" w:rsidRDefault="00BF3A3A">
            <w:pPr>
              <w:rPr>
                <w:rFonts w:ascii="宋体"/>
              </w:rPr>
            </w:pPr>
          </w:p>
        </w:tc>
        <w:tc>
          <w:tcPr>
            <w:tcW w:w="26" w:type="pct"/>
            <w:shd w:val="clear" w:color="auto" w:fill="auto"/>
            <w:vAlign w:val="bottom"/>
          </w:tcPr>
          <w:p w14:paraId="19502C92" w14:textId="77777777" w:rsidR="00BF3A3A" w:rsidRDefault="00BF3A3A">
            <w:pPr>
              <w:rPr>
                <w:rFonts w:ascii="宋体"/>
              </w:rPr>
            </w:pPr>
          </w:p>
        </w:tc>
        <w:tc>
          <w:tcPr>
            <w:tcW w:w="5" w:type="pct"/>
            <w:shd w:val="clear" w:color="auto" w:fill="auto"/>
            <w:vAlign w:val="bottom"/>
          </w:tcPr>
          <w:p w14:paraId="19502C93" w14:textId="77777777" w:rsidR="00BF3A3A" w:rsidRDefault="00BF3A3A">
            <w:pPr>
              <w:rPr>
                <w:rFonts w:ascii="宋体"/>
              </w:rPr>
            </w:pPr>
          </w:p>
        </w:tc>
        <w:tc>
          <w:tcPr>
            <w:tcW w:w="50" w:type="pct"/>
            <w:shd w:val="clear" w:color="auto" w:fill="auto"/>
            <w:vAlign w:val="bottom"/>
          </w:tcPr>
          <w:p w14:paraId="19502C94" w14:textId="77777777" w:rsidR="00BF3A3A" w:rsidRDefault="00BF3A3A">
            <w:pPr>
              <w:rPr>
                <w:rFonts w:ascii="宋体"/>
              </w:rPr>
            </w:pPr>
          </w:p>
        </w:tc>
        <w:tc>
          <w:tcPr>
            <w:tcW w:w="481" w:type="pct"/>
            <w:shd w:val="clear" w:color="auto" w:fill="auto"/>
            <w:vAlign w:val="bottom"/>
          </w:tcPr>
          <w:p w14:paraId="19502C95" w14:textId="77777777" w:rsidR="00BF3A3A" w:rsidRDefault="00BF3A3A">
            <w:pPr>
              <w:rPr>
                <w:rFonts w:ascii="宋体"/>
              </w:rPr>
            </w:pPr>
          </w:p>
        </w:tc>
        <w:tc>
          <w:tcPr>
            <w:tcW w:w="5" w:type="pct"/>
            <w:shd w:val="clear" w:color="auto" w:fill="auto"/>
            <w:vAlign w:val="bottom"/>
          </w:tcPr>
          <w:p w14:paraId="19502C96" w14:textId="77777777" w:rsidR="00BF3A3A" w:rsidRDefault="00BF3A3A">
            <w:pPr>
              <w:rPr>
                <w:rFonts w:ascii="宋体"/>
              </w:rPr>
            </w:pPr>
          </w:p>
        </w:tc>
        <w:tc>
          <w:tcPr>
            <w:tcW w:w="5" w:type="pct"/>
            <w:shd w:val="clear" w:color="auto" w:fill="auto"/>
            <w:vAlign w:val="bottom"/>
          </w:tcPr>
          <w:p w14:paraId="19502C97" w14:textId="77777777" w:rsidR="00BF3A3A" w:rsidRDefault="00BF3A3A">
            <w:pPr>
              <w:rPr>
                <w:rFonts w:ascii="宋体"/>
              </w:rPr>
            </w:pPr>
          </w:p>
        </w:tc>
        <w:tc>
          <w:tcPr>
            <w:tcW w:w="26" w:type="pct"/>
            <w:shd w:val="clear" w:color="auto" w:fill="auto"/>
            <w:vAlign w:val="bottom"/>
          </w:tcPr>
          <w:p w14:paraId="19502C98" w14:textId="77777777" w:rsidR="00BF3A3A" w:rsidRDefault="00BF3A3A">
            <w:pPr>
              <w:rPr>
                <w:rFonts w:ascii="宋体"/>
              </w:rPr>
            </w:pPr>
          </w:p>
        </w:tc>
        <w:tc>
          <w:tcPr>
            <w:tcW w:w="5" w:type="pct"/>
            <w:shd w:val="clear" w:color="auto" w:fill="auto"/>
            <w:vAlign w:val="bottom"/>
          </w:tcPr>
          <w:p w14:paraId="19502C99" w14:textId="77777777" w:rsidR="00BF3A3A" w:rsidRDefault="00BF3A3A">
            <w:pPr>
              <w:rPr>
                <w:rFonts w:ascii="宋体"/>
              </w:rPr>
            </w:pPr>
          </w:p>
        </w:tc>
        <w:tc>
          <w:tcPr>
            <w:tcW w:w="50" w:type="pct"/>
            <w:shd w:val="clear" w:color="auto" w:fill="auto"/>
            <w:vAlign w:val="bottom"/>
          </w:tcPr>
          <w:p w14:paraId="19502C9A" w14:textId="77777777" w:rsidR="00BF3A3A" w:rsidRDefault="00BF3A3A">
            <w:pPr>
              <w:rPr>
                <w:rFonts w:ascii="宋体"/>
              </w:rPr>
            </w:pPr>
          </w:p>
        </w:tc>
        <w:tc>
          <w:tcPr>
            <w:tcW w:w="511" w:type="pct"/>
            <w:shd w:val="clear" w:color="auto" w:fill="auto"/>
            <w:vAlign w:val="bottom"/>
          </w:tcPr>
          <w:p w14:paraId="19502C9B" w14:textId="77777777" w:rsidR="00BF3A3A" w:rsidRDefault="00BF3A3A">
            <w:pPr>
              <w:rPr>
                <w:rFonts w:ascii="宋体"/>
              </w:rPr>
            </w:pPr>
          </w:p>
        </w:tc>
        <w:tc>
          <w:tcPr>
            <w:tcW w:w="5" w:type="pct"/>
            <w:shd w:val="clear" w:color="auto" w:fill="auto"/>
            <w:vAlign w:val="bottom"/>
          </w:tcPr>
          <w:p w14:paraId="19502C9C" w14:textId="77777777" w:rsidR="00BF3A3A" w:rsidRDefault="00BF3A3A">
            <w:pPr>
              <w:rPr>
                <w:rFonts w:ascii="宋体"/>
              </w:rPr>
            </w:pPr>
          </w:p>
        </w:tc>
        <w:tc>
          <w:tcPr>
            <w:tcW w:w="5" w:type="pct"/>
            <w:shd w:val="clear" w:color="auto" w:fill="auto"/>
            <w:vAlign w:val="bottom"/>
          </w:tcPr>
          <w:p w14:paraId="19502C9D" w14:textId="77777777" w:rsidR="00BF3A3A" w:rsidRDefault="00BF3A3A">
            <w:pPr>
              <w:rPr>
                <w:rFonts w:ascii="宋体"/>
              </w:rPr>
            </w:pPr>
          </w:p>
        </w:tc>
        <w:tc>
          <w:tcPr>
            <w:tcW w:w="26" w:type="pct"/>
            <w:shd w:val="clear" w:color="auto" w:fill="auto"/>
            <w:vAlign w:val="bottom"/>
          </w:tcPr>
          <w:p w14:paraId="19502C9E" w14:textId="77777777" w:rsidR="00BF3A3A" w:rsidRDefault="00BF3A3A">
            <w:pPr>
              <w:rPr>
                <w:rFonts w:ascii="宋体"/>
              </w:rPr>
            </w:pPr>
          </w:p>
        </w:tc>
        <w:tc>
          <w:tcPr>
            <w:tcW w:w="5" w:type="pct"/>
            <w:shd w:val="clear" w:color="auto" w:fill="auto"/>
            <w:vAlign w:val="bottom"/>
          </w:tcPr>
          <w:p w14:paraId="19502C9F" w14:textId="77777777" w:rsidR="00BF3A3A" w:rsidRDefault="00BF3A3A">
            <w:pPr>
              <w:rPr>
                <w:rFonts w:ascii="宋体"/>
              </w:rPr>
            </w:pPr>
          </w:p>
        </w:tc>
        <w:tc>
          <w:tcPr>
            <w:tcW w:w="50" w:type="pct"/>
            <w:shd w:val="clear" w:color="auto" w:fill="auto"/>
            <w:vAlign w:val="bottom"/>
          </w:tcPr>
          <w:p w14:paraId="19502CA0" w14:textId="77777777" w:rsidR="00BF3A3A" w:rsidRDefault="00BF3A3A">
            <w:pPr>
              <w:rPr>
                <w:rFonts w:ascii="宋体"/>
              </w:rPr>
            </w:pPr>
          </w:p>
        </w:tc>
        <w:tc>
          <w:tcPr>
            <w:tcW w:w="496" w:type="pct"/>
            <w:shd w:val="clear" w:color="auto" w:fill="auto"/>
            <w:vAlign w:val="bottom"/>
          </w:tcPr>
          <w:p w14:paraId="19502CA1" w14:textId="77777777" w:rsidR="00BF3A3A" w:rsidRDefault="00BF3A3A">
            <w:pPr>
              <w:rPr>
                <w:rFonts w:ascii="宋体"/>
              </w:rPr>
            </w:pPr>
          </w:p>
        </w:tc>
        <w:tc>
          <w:tcPr>
            <w:tcW w:w="5" w:type="pct"/>
            <w:shd w:val="clear" w:color="auto" w:fill="auto"/>
            <w:vAlign w:val="bottom"/>
          </w:tcPr>
          <w:p w14:paraId="19502CA2" w14:textId="77777777" w:rsidR="00BF3A3A" w:rsidRDefault="00BF3A3A">
            <w:pPr>
              <w:rPr>
                <w:rFonts w:ascii="宋体"/>
              </w:rPr>
            </w:pPr>
          </w:p>
        </w:tc>
      </w:tr>
      <w:tr w:rsidR="00BF3A3A" w14:paraId="19502CA6" w14:textId="77777777">
        <w:tc>
          <w:tcPr>
            <w:tcW w:w="0" w:type="auto"/>
            <w:gridSpan w:val="3"/>
            <w:shd w:val="clear" w:color="auto" w:fill="auto"/>
            <w:tcMar>
              <w:top w:w="40" w:type="dxa"/>
              <w:left w:w="20" w:type="dxa"/>
              <w:bottom w:w="40" w:type="dxa"/>
              <w:right w:w="20" w:type="dxa"/>
            </w:tcMar>
            <w:vAlign w:val="bottom"/>
          </w:tcPr>
          <w:p w14:paraId="19502CA4" w14:textId="77777777" w:rsidR="00BF3A3A" w:rsidRDefault="00A76802">
            <w:pPr>
              <w:textAlignment w:val="bottom"/>
            </w:pPr>
            <w:r>
              <w:rPr>
                <w:rFonts w:ascii="sans-serif" w:eastAsia="sans-serif" w:hAnsi="sans-serif" w:cs="sans-serif"/>
                <w:color w:val="000000"/>
                <w:sz w:val="20"/>
                <w:szCs w:val="20"/>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19502CA5" w14:textId="77777777" w:rsidR="00BF3A3A" w:rsidRDefault="00A76802">
            <w:pPr>
              <w:jc w:val="center"/>
              <w:textAlignment w:val="bottom"/>
            </w:pPr>
            <w:r>
              <w:rPr>
                <w:rFonts w:ascii="sans-serif" w:eastAsia="sans-serif" w:hAnsi="sans-serif" w:cs="sans-serif"/>
                <w:b/>
                <w:bCs/>
                <w:color w:val="000000"/>
                <w:sz w:val="20"/>
                <w:szCs w:val="20"/>
              </w:rPr>
              <w:t>January 30, 2022</w:t>
            </w:r>
          </w:p>
        </w:tc>
      </w:tr>
      <w:tr w:rsidR="00BF3A3A" w14:paraId="19502CB1" w14:textId="77777777">
        <w:trPr>
          <w:trHeight w:val="300"/>
        </w:trPr>
        <w:tc>
          <w:tcPr>
            <w:tcW w:w="0" w:type="auto"/>
            <w:gridSpan w:val="3"/>
            <w:shd w:val="clear" w:color="auto" w:fill="auto"/>
            <w:tcMar>
              <w:top w:w="0" w:type="dxa"/>
              <w:left w:w="20" w:type="dxa"/>
              <w:bottom w:w="0" w:type="dxa"/>
              <w:right w:w="20" w:type="dxa"/>
            </w:tcMar>
            <w:vAlign w:val="bottom"/>
          </w:tcPr>
          <w:p w14:paraId="19502CA7" w14:textId="77777777" w:rsidR="00BF3A3A" w:rsidRDefault="00BF3A3A">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9502CA8" w14:textId="77777777" w:rsidR="00BF3A3A" w:rsidRDefault="00A76802">
            <w:pPr>
              <w:jc w:val="center"/>
              <w:textAlignment w:val="bottom"/>
            </w:pPr>
            <w:r>
              <w:rPr>
                <w:rFonts w:ascii="sans-serif" w:eastAsia="sans-serif" w:hAnsi="sans-serif" w:cs="sans-serif"/>
                <w:b/>
                <w:bCs/>
                <w:color w:val="000000"/>
                <w:sz w:val="20"/>
                <w:szCs w:val="20"/>
              </w:rPr>
              <w:t>Amortized</w:t>
            </w:r>
            <w:r>
              <w:rPr>
                <w:rFonts w:ascii="sans-serif" w:eastAsia="sans-serif" w:hAnsi="sans-serif" w:cs="sans-serif"/>
                <w:b/>
                <w:bCs/>
                <w:color w:val="000000"/>
                <w:sz w:val="20"/>
                <w:szCs w:val="20"/>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CA9" w14:textId="77777777" w:rsidR="00BF3A3A" w:rsidRDefault="00BF3A3A">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9502CAA" w14:textId="77777777" w:rsidR="00BF3A3A" w:rsidRDefault="00A76802">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Gain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CAB" w14:textId="77777777" w:rsidR="00BF3A3A" w:rsidRDefault="00BF3A3A">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9502CAC" w14:textId="77777777" w:rsidR="00BF3A3A" w:rsidRDefault="00A76802">
            <w:pPr>
              <w:jc w:val="center"/>
              <w:textAlignment w:val="bottom"/>
            </w:pPr>
            <w:r>
              <w:rPr>
                <w:rFonts w:ascii="sans-serif" w:eastAsia="sans-serif" w:hAnsi="sans-serif" w:cs="sans-serif"/>
                <w:b/>
                <w:bCs/>
                <w:color w:val="000000"/>
                <w:sz w:val="20"/>
                <w:szCs w:val="20"/>
              </w:rPr>
              <w:t>Unrealized</w:t>
            </w:r>
            <w:r>
              <w:rPr>
                <w:rFonts w:ascii="sans-serif" w:eastAsia="sans-serif" w:hAnsi="sans-serif" w:cs="sans-serif"/>
                <w:b/>
                <w:bCs/>
                <w:color w:val="000000"/>
                <w:sz w:val="20"/>
                <w:szCs w:val="20"/>
              </w:rPr>
              <w:br/>
              <w:t>Loss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CAD" w14:textId="77777777" w:rsidR="00BF3A3A" w:rsidRDefault="00BF3A3A">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19502CAE" w14:textId="77777777" w:rsidR="00BF3A3A" w:rsidRDefault="00A76802">
            <w:pPr>
              <w:jc w:val="center"/>
              <w:textAlignment w:val="bottom"/>
            </w:pPr>
            <w:r>
              <w:rPr>
                <w:rFonts w:ascii="sans-serif" w:eastAsia="sans-serif" w:hAnsi="sans-serif" w:cs="sans-serif"/>
                <w:b/>
                <w:bCs/>
                <w:color w:val="000000"/>
                <w:sz w:val="20"/>
                <w:szCs w:val="20"/>
              </w:rPr>
              <w:t>Estimated</w:t>
            </w:r>
            <w:r>
              <w:rPr>
                <w:rFonts w:ascii="sans-serif" w:eastAsia="sans-serif" w:hAnsi="sans-serif" w:cs="sans-serif"/>
                <w:b/>
                <w:bCs/>
                <w:color w:val="000000"/>
                <w:sz w:val="20"/>
                <w:szCs w:val="20"/>
              </w:rPr>
              <w:b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CAF" w14:textId="77777777" w:rsidR="00BF3A3A" w:rsidRDefault="00BF3A3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9502CB0" w14:textId="77777777" w:rsidR="00BF3A3A" w:rsidRDefault="00A76802">
            <w:pPr>
              <w:jc w:val="center"/>
              <w:textAlignment w:val="bottom"/>
            </w:pPr>
            <w:r>
              <w:rPr>
                <w:rFonts w:ascii="sans-serif" w:eastAsia="sans-serif" w:hAnsi="sans-serif" w:cs="sans-serif"/>
                <w:b/>
                <w:bCs/>
                <w:color w:val="000000"/>
                <w:sz w:val="20"/>
                <w:szCs w:val="20"/>
              </w:rPr>
              <w:t>Reported as</w:t>
            </w:r>
          </w:p>
        </w:tc>
      </w:tr>
      <w:tr w:rsidR="00BF3A3A" w14:paraId="19502CBE" w14:textId="77777777">
        <w:trPr>
          <w:trHeight w:val="520"/>
        </w:trPr>
        <w:tc>
          <w:tcPr>
            <w:tcW w:w="0" w:type="auto"/>
            <w:gridSpan w:val="3"/>
            <w:shd w:val="clear" w:color="auto" w:fill="auto"/>
            <w:tcMar>
              <w:top w:w="40" w:type="dxa"/>
              <w:left w:w="20" w:type="dxa"/>
              <w:bottom w:w="40" w:type="dxa"/>
              <w:right w:w="20" w:type="dxa"/>
            </w:tcMar>
            <w:vAlign w:val="bottom"/>
          </w:tcPr>
          <w:p w14:paraId="19502CB2"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9502CB3" w14:textId="77777777" w:rsidR="00BF3A3A" w:rsidRDefault="00BF3A3A">
            <w:pPr>
              <w:jc w:val="center"/>
              <w:rPr>
                <w:rFonts w:ascii="宋体"/>
              </w:rPr>
            </w:pPr>
          </w:p>
        </w:tc>
        <w:tc>
          <w:tcPr>
            <w:tcW w:w="0" w:type="auto"/>
            <w:gridSpan w:val="3"/>
            <w:shd w:val="clear" w:color="auto" w:fill="auto"/>
            <w:tcMar>
              <w:top w:w="0" w:type="dxa"/>
              <w:left w:w="20" w:type="dxa"/>
              <w:bottom w:w="0" w:type="dxa"/>
              <w:right w:w="20" w:type="dxa"/>
            </w:tcMar>
            <w:vAlign w:val="bottom"/>
          </w:tcPr>
          <w:p w14:paraId="19502CB4" w14:textId="77777777" w:rsidR="00BF3A3A" w:rsidRDefault="00BF3A3A">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9502CB5" w14:textId="77777777" w:rsidR="00BF3A3A" w:rsidRDefault="00BF3A3A">
            <w:pPr>
              <w:jc w:val="center"/>
              <w:rPr>
                <w:rFonts w:ascii="宋体"/>
              </w:rPr>
            </w:pPr>
          </w:p>
        </w:tc>
        <w:tc>
          <w:tcPr>
            <w:tcW w:w="0" w:type="auto"/>
            <w:gridSpan w:val="3"/>
            <w:shd w:val="clear" w:color="auto" w:fill="auto"/>
            <w:tcMar>
              <w:top w:w="0" w:type="dxa"/>
              <w:left w:w="20" w:type="dxa"/>
              <w:bottom w:w="0" w:type="dxa"/>
              <w:right w:w="20" w:type="dxa"/>
            </w:tcMar>
            <w:vAlign w:val="bottom"/>
          </w:tcPr>
          <w:p w14:paraId="19502CB6" w14:textId="77777777" w:rsidR="00BF3A3A" w:rsidRDefault="00BF3A3A">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9502CB7" w14:textId="77777777" w:rsidR="00BF3A3A" w:rsidRDefault="00BF3A3A">
            <w:pPr>
              <w:jc w:val="center"/>
              <w:rPr>
                <w:rFonts w:ascii="宋体"/>
              </w:rPr>
            </w:pPr>
          </w:p>
        </w:tc>
        <w:tc>
          <w:tcPr>
            <w:tcW w:w="0" w:type="auto"/>
            <w:gridSpan w:val="3"/>
            <w:shd w:val="clear" w:color="auto" w:fill="auto"/>
            <w:tcMar>
              <w:top w:w="0" w:type="dxa"/>
              <w:left w:w="20" w:type="dxa"/>
              <w:bottom w:w="0" w:type="dxa"/>
              <w:right w:w="20" w:type="dxa"/>
            </w:tcMar>
            <w:vAlign w:val="bottom"/>
          </w:tcPr>
          <w:p w14:paraId="19502CB8" w14:textId="77777777" w:rsidR="00BF3A3A" w:rsidRDefault="00BF3A3A">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19502CB9" w14:textId="77777777" w:rsidR="00BF3A3A" w:rsidRDefault="00BF3A3A">
            <w:pPr>
              <w:jc w:val="center"/>
              <w:rPr>
                <w:rFonts w:ascii="宋体"/>
              </w:rPr>
            </w:pPr>
          </w:p>
        </w:tc>
        <w:tc>
          <w:tcPr>
            <w:tcW w:w="0" w:type="auto"/>
            <w:gridSpan w:val="3"/>
            <w:shd w:val="clear" w:color="auto" w:fill="auto"/>
            <w:tcMar>
              <w:top w:w="0" w:type="dxa"/>
              <w:left w:w="20" w:type="dxa"/>
              <w:bottom w:w="0" w:type="dxa"/>
              <w:right w:w="20" w:type="dxa"/>
            </w:tcMar>
            <w:vAlign w:val="bottom"/>
          </w:tcPr>
          <w:p w14:paraId="19502CBA"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CBB" w14:textId="77777777" w:rsidR="00BF3A3A" w:rsidRDefault="00A76802">
            <w:pPr>
              <w:jc w:val="center"/>
              <w:textAlignment w:val="bottom"/>
            </w:pPr>
            <w:r>
              <w:rPr>
                <w:rFonts w:ascii="sans-serif" w:eastAsia="sans-serif" w:hAnsi="sans-serif" w:cs="sans-serif"/>
                <w:b/>
                <w:bCs/>
                <w:color w:val="000000"/>
                <w:sz w:val="20"/>
                <w:szCs w:val="20"/>
              </w:rPr>
              <w:t>Cash Equivalents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CBC"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CBD" w14:textId="77777777" w:rsidR="00BF3A3A" w:rsidRDefault="00A76802">
            <w:pPr>
              <w:jc w:val="center"/>
              <w:textAlignment w:val="bottom"/>
            </w:pPr>
            <w:r>
              <w:rPr>
                <w:rFonts w:ascii="sans-serif" w:eastAsia="sans-serif" w:hAnsi="sans-serif" w:cs="sans-serif"/>
                <w:b/>
                <w:bCs/>
                <w:color w:val="000000"/>
                <w:sz w:val="20"/>
                <w:szCs w:val="20"/>
              </w:rPr>
              <w:t>Marketable Securities</w:t>
            </w:r>
          </w:p>
        </w:tc>
      </w:tr>
      <w:tr w:rsidR="00BF3A3A" w14:paraId="19502CCB" w14:textId="77777777">
        <w:trPr>
          <w:trHeight w:val="60"/>
        </w:trPr>
        <w:tc>
          <w:tcPr>
            <w:tcW w:w="0" w:type="auto"/>
            <w:gridSpan w:val="3"/>
            <w:shd w:val="clear" w:color="auto" w:fill="auto"/>
            <w:tcMar>
              <w:top w:w="0" w:type="dxa"/>
              <w:left w:w="20" w:type="dxa"/>
              <w:bottom w:w="0" w:type="dxa"/>
              <w:right w:w="20" w:type="dxa"/>
            </w:tcMar>
            <w:vAlign w:val="bottom"/>
          </w:tcPr>
          <w:p w14:paraId="19502CBF"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CC0"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CC1"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CC2"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CC3"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CC4"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CC5"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CC6"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CC7"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CC8"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CC9"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CCA" w14:textId="77777777" w:rsidR="00BF3A3A" w:rsidRDefault="00BF3A3A">
            <w:pPr>
              <w:rPr>
                <w:rFonts w:ascii="宋体"/>
              </w:rPr>
            </w:pPr>
          </w:p>
        </w:tc>
      </w:tr>
      <w:tr w:rsidR="00BF3A3A" w14:paraId="19502CCE" w14:textId="77777777">
        <w:tc>
          <w:tcPr>
            <w:tcW w:w="0" w:type="auto"/>
            <w:gridSpan w:val="3"/>
            <w:shd w:val="clear" w:color="auto" w:fill="auto"/>
            <w:tcMar>
              <w:top w:w="40" w:type="dxa"/>
              <w:left w:w="20" w:type="dxa"/>
              <w:bottom w:w="40" w:type="dxa"/>
              <w:right w:w="20" w:type="dxa"/>
            </w:tcMar>
            <w:vAlign w:val="bottom"/>
          </w:tcPr>
          <w:p w14:paraId="19502CCC" w14:textId="77777777" w:rsidR="00BF3A3A" w:rsidRDefault="00A76802">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19502CCD" w14:textId="77777777" w:rsidR="00BF3A3A" w:rsidRDefault="00A76802">
            <w:pPr>
              <w:jc w:val="center"/>
              <w:textAlignment w:val="bottom"/>
            </w:pPr>
            <w:r>
              <w:rPr>
                <w:rFonts w:ascii="sans-serif" w:eastAsia="sans-serif" w:hAnsi="sans-serif" w:cs="sans-serif"/>
                <w:i/>
                <w:iCs/>
                <w:color w:val="000000"/>
                <w:sz w:val="20"/>
                <w:szCs w:val="20"/>
              </w:rPr>
              <w:t>(In millions)</w:t>
            </w:r>
          </w:p>
        </w:tc>
      </w:tr>
      <w:tr w:rsidR="00BF3A3A" w14:paraId="19502CE7" w14:textId="77777777">
        <w:tc>
          <w:tcPr>
            <w:tcW w:w="0" w:type="auto"/>
            <w:gridSpan w:val="3"/>
            <w:shd w:val="clear" w:color="auto" w:fill="E2EFD9"/>
            <w:tcMar>
              <w:top w:w="40" w:type="dxa"/>
              <w:left w:w="20" w:type="dxa"/>
              <w:bottom w:w="40" w:type="dxa"/>
              <w:right w:w="20" w:type="dxa"/>
            </w:tcMar>
            <w:vAlign w:val="bottom"/>
          </w:tcPr>
          <w:p w14:paraId="19502CCF" w14:textId="77777777" w:rsidR="00BF3A3A" w:rsidRDefault="00A76802">
            <w:pPr>
              <w:textAlignment w:val="bottom"/>
            </w:pPr>
            <w:r>
              <w:rPr>
                <w:rFonts w:ascii="sans-serif" w:eastAsia="sans-serif" w:hAnsi="sans-serif" w:cs="sans-serif"/>
                <w:color w:val="000000"/>
                <w:sz w:val="20"/>
                <w:szCs w:val="20"/>
              </w:rPr>
              <w:t>Corporate debt securities</w:t>
            </w:r>
          </w:p>
        </w:tc>
        <w:tc>
          <w:tcPr>
            <w:tcW w:w="0" w:type="auto"/>
            <w:shd w:val="clear" w:color="auto" w:fill="E2EFD9"/>
            <w:tcMar>
              <w:top w:w="40" w:type="dxa"/>
              <w:left w:w="20" w:type="dxa"/>
              <w:bottom w:w="40" w:type="dxa"/>
              <w:right w:w="0" w:type="dxa"/>
            </w:tcMar>
            <w:vAlign w:val="bottom"/>
          </w:tcPr>
          <w:p w14:paraId="19502CD0"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CD1" w14:textId="77777777" w:rsidR="00BF3A3A" w:rsidRDefault="00A76802">
            <w:pPr>
              <w:jc w:val="right"/>
              <w:textAlignment w:val="bottom"/>
            </w:pPr>
            <w:r>
              <w:rPr>
                <w:rFonts w:ascii="sans-serif" w:eastAsia="sans-serif" w:hAnsi="sans-serif" w:cs="sans-serif"/>
                <w:color w:val="000000"/>
                <w:sz w:val="20"/>
                <w:szCs w:val="20"/>
              </w:rPr>
              <w:t>9,977 </w:t>
            </w:r>
          </w:p>
        </w:tc>
        <w:tc>
          <w:tcPr>
            <w:tcW w:w="0" w:type="auto"/>
            <w:shd w:val="clear" w:color="auto" w:fill="E2EFD9"/>
            <w:tcMar>
              <w:top w:w="40" w:type="dxa"/>
              <w:left w:w="0" w:type="dxa"/>
              <w:bottom w:w="40" w:type="dxa"/>
              <w:right w:w="20" w:type="dxa"/>
            </w:tcMar>
            <w:vAlign w:val="bottom"/>
          </w:tcPr>
          <w:p w14:paraId="19502CD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CD3"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CD4"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CD5"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2CD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CD7"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CD8"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CD9" w14:textId="77777777" w:rsidR="00BF3A3A" w:rsidRDefault="00A76802">
            <w:pPr>
              <w:jc w:val="right"/>
              <w:textAlignment w:val="bottom"/>
            </w:pPr>
            <w:r>
              <w:rPr>
                <w:rFonts w:ascii="sans-serif" w:eastAsia="sans-serif" w:hAnsi="sans-serif" w:cs="sans-serif"/>
                <w:color w:val="000000"/>
                <w:sz w:val="20"/>
                <w:szCs w:val="20"/>
              </w:rPr>
              <w:t>(3)</w:t>
            </w:r>
          </w:p>
        </w:tc>
        <w:tc>
          <w:tcPr>
            <w:tcW w:w="0" w:type="auto"/>
            <w:shd w:val="clear" w:color="auto" w:fill="E2EFD9"/>
            <w:tcMar>
              <w:top w:w="40" w:type="dxa"/>
              <w:left w:w="0" w:type="dxa"/>
              <w:bottom w:w="40" w:type="dxa"/>
              <w:right w:w="20" w:type="dxa"/>
            </w:tcMar>
            <w:vAlign w:val="bottom"/>
          </w:tcPr>
          <w:p w14:paraId="19502CD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CDB"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CDC"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CDD" w14:textId="77777777" w:rsidR="00BF3A3A" w:rsidRDefault="00A76802">
            <w:pPr>
              <w:jc w:val="right"/>
              <w:textAlignment w:val="bottom"/>
            </w:pPr>
            <w:r>
              <w:rPr>
                <w:rFonts w:ascii="sans-serif" w:eastAsia="sans-serif" w:hAnsi="sans-serif" w:cs="sans-serif"/>
                <w:color w:val="000000"/>
                <w:sz w:val="20"/>
                <w:szCs w:val="20"/>
              </w:rPr>
              <w:t>9,974 </w:t>
            </w:r>
          </w:p>
        </w:tc>
        <w:tc>
          <w:tcPr>
            <w:tcW w:w="0" w:type="auto"/>
            <w:shd w:val="clear" w:color="auto" w:fill="E2EFD9"/>
            <w:tcMar>
              <w:top w:w="40" w:type="dxa"/>
              <w:left w:w="0" w:type="dxa"/>
              <w:bottom w:w="40" w:type="dxa"/>
              <w:right w:w="20" w:type="dxa"/>
            </w:tcMar>
            <w:vAlign w:val="bottom"/>
          </w:tcPr>
          <w:p w14:paraId="19502CD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CDF"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CE0"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CE1" w14:textId="77777777" w:rsidR="00BF3A3A" w:rsidRDefault="00A76802">
            <w:pPr>
              <w:jc w:val="right"/>
              <w:textAlignment w:val="bottom"/>
            </w:pPr>
            <w:r>
              <w:rPr>
                <w:rFonts w:ascii="sans-serif" w:eastAsia="sans-serif" w:hAnsi="sans-serif" w:cs="sans-serif"/>
                <w:color w:val="000000"/>
                <w:sz w:val="20"/>
                <w:szCs w:val="20"/>
              </w:rPr>
              <w:t>1,102 </w:t>
            </w:r>
          </w:p>
        </w:tc>
        <w:tc>
          <w:tcPr>
            <w:tcW w:w="0" w:type="auto"/>
            <w:shd w:val="clear" w:color="auto" w:fill="E2EFD9"/>
            <w:tcMar>
              <w:top w:w="40" w:type="dxa"/>
              <w:left w:w="0" w:type="dxa"/>
              <w:bottom w:w="40" w:type="dxa"/>
              <w:right w:w="20" w:type="dxa"/>
            </w:tcMar>
            <w:vAlign w:val="bottom"/>
          </w:tcPr>
          <w:p w14:paraId="19502CE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CE3"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CE4"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CE5" w14:textId="77777777" w:rsidR="00BF3A3A" w:rsidRDefault="00A76802">
            <w:pPr>
              <w:jc w:val="right"/>
              <w:textAlignment w:val="bottom"/>
            </w:pPr>
            <w:r>
              <w:rPr>
                <w:rFonts w:ascii="sans-serif" w:eastAsia="sans-serif" w:hAnsi="sans-serif" w:cs="sans-serif"/>
                <w:color w:val="000000"/>
                <w:sz w:val="20"/>
                <w:szCs w:val="20"/>
              </w:rPr>
              <w:t>8,872 </w:t>
            </w:r>
          </w:p>
        </w:tc>
        <w:tc>
          <w:tcPr>
            <w:tcW w:w="0" w:type="auto"/>
            <w:shd w:val="clear" w:color="auto" w:fill="E2EFD9"/>
            <w:tcMar>
              <w:top w:w="40" w:type="dxa"/>
              <w:left w:w="0" w:type="dxa"/>
              <w:bottom w:w="40" w:type="dxa"/>
              <w:right w:w="20" w:type="dxa"/>
            </w:tcMar>
            <w:vAlign w:val="bottom"/>
          </w:tcPr>
          <w:p w14:paraId="19502CE6" w14:textId="77777777" w:rsidR="00BF3A3A" w:rsidRDefault="00BF3A3A">
            <w:pPr>
              <w:jc w:val="right"/>
              <w:rPr>
                <w:rFonts w:ascii="宋体"/>
              </w:rPr>
            </w:pPr>
          </w:p>
        </w:tc>
      </w:tr>
      <w:tr w:rsidR="00BF3A3A" w14:paraId="19502CFA" w14:textId="77777777">
        <w:tc>
          <w:tcPr>
            <w:tcW w:w="0" w:type="auto"/>
            <w:gridSpan w:val="3"/>
            <w:shd w:val="clear" w:color="auto" w:fill="FFFFFF"/>
            <w:tcMar>
              <w:top w:w="40" w:type="dxa"/>
              <w:left w:w="20" w:type="dxa"/>
              <w:bottom w:w="40" w:type="dxa"/>
              <w:right w:w="20" w:type="dxa"/>
            </w:tcMar>
            <w:vAlign w:val="bottom"/>
          </w:tcPr>
          <w:p w14:paraId="19502CE8" w14:textId="77777777" w:rsidR="00BF3A3A" w:rsidRDefault="00A76802">
            <w:pPr>
              <w:textAlignment w:val="bottom"/>
            </w:pPr>
            <w:r>
              <w:rPr>
                <w:rFonts w:ascii="sans-serif" w:eastAsia="sans-serif" w:hAnsi="sans-serif" w:cs="sans-serif"/>
                <w:color w:val="000000"/>
                <w:sz w:val="20"/>
                <w:szCs w:val="20"/>
              </w:rPr>
              <w:t>Debt securi</w:t>
            </w:r>
            <w:r>
              <w:rPr>
                <w:rFonts w:ascii="sans-serif" w:eastAsia="sans-serif" w:hAnsi="sans-serif" w:cs="sans-serif"/>
                <w:color w:val="000000"/>
                <w:sz w:val="20"/>
                <w:szCs w:val="20"/>
              </w:rPr>
              <w:t>ties issued by the United States Treasury</w:t>
            </w:r>
          </w:p>
        </w:tc>
        <w:tc>
          <w:tcPr>
            <w:tcW w:w="0" w:type="auto"/>
            <w:gridSpan w:val="2"/>
            <w:shd w:val="clear" w:color="auto" w:fill="FFFFFF"/>
            <w:tcMar>
              <w:top w:w="40" w:type="dxa"/>
              <w:left w:w="20" w:type="dxa"/>
              <w:bottom w:w="40" w:type="dxa"/>
              <w:right w:w="0" w:type="dxa"/>
            </w:tcMar>
            <w:vAlign w:val="bottom"/>
          </w:tcPr>
          <w:p w14:paraId="19502CE9" w14:textId="77777777" w:rsidR="00BF3A3A" w:rsidRDefault="00A76802">
            <w:pPr>
              <w:jc w:val="right"/>
              <w:textAlignment w:val="bottom"/>
            </w:pPr>
            <w:r>
              <w:rPr>
                <w:rFonts w:ascii="sans-serif" w:eastAsia="sans-serif" w:hAnsi="sans-serif" w:cs="sans-serif"/>
                <w:color w:val="000000"/>
                <w:sz w:val="20"/>
                <w:szCs w:val="20"/>
              </w:rPr>
              <w:t>7,314 </w:t>
            </w:r>
          </w:p>
        </w:tc>
        <w:tc>
          <w:tcPr>
            <w:tcW w:w="0" w:type="auto"/>
            <w:shd w:val="clear" w:color="auto" w:fill="FFFFFF"/>
            <w:tcMar>
              <w:top w:w="40" w:type="dxa"/>
              <w:left w:w="0" w:type="dxa"/>
              <w:bottom w:w="40" w:type="dxa"/>
              <w:right w:w="20" w:type="dxa"/>
            </w:tcMar>
            <w:vAlign w:val="bottom"/>
          </w:tcPr>
          <w:p w14:paraId="19502CEA"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CEB"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CEC"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2CE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CE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CEF" w14:textId="77777777" w:rsidR="00BF3A3A" w:rsidRDefault="00A76802">
            <w:pPr>
              <w:jc w:val="right"/>
              <w:textAlignment w:val="bottom"/>
            </w:pPr>
            <w:r>
              <w:rPr>
                <w:rFonts w:ascii="sans-serif" w:eastAsia="sans-serif" w:hAnsi="sans-serif" w:cs="sans-serif"/>
                <w:color w:val="000000"/>
                <w:sz w:val="20"/>
                <w:szCs w:val="20"/>
              </w:rPr>
              <w:t>(14)</w:t>
            </w:r>
          </w:p>
        </w:tc>
        <w:tc>
          <w:tcPr>
            <w:tcW w:w="0" w:type="auto"/>
            <w:shd w:val="clear" w:color="auto" w:fill="FFFFFF"/>
            <w:tcMar>
              <w:top w:w="40" w:type="dxa"/>
              <w:left w:w="0" w:type="dxa"/>
              <w:bottom w:w="40" w:type="dxa"/>
              <w:right w:w="20" w:type="dxa"/>
            </w:tcMar>
            <w:vAlign w:val="bottom"/>
          </w:tcPr>
          <w:p w14:paraId="19502CF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CF1"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CF2" w14:textId="77777777" w:rsidR="00BF3A3A" w:rsidRDefault="00A76802">
            <w:pPr>
              <w:jc w:val="right"/>
              <w:textAlignment w:val="bottom"/>
            </w:pPr>
            <w:r>
              <w:rPr>
                <w:rFonts w:ascii="sans-serif" w:eastAsia="sans-serif" w:hAnsi="sans-serif" w:cs="sans-serif"/>
                <w:color w:val="000000"/>
                <w:sz w:val="20"/>
                <w:szCs w:val="20"/>
              </w:rPr>
              <w:t>7,300 </w:t>
            </w:r>
          </w:p>
        </w:tc>
        <w:tc>
          <w:tcPr>
            <w:tcW w:w="0" w:type="auto"/>
            <w:shd w:val="clear" w:color="auto" w:fill="FFFFFF"/>
            <w:tcMar>
              <w:top w:w="40" w:type="dxa"/>
              <w:left w:w="0" w:type="dxa"/>
              <w:bottom w:w="40" w:type="dxa"/>
              <w:right w:w="20" w:type="dxa"/>
            </w:tcMar>
            <w:vAlign w:val="bottom"/>
          </w:tcPr>
          <w:p w14:paraId="19502CF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CF4"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CF5"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2CF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CF7"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CF8" w14:textId="77777777" w:rsidR="00BF3A3A" w:rsidRDefault="00A76802">
            <w:pPr>
              <w:jc w:val="right"/>
              <w:textAlignment w:val="bottom"/>
            </w:pPr>
            <w:r>
              <w:rPr>
                <w:rFonts w:ascii="sans-serif" w:eastAsia="sans-serif" w:hAnsi="sans-serif" w:cs="sans-serif"/>
                <w:color w:val="000000"/>
                <w:sz w:val="20"/>
                <w:szCs w:val="20"/>
              </w:rPr>
              <w:t>7,300 </w:t>
            </w:r>
          </w:p>
        </w:tc>
        <w:tc>
          <w:tcPr>
            <w:tcW w:w="0" w:type="auto"/>
            <w:shd w:val="clear" w:color="auto" w:fill="FFFFFF"/>
            <w:tcMar>
              <w:top w:w="40" w:type="dxa"/>
              <w:left w:w="0" w:type="dxa"/>
              <w:bottom w:w="40" w:type="dxa"/>
              <w:right w:w="20" w:type="dxa"/>
            </w:tcMar>
            <w:vAlign w:val="bottom"/>
          </w:tcPr>
          <w:p w14:paraId="19502CF9" w14:textId="77777777" w:rsidR="00BF3A3A" w:rsidRDefault="00BF3A3A">
            <w:pPr>
              <w:jc w:val="right"/>
              <w:rPr>
                <w:rFonts w:ascii="宋体"/>
              </w:rPr>
            </w:pPr>
          </w:p>
        </w:tc>
      </w:tr>
      <w:tr w:rsidR="00BF3A3A" w14:paraId="19502D0D" w14:textId="77777777">
        <w:tc>
          <w:tcPr>
            <w:tcW w:w="0" w:type="auto"/>
            <w:gridSpan w:val="3"/>
            <w:shd w:val="clear" w:color="auto" w:fill="E2EFD9"/>
            <w:tcMar>
              <w:top w:w="40" w:type="dxa"/>
              <w:left w:w="20" w:type="dxa"/>
              <w:bottom w:w="40" w:type="dxa"/>
              <w:right w:w="20" w:type="dxa"/>
            </w:tcMar>
            <w:vAlign w:val="bottom"/>
          </w:tcPr>
          <w:p w14:paraId="19502CFB" w14:textId="77777777" w:rsidR="00BF3A3A" w:rsidRDefault="00A76802">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2"/>
            <w:shd w:val="clear" w:color="auto" w:fill="E2EFD9"/>
            <w:tcMar>
              <w:top w:w="40" w:type="dxa"/>
              <w:left w:w="20" w:type="dxa"/>
              <w:bottom w:w="40" w:type="dxa"/>
              <w:right w:w="0" w:type="dxa"/>
            </w:tcMar>
            <w:vAlign w:val="bottom"/>
          </w:tcPr>
          <w:p w14:paraId="19502CFC" w14:textId="77777777" w:rsidR="00BF3A3A" w:rsidRDefault="00A76802">
            <w:pPr>
              <w:jc w:val="right"/>
              <w:textAlignment w:val="bottom"/>
            </w:pPr>
            <w:r>
              <w:rPr>
                <w:rFonts w:ascii="sans-serif" w:eastAsia="sans-serif" w:hAnsi="sans-serif" w:cs="sans-serif"/>
                <w:color w:val="000000"/>
                <w:sz w:val="20"/>
                <w:szCs w:val="20"/>
              </w:rPr>
              <w:t>1,612 </w:t>
            </w:r>
          </w:p>
        </w:tc>
        <w:tc>
          <w:tcPr>
            <w:tcW w:w="0" w:type="auto"/>
            <w:shd w:val="clear" w:color="auto" w:fill="E2EFD9"/>
            <w:tcMar>
              <w:top w:w="40" w:type="dxa"/>
              <w:left w:w="0" w:type="dxa"/>
              <w:bottom w:w="40" w:type="dxa"/>
              <w:right w:w="20" w:type="dxa"/>
            </w:tcMar>
            <w:vAlign w:val="bottom"/>
          </w:tcPr>
          <w:p w14:paraId="19502CF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CFE"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CFF"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2D0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D01"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D02"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2D0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D04"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D05" w14:textId="77777777" w:rsidR="00BF3A3A" w:rsidRDefault="00A76802">
            <w:pPr>
              <w:jc w:val="right"/>
              <w:textAlignment w:val="bottom"/>
            </w:pPr>
            <w:r>
              <w:rPr>
                <w:rFonts w:ascii="sans-serif" w:eastAsia="sans-serif" w:hAnsi="sans-serif" w:cs="sans-serif"/>
                <w:color w:val="000000"/>
                <w:sz w:val="20"/>
                <w:szCs w:val="20"/>
              </w:rPr>
              <w:t>1,612 </w:t>
            </w:r>
          </w:p>
        </w:tc>
        <w:tc>
          <w:tcPr>
            <w:tcW w:w="0" w:type="auto"/>
            <w:shd w:val="clear" w:color="auto" w:fill="E2EFD9"/>
            <w:tcMar>
              <w:top w:w="40" w:type="dxa"/>
              <w:left w:w="0" w:type="dxa"/>
              <w:bottom w:w="40" w:type="dxa"/>
              <w:right w:w="20" w:type="dxa"/>
            </w:tcMar>
            <w:vAlign w:val="bottom"/>
          </w:tcPr>
          <w:p w14:paraId="19502D0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D07"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D08" w14:textId="77777777" w:rsidR="00BF3A3A" w:rsidRDefault="00A76802">
            <w:pPr>
              <w:jc w:val="right"/>
              <w:textAlignment w:val="bottom"/>
            </w:pPr>
            <w:r>
              <w:rPr>
                <w:rFonts w:ascii="sans-serif" w:eastAsia="sans-serif" w:hAnsi="sans-serif" w:cs="sans-serif"/>
                <w:color w:val="000000"/>
                <w:sz w:val="20"/>
                <w:szCs w:val="20"/>
              </w:rPr>
              <w:t>256 </w:t>
            </w:r>
          </w:p>
        </w:tc>
        <w:tc>
          <w:tcPr>
            <w:tcW w:w="0" w:type="auto"/>
            <w:shd w:val="clear" w:color="auto" w:fill="E2EFD9"/>
            <w:tcMar>
              <w:top w:w="40" w:type="dxa"/>
              <w:left w:w="0" w:type="dxa"/>
              <w:bottom w:w="40" w:type="dxa"/>
              <w:right w:w="20" w:type="dxa"/>
            </w:tcMar>
            <w:vAlign w:val="bottom"/>
          </w:tcPr>
          <w:p w14:paraId="19502D0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D0A"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D0B" w14:textId="77777777" w:rsidR="00BF3A3A" w:rsidRDefault="00A76802">
            <w:pPr>
              <w:jc w:val="right"/>
              <w:textAlignment w:val="bottom"/>
            </w:pPr>
            <w:r>
              <w:rPr>
                <w:rFonts w:ascii="sans-serif" w:eastAsia="sans-serif" w:hAnsi="sans-serif" w:cs="sans-serif"/>
                <w:color w:val="000000"/>
                <w:sz w:val="20"/>
                <w:szCs w:val="20"/>
              </w:rPr>
              <w:t>1,356 </w:t>
            </w:r>
          </w:p>
        </w:tc>
        <w:tc>
          <w:tcPr>
            <w:tcW w:w="0" w:type="auto"/>
            <w:shd w:val="clear" w:color="auto" w:fill="E2EFD9"/>
            <w:tcMar>
              <w:top w:w="40" w:type="dxa"/>
              <w:left w:w="0" w:type="dxa"/>
              <w:bottom w:w="40" w:type="dxa"/>
              <w:right w:w="20" w:type="dxa"/>
            </w:tcMar>
            <w:vAlign w:val="bottom"/>
          </w:tcPr>
          <w:p w14:paraId="19502D0C" w14:textId="77777777" w:rsidR="00BF3A3A" w:rsidRDefault="00BF3A3A">
            <w:pPr>
              <w:jc w:val="right"/>
              <w:rPr>
                <w:rFonts w:ascii="宋体"/>
              </w:rPr>
            </w:pPr>
          </w:p>
        </w:tc>
      </w:tr>
      <w:tr w:rsidR="00BF3A3A" w14:paraId="19502D20" w14:textId="77777777">
        <w:tc>
          <w:tcPr>
            <w:tcW w:w="0" w:type="auto"/>
            <w:gridSpan w:val="3"/>
            <w:shd w:val="clear" w:color="auto" w:fill="FFFFFF"/>
            <w:tcMar>
              <w:top w:w="40" w:type="dxa"/>
              <w:left w:w="20" w:type="dxa"/>
              <w:bottom w:w="40" w:type="dxa"/>
              <w:right w:w="20" w:type="dxa"/>
            </w:tcMar>
            <w:vAlign w:val="bottom"/>
          </w:tcPr>
          <w:p w14:paraId="19502D0E" w14:textId="77777777" w:rsidR="00BF3A3A" w:rsidRDefault="00A76802">
            <w:pPr>
              <w:textAlignment w:val="bottom"/>
            </w:pPr>
            <w:r>
              <w:rPr>
                <w:rFonts w:ascii="sans-serif" w:eastAsia="sans-serif" w:hAnsi="sans-serif" w:cs="sans-serif"/>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19502D0F" w14:textId="77777777" w:rsidR="00BF3A3A" w:rsidRDefault="00A76802">
            <w:pPr>
              <w:jc w:val="right"/>
              <w:textAlignment w:val="bottom"/>
            </w:pPr>
            <w:r>
              <w:rPr>
                <w:rFonts w:ascii="sans-serif" w:eastAsia="sans-serif" w:hAnsi="sans-serif" w:cs="sans-serif"/>
                <w:color w:val="000000"/>
                <w:sz w:val="20"/>
                <w:szCs w:val="20"/>
              </w:rPr>
              <w:t>1,561 </w:t>
            </w:r>
          </w:p>
        </w:tc>
        <w:tc>
          <w:tcPr>
            <w:tcW w:w="0" w:type="auto"/>
            <w:shd w:val="clear" w:color="auto" w:fill="FFFFFF"/>
            <w:tcMar>
              <w:top w:w="40" w:type="dxa"/>
              <w:left w:w="0" w:type="dxa"/>
              <w:bottom w:w="40" w:type="dxa"/>
              <w:right w:w="20" w:type="dxa"/>
            </w:tcMar>
            <w:vAlign w:val="bottom"/>
          </w:tcPr>
          <w:p w14:paraId="19502D1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D11"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D12"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2D1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D14"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D15"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2D1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D17"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D18" w14:textId="77777777" w:rsidR="00BF3A3A" w:rsidRDefault="00A76802">
            <w:pPr>
              <w:jc w:val="right"/>
              <w:textAlignment w:val="bottom"/>
            </w:pPr>
            <w:r>
              <w:rPr>
                <w:rFonts w:ascii="sans-serif" w:eastAsia="sans-serif" w:hAnsi="sans-serif" w:cs="sans-serif"/>
                <w:color w:val="000000"/>
                <w:sz w:val="20"/>
                <w:szCs w:val="20"/>
              </w:rPr>
              <w:t>1,561 </w:t>
            </w:r>
          </w:p>
        </w:tc>
        <w:tc>
          <w:tcPr>
            <w:tcW w:w="0" w:type="auto"/>
            <w:shd w:val="clear" w:color="auto" w:fill="FFFFFF"/>
            <w:tcMar>
              <w:top w:w="40" w:type="dxa"/>
              <w:left w:w="0" w:type="dxa"/>
              <w:bottom w:w="40" w:type="dxa"/>
              <w:right w:w="20" w:type="dxa"/>
            </w:tcMar>
            <w:vAlign w:val="bottom"/>
          </w:tcPr>
          <w:p w14:paraId="19502D1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D1A"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D1B" w14:textId="77777777" w:rsidR="00BF3A3A" w:rsidRDefault="00A76802">
            <w:pPr>
              <w:jc w:val="right"/>
              <w:textAlignment w:val="bottom"/>
            </w:pPr>
            <w:r>
              <w:rPr>
                <w:rFonts w:ascii="sans-serif" w:eastAsia="sans-serif" w:hAnsi="sans-serif" w:cs="sans-serif"/>
                <w:color w:val="000000"/>
                <w:sz w:val="20"/>
                <w:szCs w:val="20"/>
              </w:rPr>
              <w:t>21 </w:t>
            </w:r>
          </w:p>
        </w:tc>
        <w:tc>
          <w:tcPr>
            <w:tcW w:w="0" w:type="auto"/>
            <w:shd w:val="clear" w:color="auto" w:fill="FFFFFF"/>
            <w:tcMar>
              <w:top w:w="40" w:type="dxa"/>
              <w:left w:w="0" w:type="dxa"/>
              <w:bottom w:w="40" w:type="dxa"/>
              <w:right w:w="20" w:type="dxa"/>
            </w:tcMar>
            <w:vAlign w:val="bottom"/>
          </w:tcPr>
          <w:p w14:paraId="19502D1C"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D1D"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D1E" w14:textId="77777777" w:rsidR="00BF3A3A" w:rsidRDefault="00A76802">
            <w:pPr>
              <w:jc w:val="right"/>
              <w:textAlignment w:val="bottom"/>
            </w:pPr>
            <w:r>
              <w:rPr>
                <w:rFonts w:ascii="sans-serif" w:eastAsia="sans-serif" w:hAnsi="sans-serif" w:cs="sans-serif"/>
                <w:color w:val="000000"/>
                <w:sz w:val="20"/>
                <w:szCs w:val="20"/>
              </w:rPr>
              <w:t>1,540 </w:t>
            </w:r>
          </w:p>
        </w:tc>
        <w:tc>
          <w:tcPr>
            <w:tcW w:w="0" w:type="auto"/>
            <w:shd w:val="clear" w:color="auto" w:fill="FFFFFF"/>
            <w:tcMar>
              <w:top w:w="40" w:type="dxa"/>
              <w:left w:w="0" w:type="dxa"/>
              <w:bottom w:w="40" w:type="dxa"/>
              <w:right w:w="20" w:type="dxa"/>
            </w:tcMar>
            <w:vAlign w:val="bottom"/>
          </w:tcPr>
          <w:p w14:paraId="19502D1F" w14:textId="77777777" w:rsidR="00BF3A3A" w:rsidRDefault="00BF3A3A">
            <w:pPr>
              <w:jc w:val="right"/>
              <w:rPr>
                <w:rFonts w:ascii="宋体"/>
              </w:rPr>
            </w:pPr>
          </w:p>
        </w:tc>
      </w:tr>
      <w:tr w:rsidR="00BF3A3A" w14:paraId="19502D33" w14:textId="77777777">
        <w:tc>
          <w:tcPr>
            <w:tcW w:w="0" w:type="auto"/>
            <w:gridSpan w:val="3"/>
            <w:shd w:val="clear" w:color="auto" w:fill="E2EFD9"/>
            <w:tcMar>
              <w:top w:w="40" w:type="dxa"/>
              <w:left w:w="20" w:type="dxa"/>
              <w:bottom w:w="40" w:type="dxa"/>
              <w:right w:w="20" w:type="dxa"/>
            </w:tcMar>
            <w:vAlign w:val="bottom"/>
          </w:tcPr>
          <w:p w14:paraId="19502D21" w14:textId="77777777" w:rsidR="00BF3A3A" w:rsidRDefault="00A76802">
            <w:pPr>
              <w:textAlignment w:val="bottom"/>
            </w:pPr>
            <w:r>
              <w:rPr>
                <w:rFonts w:ascii="sans-serif" w:eastAsia="sans-serif" w:hAnsi="sans-serif" w:cs="sans-serif"/>
                <w:color w:val="000000"/>
                <w:sz w:val="20"/>
                <w:szCs w:val="20"/>
              </w:rPr>
              <w:t>Money market funds</w:t>
            </w:r>
          </w:p>
        </w:tc>
        <w:tc>
          <w:tcPr>
            <w:tcW w:w="0" w:type="auto"/>
            <w:gridSpan w:val="2"/>
            <w:shd w:val="clear" w:color="auto" w:fill="E2EFD9"/>
            <w:tcMar>
              <w:top w:w="40" w:type="dxa"/>
              <w:left w:w="20" w:type="dxa"/>
              <w:bottom w:w="40" w:type="dxa"/>
              <w:right w:w="0" w:type="dxa"/>
            </w:tcMar>
            <w:vAlign w:val="bottom"/>
          </w:tcPr>
          <w:p w14:paraId="19502D22" w14:textId="77777777" w:rsidR="00BF3A3A" w:rsidRDefault="00A76802">
            <w:pPr>
              <w:jc w:val="right"/>
              <w:textAlignment w:val="bottom"/>
            </w:pPr>
            <w:r>
              <w:rPr>
                <w:rFonts w:ascii="sans-serif" w:eastAsia="sans-serif" w:hAnsi="sans-serif" w:cs="sans-serif"/>
                <w:color w:val="000000"/>
                <w:sz w:val="20"/>
                <w:szCs w:val="20"/>
              </w:rPr>
              <w:t>316 </w:t>
            </w:r>
          </w:p>
        </w:tc>
        <w:tc>
          <w:tcPr>
            <w:tcW w:w="0" w:type="auto"/>
            <w:shd w:val="clear" w:color="auto" w:fill="E2EFD9"/>
            <w:tcMar>
              <w:top w:w="40" w:type="dxa"/>
              <w:left w:w="0" w:type="dxa"/>
              <w:bottom w:w="40" w:type="dxa"/>
              <w:right w:w="20" w:type="dxa"/>
            </w:tcMar>
            <w:vAlign w:val="bottom"/>
          </w:tcPr>
          <w:p w14:paraId="19502D2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D24"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D25"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2D2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D27"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D28"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2D2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D2A"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D2B" w14:textId="77777777" w:rsidR="00BF3A3A" w:rsidRDefault="00A76802">
            <w:pPr>
              <w:jc w:val="right"/>
              <w:textAlignment w:val="bottom"/>
            </w:pPr>
            <w:r>
              <w:rPr>
                <w:rFonts w:ascii="sans-serif" w:eastAsia="sans-serif" w:hAnsi="sans-serif" w:cs="sans-serif"/>
                <w:color w:val="000000"/>
                <w:sz w:val="20"/>
                <w:szCs w:val="20"/>
              </w:rPr>
              <w:t>316 </w:t>
            </w:r>
          </w:p>
        </w:tc>
        <w:tc>
          <w:tcPr>
            <w:tcW w:w="0" w:type="auto"/>
            <w:shd w:val="clear" w:color="auto" w:fill="E2EFD9"/>
            <w:tcMar>
              <w:top w:w="40" w:type="dxa"/>
              <w:left w:w="0" w:type="dxa"/>
              <w:bottom w:w="40" w:type="dxa"/>
              <w:right w:w="20" w:type="dxa"/>
            </w:tcMar>
            <w:vAlign w:val="bottom"/>
          </w:tcPr>
          <w:p w14:paraId="19502D2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D2D"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D2E" w14:textId="77777777" w:rsidR="00BF3A3A" w:rsidRDefault="00A76802">
            <w:pPr>
              <w:jc w:val="right"/>
              <w:textAlignment w:val="bottom"/>
            </w:pPr>
            <w:r>
              <w:rPr>
                <w:rFonts w:ascii="sans-serif" w:eastAsia="sans-serif" w:hAnsi="sans-serif" w:cs="sans-serif"/>
                <w:color w:val="000000"/>
                <w:sz w:val="20"/>
                <w:szCs w:val="20"/>
              </w:rPr>
              <w:t>316 </w:t>
            </w:r>
          </w:p>
        </w:tc>
        <w:tc>
          <w:tcPr>
            <w:tcW w:w="0" w:type="auto"/>
            <w:shd w:val="clear" w:color="auto" w:fill="E2EFD9"/>
            <w:tcMar>
              <w:top w:w="40" w:type="dxa"/>
              <w:left w:w="0" w:type="dxa"/>
              <w:bottom w:w="40" w:type="dxa"/>
              <w:right w:w="20" w:type="dxa"/>
            </w:tcMar>
            <w:vAlign w:val="bottom"/>
          </w:tcPr>
          <w:p w14:paraId="19502D2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D30"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D31"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2D32" w14:textId="77777777" w:rsidR="00BF3A3A" w:rsidRDefault="00BF3A3A">
            <w:pPr>
              <w:jc w:val="right"/>
              <w:rPr>
                <w:rFonts w:ascii="宋体"/>
              </w:rPr>
            </w:pPr>
          </w:p>
        </w:tc>
      </w:tr>
      <w:tr w:rsidR="00BF3A3A" w14:paraId="19502D46" w14:textId="77777777">
        <w:tc>
          <w:tcPr>
            <w:tcW w:w="0" w:type="auto"/>
            <w:gridSpan w:val="3"/>
            <w:shd w:val="clear" w:color="auto" w:fill="FFFFFF"/>
            <w:tcMar>
              <w:top w:w="40" w:type="dxa"/>
              <w:left w:w="20" w:type="dxa"/>
              <w:bottom w:w="40" w:type="dxa"/>
              <w:right w:w="20" w:type="dxa"/>
            </w:tcMar>
            <w:vAlign w:val="bottom"/>
          </w:tcPr>
          <w:p w14:paraId="19502D34" w14:textId="77777777" w:rsidR="00BF3A3A" w:rsidRDefault="00A76802">
            <w:pPr>
              <w:textAlignment w:val="bottom"/>
            </w:pPr>
            <w:r>
              <w:rPr>
                <w:rFonts w:ascii="sans-serif" w:eastAsia="sans-serif" w:hAnsi="sans-serif" w:cs="sans-serif"/>
                <w:color w:val="000000"/>
                <w:sz w:val="20"/>
                <w:szCs w:val="20"/>
              </w:rPr>
              <w:t>Foreign government bonds</w:t>
            </w:r>
          </w:p>
        </w:tc>
        <w:tc>
          <w:tcPr>
            <w:tcW w:w="0" w:type="auto"/>
            <w:gridSpan w:val="2"/>
            <w:shd w:val="clear" w:color="auto" w:fill="FFFFFF"/>
            <w:tcMar>
              <w:top w:w="40" w:type="dxa"/>
              <w:left w:w="20" w:type="dxa"/>
              <w:bottom w:w="40" w:type="dxa"/>
              <w:right w:w="0" w:type="dxa"/>
            </w:tcMar>
            <w:vAlign w:val="bottom"/>
          </w:tcPr>
          <w:p w14:paraId="19502D35" w14:textId="77777777" w:rsidR="00BF3A3A" w:rsidRDefault="00A76802">
            <w:pPr>
              <w:jc w:val="right"/>
              <w:textAlignment w:val="bottom"/>
            </w:pPr>
            <w:r>
              <w:rPr>
                <w:rFonts w:ascii="sans-serif" w:eastAsia="sans-serif" w:hAnsi="sans-serif" w:cs="sans-serif"/>
                <w:color w:val="000000"/>
                <w:sz w:val="20"/>
                <w:szCs w:val="20"/>
              </w:rPr>
              <w:t>150 </w:t>
            </w:r>
          </w:p>
        </w:tc>
        <w:tc>
          <w:tcPr>
            <w:tcW w:w="0" w:type="auto"/>
            <w:shd w:val="clear" w:color="auto" w:fill="FFFFFF"/>
            <w:tcMar>
              <w:top w:w="40" w:type="dxa"/>
              <w:left w:w="0" w:type="dxa"/>
              <w:bottom w:w="40" w:type="dxa"/>
              <w:right w:w="20" w:type="dxa"/>
            </w:tcMar>
            <w:vAlign w:val="bottom"/>
          </w:tcPr>
          <w:p w14:paraId="19502D3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D37"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D38"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2D3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D3A"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D3B"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2D3C"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D3D"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D3E" w14:textId="77777777" w:rsidR="00BF3A3A" w:rsidRDefault="00A76802">
            <w:pPr>
              <w:jc w:val="right"/>
              <w:textAlignment w:val="bottom"/>
            </w:pPr>
            <w:r>
              <w:rPr>
                <w:rFonts w:ascii="sans-serif" w:eastAsia="sans-serif" w:hAnsi="sans-serif" w:cs="sans-serif"/>
                <w:color w:val="000000"/>
                <w:sz w:val="20"/>
                <w:szCs w:val="20"/>
              </w:rPr>
              <w:t>150 </w:t>
            </w:r>
          </w:p>
        </w:tc>
        <w:tc>
          <w:tcPr>
            <w:tcW w:w="0" w:type="auto"/>
            <w:shd w:val="clear" w:color="auto" w:fill="FFFFFF"/>
            <w:tcMar>
              <w:top w:w="40" w:type="dxa"/>
              <w:left w:w="0" w:type="dxa"/>
              <w:bottom w:w="40" w:type="dxa"/>
              <w:right w:w="20" w:type="dxa"/>
            </w:tcMar>
            <w:vAlign w:val="bottom"/>
          </w:tcPr>
          <w:p w14:paraId="19502D3F"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D40"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D41"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2D42"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D43"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D44" w14:textId="77777777" w:rsidR="00BF3A3A" w:rsidRDefault="00A76802">
            <w:pPr>
              <w:jc w:val="right"/>
              <w:textAlignment w:val="bottom"/>
            </w:pPr>
            <w:r>
              <w:rPr>
                <w:rFonts w:ascii="sans-serif" w:eastAsia="sans-serif" w:hAnsi="sans-serif" w:cs="sans-serif"/>
                <w:color w:val="000000"/>
                <w:sz w:val="20"/>
                <w:szCs w:val="20"/>
              </w:rPr>
              <w:t>150 </w:t>
            </w:r>
          </w:p>
        </w:tc>
        <w:tc>
          <w:tcPr>
            <w:tcW w:w="0" w:type="auto"/>
            <w:shd w:val="clear" w:color="auto" w:fill="FFFFFF"/>
            <w:tcMar>
              <w:top w:w="40" w:type="dxa"/>
              <w:left w:w="0" w:type="dxa"/>
              <w:bottom w:w="40" w:type="dxa"/>
              <w:right w:w="20" w:type="dxa"/>
            </w:tcMar>
            <w:vAlign w:val="bottom"/>
          </w:tcPr>
          <w:p w14:paraId="19502D45" w14:textId="77777777" w:rsidR="00BF3A3A" w:rsidRDefault="00BF3A3A">
            <w:pPr>
              <w:jc w:val="right"/>
              <w:rPr>
                <w:rFonts w:ascii="宋体"/>
              </w:rPr>
            </w:pPr>
          </w:p>
        </w:tc>
      </w:tr>
      <w:tr w:rsidR="00BF3A3A" w14:paraId="19502D53" w14:textId="77777777">
        <w:trPr>
          <w:hidden/>
        </w:trPr>
        <w:tc>
          <w:tcPr>
            <w:tcW w:w="0" w:type="auto"/>
            <w:gridSpan w:val="3"/>
            <w:shd w:val="clear" w:color="auto" w:fill="auto"/>
            <w:vAlign w:val="bottom"/>
          </w:tcPr>
          <w:p w14:paraId="19502D47" w14:textId="77777777" w:rsidR="00BF3A3A" w:rsidRDefault="00BF3A3A">
            <w:pPr>
              <w:rPr>
                <w:rFonts w:ascii="宋体"/>
                <w:vanish/>
              </w:rPr>
            </w:pPr>
          </w:p>
        </w:tc>
        <w:tc>
          <w:tcPr>
            <w:tcW w:w="0" w:type="auto"/>
            <w:gridSpan w:val="3"/>
            <w:shd w:val="clear" w:color="auto" w:fill="auto"/>
            <w:vAlign w:val="bottom"/>
          </w:tcPr>
          <w:p w14:paraId="19502D48" w14:textId="77777777" w:rsidR="00BF3A3A" w:rsidRDefault="00BF3A3A">
            <w:pPr>
              <w:rPr>
                <w:rFonts w:ascii="宋体"/>
                <w:vanish/>
              </w:rPr>
            </w:pPr>
          </w:p>
        </w:tc>
        <w:tc>
          <w:tcPr>
            <w:tcW w:w="0" w:type="auto"/>
            <w:gridSpan w:val="3"/>
            <w:shd w:val="clear" w:color="auto" w:fill="auto"/>
            <w:vAlign w:val="bottom"/>
          </w:tcPr>
          <w:p w14:paraId="19502D49" w14:textId="77777777" w:rsidR="00BF3A3A" w:rsidRDefault="00BF3A3A">
            <w:pPr>
              <w:rPr>
                <w:rFonts w:ascii="宋体"/>
                <w:vanish/>
              </w:rPr>
            </w:pPr>
          </w:p>
        </w:tc>
        <w:tc>
          <w:tcPr>
            <w:tcW w:w="0" w:type="auto"/>
            <w:gridSpan w:val="3"/>
            <w:shd w:val="clear" w:color="auto" w:fill="auto"/>
            <w:vAlign w:val="bottom"/>
          </w:tcPr>
          <w:p w14:paraId="19502D4A" w14:textId="77777777" w:rsidR="00BF3A3A" w:rsidRDefault="00BF3A3A">
            <w:pPr>
              <w:rPr>
                <w:rFonts w:ascii="宋体"/>
                <w:vanish/>
              </w:rPr>
            </w:pPr>
          </w:p>
        </w:tc>
        <w:tc>
          <w:tcPr>
            <w:tcW w:w="0" w:type="auto"/>
            <w:gridSpan w:val="3"/>
            <w:shd w:val="clear" w:color="auto" w:fill="auto"/>
            <w:vAlign w:val="bottom"/>
          </w:tcPr>
          <w:p w14:paraId="19502D4B" w14:textId="77777777" w:rsidR="00BF3A3A" w:rsidRDefault="00BF3A3A">
            <w:pPr>
              <w:rPr>
                <w:rFonts w:ascii="宋体"/>
                <w:vanish/>
              </w:rPr>
            </w:pPr>
          </w:p>
        </w:tc>
        <w:tc>
          <w:tcPr>
            <w:tcW w:w="0" w:type="auto"/>
            <w:gridSpan w:val="3"/>
            <w:shd w:val="clear" w:color="auto" w:fill="auto"/>
            <w:vAlign w:val="bottom"/>
          </w:tcPr>
          <w:p w14:paraId="19502D4C" w14:textId="77777777" w:rsidR="00BF3A3A" w:rsidRDefault="00BF3A3A">
            <w:pPr>
              <w:rPr>
                <w:rFonts w:ascii="宋体"/>
                <w:vanish/>
              </w:rPr>
            </w:pPr>
          </w:p>
        </w:tc>
        <w:tc>
          <w:tcPr>
            <w:tcW w:w="0" w:type="auto"/>
            <w:gridSpan w:val="3"/>
            <w:shd w:val="clear" w:color="auto" w:fill="auto"/>
            <w:vAlign w:val="bottom"/>
          </w:tcPr>
          <w:p w14:paraId="19502D4D" w14:textId="77777777" w:rsidR="00BF3A3A" w:rsidRDefault="00BF3A3A">
            <w:pPr>
              <w:rPr>
                <w:rFonts w:ascii="宋体"/>
                <w:vanish/>
              </w:rPr>
            </w:pPr>
          </w:p>
        </w:tc>
        <w:tc>
          <w:tcPr>
            <w:tcW w:w="0" w:type="auto"/>
            <w:gridSpan w:val="3"/>
            <w:shd w:val="clear" w:color="auto" w:fill="auto"/>
            <w:vAlign w:val="bottom"/>
          </w:tcPr>
          <w:p w14:paraId="19502D4E" w14:textId="77777777" w:rsidR="00BF3A3A" w:rsidRDefault="00BF3A3A">
            <w:pPr>
              <w:rPr>
                <w:rFonts w:ascii="宋体"/>
                <w:vanish/>
              </w:rPr>
            </w:pPr>
          </w:p>
        </w:tc>
        <w:tc>
          <w:tcPr>
            <w:tcW w:w="0" w:type="auto"/>
            <w:gridSpan w:val="3"/>
            <w:shd w:val="clear" w:color="auto" w:fill="auto"/>
            <w:vAlign w:val="bottom"/>
          </w:tcPr>
          <w:p w14:paraId="19502D4F" w14:textId="77777777" w:rsidR="00BF3A3A" w:rsidRDefault="00BF3A3A">
            <w:pPr>
              <w:rPr>
                <w:rFonts w:ascii="宋体"/>
                <w:vanish/>
              </w:rPr>
            </w:pPr>
          </w:p>
        </w:tc>
        <w:tc>
          <w:tcPr>
            <w:tcW w:w="0" w:type="auto"/>
            <w:gridSpan w:val="3"/>
            <w:shd w:val="clear" w:color="auto" w:fill="auto"/>
            <w:vAlign w:val="bottom"/>
          </w:tcPr>
          <w:p w14:paraId="19502D50" w14:textId="77777777" w:rsidR="00BF3A3A" w:rsidRDefault="00BF3A3A">
            <w:pPr>
              <w:rPr>
                <w:rFonts w:ascii="宋体"/>
                <w:vanish/>
              </w:rPr>
            </w:pPr>
          </w:p>
        </w:tc>
        <w:tc>
          <w:tcPr>
            <w:tcW w:w="0" w:type="auto"/>
            <w:gridSpan w:val="3"/>
            <w:shd w:val="clear" w:color="auto" w:fill="auto"/>
            <w:vAlign w:val="bottom"/>
          </w:tcPr>
          <w:p w14:paraId="19502D51" w14:textId="77777777" w:rsidR="00BF3A3A" w:rsidRDefault="00BF3A3A">
            <w:pPr>
              <w:rPr>
                <w:rFonts w:ascii="宋体"/>
                <w:vanish/>
              </w:rPr>
            </w:pPr>
          </w:p>
        </w:tc>
        <w:tc>
          <w:tcPr>
            <w:tcW w:w="0" w:type="auto"/>
            <w:gridSpan w:val="3"/>
            <w:shd w:val="clear" w:color="auto" w:fill="auto"/>
            <w:vAlign w:val="bottom"/>
          </w:tcPr>
          <w:p w14:paraId="19502D52" w14:textId="77777777" w:rsidR="00BF3A3A" w:rsidRDefault="00BF3A3A">
            <w:pPr>
              <w:rPr>
                <w:rFonts w:ascii="宋体"/>
                <w:vanish/>
              </w:rPr>
            </w:pPr>
          </w:p>
        </w:tc>
      </w:tr>
      <w:tr w:rsidR="00BF3A3A" w14:paraId="19502D60" w14:textId="77777777">
        <w:trPr>
          <w:hidden/>
        </w:trPr>
        <w:tc>
          <w:tcPr>
            <w:tcW w:w="0" w:type="auto"/>
            <w:gridSpan w:val="3"/>
            <w:shd w:val="clear" w:color="auto" w:fill="auto"/>
            <w:vAlign w:val="bottom"/>
          </w:tcPr>
          <w:p w14:paraId="19502D54" w14:textId="77777777" w:rsidR="00BF3A3A" w:rsidRDefault="00BF3A3A">
            <w:pPr>
              <w:rPr>
                <w:rFonts w:ascii="宋体"/>
                <w:vanish/>
              </w:rPr>
            </w:pPr>
          </w:p>
        </w:tc>
        <w:tc>
          <w:tcPr>
            <w:tcW w:w="0" w:type="auto"/>
            <w:gridSpan w:val="3"/>
            <w:shd w:val="clear" w:color="auto" w:fill="auto"/>
            <w:vAlign w:val="bottom"/>
          </w:tcPr>
          <w:p w14:paraId="19502D55" w14:textId="77777777" w:rsidR="00BF3A3A" w:rsidRDefault="00BF3A3A">
            <w:pPr>
              <w:rPr>
                <w:rFonts w:ascii="宋体"/>
                <w:vanish/>
              </w:rPr>
            </w:pPr>
          </w:p>
        </w:tc>
        <w:tc>
          <w:tcPr>
            <w:tcW w:w="0" w:type="auto"/>
            <w:gridSpan w:val="3"/>
            <w:shd w:val="clear" w:color="auto" w:fill="auto"/>
            <w:vAlign w:val="bottom"/>
          </w:tcPr>
          <w:p w14:paraId="19502D56" w14:textId="77777777" w:rsidR="00BF3A3A" w:rsidRDefault="00BF3A3A">
            <w:pPr>
              <w:rPr>
                <w:rFonts w:ascii="宋体"/>
                <w:vanish/>
              </w:rPr>
            </w:pPr>
          </w:p>
        </w:tc>
        <w:tc>
          <w:tcPr>
            <w:tcW w:w="0" w:type="auto"/>
            <w:gridSpan w:val="3"/>
            <w:shd w:val="clear" w:color="auto" w:fill="auto"/>
            <w:vAlign w:val="bottom"/>
          </w:tcPr>
          <w:p w14:paraId="19502D57" w14:textId="77777777" w:rsidR="00BF3A3A" w:rsidRDefault="00BF3A3A">
            <w:pPr>
              <w:rPr>
                <w:rFonts w:ascii="宋体"/>
                <w:vanish/>
              </w:rPr>
            </w:pPr>
          </w:p>
        </w:tc>
        <w:tc>
          <w:tcPr>
            <w:tcW w:w="0" w:type="auto"/>
            <w:gridSpan w:val="3"/>
            <w:shd w:val="clear" w:color="auto" w:fill="auto"/>
            <w:vAlign w:val="bottom"/>
          </w:tcPr>
          <w:p w14:paraId="19502D58" w14:textId="77777777" w:rsidR="00BF3A3A" w:rsidRDefault="00BF3A3A">
            <w:pPr>
              <w:rPr>
                <w:rFonts w:ascii="宋体"/>
                <w:vanish/>
              </w:rPr>
            </w:pPr>
          </w:p>
        </w:tc>
        <w:tc>
          <w:tcPr>
            <w:tcW w:w="0" w:type="auto"/>
            <w:gridSpan w:val="3"/>
            <w:shd w:val="clear" w:color="auto" w:fill="auto"/>
            <w:vAlign w:val="bottom"/>
          </w:tcPr>
          <w:p w14:paraId="19502D59" w14:textId="77777777" w:rsidR="00BF3A3A" w:rsidRDefault="00BF3A3A">
            <w:pPr>
              <w:rPr>
                <w:rFonts w:ascii="宋体"/>
                <w:vanish/>
              </w:rPr>
            </w:pPr>
          </w:p>
        </w:tc>
        <w:tc>
          <w:tcPr>
            <w:tcW w:w="0" w:type="auto"/>
            <w:gridSpan w:val="3"/>
            <w:shd w:val="clear" w:color="auto" w:fill="auto"/>
            <w:vAlign w:val="bottom"/>
          </w:tcPr>
          <w:p w14:paraId="19502D5A" w14:textId="77777777" w:rsidR="00BF3A3A" w:rsidRDefault="00BF3A3A">
            <w:pPr>
              <w:rPr>
                <w:rFonts w:ascii="宋体"/>
                <w:vanish/>
              </w:rPr>
            </w:pPr>
          </w:p>
        </w:tc>
        <w:tc>
          <w:tcPr>
            <w:tcW w:w="0" w:type="auto"/>
            <w:gridSpan w:val="3"/>
            <w:shd w:val="clear" w:color="auto" w:fill="auto"/>
            <w:vAlign w:val="bottom"/>
          </w:tcPr>
          <w:p w14:paraId="19502D5B" w14:textId="77777777" w:rsidR="00BF3A3A" w:rsidRDefault="00BF3A3A">
            <w:pPr>
              <w:rPr>
                <w:rFonts w:ascii="宋体"/>
                <w:vanish/>
              </w:rPr>
            </w:pPr>
          </w:p>
        </w:tc>
        <w:tc>
          <w:tcPr>
            <w:tcW w:w="0" w:type="auto"/>
            <w:gridSpan w:val="3"/>
            <w:shd w:val="clear" w:color="auto" w:fill="auto"/>
            <w:vAlign w:val="bottom"/>
          </w:tcPr>
          <w:p w14:paraId="19502D5C" w14:textId="77777777" w:rsidR="00BF3A3A" w:rsidRDefault="00BF3A3A">
            <w:pPr>
              <w:rPr>
                <w:rFonts w:ascii="宋体"/>
                <w:vanish/>
              </w:rPr>
            </w:pPr>
          </w:p>
        </w:tc>
        <w:tc>
          <w:tcPr>
            <w:tcW w:w="0" w:type="auto"/>
            <w:gridSpan w:val="3"/>
            <w:shd w:val="clear" w:color="auto" w:fill="auto"/>
            <w:vAlign w:val="bottom"/>
          </w:tcPr>
          <w:p w14:paraId="19502D5D" w14:textId="77777777" w:rsidR="00BF3A3A" w:rsidRDefault="00BF3A3A">
            <w:pPr>
              <w:rPr>
                <w:rFonts w:ascii="宋体"/>
                <w:vanish/>
              </w:rPr>
            </w:pPr>
          </w:p>
        </w:tc>
        <w:tc>
          <w:tcPr>
            <w:tcW w:w="0" w:type="auto"/>
            <w:gridSpan w:val="3"/>
            <w:shd w:val="clear" w:color="auto" w:fill="auto"/>
            <w:vAlign w:val="bottom"/>
          </w:tcPr>
          <w:p w14:paraId="19502D5E" w14:textId="77777777" w:rsidR="00BF3A3A" w:rsidRDefault="00BF3A3A">
            <w:pPr>
              <w:rPr>
                <w:rFonts w:ascii="宋体"/>
                <w:vanish/>
              </w:rPr>
            </w:pPr>
          </w:p>
        </w:tc>
        <w:tc>
          <w:tcPr>
            <w:tcW w:w="0" w:type="auto"/>
            <w:gridSpan w:val="3"/>
            <w:shd w:val="clear" w:color="auto" w:fill="auto"/>
            <w:vAlign w:val="bottom"/>
          </w:tcPr>
          <w:p w14:paraId="19502D5F" w14:textId="77777777" w:rsidR="00BF3A3A" w:rsidRDefault="00BF3A3A">
            <w:pPr>
              <w:rPr>
                <w:rFonts w:ascii="宋体"/>
                <w:vanish/>
              </w:rPr>
            </w:pPr>
          </w:p>
        </w:tc>
      </w:tr>
      <w:tr w:rsidR="00BF3A3A" w14:paraId="19502D79" w14:textId="77777777">
        <w:tc>
          <w:tcPr>
            <w:tcW w:w="0" w:type="auto"/>
            <w:gridSpan w:val="3"/>
            <w:shd w:val="clear" w:color="auto" w:fill="E2EFD9"/>
            <w:tcMar>
              <w:top w:w="40" w:type="dxa"/>
              <w:left w:w="20" w:type="dxa"/>
              <w:bottom w:w="40" w:type="dxa"/>
              <w:right w:w="20" w:type="dxa"/>
            </w:tcMar>
            <w:vAlign w:val="bottom"/>
          </w:tcPr>
          <w:p w14:paraId="19502D61" w14:textId="77777777" w:rsidR="00BF3A3A" w:rsidRDefault="00A76802">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D62"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D63" w14:textId="77777777" w:rsidR="00BF3A3A" w:rsidRDefault="00A76802">
            <w:pPr>
              <w:jc w:val="right"/>
              <w:textAlignment w:val="bottom"/>
            </w:pPr>
            <w:r>
              <w:rPr>
                <w:rFonts w:ascii="sans-serif" w:eastAsia="sans-serif" w:hAnsi="sans-serif" w:cs="sans-serif"/>
                <w:color w:val="000000"/>
                <w:sz w:val="20"/>
                <w:szCs w:val="20"/>
              </w:rPr>
              <w:t>20,930 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D6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D65"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D66"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D67" w14:textId="77777777" w:rsidR="00BF3A3A" w:rsidRDefault="00A76802">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D6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D69"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D6A"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D6B" w14:textId="77777777" w:rsidR="00BF3A3A" w:rsidRDefault="00A76802">
            <w:pPr>
              <w:jc w:val="right"/>
              <w:textAlignment w:val="bottom"/>
            </w:pPr>
            <w:r>
              <w:rPr>
                <w:rFonts w:ascii="sans-serif" w:eastAsia="sans-serif" w:hAnsi="sans-serif" w:cs="sans-serif"/>
                <w:color w:val="000000"/>
                <w:sz w:val="20"/>
                <w:szCs w:val="20"/>
              </w:rPr>
              <w:t>(17)</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D6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D6D"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D6E"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D6F" w14:textId="77777777" w:rsidR="00BF3A3A" w:rsidRDefault="00A76802">
            <w:pPr>
              <w:jc w:val="right"/>
              <w:textAlignment w:val="bottom"/>
            </w:pPr>
            <w:r>
              <w:rPr>
                <w:rFonts w:ascii="sans-serif" w:eastAsia="sans-serif" w:hAnsi="sans-serif" w:cs="sans-serif"/>
                <w:color w:val="000000"/>
                <w:sz w:val="20"/>
                <w:szCs w:val="20"/>
              </w:rPr>
              <w:t>20,913 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D7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D71"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D72"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D73" w14:textId="77777777" w:rsidR="00BF3A3A" w:rsidRDefault="00A76802">
            <w:pPr>
              <w:jc w:val="right"/>
              <w:textAlignment w:val="bottom"/>
            </w:pPr>
            <w:r>
              <w:rPr>
                <w:rFonts w:ascii="sans-serif" w:eastAsia="sans-serif" w:hAnsi="sans-serif" w:cs="sans-serif"/>
                <w:color w:val="000000"/>
                <w:sz w:val="20"/>
                <w:szCs w:val="20"/>
              </w:rPr>
              <w:t>1,695 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D7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D75"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D76"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D77" w14:textId="77777777" w:rsidR="00BF3A3A" w:rsidRDefault="00A76802">
            <w:pPr>
              <w:jc w:val="right"/>
              <w:textAlignment w:val="bottom"/>
            </w:pPr>
            <w:r>
              <w:rPr>
                <w:rFonts w:ascii="sans-serif" w:eastAsia="sans-serif" w:hAnsi="sans-serif" w:cs="sans-serif"/>
                <w:color w:val="000000"/>
                <w:sz w:val="20"/>
                <w:szCs w:val="20"/>
              </w:rPr>
              <w:t>19,218 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D78" w14:textId="77777777" w:rsidR="00BF3A3A" w:rsidRDefault="00BF3A3A">
            <w:pPr>
              <w:jc w:val="right"/>
              <w:rPr>
                <w:rFonts w:ascii="宋体"/>
              </w:rPr>
            </w:pPr>
          </w:p>
        </w:tc>
      </w:tr>
    </w:tbl>
    <w:p w14:paraId="19502D7A" w14:textId="77777777" w:rsidR="00BF3A3A" w:rsidRDefault="00A76802">
      <w:pPr>
        <w:spacing w:before="180" w:after="120"/>
        <w:jc w:val="both"/>
      </w:pPr>
      <w:r>
        <w:rPr>
          <w:rFonts w:ascii="sans-serif" w:eastAsia="sans-serif" w:hAnsi="sans-serif" w:cs="sans-serif"/>
          <w:color w:val="000000"/>
          <w:sz w:val="20"/>
          <w:szCs w:val="20"/>
        </w:rPr>
        <w:t>The following tables provide the breakdown of unrealized losses, aggregated by investment category and length of time that individual securities have been in a continuous loss positio</w:t>
      </w:r>
      <w:r>
        <w:rPr>
          <w:rFonts w:ascii="sans-serif" w:eastAsia="sans-serif" w:hAnsi="sans-serif" w:cs="sans-serif"/>
          <w:color w:val="000000"/>
          <w:sz w:val="20"/>
          <w:szCs w:val="20"/>
        </w:rPr>
        <w:t>n:</w:t>
      </w:r>
    </w:p>
    <w:tbl>
      <w:tblPr>
        <w:tblW w:w="5000" w:type="pct"/>
        <w:tblCellMar>
          <w:top w:w="15" w:type="dxa"/>
          <w:left w:w="15" w:type="dxa"/>
          <w:bottom w:w="15" w:type="dxa"/>
          <w:right w:w="15" w:type="dxa"/>
        </w:tblCellMar>
        <w:tblLook w:val="04A0" w:firstRow="1" w:lastRow="0" w:firstColumn="1" w:lastColumn="0" w:noHBand="0" w:noVBand="1"/>
      </w:tblPr>
      <w:tblGrid>
        <w:gridCol w:w="40"/>
        <w:gridCol w:w="1846"/>
        <w:gridCol w:w="37"/>
        <w:gridCol w:w="123"/>
        <w:gridCol w:w="792"/>
        <w:gridCol w:w="37"/>
        <w:gridCol w:w="36"/>
        <w:gridCol w:w="36"/>
        <w:gridCol w:w="36"/>
        <w:gridCol w:w="123"/>
        <w:gridCol w:w="846"/>
        <w:gridCol w:w="36"/>
        <w:gridCol w:w="36"/>
        <w:gridCol w:w="36"/>
        <w:gridCol w:w="36"/>
        <w:gridCol w:w="123"/>
        <w:gridCol w:w="792"/>
        <w:gridCol w:w="37"/>
        <w:gridCol w:w="36"/>
        <w:gridCol w:w="36"/>
        <w:gridCol w:w="36"/>
        <w:gridCol w:w="123"/>
        <w:gridCol w:w="846"/>
        <w:gridCol w:w="36"/>
        <w:gridCol w:w="36"/>
        <w:gridCol w:w="36"/>
        <w:gridCol w:w="36"/>
        <w:gridCol w:w="123"/>
        <w:gridCol w:w="793"/>
        <w:gridCol w:w="36"/>
        <w:gridCol w:w="36"/>
        <w:gridCol w:w="36"/>
        <w:gridCol w:w="36"/>
        <w:gridCol w:w="123"/>
        <w:gridCol w:w="848"/>
        <w:gridCol w:w="36"/>
      </w:tblGrid>
      <w:tr w:rsidR="00BF3A3A" w14:paraId="19502D9F" w14:textId="77777777">
        <w:tc>
          <w:tcPr>
            <w:tcW w:w="50" w:type="pct"/>
            <w:shd w:val="clear" w:color="auto" w:fill="auto"/>
            <w:vAlign w:val="bottom"/>
          </w:tcPr>
          <w:p w14:paraId="19502D7B" w14:textId="77777777" w:rsidR="00BF3A3A" w:rsidRDefault="00BF3A3A">
            <w:pPr>
              <w:rPr>
                <w:rFonts w:ascii="宋体"/>
              </w:rPr>
            </w:pPr>
          </w:p>
        </w:tc>
        <w:tc>
          <w:tcPr>
            <w:tcW w:w="1268" w:type="pct"/>
            <w:shd w:val="clear" w:color="auto" w:fill="auto"/>
            <w:vAlign w:val="bottom"/>
          </w:tcPr>
          <w:p w14:paraId="19502D7C" w14:textId="77777777" w:rsidR="00BF3A3A" w:rsidRDefault="00BF3A3A">
            <w:pPr>
              <w:rPr>
                <w:rFonts w:ascii="宋体"/>
              </w:rPr>
            </w:pPr>
          </w:p>
        </w:tc>
        <w:tc>
          <w:tcPr>
            <w:tcW w:w="5" w:type="pct"/>
            <w:shd w:val="clear" w:color="auto" w:fill="auto"/>
            <w:vAlign w:val="bottom"/>
          </w:tcPr>
          <w:p w14:paraId="19502D7D" w14:textId="77777777" w:rsidR="00BF3A3A" w:rsidRDefault="00BF3A3A">
            <w:pPr>
              <w:rPr>
                <w:rFonts w:ascii="宋体"/>
              </w:rPr>
            </w:pPr>
          </w:p>
        </w:tc>
        <w:tc>
          <w:tcPr>
            <w:tcW w:w="50" w:type="pct"/>
            <w:shd w:val="clear" w:color="auto" w:fill="auto"/>
            <w:vAlign w:val="bottom"/>
          </w:tcPr>
          <w:p w14:paraId="19502D7E" w14:textId="77777777" w:rsidR="00BF3A3A" w:rsidRDefault="00BF3A3A">
            <w:pPr>
              <w:rPr>
                <w:rFonts w:ascii="宋体"/>
              </w:rPr>
            </w:pPr>
          </w:p>
        </w:tc>
        <w:tc>
          <w:tcPr>
            <w:tcW w:w="529" w:type="pct"/>
            <w:shd w:val="clear" w:color="auto" w:fill="auto"/>
            <w:vAlign w:val="bottom"/>
          </w:tcPr>
          <w:p w14:paraId="19502D7F" w14:textId="77777777" w:rsidR="00BF3A3A" w:rsidRDefault="00BF3A3A">
            <w:pPr>
              <w:rPr>
                <w:rFonts w:ascii="宋体"/>
              </w:rPr>
            </w:pPr>
          </w:p>
        </w:tc>
        <w:tc>
          <w:tcPr>
            <w:tcW w:w="5" w:type="pct"/>
            <w:shd w:val="clear" w:color="auto" w:fill="auto"/>
            <w:vAlign w:val="bottom"/>
          </w:tcPr>
          <w:p w14:paraId="19502D80" w14:textId="77777777" w:rsidR="00BF3A3A" w:rsidRDefault="00BF3A3A">
            <w:pPr>
              <w:rPr>
                <w:rFonts w:ascii="宋体"/>
              </w:rPr>
            </w:pPr>
          </w:p>
        </w:tc>
        <w:tc>
          <w:tcPr>
            <w:tcW w:w="5" w:type="pct"/>
            <w:shd w:val="clear" w:color="auto" w:fill="auto"/>
            <w:vAlign w:val="bottom"/>
          </w:tcPr>
          <w:p w14:paraId="19502D81" w14:textId="77777777" w:rsidR="00BF3A3A" w:rsidRDefault="00BF3A3A">
            <w:pPr>
              <w:rPr>
                <w:rFonts w:ascii="宋体"/>
              </w:rPr>
            </w:pPr>
          </w:p>
        </w:tc>
        <w:tc>
          <w:tcPr>
            <w:tcW w:w="26" w:type="pct"/>
            <w:shd w:val="clear" w:color="auto" w:fill="auto"/>
            <w:vAlign w:val="bottom"/>
          </w:tcPr>
          <w:p w14:paraId="19502D82" w14:textId="77777777" w:rsidR="00BF3A3A" w:rsidRDefault="00BF3A3A">
            <w:pPr>
              <w:rPr>
                <w:rFonts w:ascii="宋体"/>
              </w:rPr>
            </w:pPr>
          </w:p>
        </w:tc>
        <w:tc>
          <w:tcPr>
            <w:tcW w:w="5" w:type="pct"/>
            <w:shd w:val="clear" w:color="auto" w:fill="auto"/>
            <w:vAlign w:val="bottom"/>
          </w:tcPr>
          <w:p w14:paraId="19502D83" w14:textId="77777777" w:rsidR="00BF3A3A" w:rsidRDefault="00BF3A3A">
            <w:pPr>
              <w:rPr>
                <w:rFonts w:ascii="宋体"/>
              </w:rPr>
            </w:pPr>
          </w:p>
        </w:tc>
        <w:tc>
          <w:tcPr>
            <w:tcW w:w="50" w:type="pct"/>
            <w:shd w:val="clear" w:color="auto" w:fill="auto"/>
            <w:vAlign w:val="bottom"/>
          </w:tcPr>
          <w:p w14:paraId="19502D84" w14:textId="77777777" w:rsidR="00BF3A3A" w:rsidRDefault="00BF3A3A">
            <w:pPr>
              <w:rPr>
                <w:rFonts w:ascii="宋体"/>
              </w:rPr>
            </w:pPr>
          </w:p>
        </w:tc>
        <w:tc>
          <w:tcPr>
            <w:tcW w:w="529" w:type="pct"/>
            <w:shd w:val="clear" w:color="auto" w:fill="auto"/>
            <w:vAlign w:val="bottom"/>
          </w:tcPr>
          <w:p w14:paraId="19502D85" w14:textId="77777777" w:rsidR="00BF3A3A" w:rsidRDefault="00BF3A3A">
            <w:pPr>
              <w:rPr>
                <w:rFonts w:ascii="宋体"/>
              </w:rPr>
            </w:pPr>
          </w:p>
        </w:tc>
        <w:tc>
          <w:tcPr>
            <w:tcW w:w="5" w:type="pct"/>
            <w:shd w:val="clear" w:color="auto" w:fill="auto"/>
            <w:vAlign w:val="bottom"/>
          </w:tcPr>
          <w:p w14:paraId="19502D86" w14:textId="77777777" w:rsidR="00BF3A3A" w:rsidRDefault="00BF3A3A">
            <w:pPr>
              <w:rPr>
                <w:rFonts w:ascii="宋体"/>
              </w:rPr>
            </w:pPr>
          </w:p>
        </w:tc>
        <w:tc>
          <w:tcPr>
            <w:tcW w:w="5" w:type="pct"/>
            <w:shd w:val="clear" w:color="auto" w:fill="auto"/>
            <w:vAlign w:val="bottom"/>
          </w:tcPr>
          <w:p w14:paraId="19502D87" w14:textId="77777777" w:rsidR="00BF3A3A" w:rsidRDefault="00BF3A3A">
            <w:pPr>
              <w:rPr>
                <w:rFonts w:ascii="宋体"/>
              </w:rPr>
            </w:pPr>
          </w:p>
        </w:tc>
        <w:tc>
          <w:tcPr>
            <w:tcW w:w="26" w:type="pct"/>
            <w:shd w:val="clear" w:color="auto" w:fill="auto"/>
            <w:vAlign w:val="bottom"/>
          </w:tcPr>
          <w:p w14:paraId="19502D88" w14:textId="77777777" w:rsidR="00BF3A3A" w:rsidRDefault="00BF3A3A">
            <w:pPr>
              <w:rPr>
                <w:rFonts w:ascii="宋体"/>
              </w:rPr>
            </w:pPr>
          </w:p>
        </w:tc>
        <w:tc>
          <w:tcPr>
            <w:tcW w:w="5" w:type="pct"/>
            <w:shd w:val="clear" w:color="auto" w:fill="auto"/>
            <w:vAlign w:val="bottom"/>
          </w:tcPr>
          <w:p w14:paraId="19502D89" w14:textId="77777777" w:rsidR="00BF3A3A" w:rsidRDefault="00BF3A3A">
            <w:pPr>
              <w:rPr>
                <w:rFonts w:ascii="宋体"/>
              </w:rPr>
            </w:pPr>
          </w:p>
        </w:tc>
        <w:tc>
          <w:tcPr>
            <w:tcW w:w="50" w:type="pct"/>
            <w:shd w:val="clear" w:color="auto" w:fill="auto"/>
            <w:vAlign w:val="bottom"/>
          </w:tcPr>
          <w:p w14:paraId="19502D8A" w14:textId="77777777" w:rsidR="00BF3A3A" w:rsidRDefault="00BF3A3A">
            <w:pPr>
              <w:rPr>
                <w:rFonts w:ascii="宋体"/>
              </w:rPr>
            </w:pPr>
          </w:p>
        </w:tc>
        <w:tc>
          <w:tcPr>
            <w:tcW w:w="529" w:type="pct"/>
            <w:shd w:val="clear" w:color="auto" w:fill="auto"/>
            <w:vAlign w:val="bottom"/>
          </w:tcPr>
          <w:p w14:paraId="19502D8B" w14:textId="77777777" w:rsidR="00BF3A3A" w:rsidRDefault="00BF3A3A">
            <w:pPr>
              <w:rPr>
                <w:rFonts w:ascii="宋体"/>
              </w:rPr>
            </w:pPr>
          </w:p>
        </w:tc>
        <w:tc>
          <w:tcPr>
            <w:tcW w:w="5" w:type="pct"/>
            <w:shd w:val="clear" w:color="auto" w:fill="auto"/>
            <w:vAlign w:val="bottom"/>
          </w:tcPr>
          <w:p w14:paraId="19502D8C" w14:textId="77777777" w:rsidR="00BF3A3A" w:rsidRDefault="00BF3A3A">
            <w:pPr>
              <w:rPr>
                <w:rFonts w:ascii="宋体"/>
              </w:rPr>
            </w:pPr>
          </w:p>
        </w:tc>
        <w:tc>
          <w:tcPr>
            <w:tcW w:w="5" w:type="pct"/>
            <w:shd w:val="clear" w:color="auto" w:fill="auto"/>
            <w:vAlign w:val="bottom"/>
          </w:tcPr>
          <w:p w14:paraId="19502D8D" w14:textId="77777777" w:rsidR="00BF3A3A" w:rsidRDefault="00BF3A3A">
            <w:pPr>
              <w:rPr>
                <w:rFonts w:ascii="宋体"/>
              </w:rPr>
            </w:pPr>
          </w:p>
        </w:tc>
        <w:tc>
          <w:tcPr>
            <w:tcW w:w="26" w:type="pct"/>
            <w:shd w:val="clear" w:color="auto" w:fill="auto"/>
            <w:vAlign w:val="bottom"/>
          </w:tcPr>
          <w:p w14:paraId="19502D8E" w14:textId="77777777" w:rsidR="00BF3A3A" w:rsidRDefault="00BF3A3A">
            <w:pPr>
              <w:rPr>
                <w:rFonts w:ascii="宋体"/>
              </w:rPr>
            </w:pPr>
          </w:p>
        </w:tc>
        <w:tc>
          <w:tcPr>
            <w:tcW w:w="5" w:type="pct"/>
            <w:shd w:val="clear" w:color="auto" w:fill="auto"/>
            <w:vAlign w:val="bottom"/>
          </w:tcPr>
          <w:p w14:paraId="19502D8F" w14:textId="77777777" w:rsidR="00BF3A3A" w:rsidRDefault="00BF3A3A">
            <w:pPr>
              <w:rPr>
                <w:rFonts w:ascii="宋体"/>
              </w:rPr>
            </w:pPr>
          </w:p>
        </w:tc>
        <w:tc>
          <w:tcPr>
            <w:tcW w:w="50" w:type="pct"/>
            <w:shd w:val="clear" w:color="auto" w:fill="auto"/>
            <w:vAlign w:val="bottom"/>
          </w:tcPr>
          <w:p w14:paraId="19502D90" w14:textId="77777777" w:rsidR="00BF3A3A" w:rsidRDefault="00BF3A3A">
            <w:pPr>
              <w:rPr>
                <w:rFonts w:ascii="宋体"/>
              </w:rPr>
            </w:pPr>
          </w:p>
        </w:tc>
        <w:tc>
          <w:tcPr>
            <w:tcW w:w="529" w:type="pct"/>
            <w:shd w:val="clear" w:color="auto" w:fill="auto"/>
            <w:vAlign w:val="bottom"/>
          </w:tcPr>
          <w:p w14:paraId="19502D91" w14:textId="77777777" w:rsidR="00BF3A3A" w:rsidRDefault="00BF3A3A">
            <w:pPr>
              <w:rPr>
                <w:rFonts w:ascii="宋体"/>
              </w:rPr>
            </w:pPr>
          </w:p>
        </w:tc>
        <w:tc>
          <w:tcPr>
            <w:tcW w:w="5" w:type="pct"/>
            <w:shd w:val="clear" w:color="auto" w:fill="auto"/>
            <w:vAlign w:val="bottom"/>
          </w:tcPr>
          <w:p w14:paraId="19502D92" w14:textId="77777777" w:rsidR="00BF3A3A" w:rsidRDefault="00BF3A3A">
            <w:pPr>
              <w:rPr>
                <w:rFonts w:ascii="宋体"/>
              </w:rPr>
            </w:pPr>
          </w:p>
        </w:tc>
        <w:tc>
          <w:tcPr>
            <w:tcW w:w="5" w:type="pct"/>
            <w:shd w:val="clear" w:color="auto" w:fill="auto"/>
            <w:vAlign w:val="bottom"/>
          </w:tcPr>
          <w:p w14:paraId="19502D93" w14:textId="77777777" w:rsidR="00BF3A3A" w:rsidRDefault="00BF3A3A">
            <w:pPr>
              <w:rPr>
                <w:rFonts w:ascii="宋体"/>
              </w:rPr>
            </w:pPr>
          </w:p>
        </w:tc>
        <w:tc>
          <w:tcPr>
            <w:tcW w:w="19" w:type="pct"/>
            <w:shd w:val="clear" w:color="auto" w:fill="auto"/>
            <w:vAlign w:val="bottom"/>
          </w:tcPr>
          <w:p w14:paraId="19502D94" w14:textId="77777777" w:rsidR="00BF3A3A" w:rsidRDefault="00BF3A3A">
            <w:pPr>
              <w:rPr>
                <w:rFonts w:ascii="宋体"/>
              </w:rPr>
            </w:pPr>
          </w:p>
        </w:tc>
        <w:tc>
          <w:tcPr>
            <w:tcW w:w="5" w:type="pct"/>
            <w:shd w:val="clear" w:color="auto" w:fill="auto"/>
            <w:vAlign w:val="bottom"/>
          </w:tcPr>
          <w:p w14:paraId="19502D95" w14:textId="77777777" w:rsidR="00BF3A3A" w:rsidRDefault="00BF3A3A">
            <w:pPr>
              <w:rPr>
                <w:rFonts w:ascii="宋体"/>
              </w:rPr>
            </w:pPr>
          </w:p>
        </w:tc>
        <w:tc>
          <w:tcPr>
            <w:tcW w:w="50" w:type="pct"/>
            <w:shd w:val="clear" w:color="auto" w:fill="auto"/>
            <w:vAlign w:val="bottom"/>
          </w:tcPr>
          <w:p w14:paraId="19502D96" w14:textId="77777777" w:rsidR="00BF3A3A" w:rsidRDefault="00BF3A3A">
            <w:pPr>
              <w:rPr>
                <w:rFonts w:ascii="宋体"/>
              </w:rPr>
            </w:pPr>
          </w:p>
        </w:tc>
        <w:tc>
          <w:tcPr>
            <w:tcW w:w="529" w:type="pct"/>
            <w:shd w:val="clear" w:color="auto" w:fill="auto"/>
            <w:vAlign w:val="bottom"/>
          </w:tcPr>
          <w:p w14:paraId="19502D97" w14:textId="77777777" w:rsidR="00BF3A3A" w:rsidRDefault="00BF3A3A">
            <w:pPr>
              <w:rPr>
                <w:rFonts w:ascii="宋体"/>
              </w:rPr>
            </w:pPr>
          </w:p>
        </w:tc>
        <w:tc>
          <w:tcPr>
            <w:tcW w:w="5" w:type="pct"/>
            <w:shd w:val="clear" w:color="auto" w:fill="auto"/>
            <w:vAlign w:val="bottom"/>
          </w:tcPr>
          <w:p w14:paraId="19502D98" w14:textId="77777777" w:rsidR="00BF3A3A" w:rsidRDefault="00BF3A3A">
            <w:pPr>
              <w:rPr>
                <w:rFonts w:ascii="宋体"/>
              </w:rPr>
            </w:pPr>
          </w:p>
        </w:tc>
        <w:tc>
          <w:tcPr>
            <w:tcW w:w="5" w:type="pct"/>
            <w:shd w:val="clear" w:color="auto" w:fill="auto"/>
            <w:vAlign w:val="bottom"/>
          </w:tcPr>
          <w:p w14:paraId="19502D99" w14:textId="77777777" w:rsidR="00BF3A3A" w:rsidRDefault="00BF3A3A">
            <w:pPr>
              <w:rPr>
                <w:rFonts w:ascii="宋体"/>
              </w:rPr>
            </w:pPr>
          </w:p>
        </w:tc>
        <w:tc>
          <w:tcPr>
            <w:tcW w:w="19" w:type="pct"/>
            <w:shd w:val="clear" w:color="auto" w:fill="auto"/>
            <w:vAlign w:val="bottom"/>
          </w:tcPr>
          <w:p w14:paraId="19502D9A" w14:textId="77777777" w:rsidR="00BF3A3A" w:rsidRDefault="00BF3A3A">
            <w:pPr>
              <w:rPr>
                <w:rFonts w:ascii="宋体"/>
              </w:rPr>
            </w:pPr>
          </w:p>
        </w:tc>
        <w:tc>
          <w:tcPr>
            <w:tcW w:w="5" w:type="pct"/>
            <w:shd w:val="clear" w:color="auto" w:fill="auto"/>
            <w:vAlign w:val="bottom"/>
          </w:tcPr>
          <w:p w14:paraId="19502D9B" w14:textId="77777777" w:rsidR="00BF3A3A" w:rsidRDefault="00BF3A3A">
            <w:pPr>
              <w:rPr>
                <w:rFonts w:ascii="宋体"/>
              </w:rPr>
            </w:pPr>
          </w:p>
        </w:tc>
        <w:tc>
          <w:tcPr>
            <w:tcW w:w="50" w:type="pct"/>
            <w:shd w:val="clear" w:color="auto" w:fill="auto"/>
            <w:vAlign w:val="bottom"/>
          </w:tcPr>
          <w:p w14:paraId="19502D9C" w14:textId="77777777" w:rsidR="00BF3A3A" w:rsidRDefault="00BF3A3A">
            <w:pPr>
              <w:rPr>
                <w:rFonts w:ascii="宋体"/>
              </w:rPr>
            </w:pPr>
          </w:p>
        </w:tc>
        <w:tc>
          <w:tcPr>
            <w:tcW w:w="530" w:type="pct"/>
            <w:shd w:val="clear" w:color="auto" w:fill="auto"/>
            <w:vAlign w:val="bottom"/>
          </w:tcPr>
          <w:p w14:paraId="19502D9D" w14:textId="77777777" w:rsidR="00BF3A3A" w:rsidRDefault="00BF3A3A">
            <w:pPr>
              <w:rPr>
                <w:rFonts w:ascii="宋体"/>
              </w:rPr>
            </w:pPr>
          </w:p>
        </w:tc>
        <w:tc>
          <w:tcPr>
            <w:tcW w:w="5" w:type="pct"/>
            <w:shd w:val="clear" w:color="auto" w:fill="auto"/>
            <w:vAlign w:val="bottom"/>
          </w:tcPr>
          <w:p w14:paraId="19502D9E" w14:textId="77777777" w:rsidR="00BF3A3A" w:rsidRDefault="00BF3A3A">
            <w:pPr>
              <w:rPr>
                <w:rFonts w:ascii="宋体"/>
              </w:rPr>
            </w:pPr>
          </w:p>
        </w:tc>
      </w:tr>
      <w:tr w:rsidR="00BF3A3A" w14:paraId="19502DA2" w14:textId="77777777">
        <w:tc>
          <w:tcPr>
            <w:tcW w:w="0" w:type="auto"/>
            <w:gridSpan w:val="3"/>
            <w:shd w:val="clear" w:color="auto" w:fill="auto"/>
            <w:tcMar>
              <w:top w:w="0" w:type="dxa"/>
              <w:left w:w="20" w:type="dxa"/>
              <w:bottom w:w="0" w:type="dxa"/>
              <w:right w:w="20" w:type="dxa"/>
            </w:tcMar>
            <w:vAlign w:val="bottom"/>
          </w:tcPr>
          <w:p w14:paraId="19502DA0" w14:textId="77777777" w:rsidR="00BF3A3A" w:rsidRDefault="00BF3A3A">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19502DA1" w14:textId="77777777" w:rsidR="00BF3A3A" w:rsidRDefault="00A76802">
            <w:pPr>
              <w:jc w:val="center"/>
              <w:textAlignment w:val="bottom"/>
            </w:pPr>
            <w:r>
              <w:rPr>
                <w:rFonts w:ascii="sans-serif" w:eastAsia="sans-serif" w:hAnsi="sans-serif" w:cs="sans-serif"/>
                <w:b/>
                <w:bCs/>
                <w:color w:val="000000"/>
                <w:sz w:val="20"/>
                <w:szCs w:val="20"/>
              </w:rPr>
              <w:t>July 31, 2022</w:t>
            </w:r>
          </w:p>
        </w:tc>
      </w:tr>
      <w:tr w:rsidR="00BF3A3A" w14:paraId="19502DA9" w14:textId="77777777">
        <w:tc>
          <w:tcPr>
            <w:tcW w:w="0" w:type="auto"/>
            <w:gridSpan w:val="3"/>
            <w:shd w:val="clear" w:color="auto" w:fill="auto"/>
            <w:tcMar>
              <w:top w:w="40" w:type="dxa"/>
              <w:left w:w="20" w:type="dxa"/>
              <w:bottom w:w="40" w:type="dxa"/>
              <w:right w:w="20" w:type="dxa"/>
            </w:tcMar>
            <w:vAlign w:val="bottom"/>
          </w:tcPr>
          <w:p w14:paraId="19502DA3" w14:textId="77777777" w:rsidR="00BF3A3A" w:rsidRDefault="00A76802">
            <w:pPr>
              <w:textAlignment w:val="bottom"/>
            </w:pPr>
            <w:r>
              <w:rPr>
                <w:rFonts w:ascii="sans-serif" w:eastAsia="sans-serif" w:hAnsi="sans-serif" w:cs="sans-serif"/>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9502DA4" w14:textId="77777777" w:rsidR="00BF3A3A" w:rsidRDefault="00A76802">
            <w:pPr>
              <w:jc w:val="center"/>
              <w:textAlignment w:val="bottom"/>
            </w:pPr>
            <w:r>
              <w:rPr>
                <w:rFonts w:ascii="sans-serif" w:eastAsia="sans-serif" w:hAnsi="sans-serif" w:cs="sans-serif"/>
                <w:b/>
                <w:bCs/>
                <w:color w:val="000000"/>
                <w:sz w:val="20"/>
                <w:szCs w:val="20"/>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DA5" w14:textId="77777777" w:rsidR="00BF3A3A" w:rsidRDefault="00BF3A3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9502DA6" w14:textId="77777777" w:rsidR="00BF3A3A" w:rsidRDefault="00A76802">
            <w:pPr>
              <w:jc w:val="center"/>
              <w:textAlignment w:val="bottom"/>
            </w:pPr>
            <w:r>
              <w:rPr>
                <w:rFonts w:ascii="sans-serif" w:eastAsia="sans-serif" w:hAnsi="sans-serif" w:cs="sans-serif"/>
                <w:b/>
                <w:bCs/>
                <w:color w:val="000000"/>
                <w:sz w:val="20"/>
                <w:szCs w:val="20"/>
              </w:rPr>
              <w:t>12 Months or Greater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DA7" w14:textId="77777777" w:rsidR="00BF3A3A" w:rsidRDefault="00BF3A3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9502DA8" w14:textId="77777777" w:rsidR="00BF3A3A" w:rsidRDefault="00A76802">
            <w:pPr>
              <w:jc w:val="center"/>
              <w:textAlignment w:val="bottom"/>
            </w:pPr>
            <w:r>
              <w:rPr>
                <w:rFonts w:ascii="sans-serif" w:eastAsia="sans-serif" w:hAnsi="sans-serif" w:cs="sans-serif"/>
                <w:b/>
                <w:bCs/>
                <w:color w:val="000000"/>
                <w:sz w:val="20"/>
                <w:szCs w:val="20"/>
              </w:rPr>
              <w:t>Total</w:t>
            </w:r>
          </w:p>
        </w:tc>
      </w:tr>
      <w:tr w:rsidR="00BF3A3A" w14:paraId="19502DB6" w14:textId="77777777">
        <w:tc>
          <w:tcPr>
            <w:tcW w:w="0" w:type="auto"/>
            <w:gridSpan w:val="3"/>
            <w:shd w:val="clear" w:color="auto" w:fill="auto"/>
            <w:tcMar>
              <w:top w:w="40" w:type="dxa"/>
              <w:left w:w="20" w:type="dxa"/>
              <w:bottom w:w="40" w:type="dxa"/>
              <w:right w:w="20" w:type="dxa"/>
            </w:tcMar>
            <w:vAlign w:val="bottom"/>
          </w:tcPr>
          <w:p w14:paraId="19502DAA"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DAB" w14:textId="77777777" w:rsidR="00BF3A3A" w:rsidRDefault="00A76802">
            <w:pPr>
              <w:jc w:val="center"/>
              <w:textAlignment w:val="bottom"/>
            </w:pPr>
            <w:r>
              <w:rPr>
                <w:rFonts w:ascii="sans-serif" w:eastAsia="sans-serif" w:hAnsi="sans-serif" w:cs="sans-serif"/>
                <w:b/>
                <w:bCs/>
                <w:color w:val="000000"/>
                <w:sz w:val="20"/>
                <w:szCs w:val="20"/>
              </w:rPr>
              <w:t>Estimated 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DAC"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DAD" w14:textId="77777777" w:rsidR="00BF3A3A" w:rsidRDefault="00A76802">
            <w:pPr>
              <w:jc w:val="center"/>
              <w:textAlignment w:val="bottom"/>
            </w:pPr>
            <w:r>
              <w:rPr>
                <w:rFonts w:ascii="sans-serif" w:eastAsia="sans-serif" w:hAnsi="sans-serif" w:cs="sans-serif"/>
                <w:b/>
                <w:bCs/>
                <w:color w:val="000000"/>
                <w:sz w:val="20"/>
                <w:szCs w:val="20"/>
              </w:rPr>
              <w:t xml:space="preserve">Gross </w:t>
            </w:r>
            <w:r>
              <w:rPr>
                <w:rFonts w:ascii="sans-serif" w:eastAsia="sans-serif" w:hAnsi="sans-serif" w:cs="sans-serif"/>
                <w:b/>
                <w:bCs/>
                <w:color w:val="000000"/>
                <w:sz w:val="20"/>
                <w:szCs w:val="20"/>
              </w:rPr>
              <w:t>Unrealized Loss</w:t>
            </w:r>
          </w:p>
        </w:tc>
        <w:tc>
          <w:tcPr>
            <w:tcW w:w="0" w:type="auto"/>
            <w:gridSpan w:val="3"/>
            <w:shd w:val="clear" w:color="auto" w:fill="auto"/>
            <w:tcMar>
              <w:top w:w="0" w:type="dxa"/>
              <w:left w:w="20" w:type="dxa"/>
              <w:bottom w:w="0" w:type="dxa"/>
              <w:right w:w="20" w:type="dxa"/>
            </w:tcMar>
            <w:vAlign w:val="bottom"/>
          </w:tcPr>
          <w:p w14:paraId="19502DAE"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DAF" w14:textId="77777777" w:rsidR="00BF3A3A" w:rsidRDefault="00A76802">
            <w:pPr>
              <w:jc w:val="center"/>
              <w:textAlignment w:val="bottom"/>
            </w:pPr>
            <w:r>
              <w:rPr>
                <w:rFonts w:ascii="sans-serif" w:eastAsia="sans-serif" w:hAnsi="sans-serif" w:cs="sans-serif"/>
                <w:b/>
                <w:bCs/>
                <w:color w:val="000000"/>
                <w:sz w:val="20"/>
                <w:szCs w:val="20"/>
              </w:rPr>
              <w:t>Estimated 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DB0"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DB1" w14:textId="77777777" w:rsidR="00BF3A3A" w:rsidRDefault="00A76802">
            <w:pPr>
              <w:jc w:val="center"/>
              <w:textAlignment w:val="bottom"/>
            </w:pPr>
            <w:r>
              <w:rPr>
                <w:rFonts w:ascii="sans-serif" w:eastAsia="sans-serif" w:hAnsi="sans-serif" w:cs="sans-serif"/>
                <w:b/>
                <w:bCs/>
                <w:color w:val="000000"/>
                <w:sz w:val="20"/>
                <w:szCs w:val="20"/>
              </w:rPr>
              <w:t>Gross Unrealized Loss</w:t>
            </w:r>
          </w:p>
        </w:tc>
        <w:tc>
          <w:tcPr>
            <w:tcW w:w="0" w:type="auto"/>
            <w:gridSpan w:val="3"/>
            <w:shd w:val="clear" w:color="auto" w:fill="auto"/>
            <w:tcMar>
              <w:top w:w="0" w:type="dxa"/>
              <w:left w:w="20" w:type="dxa"/>
              <w:bottom w:w="0" w:type="dxa"/>
              <w:right w:w="20" w:type="dxa"/>
            </w:tcMar>
            <w:vAlign w:val="bottom"/>
          </w:tcPr>
          <w:p w14:paraId="19502DB2"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DB3" w14:textId="77777777" w:rsidR="00BF3A3A" w:rsidRDefault="00A76802">
            <w:pPr>
              <w:jc w:val="center"/>
              <w:textAlignment w:val="bottom"/>
            </w:pPr>
            <w:r>
              <w:rPr>
                <w:rFonts w:ascii="sans-serif" w:eastAsia="sans-serif" w:hAnsi="sans-serif" w:cs="sans-serif"/>
                <w:b/>
                <w:bCs/>
                <w:color w:val="000000"/>
                <w:sz w:val="20"/>
                <w:szCs w:val="20"/>
              </w:rPr>
              <w:t>Estimated 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DB4"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DB5" w14:textId="77777777" w:rsidR="00BF3A3A" w:rsidRDefault="00A76802">
            <w:pPr>
              <w:jc w:val="center"/>
              <w:textAlignment w:val="bottom"/>
            </w:pPr>
            <w:r>
              <w:rPr>
                <w:rFonts w:ascii="sans-serif" w:eastAsia="sans-serif" w:hAnsi="sans-serif" w:cs="sans-serif"/>
                <w:b/>
                <w:bCs/>
                <w:color w:val="000000"/>
                <w:sz w:val="20"/>
                <w:szCs w:val="20"/>
              </w:rPr>
              <w:t>Gross Unrealized Loss</w:t>
            </w:r>
          </w:p>
        </w:tc>
      </w:tr>
      <w:tr w:rsidR="00BF3A3A" w14:paraId="19502DC3" w14:textId="77777777">
        <w:trPr>
          <w:trHeight w:val="60"/>
        </w:trPr>
        <w:tc>
          <w:tcPr>
            <w:tcW w:w="0" w:type="auto"/>
            <w:gridSpan w:val="3"/>
            <w:shd w:val="clear" w:color="auto" w:fill="auto"/>
            <w:tcMar>
              <w:top w:w="0" w:type="dxa"/>
              <w:left w:w="20" w:type="dxa"/>
              <w:bottom w:w="0" w:type="dxa"/>
              <w:right w:w="20" w:type="dxa"/>
            </w:tcMar>
            <w:vAlign w:val="bottom"/>
          </w:tcPr>
          <w:p w14:paraId="19502DB7"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DB8"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DB9"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DBA"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DBB"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DBC"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DBD"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DBE"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DBF"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DC0"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DC1"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DC2" w14:textId="77777777" w:rsidR="00BF3A3A" w:rsidRDefault="00BF3A3A">
            <w:pPr>
              <w:rPr>
                <w:rFonts w:ascii="宋体"/>
              </w:rPr>
            </w:pPr>
          </w:p>
        </w:tc>
      </w:tr>
      <w:tr w:rsidR="00BF3A3A" w14:paraId="19502DC7" w14:textId="77777777">
        <w:tc>
          <w:tcPr>
            <w:tcW w:w="0" w:type="auto"/>
            <w:gridSpan w:val="3"/>
            <w:shd w:val="clear" w:color="auto" w:fill="auto"/>
            <w:tcMar>
              <w:top w:w="40" w:type="dxa"/>
              <w:left w:w="20" w:type="dxa"/>
              <w:bottom w:w="40" w:type="dxa"/>
              <w:right w:w="20" w:type="dxa"/>
            </w:tcMar>
            <w:vAlign w:val="bottom"/>
          </w:tcPr>
          <w:p w14:paraId="19502DC4" w14:textId="77777777" w:rsidR="00BF3A3A" w:rsidRDefault="00A76802">
            <w:pPr>
              <w:textAlignment w:val="bottom"/>
            </w:pPr>
            <w:r>
              <w:rPr>
                <w:rFonts w:ascii="sans-serif" w:eastAsia="sans-serif" w:hAnsi="sans-serif" w:cs="sans-serif"/>
                <w:color w:val="000000"/>
                <w:sz w:val="20"/>
                <w:szCs w:val="20"/>
              </w:rPr>
              <w:t> </w:t>
            </w:r>
          </w:p>
        </w:tc>
        <w:tc>
          <w:tcPr>
            <w:tcW w:w="0" w:type="auto"/>
            <w:gridSpan w:val="30"/>
            <w:shd w:val="clear" w:color="auto" w:fill="auto"/>
            <w:tcMar>
              <w:top w:w="40" w:type="dxa"/>
              <w:left w:w="20" w:type="dxa"/>
              <w:bottom w:w="40" w:type="dxa"/>
              <w:right w:w="20" w:type="dxa"/>
            </w:tcMar>
            <w:vAlign w:val="bottom"/>
          </w:tcPr>
          <w:p w14:paraId="19502DC5" w14:textId="77777777" w:rsidR="00BF3A3A" w:rsidRDefault="00A76802">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Mar>
              <w:top w:w="0" w:type="dxa"/>
              <w:left w:w="20" w:type="dxa"/>
              <w:bottom w:w="0" w:type="dxa"/>
              <w:right w:w="20" w:type="dxa"/>
            </w:tcMar>
            <w:vAlign w:val="bottom"/>
          </w:tcPr>
          <w:p w14:paraId="19502DC6" w14:textId="77777777" w:rsidR="00BF3A3A" w:rsidRDefault="00BF3A3A">
            <w:pPr>
              <w:rPr>
                <w:rFonts w:ascii="宋体"/>
              </w:rPr>
            </w:pPr>
          </w:p>
        </w:tc>
      </w:tr>
      <w:tr w:rsidR="00BF3A3A" w14:paraId="19502DE0" w14:textId="77777777">
        <w:tc>
          <w:tcPr>
            <w:tcW w:w="0" w:type="auto"/>
            <w:gridSpan w:val="3"/>
            <w:shd w:val="clear" w:color="auto" w:fill="E2EFD9"/>
            <w:tcMar>
              <w:top w:w="40" w:type="dxa"/>
              <w:left w:w="20" w:type="dxa"/>
              <w:bottom w:w="40" w:type="dxa"/>
              <w:right w:w="20" w:type="dxa"/>
            </w:tcMar>
            <w:vAlign w:val="bottom"/>
          </w:tcPr>
          <w:p w14:paraId="19502DC8" w14:textId="77777777" w:rsidR="00BF3A3A" w:rsidRDefault="00A76802">
            <w:pPr>
              <w:textAlignment w:val="bottom"/>
            </w:pPr>
            <w:r>
              <w:rPr>
                <w:rFonts w:ascii="sans-serif" w:eastAsia="sans-serif" w:hAnsi="sans-serif" w:cs="sans-serif"/>
                <w:color w:val="000000"/>
                <w:sz w:val="20"/>
                <w:szCs w:val="20"/>
              </w:rPr>
              <w:t>Debt securities issued by the United States Treasury</w:t>
            </w:r>
          </w:p>
        </w:tc>
        <w:tc>
          <w:tcPr>
            <w:tcW w:w="0" w:type="auto"/>
            <w:shd w:val="clear" w:color="auto" w:fill="E2EFD9"/>
            <w:tcMar>
              <w:top w:w="40" w:type="dxa"/>
              <w:left w:w="20" w:type="dxa"/>
              <w:bottom w:w="40" w:type="dxa"/>
              <w:right w:w="0" w:type="dxa"/>
            </w:tcMar>
            <w:vAlign w:val="bottom"/>
          </w:tcPr>
          <w:p w14:paraId="19502DC9"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DCA" w14:textId="77777777" w:rsidR="00BF3A3A" w:rsidRDefault="00A76802">
            <w:pPr>
              <w:jc w:val="right"/>
              <w:textAlignment w:val="bottom"/>
            </w:pPr>
            <w:r>
              <w:rPr>
                <w:rFonts w:ascii="sans-serif" w:eastAsia="sans-serif" w:hAnsi="sans-serif" w:cs="sans-serif"/>
                <w:color w:val="000000"/>
                <w:sz w:val="20"/>
                <w:szCs w:val="20"/>
              </w:rPr>
              <w:t>2,793 </w:t>
            </w:r>
          </w:p>
        </w:tc>
        <w:tc>
          <w:tcPr>
            <w:tcW w:w="0" w:type="auto"/>
            <w:shd w:val="clear" w:color="auto" w:fill="E2EFD9"/>
            <w:tcMar>
              <w:top w:w="40" w:type="dxa"/>
              <w:left w:w="0" w:type="dxa"/>
              <w:bottom w:w="40" w:type="dxa"/>
              <w:right w:w="20" w:type="dxa"/>
            </w:tcMar>
            <w:vAlign w:val="bottom"/>
          </w:tcPr>
          <w:p w14:paraId="19502DCB"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DCC"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DCD"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DCE" w14:textId="77777777" w:rsidR="00BF3A3A" w:rsidRDefault="00A76802">
            <w:pPr>
              <w:jc w:val="right"/>
              <w:textAlignment w:val="bottom"/>
            </w:pPr>
            <w:r>
              <w:rPr>
                <w:rFonts w:ascii="sans-serif" w:eastAsia="sans-serif" w:hAnsi="sans-serif" w:cs="sans-serif"/>
                <w:color w:val="000000"/>
                <w:sz w:val="20"/>
                <w:szCs w:val="20"/>
              </w:rPr>
              <w:t>(39)</w:t>
            </w:r>
          </w:p>
        </w:tc>
        <w:tc>
          <w:tcPr>
            <w:tcW w:w="0" w:type="auto"/>
            <w:shd w:val="clear" w:color="auto" w:fill="E2EFD9"/>
            <w:tcMar>
              <w:top w:w="40" w:type="dxa"/>
              <w:left w:w="0" w:type="dxa"/>
              <w:bottom w:w="40" w:type="dxa"/>
              <w:right w:w="20" w:type="dxa"/>
            </w:tcMar>
            <w:vAlign w:val="bottom"/>
          </w:tcPr>
          <w:p w14:paraId="19502DC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DD0"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DD1"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DD2"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2DD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DD4"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DD5"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DD6"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2DD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DD8"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DD9"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DDA" w14:textId="77777777" w:rsidR="00BF3A3A" w:rsidRDefault="00A76802">
            <w:pPr>
              <w:jc w:val="right"/>
              <w:textAlignment w:val="bottom"/>
            </w:pPr>
            <w:r>
              <w:rPr>
                <w:rFonts w:ascii="sans-serif" w:eastAsia="sans-serif" w:hAnsi="sans-serif" w:cs="sans-serif"/>
                <w:color w:val="000000"/>
                <w:sz w:val="20"/>
                <w:szCs w:val="20"/>
              </w:rPr>
              <w:t>2,793 </w:t>
            </w:r>
          </w:p>
        </w:tc>
        <w:tc>
          <w:tcPr>
            <w:tcW w:w="0" w:type="auto"/>
            <w:shd w:val="clear" w:color="auto" w:fill="E2EFD9"/>
            <w:tcMar>
              <w:top w:w="40" w:type="dxa"/>
              <w:left w:w="0" w:type="dxa"/>
              <w:bottom w:w="40" w:type="dxa"/>
              <w:right w:w="20" w:type="dxa"/>
            </w:tcMar>
            <w:vAlign w:val="bottom"/>
          </w:tcPr>
          <w:p w14:paraId="19502DDB"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DDC"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DDD"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DDE" w14:textId="77777777" w:rsidR="00BF3A3A" w:rsidRDefault="00A76802">
            <w:pPr>
              <w:jc w:val="right"/>
              <w:textAlignment w:val="bottom"/>
            </w:pPr>
            <w:r>
              <w:rPr>
                <w:rFonts w:ascii="sans-serif" w:eastAsia="sans-serif" w:hAnsi="sans-serif" w:cs="sans-serif"/>
                <w:color w:val="000000"/>
                <w:sz w:val="20"/>
                <w:szCs w:val="20"/>
              </w:rPr>
              <w:t>(39)</w:t>
            </w:r>
          </w:p>
        </w:tc>
        <w:tc>
          <w:tcPr>
            <w:tcW w:w="0" w:type="auto"/>
            <w:shd w:val="clear" w:color="auto" w:fill="E2EFD9"/>
            <w:tcMar>
              <w:top w:w="40" w:type="dxa"/>
              <w:left w:w="0" w:type="dxa"/>
              <w:bottom w:w="40" w:type="dxa"/>
              <w:right w:w="20" w:type="dxa"/>
            </w:tcMar>
            <w:vAlign w:val="bottom"/>
          </w:tcPr>
          <w:p w14:paraId="19502DDF" w14:textId="77777777" w:rsidR="00BF3A3A" w:rsidRDefault="00BF3A3A">
            <w:pPr>
              <w:jc w:val="right"/>
              <w:rPr>
                <w:rFonts w:ascii="宋体"/>
              </w:rPr>
            </w:pPr>
          </w:p>
        </w:tc>
      </w:tr>
      <w:tr w:rsidR="00BF3A3A" w14:paraId="19502DF3" w14:textId="77777777">
        <w:tc>
          <w:tcPr>
            <w:tcW w:w="0" w:type="auto"/>
            <w:gridSpan w:val="3"/>
            <w:shd w:val="clear" w:color="auto" w:fill="FFFFFF"/>
            <w:tcMar>
              <w:top w:w="40" w:type="dxa"/>
              <w:left w:w="20" w:type="dxa"/>
              <w:bottom w:w="40" w:type="dxa"/>
              <w:right w:w="20" w:type="dxa"/>
            </w:tcMar>
            <w:vAlign w:val="bottom"/>
          </w:tcPr>
          <w:p w14:paraId="19502DE1" w14:textId="77777777" w:rsidR="00BF3A3A" w:rsidRDefault="00A76802">
            <w:pPr>
              <w:textAlignment w:val="bottom"/>
            </w:pPr>
            <w:r>
              <w:rPr>
                <w:rFonts w:ascii="sans-serif" w:eastAsia="sans-serif" w:hAnsi="sans-serif" w:cs="sans-serif"/>
                <w:color w:val="000000"/>
                <w:sz w:val="20"/>
                <w:szCs w:val="20"/>
              </w:rPr>
              <w:t>Debt securi</w:t>
            </w:r>
            <w:r>
              <w:rPr>
                <w:rFonts w:ascii="sans-serif" w:eastAsia="sans-serif" w:hAnsi="sans-serif" w:cs="sans-serif"/>
                <w:color w:val="000000"/>
                <w:sz w:val="20"/>
                <w:szCs w:val="20"/>
              </w:rPr>
              <w:t>ties issued by United States government agencies</w:t>
            </w:r>
          </w:p>
        </w:tc>
        <w:tc>
          <w:tcPr>
            <w:tcW w:w="0" w:type="auto"/>
            <w:gridSpan w:val="2"/>
            <w:shd w:val="clear" w:color="auto" w:fill="FFFFFF"/>
            <w:tcMar>
              <w:top w:w="40" w:type="dxa"/>
              <w:left w:w="20" w:type="dxa"/>
              <w:bottom w:w="40" w:type="dxa"/>
              <w:right w:w="0" w:type="dxa"/>
            </w:tcMar>
            <w:vAlign w:val="bottom"/>
          </w:tcPr>
          <w:p w14:paraId="19502DE2" w14:textId="77777777" w:rsidR="00BF3A3A" w:rsidRDefault="00A76802">
            <w:pPr>
              <w:jc w:val="right"/>
              <w:textAlignment w:val="bottom"/>
            </w:pPr>
            <w:r>
              <w:rPr>
                <w:rFonts w:ascii="sans-serif" w:eastAsia="sans-serif" w:hAnsi="sans-serif" w:cs="sans-serif"/>
                <w:color w:val="000000"/>
                <w:sz w:val="20"/>
                <w:szCs w:val="20"/>
              </w:rPr>
              <w:t>2,312 </w:t>
            </w:r>
          </w:p>
        </w:tc>
        <w:tc>
          <w:tcPr>
            <w:tcW w:w="0" w:type="auto"/>
            <w:shd w:val="clear" w:color="auto" w:fill="FFFFFF"/>
            <w:tcMar>
              <w:top w:w="40" w:type="dxa"/>
              <w:left w:w="0" w:type="dxa"/>
              <w:bottom w:w="40" w:type="dxa"/>
              <w:right w:w="20" w:type="dxa"/>
            </w:tcMar>
            <w:vAlign w:val="bottom"/>
          </w:tcPr>
          <w:p w14:paraId="19502DE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DE4"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DE5" w14:textId="77777777" w:rsidR="00BF3A3A" w:rsidRDefault="00A76802">
            <w:pPr>
              <w:jc w:val="right"/>
              <w:textAlignment w:val="bottom"/>
            </w:pPr>
            <w:r>
              <w:rPr>
                <w:rFonts w:ascii="sans-serif" w:eastAsia="sans-serif" w:hAnsi="sans-serif" w:cs="sans-serif"/>
                <w:color w:val="000000"/>
                <w:sz w:val="20"/>
                <w:szCs w:val="20"/>
              </w:rPr>
              <w:t>(2)</w:t>
            </w:r>
          </w:p>
        </w:tc>
        <w:tc>
          <w:tcPr>
            <w:tcW w:w="0" w:type="auto"/>
            <w:shd w:val="clear" w:color="auto" w:fill="FFFFFF"/>
            <w:tcMar>
              <w:top w:w="40" w:type="dxa"/>
              <w:left w:w="0" w:type="dxa"/>
              <w:bottom w:w="40" w:type="dxa"/>
              <w:right w:w="20" w:type="dxa"/>
            </w:tcMar>
            <w:vAlign w:val="bottom"/>
          </w:tcPr>
          <w:p w14:paraId="19502DE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DE7"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DE8"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2DE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DEA"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DEB"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2DEC"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DED"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DEE" w14:textId="77777777" w:rsidR="00BF3A3A" w:rsidRDefault="00A76802">
            <w:pPr>
              <w:jc w:val="right"/>
              <w:textAlignment w:val="bottom"/>
            </w:pPr>
            <w:r>
              <w:rPr>
                <w:rFonts w:ascii="sans-serif" w:eastAsia="sans-serif" w:hAnsi="sans-serif" w:cs="sans-serif"/>
                <w:color w:val="000000"/>
                <w:sz w:val="20"/>
                <w:szCs w:val="20"/>
              </w:rPr>
              <w:t>2,312 </w:t>
            </w:r>
          </w:p>
        </w:tc>
        <w:tc>
          <w:tcPr>
            <w:tcW w:w="0" w:type="auto"/>
            <w:shd w:val="clear" w:color="auto" w:fill="FFFFFF"/>
            <w:tcMar>
              <w:top w:w="40" w:type="dxa"/>
              <w:left w:w="0" w:type="dxa"/>
              <w:bottom w:w="40" w:type="dxa"/>
              <w:right w:w="20" w:type="dxa"/>
            </w:tcMar>
            <w:vAlign w:val="bottom"/>
          </w:tcPr>
          <w:p w14:paraId="19502DEF"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DF0"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DF1" w14:textId="77777777" w:rsidR="00BF3A3A" w:rsidRDefault="00A76802">
            <w:pPr>
              <w:jc w:val="right"/>
              <w:textAlignment w:val="bottom"/>
            </w:pPr>
            <w:r>
              <w:rPr>
                <w:rFonts w:ascii="sans-serif" w:eastAsia="sans-serif" w:hAnsi="sans-serif" w:cs="sans-serif"/>
                <w:color w:val="000000"/>
                <w:sz w:val="20"/>
                <w:szCs w:val="20"/>
              </w:rPr>
              <w:t>(2)</w:t>
            </w:r>
          </w:p>
        </w:tc>
        <w:tc>
          <w:tcPr>
            <w:tcW w:w="0" w:type="auto"/>
            <w:shd w:val="clear" w:color="auto" w:fill="FFFFFF"/>
            <w:tcMar>
              <w:top w:w="40" w:type="dxa"/>
              <w:left w:w="0" w:type="dxa"/>
              <w:bottom w:w="40" w:type="dxa"/>
              <w:right w:w="20" w:type="dxa"/>
            </w:tcMar>
            <w:vAlign w:val="bottom"/>
          </w:tcPr>
          <w:p w14:paraId="19502DF2" w14:textId="77777777" w:rsidR="00BF3A3A" w:rsidRDefault="00BF3A3A">
            <w:pPr>
              <w:jc w:val="right"/>
              <w:rPr>
                <w:rFonts w:ascii="宋体"/>
              </w:rPr>
            </w:pPr>
          </w:p>
        </w:tc>
      </w:tr>
      <w:tr w:rsidR="00BF3A3A" w14:paraId="19502E06" w14:textId="77777777">
        <w:tc>
          <w:tcPr>
            <w:tcW w:w="0" w:type="auto"/>
            <w:gridSpan w:val="3"/>
            <w:shd w:val="clear" w:color="auto" w:fill="E2EFD9"/>
            <w:tcMar>
              <w:top w:w="40" w:type="dxa"/>
              <w:left w:w="20" w:type="dxa"/>
              <w:bottom w:w="40" w:type="dxa"/>
              <w:right w:w="20" w:type="dxa"/>
            </w:tcMar>
            <w:vAlign w:val="bottom"/>
          </w:tcPr>
          <w:p w14:paraId="19502DF4" w14:textId="77777777" w:rsidR="00BF3A3A" w:rsidRDefault="00A76802">
            <w:pPr>
              <w:textAlignment w:val="bottom"/>
            </w:pPr>
            <w:r>
              <w:rPr>
                <w:rFonts w:ascii="sans-serif" w:eastAsia="sans-serif" w:hAnsi="sans-serif" w:cs="sans-serif"/>
                <w:color w:val="000000"/>
                <w:sz w:val="20"/>
                <w:szCs w:val="20"/>
              </w:rPr>
              <w:t>Corporate debt securities</w:t>
            </w:r>
          </w:p>
        </w:tc>
        <w:tc>
          <w:tcPr>
            <w:tcW w:w="0" w:type="auto"/>
            <w:gridSpan w:val="2"/>
            <w:shd w:val="clear" w:color="auto" w:fill="E2EFD9"/>
            <w:tcMar>
              <w:top w:w="40" w:type="dxa"/>
              <w:left w:w="20" w:type="dxa"/>
              <w:bottom w:w="40" w:type="dxa"/>
              <w:right w:w="0" w:type="dxa"/>
            </w:tcMar>
            <w:vAlign w:val="bottom"/>
          </w:tcPr>
          <w:p w14:paraId="19502DF5" w14:textId="77777777" w:rsidR="00BF3A3A" w:rsidRDefault="00A76802">
            <w:pPr>
              <w:jc w:val="right"/>
              <w:textAlignment w:val="bottom"/>
            </w:pPr>
            <w:r>
              <w:rPr>
                <w:rFonts w:ascii="sans-serif" w:eastAsia="sans-serif" w:hAnsi="sans-serif" w:cs="sans-serif"/>
                <w:color w:val="000000"/>
                <w:sz w:val="20"/>
                <w:szCs w:val="20"/>
              </w:rPr>
              <w:t>1,925 </w:t>
            </w:r>
          </w:p>
        </w:tc>
        <w:tc>
          <w:tcPr>
            <w:tcW w:w="0" w:type="auto"/>
            <w:shd w:val="clear" w:color="auto" w:fill="E2EFD9"/>
            <w:tcMar>
              <w:top w:w="40" w:type="dxa"/>
              <w:left w:w="0" w:type="dxa"/>
              <w:bottom w:w="40" w:type="dxa"/>
              <w:right w:w="20" w:type="dxa"/>
            </w:tcMar>
            <w:vAlign w:val="bottom"/>
          </w:tcPr>
          <w:p w14:paraId="19502DF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DF7"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DF8" w14:textId="77777777" w:rsidR="00BF3A3A" w:rsidRDefault="00A76802">
            <w:pPr>
              <w:jc w:val="right"/>
              <w:textAlignment w:val="bottom"/>
            </w:pPr>
            <w:r>
              <w:rPr>
                <w:rFonts w:ascii="sans-serif" w:eastAsia="sans-serif" w:hAnsi="sans-serif" w:cs="sans-serif"/>
                <w:color w:val="000000"/>
                <w:sz w:val="20"/>
                <w:szCs w:val="20"/>
              </w:rPr>
              <w:t>(17)</w:t>
            </w:r>
          </w:p>
        </w:tc>
        <w:tc>
          <w:tcPr>
            <w:tcW w:w="0" w:type="auto"/>
            <w:shd w:val="clear" w:color="auto" w:fill="E2EFD9"/>
            <w:tcMar>
              <w:top w:w="40" w:type="dxa"/>
              <w:left w:w="0" w:type="dxa"/>
              <w:bottom w:w="40" w:type="dxa"/>
              <w:right w:w="20" w:type="dxa"/>
            </w:tcMar>
            <w:vAlign w:val="bottom"/>
          </w:tcPr>
          <w:p w14:paraId="19502DF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DFA"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DFB" w14:textId="77777777" w:rsidR="00BF3A3A" w:rsidRDefault="00A76802">
            <w:pPr>
              <w:jc w:val="right"/>
              <w:textAlignment w:val="bottom"/>
            </w:pPr>
            <w:r>
              <w:rPr>
                <w:rFonts w:ascii="sans-serif" w:eastAsia="sans-serif" w:hAnsi="sans-serif" w:cs="sans-serif"/>
                <w:color w:val="000000"/>
                <w:sz w:val="20"/>
                <w:szCs w:val="20"/>
              </w:rPr>
              <w:t>105 </w:t>
            </w:r>
          </w:p>
        </w:tc>
        <w:tc>
          <w:tcPr>
            <w:tcW w:w="0" w:type="auto"/>
            <w:shd w:val="clear" w:color="auto" w:fill="E2EFD9"/>
            <w:tcMar>
              <w:top w:w="40" w:type="dxa"/>
              <w:left w:w="0" w:type="dxa"/>
              <w:bottom w:w="40" w:type="dxa"/>
              <w:right w:w="20" w:type="dxa"/>
            </w:tcMar>
            <w:vAlign w:val="bottom"/>
          </w:tcPr>
          <w:p w14:paraId="19502DF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DFD"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DFE" w14:textId="77777777" w:rsidR="00BF3A3A" w:rsidRDefault="00A76802">
            <w:pPr>
              <w:jc w:val="right"/>
              <w:textAlignment w:val="bottom"/>
            </w:pPr>
            <w:r>
              <w:rPr>
                <w:rFonts w:ascii="sans-serif" w:eastAsia="sans-serif" w:hAnsi="sans-serif" w:cs="sans-serif"/>
                <w:color w:val="000000"/>
                <w:sz w:val="20"/>
                <w:szCs w:val="20"/>
              </w:rPr>
              <w:t>(1)</w:t>
            </w:r>
          </w:p>
        </w:tc>
        <w:tc>
          <w:tcPr>
            <w:tcW w:w="0" w:type="auto"/>
            <w:shd w:val="clear" w:color="auto" w:fill="E2EFD9"/>
            <w:tcMar>
              <w:top w:w="40" w:type="dxa"/>
              <w:left w:w="0" w:type="dxa"/>
              <w:bottom w:w="40" w:type="dxa"/>
              <w:right w:w="20" w:type="dxa"/>
            </w:tcMar>
            <w:vAlign w:val="bottom"/>
          </w:tcPr>
          <w:p w14:paraId="19502DF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E00"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E01" w14:textId="77777777" w:rsidR="00BF3A3A" w:rsidRDefault="00A76802">
            <w:pPr>
              <w:jc w:val="right"/>
              <w:textAlignment w:val="bottom"/>
            </w:pPr>
            <w:r>
              <w:rPr>
                <w:rFonts w:ascii="sans-serif" w:eastAsia="sans-serif" w:hAnsi="sans-serif" w:cs="sans-serif"/>
                <w:color w:val="000000"/>
                <w:sz w:val="20"/>
                <w:szCs w:val="20"/>
              </w:rPr>
              <w:t>2,030 </w:t>
            </w:r>
          </w:p>
        </w:tc>
        <w:tc>
          <w:tcPr>
            <w:tcW w:w="0" w:type="auto"/>
            <w:shd w:val="clear" w:color="auto" w:fill="E2EFD9"/>
            <w:tcMar>
              <w:top w:w="40" w:type="dxa"/>
              <w:left w:w="0" w:type="dxa"/>
              <w:bottom w:w="40" w:type="dxa"/>
              <w:right w:w="20" w:type="dxa"/>
            </w:tcMar>
            <w:vAlign w:val="bottom"/>
          </w:tcPr>
          <w:p w14:paraId="19502E0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E03"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2E04" w14:textId="77777777" w:rsidR="00BF3A3A" w:rsidRDefault="00A76802">
            <w:pPr>
              <w:jc w:val="right"/>
              <w:textAlignment w:val="bottom"/>
            </w:pPr>
            <w:r>
              <w:rPr>
                <w:rFonts w:ascii="sans-serif" w:eastAsia="sans-serif" w:hAnsi="sans-serif" w:cs="sans-serif"/>
                <w:color w:val="000000"/>
                <w:sz w:val="20"/>
                <w:szCs w:val="20"/>
              </w:rPr>
              <w:t>(18)</w:t>
            </w:r>
          </w:p>
        </w:tc>
        <w:tc>
          <w:tcPr>
            <w:tcW w:w="0" w:type="auto"/>
            <w:shd w:val="clear" w:color="auto" w:fill="E2EFD9"/>
            <w:tcMar>
              <w:top w:w="40" w:type="dxa"/>
              <w:left w:w="0" w:type="dxa"/>
              <w:bottom w:w="40" w:type="dxa"/>
              <w:right w:w="20" w:type="dxa"/>
            </w:tcMar>
            <w:vAlign w:val="bottom"/>
          </w:tcPr>
          <w:p w14:paraId="19502E05" w14:textId="77777777" w:rsidR="00BF3A3A" w:rsidRDefault="00BF3A3A">
            <w:pPr>
              <w:jc w:val="right"/>
              <w:rPr>
                <w:rFonts w:ascii="宋体"/>
              </w:rPr>
            </w:pPr>
          </w:p>
        </w:tc>
      </w:tr>
      <w:tr w:rsidR="00BF3A3A" w14:paraId="19502E1F" w14:textId="77777777">
        <w:tc>
          <w:tcPr>
            <w:tcW w:w="0" w:type="auto"/>
            <w:gridSpan w:val="3"/>
            <w:shd w:val="clear" w:color="auto" w:fill="FFFFFF"/>
            <w:tcMar>
              <w:top w:w="40" w:type="dxa"/>
              <w:left w:w="20" w:type="dxa"/>
              <w:bottom w:w="40" w:type="dxa"/>
              <w:right w:w="20" w:type="dxa"/>
            </w:tcMar>
            <w:vAlign w:val="bottom"/>
          </w:tcPr>
          <w:p w14:paraId="19502E07" w14:textId="77777777" w:rsidR="00BF3A3A" w:rsidRDefault="00A76802">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2E08"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2E09" w14:textId="77777777" w:rsidR="00BF3A3A" w:rsidRDefault="00A76802">
            <w:pPr>
              <w:jc w:val="right"/>
              <w:textAlignment w:val="bottom"/>
            </w:pPr>
            <w:r>
              <w:rPr>
                <w:rFonts w:ascii="sans-serif" w:eastAsia="sans-serif" w:hAnsi="sans-serif" w:cs="sans-serif"/>
                <w:color w:val="000000"/>
                <w:sz w:val="20"/>
                <w:szCs w:val="20"/>
              </w:rPr>
              <w:t>7,030 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2E0A"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E0B"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2E0C"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2E0D" w14:textId="77777777" w:rsidR="00BF3A3A" w:rsidRDefault="00A76802">
            <w:pPr>
              <w:jc w:val="right"/>
              <w:textAlignment w:val="bottom"/>
            </w:pPr>
            <w:r>
              <w:rPr>
                <w:rFonts w:ascii="sans-serif" w:eastAsia="sans-serif" w:hAnsi="sans-serif" w:cs="sans-serif"/>
                <w:color w:val="000000"/>
                <w:sz w:val="20"/>
                <w:szCs w:val="20"/>
              </w:rPr>
              <w:t>(58)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2E0E"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E0F"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2E10"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2E11" w14:textId="77777777" w:rsidR="00BF3A3A" w:rsidRDefault="00A76802">
            <w:pPr>
              <w:jc w:val="right"/>
              <w:textAlignment w:val="bottom"/>
            </w:pPr>
            <w:r>
              <w:rPr>
                <w:rFonts w:ascii="sans-serif" w:eastAsia="sans-serif" w:hAnsi="sans-serif" w:cs="sans-serif"/>
                <w:color w:val="000000"/>
                <w:sz w:val="20"/>
                <w:szCs w:val="20"/>
              </w:rPr>
              <w:t>105 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2E12"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E13"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2E14"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2E15" w14:textId="77777777" w:rsidR="00BF3A3A" w:rsidRDefault="00A76802">
            <w:pPr>
              <w:jc w:val="right"/>
              <w:textAlignment w:val="bottom"/>
            </w:pPr>
            <w:r>
              <w:rPr>
                <w:rFonts w:ascii="sans-serif" w:eastAsia="sans-serif" w:hAnsi="sans-serif" w:cs="sans-serif"/>
                <w:color w:val="000000"/>
                <w:sz w:val="20"/>
                <w:szCs w:val="20"/>
              </w:rPr>
              <w:t>(1)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2E1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E17"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2E18"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2E19" w14:textId="77777777" w:rsidR="00BF3A3A" w:rsidRDefault="00A76802">
            <w:pPr>
              <w:jc w:val="right"/>
              <w:textAlignment w:val="bottom"/>
            </w:pPr>
            <w:r>
              <w:rPr>
                <w:rFonts w:ascii="sans-serif" w:eastAsia="sans-serif" w:hAnsi="sans-serif" w:cs="sans-serif"/>
                <w:color w:val="000000"/>
                <w:sz w:val="20"/>
                <w:szCs w:val="20"/>
              </w:rPr>
              <w:t>7,135 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2E1A"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E1B"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2E1C"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2E1D" w14:textId="77777777" w:rsidR="00BF3A3A" w:rsidRDefault="00A76802">
            <w:pPr>
              <w:jc w:val="right"/>
              <w:textAlignment w:val="bottom"/>
            </w:pPr>
            <w:r>
              <w:rPr>
                <w:rFonts w:ascii="sans-serif" w:eastAsia="sans-serif" w:hAnsi="sans-serif" w:cs="sans-serif"/>
                <w:color w:val="000000"/>
                <w:sz w:val="20"/>
                <w:szCs w:val="20"/>
              </w:rPr>
              <w:t>(59)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2E1E" w14:textId="77777777" w:rsidR="00BF3A3A" w:rsidRDefault="00BF3A3A">
            <w:pPr>
              <w:jc w:val="right"/>
              <w:rPr>
                <w:rFonts w:ascii="宋体"/>
              </w:rPr>
            </w:pPr>
          </w:p>
        </w:tc>
      </w:tr>
    </w:tbl>
    <w:p w14:paraId="19502E20" w14:textId="77777777" w:rsidR="00BF3A3A" w:rsidRDefault="00BF3A3A">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1848"/>
        <w:gridCol w:w="37"/>
        <w:gridCol w:w="123"/>
        <w:gridCol w:w="792"/>
        <w:gridCol w:w="37"/>
        <w:gridCol w:w="36"/>
        <w:gridCol w:w="36"/>
        <w:gridCol w:w="36"/>
        <w:gridCol w:w="123"/>
        <w:gridCol w:w="846"/>
        <w:gridCol w:w="36"/>
        <w:gridCol w:w="36"/>
        <w:gridCol w:w="36"/>
        <w:gridCol w:w="36"/>
        <w:gridCol w:w="123"/>
        <w:gridCol w:w="793"/>
        <w:gridCol w:w="36"/>
        <w:gridCol w:w="36"/>
        <w:gridCol w:w="36"/>
        <w:gridCol w:w="36"/>
        <w:gridCol w:w="123"/>
        <w:gridCol w:w="846"/>
        <w:gridCol w:w="36"/>
        <w:gridCol w:w="36"/>
        <w:gridCol w:w="36"/>
        <w:gridCol w:w="36"/>
        <w:gridCol w:w="123"/>
        <w:gridCol w:w="793"/>
        <w:gridCol w:w="36"/>
        <w:gridCol w:w="36"/>
        <w:gridCol w:w="36"/>
        <w:gridCol w:w="36"/>
        <w:gridCol w:w="123"/>
        <w:gridCol w:w="848"/>
        <w:gridCol w:w="36"/>
      </w:tblGrid>
      <w:tr w:rsidR="00BF3A3A" w14:paraId="19502E45" w14:textId="77777777">
        <w:tc>
          <w:tcPr>
            <w:tcW w:w="50" w:type="pct"/>
            <w:shd w:val="clear" w:color="auto" w:fill="auto"/>
            <w:vAlign w:val="bottom"/>
          </w:tcPr>
          <w:p w14:paraId="19502E21" w14:textId="77777777" w:rsidR="00BF3A3A" w:rsidRDefault="00BF3A3A">
            <w:pPr>
              <w:rPr>
                <w:rFonts w:ascii="宋体"/>
              </w:rPr>
            </w:pPr>
          </w:p>
        </w:tc>
        <w:tc>
          <w:tcPr>
            <w:tcW w:w="1268" w:type="pct"/>
            <w:shd w:val="clear" w:color="auto" w:fill="auto"/>
            <w:vAlign w:val="bottom"/>
          </w:tcPr>
          <w:p w14:paraId="19502E22" w14:textId="77777777" w:rsidR="00BF3A3A" w:rsidRDefault="00BF3A3A">
            <w:pPr>
              <w:rPr>
                <w:rFonts w:ascii="宋体"/>
              </w:rPr>
            </w:pPr>
          </w:p>
        </w:tc>
        <w:tc>
          <w:tcPr>
            <w:tcW w:w="5" w:type="pct"/>
            <w:shd w:val="clear" w:color="auto" w:fill="auto"/>
            <w:vAlign w:val="bottom"/>
          </w:tcPr>
          <w:p w14:paraId="19502E23" w14:textId="77777777" w:rsidR="00BF3A3A" w:rsidRDefault="00BF3A3A">
            <w:pPr>
              <w:rPr>
                <w:rFonts w:ascii="宋体"/>
              </w:rPr>
            </w:pPr>
          </w:p>
        </w:tc>
        <w:tc>
          <w:tcPr>
            <w:tcW w:w="50" w:type="pct"/>
            <w:shd w:val="clear" w:color="auto" w:fill="auto"/>
            <w:vAlign w:val="bottom"/>
          </w:tcPr>
          <w:p w14:paraId="19502E24" w14:textId="77777777" w:rsidR="00BF3A3A" w:rsidRDefault="00BF3A3A">
            <w:pPr>
              <w:rPr>
                <w:rFonts w:ascii="宋体"/>
              </w:rPr>
            </w:pPr>
          </w:p>
        </w:tc>
        <w:tc>
          <w:tcPr>
            <w:tcW w:w="529" w:type="pct"/>
            <w:shd w:val="clear" w:color="auto" w:fill="auto"/>
            <w:vAlign w:val="bottom"/>
          </w:tcPr>
          <w:p w14:paraId="19502E25" w14:textId="77777777" w:rsidR="00BF3A3A" w:rsidRDefault="00BF3A3A">
            <w:pPr>
              <w:rPr>
                <w:rFonts w:ascii="宋体"/>
              </w:rPr>
            </w:pPr>
          </w:p>
        </w:tc>
        <w:tc>
          <w:tcPr>
            <w:tcW w:w="5" w:type="pct"/>
            <w:shd w:val="clear" w:color="auto" w:fill="auto"/>
            <w:vAlign w:val="bottom"/>
          </w:tcPr>
          <w:p w14:paraId="19502E26" w14:textId="77777777" w:rsidR="00BF3A3A" w:rsidRDefault="00BF3A3A">
            <w:pPr>
              <w:rPr>
                <w:rFonts w:ascii="宋体"/>
              </w:rPr>
            </w:pPr>
          </w:p>
        </w:tc>
        <w:tc>
          <w:tcPr>
            <w:tcW w:w="5" w:type="pct"/>
            <w:shd w:val="clear" w:color="auto" w:fill="auto"/>
            <w:vAlign w:val="bottom"/>
          </w:tcPr>
          <w:p w14:paraId="19502E27" w14:textId="77777777" w:rsidR="00BF3A3A" w:rsidRDefault="00BF3A3A">
            <w:pPr>
              <w:rPr>
                <w:rFonts w:ascii="宋体"/>
              </w:rPr>
            </w:pPr>
          </w:p>
        </w:tc>
        <w:tc>
          <w:tcPr>
            <w:tcW w:w="26" w:type="pct"/>
            <w:shd w:val="clear" w:color="auto" w:fill="auto"/>
            <w:vAlign w:val="bottom"/>
          </w:tcPr>
          <w:p w14:paraId="19502E28" w14:textId="77777777" w:rsidR="00BF3A3A" w:rsidRDefault="00BF3A3A">
            <w:pPr>
              <w:rPr>
                <w:rFonts w:ascii="宋体"/>
              </w:rPr>
            </w:pPr>
          </w:p>
        </w:tc>
        <w:tc>
          <w:tcPr>
            <w:tcW w:w="5" w:type="pct"/>
            <w:shd w:val="clear" w:color="auto" w:fill="auto"/>
            <w:vAlign w:val="bottom"/>
          </w:tcPr>
          <w:p w14:paraId="19502E29" w14:textId="77777777" w:rsidR="00BF3A3A" w:rsidRDefault="00BF3A3A">
            <w:pPr>
              <w:rPr>
                <w:rFonts w:ascii="宋体"/>
              </w:rPr>
            </w:pPr>
          </w:p>
        </w:tc>
        <w:tc>
          <w:tcPr>
            <w:tcW w:w="50" w:type="pct"/>
            <w:shd w:val="clear" w:color="auto" w:fill="auto"/>
            <w:vAlign w:val="bottom"/>
          </w:tcPr>
          <w:p w14:paraId="19502E2A" w14:textId="77777777" w:rsidR="00BF3A3A" w:rsidRDefault="00BF3A3A">
            <w:pPr>
              <w:rPr>
                <w:rFonts w:ascii="宋体"/>
              </w:rPr>
            </w:pPr>
          </w:p>
        </w:tc>
        <w:tc>
          <w:tcPr>
            <w:tcW w:w="529" w:type="pct"/>
            <w:shd w:val="clear" w:color="auto" w:fill="auto"/>
            <w:vAlign w:val="bottom"/>
          </w:tcPr>
          <w:p w14:paraId="19502E2B" w14:textId="77777777" w:rsidR="00BF3A3A" w:rsidRDefault="00BF3A3A">
            <w:pPr>
              <w:rPr>
                <w:rFonts w:ascii="宋体"/>
              </w:rPr>
            </w:pPr>
          </w:p>
        </w:tc>
        <w:tc>
          <w:tcPr>
            <w:tcW w:w="5" w:type="pct"/>
            <w:shd w:val="clear" w:color="auto" w:fill="auto"/>
            <w:vAlign w:val="bottom"/>
          </w:tcPr>
          <w:p w14:paraId="19502E2C" w14:textId="77777777" w:rsidR="00BF3A3A" w:rsidRDefault="00BF3A3A">
            <w:pPr>
              <w:rPr>
                <w:rFonts w:ascii="宋体"/>
              </w:rPr>
            </w:pPr>
          </w:p>
        </w:tc>
        <w:tc>
          <w:tcPr>
            <w:tcW w:w="5" w:type="pct"/>
            <w:shd w:val="clear" w:color="auto" w:fill="auto"/>
            <w:vAlign w:val="bottom"/>
          </w:tcPr>
          <w:p w14:paraId="19502E2D" w14:textId="77777777" w:rsidR="00BF3A3A" w:rsidRDefault="00BF3A3A">
            <w:pPr>
              <w:rPr>
                <w:rFonts w:ascii="宋体"/>
              </w:rPr>
            </w:pPr>
          </w:p>
        </w:tc>
        <w:tc>
          <w:tcPr>
            <w:tcW w:w="26" w:type="pct"/>
            <w:shd w:val="clear" w:color="auto" w:fill="auto"/>
            <w:vAlign w:val="bottom"/>
          </w:tcPr>
          <w:p w14:paraId="19502E2E" w14:textId="77777777" w:rsidR="00BF3A3A" w:rsidRDefault="00BF3A3A">
            <w:pPr>
              <w:rPr>
                <w:rFonts w:ascii="宋体"/>
              </w:rPr>
            </w:pPr>
          </w:p>
        </w:tc>
        <w:tc>
          <w:tcPr>
            <w:tcW w:w="5" w:type="pct"/>
            <w:shd w:val="clear" w:color="auto" w:fill="auto"/>
            <w:vAlign w:val="bottom"/>
          </w:tcPr>
          <w:p w14:paraId="19502E2F" w14:textId="77777777" w:rsidR="00BF3A3A" w:rsidRDefault="00BF3A3A">
            <w:pPr>
              <w:rPr>
                <w:rFonts w:ascii="宋体"/>
              </w:rPr>
            </w:pPr>
          </w:p>
        </w:tc>
        <w:tc>
          <w:tcPr>
            <w:tcW w:w="50" w:type="pct"/>
            <w:shd w:val="clear" w:color="auto" w:fill="auto"/>
            <w:vAlign w:val="bottom"/>
          </w:tcPr>
          <w:p w14:paraId="19502E30" w14:textId="77777777" w:rsidR="00BF3A3A" w:rsidRDefault="00BF3A3A">
            <w:pPr>
              <w:rPr>
                <w:rFonts w:ascii="宋体"/>
              </w:rPr>
            </w:pPr>
          </w:p>
        </w:tc>
        <w:tc>
          <w:tcPr>
            <w:tcW w:w="529" w:type="pct"/>
            <w:shd w:val="clear" w:color="auto" w:fill="auto"/>
            <w:vAlign w:val="bottom"/>
          </w:tcPr>
          <w:p w14:paraId="19502E31" w14:textId="77777777" w:rsidR="00BF3A3A" w:rsidRDefault="00BF3A3A">
            <w:pPr>
              <w:rPr>
                <w:rFonts w:ascii="宋体"/>
              </w:rPr>
            </w:pPr>
          </w:p>
        </w:tc>
        <w:tc>
          <w:tcPr>
            <w:tcW w:w="5" w:type="pct"/>
            <w:shd w:val="clear" w:color="auto" w:fill="auto"/>
            <w:vAlign w:val="bottom"/>
          </w:tcPr>
          <w:p w14:paraId="19502E32" w14:textId="77777777" w:rsidR="00BF3A3A" w:rsidRDefault="00BF3A3A">
            <w:pPr>
              <w:rPr>
                <w:rFonts w:ascii="宋体"/>
              </w:rPr>
            </w:pPr>
          </w:p>
        </w:tc>
        <w:tc>
          <w:tcPr>
            <w:tcW w:w="5" w:type="pct"/>
            <w:shd w:val="clear" w:color="auto" w:fill="auto"/>
            <w:vAlign w:val="bottom"/>
          </w:tcPr>
          <w:p w14:paraId="19502E33" w14:textId="77777777" w:rsidR="00BF3A3A" w:rsidRDefault="00BF3A3A">
            <w:pPr>
              <w:rPr>
                <w:rFonts w:ascii="宋体"/>
              </w:rPr>
            </w:pPr>
          </w:p>
        </w:tc>
        <w:tc>
          <w:tcPr>
            <w:tcW w:w="26" w:type="pct"/>
            <w:shd w:val="clear" w:color="auto" w:fill="auto"/>
            <w:vAlign w:val="bottom"/>
          </w:tcPr>
          <w:p w14:paraId="19502E34" w14:textId="77777777" w:rsidR="00BF3A3A" w:rsidRDefault="00BF3A3A">
            <w:pPr>
              <w:rPr>
                <w:rFonts w:ascii="宋体"/>
              </w:rPr>
            </w:pPr>
          </w:p>
        </w:tc>
        <w:tc>
          <w:tcPr>
            <w:tcW w:w="5" w:type="pct"/>
            <w:shd w:val="clear" w:color="auto" w:fill="auto"/>
            <w:vAlign w:val="bottom"/>
          </w:tcPr>
          <w:p w14:paraId="19502E35" w14:textId="77777777" w:rsidR="00BF3A3A" w:rsidRDefault="00BF3A3A">
            <w:pPr>
              <w:rPr>
                <w:rFonts w:ascii="宋体"/>
              </w:rPr>
            </w:pPr>
          </w:p>
        </w:tc>
        <w:tc>
          <w:tcPr>
            <w:tcW w:w="50" w:type="pct"/>
            <w:shd w:val="clear" w:color="auto" w:fill="auto"/>
            <w:vAlign w:val="bottom"/>
          </w:tcPr>
          <w:p w14:paraId="19502E36" w14:textId="77777777" w:rsidR="00BF3A3A" w:rsidRDefault="00BF3A3A">
            <w:pPr>
              <w:rPr>
                <w:rFonts w:ascii="宋体"/>
              </w:rPr>
            </w:pPr>
          </w:p>
        </w:tc>
        <w:tc>
          <w:tcPr>
            <w:tcW w:w="529" w:type="pct"/>
            <w:shd w:val="clear" w:color="auto" w:fill="auto"/>
            <w:vAlign w:val="bottom"/>
          </w:tcPr>
          <w:p w14:paraId="19502E37" w14:textId="77777777" w:rsidR="00BF3A3A" w:rsidRDefault="00BF3A3A">
            <w:pPr>
              <w:rPr>
                <w:rFonts w:ascii="宋体"/>
              </w:rPr>
            </w:pPr>
          </w:p>
        </w:tc>
        <w:tc>
          <w:tcPr>
            <w:tcW w:w="5" w:type="pct"/>
            <w:shd w:val="clear" w:color="auto" w:fill="auto"/>
            <w:vAlign w:val="bottom"/>
          </w:tcPr>
          <w:p w14:paraId="19502E38" w14:textId="77777777" w:rsidR="00BF3A3A" w:rsidRDefault="00BF3A3A">
            <w:pPr>
              <w:rPr>
                <w:rFonts w:ascii="宋体"/>
              </w:rPr>
            </w:pPr>
          </w:p>
        </w:tc>
        <w:tc>
          <w:tcPr>
            <w:tcW w:w="5" w:type="pct"/>
            <w:shd w:val="clear" w:color="auto" w:fill="auto"/>
            <w:vAlign w:val="bottom"/>
          </w:tcPr>
          <w:p w14:paraId="19502E39" w14:textId="77777777" w:rsidR="00BF3A3A" w:rsidRDefault="00BF3A3A">
            <w:pPr>
              <w:rPr>
                <w:rFonts w:ascii="宋体"/>
              </w:rPr>
            </w:pPr>
          </w:p>
        </w:tc>
        <w:tc>
          <w:tcPr>
            <w:tcW w:w="19" w:type="pct"/>
            <w:shd w:val="clear" w:color="auto" w:fill="auto"/>
            <w:vAlign w:val="bottom"/>
          </w:tcPr>
          <w:p w14:paraId="19502E3A" w14:textId="77777777" w:rsidR="00BF3A3A" w:rsidRDefault="00BF3A3A">
            <w:pPr>
              <w:rPr>
                <w:rFonts w:ascii="宋体"/>
              </w:rPr>
            </w:pPr>
          </w:p>
        </w:tc>
        <w:tc>
          <w:tcPr>
            <w:tcW w:w="5" w:type="pct"/>
            <w:shd w:val="clear" w:color="auto" w:fill="auto"/>
            <w:vAlign w:val="bottom"/>
          </w:tcPr>
          <w:p w14:paraId="19502E3B" w14:textId="77777777" w:rsidR="00BF3A3A" w:rsidRDefault="00BF3A3A">
            <w:pPr>
              <w:rPr>
                <w:rFonts w:ascii="宋体"/>
              </w:rPr>
            </w:pPr>
          </w:p>
        </w:tc>
        <w:tc>
          <w:tcPr>
            <w:tcW w:w="50" w:type="pct"/>
            <w:shd w:val="clear" w:color="auto" w:fill="auto"/>
            <w:vAlign w:val="bottom"/>
          </w:tcPr>
          <w:p w14:paraId="19502E3C" w14:textId="77777777" w:rsidR="00BF3A3A" w:rsidRDefault="00BF3A3A">
            <w:pPr>
              <w:rPr>
                <w:rFonts w:ascii="宋体"/>
              </w:rPr>
            </w:pPr>
          </w:p>
        </w:tc>
        <w:tc>
          <w:tcPr>
            <w:tcW w:w="529" w:type="pct"/>
            <w:shd w:val="clear" w:color="auto" w:fill="auto"/>
            <w:vAlign w:val="bottom"/>
          </w:tcPr>
          <w:p w14:paraId="19502E3D" w14:textId="77777777" w:rsidR="00BF3A3A" w:rsidRDefault="00BF3A3A">
            <w:pPr>
              <w:rPr>
                <w:rFonts w:ascii="宋体"/>
              </w:rPr>
            </w:pPr>
          </w:p>
        </w:tc>
        <w:tc>
          <w:tcPr>
            <w:tcW w:w="5" w:type="pct"/>
            <w:shd w:val="clear" w:color="auto" w:fill="auto"/>
            <w:vAlign w:val="bottom"/>
          </w:tcPr>
          <w:p w14:paraId="19502E3E" w14:textId="77777777" w:rsidR="00BF3A3A" w:rsidRDefault="00BF3A3A">
            <w:pPr>
              <w:rPr>
                <w:rFonts w:ascii="宋体"/>
              </w:rPr>
            </w:pPr>
          </w:p>
        </w:tc>
        <w:tc>
          <w:tcPr>
            <w:tcW w:w="5" w:type="pct"/>
            <w:shd w:val="clear" w:color="auto" w:fill="auto"/>
            <w:vAlign w:val="bottom"/>
          </w:tcPr>
          <w:p w14:paraId="19502E3F" w14:textId="77777777" w:rsidR="00BF3A3A" w:rsidRDefault="00BF3A3A">
            <w:pPr>
              <w:rPr>
                <w:rFonts w:ascii="宋体"/>
              </w:rPr>
            </w:pPr>
          </w:p>
        </w:tc>
        <w:tc>
          <w:tcPr>
            <w:tcW w:w="19" w:type="pct"/>
            <w:shd w:val="clear" w:color="auto" w:fill="auto"/>
            <w:vAlign w:val="bottom"/>
          </w:tcPr>
          <w:p w14:paraId="19502E40" w14:textId="77777777" w:rsidR="00BF3A3A" w:rsidRDefault="00BF3A3A">
            <w:pPr>
              <w:rPr>
                <w:rFonts w:ascii="宋体"/>
              </w:rPr>
            </w:pPr>
          </w:p>
        </w:tc>
        <w:tc>
          <w:tcPr>
            <w:tcW w:w="5" w:type="pct"/>
            <w:shd w:val="clear" w:color="auto" w:fill="auto"/>
            <w:vAlign w:val="bottom"/>
          </w:tcPr>
          <w:p w14:paraId="19502E41" w14:textId="77777777" w:rsidR="00BF3A3A" w:rsidRDefault="00BF3A3A">
            <w:pPr>
              <w:rPr>
                <w:rFonts w:ascii="宋体"/>
              </w:rPr>
            </w:pPr>
          </w:p>
        </w:tc>
        <w:tc>
          <w:tcPr>
            <w:tcW w:w="50" w:type="pct"/>
            <w:shd w:val="clear" w:color="auto" w:fill="auto"/>
            <w:vAlign w:val="bottom"/>
          </w:tcPr>
          <w:p w14:paraId="19502E42" w14:textId="77777777" w:rsidR="00BF3A3A" w:rsidRDefault="00BF3A3A">
            <w:pPr>
              <w:rPr>
                <w:rFonts w:ascii="宋体"/>
              </w:rPr>
            </w:pPr>
          </w:p>
        </w:tc>
        <w:tc>
          <w:tcPr>
            <w:tcW w:w="530" w:type="pct"/>
            <w:shd w:val="clear" w:color="auto" w:fill="auto"/>
            <w:vAlign w:val="bottom"/>
          </w:tcPr>
          <w:p w14:paraId="19502E43" w14:textId="77777777" w:rsidR="00BF3A3A" w:rsidRDefault="00BF3A3A">
            <w:pPr>
              <w:rPr>
                <w:rFonts w:ascii="宋体"/>
              </w:rPr>
            </w:pPr>
          </w:p>
        </w:tc>
        <w:tc>
          <w:tcPr>
            <w:tcW w:w="5" w:type="pct"/>
            <w:shd w:val="clear" w:color="auto" w:fill="auto"/>
            <w:vAlign w:val="bottom"/>
          </w:tcPr>
          <w:p w14:paraId="19502E44" w14:textId="77777777" w:rsidR="00BF3A3A" w:rsidRDefault="00BF3A3A">
            <w:pPr>
              <w:rPr>
                <w:rFonts w:ascii="宋体"/>
              </w:rPr>
            </w:pPr>
          </w:p>
        </w:tc>
      </w:tr>
      <w:tr w:rsidR="00BF3A3A" w14:paraId="19502E48" w14:textId="77777777">
        <w:tc>
          <w:tcPr>
            <w:tcW w:w="0" w:type="auto"/>
            <w:gridSpan w:val="3"/>
            <w:shd w:val="clear" w:color="auto" w:fill="auto"/>
            <w:tcMar>
              <w:top w:w="0" w:type="dxa"/>
              <w:left w:w="20" w:type="dxa"/>
              <w:bottom w:w="0" w:type="dxa"/>
              <w:right w:w="20" w:type="dxa"/>
            </w:tcMar>
            <w:vAlign w:val="bottom"/>
          </w:tcPr>
          <w:p w14:paraId="19502E46" w14:textId="77777777" w:rsidR="00BF3A3A" w:rsidRDefault="00BF3A3A">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19502E47" w14:textId="77777777" w:rsidR="00BF3A3A" w:rsidRDefault="00A76802">
            <w:pPr>
              <w:jc w:val="center"/>
              <w:textAlignment w:val="bottom"/>
            </w:pPr>
            <w:r>
              <w:rPr>
                <w:rFonts w:ascii="sans-serif" w:eastAsia="sans-serif" w:hAnsi="sans-serif" w:cs="sans-serif"/>
                <w:b/>
                <w:bCs/>
                <w:color w:val="000000"/>
                <w:sz w:val="20"/>
                <w:szCs w:val="20"/>
              </w:rPr>
              <w:t>January 30, 2022</w:t>
            </w:r>
          </w:p>
        </w:tc>
      </w:tr>
      <w:tr w:rsidR="00BF3A3A" w14:paraId="19502E4F" w14:textId="77777777">
        <w:tc>
          <w:tcPr>
            <w:tcW w:w="0" w:type="auto"/>
            <w:gridSpan w:val="3"/>
            <w:shd w:val="clear" w:color="auto" w:fill="auto"/>
            <w:tcMar>
              <w:top w:w="40" w:type="dxa"/>
              <w:left w:w="20" w:type="dxa"/>
              <w:bottom w:w="40" w:type="dxa"/>
              <w:right w:w="20" w:type="dxa"/>
            </w:tcMar>
            <w:vAlign w:val="bottom"/>
          </w:tcPr>
          <w:p w14:paraId="19502E49" w14:textId="77777777" w:rsidR="00BF3A3A" w:rsidRDefault="00A76802">
            <w:pPr>
              <w:textAlignment w:val="bottom"/>
            </w:pPr>
            <w:r>
              <w:rPr>
                <w:rFonts w:ascii="sans-serif" w:eastAsia="sans-serif" w:hAnsi="sans-serif" w:cs="sans-serif"/>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9502E4A" w14:textId="77777777" w:rsidR="00BF3A3A" w:rsidRDefault="00A76802">
            <w:pPr>
              <w:jc w:val="center"/>
              <w:textAlignment w:val="bottom"/>
            </w:pPr>
            <w:r>
              <w:rPr>
                <w:rFonts w:ascii="sans-serif" w:eastAsia="sans-serif" w:hAnsi="sans-serif" w:cs="sans-serif"/>
                <w:b/>
                <w:bCs/>
                <w:color w:val="000000"/>
                <w:sz w:val="20"/>
                <w:szCs w:val="20"/>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E4B" w14:textId="77777777" w:rsidR="00BF3A3A" w:rsidRDefault="00BF3A3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9502E4C" w14:textId="77777777" w:rsidR="00BF3A3A" w:rsidRDefault="00A76802">
            <w:pPr>
              <w:jc w:val="center"/>
              <w:textAlignment w:val="bottom"/>
            </w:pPr>
            <w:r>
              <w:rPr>
                <w:rFonts w:ascii="sans-serif" w:eastAsia="sans-serif" w:hAnsi="sans-serif" w:cs="sans-serif"/>
                <w:b/>
                <w:bCs/>
                <w:color w:val="000000"/>
                <w:sz w:val="20"/>
                <w:szCs w:val="20"/>
              </w:rPr>
              <w:t>12 Months or Greater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E4D" w14:textId="77777777" w:rsidR="00BF3A3A" w:rsidRDefault="00BF3A3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9502E4E" w14:textId="77777777" w:rsidR="00BF3A3A" w:rsidRDefault="00A76802">
            <w:pPr>
              <w:jc w:val="center"/>
              <w:textAlignment w:val="bottom"/>
            </w:pPr>
            <w:r>
              <w:rPr>
                <w:rFonts w:ascii="sans-serif" w:eastAsia="sans-serif" w:hAnsi="sans-serif" w:cs="sans-serif"/>
                <w:b/>
                <w:bCs/>
                <w:color w:val="000000"/>
                <w:sz w:val="20"/>
                <w:szCs w:val="20"/>
              </w:rPr>
              <w:t>Total</w:t>
            </w:r>
          </w:p>
        </w:tc>
      </w:tr>
      <w:tr w:rsidR="00BF3A3A" w14:paraId="19502E5C" w14:textId="77777777">
        <w:tc>
          <w:tcPr>
            <w:tcW w:w="0" w:type="auto"/>
            <w:gridSpan w:val="3"/>
            <w:shd w:val="clear" w:color="auto" w:fill="auto"/>
            <w:tcMar>
              <w:top w:w="40" w:type="dxa"/>
              <w:left w:w="20" w:type="dxa"/>
              <w:bottom w:w="40" w:type="dxa"/>
              <w:right w:w="20" w:type="dxa"/>
            </w:tcMar>
            <w:vAlign w:val="bottom"/>
          </w:tcPr>
          <w:p w14:paraId="19502E50"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E51" w14:textId="77777777" w:rsidR="00BF3A3A" w:rsidRDefault="00A76802">
            <w:pPr>
              <w:jc w:val="center"/>
              <w:textAlignment w:val="bottom"/>
            </w:pPr>
            <w:r>
              <w:rPr>
                <w:rFonts w:ascii="sans-serif" w:eastAsia="sans-serif" w:hAnsi="sans-serif" w:cs="sans-serif"/>
                <w:b/>
                <w:bCs/>
                <w:color w:val="000000"/>
                <w:sz w:val="20"/>
                <w:szCs w:val="20"/>
              </w:rPr>
              <w:t>Estimated 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E52"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E53" w14:textId="77777777" w:rsidR="00BF3A3A" w:rsidRDefault="00A76802">
            <w:pPr>
              <w:jc w:val="center"/>
              <w:textAlignment w:val="bottom"/>
            </w:pPr>
            <w:r>
              <w:rPr>
                <w:rFonts w:ascii="sans-serif" w:eastAsia="sans-serif" w:hAnsi="sans-serif" w:cs="sans-serif"/>
                <w:b/>
                <w:bCs/>
                <w:color w:val="000000"/>
                <w:sz w:val="20"/>
                <w:szCs w:val="20"/>
              </w:rPr>
              <w:t xml:space="preserve">Gross </w:t>
            </w:r>
            <w:r>
              <w:rPr>
                <w:rFonts w:ascii="sans-serif" w:eastAsia="sans-serif" w:hAnsi="sans-serif" w:cs="sans-serif"/>
                <w:b/>
                <w:bCs/>
                <w:color w:val="000000"/>
                <w:sz w:val="20"/>
                <w:szCs w:val="20"/>
              </w:rPr>
              <w:t>Unrealized Loss</w:t>
            </w:r>
          </w:p>
        </w:tc>
        <w:tc>
          <w:tcPr>
            <w:tcW w:w="0" w:type="auto"/>
            <w:gridSpan w:val="3"/>
            <w:shd w:val="clear" w:color="auto" w:fill="auto"/>
            <w:tcMar>
              <w:top w:w="0" w:type="dxa"/>
              <w:left w:w="20" w:type="dxa"/>
              <w:bottom w:w="0" w:type="dxa"/>
              <w:right w:w="20" w:type="dxa"/>
            </w:tcMar>
            <w:vAlign w:val="bottom"/>
          </w:tcPr>
          <w:p w14:paraId="19502E54"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E55" w14:textId="77777777" w:rsidR="00BF3A3A" w:rsidRDefault="00A76802">
            <w:pPr>
              <w:jc w:val="center"/>
              <w:textAlignment w:val="bottom"/>
            </w:pPr>
            <w:r>
              <w:rPr>
                <w:rFonts w:ascii="sans-serif" w:eastAsia="sans-serif" w:hAnsi="sans-serif" w:cs="sans-serif"/>
                <w:b/>
                <w:bCs/>
                <w:color w:val="000000"/>
                <w:sz w:val="20"/>
                <w:szCs w:val="20"/>
              </w:rPr>
              <w:t>Estimated 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E56"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E57" w14:textId="77777777" w:rsidR="00BF3A3A" w:rsidRDefault="00A76802">
            <w:pPr>
              <w:jc w:val="center"/>
              <w:textAlignment w:val="bottom"/>
            </w:pPr>
            <w:r>
              <w:rPr>
                <w:rFonts w:ascii="sans-serif" w:eastAsia="sans-serif" w:hAnsi="sans-serif" w:cs="sans-serif"/>
                <w:b/>
                <w:bCs/>
                <w:color w:val="000000"/>
                <w:sz w:val="20"/>
                <w:szCs w:val="20"/>
              </w:rPr>
              <w:t>Gross Unrealized Loss</w:t>
            </w:r>
          </w:p>
        </w:tc>
        <w:tc>
          <w:tcPr>
            <w:tcW w:w="0" w:type="auto"/>
            <w:gridSpan w:val="3"/>
            <w:shd w:val="clear" w:color="auto" w:fill="auto"/>
            <w:tcMar>
              <w:top w:w="0" w:type="dxa"/>
              <w:left w:w="20" w:type="dxa"/>
              <w:bottom w:w="0" w:type="dxa"/>
              <w:right w:w="20" w:type="dxa"/>
            </w:tcMar>
            <w:vAlign w:val="bottom"/>
          </w:tcPr>
          <w:p w14:paraId="19502E58"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E59" w14:textId="77777777" w:rsidR="00BF3A3A" w:rsidRDefault="00A76802">
            <w:pPr>
              <w:jc w:val="center"/>
              <w:textAlignment w:val="bottom"/>
            </w:pPr>
            <w:r>
              <w:rPr>
                <w:rFonts w:ascii="sans-serif" w:eastAsia="sans-serif" w:hAnsi="sans-serif" w:cs="sans-serif"/>
                <w:b/>
                <w:bCs/>
                <w:color w:val="000000"/>
                <w:sz w:val="20"/>
                <w:szCs w:val="20"/>
              </w:rPr>
              <w:t>Estimated 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E5A"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E5B" w14:textId="77777777" w:rsidR="00BF3A3A" w:rsidRDefault="00A76802">
            <w:pPr>
              <w:jc w:val="center"/>
              <w:textAlignment w:val="bottom"/>
            </w:pPr>
            <w:r>
              <w:rPr>
                <w:rFonts w:ascii="sans-serif" w:eastAsia="sans-serif" w:hAnsi="sans-serif" w:cs="sans-serif"/>
                <w:b/>
                <w:bCs/>
                <w:color w:val="000000"/>
                <w:sz w:val="20"/>
                <w:szCs w:val="20"/>
              </w:rPr>
              <w:t>Gross Unrealized Loss</w:t>
            </w:r>
          </w:p>
        </w:tc>
      </w:tr>
      <w:tr w:rsidR="00BF3A3A" w14:paraId="19502E69" w14:textId="77777777">
        <w:trPr>
          <w:trHeight w:val="60"/>
        </w:trPr>
        <w:tc>
          <w:tcPr>
            <w:tcW w:w="0" w:type="auto"/>
            <w:gridSpan w:val="3"/>
            <w:shd w:val="clear" w:color="auto" w:fill="auto"/>
            <w:tcMar>
              <w:top w:w="0" w:type="dxa"/>
              <w:left w:w="20" w:type="dxa"/>
              <w:bottom w:w="0" w:type="dxa"/>
              <w:right w:w="20" w:type="dxa"/>
            </w:tcMar>
            <w:vAlign w:val="bottom"/>
          </w:tcPr>
          <w:p w14:paraId="19502E5D"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E5E"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E5F"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E60"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E61"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E62"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E63"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E64"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E65"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E66"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E67"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E68" w14:textId="77777777" w:rsidR="00BF3A3A" w:rsidRDefault="00BF3A3A">
            <w:pPr>
              <w:rPr>
                <w:rFonts w:ascii="宋体"/>
              </w:rPr>
            </w:pPr>
          </w:p>
        </w:tc>
      </w:tr>
      <w:tr w:rsidR="00BF3A3A" w14:paraId="19502E6D" w14:textId="77777777">
        <w:tc>
          <w:tcPr>
            <w:tcW w:w="0" w:type="auto"/>
            <w:gridSpan w:val="3"/>
            <w:shd w:val="clear" w:color="auto" w:fill="auto"/>
            <w:tcMar>
              <w:top w:w="40" w:type="dxa"/>
              <w:left w:w="20" w:type="dxa"/>
              <w:bottom w:w="40" w:type="dxa"/>
              <w:right w:w="20" w:type="dxa"/>
            </w:tcMar>
            <w:vAlign w:val="bottom"/>
          </w:tcPr>
          <w:p w14:paraId="19502E6A" w14:textId="77777777" w:rsidR="00BF3A3A" w:rsidRDefault="00A76802">
            <w:pPr>
              <w:textAlignment w:val="bottom"/>
            </w:pPr>
            <w:r>
              <w:rPr>
                <w:rFonts w:ascii="sans-serif" w:eastAsia="sans-serif" w:hAnsi="sans-serif" w:cs="sans-serif"/>
                <w:color w:val="000000"/>
                <w:sz w:val="20"/>
                <w:szCs w:val="20"/>
              </w:rPr>
              <w:t> </w:t>
            </w:r>
          </w:p>
        </w:tc>
        <w:tc>
          <w:tcPr>
            <w:tcW w:w="0" w:type="auto"/>
            <w:gridSpan w:val="30"/>
            <w:shd w:val="clear" w:color="auto" w:fill="auto"/>
            <w:tcMar>
              <w:top w:w="40" w:type="dxa"/>
              <w:left w:w="20" w:type="dxa"/>
              <w:bottom w:w="40" w:type="dxa"/>
              <w:right w:w="20" w:type="dxa"/>
            </w:tcMar>
            <w:vAlign w:val="bottom"/>
          </w:tcPr>
          <w:p w14:paraId="19502E6B" w14:textId="77777777" w:rsidR="00BF3A3A" w:rsidRDefault="00A76802">
            <w:pPr>
              <w:jc w:val="center"/>
              <w:textAlignment w:val="bottom"/>
            </w:pPr>
            <w:r>
              <w:rPr>
                <w:rFonts w:ascii="sans-serif" w:eastAsia="sans-serif" w:hAnsi="sans-serif" w:cs="sans-serif"/>
                <w:i/>
                <w:iCs/>
                <w:color w:val="000000"/>
                <w:sz w:val="20"/>
                <w:szCs w:val="20"/>
              </w:rPr>
              <w:t>(In millions)</w:t>
            </w:r>
          </w:p>
        </w:tc>
        <w:tc>
          <w:tcPr>
            <w:tcW w:w="0" w:type="auto"/>
            <w:gridSpan w:val="3"/>
            <w:shd w:val="clear" w:color="auto" w:fill="auto"/>
            <w:tcMar>
              <w:top w:w="0" w:type="dxa"/>
              <w:left w:w="20" w:type="dxa"/>
              <w:bottom w:w="0" w:type="dxa"/>
              <w:right w:w="20" w:type="dxa"/>
            </w:tcMar>
            <w:vAlign w:val="bottom"/>
          </w:tcPr>
          <w:p w14:paraId="19502E6C" w14:textId="77777777" w:rsidR="00BF3A3A" w:rsidRDefault="00BF3A3A">
            <w:pPr>
              <w:rPr>
                <w:rFonts w:ascii="宋体"/>
              </w:rPr>
            </w:pPr>
          </w:p>
        </w:tc>
      </w:tr>
      <w:tr w:rsidR="00BF3A3A" w14:paraId="19502E86" w14:textId="77777777">
        <w:tc>
          <w:tcPr>
            <w:tcW w:w="0" w:type="auto"/>
            <w:gridSpan w:val="3"/>
            <w:shd w:val="clear" w:color="auto" w:fill="E2EFD9"/>
            <w:tcMar>
              <w:top w:w="40" w:type="dxa"/>
              <w:left w:w="20" w:type="dxa"/>
              <w:bottom w:w="40" w:type="dxa"/>
              <w:right w:w="20" w:type="dxa"/>
            </w:tcMar>
            <w:vAlign w:val="bottom"/>
          </w:tcPr>
          <w:p w14:paraId="19502E6E" w14:textId="77777777" w:rsidR="00BF3A3A" w:rsidRDefault="00A76802">
            <w:pPr>
              <w:textAlignment w:val="bottom"/>
            </w:pPr>
            <w:r>
              <w:rPr>
                <w:rFonts w:ascii="sans-serif" w:eastAsia="sans-serif" w:hAnsi="sans-serif" w:cs="sans-serif"/>
                <w:color w:val="000000"/>
                <w:sz w:val="20"/>
                <w:szCs w:val="20"/>
              </w:rPr>
              <w:t>Debt securities issued by the United States Treasury</w:t>
            </w:r>
          </w:p>
        </w:tc>
        <w:tc>
          <w:tcPr>
            <w:tcW w:w="0" w:type="auto"/>
            <w:shd w:val="clear" w:color="auto" w:fill="E2EFD9"/>
            <w:tcMar>
              <w:top w:w="40" w:type="dxa"/>
              <w:left w:w="20" w:type="dxa"/>
              <w:bottom w:w="40" w:type="dxa"/>
              <w:right w:w="0" w:type="dxa"/>
            </w:tcMar>
            <w:vAlign w:val="bottom"/>
          </w:tcPr>
          <w:p w14:paraId="19502E6F"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E70" w14:textId="77777777" w:rsidR="00BF3A3A" w:rsidRDefault="00A76802">
            <w:pPr>
              <w:jc w:val="right"/>
              <w:textAlignment w:val="bottom"/>
            </w:pPr>
            <w:r>
              <w:rPr>
                <w:rFonts w:ascii="sans-serif" w:eastAsia="sans-serif" w:hAnsi="sans-serif" w:cs="sans-serif"/>
                <w:color w:val="000000"/>
                <w:sz w:val="20"/>
                <w:szCs w:val="20"/>
              </w:rPr>
              <w:t>5,292 </w:t>
            </w:r>
          </w:p>
        </w:tc>
        <w:tc>
          <w:tcPr>
            <w:tcW w:w="0" w:type="auto"/>
            <w:shd w:val="clear" w:color="auto" w:fill="E2EFD9"/>
            <w:tcMar>
              <w:top w:w="40" w:type="dxa"/>
              <w:left w:w="0" w:type="dxa"/>
              <w:bottom w:w="40" w:type="dxa"/>
              <w:right w:w="20" w:type="dxa"/>
            </w:tcMar>
            <w:vAlign w:val="bottom"/>
          </w:tcPr>
          <w:p w14:paraId="19502E71"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E72"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E73"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E74" w14:textId="77777777" w:rsidR="00BF3A3A" w:rsidRDefault="00A76802">
            <w:pPr>
              <w:jc w:val="right"/>
              <w:textAlignment w:val="bottom"/>
            </w:pPr>
            <w:r>
              <w:rPr>
                <w:rFonts w:ascii="sans-serif" w:eastAsia="sans-serif" w:hAnsi="sans-serif" w:cs="sans-serif"/>
                <w:color w:val="000000"/>
                <w:sz w:val="20"/>
                <w:szCs w:val="20"/>
              </w:rPr>
              <w:t>(14)</w:t>
            </w:r>
          </w:p>
        </w:tc>
        <w:tc>
          <w:tcPr>
            <w:tcW w:w="0" w:type="auto"/>
            <w:shd w:val="clear" w:color="auto" w:fill="E2EFD9"/>
            <w:tcMar>
              <w:top w:w="40" w:type="dxa"/>
              <w:left w:w="0" w:type="dxa"/>
              <w:bottom w:w="40" w:type="dxa"/>
              <w:right w:w="20" w:type="dxa"/>
            </w:tcMar>
            <w:vAlign w:val="bottom"/>
          </w:tcPr>
          <w:p w14:paraId="19502E7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E76"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E77"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E78"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2E7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E7A"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E7B"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E7C"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2E7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E7E"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E7F"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E80" w14:textId="77777777" w:rsidR="00BF3A3A" w:rsidRDefault="00A76802">
            <w:pPr>
              <w:jc w:val="right"/>
              <w:textAlignment w:val="bottom"/>
            </w:pPr>
            <w:r>
              <w:rPr>
                <w:rFonts w:ascii="sans-serif" w:eastAsia="sans-serif" w:hAnsi="sans-serif" w:cs="sans-serif"/>
                <w:color w:val="000000"/>
                <w:sz w:val="20"/>
                <w:szCs w:val="20"/>
              </w:rPr>
              <w:t>5,292 </w:t>
            </w:r>
          </w:p>
        </w:tc>
        <w:tc>
          <w:tcPr>
            <w:tcW w:w="0" w:type="auto"/>
            <w:shd w:val="clear" w:color="auto" w:fill="E2EFD9"/>
            <w:tcMar>
              <w:top w:w="40" w:type="dxa"/>
              <w:left w:w="0" w:type="dxa"/>
              <w:bottom w:w="40" w:type="dxa"/>
              <w:right w:w="20" w:type="dxa"/>
            </w:tcMar>
            <w:vAlign w:val="bottom"/>
          </w:tcPr>
          <w:p w14:paraId="19502E81"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E82"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E83"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E84" w14:textId="77777777" w:rsidR="00BF3A3A" w:rsidRDefault="00A76802">
            <w:pPr>
              <w:jc w:val="right"/>
              <w:textAlignment w:val="bottom"/>
            </w:pPr>
            <w:r>
              <w:rPr>
                <w:rFonts w:ascii="sans-serif" w:eastAsia="sans-serif" w:hAnsi="sans-serif" w:cs="sans-serif"/>
                <w:color w:val="000000"/>
                <w:sz w:val="20"/>
                <w:szCs w:val="20"/>
              </w:rPr>
              <w:t>(14)</w:t>
            </w:r>
          </w:p>
        </w:tc>
        <w:tc>
          <w:tcPr>
            <w:tcW w:w="0" w:type="auto"/>
            <w:shd w:val="clear" w:color="auto" w:fill="E2EFD9"/>
            <w:tcMar>
              <w:top w:w="40" w:type="dxa"/>
              <w:left w:w="0" w:type="dxa"/>
              <w:bottom w:w="40" w:type="dxa"/>
              <w:right w:w="20" w:type="dxa"/>
            </w:tcMar>
            <w:vAlign w:val="bottom"/>
          </w:tcPr>
          <w:p w14:paraId="19502E85" w14:textId="77777777" w:rsidR="00BF3A3A" w:rsidRDefault="00BF3A3A">
            <w:pPr>
              <w:jc w:val="right"/>
              <w:rPr>
                <w:rFonts w:ascii="宋体"/>
              </w:rPr>
            </w:pPr>
          </w:p>
        </w:tc>
      </w:tr>
      <w:tr w:rsidR="00BF3A3A" w14:paraId="19502E99" w14:textId="77777777">
        <w:tc>
          <w:tcPr>
            <w:tcW w:w="0" w:type="auto"/>
            <w:gridSpan w:val="3"/>
            <w:shd w:val="clear" w:color="auto" w:fill="FFFFFF"/>
            <w:tcMar>
              <w:top w:w="40" w:type="dxa"/>
              <w:left w:w="20" w:type="dxa"/>
              <w:bottom w:w="40" w:type="dxa"/>
              <w:right w:w="20" w:type="dxa"/>
            </w:tcMar>
            <w:vAlign w:val="bottom"/>
          </w:tcPr>
          <w:p w14:paraId="19502E87" w14:textId="77777777" w:rsidR="00BF3A3A" w:rsidRDefault="00A76802">
            <w:pPr>
              <w:textAlignment w:val="bottom"/>
            </w:pPr>
            <w:r>
              <w:rPr>
                <w:rFonts w:ascii="sans-serif" w:eastAsia="sans-serif" w:hAnsi="sans-serif" w:cs="sans-serif"/>
                <w:color w:val="000000"/>
                <w:sz w:val="20"/>
                <w:szCs w:val="20"/>
              </w:rPr>
              <w:t>Corporate d</w:t>
            </w:r>
            <w:r>
              <w:rPr>
                <w:rFonts w:ascii="sans-serif" w:eastAsia="sans-serif" w:hAnsi="sans-serif" w:cs="sans-serif"/>
                <w:color w:val="000000"/>
                <w:sz w:val="20"/>
                <w:szCs w:val="20"/>
              </w:rPr>
              <w:t>ebt securities</w:t>
            </w:r>
          </w:p>
        </w:tc>
        <w:tc>
          <w:tcPr>
            <w:tcW w:w="0" w:type="auto"/>
            <w:gridSpan w:val="2"/>
            <w:shd w:val="clear" w:color="auto" w:fill="FFFFFF"/>
            <w:tcMar>
              <w:top w:w="40" w:type="dxa"/>
              <w:left w:w="20" w:type="dxa"/>
              <w:bottom w:w="40" w:type="dxa"/>
              <w:right w:w="0" w:type="dxa"/>
            </w:tcMar>
            <w:vAlign w:val="bottom"/>
          </w:tcPr>
          <w:p w14:paraId="19502E88" w14:textId="77777777" w:rsidR="00BF3A3A" w:rsidRDefault="00A76802">
            <w:pPr>
              <w:jc w:val="right"/>
              <w:textAlignment w:val="bottom"/>
            </w:pPr>
            <w:r>
              <w:rPr>
                <w:rFonts w:ascii="sans-serif" w:eastAsia="sans-serif" w:hAnsi="sans-serif" w:cs="sans-serif"/>
                <w:color w:val="000000"/>
                <w:sz w:val="20"/>
                <w:szCs w:val="20"/>
              </w:rPr>
              <w:t>2,445 </w:t>
            </w:r>
          </w:p>
        </w:tc>
        <w:tc>
          <w:tcPr>
            <w:tcW w:w="0" w:type="auto"/>
            <w:shd w:val="clear" w:color="auto" w:fill="FFFFFF"/>
            <w:tcMar>
              <w:top w:w="40" w:type="dxa"/>
              <w:left w:w="0" w:type="dxa"/>
              <w:bottom w:w="40" w:type="dxa"/>
              <w:right w:w="20" w:type="dxa"/>
            </w:tcMar>
            <w:vAlign w:val="bottom"/>
          </w:tcPr>
          <w:p w14:paraId="19502E8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E8A"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E8B" w14:textId="77777777" w:rsidR="00BF3A3A" w:rsidRDefault="00A76802">
            <w:pPr>
              <w:jc w:val="right"/>
              <w:textAlignment w:val="bottom"/>
            </w:pPr>
            <w:r>
              <w:rPr>
                <w:rFonts w:ascii="sans-serif" w:eastAsia="sans-serif" w:hAnsi="sans-serif" w:cs="sans-serif"/>
                <w:color w:val="000000"/>
                <w:sz w:val="20"/>
                <w:szCs w:val="20"/>
              </w:rPr>
              <w:t>(3)</w:t>
            </w:r>
          </w:p>
        </w:tc>
        <w:tc>
          <w:tcPr>
            <w:tcW w:w="0" w:type="auto"/>
            <w:shd w:val="clear" w:color="auto" w:fill="FFFFFF"/>
            <w:tcMar>
              <w:top w:w="40" w:type="dxa"/>
              <w:left w:w="0" w:type="dxa"/>
              <w:bottom w:w="40" w:type="dxa"/>
              <w:right w:w="20" w:type="dxa"/>
            </w:tcMar>
            <w:vAlign w:val="bottom"/>
          </w:tcPr>
          <w:p w14:paraId="19502E8C"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E8D"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E8E" w14:textId="77777777" w:rsidR="00BF3A3A" w:rsidRDefault="00A76802">
            <w:pPr>
              <w:jc w:val="right"/>
              <w:textAlignment w:val="bottom"/>
            </w:pPr>
            <w:r>
              <w:rPr>
                <w:rFonts w:ascii="sans-serif" w:eastAsia="sans-serif" w:hAnsi="sans-serif" w:cs="sans-serif"/>
                <w:color w:val="000000"/>
                <w:sz w:val="20"/>
                <w:szCs w:val="20"/>
              </w:rPr>
              <w:t>19 </w:t>
            </w:r>
          </w:p>
        </w:tc>
        <w:tc>
          <w:tcPr>
            <w:tcW w:w="0" w:type="auto"/>
            <w:shd w:val="clear" w:color="auto" w:fill="FFFFFF"/>
            <w:tcMar>
              <w:top w:w="40" w:type="dxa"/>
              <w:left w:w="0" w:type="dxa"/>
              <w:bottom w:w="40" w:type="dxa"/>
              <w:right w:w="20" w:type="dxa"/>
            </w:tcMar>
            <w:vAlign w:val="bottom"/>
          </w:tcPr>
          <w:p w14:paraId="19502E8F"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E90"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E91"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2E92"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E93"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E94" w14:textId="77777777" w:rsidR="00BF3A3A" w:rsidRDefault="00A76802">
            <w:pPr>
              <w:jc w:val="right"/>
              <w:textAlignment w:val="bottom"/>
            </w:pPr>
            <w:r>
              <w:rPr>
                <w:rFonts w:ascii="sans-serif" w:eastAsia="sans-serif" w:hAnsi="sans-serif" w:cs="sans-serif"/>
                <w:color w:val="000000"/>
                <w:sz w:val="20"/>
                <w:szCs w:val="20"/>
              </w:rPr>
              <w:t>2,464 </w:t>
            </w:r>
          </w:p>
        </w:tc>
        <w:tc>
          <w:tcPr>
            <w:tcW w:w="0" w:type="auto"/>
            <w:shd w:val="clear" w:color="auto" w:fill="FFFFFF"/>
            <w:tcMar>
              <w:top w:w="40" w:type="dxa"/>
              <w:left w:w="0" w:type="dxa"/>
              <w:bottom w:w="40" w:type="dxa"/>
              <w:right w:w="20" w:type="dxa"/>
            </w:tcMar>
            <w:vAlign w:val="bottom"/>
          </w:tcPr>
          <w:p w14:paraId="19502E95"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E96"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E97" w14:textId="77777777" w:rsidR="00BF3A3A" w:rsidRDefault="00A76802">
            <w:pPr>
              <w:jc w:val="right"/>
              <w:textAlignment w:val="bottom"/>
            </w:pPr>
            <w:r>
              <w:rPr>
                <w:rFonts w:ascii="sans-serif" w:eastAsia="sans-serif" w:hAnsi="sans-serif" w:cs="sans-serif"/>
                <w:color w:val="000000"/>
                <w:sz w:val="20"/>
                <w:szCs w:val="20"/>
              </w:rPr>
              <w:t>(3)</w:t>
            </w:r>
          </w:p>
        </w:tc>
        <w:tc>
          <w:tcPr>
            <w:tcW w:w="0" w:type="auto"/>
            <w:shd w:val="clear" w:color="auto" w:fill="FFFFFF"/>
            <w:tcMar>
              <w:top w:w="40" w:type="dxa"/>
              <w:left w:w="0" w:type="dxa"/>
              <w:bottom w:w="40" w:type="dxa"/>
              <w:right w:w="20" w:type="dxa"/>
            </w:tcMar>
            <w:vAlign w:val="bottom"/>
          </w:tcPr>
          <w:p w14:paraId="19502E98" w14:textId="77777777" w:rsidR="00BF3A3A" w:rsidRDefault="00BF3A3A">
            <w:pPr>
              <w:jc w:val="right"/>
              <w:rPr>
                <w:rFonts w:ascii="宋体"/>
              </w:rPr>
            </w:pPr>
          </w:p>
        </w:tc>
      </w:tr>
      <w:tr w:rsidR="00BF3A3A" w14:paraId="19502EA6" w14:textId="77777777">
        <w:trPr>
          <w:hidden/>
        </w:trPr>
        <w:tc>
          <w:tcPr>
            <w:tcW w:w="0" w:type="auto"/>
            <w:gridSpan w:val="3"/>
            <w:shd w:val="clear" w:color="auto" w:fill="auto"/>
            <w:vAlign w:val="bottom"/>
          </w:tcPr>
          <w:p w14:paraId="19502E9A" w14:textId="77777777" w:rsidR="00BF3A3A" w:rsidRDefault="00BF3A3A">
            <w:pPr>
              <w:rPr>
                <w:rFonts w:ascii="宋体"/>
                <w:vanish/>
              </w:rPr>
            </w:pPr>
          </w:p>
        </w:tc>
        <w:tc>
          <w:tcPr>
            <w:tcW w:w="0" w:type="auto"/>
            <w:gridSpan w:val="3"/>
            <w:shd w:val="clear" w:color="auto" w:fill="auto"/>
            <w:vAlign w:val="bottom"/>
          </w:tcPr>
          <w:p w14:paraId="19502E9B" w14:textId="77777777" w:rsidR="00BF3A3A" w:rsidRDefault="00BF3A3A">
            <w:pPr>
              <w:rPr>
                <w:rFonts w:ascii="宋体"/>
                <w:vanish/>
              </w:rPr>
            </w:pPr>
          </w:p>
        </w:tc>
        <w:tc>
          <w:tcPr>
            <w:tcW w:w="0" w:type="auto"/>
            <w:gridSpan w:val="3"/>
            <w:shd w:val="clear" w:color="auto" w:fill="auto"/>
            <w:vAlign w:val="bottom"/>
          </w:tcPr>
          <w:p w14:paraId="19502E9C" w14:textId="77777777" w:rsidR="00BF3A3A" w:rsidRDefault="00BF3A3A">
            <w:pPr>
              <w:rPr>
                <w:rFonts w:ascii="宋体"/>
                <w:vanish/>
              </w:rPr>
            </w:pPr>
          </w:p>
        </w:tc>
        <w:tc>
          <w:tcPr>
            <w:tcW w:w="0" w:type="auto"/>
            <w:gridSpan w:val="3"/>
            <w:shd w:val="clear" w:color="auto" w:fill="auto"/>
            <w:vAlign w:val="bottom"/>
          </w:tcPr>
          <w:p w14:paraId="19502E9D" w14:textId="77777777" w:rsidR="00BF3A3A" w:rsidRDefault="00BF3A3A">
            <w:pPr>
              <w:rPr>
                <w:rFonts w:ascii="宋体"/>
                <w:vanish/>
              </w:rPr>
            </w:pPr>
          </w:p>
        </w:tc>
        <w:tc>
          <w:tcPr>
            <w:tcW w:w="0" w:type="auto"/>
            <w:gridSpan w:val="3"/>
            <w:shd w:val="clear" w:color="auto" w:fill="auto"/>
            <w:vAlign w:val="bottom"/>
          </w:tcPr>
          <w:p w14:paraId="19502E9E" w14:textId="77777777" w:rsidR="00BF3A3A" w:rsidRDefault="00BF3A3A">
            <w:pPr>
              <w:rPr>
                <w:rFonts w:ascii="宋体"/>
                <w:vanish/>
              </w:rPr>
            </w:pPr>
          </w:p>
        </w:tc>
        <w:tc>
          <w:tcPr>
            <w:tcW w:w="0" w:type="auto"/>
            <w:gridSpan w:val="3"/>
            <w:shd w:val="clear" w:color="auto" w:fill="auto"/>
            <w:vAlign w:val="bottom"/>
          </w:tcPr>
          <w:p w14:paraId="19502E9F" w14:textId="77777777" w:rsidR="00BF3A3A" w:rsidRDefault="00BF3A3A">
            <w:pPr>
              <w:rPr>
                <w:rFonts w:ascii="宋体"/>
                <w:vanish/>
              </w:rPr>
            </w:pPr>
          </w:p>
        </w:tc>
        <w:tc>
          <w:tcPr>
            <w:tcW w:w="0" w:type="auto"/>
            <w:gridSpan w:val="3"/>
            <w:shd w:val="clear" w:color="auto" w:fill="auto"/>
            <w:vAlign w:val="bottom"/>
          </w:tcPr>
          <w:p w14:paraId="19502EA0" w14:textId="77777777" w:rsidR="00BF3A3A" w:rsidRDefault="00BF3A3A">
            <w:pPr>
              <w:rPr>
                <w:rFonts w:ascii="宋体"/>
                <w:vanish/>
              </w:rPr>
            </w:pPr>
          </w:p>
        </w:tc>
        <w:tc>
          <w:tcPr>
            <w:tcW w:w="0" w:type="auto"/>
            <w:gridSpan w:val="3"/>
            <w:shd w:val="clear" w:color="auto" w:fill="auto"/>
            <w:vAlign w:val="bottom"/>
          </w:tcPr>
          <w:p w14:paraId="19502EA1" w14:textId="77777777" w:rsidR="00BF3A3A" w:rsidRDefault="00BF3A3A">
            <w:pPr>
              <w:rPr>
                <w:rFonts w:ascii="宋体"/>
                <w:vanish/>
              </w:rPr>
            </w:pPr>
          </w:p>
        </w:tc>
        <w:tc>
          <w:tcPr>
            <w:tcW w:w="0" w:type="auto"/>
            <w:gridSpan w:val="3"/>
            <w:shd w:val="clear" w:color="auto" w:fill="auto"/>
            <w:vAlign w:val="bottom"/>
          </w:tcPr>
          <w:p w14:paraId="19502EA2" w14:textId="77777777" w:rsidR="00BF3A3A" w:rsidRDefault="00BF3A3A">
            <w:pPr>
              <w:rPr>
                <w:rFonts w:ascii="宋体"/>
                <w:vanish/>
              </w:rPr>
            </w:pPr>
          </w:p>
        </w:tc>
        <w:tc>
          <w:tcPr>
            <w:tcW w:w="0" w:type="auto"/>
            <w:gridSpan w:val="3"/>
            <w:shd w:val="clear" w:color="auto" w:fill="auto"/>
            <w:vAlign w:val="bottom"/>
          </w:tcPr>
          <w:p w14:paraId="19502EA3" w14:textId="77777777" w:rsidR="00BF3A3A" w:rsidRDefault="00BF3A3A">
            <w:pPr>
              <w:rPr>
                <w:rFonts w:ascii="宋体"/>
                <w:vanish/>
              </w:rPr>
            </w:pPr>
          </w:p>
        </w:tc>
        <w:tc>
          <w:tcPr>
            <w:tcW w:w="0" w:type="auto"/>
            <w:gridSpan w:val="3"/>
            <w:shd w:val="clear" w:color="auto" w:fill="auto"/>
            <w:vAlign w:val="bottom"/>
          </w:tcPr>
          <w:p w14:paraId="19502EA4" w14:textId="77777777" w:rsidR="00BF3A3A" w:rsidRDefault="00BF3A3A">
            <w:pPr>
              <w:rPr>
                <w:rFonts w:ascii="宋体"/>
                <w:vanish/>
              </w:rPr>
            </w:pPr>
          </w:p>
        </w:tc>
        <w:tc>
          <w:tcPr>
            <w:tcW w:w="0" w:type="auto"/>
            <w:gridSpan w:val="3"/>
            <w:shd w:val="clear" w:color="auto" w:fill="auto"/>
            <w:vAlign w:val="bottom"/>
          </w:tcPr>
          <w:p w14:paraId="19502EA5" w14:textId="77777777" w:rsidR="00BF3A3A" w:rsidRDefault="00BF3A3A">
            <w:pPr>
              <w:rPr>
                <w:rFonts w:ascii="宋体"/>
                <w:vanish/>
              </w:rPr>
            </w:pPr>
          </w:p>
        </w:tc>
      </w:tr>
      <w:tr w:rsidR="00BF3A3A" w14:paraId="19502EBF" w14:textId="77777777">
        <w:tc>
          <w:tcPr>
            <w:tcW w:w="0" w:type="auto"/>
            <w:gridSpan w:val="3"/>
            <w:shd w:val="clear" w:color="auto" w:fill="E2EFD9"/>
            <w:tcMar>
              <w:top w:w="40" w:type="dxa"/>
              <w:left w:w="20" w:type="dxa"/>
              <w:bottom w:w="40" w:type="dxa"/>
              <w:right w:w="20" w:type="dxa"/>
            </w:tcMar>
            <w:vAlign w:val="bottom"/>
          </w:tcPr>
          <w:p w14:paraId="19502EA7" w14:textId="77777777" w:rsidR="00BF3A3A" w:rsidRDefault="00A76802">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EA8"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EA9" w14:textId="77777777" w:rsidR="00BF3A3A" w:rsidRDefault="00A76802">
            <w:pPr>
              <w:jc w:val="right"/>
              <w:textAlignment w:val="bottom"/>
            </w:pPr>
            <w:r>
              <w:rPr>
                <w:rFonts w:ascii="sans-serif" w:eastAsia="sans-serif" w:hAnsi="sans-serif" w:cs="sans-serif"/>
                <w:color w:val="000000"/>
                <w:sz w:val="20"/>
                <w:szCs w:val="20"/>
              </w:rPr>
              <w:t>7,737 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EA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EAB"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EAC"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EAD" w14:textId="77777777" w:rsidR="00BF3A3A" w:rsidRDefault="00A76802">
            <w:pPr>
              <w:jc w:val="right"/>
              <w:textAlignment w:val="bottom"/>
            </w:pPr>
            <w:r>
              <w:rPr>
                <w:rFonts w:ascii="sans-serif" w:eastAsia="sans-serif" w:hAnsi="sans-serif" w:cs="sans-serif"/>
                <w:color w:val="000000"/>
                <w:sz w:val="20"/>
                <w:szCs w:val="20"/>
              </w:rPr>
              <w:t>(17)</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EA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EAF"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EB0"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EB1" w14:textId="77777777" w:rsidR="00BF3A3A" w:rsidRDefault="00A76802">
            <w:pPr>
              <w:jc w:val="right"/>
              <w:textAlignment w:val="bottom"/>
            </w:pPr>
            <w:r>
              <w:rPr>
                <w:rFonts w:ascii="sans-serif" w:eastAsia="sans-serif" w:hAnsi="sans-serif" w:cs="sans-serif"/>
                <w:color w:val="000000"/>
                <w:sz w:val="20"/>
                <w:szCs w:val="20"/>
              </w:rPr>
              <w:t>19 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EB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EB3"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EB4"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EB5" w14:textId="77777777" w:rsidR="00BF3A3A" w:rsidRDefault="00A76802">
            <w:pPr>
              <w:jc w:val="right"/>
              <w:textAlignment w:val="bottom"/>
            </w:pPr>
            <w:r>
              <w:rPr>
                <w:rFonts w:ascii="sans-serif" w:eastAsia="sans-serif" w:hAnsi="sans-serif" w:cs="sans-serif"/>
                <w:color w:val="000000"/>
                <w:sz w:val="20"/>
                <w:szCs w:val="20"/>
              </w:rPr>
              <w:t>—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EB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EB7"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EB8"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EB9" w14:textId="77777777" w:rsidR="00BF3A3A" w:rsidRDefault="00A76802">
            <w:pPr>
              <w:jc w:val="right"/>
              <w:textAlignment w:val="bottom"/>
            </w:pPr>
            <w:r>
              <w:rPr>
                <w:rFonts w:ascii="sans-serif" w:eastAsia="sans-serif" w:hAnsi="sans-serif" w:cs="sans-serif"/>
                <w:color w:val="000000"/>
                <w:sz w:val="20"/>
                <w:szCs w:val="20"/>
              </w:rPr>
              <w:t>7,756 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EB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EBB"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EBC"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EBD" w14:textId="77777777" w:rsidR="00BF3A3A" w:rsidRDefault="00A76802">
            <w:pPr>
              <w:jc w:val="right"/>
              <w:textAlignment w:val="bottom"/>
            </w:pPr>
            <w:r>
              <w:rPr>
                <w:rFonts w:ascii="sans-serif" w:eastAsia="sans-serif" w:hAnsi="sans-serif" w:cs="sans-serif"/>
                <w:color w:val="000000"/>
                <w:sz w:val="20"/>
                <w:szCs w:val="20"/>
              </w:rPr>
              <w:t>(17)</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EBE" w14:textId="77777777" w:rsidR="00BF3A3A" w:rsidRDefault="00BF3A3A">
            <w:pPr>
              <w:jc w:val="right"/>
              <w:rPr>
                <w:rFonts w:ascii="宋体"/>
              </w:rPr>
            </w:pPr>
          </w:p>
        </w:tc>
      </w:tr>
    </w:tbl>
    <w:p w14:paraId="19502EC0" w14:textId="77777777" w:rsidR="00BF3A3A" w:rsidRDefault="00A76802">
      <w:pPr>
        <w:spacing w:after="180"/>
        <w:jc w:val="both"/>
      </w:pPr>
      <w:r>
        <w:rPr>
          <w:rFonts w:ascii="sans-serif" w:eastAsia="sans-serif" w:hAnsi="sans-serif" w:cs="sans-serif"/>
          <w:color w:val="000000"/>
          <w:sz w:val="20"/>
          <w:szCs w:val="20"/>
        </w:rPr>
        <w:t>The gross unrealized losses are related to fixed income securities, driven primarily by changes in interest rates. Net realized gains and unrealized gains and losses were not signific</w:t>
      </w:r>
      <w:r>
        <w:rPr>
          <w:rFonts w:ascii="sans-serif" w:eastAsia="sans-serif" w:hAnsi="sans-serif" w:cs="sans-serif"/>
          <w:color w:val="000000"/>
          <w:sz w:val="20"/>
          <w:szCs w:val="20"/>
        </w:rPr>
        <w:t>ant for all periods presented.</w:t>
      </w:r>
    </w:p>
    <w:p w14:paraId="19502EC1" w14:textId="77777777" w:rsidR="00BF3A3A" w:rsidRDefault="00A76802">
      <w:pPr>
        <w:spacing w:before="180" w:after="180"/>
        <w:jc w:val="both"/>
      </w:pPr>
      <w:r>
        <w:rPr>
          <w:rFonts w:ascii="sans-serif" w:eastAsia="sans-serif" w:hAnsi="sans-serif" w:cs="sans-serif"/>
          <w:color w:val="000000"/>
          <w:sz w:val="20"/>
          <w:szCs w:val="20"/>
        </w:rPr>
        <w:t>The amortized cost and estimated fair value of cash equivalents and marketable securities as of July 31, 2022 and January 30, 2022 are shown below by contractual maturity.</w:t>
      </w:r>
    </w:p>
    <w:tbl>
      <w:tblPr>
        <w:tblW w:w="5000" w:type="pct"/>
        <w:tblCellMar>
          <w:top w:w="15" w:type="dxa"/>
          <w:left w:w="15" w:type="dxa"/>
          <w:bottom w:w="15" w:type="dxa"/>
          <w:right w:w="15" w:type="dxa"/>
        </w:tblCellMar>
        <w:tblLook w:val="04A0" w:firstRow="1" w:lastRow="0" w:firstColumn="1" w:lastColumn="0" w:noHBand="0" w:noVBand="1"/>
      </w:tblPr>
      <w:tblGrid>
        <w:gridCol w:w="37"/>
        <w:gridCol w:w="3563"/>
        <w:gridCol w:w="36"/>
        <w:gridCol w:w="123"/>
        <w:gridCol w:w="950"/>
        <w:gridCol w:w="36"/>
        <w:gridCol w:w="36"/>
        <w:gridCol w:w="36"/>
        <w:gridCol w:w="36"/>
        <w:gridCol w:w="123"/>
        <w:gridCol w:w="890"/>
        <w:gridCol w:w="36"/>
        <w:gridCol w:w="36"/>
        <w:gridCol w:w="36"/>
        <w:gridCol w:w="36"/>
        <w:gridCol w:w="123"/>
        <w:gridCol w:w="950"/>
        <w:gridCol w:w="36"/>
        <w:gridCol w:w="36"/>
        <w:gridCol w:w="36"/>
        <w:gridCol w:w="36"/>
        <w:gridCol w:w="123"/>
        <w:gridCol w:w="950"/>
        <w:gridCol w:w="36"/>
      </w:tblGrid>
      <w:tr w:rsidR="00BF3A3A" w14:paraId="19502EDA" w14:textId="77777777">
        <w:tc>
          <w:tcPr>
            <w:tcW w:w="50" w:type="pct"/>
            <w:shd w:val="clear" w:color="auto" w:fill="auto"/>
            <w:vAlign w:val="bottom"/>
          </w:tcPr>
          <w:p w14:paraId="19502EC2" w14:textId="77777777" w:rsidR="00BF3A3A" w:rsidRDefault="00BF3A3A">
            <w:pPr>
              <w:rPr>
                <w:rFonts w:ascii="宋体"/>
              </w:rPr>
            </w:pPr>
          </w:p>
        </w:tc>
        <w:tc>
          <w:tcPr>
            <w:tcW w:w="2189" w:type="pct"/>
            <w:shd w:val="clear" w:color="auto" w:fill="auto"/>
            <w:vAlign w:val="bottom"/>
          </w:tcPr>
          <w:p w14:paraId="19502EC3" w14:textId="77777777" w:rsidR="00BF3A3A" w:rsidRDefault="00BF3A3A">
            <w:pPr>
              <w:rPr>
                <w:rFonts w:ascii="宋体"/>
              </w:rPr>
            </w:pPr>
          </w:p>
        </w:tc>
        <w:tc>
          <w:tcPr>
            <w:tcW w:w="5" w:type="pct"/>
            <w:shd w:val="clear" w:color="auto" w:fill="auto"/>
            <w:vAlign w:val="bottom"/>
          </w:tcPr>
          <w:p w14:paraId="19502EC4" w14:textId="77777777" w:rsidR="00BF3A3A" w:rsidRDefault="00BF3A3A">
            <w:pPr>
              <w:rPr>
                <w:rFonts w:ascii="宋体"/>
              </w:rPr>
            </w:pPr>
          </w:p>
        </w:tc>
        <w:tc>
          <w:tcPr>
            <w:tcW w:w="50" w:type="pct"/>
            <w:shd w:val="clear" w:color="auto" w:fill="auto"/>
            <w:vAlign w:val="bottom"/>
          </w:tcPr>
          <w:p w14:paraId="19502EC5" w14:textId="77777777" w:rsidR="00BF3A3A" w:rsidRDefault="00BF3A3A">
            <w:pPr>
              <w:rPr>
                <w:rFonts w:ascii="宋体"/>
              </w:rPr>
            </w:pPr>
          </w:p>
        </w:tc>
        <w:tc>
          <w:tcPr>
            <w:tcW w:w="610" w:type="pct"/>
            <w:shd w:val="clear" w:color="auto" w:fill="auto"/>
            <w:vAlign w:val="bottom"/>
          </w:tcPr>
          <w:p w14:paraId="19502EC6" w14:textId="77777777" w:rsidR="00BF3A3A" w:rsidRDefault="00BF3A3A">
            <w:pPr>
              <w:rPr>
                <w:rFonts w:ascii="宋体"/>
              </w:rPr>
            </w:pPr>
          </w:p>
        </w:tc>
        <w:tc>
          <w:tcPr>
            <w:tcW w:w="5" w:type="pct"/>
            <w:shd w:val="clear" w:color="auto" w:fill="auto"/>
            <w:vAlign w:val="bottom"/>
          </w:tcPr>
          <w:p w14:paraId="19502EC7" w14:textId="77777777" w:rsidR="00BF3A3A" w:rsidRDefault="00BF3A3A">
            <w:pPr>
              <w:rPr>
                <w:rFonts w:ascii="宋体"/>
              </w:rPr>
            </w:pPr>
          </w:p>
        </w:tc>
        <w:tc>
          <w:tcPr>
            <w:tcW w:w="5" w:type="pct"/>
            <w:shd w:val="clear" w:color="auto" w:fill="auto"/>
            <w:vAlign w:val="bottom"/>
          </w:tcPr>
          <w:p w14:paraId="19502EC8" w14:textId="77777777" w:rsidR="00BF3A3A" w:rsidRDefault="00BF3A3A">
            <w:pPr>
              <w:rPr>
                <w:rFonts w:ascii="宋体"/>
              </w:rPr>
            </w:pPr>
          </w:p>
        </w:tc>
        <w:tc>
          <w:tcPr>
            <w:tcW w:w="26" w:type="pct"/>
            <w:shd w:val="clear" w:color="auto" w:fill="auto"/>
            <w:vAlign w:val="bottom"/>
          </w:tcPr>
          <w:p w14:paraId="19502EC9" w14:textId="77777777" w:rsidR="00BF3A3A" w:rsidRDefault="00BF3A3A">
            <w:pPr>
              <w:rPr>
                <w:rFonts w:ascii="宋体"/>
              </w:rPr>
            </w:pPr>
          </w:p>
        </w:tc>
        <w:tc>
          <w:tcPr>
            <w:tcW w:w="5" w:type="pct"/>
            <w:shd w:val="clear" w:color="auto" w:fill="auto"/>
            <w:vAlign w:val="bottom"/>
          </w:tcPr>
          <w:p w14:paraId="19502ECA" w14:textId="77777777" w:rsidR="00BF3A3A" w:rsidRDefault="00BF3A3A">
            <w:pPr>
              <w:rPr>
                <w:rFonts w:ascii="宋体"/>
              </w:rPr>
            </w:pPr>
          </w:p>
        </w:tc>
        <w:tc>
          <w:tcPr>
            <w:tcW w:w="50" w:type="pct"/>
            <w:shd w:val="clear" w:color="auto" w:fill="auto"/>
            <w:vAlign w:val="bottom"/>
          </w:tcPr>
          <w:p w14:paraId="19502ECB" w14:textId="77777777" w:rsidR="00BF3A3A" w:rsidRDefault="00BF3A3A">
            <w:pPr>
              <w:rPr>
                <w:rFonts w:ascii="宋体"/>
              </w:rPr>
            </w:pPr>
          </w:p>
        </w:tc>
        <w:tc>
          <w:tcPr>
            <w:tcW w:w="610" w:type="pct"/>
            <w:shd w:val="clear" w:color="auto" w:fill="auto"/>
            <w:vAlign w:val="bottom"/>
          </w:tcPr>
          <w:p w14:paraId="19502ECC" w14:textId="77777777" w:rsidR="00BF3A3A" w:rsidRDefault="00BF3A3A">
            <w:pPr>
              <w:rPr>
                <w:rFonts w:ascii="宋体"/>
              </w:rPr>
            </w:pPr>
          </w:p>
        </w:tc>
        <w:tc>
          <w:tcPr>
            <w:tcW w:w="5" w:type="pct"/>
            <w:shd w:val="clear" w:color="auto" w:fill="auto"/>
            <w:vAlign w:val="bottom"/>
          </w:tcPr>
          <w:p w14:paraId="19502ECD" w14:textId="77777777" w:rsidR="00BF3A3A" w:rsidRDefault="00BF3A3A">
            <w:pPr>
              <w:rPr>
                <w:rFonts w:ascii="宋体"/>
              </w:rPr>
            </w:pPr>
          </w:p>
        </w:tc>
        <w:tc>
          <w:tcPr>
            <w:tcW w:w="5" w:type="pct"/>
            <w:shd w:val="clear" w:color="auto" w:fill="auto"/>
            <w:vAlign w:val="bottom"/>
          </w:tcPr>
          <w:p w14:paraId="19502ECE" w14:textId="77777777" w:rsidR="00BF3A3A" w:rsidRDefault="00BF3A3A">
            <w:pPr>
              <w:rPr>
                <w:rFonts w:ascii="宋体"/>
              </w:rPr>
            </w:pPr>
          </w:p>
        </w:tc>
        <w:tc>
          <w:tcPr>
            <w:tcW w:w="19" w:type="pct"/>
            <w:shd w:val="clear" w:color="auto" w:fill="auto"/>
            <w:vAlign w:val="bottom"/>
          </w:tcPr>
          <w:p w14:paraId="19502ECF" w14:textId="77777777" w:rsidR="00BF3A3A" w:rsidRDefault="00BF3A3A">
            <w:pPr>
              <w:rPr>
                <w:rFonts w:ascii="宋体"/>
              </w:rPr>
            </w:pPr>
          </w:p>
        </w:tc>
        <w:tc>
          <w:tcPr>
            <w:tcW w:w="5" w:type="pct"/>
            <w:shd w:val="clear" w:color="auto" w:fill="auto"/>
            <w:vAlign w:val="bottom"/>
          </w:tcPr>
          <w:p w14:paraId="19502ED0" w14:textId="77777777" w:rsidR="00BF3A3A" w:rsidRDefault="00BF3A3A">
            <w:pPr>
              <w:rPr>
                <w:rFonts w:ascii="宋体"/>
              </w:rPr>
            </w:pPr>
          </w:p>
        </w:tc>
        <w:tc>
          <w:tcPr>
            <w:tcW w:w="50" w:type="pct"/>
            <w:shd w:val="clear" w:color="auto" w:fill="auto"/>
            <w:vAlign w:val="bottom"/>
          </w:tcPr>
          <w:p w14:paraId="19502ED1" w14:textId="77777777" w:rsidR="00BF3A3A" w:rsidRDefault="00BF3A3A">
            <w:pPr>
              <w:rPr>
                <w:rFonts w:ascii="宋体"/>
              </w:rPr>
            </w:pPr>
          </w:p>
        </w:tc>
        <w:tc>
          <w:tcPr>
            <w:tcW w:w="610" w:type="pct"/>
            <w:shd w:val="clear" w:color="auto" w:fill="auto"/>
            <w:vAlign w:val="bottom"/>
          </w:tcPr>
          <w:p w14:paraId="19502ED2" w14:textId="77777777" w:rsidR="00BF3A3A" w:rsidRDefault="00BF3A3A">
            <w:pPr>
              <w:rPr>
                <w:rFonts w:ascii="宋体"/>
              </w:rPr>
            </w:pPr>
          </w:p>
        </w:tc>
        <w:tc>
          <w:tcPr>
            <w:tcW w:w="5" w:type="pct"/>
            <w:shd w:val="clear" w:color="auto" w:fill="auto"/>
            <w:vAlign w:val="bottom"/>
          </w:tcPr>
          <w:p w14:paraId="19502ED3" w14:textId="77777777" w:rsidR="00BF3A3A" w:rsidRDefault="00BF3A3A">
            <w:pPr>
              <w:rPr>
                <w:rFonts w:ascii="宋体"/>
              </w:rPr>
            </w:pPr>
          </w:p>
        </w:tc>
        <w:tc>
          <w:tcPr>
            <w:tcW w:w="5" w:type="pct"/>
            <w:shd w:val="clear" w:color="auto" w:fill="auto"/>
            <w:vAlign w:val="bottom"/>
          </w:tcPr>
          <w:p w14:paraId="19502ED4" w14:textId="77777777" w:rsidR="00BF3A3A" w:rsidRDefault="00BF3A3A">
            <w:pPr>
              <w:rPr>
                <w:rFonts w:ascii="宋体"/>
              </w:rPr>
            </w:pPr>
          </w:p>
        </w:tc>
        <w:tc>
          <w:tcPr>
            <w:tcW w:w="19" w:type="pct"/>
            <w:shd w:val="clear" w:color="auto" w:fill="auto"/>
            <w:vAlign w:val="bottom"/>
          </w:tcPr>
          <w:p w14:paraId="19502ED5" w14:textId="77777777" w:rsidR="00BF3A3A" w:rsidRDefault="00BF3A3A">
            <w:pPr>
              <w:rPr>
                <w:rFonts w:ascii="宋体"/>
              </w:rPr>
            </w:pPr>
          </w:p>
        </w:tc>
        <w:tc>
          <w:tcPr>
            <w:tcW w:w="5" w:type="pct"/>
            <w:shd w:val="clear" w:color="auto" w:fill="auto"/>
            <w:vAlign w:val="bottom"/>
          </w:tcPr>
          <w:p w14:paraId="19502ED6" w14:textId="77777777" w:rsidR="00BF3A3A" w:rsidRDefault="00BF3A3A">
            <w:pPr>
              <w:rPr>
                <w:rFonts w:ascii="宋体"/>
              </w:rPr>
            </w:pPr>
          </w:p>
        </w:tc>
        <w:tc>
          <w:tcPr>
            <w:tcW w:w="50" w:type="pct"/>
            <w:shd w:val="clear" w:color="auto" w:fill="auto"/>
            <w:vAlign w:val="bottom"/>
          </w:tcPr>
          <w:p w14:paraId="19502ED7" w14:textId="77777777" w:rsidR="00BF3A3A" w:rsidRDefault="00BF3A3A">
            <w:pPr>
              <w:rPr>
                <w:rFonts w:ascii="宋体"/>
              </w:rPr>
            </w:pPr>
          </w:p>
        </w:tc>
        <w:tc>
          <w:tcPr>
            <w:tcW w:w="610" w:type="pct"/>
            <w:shd w:val="clear" w:color="auto" w:fill="auto"/>
            <w:vAlign w:val="bottom"/>
          </w:tcPr>
          <w:p w14:paraId="19502ED8" w14:textId="77777777" w:rsidR="00BF3A3A" w:rsidRDefault="00BF3A3A">
            <w:pPr>
              <w:rPr>
                <w:rFonts w:ascii="宋体"/>
              </w:rPr>
            </w:pPr>
          </w:p>
        </w:tc>
        <w:tc>
          <w:tcPr>
            <w:tcW w:w="5" w:type="pct"/>
            <w:shd w:val="clear" w:color="auto" w:fill="auto"/>
            <w:vAlign w:val="bottom"/>
          </w:tcPr>
          <w:p w14:paraId="19502ED9" w14:textId="77777777" w:rsidR="00BF3A3A" w:rsidRDefault="00BF3A3A">
            <w:pPr>
              <w:rPr>
                <w:rFonts w:ascii="宋体"/>
              </w:rPr>
            </w:pPr>
          </w:p>
        </w:tc>
      </w:tr>
      <w:tr w:rsidR="00BF3A3A" w14:paraId="19502EDF" w14:textId="77777777">
        <w:tc>
          <w:tcPr>
            <w:tcW w:w="0" w:type="auto"/>
            <w:gridSpan w:val="3"/>
            <w:shd w:val="clear" w:color="auto" w:fill="auto"/>
            <w:tcMar>
              <w:top w:w="0" w:type="dxa"/>
              <w:left w:w="20" w:type="dxa"/>
              <w:bottom w:w="0" w:type="dxa"/>
              <w:right w:w="20" w:type="dxa"/>
            </w:tcMar>
            <w:vAlign w:val="bottom"/>
          </w:tcPr>
          <w:p w14:paraId="19502EDB" w14:textId="77777777" w:rsidR="00BF3A3A" w:rsidRDefault="00BF3A3A">
            <w:pPr>
              <w:rPr>
                <w:rFonts w:ascii="宋体"/>
              </w:rPr>
            </w:pPr>
          </w:p>
        </w:tc>
        <w:tc>
          <w:tcPr>
            <w:tcW w:w="0" w:type="auto"/>
            <w:gridSpan w:val="9"/>
            <w:shd w:val="clear" w:color="auto" w:fill="auto"/>
            <w:tcMar>
              <w:top w:w="40" w:type="dxa"/>
              <w:left w:w="20" w:type="dxa"/>
              <w:bottom w:w="40" w:type="dxa"/>
              <w:right w:w="20" w:type="dxa"/>
            </w:tcMar>
            <w:vAlign w:val="bottom"/>
          </w:tcPr>
          <w:p w14:paraId="19502EDC" w14:textId="77777777" w:rsidR="00BF3A3A" w:rsidRDefault="00A76802">
            <w:pPr>
              <w:jc w:val="center"/>
              <w:textAlignment w:val="bottom"/>
            </w:pPr>
            <w:r>
              <w:rPr>
                <w:rFonts w:ascii="sans-serif" w:eastAsia="sans-serif" w:hAnsi="sans-serif" w:cs="sans-serif"/>
                <w:b/>
                <w:bCs/>
                <w:color w:val="000000"/>
                <w:sz w:val="20"/>
                <w:szCs w:val="20"/>
              </w:rPr>
              <w:t>July 31, 2022</w:t>
            </w:r>
          </w:p>
        </w:tc>
        <w:tc>
          <w:tcPr>
            <w:tcW w:w="0" w:type="auto"/>
            <w:gridSpan w:val="3"/>
            <w:shd w:val="clear" w:color="auto" w:fill="auto"/>
            <w:tcMar>
              <w:top w:w="0" w:type="dxa"/>
              <w:left w:w="20" w:type="dxa"/>
              <w:bottom w:w="0" w:type="dxa"/>
              <w:right w:w="20" w:type="dxa"/>
            </w:tcMar>
            <w:vAlign w:val="bottom"/>
          </w:tcPr>
          <w:p w14:paraId="19502EDD" w14:textId="77777777" w:rsidR="00BF3A3A" w:rsidRDefault="00BF3A3A">
            <w:pPr>
              <w:rPr>
                <w:rFonts w:ascii="宋体"/>
              </w:rPr>
            </w:pPr>
          </w:p>
        </w:tc>
        <w:tc>
          <w:tcPr>
            <w:tcW w:w="0" w:type="auto"/>
            <w:gridSpan w:val="9"/>
            <w:shd w:val="clear" w:color="auto" w:fill="auto"/>
            <w:tcMar>
              <w:top w:w="40" w:type="dxa"/>
              <w:left w:w="20" w:type="dxa"/>
              <w:bottom w:w="40" w:type="dxa"/>
              <w:right w:w="20" w:type="dxa"/>
            </w:tcMar>
            <w:vAlign w:val="bottom"/>
          </w:tcPr>
          <w:p w14:paraId="19502EDE" w14:textId="77777777" w:rsidR="00BF3A3A" w:rsidRDefault="00A76802">
            <w:pPr>
              <w:jc w:val="center"/>
              <w:textAlignment w:val="bottom"/>
            </w:pPr>
            <w:r>
              <w:rPr>
                <w:rFonts w:ascii="sans-serif" w:eastAsia="sans-serif" w:hAnsi="sans-serif" w:cs="sans-serif"/>
                <w:b/>
                <w:bCs/>
                <w:color w:val="000000"/>
                <w:sz w:val="20"/>
                <w:szCs w:val="20"/>
              </w:rPr>
              <w:t>January 30, 2022</w:t>
            </w:r>
          </w:p>
        </w:tc>
      </w:tr>
      <w:tr w:rsidR="00BF3A3A" w14:paraId="19502EE8" w14:textId="77777777">
        <w:tc>
          <w:tcPr>
            <w:tcW w:w="0" w:type="auto"/>
            <w:gridSpan w:val="3"/>
            <w:shd w:val="clear" w:color="auto" w:fill="auto"/>
            <w:tcMar>
              <w:top w:w="0" w:type="dxa"/>
              <w:left w:w="20" w:type="dxa"/>
              <w:bottom w:w="0" w:type="dxa"/>
              <w:right w:w="20" w:type="dxa"/>
            </w:tcMar>
            <w:vAlign w:val="bottom"/>
          </w:tcPr>
          <w:p w14:paraId="19502EE0"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EE1" w14:textId="77777777" w:rsidR="00BF3A3A" w:rsidRDefault="00A76802">
            <w:pPr>
              <w:jc w:val="center"/>
              <w:textAlignment w:val="bottom"/>
            </w:pPr>
            <w:r>
              <w:rPr>
                <w:rFonts w:ascii="sans-serif" w:eastAsia="sans-serif" w:hAnsi="sans-serif" w:cs="sans-serif"/>
                <w:b/>
                <w:bCs/>
                <w:color w:val="000000"/>
                <w:sz w:val="20"/>
                <w:szCs w:val="20"/>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EE2"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EE3" w14:textId="77777777" w:rsidR="00BF3A3A" w:rsidRDefault="00A76802">
            <w:pPr>
              <w:jc w:val="center"/>
              <w:textAlignment w:val="bottom"/>
            </w:pPr>
            <w:r>
              <w:rPr>
                <w:rFonts w:ascii="sans-serif" w:eastAsia="sans-serif" w:hAnsi="sans-serif" w:cs="sans-serif"/>
                <w:b/>
                <w:bCs/>
                <w:color w:val="000000"/>
                <w:sz w:val="20"/>
                <w:szCs w:val="20"/>
              </w:rPr>
              <w:t>Estimated Fair Value</w:t>
            </w:r>
          </w:p>
        </w:tc>
        <w:tc>
          <w:tcPr>
            <w:tcW w:w="0" w:type="auto"/>
            <w:gridSpan w:val="3"/>
            <w:shd w:val="clear" w:color="auto" w:fill="auto"/>
            <w:tcMar>
              <w:top w:w="0" w:type="dxa"/>
              <w:left w:w="20" w:type="dxa"/>
              <w:bottom w:w="0" w:type="dxa"/>
              <w:right w:w="20" w:type="dxa"/>
            </w:tcMar>
            <w:vAlign w:val="bottom"/>
          </w:tcPr>
          <w:p w14:paraId="19502EE4"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EE5" w14:textId="77777777" w:rsidR="00BF3A3A" w:rsidRDefault="00A76802">
            <w:pPr>
              <w:jc w:val="center"/>
              <w:textAlignment w:val="bottom"/>
            </w:pPr>
            <w:r>
              <w:rPr>
                <w:rFonts w:ascii="sans-serif" w:eastAsia="sans-serif" w:hAnsi="sans-serif" w:cs="sans-serif"/>
                <w:b/>
                <w:bCs/>
                <w:color w:val="000000"/>
                <w:sz w:val="20"/>
                <w:szCs w:val="20"/>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EE6"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EE7" w14:textId="77777777" w:rsidR="00BF3A3A" w:rsidRDefault="00A76802">
            <w:pPr>
              <w:jc w:val="center"/>
              <w:textAlignment w:val="bottom"/>
            </w:pPr>
            <w:r>
              <w:rPr>
                <w:rFonts w:ascii="sans-serif" w:eastAsia="sans-serif" w:hAnsi="sans-serif" w:cs="sans-serif"/>
                <w:b/>
                <w:bCs/>
                <w:color w:val="000000"/>
                <w:sz w:val="20"/>
                <w:szCs w:val="20"/>
              </w:rPr>
              <w:t>Estimated Fair Value</w:t>
            </w:r>
          </w:p>
        </w:tc>
      </w:tr>
      <w:tr w:rsidR="00BF3A3A" w14:paraId="19502EF1" w14:textId="77777777">
        <w:trPr>
          <w:trHeight w:val="60"/>
        </w:trPr>
        <w:tc>
          <w:tcPr>
            <w:tcW w:w="0" w:type="auto"/>
            <w:gridSpan w:val="3"/>
            <w:shd w:val="clear" w:color="auto" w:fill="auto"/>
            <w:tcMar>
              <w:top w:w="0" w:type="dxa"/>
              <w:left w:w="20" w:type="dxa"/>
              <w:bottom w:w="0" w:type="dxa"/>
              <w:right w:w="20" w:type="dxa"/>
            </w:tcMar>
            <w:vAlign w:val="bottom"/>
          </w:tcPr>
          <w:p w14:paraId="19502EE9"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EEA"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EEB"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EEC"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EED"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EEE"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EEF"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EF0" w14:textId="77777777" w:rsidR="00BF3A3A" w:rsidRDefault="00BF3A3A">
            <w:pPr>
              <w:rPr>
                <w:rFonts w:ascii="宋体"/>
              </w:rPr>
            </w:pPr>
          </w:p>
        </w:tc>
      </w:tr>
      <w:tr w:rsidR="00BF3A3A" w14:paraId="19502EF4" w14:textId="77777777">
        <w:tc>
          <w:tcPr>
            <w:tcW w:w="0" w:type="auto"/>
            <w:gridSpan w:val="3"/>
            <w:shd w:val="clear" w:color="auto" w:fill="auto"/>
            <w:tcMar>
              <w:top w:w="0" w:type="dxa"/>
              <w:left w:w="20" w:type="dxa"/>
              <w:bottom w:w="0" w:type="dxa"/>
              <w:right w:w="20" w:type="dxa"/>
            </w:tcMar>
            <w:vAlign w:val="bottom"/>
          </w:tcPr>
          <w:p w14:paraId="19502EF2" w14:textId="77777777" w:rsidR="00BF3A3A" w:rsidRDefault="00BF3A3A">
            <w:pPr>
              <w:rPr>
                <w:rFonts w:ascii="宋体"/>
              </w:rPr>
            </w:pPr>
          </w:p>
        </w:tc>
        <w:tc>
          <w:tcPr>
            <w:tcW w:w="0" w:type="auto"/>
            <w:gridSpan w:val="21"/>
            <w:shd w:val="clear" w:color="auto" w:fill="auto"/>
            <w:tcMar>
              <w:top w:w="40" w:type="dxa"/>
              <w:left w:w="20" w:type="dxa"/>
              <w:bottom w:w="40" w:type="dxa"/>
              <w:right w:w="20" w:type="dxa"/>
            </w:tcMar>
            <w:vAlign w:val="bottom"/>
          </w:tcPr>
          <w:p w14:paraId="19502EF3" w14:textId="77777777" w:rsidR="00BF3A3A" w:rsidRDefault="00A76802">
            <w:pPr>
              <w:jc w:val="center"/>
              <w:textAlignment w:val="bottom"/>
            </w:pPr>
            <w:r>
              <w:rPr>
                <w:rFonts w:ascii="sans-serif" w:eastAsia="sans-serif" w:hAnsi="sans-serif" w:cs="sans-serif"/>
                <w:i/>
                <w:iCs/>
                <w:color w:val="000000"/>
                <w:sz w:val="20"/>
                <w:szCs w:val="20"/>
              </w:rPr>
              <w:t>(In millions)</w:t>
            </w:r>
          </w:p>
        </w:tc>
      </w:tr>
      <w:tr w:rsidR="00BF3A3A" w14:paraId="19502F05" w14:textId="77777777">
        <w:tc>
          <w:tcPr>
            <w:tcW w:w="0" w:type="auto"/>
            <w:gridSpan w:val="3"/>
            <w:shd w:val="clear" w:color="auto" w:fill="E2EFD9"/>
            <w:tcMar>
              <w:top w:w="40" w:type="dxa"/>
              <w:left w:w="20" w:type="dxa"/>
              <w:bottom w:w="40" w:type="dxa"/>
              <w:right w:w="20" w:type="dxa"/>
            </w:tcMar>
            <w:vAlign w:val="bottom"/>
          </w:tcPr>
          <w:p w14:paraId="19502EF5" w14:textId="77777777" w:rsidR="00BF3A3A" w:rsidRDefault="00A76802">
            <w:pPr>
              <w:textAlignment w:val="bottom"/>
            </w:pPr>
            <w:r>
              <w:rPr>
                <w:rFonts w:ascii="sans-serif" w:eastAsia="sans-serif" w:hAnsi="sans-serif" w:cs="sans-serif"/>
                <w:color w:val="000000"/>
                <w:sz w:val="20"/>
                <w:szCs w:val="20"/>
              </w:rPr>
              <w:t>Less than one year</w:t>
            </w:r>
          </w:p>
        </w:tc>
        <w:tc>
          <w:tcPr>
            <w:tcW w:w="0" w:type="auto"/>
            <w:shd w:val="clear" w:color="auto" w:fill="E2EFD9"/>
            <w:tcMar>
              <w:top w:w="40" w:type="dxa"/>
              <w:left w:w="20" w:type="dxa"/>
              <w:bottom w:w="40" w:type="dxa"/>
              <w:right w:w="0" w:type="dxa"/>
            </w:tcMar>
            <w:vAlign w:val="bottom"/>
          </w:tcPr>
          <w:p w14:paraId="19502EF6"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EF7" w14:textId="77777777" w:rsidR="00BF3A3A" w:rsidRDefault="00A76802">
            <w:pPr>
              <w:jc w:val="right"/>
              <w:textAlignment w:val="bottom"/>
            </w:pPr>
            <w:r>
              <w:rPr>
                <w:rFonts w:ascii="sans-serif" w:eastAsia="sans-serif" w:hAnsi="sans-serif" w:cs="sans-serif"/>
                <w:color w:val="000000"/>
                <w:sz w:val="20"/>
                <w:szCs w:val="20"/>
              </w:rPr>
              <w:t>12,628 </w:t>
            </w:r>
          </w:p>
        </w:tc>
        <w:tc>
          <w:tcPr>
            <w:tcW w:w="0" w:type="auto"/>
            <w:shd w:val="clear" w:color="auto" w:fill="E2EFD9"/>
            <w:tcMar>
              <w:top w:w="40" w:type="dxa"/>
              <w:left w:w="0" w:type="dxa"/>
              <w:bottom w:w="40" w:type="dxa"/>
              <w:right w:w="20" w:type="dxa"/>
            </w:tcMar>
            <w:vAlign w:val="bottom"/>
          </w:tcPr>
          <w:p w14:paraId="19502EF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EF9"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EFA"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EFB" w14:textId="77777777" w:rsidR="00BF3A3A" w:rsidRDefault="00A76802">
            <w:pPr>
              <w:jc w:val="right"/>
              <w:textAlignment w:val="bottom"/>
            </w:pPr>
            <w:r>
              <w:rPr>
                <w:rFonts w:ascii="sans-serif" w:eastAsia="sans-serif" w:hAnsi="sans-serif" w:cs="sans-serif"/>
                <w:color w:val="000000"/>
                <w:sz w:val="20"/>
                <w:szCs w:val="20"/>
              </w:rPr>
              <w:t>12,607 </w:t>
            </w:r>
          </w:p>
        </w:tc>
        <w:tc>
          <w:tcPr>
            <w:tcW w:w="0" w:type="auto"/>
            <w:shd w:val="clear" w:color="auto" w:fill="E2EFD9"/>
            <w:tcMar>
              <w:top w:w="40" w:type="dxa"/>
              <w:left w:w="0" w:type="dxa"/>
              <w:bottom w:w="40" w:type="dxa"/>
              <w:right w:w="20" w:type="dxa"/>
            </w:tcMar>
            <w:vAlign w:val="bottom"/>
          </w:tcPr>
          <w:p w14:paraId="19502EF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EFD"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EFE"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EFF" w14:textId="77777777" w:rsidR="00BF3A3A" w:rsidRDefault="00A76802">
            <w:pPr>
              <w:jc w:val="right"/>
              <w:textAlignment w:val="bottom"/>
            </w:pPr>
            <w:r>
              <w:rPr>
                <w:rFonts w:ascii="sans-serif" w:eastAsia="sans-serif" w:hAnsi="sans-serif" w:cs="sans-serif"/>
                <w:color w:val="000000"/>
                <w:sz w:val="20"/>
                <w:szCs w:val="20"/>
              </w:rPr>
              <w:t>16,346 </w:t>
            </w:r>
          </w:p>
        </w:tc>
        <w:tc>
          <w:tcPr>
            <w:tcW w:w="0" w:type="auto"/>
            <w:shd w:val="clear" w:color="auto" w:fill="E2EFD9"/>
            <w:tcMar>
              <w:top w:w="40" w:type="dxa"/>
              <w:left w:w="0" w:type="dxa"/>
              <w:bottom w:w="40" w:type="dxa"/>
              <w:right w:w="20" w:type="dxa"/>
            </w:tcMar>
            <w:vAlign w:val="bottom"/>
          </w:tcPr>
          <w:p w14:paraId="19502F0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F01"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F02"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F03" w14:textId="77777777" w:rsidR="00BF3A3A" w:rsidRDefault="00A76802">
            <w:pPr>
              <w:jc w:val="right"/>
              <w:textAlignment w:val="bottom"/>
            </w:pPr>
            <w:r>
              <w:rPr>
                <w:rFonts w:ascii="sans-serif" w:eastAsia="sans-serif" w:hAnsi="sans-serif" w:cs="sans-serif"/>
                <w:color w:val="000000"/>
                <w:sz w:val="20"/>
                <w:szCs w:val="20"/>
              </w:rPr>
              <w:t>16,343 </w:t>
            </w:r>
          </w:p>
        </w:tc>
        <w:tc>
          <w:tcPr>
            <w:tcW w:w="0" w:type="auto"/>
            <w:shd w:val="clear" w:color="auto" w:fill="E2EFD9"/>
            <w:tcMar>
              <w:top w:w="40" w:type="dxa"/>
              <w:left w:w="0" w:type="dxa"/>
              <w:bottom w:w="40" w:type="dxa"/>
              <w:right w:w="20" w:type="dxa"/>
            </w:tcMar>
            <w:vAlign w:val="bottom"/>
          </w:tcPr>
          <w:p w14:paraId="19502F04" w14:textId="77777777" w:rsidR="00BF3A3A" w:rsidRDefault="00BF3A3A">
            <w:pPr>
              <w:jc w:val="right"/>
              <w:rPr>
                <w:rFonts w:ascii="宋体"/>
              </w:rPr>
            </w:pPr>
          </w:p>
        </w:tc>
      </w:tr>
      <w:tr w:rsidR="00BF3A3A" w14:paraId="19502F12" w14:textId="77777777">
        <w:tc>
          <w:tcPr>
            <w:tcW w:w="0" w:type="auto"/>
            <w:gridSpan w:val="3"/>
            <w:shd w:val="clear" w:color="auto" w:fill="FFFFFF"/>
            <w:tcMar>
              <w:top w:w="40" w:type="dxa"/>
              <w:left w:w="20" w:type="dxa"/>
              <w:bottom w:w="40" w:type="dxa"/>
              <w:right w:w="20" w:type="dxa"/>
            </w:tcMar>
            <w:vAlign w:val="bottom"/>
          </w:tcPr>
          <w:p w14:paraId="19502F06" w14:textId="77777777" w:rsidR="00BF3A3A" w:rsidRDefault="00A76802">
            <w:pPr>
              <w:textAlignment w:val="bottom"/>
            </w:pPr>
            <w:r>
              <w:rPr>
                <w:rFonts w:ascii="sans-serif" w:eastAsia="sans-serif" w:hAnsi="sans-serif" w:cs="sans-serif"/>
                <w:color w:val="000000"/>
                <w:sz w:val="20"/>
                <w:szCs w:val="20"/>
              </w:rPr>
              <w:t>Due in 1 - 5 years</w:t>
            </w:r>
          </w:p>
        </w:tc>
        <w:tc>
          <w:tcPr>
            <w:tcW w:w="0" w:type="auto"/>
            <w:gridSpan w:val="2"/>
            <w:shd w:val="clear" w:color="auto" w:fill="FFFFFF"/>
            <w:tcMar>
              <w:top w:w="40" w:type="dxa"/>
              <w:left w:w="20" w:type="dxa"/>
              <w:bottom w:w="40" w:type="dxa"/>
              <w:right w:w="0" w:type="dxa"/>
            </w:tcMar>
            <w:vAlign w:val="bottom"/>
          </w:tcPr>
          <w:p w14:paraId="19502F07" w14:textId="77777777" w:rsidR="00BF3A3A" w:rsidRDefault="00A76802">
            <w:pPr>
              <w:jc w:val="right"/>
              <w:textAlignment w:val="bottom"/>
            </w:pPr>
            <w:r>
              <w:rPr>
                <w:rFonts w:ascii="sans-serif" w:eastAsia="sans-serif" w:hAnsi="sans-serif" w:cs="sans-serif"/>
                <w:color w:val="000000"/>
                <w:sz w:val="20"/>
                <w:szCs w:val="20"/>
              </w:rPr>
              <w:t>4,022 </w:t>
            </w:r>
          </w:p>
        </w:tc>
        <w:tc>
          <w:tcPr>
            <w:tcW w:w="0" w:type="auto"/>
            <w:shd w:val="clear" w:color="auto" w:fill="FFFFFF"/>
            <w:tcMar>
              <w:top w:w="40" w:type="dxa"/>
              <w:left w:w="0" w:type="dxa"/>
              <w:bottom w:w="40" w:type="dxa"/>
              <w:right w:w="20" w:type="dxa"/>
            </w:tcMar>
            <w:vAlign w:val="bottom"/>
          </w:tcPr>
          <w:p w14:paraId="19502F08"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F09"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F0A" w14:textId="77777777" w:rsidR="00BF3A3A" w:rsidRDefault="00A76802">
            <w:pPr>
              <w:jc w:val="right"/>
              <w:textAlignment w:val="bottom"/>
            </w:pPr>
            <w:r>
              <w:rPr>
                <w:rFonts w:ascii="sans-serif" w:eastAsia="sans-serif" w:hAnsi="sans-serif" w:cs="sans-serif"/>
                <w:color w:val="000000"/>
                <w:sz w:val="20"/>
                <w:szCs w:val="20"/>
              </w:rPr>
              <w:t>3,985 </w:t>
            </w:r>
          </w:p>
        </w:tc>
        <w:tc>
          <w:tcPr>
            <w:tcW w:w="0" w:type="auto"/>
            <w:shd w:val="clear" w:color="auto" w:fill="FFFFFF"/>
            <w:tcMar>
              <w:top w:w="40" w:type="dxa"/>
              <w:left w:w="0" w:type="dxa"/>
              <w:bottom w:w="40" w:type="dxa"/>
              <w:right w:w="20" w:type="dxa"/>
            </w:tcMar>
            <w:vAlign w:val="bottom"/>
          </w:tcPr>
          <w:p w14:paraId="19502F0B"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F0C"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F0D" w14:textId="77777777" w:rsidR="00BF3A3A" w:rsidRDefault="00A76802">
            <w:pPr>
              <w:jc w:val="right"/>
              <w:textAlignment w:val="bottom"/>
            </w:pPr>
            <w:r>
              <w:rPr>
                <w:rFonts w:ascii="sans-serif" w:eastAsia="sans-serif" w:hAnsi="sans-serif" w:cs="sans-serif"/>
                <w:color w:val="000000"/>
                <w:sz w:val="20"/>
                <w:szCs w:val="20"/>
              </w:rPr>
              <w:t>4,584 </w:t>
            </w:r>
          </w:p>
        </w:tc>
        <w:tc>
          <w:tcPr>
            <w:tcW w:w="0" w:type="auto"/>
            <w:shd w:val="clear" w:color="auto" w:fill="FFFFFF"/>
            <w:tcMar>
              <w:top w:w="40" w:type="dxa"/>
              <w:left w:w="0" w:type="dxa"/>
              <w:bottom w:w="40" w:type="dxa"/>
              <w:right w:w="20" w:type="dxa"/>
            </w:tcMar>
            <w:vAlign w:val="bottom"/>
          </w:tcPr>
          <w:p w14:paraId="19502F0E"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F0F"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2F10" w14:textId="77777777" w:rsidR="00BF3A3A" w:rsidRDefault="00A76802">
            <w:pPr>
              <w:jc w:val="right"/>
              <w:textAlignment w:val="bottom"/>
            </w:pPr>
            <w:r>
              <w:rPr>
                <w:rFonts w:ascii="sans-serif" w:eastAsia="sans-serif" w:hAnsi="sans-serif" w:cs="sans-serif"/>
                <w:color w:val="000000"/>
                <w:sz w:val="20"/>
                <w:szCs w:val="20"/>
              </w:rPr>
              <w:t>4,570 </w:t>
            </w:r>
          </w:p>
        </w:tc>
        <w:tc>
          <w:tcPr>
            <w:tcW w:w="0" w:type="auto"/>
            <w:shd w:val="clear" w:color="auto" w:fill="FFFFFF"/>
            <w:tcMar>
              <w:top w:w="40" w:type="dxa"/>
              <w:left w:w="0" w:type="dxa"/>
              <w:bottom w:w="40" w:type="dxa"/>
              <w:right w:w="20" w:type="dxa"/>
            </w:tcMar>
            <w:vAlign w:val="bottom"/>
          </w:tcPr>
          <w:p w14:paraId="19502F11" w14:textId="77777777" w:rsidR="00BF3A3A" w:rsidRDefault="00BF3A3A">
            <w:pPr>
              <w:jc w:val="right"/>
              <w:rPr>
                <w:rFonts w:ascii="宋体"/>
              </w:rPr>
            </w:pPr>
          </w:p>
        </w:tc>
      </w:tr>
      <w:tr w:rsidR="00BF3A3A" w14:paraId="19502F1B" w14:textId="77777777">
        <w:trPr>
          <w:hidden/>
        </w:trPr>
        <w:tc>
          <w:tcPr>
            <w:tcW w:w="0" w:type="auto"/>
            <w:gridSpan w:val="3"/>
            <w:shd w:val="clear" w:color="auto" w:fill="auto"/>
            <w:vAlign w:val="bottom"/>
          </w:tcPr>
          <w:p w14:paraId="19502F13" w14:textId="77777777" w:rsidR="00BF3A3A" w:rsidRDefault="00BF3A3A">
            <w:pPr>
              <w:rPr>
                <w:rFonts w:ascii="宋体"/>
                <w:vanish/>
              </w:rPr>
            </w:pPr>
          </w:p>
        </w:tc>
        <w:tc>
          <w:tcPr>
            <w:tcW w:w="0" w:type="auto"/>
            <w:gridSpan w:val="3"/>
            <w:shd w:val="clear" w:color="auto" w:fill="auto"/>
            <w:vAlign w:val="bottom"/>
          </w:tcPr>
          <w:p w14:paraId="19502F14" w14:textId="77777777" w:rsidR="00BF3A3A" w:rsidRDefault="00BF3A3A">
            <w:pPr>
              <w:rPr>
                <w:rFonts w:ascii="宋体"/>
                <w:vanish/>
              </w:rPr>
            </w:pPr>
          </w:p>
        </w:tc>
        <w:tc>
          <w:tcPr>
            <w:tcW w:w="0" w:type="auto"/>
            <w:gridSpan w:val="3"/>
            <w:shd w:val="clear" w:color="auto" w:fill="auto"/>
            <w:vAlign w:val="bottom"/>
          </w:tcPr>
          <w:p w14:paraId="19502F15" w14:textId="77777777" w:rsidR="00BF3A3A" w:rsidRDefault="00BF3A3A">
            <w:pPr>
              <w:rPr>
                <w:rFonts w:ascii="宋体"/>
                <w:vanish/>
              </w:rPr>
            </w:pPr>
          </w:p>
        </w:tc>
        <w:tc>
          <w:tcPr>
            <w:tcW w:w="0" w:type="auto"/>
            <w:gridSpan w:val="3"/>
            <w:shd w:val="clear" w:color="auto" w:fill="auto"/>
            <w:vAlign w:val="bottom"/>
          </w:tcPr>
          <w:p w14:paraId="19502F16" w14:textId="77777777" w:rsidR="00BF3A3A" w:rsidRDefault="00BF3A3A">
            <w:pPr>
              <w:rPr>
                <w:rFonts w:ascii="宋体"/>
                <w:vanish/>
              </w:rPr>
            </w:pPr>
          </w:p>
        </w:tc>
        <w:tc>
          <w:tcPr>
            <w:tcW w:w="0" w:type="auto"/>
            <w:gridSpan w:val="3"/>
            <w:shd w:val="clear" w:color="auto" w:fill="auto"/>
            <w:vAlign w:val="bottom"/>
          </w:tcPr>
          <w:p w14:paraId="19502F17" w14:textId="77777777" w:rsidR="00BF3A3A" w:rsidRDefault="00BF3A3A">
            <w:pPr>
              <w:rPr>
                <w:rFonts w:ascii="宋体"/>
                <w:vanish/>
              </w:rPr>
            </w:pPr>
          </w:p>
        </w:tc>
        <w:tc>
          <w:tcPr>
            <w:tcW w:w="0" w:type="auto"/>
            <w:gridSpan w:val="3"/>
            <w:shd w:val="clear" w:color="auto" w:fill="auto"/>
            <w:vAlign w:val="bottom"/>
          </w:tcPr>
          <w:p w14:paraId="19502F18" w14:textId="77777777" w:rsidR="00BF3A3A" w:rsidRDefault="00BF3A3A">
            <w:pPr>
              <w:rPr>
                <w:rFonts w:ascii="宋体"/>
                <w:vanish/>
              </w:rPr>
            </w:pPr>
          </w:p>
        </w:tc>
        <w:tc>
          <w:tcPr>
            <w:tcW w:w="0" w:type="auto"/>
            <w:gridSpan w:val="3"/>
            <w:shd w:val="clear" w:color="auto" w:fill="auto"/>
            <w:vAlign w:val="bottom"/>
          </w:tcPr>
          <w:p w14:paraId="19502F19" w14:textId="77777777" w:rsidR="00BF3A3A" w:rsidRDefault="00BF3A3A">
            <w:pPr>
              <w:rPr>
                <w:rFonts w:ascii="宋体"/>
                <w:vanish/>
              </w:rPr>
            </w:pPr>
          </w:p>
        </w:tc>
        <w:tc>
          <w:tcPr>
            <w:tcW w:w="0" w:type="auto"/>
            <w:gridSpan w:val="3"/>
            <w:shd w:val="clear" w:color="auto" w:fill="auto"/>
            <w:vAlign w:val="bottom"/>
          </w:tcPr>
          <w:p w14:paraId="19502F1A" w14:textId="77777777" w:rsidR="00BF3A3A" w:rsidRDefault="00BF3A3A">
            <w:pPr>
              <w:rPr>
                <w:rFonts w:ascii="宋体"/>
                <w:vanish/>
              </w:rPr>
            </w:pPr>
          </w:p>
        </w:tc>
      </w:tr>
      <w:tr w:rsidR="00BF3A3A" w14:paraId="19502F2C" w14:textId="77777777">
        <w:tc>
          <w:tcPr>
            <w:tcW w:w="0" w:type="auto"/>
            <w:gridSpan w:val="3"/>
            <w:shd w:val="clear" w:color="auto" w:fill="E2EFD9"/>
            <w:tcMar>
              <w:top w:w="40" w:type="dxa"/>
              <w:left w:w="20" w:type="dxa"/>
              <w:bottom w:w="40" w:type="dxa"/>
              <w:right w:w="20" w:type="dxa"/>
            </w:tcMar>
            <w:vAlign w:val="bottom"/>
          </w:tcPr>
          <w:p w14:paraId="19502F1C" w14:textId="77777777" w:rsidR="00BF3A3A" w:rsidRDefault="00A76802">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F1D"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F1E" w14:textId="77777777" w:rsidR="00BF3A3A" w:rsidRDefault="00A76802">
            <w:pPr>
              <w:jc w:val="right"/>
              <w:textAlignment w:val="bottom"/>
            </w:pPr>
            <w:r>
              <w:rPr>
                <w:rFonts w:ascii="sans-serif" w:eastAsia="sans-serif" w:hAnsi="sans-serif" w:cs="sans-serif"/>
                <w:color w:val="000000"/>
                <w:sz w:val="20"/>
                <w:szCs w:val="20"/>
              </w:rPr>
              <w:t>16,650 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F1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F20"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F21"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F22" w14:textId="77777777" w:rsidR="00BF3A3A" w:rsidRDefault="00A76802">
            <w:pPr>
              <w:jc w:val="right"/>
              <w:textAlignment w:val="bottom"/>
            </w:pPr>
            <w:r>
              <w:rPr>
                <w:rFonts w:ascii="sans-serif" w:eastAsia="sans-serif" w:hAnsi="sans-serif" w:cs="sans-serif"/>
                <w:color w:val="000000"/>
                <w:sz w:val="20"/>
                <w:szCs w:val="20"/>
              </w:rPr>
              <w:t>16,592 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F2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F24"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F25"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F26" w14:textId="77777777" w:rsidR="00BF3A3A" w:rsidRDefault="00A76802">
            <w:pPr>
              <w:jc w:val="right"/>
              <w:textAlignment w:val="bottom"/>
            </w:pPr>
            <w:r>
              <w:rPr>
                <w:rFonts w:ascii="sans-serif" w:eastAsia="sans-serif" w:hAnsi="sans-serif" w:cs="sans-serif"/>
                <w:color w:val="000000"/>
                <w:sz w:val="20"/>
                <w:szCs w:val="20"/>
              </w:rPr>
              <w:t>20,930 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F2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F28"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2F29"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2F2A" w14:textId="77777777" w:rsidR="00BF3A3A" w:rsidRDefault="00A76802">
            <w:pPr>
              <w:jc w:val="right"/>
              <w:textAlignment w:val="bottom"/>
            </w:pPr>
            <w:r>
              <w:rPr>
                <w:rFonts w:ascii="sans-serif" w:eastAsia="sans-serif" w:hAnsi="sans-serif" w:cs="sans-serif"/>
                <w:color w:val="000000"/>
                <w:sz w:val="20"/>
                <w:szCs w:val="20"/>
              </w:rPr>
              <w:t>20,913 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2F2B" w14:textId="77777777" w:rsidR="00BF3A3A" w:rsidRDefault="00BF3A3A">
            <w:pPr>
              <w:jc w:val="right"/>
              <w:rPr>
                <w:rFonts w:ascii="宋体"/>
              </w:rPr>
            </w:pPr>
          </w:p>
        </w:tc>
      </w:tr>
    </w:tbl>
    <w:p w14:paraId="19502F2D" w14:textId="77777777" w:rsidR="00BF3A3A" w:rsidRDefault="00A76802">
      <w:pPr>
        <w:spacing w:after="180"/>
        <w:jc w:val="center"/>
      </w:pPr>
      <w:r>
        <w:rPr>
          <w:rFonts w:ascii="sans-serif" w:eastAsia="sans-serif" w:hAnsi="sans-serif" w:cs="sans-serif"/>
          <w:color w:val="000000"/>
          <w:sz w:val="20"/>
          <w:szCs w:val="20"/>
        </w:rPr>
        <w:t>13</w:t>
      </w:r>
    </w:p>
    <w:p w14:paraId="19502F2E" w14:textId="77777777" w:rsidR="00BF3A3A" w:rsidRDefault="00A76802">
      <w:r>
        <w:pict w14:anchorId="19503FD2">
          <v:rect id="_x0000_i1037" style="width:415.3pt;height:1.5pt" o:hralign="center" o:hrstd="t" o:hr="t" fillcolor="#a0a0a0" stroked="f"/>
        </w:pict>
      </w:r>
    </w:p>
    <w:p w14:paraId="19502F2F" w14:textId="77777777" w:rsidR="00BF3A3A" w:rsidRDefault="00A76802">
      <w:pPr>
        <w:jc w:val="center"/>
      </w:pPr>
      <w:r>
        <w:rPr>
          <w:rFonts w:ascii="sans-serif" w:eastAsia="sans-serif" w:hAnsi="sans-serif" w:cs="sans-serif"/>
          <w:b/>
          <w:bCs/>
          <w:color w:val="000000"/>
          <w:sz w:val="20"/>
          <w:szCs w:val="20"/>
        </w:rPr>
        <w:t>NVIDIA CORPORATION AND SUBSIDIARIES</w:t>
      </w:r>
    </w:p>
    <w:p w14:paraId="19502F30" w14:textId="77777777" w:rsidR="00BF3A3A" w:rsidRDefault="00A76802">
      <w:pPr>
        <w:jc w:val="center"/>
      </w:pPr>
      <w:r>
        <w:rPr>
          <w:rFonts w:ascii="sans-serif" w:eastAsia="sans-serif" w:hAnsi="sans-serif" w:cs="sans-serif"/>
          <w:b/>
          <w:bCs/>
          <w:color w:val="000000"/>
          <w:sz w:val="20"/>
          <w:szCs w:val="20"/>
        </w:rPr>
        <w:t>NOTES TO CONDENSED CONSOLIDATED FINANCIAL STATEMENTS (Continued)</w:t>
      </w:r>
    </w:p>
    <w:p w14:paraId="19502F31" w14:textId="77777777" w:rsidR="00BF3A3A" w:rsidRDefault="00A76802">
      <w:pPr>
        <w:jc w:val="center"/>
      </w:pPr>
      <w:r>
        <w:rPr>
          <w:rFonts w:ascii="sans-serif" w:eastAsia="sans-serif" w:hAnsi="sans-serif" w:cs="sans-serif"/>
          <w:b/>
          <w:bCs/>
          <w:color w:val="000000"/>
          <w:sz w:val="20"/>
          <w:szCs w:val="20"/>
        </w:rPr>
        <w:t>(Unau</w:t>
      </w:r>
      <w:r>
        <w:rPr>
          <w:rFonts w:ascii="sans-serif" w:eastAsia="sans-serif" w:hAnsi="sans-serif" w:cs="sans-serif"/>
          <w:b/>
          <w:bCs/>
          <w:color w:val="000000"/>
          <w:sz w:val="20"/>
          <w:szCs w:val="20"/>
        </w:rPr>
        <w:t>dited)</w:t>
      </w:r>
    </w:p>
    <w:p w14:paraId="19502F32" w14:textId="77777777" w:rsidR="00BF3A3A" w:rsidRDefault="00BF3A3A">
      <w:pPr>
        <w:spacing w:after="180"/>
        <w:jc w:val="both"/>
      </w:pPr>
    </w:p>
    <w:p w14:paraId="19502F33" w14:textId="77777777" w:rsidR="00BF3A3A" w:rsidRDefault="00BF3A3A">
      <w:pPr>
        <w:spacing w:after="180"/>
        <w:jc w:val="both"/>
      </w:pPr>
    </w:p>
    <w:p w14:paraId="19502F34" w14:textId="77777777" w:rsidR="00BF3A3A" w:rsidRDefault="00A76802">
      <w:pPr>
        <w:spacing w:before="240" w:after="120"/>
        <w:jc w:val="both"/>
      </w:pPr>
      <w:r>
        <w:rPr>
          <w:rFonts w:ascii="sans-serif" w:eastAsia="sans-serif" w:hAnsi="sans-serif" w:cs="sans-serif"/>
          <w:b/>
          <w:bCs/>
          <w:color w:val="76B900"/>
          <w:sz w:val="22"/>
          <w:szCs w:val="22"/>
        </w:rPr>
        <w:t>Note 8 – Fair Value of Financial Assets and Liabilities</w:t>
      </w:r>
    </w:p>
    <w:p w14:paraId="19502F35" w14:textId="77777777" w:rsidR="00BF3A3A" w:rsidRDefault="00A76802">
      <w:pPr>
        <w:jc w:val="both"/>
      </w:pPr>
      <w:r>
        <w:rPr>
          <w:rFonts w:ascii="sans-serif" w:eastAsia="sans-serif" w:hAnsi="sans-serif" w:cs="sans-serif"/>
          <w:color w:val="000000"/>
          <w:sz w:val="20"/>
          <w:szCs w:val="20"/>
        </w:rPr>
        <w:t xml:space="preserve">The fair values of our financial assets and liabilities are determined using quoted market prices of identical assets or quoted market prices of similar assets from active markets. We review </w:t>
      </w:r>
      <w:r>
        <w:rPr>
          <w:rFonts w:ascii="sans-serif" w:eastAsia="sans-serif" w:hAnsi="sans-serif" w:cs="sans-serif"/>
          <w:color w:val="000000"/>
          <w:sz w:val="20"/>
          <w:szCs w:val="20"/>
        </w:rPr>
        <w:t>fair value hierarchy classification on a quarterly basis.</w:t>
      </w:r>
    </w:p>
    <w:tbl>
      <w:tblPr>
        <w:tblW w:w="5000" w:type="pct"/>
        <w:tblCellMar>
          <w:top w:w="15" w:type="dxa"/>
          <w:left w:w="15" w:type="dxa"/>
          <w:bottom w:w="15" w:type="dxa"/>
          <w:right w:w="15" w:type="dxa"/>
        </w:tblCellMar>
        <w:tblLook w:val="04A0" w:firstRow="1" w:lastRow="0" w:firstColumn="1" w:lastColumn="0" w:noHBand="0" w:noVBand="1"/>
      </w:tblPr>
      <w:tblGrid>
        <w:gridCol w:w="45"/>
        <w:gridCol w:w="4393"/>
        <w:gridCol w:w="39"/>
        <w:gridCol w:w="62"/>
        <w:gridCol w:w="913"/>
        <w:gridCol w:w="36"/>
        <w:gridCol w:w="36"/>
        <w:gridCol w:w="36"/>
        <w:gridCol w:w="36"/>
        <w:gridCol w:w="122"/>
        <w:gridCol w:w="1145"/>
        <w:gridCol w:w="36"/>
        <w:gridCol w:w="36"/>
        <w:gridCol w:w="36"/>
        <w:gridCol w:w="36"/>
        <w:gridCol w:w="123"/>
        <w:gridCol w:w="1170"/>
        <w:gridCol w:w="36"/>
      </w:tblGrid>
      <w:tr w:rsidR="00BF3A3A" w14:paraId="19502F48" w14:textId="77777777">
        <w:tc>
          <w:tcPr>
            <w:tcW w:w="50" w:type="pct"/>
            <w:shd w:val="clear" w:color="auto" w:fill="auto"/>
            <w:vAlign w:val="bottom"/>
          </w:tcPr>
          <w:p w14:paraId="19502F36" w14:textId="77777777" w:rsidR="00BF3A3A" w:rsidRDefault="00BF3A3A">
            <w:pPr>
              <w:rPr>
                <w:rFonts w:ascii="宋体"/>
              </w:rPr>
            </w:pPr>
          </w:p>
        </w:tc>
        <w:tc>
          <w:tcPr>
            <w:tcW w:w="2656" w:type="pct"/>
            <w:shd w:val="clear" w:color="auto" w:fill="auto"/>
            <w:vAlign w:val="bottom"/>
          </w:tcPr>
          <w:p w14:paraId="19502F37" w14:textId="77777777" w:rsidR="00BF3A3A" w:rsidRDefault="00BF3A3A">
            <w:pPr>
              <w:rPr>
                <w:rFonts w:ascii="宋体"/>
              </w:rPr>
            </w:pPr>
          </w:p>
        </w:tc>
        <w:tc>
          <w:tcPr>
            <w:tcW w:w="5" w:type="pct"/>
            <w:shd w:val="clear" w:color="auto" w:fill="auto"/>
            <w:vAlign w:val="bottom"/>
          </w:tcPr>
          <w:p w14:paraId="19502F38" w14:textId="77777777" w:rsidR="00BF3A3A" w:rsidRDefault="00BF3A3A">
            <w:pPr>
              <w:rPr>
                <w:rFonts w:ascii="宋体"/>
              </w:rPr>
            </w:pPr>
          </w:p>
        </w:tc>
        <w:tc>
          <w:tcPr>
            <w:tcW w:w="50" w:type="pct"/>
            <w:shd w:val="clear" w:color="auto" w:fill="auto"/>
            <w:vAlign w:val="bottom"/>
          </w:tcPr>
          <w:p w14:paraId="19502F39" w14:textId="77777777" w:rsidR="00BF3A3A" w:rsidRDefault="00BF3A3A">
            <w:pPr>
              <w:rPr>
                <w:rFonts w:ascii="宋体"/>
              </w:rPr>
            </w:pPr>
          </w:p>
        </w:tc>
        <w:tc>
          <w:tcPr>
            <w:tcW w:w="580" w:type="pct"/>
            <w:shd w:val="clear" w:color="auto" w:fill="auto"/>
            <w:vAlign w:val="bottom"/>
          </w:tcPr>
          <w:p w14:paraId="19502F3A" w14:textId="77777777" w:rsidR="00BF3A3A" w:rsidRDefault="00BF3A3A">
            <w:pPr>
              <w:rPr>
                <w:rFonts w:ascii="宋体"/>
              </w:rPr>
            </w:pPr>
          </w:p>
        </w:tc>
        <w:tc>
          <w:tcPr>
            <w:tcW w:w="5" w:type="pct"/>
            <w:shd w:val="clear" w:color="auto" w:fill="auto"/>
            <w:vAlign w:val="bottom"/>
          </w:tcPr>
          <w:p w14:paraId="19502F3B" w14:textId="77777777" w:rsidR="00BF3A3A" w:rsidRDefault="00BF3A3A">
            <w:pPr>
              <w:rPr>
                <w:rFonts w:ascii="宋体"/>
              </w:rPr>
            </w:pPr>
          </w:p>
        </w:tc>
        <w:tc>
          <w:tcPr>
            <w:tcW w:w="5" w:type="pct"/>
            <w:shd w:val="clear" w:color="auto" w:fill="auto"/>
            <w:vAlign w:val="bottom"/>
          </w:tcPr>
          <w:p w14:paraId="19502F3C" w14:textId="77777777" w:rsidR="00BF3A3A" w:rsidRDefault="00BF3A3A">
            <w:pPr>
              <w:rPr>
                <w:rFonts w:ascii="宋体"/>
              </w:rPr>
            </w:pPr>
          </w:p>
        </w:tc>
        <w:tc>
          <w:tcPr>
            <w:tcW w:w="26" w:type="pct"/>
            <w:shd w:val="clear" w:color="auto" w:fill="auto"/>
            <w:vAlign w:val="bottom"/>
          </w:tcPr>
          <w:p w14:paraId="19502F3D" w14:textId="77777777" w:rsidR="00BF3A3A" w:rsidRDefault="00BF3A3A">
            <w:pPr>
              <w:rPr>
                <w:rFonts w:ascii="宋体"/>
              </w:rPr>
            </w:pPr>
          </w:p>
        </w:tc>
        <w:tc>
          <w:tcPr>
            <w:tcW w:w="5" w:type="pct"/>
            <w:shd w:val="clear" w:color="auto" w:fill="auto"/>
            <w:vAlign w:val="bottom"/>
          </w:tcPr>
          <w:p w14:paraId="19502F3E" w14:textId="77777777" w:rsidR="00BF3A3A" w:rsidRDefault="00BF3A3A">
            <w:pPr>
              <w:rPr>
                <w:rFonts w:ascii="宋体"/>
              </w:rPr>
            </w:pPr>
          </w:p>
        </w:tc>
        <w:tc>
          <w:tcPr>
            <w:tcW w:w="50" w:type="pct"/>
            <w:shd w:val="clear" w:color="auto" w:fill="auto"/>
            <w:vAlign w:val="bottom"/>
          </w:tcPr>
          <w:p w14:paraId="19502F3F" w14:textId="77777777" w:rsidR="00BF3A3A" w:rsidRDefault="00BF3A3A">
            <w:pPr>
              <w:rPr>
                <w:rFonts w:ascii="宋体"/>
              </w:rPr>
            </w:pPr>
          </w:p>
        </w:tc>
        <w:tc>
          <w:tcPr>
            <w:tcW w:w="727" w:type="pct"/>
            <w:shd w:val="clear" w:color="auto" w:fill="auto"/>
            <w:vAlign w:val="bottom"/>
          </w:tcPr>
          <w:p w14:paraId="19502F40" w14:textId="77777777" w:rsidR="00BF3A3A" w:rsidRDefault="00BF3A3A">
            <w:pPr>
              <w:rPr>
                <w:rFonts w:ascii="宋体"/>
              </w:rPr>
            </w:pPr>
          </w:p>
        </w:tc>
        <w:tc>
          <w:tcPr>
            <w:tcW w:w="5" w:type="pct"/>
            <w:shd w:val="clear" w:color="auto" w:fill="auto"/>
            <w:vAlign w:val="bottom"/>
          </w:tcPr>
          <w:p w14:paraId="19502F41" w14:textId="77777777" w:rsidR="00BF3A3A" w:rsidRDefault="00BF3A3A">
            <w:pPr>
              <w:rPr>
                <w:rFonts w:ascii="宋体"/>
              </w:rPr>
            </w:pPr>
          </w:p>
        </w:tc>
        <w:tc>
          <w:tcPr>
            <w:tcW w:w="5" w:type="pct"/>
            <w:shd w:val="clear" w:color="auto" w:fill="auto"/>
            <w:vAlign w:val="bottom"/>
          </w:tcPr>
          <w:p w14:paraId="19502F42" w14:textId="77777777" w:rsidR="00BF3A3A" w:rsidRDefault="00BF3A3A">
            <w:pPr>
              <w:rPr>
                <w:rFonts w:ascii="宋体"/>
              </w:rPr>
            </w:pPr>
          </w:p>
        </w:tc>
        <w:tc>
          <w:tcPr>
            <w:tcW w:w="41" w:type="pct"/>
            <w:shd w:val="clear" w:color="auto" w:fill="auto"/>
            <w:vAlign w:val="bottom"/>
          </w:tcPr>
          <w:p w14:paraId="19502F43" w14:textId="77777777" w:rsidR="00BF3A3A" w:rsidRDefault="00BF3A3A">
            <w:pPr>
              <w:rPr>
                <w:rFonts w:ascii="宋体"/>
              </w:rPr>
            </w:pPr>
          </w:p>
        </w:tc>
        <w:tc>
          <w:tcPr>
            <w:tcW w:w="5" w:type="pct"/>
            <w:shd w:val="clear" w:color="auto" w:fill="auto"/>
            <w:vAlign w:val="bottom"/>
          </w:tcPr>
          <w:p w14:paraId="19502F44" w14:textId="77777777" w:rsidR="00BF3A3A" w:rsidRDefault="00BF3A3A">
            <w:pPr>
              <w:rPr>
                <w:rFonts w:ascii="宋体"/>
              </w:rPr>
            </w:pPr>
          </w:p>
        </w:tc>
        <w:tc>
          <w:tcPr>
            <w:tcW w:w="50" w:type="pct"/>
            <w:shd w:val="clear" w:color="auto" w:fill="auto"/>
            <w:vAlign w:val="bottom"/>
          </w:tcPr>
          <w:p w14:paraId="19502F45" w14:textId="77777777" w:rsidR="00BF3A3A" w:rsidRDefault="00BF3A3A">
            <w:pPr>
              <w:rPr>
                <w:rFonts w:ascii="宋体"/>
              </w:rPr>
            </w:pPr>
          </w:p>
        </w:tc>
        <w:tc>
          <w:tcPr>
            <w:tcW w:w="727" w:type="pct"/>
            <w:shd w:val="clear" w:color="auto" w:fill="auto"/>
            <w:vAlign w:val="bottom"/>
          </w:tcPr>
          <w:p w14:paraId="19502F46" w14:textId="77777777" w:rsidR="00BF3A3A" w:rsidRDefault="00BF3A3A">
            <w:pPr>
              <w:rPr>
                <w:rFonts w:ascii="宋体"/>
              </w:rPr>
            </w:pPr>
          </w:p>
        </w:tc>
        <w:tc>
          <w:tcPr>
            <w:tcW w:w="5" w:type="pct"/>
            <w:shd w:val="clear" w:color="auto" w:fill="auto"/>
            <w:vAlign w:val="bottom"/>
          </w:tcPr>
          <w:p w14:paraId="19502F47" w14:textId="77777777" w:rsidR="00BF3A3A" w:rsidRDefault="00BF3A3A">
            <w:pPr>
              <w:rPr>
                <w:rFonts w:ascii="宋体"/>
              </w:rPr>
            </w:pPr>
          </w:p>
        </w:tc>
      </w:tr>
      <w:tr w:rsidR="00BF3A3A" w14:paraId="19502F4C" w14:textId="77777777">
        <w:tc>
          <w:tcPr>
            <w:tcW w:w="0" w:type="auto"/>
            <w:gridSpan w:val="6"/>
            <w:shd w:val="clear" w:color="auto" w:fill="auto"/>
            <w:tcMar>
              <w:top w:w="0" w:type="dxa"/>
              <w:left w:w="20" w:type="dxa"/>
              <w:bottom w:w="0" w:type="dxa"/>
              <w:right w:w="20" w:type="dxa"/>
            </w:tcMar>
            <w:vAlign w:val="bottom"/>
          </w:tcPr>
          <w:p w14:paraId="19502F49"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F4A" w14:textId="77777777" w:rsidR="00BF3A3A" w:rsidRDefault="00BF3A3A">
            <w:pPr>
              <w:rPr>
                <w:rFonts w:ascii="宋体"/>
              </w:rPr>
            </w:pPr>
          </w:p>
        </w:tc>
        <w:tc>
          <w:tcPr>
            <w:tcW w:w="0" w:type="auto"/>
            <w:gridSpan w:val="9"/>
            <w:shd w:val="clear" w:color="auto" w:fill="auto"/>
            <w:tcMar>
              <w:top w:w="40" w:type="dxa"/>
              <w:left w:w="20" w:type="dxa"/>
              <w:bottom w:w="40" w:type="dxa"/>
              <w:right w:w="20" w:type="dxa"/>
            </w:tcMar>
            <w:vAlign w:val="bottom"/>
          </w:tcPr>
          <w:p w14:paraId="19502F4B" w14:textId="77777777" w:rsidR="00BF3A3A" w:rsidRDefault="00A76802">
            <w:pPr>
              <w:jc w:val="center"/>
              <w:textAlignment w:val="bottom"/>
            </w:pPr>
            <w:r>
              <w:rPr>
                <w:rFonts w:ascii="sans-serif" w:eastAsia="sans-serif" w:hAnsi="sans-serif" w:cs="sans-serif"/>
                <w:b/>
                <w:bCs/>
                <w:color w:val="000000"/>
                <w:sz w:val="20"/>
                <w:szCs w:val="20"/>
              </w:rPr>
              <w:t>Fair Value at</w:t>
            </w:r>
          </w:p>
        </w:tc>
      </w:tr>
      <w:tr w:rsidR="00BF3A3A" w14:paraId="19502F53" w14:textId="77777777">
        <w:tc>
          <w:tcPr>
            <w:tcW w:w="0" w:type="auto"/>
            <w:gridSpan w:val="3"/>
            <w:shd w:val="clear" w:color="auto" w:fill="auto"/>
            <w:tcMar>
              <w:top w:w="0" w:type="dxa"/>
              <w:left w:w="20" w:type="dxa"/>
              <w:bottom w:w="0" w:type="dxa"/>
              <w:right w:w="20" w:type="dxa"/>
            </w:tcMar>
            <w:vAlign w:val="bottom"/>
          </w:tcPr>
          <w:p w14:paraId="19502F4D"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2F4E" w14:textId="77777777" w:rsidR="00BF3A3A" w:rsidRDefault="00A76802">
            <w:pPr>
              <w:jc w:val="center"/>
              <w:textAlignment w:val="bottom"/>
            </w:pPr>
            <w:r>
              <w:rPr>
                <w:rFonts w:ascii="sans-serif" w:eastAsia="sans-serif" w:hAnsi="sans-serif" w:cs="sans-serif"/>
                <w:b/>
                <w:bCs/>
                <w:color w:val="000000"/>
                <w:sz w:val="20"/>
                <w:szCs w:val="20"/>
              </w:rPr>
              <w:t>Pricing Category</w:t>
            </w:r>
          </w:p>
        </w:tc>
        <w:tc>
          <w:tcPr>
            <w:tcW w:w="0" w:type="auto"/>
            <w:gridSpan w:val="3"/>
            <w:shd w:val="clear" w:color="auto" w:fill="auto"/>
            <w:tcMar>
              <w:top w:w="0" w:type="dxa"/>
              <w:left w:w="20" w:type="dxa"/>
              <w:bottom w:w="0" w:type="dxa"/>
              <w:right w:w="20" w:type="dxa"/>
            </w:tcMar>
            <w:vAlign w:val="bottom"/>
          </w:tcPr>
          <w:p w14:paraId="19502F4F"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F50" w14:textId="77777777" w:rsidR="00BF3A3A" w:rsidRDefault="00A76802">
            <w:pPr>
              <w:jc w:val="center"/>
              <w:textAlignment w:val="bottom"/>
            </w:pPr>
            <w:r>
              <w:rPr>
                <w:rFonts w:ascii="sans-serif" w:eastAsia="sans-serif" w:hAnsi="sans-serif" w:cs="sans-serif"/>
                <w:b/>
                <w:bCs/>
                <w:color w:val="000000"/>
                <w:sz w:val="20"/>
                <w:szCs w:val="20"/>
              </w:rPr>
              <w:t>July 31,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F51"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2F52" w14:textId="77777777" w:rsidR="00BF3A3A" w:rsidRDefault="00A76802">
            <w:pPr>
              <w:jc w:val="center"/>
              <w:textAlignment w:val="bottom"/>
            </w:pPr>
            <w:r>
              <w:rPr>
                <w:rFonts w:ascii="sans-serif" w:eastAsia="sans-serif" w:hAnsi="sans-serif" w:cs="sans-serif"/>
                <w:b/>
                <w:bCs/>
                <w:color w:val="000000"/>
                <w:sz w:val="20"/>
                <w:szCs w:val="20"/>
              </w:rPr>
              <w:t>January 30, 2022</w:t>
            </w:r>
          </w:p>
        </w:tc>
      </w:tr>
      <w:tr w:rsidR="00BF3A3A" w14:paraId="19502F5A" w14:textId="77777777">
        <w:trPr>
          <w:trHeight w:val="60"/>
        </w:trPr>
        <w:tc>
          <w:tcPr>
            <w:tcW w:w="0" w:type="auto"/>
            <w:gridSpan w:val="3"/>
            <w:shd w:val="clear" w:color="auto" w:fill="auto"/>
            <w:tcMar>
              <w:top w:w="0" w:type="dxa"/>
              <w:left w:w="20" w:type="dxa"/>
              <w:bottom w:w="0" w:type="dxa"/>
              <w:right w:w="20" w:type="dxa"/>
            </w:tcMar>
            <w:vAlign w:val="bottom"/>
          </w:tcPr>
          <w:p w14:paraId="19502F54"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F55"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F56"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F57"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F58"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2F59" w14:textId="77777777" w:rsidR="00BF3A3A" w:rsidRDefault="00BF3A3A">
            <w:pPr>
              <w:rPr>
                <w:rFonts w:ascii="宋体"/>
              </w:rPr>
            </w:pPr>
          </w:p>
        </w:tc>
      </w:tr>
      <w:tr w:rsidR="00BF3A3A" w14:paraId="19502F5F" w14:textId="77777777">
        <w:tc>
          <w:tcPr>
            <w:tcW w:w="0" w:type="auto"/>
            <w:gridSpan w:val="3"/>
            <w:shd w:val="clear" w:color="auto" w:fill="auto"/>
            <w:tcMar>
              <w:top w:w="0" w:type="dxa"/>
              <w:left w:w="20" w:type="dxa"/>
              <w:bottom w:w="0" w:type="dxa"/>
              <w:right w:w="20" w:type="dxa"/>
            </w:tcMar>
            <w:vAlign w:val="bottom"/>
          </w:tcPr>
          <w:p w14:paraId="19502F5B"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F5C"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2F5D" w14:textId="77777777" w:rsidR="00BF3A3A" w:rsidRDefault="00BF3A3A">
            <w:pPr>
              <w:rPr>
                <w:rFonts w:ascii="宋体"/>
              </w:rPr>
            </w:pPr>
          </w:p>
        </w:tc>
        <w:tc>
          <w:tcPr>
            <w:tcW w:w="0" w:type="auto"/>
            <w:gridSpan w:val="9"/>
            <w:shd w:val="clear" w:color="auto" w:fill="auto"/>
            <w:tcMar>
              <w:top w:w="40" w:type="dxa"/>
              <w:left w:w="20" w:type="dxa"/>
              <w:bottom w:w="40" w:type="dxa"/>
              <w:right w:w="20" w:type="dxa"/>
            </w:tcMar>
            <w:vAlign w:val="bottom"/>
          </w:tcPr>
          <w:p w14:paraId="19502F5E" w14:textId="77777777" w:rsidR="00BF3A3A" w:rsidRDefault="00A76802">
            <w:pPr>
              <w:jc w:val="center"/>
              <w:textAlignment w:val="bottom"/>
            </w:pPr>
            <w:r>
              <w:rPr>
                <w:rFonts w:ascii="sans-serif" w:eastAsia="sans-serif" w:hAnsi="sans-serif" w:cs="sans-serif"/>
                <w:i/>
                <w:iCs/>
                <w:color w:val="000000"/>
                <w:sz w:val="20"/>
                <w:szCs w:val="20"/>
              </w:rPr>
              <w:t>(In millions)</w:t>
            </w:r>
          </w:p>
        </w:tc>
      </w:tr>
      <w:tr w:rsidR="00BF3A3A" w14:paraId="19502F66" w14:textId="77777777">
        <w:tc>
          <w:tcPr>
            <w:tcW w:w="0" w:type="auto"/>
            <w:gridSpan w:val="3"/>
            <w:shd w:val="clear" w:color="auto" w:fill="FFFFFF"/>
            <w:tcMar>
              <w:top w:w="40" w:type="dxa"/>
              <w:left w:w="20" w:type="dxa"/>
              <w:bottom w:w="40" w:type="dxa"/>
              <w:right w:w="20" w:type="dxa"/>
            </w:tcMar>
            <w:vAlign w:val="bottom"/>
          </w:tcPr>
          <w:p w14:paraId="19502F60" w14:textId="77777777" w:rsidR="00BF3A3A" w:rsidRDefault="00A76802">
            <w:pPr>
              <w:textAlignment w:val="bottom"/>
            </w:pPr>
            <w:r>
              <w:rPr>
                <w:rFonts w:ascii="sans-serif" w:eastAsia="sans-serif" w:hAnsi="sans-serif" w:cs="sans-serif"/>
                <w:b/>
                <w:bCs/>
                <w:color w:val="000000"/>
                <w:sz w:val="20"/>
                <w:szCs w:val="20"/>
              </w:rPr>
              <w:t>Assets</w:t>
            </w:r>
          </w:p>
        </w:tc>
        <w:tc>
          <w:tcPr>
            <w:tcW w:w="0" w:type="auto"/>
            <w:gridSpan w:val="3"/>
            <w:shd w:val="clear" w:color="auto" w:fill="FFFFFF"/>
            <w:tcMar>
              <w:top w:w="0" w:type="dxa"/>
              <w:left w:w="20" w:type="dxa"/>
              <w:bottom w:w="0" w:type="dxa"/>
              <w:right w:w="20" w:type="dxa"/>
            </w:tcMar>
            <w:vAlign w:val="bottom"/>
          </w:tcPr>
          <w:p w14:paraId="19502F61"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F62"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F63"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F64"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F65" w14:textId="77777777" w:rsidR="00BF3A3A" w:rsidRDefault="00BF3A3A">
            <w:pPr>
              <w:rPr>
                <w:rFonts w:ascii="宋体"/>
              </w:rPr>
            </w:pPr>
          </w:p>
        </w:tc>
      </w:tr>
      <w:tr w:rsidR="00BF3A3A" w14:paraId="19502F6D" w14:textId="77777777">
        <w:tc>
          <w:tcPr>
            <w:tcW w:w="0" w:type="auto"/>
            <w:gridSpan w:val="3"/>
            <w:shd w:val="clear" w:color="auto" w:fill="E2EFD9"/>
            <w:tcMar>
              <w:top w:w="40" w:type="dxa"/>
              <w:left w:w="20" w:type="dxa"/>
              <w:bottom w:w="40" w:type="dxa"/>
              <w:right w:w="20" w:type="dxa"/>
            </w:tcMar>
            <w:vAlign w:val="bottom"/>
          </w:tcPr>
          <w:p w14:paraId="19502F67" w14:textId="77777777" w:rsidR="00BF3A3A" w:rsidRDefault="00A76802">
            <w:pPr>
              <w:textAlignment w:val="bottom"/>
            </w:pPr>
            <w:r>
              <w:rPr>
                <w:rFonts w:ascii="sans-serif" w:eastAsia="sans-serif" w:hAnsi="sans-serif" w:cs="sans-serif"/>
                <w:color w:val="000000"/>
                <w:sz w:val="20"/>
                <w:szCs w:val="20"/>
              </w:rPr>
              <w:t>Cash equivalents and marketable securities:</w:t>
            </w:r>
          </w:p>
        </w:tc>
        <w:tc>
          <w:tcPr>
            <w:tcW w:w="0" w:type="auto"/>
            <w:gridSpan w:val="3"/>
            <w:shd w:val="clear" w:color="auto" w:fill="E2EFD9"/>
            <w:tcMar>
              <w:top w:w="0" w:type="dxa"/>
              <w:left w:w="20" w:type="dxa"/>
              <w:bottom w:w="0" w:type="dxa"/>
              <w:right w:w="20" w:type="dxa"/>
            </w:tcMar>
            <w:vAlign w:val="bottom"/>
          </w:tcPr>
          <w:p w14:paraId="19502F68"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F69"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F6A"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F6B"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F6C" w14:textId="77777777" w:rsidR="00BF3A3A" w:rsidRDefault="00BF3A3A">
            <w:pPr>
              <w:rPr>
                <w:rFonts w:ascii="宋体"/>
              </w:rPr>
            </w:pPr>
          </w:p>
        </w:tc>
      </w:tr>
      <w:tr w:rsidR="00BF3A3A" w14:paraId="19502F78" w14:textId="77777777">
        <w:tc>
          <w:tcPr>
            <w:tcW w:w="0" w:type="auto"/>
            <w:gridSpan w:val="3"/>
            <w:shd w:val="clear" w:color="auto" w:fill="FFFFFF"/>
            <w:tcMar>
              <w:top w:w="40" w:type="dxa"/>
              <w:left w:w="200" w:type="dxa"/>
              <w:bottom w:w="40" w:type="dxa"/>
              <w:right w:w="20" w:type="dxa"/>
            </w:tcMar>
            <w:vAlign w:val="bottom"/>
          </w:tcPr>
          <w:p w14:paraId="19502F6E" w14:textId="77777777" w:rsidR="00BF3A3A" w:rsidRDefault="00A76802">
            <w:pPr>
              <w:textAlignment w:val="bottom"/>
            </w:pPr>
            <w:r>
              <w:rPr>
                <w:rFonts w:ascii="sans-serif" w:eastAsia="sans-serif" w:hAnsi="sans-serif" w:cs="sans-serif"/>
                <w:color w:val="000000"/>
                <w:sz w:val="20"/>
                <w:szCs w:val="20"/>
              </w:rPr>
              <w:t xml:space="preserve">Money market </w:t>
            </w:r>
            <w:r>
              <w:rPr>
                <w:rFonts w:ascii="sans-serif" w:eastAsia="sans-serif" w:hAnsi="sans-serif" w:cs="sans-serif"/>
                <w:color w:val="000000"/>
                <w:sz w:val="20"/>
                <w:szCs w:val="20"/>
              </w:rPr>
              <w:t>funds</w:t>
            </w:r>
          </w:p>
        </w:tc>
        <w:tc>
          <w:tcPr>
            <w:tcW w:w="0" w:type="auto"/>
            <w:gridSpan w:val="3"/>
            <w:shd w:val="clear" w:color="auto" w:fill="FFFFFF"/>
            <w:tcMar>
              <w:top w:w="40" w:type="dxa"/>
              <w:left w:w="20" w:type="dxa"/>
              <w:bottom w:w="40" w:type="dxa"/>
              <w:right w:w="20" w:type="dxa"/>
            </w:tcMar>
            <w:vAlign w:val="bottom"/>
          </w:tcPr>
          <w:p w14:paraId="19502F6F" w14:textId="77777777" w:rsidR="00BF3A3A" w:rsidRDefault="00A76802">
            <w:pPr>
              <w:jc w:val="center"/>
              <w:textAlignment w:val="bottom"/>
            </w:pPr>
            <w:r>
              <w:rPr>
                <w:rFonts w:ascii="sans-serif" w:eastAsia="sans-serif" w:hAnsi="sans-serif" w:cs="sans-serif"/>
                <w:color w:val="000000"/>
                <w:sz w:val="20"/>
                <w:szCs w:val="20"/>
              </w:rPr>
              <w:t>Level 1</w:t>
            </w:r>
          </w:p>
        </w:tc>
        <w:tc>
          <w:tcPr>
            <w:tcW w:w="0" w:type="auto"/>
            <w:gridSpan w:val="3"/>
            <w:shd w:val="clear" w:color="auto" w:fill="FFFFFF"/>
            <w:tcMar>
              <w:top w:w="0" w:type="dxa"/>
              <w:left w:w="20" w:type="dxa"/>
              <w:bottom w:w="0" w:type="dxa"/>
              <w:right w:w="20" w:type="dxa"/>
            </w:tcMar>
            <w:vAlign w:val="bottom"/>
          </w:tcPr>
          <w:p w14:paraId="19502F70"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2F71"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2F72" w14:textId="77777777" w:rsidR="00BF3A3A" w:rsidRDefault="00A76802">
            <w:pPr>
              <w:jc w:val="right"/>
              <w:textAlignment w:val="bottom"/>
            </w:pPr>
            <w:r>
              <w:rPr>
                <w:rFonts w:ascii="sans-serif" w:eastAsia="sans-serif" w:hAnsi="sans-serif" w:cs="sans-serif"/>
                <w:color w:val="000000"/>
                <w:sz w:val="20"/>
                <w:szCs w:val="20"/>
              </w:rPr>
              <w:t>639 </w:t>
            </w:r>
          </w:p>
        </w:tc>
        <w:tc>
          <w:tcPr>
            <w:tcW w:w="0" w:type="auto"/>
            <w:shd w:val="clear" w:color="auto" w:fill="FFFFFF"/>
            <w:tcMar>
              <w:top w:w="40" w:type="dxa"/>
              <w:left w:w="0" w:type="dxa"/>
              <w:bottom w:w="40" w:type="dxa"/>
              <w:right w:w="20" w:type="dxa"/>
            </w:tcMar>
            <w:vAlign w:val="bottom"/>
          </w:tcPr>
          <w:p w14:paraId="19502F7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F74"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2F75"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2F76" w14:textId="77777777" w:rsidR="00BF3A3A" w:rsidRDefault="00A76802">
            <w:pPr>
              <w:jc w:val="right"/>
              <w:textAlignment w:val="bottom"/>
            </w:pPr>
            <w:r>
              <w:rPr>
                <w:rFonts w:ascii="sans-serif" w:eastAsia="sans-serif" w:hAnsi="sans-serif" w:cs="sans-serif"/>
                <w:color w:val="000000"/>
                <w:sz w:val="20"/>
                <w:szCs w:val="20"/>
              </w:rPr>
              <w:t>316 </w:t>
            </w:r>
          </w:p>
        </w:tc>
        <w:tc>
          <w:tcPr>
            <w:tcW w:w="0" w:type="auto"/>
            <w:shd w:val="clear" w:color="auto" w:fill="FFFFFF"/>
            <w:tcMar>
              <w:top w:w="40" w:type="dxa"/>
              <w:left w:w="0" w:type="dxa"/>
              <w:bottom w:w="40" w:type="dxa"/>
              <w:right w:w="20" w:type="dxa"/>
            </w:tcMar>
            <w:vAlign w:val="bottom"/>
          </w:tcPr>
          <w:p w14:paraId="19502F77" w14:textId="77777777" w:rsidR="00BF3A3A" w:rsidRDefault="00BF3A3A">
            <w:pPr>
              <w:jc w:val="right"/>
              <w:rPr>
                <w:rFonts w:ascii="宋体"/>
              </w:rPr>
            </w:pPr>
          </w:p>
        </w:tc>
      </w:tr>
      <w:tr w:rsidR="00BF3A3A" w14:paraId="19502F83" w14:textId="77777777">
        <w:tc>
          <w:tcPr>
            <w:tcW w:w="0" w:type="auto"/>
            <w:gridSpan w:val="3"/>
            <w:shd w:val="clear" w:color="auto" w:fill="E2EFD9"/>
            <w:tcMar>
              <w:top w:w="40" w:type="dxa"/>
              <w:left w:w="200" w:type="dxa"/>
              <w:bottom w:w="40" w:type="dxa"/>
              <w:right w:w="20" w:type="dxa"/>
            </w:tcMar>
            <w:vAlign w:val="bottom"/>
          </w:tcPr>
          <w:p w14:paraId="19502F79" w14:textId="77777777" w:rsidR="00BF3A3A" w:rsidRDefault="00A76802">
            <w:pPr>
              <w:textAlignment w:val="bottom"/>
            </w:pPr>
            <w:r>
              <w:rPr>
                <w:rFonts w:ascii="sans-serif" w:eastAsia="sans-serif" w:hAnsi="sans-serif" w:cs="sans-serif"/>
                <w:color w:val="000000"/>
                <w:sz w:val="20"/>
                <w:szCs w:val="20"/>
              </w:rPr>
              <w:t>Corporate debt securities</w:t>
            </w:r>
          </w:p>
        </w:tc>
        <w:tc>
          <w:tcPr>
            <w:tcW w:w="0" w:type="auto"/>
            <w:gridSpan w:val="3"/>
            <w:shd w:val="clear" w:color="auto" w:fill="E2EFD9"/>
            <w:tcMar>
              <w:top w:w="40" w:type="dxa"/>
              <w:left w:w="20" w:type="dxa"/>
              <w:bottom w:w="40" w:type="dxa"/>
              <w:right w:w="20" w:type="dxa"/>
            </w:tcMar>
            <w:vAlign w:val="bottom"/>
          </w:tcPr>
          <w:p w14:paraId="19502F7A" w14:textId="77777777" w:rsidR="00BF3A3A" w:rsidRDefault="00A76802">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19502F7B"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F7C"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F7D" w14:textId="77777777" w:rsidR="00BF3A3A" w:rsidRDefault="00A76802">
            <w:pPr>
              <w:jc w:val="right"/>
              <w:textAlignment w:val="bottom"/>
            </w:pPr>
            <w:r>
              <w:rPr>
                <w:rFonts w:ascii="sans-serif" w:eastAsia="sans-serif" w:hAnsi="sans-serif" w:cs="sans-serif"/>
                <w:color w:val="000000"/>
                <w:sz w:val="20"/>
                <w:szCs w:val="20"/>
              </w:rPr>
              <w:t>7,998 </w:t>
            </w:r>
          </w:p>
        </w:tc>
        <w:tc>
          <w:tcPr>
            <w:tcW w:w="0" w:type="auto"/>
            <w:shd w:val="clear" w:color="auto" w:fill="E2EFD9"/>
            <w:tcMar>
              <w:top w:w="40" w:type="dxa"/>
              <w:left w:w="0" w:type="dxa"/>
              <w:bottom w:w="40" w:type="dxa"/>
              <w:right w:w="20" w:type="dxa"/>
            </w:tcMar>
            <w:vAlign w:val="bottom"/>
          </w:tcPr>
          <w:p w14:paraId="19502F7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F7F"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F80"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F81" w14:textId="77777777" w:rsidR="00BF3A3A" w:rsidRDefault="00A76802">
            <w:pPr>
              <w:jc w:val="right"/>
              <w:textAlignment w:val="bottom"/>
            </w:pPr>
            <w:r>
              <w:rPr>
                <w:rFonts w:ascii="sans-serif" w:eastAsia="sans-serif" w:hAnsi="sans-serif" w:cs="sans-serif"/>
                <w:color w:val="000000"/>
                <w:sz w:val="20"/>
                <w:szCs w:val="20"/>
              </w:rPr>
              <w:t>9,974 </w:t>
            </w:r>
          </w:p>
        </w:tc>
        <w:tc>
          <w:tcPr>
            <w:tcW w:w="0" w:type="auto"/>
            <w:shd w:val="clear" w:color="auto" w:fill="E2EFD9"/>
            <w:tcMar>
              <w:top w:w="40" w:type="dxa"/>
              <w:left w:w="0" w:type="dxa"/>
              <w:bottom w:w="40" w:type="dxa"/>
              <w:right w:w="20" w:type="dxa"/>
            </w:tcMar>
            <w:vAlign w:val="bottom"/>
          </w:tcPr>
          <w:p w14:paraId="19502F82" w14:textId="77777777" w:rsidR="00BF3A3A" w:rsidRDefault="00BF3A3A">
            <w:pPr>
              <w:jc w:val="right"/>
              <w:rPr>
                <w:rFonts w:ascii="宋体"/>
              </w:rPr>
            </w:pPr>
          </w:p>
        </w:tc>
      </w:tr>
      <w:tr w:rsidR="00BF3A3A" w14:paraId="19502F8E" w14:textId="77777777">
        <w:tc>
          <w:tcPr>
            <w:tcW w:w="0" w:type="auto"/>
            <w:gridSpan w:val="3"/>
            <w:shd w:val="clear" w:color="auto" w:fill="FFFFFF"/>
            <w:tcMar>
              <w:top w:w="40" w:type="dxa"/>
              <w:left w:w="200" w:type="dxa"/>
              <w:bottom w:w="40" w:type="dxa"/>
              <w:right w:w="20" w:type="dxa"/>
            </w:tcMar>
            <w:vAlign w:val="bottom"/>
          </w:tcPr>
          <w:p w14:paraId="19502F84" w14:textId="77777777" w:rsidR="00BF3A3A" w:rsidRDefault="00A76802">
            <w:pPr>
              <w:textAlignment w:val="bottom"/>
            </w:pPr>
            <w:r>
              <w:rPr>
                <w:rFonts w:ascii="sans-serif" w:eastAsia="sans-serif" w:hAnsi="sans-serif" w:cs="sans-serif"/>
                <w:color w:val="000000"/>
                <w:sz w:val="20"/>
                <w:szCs w:val="20"/>
              </w:rPr>
              <w:t>Debt securities issued by the United States Treasury</w:t>
            </w:r>
          </w:p>
        </w:tc>
        <w:tc>
          <w:tcPr>
            <w:tcW w:w="0" w:type="auto"/>
            <w:gridSpan w:val="3"/>
            <w:shd w:val="clear" w:color="auto" w:fill="FFFFFF"/>
            <w:tcMar>
              <w:top w:w="40" w:type="dxa"/>
              <w:left w:w="20" w:type="dxa"/>
              <w:bottom w:w="40" w:type="dxa"/>
              <w:right w:w="20" w:type="dxa"/>
            </w:tcMar>
            <w:vAlign w:val="bottom"/>
          </w:tcPr>
          <w:p w14:paraId="19502F85" w14:textId="77777777" w:rsidR="00BF3A3A" w:rsidRDefault="00A76802">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19502F86"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2F87"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2F88" w14:textId="77777777" w:rsidR="00BF3A3A" w:rsidRDefault="00A76802">
            <w:pPr>
              <w:jc w:val="right"/>
              <w:textAlignment w:val="bottom"/>
            </w:pPr>
            <w:r>
              <w:rPr>
                <w:rFonts w:ascii="sans-serif" w:eastAsia="sans-serif" w:hAnsi="sans-serif" w:cs="sans-serif"/>
                <w:color w:val="000000"/>
                <w:sz w:val="20"/>
                <w:szCs w:val="20"/>
              </w:rPr>
              <w:t>4,030 </w:t>
            </w:r>
          </w:p>
        </w:tc>
        <w:tc>
          <w:tcPr>
            <w:tcW w:w="0" w:type="auto"/>
            <w:shd w:val="clear" w:color="auto" w:fill="FFFFFF"/>
            <w:tcMar>
              <w:top w:w="40" w:type="dxa"/>
              <w:left w:w="0" w:type="dxa"/>
              <w:bottom w:w="40" w:type="dxa"/>
              <w:right w:w="20" w:type="dxa"/>
            </w:tcMar>
            <w:vAlign w:val="bottom"/>
          </w:tcPr>
          <w:p w14:paraId="19502F8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F8A"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2F8B"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2F8C" w14:textId="77777777" w:rsidR="00BF3A3A" w:rsidRDefault="00A76802">
            <w:pPr>
              <w:jc w:val="right"/>
              <w:textAlignment w:val="bottom"/>
            </w:pPr>
            <w:r>
              <w:rPr>
                <w:rFonts w:ascii="sans-serif" w:eastAsia="sans-serif" w:hAnsi="sans-serif" w:cs="sans-serif"/>
                <w:color w:val="000000"/>
                <w:sz w:val="20"/>
                <w:szCs w:val="20"/>
              </w:rPr>
              <w:t>7,300 </w:t>
            </w:r>
          </w:p>
        </w:tc>
        <w:tc>
          <w:tcPr>
            <w:tcW w:w="0" w:type="auto"/>
            <w:shd w:val="clear" w:color="auto" w:fill="FFFFFF"/>
            <w:tcMar>
              <w:top w:w="40" w:type="dxa"/>
              <w:left w:w="0" w:type="dxa"/>
              <w:bottom w:w="40" w:type="dxa"/>
              <w:right w:w="20" w:type="dxa"/>
            </w:tcMar>
            <w:vAlign w:val="bottom"/>
          </w:tcPr>
          <w:p w14:paraId="19502F8D" w14:textId="77777777" w:rsidR="00BF3A3A" w:rsidRDefault="00BF3A3A">
            <w:pPr>
              <w:jc w:val="right"/>
              <w:rPr>
                <w:rFonts w:ascii="宋体"/>
              </w:rPr>
            </w:pPr>
          </w:p>
        </w:tc>
      </w:tr>
      <w:tr w:rsidR="00BF3A3A" w14:paraId="19502F99" w14:textId="77777777">
        <w:tc>
          <w:tcPr>
            <w:tcW w:w="0" w:type="auto"/>
            <w:gridSpan w:val="3"/>
            <w:shd w:val="clear" w:color="auto" w:fill="E2EFD9"/>
            <w:tcMar>
              <w:top w:w="40" w:type="dxa"/>
              <w:left w:w="200" w:type="dxa"/>
              <w:bottom w:w="40" w:type="dxa"/>
              <w:right w:w="20" w:type="dxa"/>
            </w:tcMar>
            <w:vAlign w:val="bottom"/>
          </w:tcPr>
          <w:p w14:paraId="19502F8F" w14:textId="77777777" w:rsidR="00BF3A3A" w:rsidRDefault="00A76802">
            <w:pPr>
              <w:textAlignment w:val="bottom"/>
            </w:pPr>
            <w:r>
              <w:rPr>
                <w:rFonts w:ascii="sans-serif" w:eastAsia="sans-serif" w:hAnsi="sans-serif" w:cs="sans-serif"/>
                <w:color w:val="000000"/>
                <w:sz w:val="20"/>
                <w:szCs w:val="20"/>
              </w:rPr>
              <w:t>Debt securities issued by United States government agencies</w:t>
            </w:r>
          </w:p>
        </w:tc>
        <w:tc>
          <w:tcPr>
            <w:tcW w:w="0" w:type="auto"/>
            <w:gridSpan w:val="3"/>
            <w:shd w:val="clear" w:color="auto" w:fill="E2EFD9"/>
            <w:tcMar>
              <w:top w:w="40" w:type="dxa"/>
              <w:left w:w="20" w:type="dxa"/>
              <w:bottom w:w="40" w:type="dxa"/>
              <w:right w:w="20" w:type="dxa"/>
            </w:tcMar>
            <w:vAlign w:val="bottom"/>
          </w:tcPr>
          <w:p w14:paraId="19502F90" w14:textId="77777777" w:rsidR="00BF3A3A" w:rsidRDefault="00A76802">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19502F91"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F92"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F93" w14:textId="77777777" w:rsidR="00BF3A3A" w:rsidRDefault="00A76802">
            <w:pPr>
              <w:jc w:val="right"/>
              <w:textAlignment w:val="bottom"/>
            </w:pPr>
            <w:r>
              <w:rPr>
                <w:rFonts w:ascii="sans-serif" w:eastAsia="sans-serif" w:hAnsi="sans-serif" w:cs="sans-serif"/>
                <w:color w:val="000000"/>
                <w:sz w:val="20"/>
                <w:szCs w:val="20"/>
              </w:rPr>
              <w:t>3,054 </w:t>
            </w:r>
          </w:p>
        </w:tc>
        <w:tc>
          <w:tcPr>
            <w:tcW w:w="0" w:type="auto"/>
            <w:shd w:val="clear" w:color="auto" w:fill="E2EFD9"/>
            <w:tcMar>
              <w:top w:w="40" w:type="dxa"/>
              <w:left w:w="0" w:type="dxa"/>
              <w:bottom w:w="40" w:type="dxa"/>
              <w:right w:w="20" w:type="dxa"/>
            </w:tcMar>
            <w:vAlign w:val="bottom"/>
          </w:tcPr>
          <w:p w14:paraId="19502F9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F95"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F96"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F97" w14:textId="77777777" w:rsidR="00BF3A3A" w:rsidRDefault="00A76802">
            <w:pPr>
              <w:jc w:val="right"/>
              <w:textAlignment w:val="bottom"/>
            </w:pPr>
            <w:r>
              <w:rPr>
                <w:rFonts w:ascii="sans-serif" w:eastAsia="sans-serif" w:hAnsi="sans-serif" w:cs="sans-serif"/>
                <w:color w:val="000000"/>
                <w:sz w:val="20"/>
                <w:szCs w:val="20"/>
              </w:rPr>
              <w:t>1,612 </w:t>
            </w:r>
          </w:p>
        </w:tc>
        <w:tc>
          <w:tcPr>
            <w:tcW w:w="0" w:type="auto"/>
            <w:shd w:val="clear" w:color="auto" w:fill="E2EFD9"/>
            <w:tcMar>
              <w:top w:w="40" w:type="dxa"/>
              <w:left w:w="0" w:type="dxa"/>
              <w:bottom w:w="40" w:type="dxa"/>
              <w:right w:w="20" w:type="dxa"/>
            </w:tcMar>
            <w:vAlign w:val="bottom"/>
          </w:tcPr>
          <w:p w14:paraId="19502F98" w14:textId="77777777" w:rsidR="00BF3A3A" w:rsidRDefault="00BF3A3A">
            <w:pPr>
              <w:jc w:val="right"/>
              <w:rPr>
                <w:rFonts w:ascii="宋体"/>
              </w:rPr>
            </w:pPr>
          </w:p>
        </w:tc>
      </w:tr>
      <w:tr w:rsidR="00BF3A3A" w14:paraId="19502FA4" w14:textId="77777777">
        <w:tc>
          <w:tcPr>
            <w:tcW w:w="0" w:type="auto"/>
            <w:gridSpan w:val="3"/>
            <w:shd w:val="clear" w:color="auto" w:fill="FFFFFF"/>
            <w:tcMar>
              <w:top w:w="40" w:type="dxa"/>
              <w:left w:w="200" w:type="dxa"/>
              <w:bottom w:w="40" w:type="dxa"/>
              <w:right w:w="20" w:type="dxa"/>
            </w:tcMar>
            <w:vAlign w:val="bottom"/>
          </w:tcPr>
          <w:p w14:paraId="19502F9A" w14:textId="77777777" w:rsidR="00BF3A3A" w:rsidRDefault="00A76802">
            <w:pPr>
              <w:textAlignment w:val="bottom"/>
            </w:pPr>
            <w:r>
              <w:rPr>
                <w:rFonts w:ascii="sans-serif" w:eastAsia="sans-serif" w:hAnsi="sans-serif" w:cs="sans-serif"/>
                <w:color w:val="000000"/>
                <w:sz w:val="20"/>
                <w:szCs w:val="20"/>
              </w:rPr>
              <w:t>Certificates of deposit</w:t>
            </w:r>
          </w:p>
        </w:tc>
        <w:tc>
          <w:tcPr>
            <w:tcW w:w="0" w:type="auto"/>
            <w:gridSpan w:val="3"/>
            <w:shd w:val="clear" w:color="auto" w:fill="FFFFFF"/>
            <w:tcMar>
              <w:top w:w="40" w:type="dxa"/>
              <w:left w:w="20" w:type="dxa"/>
              <w:bottom w:w="40" w:type="dxa"/>
              <w:right w:w="20" w:type="dxa"/>
            </w:tcMar>
            <w:vAlign w:val="bottom"/>
          </w:tcPr>
          <w:p w14:paraId="19502F9B" w14:textId="77777777" w:rsidR="00BF3A3A" w:rsidRDefault="00A76802">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19502F9C"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2F9D"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2F9E" w14:textId="77777777" w:rsidR="00BF3A3A" w:rsidRDefault="00A76802">
            <w:pPr>
              <w:jc w:val="right"/>
              <w:textAlignment w:val="bottom"/>
            </w:pPr>
            <w:r>
              <w:rPr>
                <w:rFonts w:ascii="sans-serif" w:eastAsia="sans-serif" w:hAnsi="sans-serif" w:cs="sans-serif"/>
                <w:color w:val="000000"/>
                <w:sz w:val="20"/>
                <w:szCs w:val="20"/>
              </w:rPr>
              <w:t>856 </w:t>
            </w:r>
          </w:p>
        </w:tc>
        <w:tc>
          <w:tcPr>
            <w:tcW w:w="0" w:type="auto"/>
            <w:shd w:val="clear" w:color="auto" w:fill="FFFFFF"/>
            <w:tcMar>
              <w:top w:w="40" w:type="dxa"/>
              <w:left w:w="0" w:type="dxa"/>
              <w:bottom w:w="40" w:type="dxa"/>
              <w:right w:w="20" w:type="dxa"/>
            </w:tcMar>
            <w:vAlign w:val="bottom"/>
          </w:tcPr>
          <w:p w14:paraId="19502F9F"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FA0"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2FA1"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2FA2" w14:textId="77777777" w:rsidR="00BF3A3A" w:rsidRDefault="00A76802">
            <w:pPr>
              <w:jc w:val="right"/>
              <w:textAlignment w:val="bottom"/>
            </w:pPr>
            <w:r>
              <w:rPr>
                <w:rFonts w:ascii="sans-serif" w:eastAsia="sans-serif" w:hAnsi="sans-serif" w:cs="sans-serif"/>
                <w:color w:val="000000"/>
                <w:sz w:val="20"/>
                <w:szCs w:val="20"/>
              </w:rPr>
              <w:t>1,561 </w:t>
            </w:r>
          </w:p>
        </w:tc>
        <w:tc>
          <w:tcPr>
            <w:tcW w:w="0" w:type="auto"/>
            <w:shd w:val="clear" w:color="auto" w:fill="FFFFFF"/>
            <w:tcMar>
              <w:top w:w="40" w:type="dxa"/>
              <w:left w:w="0" w:type="dxa"/>
              <w:bottom w:w="40" w:type="dxa"/>
              <w:right w:w="20" w:type="dxa"/>
            </w:tcMar>
            <w:vAlign w:val="bottom"/>
          </w:tcPr>
          <w:p w14:paraId="19502FA3" w14:textId="77777777" w:rsidR="00BF3A3A" w:rsidRDefault="00BF3A3A">
            <w:pPr>
              <w:jc w:val="right"/>
              <w:rPr>
                <w:rFonts w:ascii="宋体"/>
              </w:rPr>
            </w:pPr>
          </w:p>
        </w:tc>
      </w:tr>
      <w:tr w:rsidR="00BF3A3A" w14:paraId="19502FAF" w14:textId="77777777">
        <w:tc>
          <w:tcPr>
            <w:tcW w:w="0" w:type="auto"/>
            <w:gridSpan w:val="3"/>
            <w:shd w:val="clear" w:color="auto" w:fill="E2EFD9"/>
            <w:tcMar>
              <w:top w:w="40" w:type="dxa"/>
              <w:left w:w="200" w:type="dxa"/>
              <w:bottom w:w="40" w:type="dxa"/>
              <w:right w:w="20" w:type="dxa"/>
            </w:tcMar>
            <w:vAlign w:val="bottom"/>
          </w:tcPr>
          <w:p w14:paraId="19502FA5" w14:textId="77777777" w:rsidR="00BF3A3A" w:rsidRDefault="00A76802">
            <w:pPr>
              <w:textAlignment w:val="bottom"/>
            </w:pPr>
            <w:r>
              <w:rPr>
                <w:rFonts w:ascii="sans-serif" w:eastAsia="sans-serif" w:hAnsi="sans-serif" w:cs="sans-serif"/>
                <w:color w:val="000000"/>
                <w:sz w:val="20"/>
                <w:szCs w:val="20"/>
              </w:rPr>
              <w:t>Foreign government bonds</w:t>
            </w:r>
          </w:p>
        </w:tc>
        <w:tc>
          <w:tcPr>
            <w:tcW w:w="0" w:type="auto"/>
            <w:gridSpan w:val="3"/>
            <w:shd w:val="clear" w:color="auto" w:fill="E2EFD9"/>
            <w:tcMar>
              <w:top w:w="40" w:type="dxa"/>
              <w:left w:w="20" w:type="dxa"/>
              <w:bottom w:w="40" w:type="dxa"/>
              <w:right w:w="20" w:type="dxa"/>
            </w:tcMar>
            <w:vAlign w:val="bottom"/>
          </w:tcPr>
          <w:p w14:paraId="19502FA6" w14:textId="77777777" w:rsidR="00BF3A3A" w:rsidRDefault="00A76802">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19502FA7"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FA8"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FA9" w14:textId="77777777" w:rsidR="00BF3A3A" w:rsidRDefault="00A76802">
            <w:pPr>
              <w:jc w:val="right"/>
              <w:textAlignment w:val="bottom"/>
            </w:pPr>
            <w:r>
              <w:rPr>
                <w:rFonts w:ascii="sans-serif" w:eastAsia="sans-serif" w:hAnsi="sans-serif" w:cs="sans-serif"/>
                <w:color w:val="000000"/>
                <w:sz w:val="20"/>
                <w:szCs w:val="20"/>
              </w:rPr>
              <w:t>15 </w:t>
            </w:r>
          </w:p>
        </w:tc>
        <w:tc>
          <w:tcPr>
            <w:tcW w:w="0" w:type="auto"/>
            <w:shd w:val="clear" w:color="auto" w:fill="E2EFD9"/>
            <w:tcMar>
              <w:top w:w="40" w:type="dxa"/>
              <w:left w:w="0" w:type="dxa"/>
              <w:bottom w:w="40" w:type="dxa"/>
              <w:right w:w="20" w:type="dxa"/>
            </w:tcMar>
            <w:vAlign w:val="bottom"/>
          </w:tcPr>
          <w:p w14:paraId="19502FA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FAB"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FAC"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FAD" w14:textId="77777777" w:rsidR="00BF3A3A" w:rsidRDefault="00A76802">
            <w:pPr>
              <w:jc w:val="right"/>
              <w:textAlignment w:val="bottom"/>
            </w:pPr>
            <w:r>
              <w:rPr>
                <w:rFonts w:ascii="sans-serif" w:eastAsia="sans-serif" w:hAnsi="sans-serif" w:cs="sans-serif"/>
                <w:color w:val="000000"/>
                <w:sz w:val="20"/>
                <w:szCs w:val="20"/>
              </w:rPr>
              <w:t>150 </w:t>
            </w:r>
          </w:p>
        </w:tc>
        <w:tc>
          <w:tcPr>
            <w:tcW w:w="0" w:type="auto"/>
            <w:shd w:val="clear" w:color="auto" w:fill="E2EFD9"/>
            <w:tcMar>
              <w:top w:w="40" w:type="dxa"/>
              <w:left w:w="0" w:type="dxa"/>
              <w:bottom w:w="40" w:type="dxa"/>
              <w:right w:w="20" w:type="dxa"/>
            </w:tcMar>
            <w:vAlign w:val="bottom"/>
          </w:tcPr>
          <w:p w14:paraId="19502FAE" w14:textId="77777777" w:rsidR="00BF3A3A" w:rsidRDefault="00BF3A3A">
            <w:pPr>
              <w:jc w:val="right"/>
              <w:rPr>
                <w:rFonts w:ascii="宋体"/>
              </w:rPr>
            </w:pPr>
          </w:p>
        </w:tc>
      </w:tr>
      <w:tr w:rsidR="00BF3A3A" w14:paraId="19502FB6" w14:textId="77777777">
        <w:trPr>
          <w:hidden/>
        </w:trPr>
        <w:tc>
          <w:tcPr>
            <w:tcW w:w="0" w:type="auto"/>
            <w:gridSpan w:val="3"/>
            <w:shd w:val="clear" w:color="auto" w:fill="auto"/>
            <w:vAlign w:val="bottom"/>
          </w:tcPr>
          <w:p w14:paraId="19502FB0" w14:textId="77777777" w:rsidR="00BF3A3A" w:rsidRDefault="00BF3A3A">
            <w:pPr>
              <w:rPr>
                <w:rFonts w:ascii="宋体"/>
                <w:vanish/>
              </w:rPr>
            </w:pPr>
          </w:p>
        </w:tc>
        <w:tc>
          <w:tcPr>
            <w:tcW w:w="0" w:type="auto"/>
            <w:gridSpan w:val="3"/>
            <w:shd w:val="clear" w:color="auto" w:fill="auto"/>
            <w:vAlign w:val="bottom"/>
          </w:tcPr>
          <w:p w14:paraId="19502FB1" w14:textId="77777777" w:rsidR="00BF3A3A" w:rsidRDefault="00BF3A3A">
            <w:pPr>
              <w:rPr>
                <w:rFonts w:ascii="宋体"/>
                <w:vanish/>
              </w:rPr>
            </w:pPr>
          </w:p>
        </w:tc>
        <w:tc>
          <w:tcPr>
            <w:tcW w:w="0" w:type="auto"/>
            <w:gridSpan w:val="3"/>
            <w:shd w:val="clear" w:color="auto" w:fill="auto"/>
            <w:vAlign w:val="bottom"/>
          </w:tcPr>
          <w:p w14:paraId="19502FB2" w14:textId="77777777" w:rsidR="00BF3A3A" w:rsidRDefault="00BF3A3A">
            <w:pPr>
              <w:rPr>
                <w:rFonts w:ascii="宋体"/>
                <w:vanish/>
              </w:rPr>
            </w:pPr>
          </w:p>
        </w:tc>
        <w:tc>
          <w:tcPr>
            <w:tcW w:w="0" w:type="auto"/>
            <w:gridSpan w:val="3"/>
            <w:shd w:val="clear" w:color="auto" w:fill="auto"/>
            <w:vAlign w:val="bottom"/>
          </w:tcPr>
          <w:p w14:paraId="19502FB3" w14:textId="77777777" w:rsidR="00BF3A3A" w:rsidRDefault="00BF3A3A">
            <w:pPr>
              <w:rPr>
                <w:rFonts w:ascii="宋体"/>
                <w:vanish/>
              </w:rPr>
            </w:pPr>
          </w:p>
        </w:tc>
        <w:tc>
          <w:tcPr>
            <w:tcW w:w="0" w:type="auto"/>
            <w:gridSpan w:val="3"/>
            <w:shd w:val="clear" w:color="auto" w:fill="auto"/>
            <w:vAlign w:val="bottom"/>
          </w:tcPr>
          <w:p w14:paraId="19502FB4" w14:textId="77777777" w:rsidR="00BF3A3A" w:rsidRDefault="00BF3A3A">
            <w:pPr>
              <w:rPr>
                <w:rFonts w:ascii="宋体"/>
                <w:vanish/>
              </w:rPr>
            </w:pPr>
          </w:p>
        </w:tc>
        <w:tc>
          <w:tcPr>
            <w:tcW w:w="0" w:type="auto"/>
            <w:gridSpan w:val="3"/>
            <w:shd w:val="clear" w:color="auto" w:fill="auto"/>
            <w:vAlign w:val="bottom"/>
          </w:tcPr>
          <w:p w14:paraId="19502FB5" w14:textId="77777777" w:rsidR="00BF3A3A" w:rsidRDefault="00BF3A3A">
            <w:pPr>
              <w:rPr>
                <w:rFonts w:ascii="宋体"/>
                <w:vanish/>
              </w:rPr>
            </w:pPr>
          </w:p>
        </w:tc>
      </w:tr>
      <w:tr w:rsidR="00BF3A3A" w14:paraId="19502FBD" w14:textId="77777777">
        <w:trPr>
          <w:hidden/>
        </w:trPr>
        <w:tc>
          <w:tcPr>
            <w:tcW w:w="0" w:type="auto"/>
            <w:gridSpan w:val="3"/>
            <w:shd w:val="clear" w:color="auto" w:fill="auto"/>
            <w:vAlign w:val="bottom"/>
          </w:tcPr>
          <w:p w14:paraId="19502FB7" w14:textId="77777777" w:rsidR="00BF3A3A" w:rsidRDefault="00BF3A3A">
            <w:pPr>
              <w:rPr>
                <w:rFonts w:ascii="宋体"/>
                <w:vanish/>
              </w:rPr>
            </w:pPr>
          </w:p>
        </w:tc>
        <w:tc>
          <w:tcPr>
            <w:tcW w:w="0" w:type="auto"/>
            <w:gridSpan w:val="3"/>
            <w:shd w:val="clear" w:color="auto" w:fill="auto"/>
            <w:vAlign w:val="bottom"/>
          </w:tcPr>
          <w:p w14:paraId="19502FB8" w14:textId="77777777" w:rsidR="00BF3A3A" w:rsidRDefault="00BF3A3A">
            <w:pPr>
              <w:rPr>
                <w:rFonts w:ascii="宋体"/>
                <w:vanish/>
              </w:rPr>
            </w:pPr>
          </w:p>
        </w:tc>
        <w:tc>
          <w:tcPr>
            <w:tcW w:w="0" w:type="auto"/>
            <w:gridSpan w:val="3"/>
            <w:shd w:val="clear" w:color="auto" w:fill="auto"/>
            <w:vAlign w:val="bottom"/>
          </w:tcPr>
          <w:p w14:paraId="19502FB9" w14:textId="77777777" w:rsidR="00BF3A3A" w:rsidRDefault="00BF3A3A">
            <w:pPr>
              <w:rPr>
                <w:rFonts w:ascii="宋体"/>
                <w:vanish/>
              </w:rPr>
            </w:pPr>
          </w:p>
        </w:tc>
        <w:tc>
          <w:tcPr>
            <w:tcW w:w="0" w:type="auto"/>
            <w:gridSpan w:val="3"/>
            <w:shd w:val="clear" w:color="auto" w:fill="auto"/>
            <w:vAlign w:val="bottom"/>
          </w:tcPr>
          <w:p w14:paraId="19502FBA" w14:textId="77777777" w:rsidR="00BF3A3A" w:rsidRDefault="00BF3A3A">
            <w:pPr>
              <w:rPr>
                <w:rFonts w:ascii="宋体"/>
                <w:vanish/>
              </w:rPr>
            </w:pPr>
          </w:p>
        </w:tc>
        <w:tc>
          <w:tcPr>
            <w:tcW w:w="0" w:type="auto"/>
            <w:gridSpan w:val="3"/>
            <w:shd w:val="clear" w:color="auto" w:fill="auto"/>
            <w:vAlign w:val="bottom"/>
          </w:tcPr>
          <w:p w14:paraId="19502FBB" w14:textId="77777777" w:rsidR="00BF3A3A" w:rsidRDefault="00BF3A3A">
            <w:pPr>
              <w:rPr>
                <w:rFonts w:ascii="宋体"/>
                <w:vanish/>
              </w:rPr>
            </w:pPr>
          </w:p>
        </w:tc>
        <w:tc>
          <w:tcPr>
            <w:tcW w:w="0" w:type="auto"/>
            <w:gridSpan w:val="3"/>
            <w:shd w:val="clear" w:color="auto" w:fill="auto"/>
            <w:vAlign w:val="bottom"/>
          </w:tcPr>
          <w:p w14:paraId="19502FBC" w14:textId="77777777" w:rsidR="00BF3A3A" w:rsidRDefault="00BF3A3A">
            <w:pPr>
              <w:rPr>
                <w:rFonts w:ascii="宋体"/>
                <w:vanish/>
              </w:rPr>
            </w:pPr>
          </w:p>
        </w:tc>
      </w:tr>
      <w:tr w:rsidR="00BF3A3A" w14:paraId="19502FC4" w14:textId="77777777">
        <w:tc>
          <w:tcPr>
            <w:tcW w:w="0" w:type="auto"/>
            <w:gridSpan w:val="3"/>
            <w:shd w:val="clear" w:color="auto" w:fill="FFFFFF"/>
            <w:tcMar>
              <w:top w:w="40" w:type="dxa"/>
              <w:left w:w="20" w:type="dxa"/>
              <w:bottom w:w="40" w:type="dxa"/>
              <w:right w:w="20" w:type="dxa"/>
            </w:tcMar>
            <w:vAlign w:val="bottom"/>
          </w:tcPr>
          <w:p w14:paraId="19502FBE" w14:textId="77777777" w:rsidR="00BF3A3A" w:rsidRDefault="00A76802">
            <w:pPr>
              <w:textAlignment w:val="bottom"/>
            </w:pPr>
            <w:r>
              <w:rPr>
                <w:rFonts w:ascii="sans-serif" w:eastAsia="sans-serif" w:hAnsi="sans-serif" w:cs="sans-serif"/>
                <w:color w:val="000000"/>
                <w:sz w:val="20"/>
                <w:szCs w:val="20"/>
              </w:rPr>
              <w:t>Other assets (Investment in non-affiliated entities):</w:t>
            </w:r>
          </w:p>
        </w:tc>
        <w:tc>
          <w:tcPr>
            <w:tcW w:w="0" w:type="auto"/>
            <w:gridSpan w:val="3"/>
            <w:shd w:val="clear" w:color="auto" w:fill="FFFFFF"/>
            <w:tcMar>
              <w:top w:w="0" w:type="dxa"/>
              <w:left w:w="20" w:type="dxa"/>
              <w:bottom w:w="0" w:type="dxa"/>
              <w:right w:w="20" w:type="dxa"/>
            </w:tcMar>
            <w:vAlign w:val="bottom"/>
          </w:tcPr>
          <w:p w14:paraId="19502FBF"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FC0"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FC1"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FC2"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FC3" w14:textId="77777777" w:rsidR="00BF3A3A" w:rsidRDefault="00BF3A3A">
            <w:pPr>
              <w:rPr>
                <w:rFonts w:ascii="宋体"/>
              </w:rPr>
            </w:pPr>
          </w:p>
        </w:tc>
      </w:tr>
      <w:tr w:rsidR="00BF3A3A" w14:paraId="19502FCF" w14:textId="77777777">
        <w:tc>
          <w:tcPr>
            <w:tcW w:w="0" w:type="auto"/>
            <w:gridSpan w:val="3"/>
            <w:shd w:val="clear" w:color="auto" w:fill="E2EFD9"/>
            <w:tcMar>
              <w:top w:w="40" w:type="dxa"/>
              <w:left w:w="200" w:type="dxa"/>
              <w:bottom w:w="40" w:type="dxa"/>
              <w:right w:w="20" w:type="dxa"/>
            </w:tcMar>
            <w:vAlign w:val="bottom"/>
          </w:tcPr>
          <w:p w14:paraId="19502FC5" w14:textId="77777777" w:rsidR="00BF3A3A" w:rsidRDefault="00A76802">
            <w:pPr>
              <w:textAlignment w:val="bottom"/>
            </w:pPr>
            <w:r>
              <w:rPr>
                <w:rFonts w:ascii="sans-serif" w:eastAsia="sans-serif" w:hAnsi="sans-serif" w:cs="sans-serif"/>
                <w:color w:val="000000"/>
                <w:sz w:val="20"/>
                <w:szCs w:val="20"/>
              </w:rPr>
              <w:t>Publicly-held equity securities (1)</w:t>
            </w:r>
          </w:p>
        </w:tc>
        <w:tc>
          <w:tcPr>
            <w:tcW w:w="0" w:type="auto"/>
            <w:gridSpan w:val="3"/>
            <w:shd w:val="clear" w:color="auto" w:fill="E2EFD9"/>
            <w:tcMar>
              <w:top w:w="40" w:type="dxa"/>
              <w:left w:w="20" w:type="dxa"/>
              <w:bottom w:w="40" w:type="dxa"/>
              <w:right w:w="20" w:type="dxa"/>
            </w:tcMar>
            <w:vAlign w:val="bottom"/>
          </w:tcPr>
          <w:p w14:paraId="19502FC6" w14:textId="77777777" w:rsidR="00BF3A3A" w:rsidRDefault="00A76802">
            <w:pPr>
              <w:jc w:val="center"/>
              <w:textAlignment w:val="bottom"/>
            </w:pPr>
            <w:r>
              <w:rPr>
                <w:rFonts w:ascii="sans-serif" w:eastAsia="sans-serif" w:hAnsi="sans-serif" w:cs="sans-serif"/>
                <w:color w:val="000000"/>
                <w:sz w:val="20"/>
                <w:szCs w:val="20"/>
              </w:rPr>
              <w:t>Level 1</w:t>
            </w:r>
          </w:p>
        </w:tc>
        <w:tc>
          <w:tcPr>
            <w:tcW w:w="0" w:type="auto"/>
            <w:gridSpan w:val="3"/>
            <w:shd w:val="clear" w:color="auto" w:fill="E2EFD9"/>
            <w:tcMar>
              <w:top w:w="0" w:type="dxa"/>
              <w:left w:w="20" w:type="dxa"/>
              <w:bottom w:w="0" w:type="dxa"/>
              <w:right w:w="20" w:type="dxa"/>
            </w:tcMar>
            <w:vAlign w:val="bottom"/>
          </w:tcPr>
          <w:p w14:paraId="19502FC7"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FC8"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FC9" w14:textId="77777777" w:rsidR="00BF3A3A" w:rsidRDefault="00A76802">
            <w:pPr>
              <w:jc w:val="right"/>
              <w:textAlignment w:val="bottom"/>
            </w:pPr>
            <w:r>
              <w:rPr>
                <w:rFonts w:ascii="sans-serif" w:eastAsia="sans-serif" w:hAnsi="sans-serif" w:cs="sans-serif"/>
                <w:color w:val="000000"/>
                <w:sz w:val="20"/>
                <w:szCs w:val="20"/>
              </w:rPr>
              <w:t>41 </w:t>
            </w:r>
          </w:p>
        </w:tc>
        <w:tc>
          <w:tcPr>
            <w:tcW w:w="0" w:type="auto"/>
            <w:shd w:val="clear" w:color="auto" w:fill="E2EFD9"/>
            <w:tcMar>
              <w:top w:w="40" w:type="dxa"/>
              <w:left w:w="0" w:type="dxa"/>
              <w:bottom w:w="40" w:type="dxa"/>
              <w:right w:w="20" w:type="dxa"/>
            </w:tcMar>
            <w:vAlign w:val="bottom"/>
          </w:tcPr>
          <w:p w14:paraId="19502FC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2FCB"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2FCC"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2FCD" w14:textId="77777777" w:rsidR="00BF3A3A" w:rsidRDefault="00A76802">
            <w:pPr>
              <w:jc w:val="right"/>
              <w:textAlignment w:val="bottom"/>
            </w:pPr>
            <w:r>
              <w:rPr>
                <w:rFonts w:ascii="sans-serif" w:eastAsia="sans-serif" w:hAnsi="sans-serif" w:cs="sans-serif"/>
                <w:color w:val="000000"/>
                <w:sz w:val="20"/>
                <w:szCs w:val="20"/>
              </w:rPr>
              <w:t>58 </w:t>
            </w:r>
          </w:p>
        </w:tc>
        <w:tc>
          <w:tcPr>
            <w:tcW w:w="0" w:type="auto"/>
            <w:shd w:val="clear" w:color="auto" w:fill="E2EFD9"/>
            <w:tcMar>
              <w:top w:w="40" w:type="dxa"/>
              <w:left w:w="0" w:type="dxa"/>
              <w:bottom w:w="40" w:type="dxa"/>
              <w:right w:w="20" w:type="dxa"/>
            </w:tcMar>
            <w:vAlign w:val="bottom"/>
          </w:tcPr>
          <w:p w14:paraId="19502FCE" w14:textId="77777777" w:rsidR="00BF3A3A" w:rsidRDefault="00BF3A3A">
            <w:pPr>
              <w:jc w:val="right"/>
              <w:rPr>
                <w:rFonts w:ascii="宋体"/>
              </w:rPr>
            </w:pPr>
          </w:p>
        </w:tc>
      </w:tr>
      <w:tr w:rsidR="00BF3A3A" w14:paraId="19502FDA" w14:textId="77777777">
        <w:tc>
          <w:tcPr>
            <w:tcW w:w="0" w:type="auto"/>
            <w:gridSpan w:val="3"/>
            <w:shd w:val="clear" w:color="auto" w:fill="FFFFFF"/>
            <w:tcMar>
              <w:top w:w="40" w:type="dxa"/>
              <w:left w:w="200" w:type="dxa"/>
              <w:bottom w:w="40" w:type="dxa"/>
              <w:right w:w="20" w:type="dxa"/>
            </w:tcMar>
            <w:vAlign w:val="bottom"/>
          </w:tcPr>
          <w:p w14:paraId="19502FD0" w14:textId="77777777" w:rsidR="00BF3A3A" w:rsidRDefault="00A76802">
            <w:pPr>
              <w:textAlignment w:val="bottom"/>
            </w:pPr>
            <w:r>
              <w:rPr>
                <w:rFonts w:ascii="sans-serif" w:eastAsia="sans-serif" w:hAnsi="sans-serif" w:cs="sans-serif"/>
                <w:color w:val="000000"/>
                <w:sz w:val="20"/>
                <w:szCs w:val="20"/>
              </w:rPr>
              <w:t>Privately-held equity securities</w:t>
            </w:r>
          </w:p>
        </w:tc>
        <w:tc>
          <w:tcPr>
            <w:tcW w:w="0" w:type="auto"/>
            <w:gridSpan w:val="3"/>
            <w:shd w:val="clear" w:color="auto" w:fill="FFFFFF"/>
            <w:tcMar>
              <w:top w:w="40" w:type="dxa"/>
              <w:left w:w="20" w:type="dxa"/>
              <w:bottom w:w="40" w:type="dxa"/>
              <w:right w:w="20" w:type="dxa"/>
            </w:tcMar>
            <w:vAlign w:val="bottom"/>
          </w:tcPr>
          <w:p w14:paraId="19502FD1" w14:textId="77777777" w:rsidR="00BF3A3A" w:rsidRDefault="00A76802">
            <w:pPr>
              <w:jc w:val="center"/>
              <w:textAlignment w:val="bottom"/>
            </w:pPr>
            <w:r>
              <w:rPr>
                <w:rFonts w:ascii="sans-serif" w:eastAsia="sans-serif" w:hAnsi="sans-serif" w:cs="sans-serif"/>
                <w:color w:val="000000"/>
                <w:sz w:val="20"/>
                <w:szCs w:val="20"/>
              </w:rPr>
              <w:t>Level 3</w:t>
            </w:r>
          </w:p>
        </w:tc>
        <w:tc>
          <w:tcPr>
            <w:tcW w:w="0" w:type="auto"/>
            <w:gridSpan w:val="3"/>
            <w:shd w:val="clear" w:color="auto" w:fill="FFFFFF"/>
            <w:tcMar>
              <w:top w:w="0" w:type="dxa"/>
              <w:left w:w="20" w:type="dxa"/>
              <w:bottom w:w="0" w:type="dxa"/>
              <w:right w:w="20" w:type="dxa"/>
            </w:tcMar>
            <w:vAlign w:val="bottom"/>
          </w:tcPr>
          <w:p w14:paraId="19502FD2"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2FD3"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2FD4" w14:textId="77777777" w:rsidR="00BF3A3A" w:rsidRDefault="00A76802">
            <w:pPr>
              <w:jc w:val="right"/>
              <w:textAlignment w:val="bottom"/>
            </w:pPr>
            <w:r>
              <w:rPr>
                <w:rFonts w:ascii="sans-serif" w:eastAsia="sans-serif" w:hAnsi="sans-serif" w:cs="sans-serif"/>
                <w:color w:val="000000"/>
                <w:sz w:val="20"/>
                <w:szCs w:val="20"/>
              </w:rPr>
              <w:t>266 </w:t>
            </w:r>
          </w:p>
        </w:tc>
        <w:tc>
          <w:tcPr>
            <w:tcW w:w="0" w:type="auto"/>
            <w:shd w:val="clear" w:color="auto" w:fill="FFFFFF"/>
            <w:tcMar>
              <w:top w:w="40" w:type="dxa"/>
              <w:left w:w="0" w:type="dxa"/>
              <w:bottom w:w="40" w:type="dxa"/>
              <w:right w:w="20" w:type="dxa"/>
            </w:tcMar>
            <w:vAlign w:val="bottom"/>
          </w:tcPr>
          <w:p w14:paraId="19502FD5"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2FD6"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2FD7"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2FD8" w14:textId="77777777" w:rsidR="00BF3A3A" w:rsidRDefault="00A76802">
            <w:pPr>
              <w:jc w:val="right"/>
              <w:textAlignment w:val="bottom"/>
            </w:pPr>
            <w:r>
              <w:rPr>
                <w:rFonts w:ascii="sans-serif" w:eastAsia="sans-serif" w:hAnsi="sans-serif" w:cs="sans-serif"/>
                <w:color w:val="000000"/>
                <w:sz w:val="20"/>
                <w:szCs w:val="20"/>
              </w:rPr>
              <w:t>208 </w:t>
            </w:r>
          </w:p>
        </w:tc>
        <w:tc>
          <w:tcPr>
            <w:tcW w:w="0" w:type="auto"/>
            <w:shd w:val="clear" w:color="auto" w:fill="FFFFFF"/>
            <w:tcMar>
              <w:top w:w="40" w:type="dxa"/>
              <w:left w:w="0" w:type="dxa"/>
              <w:bottom w:w="40" w:type="dxa"/>
              <w:right w:w="20" w:type="dxa"/>
            </w:tcMar>
            <w:vAlign w:val="bottom"/>
          </w:tcPr>
          <w:p w14:paraId="19502FD9" w14:textId="77777777" w:rsidR="00BF3A3A" w:rsidRDefault="00BF3A3A">
            <w:pPr>
              <w:jc w:val="right"/>
              <w:rPr>
                <w:rFonts w:ascii="宋体"/>
              </w:rPr>
            </w:pPr>
          </w:p>
        </w:tc>
      </w:tr>
      <w:tr w:rsidR="00BF3A3A" w14:paraId="19502FE1" w14:textId="77777777">
        <w:trPr>
          <w:trHeight w:val="300"/>
        </w:trPr>
        <w:tc>
          <w:tcPr>
            <w:tcW w:w="0" w:type="auto"/>
            <w:gridSpan w:val="3"/>
            <w:shd w:val="clear" w:color="auto" w:fill="E2EFD9"/>
            <w:tcMar>
              <w:top w:w="0" w:type="dxa"/>
              <w:left w:w="20" w:type="dxa"/>
              <w:bottom w:w="0" w:type="dxa"/>
              <w:right w:w="20" w:type="dxa"/>
            </w:tcMar>
            <w:vAlign w:val="bottom"/>
          </w:tcPr>
          <w:p w14:paraId="19502FDB"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FDC"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FDD"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FDE"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FDF"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2FE0" w14:textId="77777777" w:rsidR="00BF3A3A" w:rsidRDefault="00BF3A3A">
            <w:pPr>
              <w:rPr>
                <w:rFonts w:ascii="宋体"/>
              </w:rPr>
            </w:pPr>
          </w:p>
        </w:tc>
      </w:tr>
      <w:tr w:rsidR="00BF3A3A" w14:paraId="19502FE8" w14:textId="77777777">
        <w:trPr>
          <w:hidden/>
        </w:trPr>
        <w:tc>
          <w:tcPr>
            <w:tcW w:w="0" w:type="auto"/>
            <w:gridSpan w:val="3"/>
            <w:shd w:val="clear" w:color="auto" w:fill="auto"/>
            <w:vAlign w:val="bottom"/>
          </w:tcPr>
          <w:p w14:paraId="19502FE2" w14:textId="77777777" w:rsidR="00BF3A3A" w:rsidRDefault="00BF3A3A">
            <w:pPr>
              <w:rPr>
                <w:rFonts w:ascii="宋体"/>
                <w:vanish/>
              </w:rPr>
            </w:pPr>
          </w:p>
        </w:tc>
        <w:tc>
          <w:tcPr>
            <w:tcW w:w="0" w:type="auto"/>
            <w:gridSpan w:val="3"/>
            <w:shd w:val="clear" w:color="auto" w:fill="auto"/>
            <w:vAlign w:val="bottom"/>
          </w:tcPr>
          <w:p w14:paraId="19502FE3" w14:textId="77777777" w:rsidR="00BF3A3A" w:rsidRDefault="00BF3A3A">
            <w:pPr>
              <w:rPr>
                <w:rFonts w:ascii="宋体"/>
                <w:vanish/>
              </w:rPr>
            </w:pPr>
          </w:p>
        </w:tc>
        <w:tc>
          <w:tcPr>
            <w:tcW w:w="0" w:type="auto"/>
            <w:gridSpan w:val="3"/>
            <w:shd w:val="clear" w:color="auto" w:fill="auto"/>
            <w:vAlign w:val="bottom"/>
          </w:tcPr>
          <w:p w14:paraId="19502FE4" w14:textId="77777777" w:rsidR="00BF3A3A" w:rsidRDefault="00BF3A3A">
            <w:pPr>
              <w:rPr>
                <w:rFonts w:ascii="宋体"/>
                <w:vanish/>
              </w:rPr>
            </w:pPr>
          </w:p>
        </w:tc>
        <w:tc>
          <w:tcPr>
            <w:tcW w:w="0" w:type="auto"/>
            <w:gridSpan w:val="3"/>
            <w:shd w:val="clear" w:color="auto" w:fill="auto"/>
            <w:vAlign w:val="bottom"/>
          </w:tcPr>
          <w:p w14:paraId="19502FE5" w14:textId="77777777" w:rsidR="00BF3A3A" w:rsidRDefault="00BF3A3A">
            <w:pPr>
              <w:rPr>
                <w:rFonts w:ascii="宋体"/>
                <w:vanish/>
              </w:rPr>
            </w:pPr>
          </w:p>
        </w:tc>
        <w:tc>
          <w:tcPr>
            <w:tcW w:w="0" w:type="auto"/>
            <w:gridSpan w:val="3"/>
            <w:shd w:val="clear" w:color="auto" w:fill="auto"/>
            <w:vAlign w:val="bottom"/>
          </w:tcPr>
          <w:p w14:paraId="19502FE6" w14:textId="77777777" w:rsidR="00BF3A3A" w:rsidRDefault="00BF3A3A">
            <w:pPr>
              <w:rPr>
                <w:rFonts w:ascii="宋体"/>
                <w:vanish/>
              </w:rPr>
            </w:pPr>
          </w:p>
        </w:tc>
        <w:tc>
          <w:tcPr>
            <w:tcW w:w="0" w:type="auto"/>
            <w:gridSpan w:val="3"/>
            <w:shd w:val="clear" w:color="auto" w:fill="auto"/>
            <w:vAlign w:val="bottom"/>
          </w:tcPr>
          <w:p w14:paraId="19502FE7" w14:textId="77777777" w:rsidR="00BF3A3A" w:rsidRDefault="00BF3A3A">
            <w:pPr>
              <w:rPr>
                <w:rFonts w:ascii="宋体"/>
                <w:vanish/>
              </w:rPr>
            </w:pPr>
          </w:p>
        </w:tc>
      </w:tr>
      <w:tr w:rsidR="00BF3A3A" w14:paraId="19502FEF" w14:textId="77777777">
        <w:trPr>
          <w:hidden/>
        </w:trPr>
        <w:tc>
          <w:tcPr>
            <w:tcW w:w="0" w:type="auto"/>
            <w:gridSpan w:val="3"/>
            <w:shd w:val="clear" w:color="auto" w:fill="auto"/>
            <w:vAlign w:val="bottom"/>
          </w:tcPr>
          <w:p w14:paraId="19502FE9" w14:textId="77777777" w:rsidR="00BF3A3A" w:rsidRDefault="00BF3A3A">
            <w:pPr>
              <w:rPr>
                <w:rFonts w:ascii="宋体"/>
                <w:vanish/>
              </w:rPr>
            </w:pPr>
          </w:p>
        </w:tc>
        <w:tc>
          <w:tcPr>
            <w:tcW w:w="0" w:type="auto"/>
            <w:gridSpan w:val="3"/>
            <w:shd w:val="clear" w:color="auto" w:fill="auto"/>
            <w:vAlign w:val="bottom"/>
          </w:tcPr>
          <w:p w14:paraId="19502FEA" w14:textId="77777777" w:rsidR="00BF3A3A" w:rsidRDefault="00BF3A3A">
            <w:pPr>
              <w:rPr>
                <w:rFonts w:ascii="宋体"/>
                <w:vanish/>
              </w:rPr>
            </w:pPr>
          </w:p>
        </w:tc>
        <w:tc>
          <w:tcPr>
            <w:tcW w:w="0" w:type="auto"/>
            <w:gridSpan w:val="3"/>
            <w:shd w:val="clear" w:color="auto" w:fill="auto"/>
            <w:vAlign w:val="bottom"/>
          </w:tcPr>
          <w:p w14:paraId="19502FEB" w14:textId="77777777" w:rsidR="00BF3A3A" w:rsidRDefault="00BF3A3A">
            <w:pPr>
              <w:rPr>
                <w:rFonts w:ascii="宋体"/>
                <w:vanish/>
              </w:rPr>
            </w:pPr>
          </w:p>
        </w:tc>
        <w:tc>
          <w:tcPr>
            <w:tcW w:w="0" w:type="auto"/>
            <w:gridSpan w:val="3"/>
            <w:shd w:val="clear" w:color="auto" w:fill="auto"/>
            <w:vAlign w:val="bottom"/>
          </w:tcPr>
          <w:p w14:paraId="19502FEC" w14:textId="77777777" w:rsidR="00BF3A3A" w:rsidRDefault="00BF3A3A">
            <w:pPr>
              <w:rPr>
                <w:rFonts w:ascii="宋体"/>
                <w:vanish/>
              </w:rPr>
            </w:pPr>
          </w:p>
        </w:tc>
        <w:tc>
          <w:tcPr>
            <w:tcW w:w="0" w:type="auto"/>
            <w:gridSpan w:val="3"/>
            <w:shd w:val="clear" w:color="auto" w:fill="auto"/>
            <w:vAlign w:val="bottom"/>
          </w:tcPr>
          <w:p w14:paraId="19502FED" w14:textId="77777777" w:rsidR="00BF3A3A" w:rsidRDefault="00BF3A3A">
            <w:pPr>
              <w:rPr>
                <w:rFonts w:ascii="宋体"/>
                <w:vanish/>
              </w:rPr>
            </w:pPr>
          </w:p>
        </w:tc>
        <w:tc>
          <w:tcPr>
            <w:tcW w:w="0" w:type="auto"/>
            <w:gridSpan w:val="3"/>
            <w:shd w:val="clear" w:color="auto" w:fill="auto"/>
            <w:vAlign w:val="bottom"/>
          </w:tcPr>
          <w:p w14:paraId="19502FEE" w14:textId="77777777" w:rsidR="00BF3A3A" w:rsidRDefault="00BF3A3A">
            <w:pPr>
              <w:rPr>
                <w:rFonts w:ascii="宋体"/>
                <w:vanish/>
              </w:rPr>
            </w:pPr>
          </w:p>
        </w:tc>
      </w:tr>
      <w:tr w:rsidR="00BF3A3A" w14:paraId="19502FF6" w14:textId="77777777">
        <w:tc>
          <w:tcPr>
            <w:tcW w:w="0" w:type="auto"/>
            <w:gridSpan w:val="3"/>
            <w:shd w:val="clear" w:color="auto" w:fill="FFFFFF"/>
            <w:tcMar>
              <w:top w:w="40" w:type="dxa"/>
              <w:left w:w="20" w:type="dxa"/>
              <w:bottom w:w="40" w:type="dxa"/>
              <w:right w:w="20" w:type="dxa"/>
            </w:tcMar>
            <w:vAlign w:val="bottom"/>
          </w:tcPr>
          <w:p w14:paraId="19502FF0" w14:textId="77777777" w:rsidR="00BF3A3A" w:rsidRDefault="00A76802">
            <w:pPr>
              <w:textAlignment w:val="bottom"/>
            </w:pPr>
            <w:r>
              <w:rPr>
                <w:rFonts w:ascii="sans-serif" w:eastAsia="sans-serif" w:hAnsi="sans-serif" w:cs="sans-serif"/>
                <w:b/>
                <w:bCs/>
                <w:color w:val="000000"/>
                <w:sz w:val="20"/>
                <w:szCs w:val="20"/>
              </w:rPr>
              <w:t>Liabilities (2)</w:t>
            </w:r>
          </w:p>
        </w:tc>
        <w:tc>
          <w:tcPr>
            <w:tcW w:w="0" w:type="auto"/>
            <w:gridSpan w:val="3"/>
            <w:shd w:val="clear" w:color="auto" w:fill="FFFFFF"/>
            <w:tcMar>
              <w:top w:w="0" w:type="dxa"/>
              <w:left w:w="20" w:type="dxa"/>
              <w:bottom w:w="0" w:type="dxa"/>
              <w:right w:w="20" w:type="dxa"/>
            </w:tcMar>
            <w:vAlign w:val="bottom"/>
          </w:tcPr>
          <w:p w14:paraId="19502FF1"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FF2"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FF3"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FF4"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2FF5" w14:textId="77777777" w:rsidR="00BF3A3A" w:rsidRDefault="00BF3A3A">
            <w:pPr>
              <w:rPr>
                <w:rFonts w:ascii="宋体"/>
              </w:rPr>
            </w:pPr>
          </w:p>
        </w:tc>
      </w:tr>
      <w:tr w:rsidR="00BF3A3A" w14:paraId="19502FFD" w14:textId="77777777">
        <w:trPr>
          <w:hidden/>
        </w:trPr>
        <w:tc>
          <w:tcPr>
            <w:tcW w:w="0" w:type="auto"/>
            <w:gridSpan w:val="3"/>
            <w:shd w:val="clear" w:color="auto" w:fill="auto"/>
            <w:vAlign w:val="bottom"/>
          </w:tcPr>
          <w:p w14:paraId="19502FF7" w14:textId="77777777" w:rsidR="00BF3A3A" w:rsidRDefault="00BF3A3A">
            <w:pPr>
              <w:rPr>
                <w:rFonts w:ascii="宋体"/>
                <w:vanish/>
              </w:rPr>
            </w:pPr>
          </w:p>
        </w:tc>
        <w:tc>
          <w:tcPr>
            <w:tcW w:w="0" w:type="auto"/>
            <w:gridSpan w:val="3"/>
            <w:shd w:val="clear" w:color="auto" w:fill="auto"/>
            <w:vAlign w:val="bottom"/>
          </w:tcPr>
          <w:p w14:paraId="19502FF8" w14:textId="77777777" w:rsidR="00BF3A3A" w:rsidRDefault="00BF3A3A">
            <w:pPr>
              <w:rPr>
                <w:rFonts w:ascii="宋体"/>
                <w:vanish/>
              </w:rPr>
            </w:pPr>
          </w:p>
        </w:tc>
        <w:tc>
          <w:tcPr>
            <w:tcW w:w="0" w:type="auto"/>
            <w:gridSpan w:val="3"/>
            <w:shd w:val="clear" w:color="auto" w:fill="auto"/>
            <w:vAlign w:val="bottom"/>
          </w:tcPr>
          <w:p w14:paraId="19502FF9" w14:textId="77777777" w:rsidR="00BF3A3A" w:rsidRDefault="00BF3A3A">
            <w:pPr>
              <w:rPr>
                <w:rFonts w:ascii="宋体"/>
                <w:vanish/>
              </w:rPr>
            </w:pPr>
          </w:p>
        </w:tc>
        <w:tc>
          <w:tcPr>
            <w:tcW w:w="0" w:type="auto"/>
            <w:gridSpan w:val="3"/>
            <w:shd w:val="clear" w:color="auto" w:fill="auto"/>
            <w:vAlign w:val="bottom"/>
          </w:tcPr>
          <w:p w14:paraId="19502FFA" w14:textId="77777777" w:rsidR="00BF3A3A" w:rsidRDefault="00BF3A3A">
            <w:pPr>
              <w:rPr>
                <w:rFonts w:ascii="宋体"/>
                <w:vanish/>
              </w:rPr>
            </w:pPr>
          </w:p>
        </w:tc>
        <w:tc>
          <w:tcPr>
            <w:tcW w:w="0" w:type="auto"/>
            <w:gridSpan w:val="3"/>
            <w:shd w:val="clear" w:color="auto" w:fill="auto"/>
            <w:vAlign w:val="bottom"/>
          </w:tcPr>
          <w:p w14:paraId="19502FFB" w14:textId="77777777" w:rsidR="00BF3A3A" w:rsidRDefault="00BF3A3A">
            <w:pPr>
              <w:rPr>
                <w:rFonts w:ascii="宋体"/>
                <w:vanish/>
              </w:rPr>
            </w:pPr>
          </w:p>
        </w:tc>
        <w:tc>
          <w:tcPr>
            <w:tcW w:w="0" w:type="auto"/>
            <w:gridSpan w:val="3"/>
            <w:shd w:val="clear" w:color="auto" w:fill="auto"/>
            <w:vAlign w:val="bottom"/>
          </w:tcPr>
          <w:p w14:paraId="19502FFC" w14:textId="77777777" w:rsidR="00BF3A3A" w:rsidRDefault="00BF3A3A">
            <w:pPr>
              <w:rPr>
                <w:rFonts w:ascii="宋体"/>
                <w:vanish/>
              </w:rPr>
            </w:pPr>
          </w:p>
        </w:tc>
      </w:tr>
      <w:tr w:rsidR="00BF3A3A" w14:paraId="19503004" w14:textId="77777777">
        <w:trPr>
          <w:hidden/>
        </w:trPr>
        <w:tc>
          <w:tcPr>
            <w:tcW w:w="0" w:type="auto"/>
            <w:gridSpan w:val="3"/>
            <w:shd w:val="clear" w:color="auto" w:fill="auto"/>
            <w:vAlign w:val="bottom"/>
          </w:tcPr>
          <w:p w14:paraId="19502FFE" w14:textId="77777777" w:rsidR="00BF3A3A" w:rsidRDefault="00BF3A3A">
            <w:pPr>
              <w:rPr>
                <w:rFonts w:ascii="宋体"/>
                <w:vanish/>
              </w:rPr>
            </w:pPr>
          </w:p>
        </w:tc>
        <w:tc>
          <w:tcPr>
            <w:tcW w:w="0" w:type="auto"/>
            <w:gridSpan w:val="3"/>
            <w:shd w:val="clear" w:color="auto" w:fill="auto"/>
            <w:vAlign w:val="bottom"/>
          </w:tcPr>
          <w:p w14:paraId="19502FFF" w14:textId="77777777" w:rsidR="00BF3A3A" w:rsidRDefault="00BF3A3A">
            <w:pPr>
              <w:rPr>
                <w:rFonts w:ascii="宋体"/>
                <w:vanish/>
              </w:rPr>
            </w:pPr>
          </w:p>
        </w:tc>
        <w:tc>
          <w:tcPr>
            <w:tcW w:w="0" w:type="auto"/>
            <w:gridSpan w:val="3"/>
            <w:shd w:val="clear" w:color="auto" w:fill="auto"/>
            <w:vAlign w:val="bottom"/>
          </w:tcPr>
          <w:p w14:paraId="19503000" w14:textId="77777777" w:rsidR="00BF3A3A" w:rsidRDefault="00BF3A3A">
            <w:pPr>
              <w:rPr>
                <w:rFonts w:ascii="宋体"/>
                <w:vanish/>
              </w:rPr>
            </w:pPr>
          </w:p>
        </w:tc>
        <w:tc>
          <w:tcPr>
            <w:tcW w:w="0" w:type="auto"/>
            <w:gridSpan w:val="3"/>
            <w:shd w:val="clear" w:color="auto" w:fill="auto"/>
            <w:vAlign w:val="bottom"/>
          </w:tcPr>
          <w:p w14:paraId="19503001" w14:textId="77777777" w:rsidR="00BF3A3A" w:rsidRDefault="00BF3A3A">
            <w:pPr>
              <w:rPr>
                <w:rFonts w:ascii="宋体"/>
                <w:vanish/>
              </w:rPr>
            </w:pPr>
          </w:p>
        </w:tc>
        <w:tc>
          <w:tcPr>
            <w:tcW w:w="0" w:type="auto"/>
            <w:gridSpan w:val="3"/>
            <w:shd w:val="clear" w:color="auto" w:fill="auto"/>
            <w:vAlign w:val="bottom"/>
          </w:tcPr>
          <w:p w14:paraId="19503002" w14:textId="77777777" w:rsidR="00BF3A3A" w:rsidRDefault="00BF3A3A">
            <w:pPr>
              <w:rPr>
                <w:rFonts w:ascii="宋体"/>
                <w:vanish/>
              </w:rPr>
            </w:pPr>
          </w:p>
        </w:tc>
        <w:tc>
          <w:tcPr>
            <w:tcW w:w="0" w:type="auto"/>
            <w:gridSpan w:val="3"/>
            <w:shd w:val="clear" w:color="auto" w:fill="auto"/>
            <w:vAlign w:val="bottom"/>
          </w:tcPr>
          <w:p w14:paraId="19503003" w14:textId="77777777" w:rsidR="00BF3A3A" w:rsidRDefault="00BF3A3A">
            <w:pPr>
              <w:rPr>
                <w:rFonts w:ascii="宋体"/>
                <w:vanish/>
              </w:rPr>
            </w:pPr>
          </w:p>
        </w:tc>
      </w:tr>
      <w:tr w:rsidR="00BF3A3A" w14:paraId="1950300B" w14:textId="77777777">
        <w:trPr>
          <w:hidden/>
        </w:trPr>
        <w:tc>
          <w:tcPr>
            <w:tcW w:w="0" w:type="auto"/>
            <w:gridSpan w:val="3"/>
            <w:shd w:val="clear" w:color="auto" w:fill="auto"/>
            <w:vAlign w:val="bottom"/>
          </w:tcPr>
          <w:p w14:paraId="19503005" w14:textId="77777777" w:rsidR="00BF3A3A" w:rsidRDefault="00BF3A3A">
            <w:pPr>
              <w:rPr>
                <w:rFonts w:ascii="宋体"/>
                <w:vanish/>
              </w:rPr>
            </w:pPr>
          </w:p>
        </w:tc>
        <w:tc>
          <w:tcPr>
            <w:tcW w:w="0" w:type="auto"/>
            <w:gridSpan w:val="3"/>
            <w:shd w:val="clear" w:color="auto" w:fill="auto"/>
            <w:vAlign w:val="bottom"/>
          </w:tcPr>
          <w:p w14:paraId="19503006" w14:textId="77777777" w:rsidR="00BF3A3A" w:rsidRDefault="00BF3A3A">
            <w:pPr>
              <w:rPr>
                <w:rFonts w:ascii="宋体"/>
                <w:vanish/>
              </w:rPr>
            </w:pPr>
          </w:p>
        </w:tc>
        <w:tc>
          <w:tcPr>
            <w:tcW w:w="0" w:type="auto"/>
            <w:gridSpan w:val="3"/>
            <w:shd w:val="clear" w:color="auto" w:fill="auto"/>
            <w:vAlign w:val="bottom"/>
          </w:tcPr>
          <w:p w14:paraId="19503007" w14:textId="77777777" w:rsidR="00BF3A3A" w:rsidRDefault="00BF3A3A">
            <w:pPr>
              <w:rPr>
                <w:rFonts w:ascii="宋体"/>
                <w:vanish/>
              </w:rPr>
            </w:pPr>
          </w:p>
        </w:tc>
        <w:tc>
          <w:tcPr>
            <w:tcW w:w="0" w:type="auto"/>
            <w:gridSpan w:val="3"/>
            <w:shd w:val="clear" w:color="auto" w:fill="auto"/>
            <w:vAlign w:val="bottom"/>
          </w:tcPr>
          <w:p w14:paraId="19503008" w14:textId="77777777" w:rsidR="00BF3A3A" w:rsidRDefault="00BF3A3A">
            <w:pPr>
              <w:rPr>
                <w:rFonts w:ascii="宋体"/>
                <w:vanish/>
              </w:rPr>
            </w:pPr>
          </w:p>
        </w:tc>
        <w:tc>
          <w:tcPr>
            <w:tcW w:w="0" w:type="auto"/>
            <w:gridSpan w:val="3"/>
            <w:shd w:val="clear" w:color="auto" w:fill="auto"/>
            <w:vAlign w:val="bottom"/>
          </w:tcPr>
          <w:p w14:paraId="19503009" w14:textId="77777777" w:rsidR="00BF3A3A" w:rsidRDefault="00BF3A3A">
            <w:pPr>
              <w:rPr>
                <w:rFonts w:ascii="宋体"/>
                <w:vanish/>
              </w:rPr>
            </w:pPr>
          </w:p>
        </w:tc>
        <w:tc>
          <w:tcPr>
            <w:tcW w:w="0" w:type="auto"/>
            <w:gridSpan w:val="3"/>
            <w:shd w:val="clear" w:color="auto" w:fill="auto"/>
            <w:vAlign w:val="bottom"/>
          </w:tcPr>
          <w:p w14:paraId="1950300A" w14:textId="77777777" w:rsidR="00BF3A3A" w:rsidRDefault="00BF3A3A">
            <w:pPr>
              <w:rPr>
                <w:rFonts w:ascii="宋体"/>
                <w:vanish/>
              </w:rPr>
            </w:pPr>
          </w:p>
        </w:tc>
      </w:tr>
      <w:tr w:rsidR="00BF3A3A" w14:paraId="19503012" w14:textId="77777777">
        <w:trPr>
          <w:hidden/>
        </w:trPr>
        <w:tc>
          <w:tcPr>
            <w:tcW w:w="0" w:type="auto"/>
            <w:gridSpan w:val="3"/>
            <w:shd w:val="clear" w:color="auto" w:fill="auto"/>
            <w:vAlign w:val="bottom"/>
          </w:tcPr>
          <w:p w14:paraId="1950300C" w14:textId="77777777" w:rsidR="00BF3A3A" w:rsidRDefault="00BF3A3A">
            <w:pPr>
              <w:rPr>
                <w:rFonts w:ascii="宋体"/>
                <w:vanish/>
              </w:rPr>
            </w:pPr>
          </w:p>
        </w:tc>
        <w:tc>
          <w:tcPr>
            <w:tcW w:w="0" w:type="auto"/>
            <w:gridSpan w:val="3"/>
            <w:shd w:val="clear" w:color="auto" w:fill="auto"/>
            <w:vAlign w:val="bottom"/>
          </w:tcPr>
          <w:p w14:paraId="1950300D" w14:textId="77777777" w:rsidR="00BF3A3A" w:rsidRDefault="00BF3A3A">
            <w:pPr>
              <w:rPr>
                <w:rFonts w:ascii="宋体"/>
                <w:vanish/>
              </w:rPr>
            </w:pPr>
          </w:p>
        </w:tc>
        <w:tc>
          <w:tcPr>
            <w:tcW w:w="0" w:type="auto"/>
            <w:gridSpan w:val="3"/>
            <w:shd w:val="clear" w:color="auto" w:fill="auto"/>
            <w:vAlign w:val="bottom"/>
          </w:tcPr>
          <w:p w14:paraId="1950300E" w14:textId="77777777" w:rsidR="00BF3A3A" w:rsidRDefault="00BF3A3A">
            <w:pPr>
              <w:rPr>
                <w:rFonts w:ascii="宋体"/>
                <w:vanish/>
              </w:rPr>
            </w:pPr>
          </w:p>
        </w:tc>
        <w:tc>
          <w:tcPr>
            <w:tcW w:w="0" w:type="auto"/>
            <w:gridSpan w:val="3"/>
            <w:shd w:val="clear" w:color="auto" w:fill="auto"/>
            <w:vAlign w:val="bottom"/>
          </w:tcPr>
          <w:p w14:paraId="1950300F" w14:textId="77777777" w:rsidR="00BF3A3A" w:rsidRDefault="00BF3A3A">
            <w:pPr>
              <w:rPr>
                <w:rFonts w:ascii="宋体"/>
                <w:vanish/>
              </w:rPr>
            </w:pPr>
          </w:p>
        </w:tc>
        <w:tc>
          <w:tcPr>
            <w:tcW w:w="0" w:type="auto"/>
            <w:gridSpan w:val="3"/>
            <w:shd w:val="clear" w:color="auto" w:fill="auto"/>
            <w:vAlign w:val="bottom"/>
          </w:tcPr>
          <w:p w14:paraId="19503010" w14:textId="77777777" w:rsidR="00BF3A3A" w:rsidRDefault="00BF3A3A">
            <w:pPr>
              <w:rPr>
                <w:rFonts w:ascii="宋体"/>
                <w:vanish/>
              </w:rPr>
            </w:pPr>
          </w:p>
        </w:tc>
        <w:tc>
          <w:tcPr>
            <w:tcW w:w="0" w:type="auto"/>
            <w:gridSpan w:val="3"/>
            <w:shd w:val="clear" w:color="auto" w:fill="auto"/>
            <w:vAlign w:val="bottom"/>
          </w:tcPr>
          <w:p w14:paraId="19503011" w14:textId="77777777" w:rsidR="00BF3A3A" w:rsidRDefault="00BF3A3A">
            <w:pPr>
              <w:rPr>
                <w:rFonts w:ascii="宋体"/>
                <w:vanish/>
              </w:rPr>
            </w:pPr>
          </w:p>
        </w:tc>
      </w:tr>
      <w:tr w:rsidR="00BF3A3A" w14:paraId="1950301D" w14:textId="77777777">
        <w:tc>
          <w:tcPr>
            <w:tcW w:w="0" w:type="auto"/>
            <w:gridSpan w:val="3"/>
            <w:shd w:val="clear" w:color="auto" w:fill="E2EFD9"/>
            <w:tcMar>
              <w:top w:w="40" w:type="dxa"/>
              <w:left w:w="20" w:type="dxa"/>
              <w:bottom w:w="40" w:type="dxa"/>
              <w:right w:w="20" w:type="dxa"/>
            </w:tcMar>
            <w:vAlign w:val="bottom"/>
          </w:tcPr>
          <w:p w14:paraId="19503013" w14:textId="77777777" w:rsidR="00BF3A3A" w:rsidRDefault="00A76802">
            <w:pPr>
              <w:textAlignment w:val="bottom"/>
            </w:pPr>
            <w:r>
              <w:rPr>
                <w:rFonts w:ascii="sans-serif" w:eastAsia="sans-serif" w:hAnsi="sans-serif" w:cs="sans-serif"/>
                <w:color w:val="000000"/>
                <w:sz w:val="20"/>
                <w:szCs w:val="20"/>
              </w:rPr>
              <w:t>0.309% Notes Due 2023</w:t>
            </w:r>
          </w:p>
        </w:tc>
        <w:tc>
          <w:tcPr>
            <w:tcW w:w="0" w:type="auto"/>
            <w:gridSpan w:val="3"/>
            <w:shd w:val="clear" w:color="auto" w:fill="E2EFD9"/>
            <w:tcMar>
              <w:top w:w="40" w:type="dxa"/>
              <w:left w:w="20" w:type="dxa"/>
              <w:bottom w:w="40" w:type="dxa"/>
              <w:right w:w="20" w:type="dxa"/>
            </w:tcMar>
            <w:vAlign w:val="bottom"/>
          </w:tcPr>
          <w:p w14:paraId="19503014" w14:textId="77777777" w:rsidR="00BF3A3A" w:rsidRDefault="00A76802">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19503015"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016"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017" w14:textId="77777777" w:rsidR="00BF3A3A" w:rsidRDefault="00A76802">
            <w:pPr>
              <w:jc w:val="right"/>
              <w:textAlignment w:val="bottom"/>
            </w:pPr>
            <w:r>
              <w:rPr>
                <w:rFonts w:ascii="sans-serif" w:eastAsia="sans-serif" w:hAnsi="sans-serif" w:cs="sans-serif"/>
                <w:color w:val="000000"/>
                <w:sz w:val="20"/>
                <w:szCs w:val="20"/>
              </w:rPr>
              <w:t>1,220 </w:t>
            </w:r>
          </w:p>
        </w:tc>
        <w:tc>
          <w:tcPr>
            <w:tcW w:w="0" w:type="auto"/>
            <w:shd w:val="clear" w:color="auto" w:fill="E2EFD9"/>
            <w:tcMar>
              <w:top w:w="40" w:type="dxa"/>
              <w:left w:w="0" w:type="dxa"/>
              <w:bottom w:w="40" w:type="dxa"/>
              <w:right w:w="20" w:type="dxa"/>
            </w:tcMar>
            <w:vAlign w:val="bottom"/>
          </w:tcPr>
          <w:p w14:paraId="1950301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019"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01A"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01B" w14:textId="77777777" w:rsidR="00BF3A3A" w:rsidRDefault="00A76802">
            <w:pPr>
              <w:jc w:val="right"/>
              <w:textAlignment w:val="bottom"/>
            </w:pPr>
            <w:r>
              <w:rPr>
                <w:rFonts w:ascii="sans-serif" w:eastAsia="sans-serif" w:hAnsi="sans-serif" w:cs="sans-serif"/>
                <w:color w:val="000000"/>
                <w:sz w:val="20"/>
                <w:szCs w:val="20"/>
              </w:rPr>
              <w:t>1,236 </w:t>
            </w:r>
          </w:p>
        </w:tc>
        <w:tc>
          <w:tcPr>
            <w:tcW w:w="0" w:type="auto"/>
            <w:shd w:val="clear" w:color="auto" w:fill="E2EFD9"/>
            <w:tcMar>
              <w:top w:w="40" w:type="dxa"/>
              <w:left w:w="0" w:type="dxa"/>
              <w:bottom w:w="40" w:type="dxa"/>
              <w:right w:w="20" w:type="dxa"/>
            </w:tcMar>
            <w:vAlign w:val="bottom"/>
          </w:tcPr>
          <w:p w14:paraId="1950301C" w14:textId="77777777" w:rsidR="00BF3A3A" w:rsidRDefault="00BF3A3A">
            <w:pPr>
              <w:jc w:val="right"/>
              <w:rPr>
                <w:rFonts w:ascii="宋体"/>
              </w:rPr>
            </w:pPr>
          </w:p>
        </w:tc>
      </w:tr>
      <w:tr w:rsidR="00BF3A3A" w14:paraId="19503028" w14:textId="77777777">
        <w:tc>
          <w:tcPr>
            <w:tcW w:w="0" w:type="auto"/>
            <w:gridSpan w:val="3"/>
            <w:shd w:val="clear" w:color="auto" w:fill="FFFFFF"/>
            <w:tcMar>
              <w:top w:w="40" w:type="dxa"/>
              <w:left w:w="20" w:type="dxa"/>
              <w:bottom w:w="40" w:type="dxa"/>
              <w:right w:w="20" w:type="dxa"/>
            </w:tcMar>
            <w:vAlign w:val="bottom"/>
          </w:tcPr>
          <w:p w14:paraId="1950301E" w14:textId="77777777" w:rsidR="00BF3A3A" w:rsidRDefault="00A76802">
            <w:pPr>
              <w:textAlignment w:val="bottom"/>
            </w:pPr>
            <w:r>
              <w:rPr>
                <w:rFonts w:ascii="sans-serif" w:eastAsia="sans-serif" w:hAnsi="sans-serif" w:cs="sans-serif"/>
                <w:color w:val="000000"/>
                <w:sz w:val="20"/>
                <w:szCs w:val="20"/>
              </w:rPr>
              <w:t>0.584% Notes Due 2024</w:t>
            </w:r>
          </w:p>
        </w:tc>
        <w:tc>
          <w:tcPr>
            <w:tcW w:w="0" w:type="auto"/>
            <w:gridSpan w:val="3"/>
            <w:shd w:val="clear" w:color="auto" w:fill="FFFFFF"/>
            <w:tcMar>
              <w:top w:w="40" w:type="dxa"/>
              <w:left w:w="20" w:type="dxa"/>
              <w:bottom w:w="40" w:type="dxa"/>
              <w:right w:w="20" w:type="dxa"/>
            </w:tcMar>
            <w:vAlign w:val="bottom"/>
          </w:tcPr>
          <w:p w14:paraId="1950301F" w14:textId="77777777" w:rsidR="00BF3A3A" w:rsidRDefault="00A76802">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19503020"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021"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022" w14:textId="77777777" w:rsidR="00BF3A3A" w:rsidRDefault="00A76802">
            <w:pPr>
              <w:jc w:val="right"/>
              <w:textAlignment w:val="bottom"/>
            </w:pPr>
            <w:r>
              <w:rPr>
                <w:rFonts w:ascii="sans-serif" w:eastAsia="sans-serif" w:hAnsi="sans-serif" w:cs="sans-serif"/>
                <w:color w:val="000000"/>
                <w:sz w:val="20"/>
                <w:szCs w:val="20"/>
              </w:rPr>
              <w:t>1,193 </w:t>
            </w:r>
          </w:p>
        </w:tc>
        <w:tc>
          <w:tcPr>
            <w:tcW w:w="0" w:type="auto"/>
            <w:shd w:val="clear" w:color="auto" w:fill="FFFFFF"/>
            <w:tcMar>
              <w:top w:w="40" w:type="dxa"/>
              <w:left w:w="0" w:type="dxa"/>
              <w:bottom w:w="40" w:type="dxa"/>
              <w:right w:w="20" w:type="dxa"/>
            </w:tcMar>
            <w:vAlign w:val="bottom"/>
          </w:tcPr>
          <w:p w14:paraId="1950302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024"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025"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026" w14:textId="77777777" w:rsidR="00BF3A3A" w:rsidRDefault="00A76802">
            <w:pPr>
              <w:jc w:val="right"/>
              <w:textAlignment w:val="bottom"/>
            </w:pPr>
            <w:r>
              <w:rPr>
                <w:rFonts w:ascii="sans-serif" w:eastAsia="sans-serif" w:hAnsi="sans-serif" w:cs="sans-serif"/>
                <w:color w:val="000000"/>
                <w:sz w:val="20"/>
                <w:szCs w:val="20"/>
              </w:rPr>
              <w:t>1,224 </w:t>
            </w:r>
          </w:p>
        </w:tc>
        <w:tc>
          <w:tcPr>
            <w:tcW w:w="0" w:type="auto"/>
            <w:shd w:val="clear" w:color="auto" w:fill="FFFFFF"/>
            <w:tcMar>
              <w:top w:w="40" w:type="dxa"/>
              <w:left w:w="0" w:type="dxa"/>
              <w:bottom w:w="40" w:type="dxa"/>
              <w:right w:w="20" w:type="dxa"/>
            </w:tcMar>
            <w:vAlign w:val="bottom"/>
          </w:tcPr>
          <w:p w14:paraId="19503027" w14:textId="77777777" w:rsidR="00BF3A3A" w:rsidRDefault="00BF3A3A">
            <w:pPr>
              <w:jc w:val="right"/>
              <w:rPr>
                <w:rFonts w:ascii="宋体"/>
              </w:rPr>
            </w:pPr>
          </w:p>
        </w:tc>
      </w:tr>
      <w:tr w:rsidR="00BF3A3A" w14:paraId="19503033" w14:textId="77777777">
        <w:tc>
          <w:tcPr>
            <w:tcW w:w="0" w:type="auto"/>
            <w:gridSpan w:val="3"/>
            <w:shd w:val="clear" w:color="auto" w:fill="E2EFD9"/>
            <w:tcMar>
              <w:top w:w="40" w:type="dxa"/>
              <w:left w:w="20" w:type="dxa"/>
              <w:bottom w:w="40" w:type="dxa"/>
              <w:right w:w="20" w:type="dxa"/>
            </w:tcMar>
            <w:vAlign w:val="bottom"/>
          </w:tcPr>
          <w:p w14:paraId="19503029" w14:textId="77777777" w:rsidR="00BF3A3A" w:rsidRDefault="00A76802">
            <w:pPr>
              <w:textAlignment w:val="bottom"/>
            </w:pPr>
            <w:r>
              <w:rPr>
                <w:rFonts w:ascii="sans-serif" w:eastAsia="sans-serif" w:hAnsi="sans-serif" w:cs="sans-serif"/>
                <w:color w:val="000000"/>
                <w:sz w:val="20"/>
                <w:szCs w:val="20"/>
              </w:rPr>
              <w:t xml:space="preserve">3.20% </w:t>
            </w:r>
            <w:r>
              <w:rPr>
                <w:rFonts w:ascii="sans-serif" w:eastAsia="sans-serif" w:hAnsi="sans-serif" w:cs="sans-serif"/>
                <w:color w:val="000000"/>
                <w:sz w:val="20"/>
                <w:szCs w:val="20"/>
              </w:rPr>
              <w:t>Notes Due 2026</w:t>
            </w:r>
          </w:p>
        </w:tc>
        <w:tc>
          <w:tcPr>
            <w:tcW w:w="0" w:type="auto"/>
            <w:gridSpan w:val="3"/>
            <w:shd w:val="clear" w:color="auto" w:fill="E2EFD9"/>
            <w:tcMar>
              <w:top w:w="40" w:type="dxa"/>
              <w:left w:w="20" w:type="dxa"/>
              <w:bottom w:w="40" w:type="dxa"/>
              <w:right w:w="20" w:type="dxa"/>
            </w:tcMar>
            <w:vAlign w:val="bottom"/>
          </w:tcPr>
          <w:p w14:paraId="1950302A" w14:textId="77777777" w:rsidR="00BF3A3A" w:rsidRDefault="00A76802">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1950302B"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02C"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02D" w14:textId="77777777" w:rsidR="00BF3A3A" w:rsidRDefault="00A76802">
            <w:pPr>
              <w:jc w:val="right"/>
              <w:textAlignment w:val="bottom"/>
            </w:pPr>
            <w:r>
              <w:rPr>
                <w:rFonts w:ascii="sans-serif" w:eastAsia="sans-serif" w:hAnsi="sans-serif" w:cs="sans-serif"/>
                <w:color w:val="000000"/>
                <w:sz w:val="20"/>
                <w:szCs w:val="20"/>
              </w:rPr>
              <w:t>1,013 </w:t>
            </w:r>
          </w:p>
        </w:tc>
        <w:tc>
          <w:tcPr>
            <w:tcW w:w="0" w:type="auto"/>
            <w:shd w:val="clear" w:color="auto" w:fill="E2EFD9"/>
            <w:tcMar>
              <w:top w:w="40" w:type="dxa"/>
              <w:left w:w="0" w:type="dxa"/>
              <w:bottom w:w="40" w:type="dxa"/>
              <w:right w:w="20" w:type="dxa"/>
            </w:tcMar>
            <w:vAlign w:val="bottom"/>
          </w:tcPr>
          <w:p w14:paraId="1950302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02F"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030"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031" w14:textId="77777777" w:rsidR="00BF3A3A" w:rsidRDefault="00A76802">
            <w:pPr>
              <w:jc w:val="right"/>
              <w:textAlignment w:val="bottom"/>
            </w:pPr>
            <w:r>
              <w:rPr>
                <w:rFonts w:ascii="sans-serif" w:eastAsia="sans-serif" w:hAnsi="sans-serif" w:cs="sans-serif"/>
                <w:color w:val="000000"/>
                <w:sz w:val="20"/>
                <w:szCs w:val="20"/>
              </w:rPr>
              <w:t>1,055 </w:t>
            </w:r>
          </w:p>
        </w:tc>
        <w:tc>
          <w:tcPr>
            <w:tcW w:w="0" w:type="auto"/>
            <w:shd w:val="clear" w:color="auto" w:fill="E2EFD9"/>
            <w:tcMar>
              <w:top w:w="40" w:type="dxa"/>
              <w:left w:w="0" w:type="dxa"/>
              <w:bottom w:w="40" w:type="dxa"/>
              <w:right w:w="20" w:type="dxa"/>
            </w:tcMar>
            <w:vAlign w:val="bottom"/>
          </w:tcPr>
          <w:p w14:paraId="19503032" w14:textId="77777777" w:rsidR="00BF3A3A" w:rsidRDefault="00BF3A3A">
            <w:pPr>
              <w:jc w:val="right"/>
              <w:rPr>
                <w:rFonts w:ascii="宋体"/>
              </w:rPr>
            </w:pPr>
          </w:p>
        </w:tc>
      </w:tr>
      <w:tr w:rsidR="00BF3A3A" w14:paraId="1950303E" w14:textId="77777777">
        <w:tc>
          <w:tcPr>
            <w:tcW w:w="0" w:type="auto"/>
            <w:gridSpan w:val="3"/>
            <w:shd w:val="clear" w:color="auto" w:fill="FFFFFF"/>
            <w:tcMar>
              <w:top w:w="40" w:type="dxa"/>
              <w:left w:w="20" w:type="dxa"/>
              <w:bottom w:w="40" w:type="dxa"/>
              <w:right w:w="20" w:type="dxa"/>
            </w:tcMar>
            <w:vAlign w:val="bottom"/>
          </w:tcPr>
          <w:p w14:paraId="19503034" w14:textId="77777777" w:rsidR="00BF3A3A" w:rsidRDefault="00A76802">
            <w:pPr>
              <w:textAlignment w:val="bottom"/>
            </w:pPr>
            <w:r>
              <w:rPr>
                <w:rFonts w:ascii="sans-serif" w:eastAsia="sans-serif" w:hAnsi="sans-serif" w:cs="sans-serif"/>
                <w:color w:val="000000"/>
                <w:sz w:val="20"/>
                <w:szCs w:val="20"/>
              </w:rPr>
              <w:t>1.55% Notes Due 2028</w:t>
            </w:r>
          </w:p>
        </w:tc>
        <w:tc>
          <w:tcPr>
            <w:tcW w:w="0" w:type="auto"/>
            <w:gridSpan w:val="3"/>
            <w:shd w:val="clear" w:color="auto" w:fill="FFFFFF"/>
            <w:tcMar>
              <w:top w:w="40" w:type="dxa"/>
              <w:left w:w="20" w:type="dxa"/>
              <w:bottom w:w="40" w:type="dxa"/>
              <w:right w:w="20" w:type="dxa"/>
            </w:tcMar>
            <w:vAlign w:val="bottom"/>
          </w:tcPr>
          <w:p w14:paraId="19503035" w14:textId="77777777" w:rsidR="00BF3A3A" w:rsidRDefault="00A76802">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19503036"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037"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038" w14:textId="77777777" w:rsidR="00BF3A3A" w:rsidRDefault="00A76802">
            <w:pPr>
              <w:jc w:val="right"/>
              <w:textAlignment w:val="bottom"/>
            </w:pPr>
            <w:r>
              <w:rPr>
                <w:rFonts w:ascii="sans-serif" w:eastAsia="sans-serif" w:hAnsi="sans-serif" w:cs="sans-serif"/>
                <w:color w:val="000000"/>
                <w:sz w:val="20"/>
                <w:szCs w:val="20"/>
              </w:rPr>
              <w:t>1,136 </w:t>
            </w:r>
          </w:p>
        </w:tc>
        <w:tc>
          <w:tcPr>
            <w:tcW w:w="0" w:type="auto"/>
            <w:shd w:val="clear" w:color="auto" w:fill="FFFFFF"/>
            <w:tcMar>
              <w:top w:w="40" w:type="dxa"/>
              <w:left w:w="0" w:type="dxa"/>
              <w:bottom w:w="40" w:type="dxa"/>
              <w:right w:w="20" w:type="dxa"/>
            </w:tcMar>
            <w:vAlign w:val="bottom"/>
          </w:tcPr>
          <w:p w14:paraId="1950303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03A"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03B"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03C" w14:textId="77777777" w:rsidR="00BF3A3A" w:rsidRDefault="00A76802">
            <w:pPr>
              <w:jc w:val="right"/>
              <w:textAlignment w:val="bottom"/>
            </w:pPr>
            <w:r>
              <w:rPr>
                <w:rFonts w:ascii="sans-serif" w:eastAsia="sans-serif" w:hAnsi="sans-serif" w:cs="sans-serif"/>
                <w:color w:val="000000"/>
                <w:sz w:val="20"/>
                <w:szCs w:val="20"/>
              </w:rPr>
              <w:t>1,200 </w:t>
            </w:r>
          </w:p>
        </w:tc>
        <w:tc>
          <w:tcPr>
            <w:tcW w:w="0" w:type="auto"/>
            <w:shd w:val="clear" w:color="auto" w:fill="FFFFFF"/>
            <w:tcMar>
              <w:top w:w="40" w:type="dxa"/>
              <w:left w:w="0" w:type="dxa"/>
              <w:bottom w:w="40" w:type="dxa"/>
              <w:right w:w="20" w:type="dxa"/>
            </w:tcMar>
            <w:vAlign w:val="bottom"/>
          </w:tcPr>
          <w:p w14:paraId="1950303D" w14:textId="77777777" w:rsidR="00BF3A3A" w:rsidRDefault="00BF3A3A">
            <w:pPr>
              <w:jc w:val="right"/>
              <w:rPr>
                <w:rFonts w:ascii="宋体"/>
              </w:rPr>
            </w:pPr>
          </w:p>
        </w:tc>
      </w:tr>
      <w:tr w:rsidR="00BF3A3A" w14:paraId="19503049" w14:textId="77777777">
        <w:tc>
          <w:tcPr>
            <w:tcW w:w="0" w:type="auto"/>
            <w:gridSpan w:val="3"/>
            <w:shd w:val="clear" w:color="auto" w:fill="E2EFD9"/>
            <w:tcMar>
              <w:top w:w="40" w:type="dxa"/>
              <w:left w:w="20" w:type="dxa"/>
              <w:bottom w:w="40" w:type="dxa"/>
              <w:right w:w="20" w:type="dxa"/>
            </w:tcMar>
            <w:vAlign w:val="bottom"/>
          </w:tcPr>
          <w:p w14:paraId="1950303F" w14:textId="77777777" w:rsidR="00BF3A3A" w:rsidRDefault="00A76802">
            <w:pPr>
              <w:textAlignment w:val="bottom"/>
            </w:pPr>
            <w:r>
              <w:rPr>
                <w:rFonts w:ascii="sans-serif" w:eastAsia="sans-serif" w:hAnsi="sans-serif" w:cs="sans-serif"/>
                <w:color w:val="000000"/>
                <w:sz w:val="20"/>
                <w:szCs w:val="20"/>
              </w:rPr>
              <w:t>2.85% Notes Due 2030</w:t>
            </w:r>
          </w:p>
        </w:tc>
        <w:tc>
          <w:tcPr>
            <w:tcW w:w="0" w:type="auto"/>
            <w:gridSpan w:val="3"/>
            <w:shd w:val="clear" w:color="auto" w:fill="E2EFD9"/>
            <w:tcMar>
              <w:top w:w="40" w:type="dxa"/>
              <w:left w:w="20" w:type="dxa"/>
              <w:bottom w:w="40" w:type="dxa"/>
              <w:right w:w="20" w:type="dxa"/>
            </w:tcMar>
            <w:vAlign w:val="bottom"/>
          </w:tcPr>
          <w:p w14:paraId="19503040" w14:textId="77777777" w:rsidR="00BF3A3A" w:rsidRDefault="00A76802">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19503041"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042"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043" w14:textId="77777777" w:rsidR="00BF3A3A" w:rsidRDefault="00A76802">
            <w:pPr>
              <w:jc w:val="right"/>
              <w:textAlignment w:val="bottom"/>
            </w:pPr>
            <w:r>
              <w:rPr>
                <w:rFonts w:ascii="sans-serif" w:eastAsia="sans-serif" w:hAnsi="sans-serif" w:cs="sans-serif"/>
                <w:color w:val="000000"/>
                <w:sz w:val="20"/>
                <w:szCs w:val="20"/>
              </w:rPr>
              <w:t>1,431 </w:t>
            </w:r>
          </w:p>
        </w:tc>
        <w:tc>
          <w:tcPr>
            <w:tcW w:w="0" w:type="auto"/>
            <w:shd w:val="clear" w:color="auto" w:fill="E2EFD9"/>
            <w:tcMar>
              <w:top w:w="40" w:type="dxa"/>
              <w:left w:w="0" w:type="dxa"/>
              <w:bottom w:w="40" w:type="dxa"/>
              <w:right w:w="20" w:type="dxa"/>
            </w:tcMar>
            <w:vAlign w:val="bottom"/>
          </w:tcPr>
          <w:p w14:paraId="1950304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045"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046"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047" w14:textId="77777777" w:rsidR="00BF3A3A" w:rsidRDefault="00A76802">
            <w:pPr>
              <w:jc w:val="right"/>
              <w:textAlignment w:val="bottom"/>
            </w:pPr>
            <w:r>
              <w:rPr>
                <w:rFonts w:ascii="sans-serif" w:eastAsia="sans-serif" w:hAnsi="sans-serif" w:cs="sans-serif"/>
                <w:color w:val="000000"/>
                <w:sz w:val="20"/>
                <w:szCs w:val="20"/>
              </w:rPr>
              <w:t>1,542 </w:t>
            </w:r>
          </w:p>
        </w:tc>
        <w:tc>
          <w:tcPr>
            <w:tcW w:w="0" w:type="auto"/>
            <w:shd w:val="clear" w:color="auto" w:fill="E2EFD9"/>
            <w:tcMar>
              <w:top w:w="40" w:type="dxa"/>
              <w:left w:w="0" w:type="dxa"/>
              <w:bottom w:w="40" w:type="dxa"/>
              <w:right w:w="20" w:type="dxa"/>
            </w:tcMar>
            <w:vAlign w:val="bottom"/>
          </w:tcPr>
          <w:p w14:paraId="19503048" w14:textId="77777777" w:rsidR="00BF3A3A" w:rsidRDefault="00BF3A3A">
            <w:pPr>
              <w:jc w:val="right"/>
              <w:rPr>
                <w:rFonts w:ascii="宋体"/>
              </w:rPr>
            </w:pPr>
          </w:p>
        </w:tc>
      </w:tr>
      <w:tr w:rsidR="00BF3A3A" w14:paraId="19503054" w14:textId="77777777">
        <w:tc>
          <w:tcPr>
            <w:tcW w:w="0" w:type="auto"/>
            <w:gridSpan w:val="3"/>
            <w:shd w:val="clear" w:color="auto" w:fill="FFFFFF"/>
            <w:tcMar>
              <w:top w:w="40" w:type="dxa"/>
              <w:left w:w="20" w:type="dxa"/>
              <w:bottom w:w="40" w:type="dxa"/>
              <w:right w:w="20" w:type="dxa"/>
            </w:tcMar>
            <w:vAlign w:val="bottom"/>
          </w:tcPr>
          <w:p w14:paraId="1950304A" w14:textId="77777777" w:rsidR="00BF3A3A" w:rsidRDefault="00A76802">
            <w:pPr>
              <w:textAlignment w:val="bottom"/>
            </w:pPr>
            <w:r>
              <w:rPr>
                <w:rFonts w:ascii="sans-serif" w:eastAsia="sans-serif" w:hAnsi="sans-serif" w:cs="sans-serif"/>
                <w:color w:val="000000"/>
                <w:sz w:val="20"/>
                <w:szCs w:val="20"/>
              </w:rPr>
              <w:t>2.00% Notes Due 2031</w:t>
            </w:r>
          </w:p>
        </w:tc>
        <w:tc>
          <w:tcPr>
            <w:tcW w:w="0" w:type="auto"/>
            <w:gridSpan w:val="3"/>
            <w:shd w:val="clear" w:color="auto" w:fill="FFFFFF"/>
            <w:tcMar>
              <w:top w:w="40" w:type="dxa"/>
              <w:left w:w="20" w:type="dxa"/>
              <w:bottom w:w="40" w:type="dxa"/>
              <w:right w:w="20" w:type="dxa"/>
            </w:tcMar>
            <w:vAlign w:val="bottom"/>
          </w:tcPr>
          <w:p w14:paraId="1950304B" w14:textId="77777777" w:rsidR="00BF3A3A" w:rsidRDefault="00A76802">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1950304C"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04D"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04E" w14:textId="77777777" w:rsidR="00BF3A3A" w:rsidRDefault="00A76802">
            <w:pPr>
              <w:jc w:val="right"/>
              <w:textAlignment w:val="bottom"/>
            </w:pPr>
            <w:r>
              <w:rPr>
                <w:rFonts w:ascii="sans-serif" w:eastAsia="sans-serif" w:hAnsi="sans-serif" w:cs="sans-serif"/>
                <w:color w:val="000000"/>
                <w:sz w:val="20"/>
                <w:szCs w:val="20"/>
              </w:rPr>
              <w:t>1,116 </w:t>
            </w:r>
          </w:p>
        </w:tc>
        <w:tc>
          <w:tcPr>
            <w:tcW w:w="0" w:type="auto"/>
            <w:shd w:val="clear" w:color="auto" w:fill="FFFFFF"/>
            <w:tcMar>
              <w:top w:w="40" w:type="dxa"/>
              <w:left w:w="0" w:type="dxa"/>
              <w:bottom w:w="40" w:type="dxa"/>
              <w:right w:w="20" w:type="dxa"/>
            </w:tcMar>
            <w:vAlign w:val="bottom"/>
          </w:tcPr>
          <w:p w14:paraId="1950304F"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050"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051"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052" w14:textId="77777777" w:rsidR="00BF3A3A" w:rsidRDefault="00A76802">
            <w:pPr>
              <w:jc w:val="right"/>
              <w:textAlignment w:val="bottom"/>
            </w:pPr>
            <w:r>
              <w:rPr>
                <w:rFonts w:ascii="sans-serif" w:eastAsia="sans-serif" w:hAnsi="sans-serif" w:cs="sans-serif"/>
                <w:color w:val="000000"/>
                <w:sz w:val="20"/>
                <w:szCs w:val="20"/>
              </w:rPr>
              <w:t>1,200 </w:t>
            </w:r>
          </w:p>
        </w:tc>
        <w:tc>
          <w:tcPr>
            <w:tcW w:w="0" w:type="auto"/>
            <w:shd w:val="clear" w:color="auto" w:fill="FFFFFF"/>
            <w:tcMar>
              <w:top w:w="40" w:type="dxa"/>
              <w:left w:w="0" w:type="dxa"/>
              <w:bottom w:w="40" w:type="dxa"/>
              <w:right w:w="20" w:type="dxa"/>
            </w:tcMar>
            <w:vAlign w:val="bottom"/>
          </w:tcPr>
          <w:p w14:paraId="19503053" w14:textId="77777777" w:rsidR="00BF3A3A" w:rsidRDefault="00BF3A3A">
            <w:pPr>
              <w:jc w:val="right"/>
              <w:rPr>
                <w:rFonts w:ascii="宋体"/>
              </w:rPr>
            </w:pPr>
          </w:p>
        </w:tc>
      </w:tr>
      <w:tr w:rsidR="00BF3A3A" w14:paraId="1950305F" w14:textId="77777777">
        <w:tc>
          <w:tcPr>
            <w:tcW w:w="0" w:type="auto"/>
            <w:gridSpan w:val="3"/>
            <w:shd w:val="clear" w:color="auto" w:fill="E2EFD9"/>
            <w:tcMar>
              <w:top w:w="40" w:type="dxa"/>
              <w:left w:w="20" w:type="dxa"/>
              <w:bottom w:w="40" w:type="dxa"/>
              <w:right w:w="20" w:type="dxa"/>
            </w:tcMar>
            <w:vAlign w:val="bottom"/>
          </w:tcPr>
          <w:p w14:paraId="19503055" w14:textId="77777777" w:rsidR="00BF3A3A" w:rsidRDefault="00A76802">
            <w:pPr>
              <w:textAlignment w:val="bottom"/>
            </w:pPr>
            <w:r>
              <w:rPr>
                <w:rFonts w:ascii="sans-serif" w:eastAsia="sans-serif" w:hAnsi="sans-serif" w:cs="sans-serif"/>
                <w:color w:val="000000"/>
                <w:sz w:val="20"/>
                <w:szCs w:val="20"/>
              </w:rPr>
              <w:t>3.50% Notes Due 2040</w:t>
            </w:r>
          </w:p>
        </w:tc>
        <w:tc>
          <w:tcPr>
            <w:tcW w:w="0" w:type="auto"/>
            <w:gridSpan w:val="3"/>
            <w:shd w:val="clear" w:color="auto" w:fill="E2EFD9"/>
            <w:tcMar>
              <w:top w:w="40" w:type="dxa"/>
              <w:left w:w="20" w:type="dxa"/>
              <w:bottom w:w="40" w:type="dxa"/>
              <w:right w:w="20" w:type="dxa"/>
            </w:tcMar>
            <w:vAlign w:val="bottom"/>
          </w:tcPr>
          <w:p w14:paraId="19503056" w14:textId="77777777" w:rsidR="00BF3A3A" w:rsidRDefault="00A76802">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19503057"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058"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059" w14:textId="77777777" w:rsidR="00BF3A3A" w:rsidRDefault="00A76802">
            <w:pPr>
              <w:jc w:val="right"/>
              <w:textAlignment w:val="bottom"/>
            </w:pPr>
            <w:r>
              <w:rPr>
                <w:rFonts w:ascii="sans-serif" w:eastAsia="sans-serif" w:hAnsi="sans-serif" w:cs="sans-serif"/>
                <w:color w:val="000000"/>
                <w:sz w:val="20"/>
                <w:szCs w:val="20"/>
              </w:rPr>
              <w:t>927 </w:t>
            </w:r>
          </w:p>
        </w:tc>
        <w:tc>
          <w:tcPr>
            <w:tcW w:w="0" w:type="auto"/>
            <w:shd w:val="clear" w:color="auto" w:fill="E2EFD9"/>
            <w:tcMar>
              <w:top w:w="40" w:type="dxa"/>
              <w:left w:w="0" w:type="dxa"/>
              <w:bottom w:w="40" w:type="dxa"/>
              <w:right w:w="20" w:type="dxa"/>
            </w:tcMar>
            <w:vAlign w:val="bottom"/>
          </w:tcPr>
          <w:p w14:paraId="1950305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05B"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05C"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05D" w14:textId="77777777" w:rsidR="00BF3A3A" w:rsidRDefault="00A76802">
            <w:pPr>
              <w:jc w:val="right"/>
              <w:textAlignment w:val="bottom"/>
            </w:pPr>
            <w:r>
              <w:rPr>
                <w:rFonts w:ascii="sans-serif" w:eastAsia="sans-serif" w:hAnsi="sans-serif" w:cs="sans-serif"/>
                <w:color w:val="000000"/>
                <w:sz w:val="20"/>
                <w:szCs w:val="20"/>
              </w:rPr>
              <w:t>1,066 </w:t>
            </w:r>
          </w:p>
        </w:tc>
        <w:tc>
          <w:tcPr>
            <w:tcW w:w="0" w:type="auto"/>
            <w:shd w:val="clear" w:color="auto" w:fill="E2EFD9"/>
            <w:tcMar>
              <w:top w:w="40" w:type="dxa"/>
              <w:left w:w="0" w:type="dxa"/>
              <w:bottom w:w="40" w:type="dxa"/>
              <w:right w:w="20" w:type="dxa"/>
            </w:tcMar>
            <w:vAlign w:val="bottom"/>
          </w:tcPr>
          <w:p w14:paraId="1950305E" w14:textId="77777777" w:rsidR="00BF3A3A" w:rsidRDefault="00BF3A3A">
            <w:pPr>
              <w:jc w:val="right"/>
              <w:rPr>
                <w:rFonts w:ascii="宋体"/>
              </w:rPr>
            </w:pPr>
          </w:p>
        </w:tc>
      </w:tr>
      <w:tr w:rsidR="00BF3A3A" w14:paraId="1950306A" w14:textId="77777777">
        <w:tc>
          <w:tcPr>
            <w:tcW w:w="0" w:type="auto"/>
            <w:gridSpan w:val="3"/>
            <w:shd w:val="clear" w:color="auto" w:fill="FFFFFF"/>
            <w:tcMar>
              <w:top w:w="40" w:type="dxa"/>
              <w:left w:w="20" w:type="dxa"/>
              <w:bottom w:w="40" w:type="dxa"/>
              <w:right w:w="20" w:type="dxa"/>
            </w:tcMar>
            <w:vAlign w:val="bottom"/>
          </w:tcPr>
          <w:p w14:paraId="19503060" w14:textId="77777777" w:rsidR="00BF3A3A" w:rsidRDefault="00A76802">
            <w:pPr>
              <w:textAlignment w:val="bottom"/>
            </w:pPr>
            <w:r>
              <w:rPr>
                <w:rFonts w:ascii="sans-serif" w:eastAsia="sans-serif" w:hAnsi="sans-serif" w:cs="sans-serif"/>
                <w:color w:val="000000"/>
                <w:sz w:val="20"/>
                <w:szCs w:val="20"/>
              </w:rPr>
              <w:t>3.50% Notes Due 2050</w:t>
            </w:r>
          </w:p>
        </w:tc>
        <w:tc>
          <w:tcPr>
            <w:tcW w:w="0" w:type="auto"/>
            <w:gridSpan w:val="3"/>
            <w:shd w:val="clear" w:color="auto" w:fill="FFFFFF"/>
            <w:tcMar>
              <w:top w:w="40" w:type="dxa"/>
              <w:left w:w="20" w:type="dxa"/>
              <w:bottom w:w="40" w:type="dxa"/>
              <w:right w:w="20" w:type="dxa"/>
            </w:tcMar>
            <w:vAlign w:val="bottom"/>
          </w:tcPr>
          <w:p w14:paraId="19503061" w14:textId="77777777" w:rsidR="00BF3A3A" w:rsidRDefault="00A76802">
            <w:pPr>
              <w:jc w:val="center"/>
              <w:textAlignment w:val="bottom"/>
            </w:pPr>
            <w:r>
              <w:rPr>
                <w:rFonts w:ascii="sans-serif" w:eastAsia="sans-serif" w:hAnsi="sans-serif" w:cs="sans-serif"/>
                <w:color w:val="000000"/>
                <w:sz w:val="20"/>
                <w:szCs w:val="20"/>
              </w:rPr>
              <w:t>Level 2</w:t>
            </w:r>
          </w:p>
        </w:tc>
        <w:tc>
          <w:tcPr>
            <w:tcW w:w="0" w:type="auto"/>
            <w:gridSpan w:val="3"/>
            <w:shd w:val="clear" w:color="auto" w:fill="FFFFFF"/>
            <w:tcMar>
              <w:top w:w="0" w:type="dxa"/>
              <w:left w:w="20" w:type="dxa"/>
              <w:bottom w:w="0" w:type="dxa"/>
              <w:right w:w="20" w:type="dxa"/>
            </w:tcMar>
            <w:vAlign w:val="bottom"/>
          </w:tcPr>
          <w:p w14:paraId="19503062"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063"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064" w14:textId="77777777" w:rsidR="00BF3A3A" w:rsidRDefault="00A76802">
            <w:pPr>
              <w:jc w:val="right"/>
              <w:textAlignment w:val="bottom"/>
            </w:pPr>
            <w:r>
              <w:rPr>
                <w:rFonts w:ascii="sans-serif" w:eastAsia="sans-serif" w:hAnsi="sans-serif" w:cs="sans-serif"/>
                <w:color w:val="000000"/>
                <w:sz w:val="20"/>
                <w:szCs w:val="20"/>
              </w:rPr>
              <w:t>1,815 </w:t>
            </w:r>
          </w:p>
        </w:tc>
        <w:tc>
          <w:tcPr>
            <w:tcW w:w="0" w:type="auto"/>
            <w:shd w:val="clear" w:color="auto" w:fill="FFFFFF"/>
            <w:tcMar>
              <w:top w:w="40" w:type="dxa"/>
              <w:left w:w="0" w:type="dxa"/>
              <w:bottom w:w="40" w:type="dxa"/>
              <w:right w:w="20" w:type="dxa"/>
            </w:tcMar>
            <w:vAlign w:val="bottom"/>
          </w:tcPr>
          <w:p w14:paraId="19503065"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066"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067"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068" w14:textId="77777777" w:rsidR="00BF3A3A" w:rsidRDefault="00A76802">
            <w:pPr>
              <w:jc w:val="right"/>
              <w:textAlignment w:val="bottom"/>
            </w:pPr>
            <w:r>
              <w:rPr>
                <w:rFonts w:ascii="sans-serif" w:eastAsia="sans-serif" w:hAnsi="sans-serif" w:cs="sans-serif"/>
                <w:color w:val="000000"/>
                <w:sz w:val="20"/>
                <w:szCs w:val="20"/>
              </w:rPr>
              <w:t>2,147 </w:t>
            </w:r>
          </w:p>
        </w:tc>
        <w:tc>
          <w:tcPr>
            <w:tcW w:w="0" w:type="auto"/>
            <w:shd w:val="clear" w:color="auto" w:fill="FFFFFF"/>
            <w:tcMar>
              <w:top w:w="40" w:type="dxa"/>
              <w:left w:w="0" w:type="dxa"/>
              <w:bottom w:w="40" w:type="dxa"/>
              <w:right w:w="20" w:type="dxa"/>
            </w:tcMar>
            <w:vAlign w:val="bottom"/>
          </w:tcPr>
          <w:p w14:paraId="19503069" w14:textId="77777777" w:rsidR="00BF3A3A" w:rsidRDefault="00BF3A3A">
            <w:pPr>
              <w:jc w:val="right"/>
              <w:rPr>
                <w:rFonts w:ascii="宋体"/>
              </w:rPr>
            </w:pPr>
          </w:p>
        </w:tc>
      </w:tr>
      <w:tr w:rsidR="00BF3A3A" w14:paraId="19503075" w14:textId="77777777">
        <w:tc>
          <w:tcPr>
            <w:tcW w:w="0" w:type="auto"/>
            <w:gridSpan w:val="3"/>
            <w:shd w:val="clear" w:color="auto" w:fill="E2EFD9"/>
            <w:tcMar>
              <w:top w:w="40" w:type="dxa"/>
              <w:left w:w="20" w:type="dxa"/>
              <w:bottom w:w="40" w:type="dxa"/>
              <w:right w:w="20" w:type="dxa"/>
            </w:tcMar>
            <w:vAlign w:val="bottom"/>
          </w:tcPr>
          <w:p w14:paraId="1950306B" w14:textId="77777777" w:rsidR="00BF3A3A" w:rsidRDefault="00A76802">
            <w:pPr>
              <w:textAlignment w:val="bottom"/>
            </w:pPr>
            <w:r>
              <w:rPr>
                <w:rFonts w:ascii="sans-serif" w:eastAsia="sans-serif" w:hAnsi="sans-serif" w:cs="sans-serif"/>
                <w:color w:val="000000"/>
                <w:sz w:val="20"/>
                <w:szCs w:val="20"/>
              </w:rPr>
              <w:t>3.70% Notes Due 2060</w:t>
            </w:r>
          </w:p>
        </w:tc>
        <w:tc>
          <w:tcPr>
            <w:tcW w:w="0" w:type="auto"/>
            <w:gridSpan w:val="3"/>
            <w:shd w:val="clear" w:color="auto" w:fill="E2EFD9"/>
            <w:tcMar>
              <w:top w:w="40" w:type="dxa"/>
              <w:left w:w="20" w:type="dxa"/>
              <w:bottom w:w="40" w:type="dxa"/>
              <w:right w:w="20" w:type="dxa"/>
            </w:tcMar>
            <w:vAlign w:val="bottom"/>
          </w:tcPr>
          <w:p w14:paraId="1950306C" w14:textId="77777777" w:rsidR="00BF3A3A" w:rsidRDefault="00A76802">
            <w:pPr>
              <w:jc w:val="center"/>
              <w:textAlignment w:val="bottom"/>
            </w:pPr>
            <w:r>
              <w:rPr>
                <w:rFonts w:ascii="sans-serif" w:eastAsia="sans-serif" w:hAnsi="sans-serif" w:cs="sans-serif"/>
                <w:color w:val="000000"/>
                <w:sz w:val="20"/>
                <w:szCs w:val="20"/>
              </w:rPr>
              <w:t>Level 2</w:t>
            </w:r>
          </w:p>
        </w:tc>
        <w:tc>
          <w:tcPr>
            <w:tcW w:w="0" w:type="auto"/>
            <w:gridSpan w:val="3"/>
            <w:shd w:val="clear" w:color="auto" w:fill="E2EFD9"/>
            <w:tcMar>
              <w:top w:w="0" w:type="dxa"/>
              <w:left w:w="20" w:type="dxa"/>
              <w:bottom w:w="0" w:type="dxa"/>
              <w:right w:w="20" w:type="dxa"/>
            </w:tcMar>
            <w:vAlign w:val="bottom"/>
          </w:tcPr>
          <w:p w14:paraId="1950306D"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06E"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06F" w14:textId="77777777" w:rsidR="00BF3A3A" w:rsidRDefault="00A76802">
            <w:pPr>
              <w:jc w:val="right"/>
              <w:textAlignment w:val="bottom"/>
            </w:pPr>
            <w:r>
              <w:rPr>
                <w:rFonts w:ascii="sans-serif" w:eastAsia="sans-serif" w:hAnsi="sans-serif" w:cs="sans-serif"/>
                <w:color w:val="000000"/>
                <w:sz w:val="20"/>
                <w:szCs w:val="20"/>
              </w:rPr>
              <w:t>451 </w:t>
            </w:r>
          </w:p>
        </w:tc>
        <w:tc>
          <w:tcPr>
            <w:tcW w:w="0" w:type="auto"/>
            <w:shd w:val="clear" w:color="auto" w:fill="E2EFD9"/>
            <w:tcMar>
              <w:top w:w="40" w:type="dxa"/>
              <w:left w:w="0" w:type="dxa"/>
              <w:bottom w:w="40" w:type="dxa"/>
              <w:right w:w="20" w:type="dxa"/>
            </w:tcMar>
            <w:vAlign w:val="bottom"/>
          </w:tcPr>
          <w:p w14:paraId="1950307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071"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072"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073" w14:textId="77777777" w:rsidR="00BF3A3A" w:rsidRDefault="00A76802">
            <w:pPr>
              <w:jc w:val="right"/>
              <w:textAlignment w:val="bottom"/>
            </w:pPr>
            <w:r>
              <w:rPr>
                <w:rFonts w:ascii="sans-serif" w:eastAsia="sans-serif" w:hAnsi="sans-serif" w:cs="sans-serif"/>
                <w:color w:val="000000"/>
                <w:sz w:val="20"/>
                <w:szCs w:val="20"/>
              </w:rPr>
              <w:t>551 </w:t>
            </w:r>
          </w:p>
        </w:tc>
        <w:tc>
          <w:tcPr>
            <w:tcW w:w="0" w:type="auto"/>
            <w:shd w:val="clear" w:color="auto" w:fill="E2EFD9"/>
            <w:tcMar>
              <w:top w:w="40" w:type="dxa"/>
              <w:left w:w="0" w:type="dxa"/>
              <w:bottom w:w="40" w:type="dxa"/>
              <w:right w:w="20" w:type="dxa"/>
            </w:tcMar>
            <w:vAlign w:val="bottom"/>
          </w:tcPr>
          <w:p w14:paraId="19503074" w14:textId="77777777" w:rsidR="00BF3A3A" w:rsidRDefault="00BF3A3A">
            <w:pPr>
              <w:jc w:val="right"/>
              <w:rPr>
                <w:rFonts w:ascii="宋体"/>
              </w:rPr>
            </w:pPr>
          </w:p>
        </w:tc>
      </w:tr>
    </w:tbl>
    <w:p w14:paraId="19503076" w14:textId="77777777" w:rsidR="00BF3A3A" w:rsidRDefault="00A76802">
      <w:pPr>
        <w:spacing w:after="60"/>
        <w:ind w:hanging="360"/>
        <w:jc w:val="both"/>
      </w:pPr>
      <w:r>
        <w:rPr>
          <w:rFonts w:ascii="sans-serif" w:eastAsia="sans-serif" w:hAnsi="sans-serif" w:cs="sans-serif"/>
          <w:color w:val="000000"/>
          <w:sz w:val="16"/>
          <w:szCs w:val="16"/>
        </w:rPr>
        <w:t xml:space="preserve">(1)    Unrealized losses of $7 million and $31 million from investments in publicly-traded equity securities were recorded in other income </w:t>
      </w:r>
      <w:r>
        <w:rPr>
          <w:rFonts w:ascii="sans-serif" w:eastAsia="sans-serif" w:hAnsi="sans-serif" w:cs="sans-serif"/>
          <w:color w:val="000000"/>
          <w:sz w:val="16"/>
          <w:szCs w:val="16"/>
        </w:rPr>
        <w:t xml:space="preserve">(expense), net, in the second quarter and first half of fiscal year 2023, respectively. An unrealized loss of $6 million on an investment in a publicly-traded equity security was recorded in other income (expense), net in the second quarter of fiscal year </w:t>
      </w:r>
      <w:r>
        <w:rPr>
          <w:rFonts w:ascii="sans-serif" w:eastAsia="sans-serif" w:hAnsi="sans-serif" w:cs="sans-serif"/>
          <w:color w:val="000000"/>
          <w:sz w:val="16"/>
          <w:szCs w:val="16"/>
        </w:rPr>
        <w:t>2022 and an unrealized gain of $118 million was recorded in other income (expense), net in the first half of fiscal year 2022.</w:t>
      </w:r>
    </w:p>
    <w:p w14:paraId="19503077" w14:textId="77777777" w:rsidR="00BF3A3A" w:rsidRDefault="00A76802">
      <w:pPr>
        <w:spacing w:after="60"/>
        <w:ind w:hanging="360"/>
        <w:jc w:val="both"/>
      </w:pPr>
      <w:r>
        <w:rPr>
          <w:rFonts w:ascii="sans-serif" w:eastAsia="sans-serif" w:hAnsi="sans-serif" w:cs="sans-serif"/>
          <w:color w:val="000000"/>
          <w:sz w:val="16"/>
          <w:szCs w:val="16"/>
        </w:rPr>
        <w:t>(2)    These liabilities are carried on our Condensed Consolidated Balance Sheets at their original issuance value, net of unamor</w:t>
      </w:r>
      <w:r>
        <w:rPr>
          <w:rFonts w:ascii="sans-serif" w:eastAsia="sans-serif" w:hAnsi="sans-serif" w:cs="sans-serif"/>
          <w:color w:val="000000"/>
          <w:sz w:val="16"/>
          <w:szCs w:val="16"/>
        </w:rPr>
        <w:t>tized debt discount and issuance costs.</w:t>
      </w:r>
    </w:p>
    <w:p w14:paraId="19503078" w14:textId="77777777" w:rsidR="00BF3A3A" w:rsidRDefault="00A76802">
      <w:pPr>
        <w:spacing w:after="180"/>
        <w:jc w:val="center"/>
      </w:pPr>
      <w:r>
        <w:rPr>
          <w:rFonts w:ascii="sans-serif" w:eastAsia="sans-serif" w:hAnsi="sans-serif" w:cs="sans-serif"/>
          <w:color w:val="000000"/>
          <w:sz w:val="20"/>
          <w:szCs w:val="20"/>
        </w:rPr>
        <w:t>14</w:t>
      </w:r>
    </w:p>
    <w:p w14:paraId="19503079" w14:textId="77777777" w:rsidR="00BF3A3A" w:rsidRDefault="00A76802">
      <w:r>
        <w:pict w14:anchorId="19503FD3">
          <v:rect id="_x0000_i1038" style="width:415.3pt;height:1.5pt" o:hralign="center" o:hrstd="t" o:hr="t" fillcolor="#a0a0a0" stroked="f"/>
        </w:pict>
      </w:r>
    </w:p>
    <w:p w14:paraId="1950307A" w14:textId="77777777" w:rsidR="00BF3A3A" w:rsidRDefault="00A76802">
      <w:pPr>
        <w:jc w:val="center"/>
      </w:pPr>
      <w:r>
        <w:rPr>
          <w:rFonts w:ascii="sans-serif" w:eastAsia="sans-serif" w:hAnsi="sans-serif" w:cs="sans-serif"/>
          <w:b/>
          <w:bCs/>
          <w:color w:val="000000"/>
          <w:sz w:val="20"/>
          <w:szCs w:val="20"/>
        </w:rPr>
        <w:t>NVIDIA CORPORATION AND SUBSIDIARIES</w:t>
      </w:r>
    </w:p>
    <w:p w14:paraId="1950307B" w14:textId="77777777" w:rsidR="00BF3A3A" w:rsidRDefault="00A76802">
      <w:pPr>
        <w:jc w:val="center"/>
      </w:pPr>
      <w:r>
        <w:rPr>
          <w:rFonts w:ascii="sans-serif" w:eastAsia="sans-serif" w:hAnsi="sans-serif" w:cs="sans-serif"/>
          <w:b/>
          <w:bCs/>
          <w:color w:val="000000"/>
          <w:sz w:val="20"/>
          <w:szCs w:val="20"/>
        </w:rPr>
        <w:t>NOTES TO CONDENSED CONSOLIDATED FINANCIAL STATEMENTS (Continued)</w:t>
      </w:r>
    </w:p>
    <w:p w14:paraId="1950307C" w14:textId="77777777" w:rsidR="00BF3A3A" w:rsidRDefault="00A76802">
      <w:pPr>
        <w:jc w:val="center"/>
      </w:pPr>
      <w:r>
        <w:rPr>
          <w:rFonts w:ascii="sans-serif" w:eastAsia="sans-serif" w:hAnsi="sans-serif" w:cs="sans-serif"/>
          <w:b/>
          <w:bCs/>
          <w:color w:val="000000"/>
          <w:sz w:val="20"/>
          <w:szCs w:val="20"/>
        </w:rPr>
        <w:t>(Unaudited)</w:t>
      </w:r>
    </w:p>
    <w:p w14:paraId="1950307D" w14:textId="77777777" w:rsidR="00BF3A3A" w:rsidRDefault="00BF3A3A">
      <w:pPr>
        <w:spacing w:after="180"/>
        <w:jc w:val="both"/>
      </w:pPr>
    </w:p>
    <w:p w14:paraId="1950307E" w14:textId="77777777" w:rsidR="00BF3A3A" w:rsidRDefault="00BF3A3A">
      <w:pPr>
        <w:spacing w:after="180"/>
        <w:jc w:val="both"/>
      </w:pPr>
    </w:p>
    <w:p w14:paraId="1950307F" w14:textId="77777777" w:rsidR="00BF3A3A" w:rsidRDefault="00A76802">
      <w:pPr>
        <w:spacing w:before="240" w:after="120"/>
        <w:jc w:val="both"/>
      </w:pPr>
      <w:r>
        <w:rPr>
          <w:rFonts w:ascii="sans-serif" w:eastAsia="sans-serif" w:hAnsi="sans-serif" w:cs="sans-serif"/>
          <w:b/>
          <w:bCs/>
          <w:color w:val="76B900"/>
          <w:sz w:val="22"/>
          <w:szCs w:val="22"/>
        </w:rPr>
        <w:t>Note 9 - Amortizable Intangible Assets and Goodwill</w:t>
      </w:r>
    </w:p>
    <w:p w14:paraId="19503080" w14:textId="77777777" w:rsidR="00BF3A3A" w:rsidRDefault="00A76802">
      <w:pPr>
        <w:spacing w:after="180"/>
        <w:jc w:val="both"/>
      </w:pPr>
      <w:r>
        <w:rPr>
          <w:rFonts w:ascii="sans-serif" w:eastAsia="sans-serif" w:hAnsi="sans-serif" w:cs="sans-serif"/>
          <w:color w:val="000000"/>
          <w:sz w:val="20"/>
          <w:szCs w:val="20"/>
        </w:rPr>
        <w:t xml:space="preserve">The components of our amortizable </w:t>
      </w:r>
      <w:r>
        <w:rPr>
          <w:rFonts w:ascii="sans-serif" w:eastAsia="sans-serif" w:hAnsi="sans-serif" w:cs="sans-serif"/>
          <w:color w:val="000000"/>
          <w:sz w:val="20"/>
          <w:szCs w:val="20"/>
        </w:rPr>
        <w:t>intangible assets are as follows:</w:t>
      </w:r>
    </w:p>
    <w:tbl>
      <w:tblPr>
        <w:tblW w:w="4963" w:type="pct"/>
        <w:tblCellMar>
          <w:top w:w="15" w:type="dxa"/>
          <w:left w:w="15" w:type="dxa"/>
          <w:bottom w:w="15" w:type="dxa"/>
          <w:right w:w="15" w:type="dxa"/>
        </w:tblCellMar>
        <w:tblLook w:val="04A0" w:firstRow="1" w:lastRow="0" w:firstColumn="1" w:lastColumn="0" w:noHBand="0" w:noVBand="1"/>
      </w:tblPr>
      <w:tblGrid>
        <w:gridCol w:w="75"/>
        <w:gridCol w:w="1477"/>
        <w:gridCol w:w="36"/>
        <w:gridCol w:w="121"/>
        <w:gridCol w:w="656"/>
        <w:gridCol w:w="36"/>
        <w:gridCol w:w="40"/>
        <w:gridCol w:w="32"/>
        <w:gridCol w:w="36"/>
        <w:gridCol w:w="121"/>
        <w:gridCol w:w="1012"/>
        <w:gridCol w:w="36"/>
        <w:gridCol w:w="40"/>
        <w:gridCol w:w="32"/>
        <w:gridCol w:w="36"/>
        <w:gridCol w:w="121"/>
        <w:gridCol w:w="965"/>
        <w:gridCol w:w="36"/>
        <w:gridCol w:w="40"/>
        <w:gridCol w:w="32"/>
        <w:gridCol w:w="36"/>
        <w:gridCol w:w="121"/>
        <w:gridCol w:w="656"/>
        <w:gridCol w:w="36"/>
        <w:gridCol w:w="40"/>
        <w:gridCol w:w="32"/>
        <w:gridCol w:w="36"/>
        <w:gridCol w:w="121"/>
        <w:gridCol w:w="1012"/>
        <w:gridCol w:w="36"/>
        <w:gridCol w:w="40"/>
        <w:gridCol w:w="32"/>
        <w:gridCol w:w="36"/>
        <w:gridCol w:w="121"/>
        <w:gridCol w:w="965"/>
        <w:gridCol w:w="36"/>
      </w:tblGrid>
      <w:tr w:rsidR="00BF3A3A" w14:paraId="195030A5" w14:textId="77777777">
        <w:tc>
          <w:tcPr>
            <w:tcW w:w="50" w:type="pct"/>
            <w:shd w:val="clear" w:color="auto" w:fill="auto"/>
            <w:vAlign w:val="bottom"/>
          </w:tcPr>
          <w:p w14:paraId="19503081" w14:textId="77777777" w:rsidR="00BF3A3A" w:rsidRDefault="00BF3A3A">
            <w:pPr>
              <w:rPr>
                <w:rFonts w:ascii="宋体"/>
              </w:rPr>
            </w:pPr>
          </w:p>
        </w:tc>
        <w:tc>
          <w:tcPr>
            <w:tcW w:w="1005" w:type="pct"/>
            <w:shd w:val="clear" w:color="auto" w:fill="auto"/>
            <w:vAlign w:val="bottom"/>
          </w:tcPr>
          <w:p w14:paraId="19503082" w14:textId="77777777" w:rsidR="00BF3A3A" w:rsidRDefault="00BF3A3A">
            <w:pPr>
              <w:rPr>
                <w:rFonts w:ascii="宋体"/>
              </w:rPr>
            </w:pPr>
          </w:p>
        </w:tc>
        <w:tc>
          <w:tcPr>
            <w:tcW w:w="5" w:type="pct"/>
            <w:shd w:val="clear" w:color="auto" w:fill="auto"/>
            <w:vAlign w:val="bottom"/>
          </w:tcPr>
          <w:p w14:paraId="19503083" w14:textId="77777777" w:rsidR="00BF3A3A" w:rsidRDefault="00BF3A3A">
            <w:pPr>
              <w:rPr>
                <w:rFonts w:ascii="宋体"/>
              </w:rPr>
            </w:pPr>
          </w:p>
        </w:tc>
        <w:tc>
          <w:tcPr>
            <w:tcW w:w="50" w:type="pct"/>
            <w:shd w:val="clear" w:color="auto" w:fill="auto"/>
            <w:vAlign w:val="bottom"/>
          </w:tcPr>
          <w:p w14:paraId="19503084" w14:textId="77777777" w:rsidR="00BF3A3A" w:rsidRDefault="00BF3A3A">
            <w:pPr>
              <w:rPr>
                <w:rFonts w:ascii="宋体"/>
              </w:rPr>
            </w:pPr>
          </w:p>
        </w:tc>
        <w:tc>
          <w:tcPr>
            <w:tcW w:w="570" w:type="pct"/>
            <w:shd w:val="clear" w:color="auto" w:fill="auto"/>
            <w:vAlign w:val="bottom"/>
          </w:tcPr>
          <w:p w14:paraId="19503085" w14:textId="77777777" w:rsidR="00BF3A3A" w:rsidRDefault="00BF3A3A">
            <w:pPr>
              <w:rPr>
                <w:rFonts w:ascii="宋体"/>
              </w:rPr>
            </w:pPr>
          </w:p>
        </w:tc>
        <w:tc>
          <w:tcPr>
            <w:tcW w:w="5" w:type="pct"/>
            <w:shd w:val="clear" w:color="auto" w:fill="auto"/>
            <w:vAlign w:val="bottom"/>
          </w:tcPr>
          <w:p w14:paraId="19503086" w14:textId="77777777" w:rsidR="00BF3A3A" w:rsidRDefault="00BF3A3A">
            <w:pPr>
              <w:rPr>
                <w:rFonts w:ascii="宋体"/>
              </w:rPr>
            </w:pPr>
          </w:p>
        </w:tc>
        <w:tc>
          <w:tcPr>
            <w:tcW w:w="5" w:type="pct"/>
            <w:shd w:val="clear" w:color="auto" w:fill="auto"/>
            <w:vAlign w:val="bottom"/>
          </w:tcPr>
          <w:p w14:paraId="19503087" w14:textId="77777777" w:rsidR="00BF3A3A" w:rsidRDefault="00BF3A3A">
            <w:pPr>
              <w:rPr>
                <w:rFonts w:ascii="宋体"/>
              </w:rPr>
            </w:pPr>
          </w:p>
        </w:tc>
        <w:tc>
          <w:tcPr>
            <w:tcW w:w="26" w:type="pct"/>
            <w:shd w:val="clear" w:color="auto" w:fill="auto"/>
            <w:vAlign w:val="bottom"/>
          </w:tcPr>
          <w:p w14:paraId="19503088" w14:textId="77777777" w:rsidR="00BF3A3A" w:rsidRDefault="00BF3A3A">
            <w:pPr>
              <w:rPr>
                <w:rFonts w:ascii="宋体"/>
              </w:rPr>
            </w:pPr>
          </w:p>
        </w:tc>
        <w:tc>
          <w:tcPr>
            <w:tcW w:w="5" w:type="pct"/>
            <w:shd w:val="clear" w:color="auto" w:fill="auto"/>
            <w:vAlign w:val="bottom"/>
          </w:tcPr>
          <w:p w14:paraId="19503089" w14:textId="77777777" w:rsidR="00BF3A3A" w:rsidRDefault="00BF3A3A">
            <w:pPr>
              <w:rPr>
                <w:rFonts w:ascii="宋体"/>
              </w:rPr>
            </w:pPr>
          </w:p>
        </w:tc>
        <w:tc>
          <w:tcPr>
            <w:tcW w:w="50" w:type="pct"/>
            <w:shd w:val="clear" w:color="auto" w:fill="auto"/>
            <w:vAlign w:val="bottom"/>
          </w:tcPr>
          <w:p w14:paraId="1950308A" w14:textId="77777777" w:rsidR="00BF3A3A" w:rsidRDefault="00BF3A3A">
            <w:pPr>
              <w:rPr>
                <w:rFonts w:ascii="宋体"/>
              </w:rPr>
            </w:pPr>
          </w:p>
        </w:tc>
        <w:tc>
          <w:tcPr>
            <w:tcW w:w="570" w:type="pct"/>
            <w:shd w:val="clear" w:color="auto" w:fill="auto"/>
            <w:vAlign w:val="bottom"/>
          </w:tcPr>
          <w:p w14:paraId="1950308B" w14:textId="77777777" w:rsidR="00BF3A3A" w:rsidRDefault="00BF3A3A">
            <w:pPr>
              <w:rPr>
                <w:rFonts w:ascii="宋体"/>
              </w:rPr>
            </w:pPr>
          </w:p>
        </w:tc>
        <w:tc>
          <w:tcPr>
            <w:tcW w:w="5" w:type="pct"/>
            <w:shd w:val="clear" w:color="auto" w:fill="auto"/>
            <w:vAlign w:val="bottom"/>
          </w:tcPr>
          <w:p w14:paraId="1950308C" w14:textId="77777777" w:rsidR="00BF3A3A" w:rsidRDefault="00BF3A3A">
            <w:pPr>
              <w:rPr>
                <w:rFonts w:ascii="宋体"/>
              </w:rPr>
            </w:pPr>
          </w:p>
        </w:tc>
        <w:tc>
          <w:tcPr>
            <w:tcW w:w="5" w:type="pct"/>
            <w:shd w:val="clear" w:color="auto" w:fill="auto"/>
            <w:vAlign w:val="bottom"/>
          </w:tcPr>
          <w:p w14:paraId="1950308D" w14:textId="77777777" w:rsidR="00BF3A3A" w:rsidRDefault="00BF3A3A">
            <w:pPr>
              <w:rPr>
                <w:rFonts w:ascii="宋体"/>
              </w:rPr>
            </w:pPr>
          </w:p>
        </w:tc>
        <w:tc>
          <w:tcPr>
            <w:tcW w:w="26" w:type="pct"/>
            <w:shd w:val="clear" w:color="auto" w:fill="auto"/>
            <w:vAlign w:val="bottom"/>
          </w:tcPr>
          <w:p w14:paraId="1950308E" w14:textId="77777777" w:rsidR="00BF3A3A" w:rsidRDefault="00BF3A3A">
            <w:pPr>
              <w:rPr>
                <w:rFonts w:ascii="宋体"/>
              </w:rPr>
            </w:pPr>
          </w:p>
        </w:tc>
        <w:tc>
          <w:tcPr>
            <w:tcW w:w="5" w:type="pct"/>
            <w:shd w:val="clear" w:color="auto" w:fill="auto"/>
            <w:vAlign w:val="bottom"/>
          </w:tcPr>
          <w:p w14:paraId="1950308F" w14:textId="77777777" w:rsidR="00BF3A3A" w:rsidRDefault="00BF3A3A">
            <w:pPr>
              <w:rPr>
                <w:rFonts w:ascii="宋体"/>
              </w:rPr>
            </w:pPr>
          </w:p>
        </w:tc>
        <w:tc>
          <w:tcPr>
            <w:tcW w:w="50" w:type="pct"/>
            <w:shd w:val="clear" w:color="auto" w:fill="auto"/>
            <w:vAlign w:val="bottom"/>
          </w:tcPr>
          <w:p w14:paraId="19503090" w14:textId="77777777" w:rsidR="00BF3A3A" w:rsidRDefault="00BF3A3A">
            <w:pPr>
              <w:rPr>
                <w:rFonts w:ascii="宋体"/>
              </w:rPr>
            </w:pPr>
          </w:p>
        </w:tc>
        <w:tc>
          <w:tcPr>
            <w:tcW w:w="570" w:type="pct"/>
            <w:shd w:val="clear" w:color="auto" w:fill="auto"/>
            <w:vAlign w:val="bottom"/>
          </w:tcPr>
          <w:p w14:paraId="19503091" w14:textId="77777777" w:rsidR="00BF3A3A" w:rsidRDefault="00BF3A3A">
            <w:pPr>
              <w:rPr>
                <w:rFonts w:ascii="宋体"/>
              </w:rPr>
            </w:pPr>
          </w:p>
        </w:tc>
        <w:tc>
          <w:tcPr>
            <w:tcW w:w="5" w:type="pct"/>
            <w:shd w:val="clear" w:color="auto" w:fill="auto"/>
            <w:vAlign w:val="bottom"/>
          </w:tcPr>
          <w:p w14:paraId="19503092" w14:textId="77777777" w:rsidR="00BF3A3A" w:rsidRDefault="00BF3A3A">
            <w:pPr>
              <w:rPr>
                <w:rFonts w:ascii="宋体"/>
              </w:rPr>
            </w:pPr>
          </w:p>
        </w:tc>
        <w:tc>
          <w:tcPr>
            <w:tcW w:w="5" w:type="pct"/>
            <w:shd w:val="clear" w:color="auto" w:fill="auto"/>
            <w:vAlign w:val="bottom"/>
          </w:tcPr>
          <w:p w14:paraId="19503093" w14:textId="77777777" w:rsidR="00BF3A3A" w:rsidRDefault="00BF3A3A">
            <w:pPr>
              <w:rPr>
                <w:rFonts w:ascii="宋体"/>
              </w:rPr>
            </w:pPr>
          </w:p>
        </w:tc>
        <w:tc>
          <w:tcPr>
            <w:tcW w:w="26" w:type="pct"/>
            <w:shd w:val="clear" w:color="auto" w:fill="auto"/>
            <w:vAlign w:val="bottom"/>
          </w:tcPr>
          <w:p w14:paraId="19503094" w14:textId="77777777" w:rsidR="00BF3A3A" w:rsidRDefault="00BF3A3A">
            <w:pPr>
              <w:rPr>
                <w:rFonts w:ascii="宋体"/>
              </w:rPr>
            </w:pPr>
          </w:p>
        </w:tc>
        <w:tc>
          <w:tcPr>
            <w:tcW w:w="5" w:type="pct"/>
            <w:shd w:val="clear" w:color="auto" w:fill="auto"/>
            <w:vAlign w:val="bottom"/>
          </w:tcPr>
          <w:p w14:paraId="19503095" w14:textId="77777777" w:rsidR="00BF3A3A" w:rsidRDefault="00BF3A3A">
            <w:pPr>
              <w:rPr>
                <w:rFonts w:ascii="宋体"/>
              </w:rPr>
            </w:pPr>
          </w:p>
        </w:tc>
        <w:tc>
          <w:tcPr>
            <w:tcW w:w="50" w:type="pct"/>
            <w:shd w:val="clear" w:color="auto" w:fill="auto"/>
            <w:vAlign w:val="bottom"/>
          </w:tcPr>
          <w:p w14:paraId="19503096" w14:textId="77777777" w:rsidR="00BF3A3A" w:rsidRDefault="00BF3A3A">
            <w:pPr>
              <w:rPr>
                <w:rFonts w:ascii="宋体"/>
              </w:rPr>
            </w:pPr>
          </w:p>
        </w:tc>
        <w:tc>
          <w:tcPr>
            <w:tcW w:w="570" w:type="pct"/>
            <w:shd w:val="clear" w:color="auto" w:fill="auto"/>
            <w:vAlign w:val="bottom"/>
          </w:tcPr>
          <w:p w14:paraId="19503097" w14:textId="77777777" w:rsidR="00BF3A3A" w:rsidRDefault="00BF3A3A">
            <w:pPr>
              <w:rPr>
                <w:rFonts w:ascii="宋体"/>
              </w:rPr>
            </w:pPr>
          </w:p>
        </w:tc>
        <w:tc>
          <w:tcPr>
            <w:tcW w:w="5" w:type="pct"/>
            <w:shd w:val="clear" w:color="auto" w:fill="auto"/>
            <w:vAlign w:val="bottom"/>
          </w:tcPr>
          <w:p w14:paraId="19503098" w14:textId="77777777" w:rsidR="00BF3A3A" w:rsidRDefault="00BF3A3A">
            <w:pPr>
              <w:rPr>
                <w:rFonts w:ascii="宋体"/>
              </w:rPr>
            </w:pPr>
          </w:p>
        </w:tc>
        <w:tc>
          <w:tcPr>
            <w:tcW w:w="5" w:type="pct"/>
            <w:shd w:val="clear" w:color="auto" w:fill="auto"/>
            <w:vAlign w:val="bottom"/>
          </w:tcPr>
          <w:p w14:paraId="19503099" w14:textId="77777777" w:rsidR="00BF3A3A" w:rsidRDefault="00BF3A3A">
            <w:pPr>
              <w:rPr>
                <w:rFonts w:ascii="宋体"/>
              </w:rPr>
            </w:pPr>
          </w:p>
        </w:tc>
        <w:tc>
          <w:tcPr>
            <w:tcW w:w="26" w:type="pct"/>
            <w:shd w:val="clear" w:color="auto" w:fill="auto"/>
            <w:vAlign w:val="bottom"/>
          </w:tcPr>
          <w:p w14:paraId="1950309A" w14:textId="77777777" w:rsidR="00BF3A3A" w:rsidRDefault="00BF3A3A">
            <w:pPr>
              <w:rPr>
                <w:rFonts w:ascii="宋体"/>
              </w:rPr>
            </w:pPr>
          </w:p>
        </w:tc>
        <w:tc>
          <w:tcPr>
            <w:tcW w:w="5" w:type="pct"/>
            <w:shd w:val="clear" w:color="auto" w:fill="auto"/>
            <w:vAlign w:val="bottom"/>
          </w:tcPr>
          <w:p w14:paraId="1950309B" w14:textId="77777777" w:rsidR="00BF3A3A" w:rsidRDefault="00BF3A3A">
            <w:pPr>
              <w:rPr>
                <w:rFonts w:ascii="宋体"/>
              </w:rPr>
            </w:pPr>
          </w:p>
        </w:tc>
        <w:tc>
          <w:tcPr>
            <w:tcW w:w="50" w:type="pct"/>
            <w:shd w:val="clear" w:color="auto" w:fill="auto"/>
            <w:vAlign w:val="bottom"/>
          </w:tcPr>
          <w:p w14:paraId="1950309C" w14:textId="77777777" w:rsidR="00BF3A3A" w:rsidRDefault="00BF3A3A">
            <w:pPr>
              <w:rPr>
                <w:rFonts w:ascii="宋体"/>
              </w:rPr>
            </w:pPr>
          </w:p>
        </w:tc>
        <w:tc>
          <w:tcPr>
            <w:tcW w:w="570" w:type="pct"/>
            <w:shd w:val="clear" w:color="auto" w:fill="auto"/>
            <w:vAlign w:val="bottom"/>
          </w:tcPr>
          <w:p w14:paraId="1950309D" w14:textId="77777777" w:rsidR="00BF3A3A" w:rsidRDefault="00BF3A3A">
            <w:pPr>
              <w:rPr>
                <w:rFonts w:ascii="宋体"/>
              </w:rPr>
            </w:pPr>
          </w:p>
        </w:tc>
        <w:tc>
          <w:tcPr>
            <w:tcW w:w="5" w:type="pct"/>
            <w:shd w:val="clear" w:color="auto" w:fill="auto"/>
            <w:vAlign w:val="bottom"/>
          </w:tcPr>
          <w:p w14:paraId="1950309E" w14:textId="77777777" w:rsidR="00BF3A3A" w:rsidRDefault="00BF3A3A">
            <w:pPr>
              <w:rPr>
                <w:rFonts w:ascii="宋体"/>
              </w:rPr>
            </w:pPr>
          </w:p>
        </w:tc>
        <w:tc>
          <w:tcPr>
            <w:tcW w:w="5" w:type="pct"/>
            <w:shd w:val="clear" w:color="auto" w:fill="auto"/>
            <w:vAlign w:val="bottom"/>
          </w:tcPr>
          <w:p w14:paraId="1950309F" w14:textId="77777777" w:rsidR="00BF3A3A" w:rsidRDefault="00BF3A3A">
            <w:pPr>
              <w:rPr>
                <w:rFonts w:ascii="宋体"/>
              </w:rPr>
            </w:pPr>
          </w:p>
        </w:tc>
        <w:tc>
          <w:tcPr>
            <w:tcW w:w="26" w:type="pct"/>
            <w:shd w:val="clear" w:color="auto" w:fill="auto"/>
            <w:vAlign w:val="bottom"/>
          </w:tcPr>
          <w:p w14:paraId="195030A0" w14:textId="77777777" w:rsidR="00BF3A3A" w:rsidRDefault="00BF3A3A">
            <w:pPr>
              <w:rPr>
                <w:rFonts w:ascii="宋体"/>
              </w:rPr>
            </w:pPr>
          </w:p>
        </w:tc>
        <w:tc>
          <w:tcPr>
            <w:tcW w:w="5" w:type="pct"/>
            <w:shd w:val="clear" w:color="auto" w:fill="auto"/>
            <w:vAlign w:val="bottom"/>
          </w:tcPr>
          <w:p w14:paraId="195030A1" w14:textId="77777777" w:rsidR="00BF3A3A" w:rsidRDefault="00BF3A3A">
            <w:pPr>
              <w:rPr>
                <w:rFonts w:ascii="宋体"/>
              </w:rPr>
            </w:pPr>
          </w:p>
        </w:tc>
        <w:tc>
          <w:tcPr>
            <w:tcW w:w="50" w:type="pct"/>
            <w:shd w:val="clear" w:color="auto" w:fill="auto"/>
            <w:vAlign w:val="bottom"/>
          </w:tcPr>
          <w:p w14:paraId="195030A2" w14:textId="77777777" w:rsidR="00BF3A3A" w:rsidRDefault="00BF3A3A">
            <w:pPr>
              <w:rPr>
                <w:rFonts w:ascii="宋体"/>
              </w:rPr>
            </w:pPr>
          </w:p>
        </w:tc>
        <w:tc>
          <w:tcPr>
            <w:tcW w:w="571" w:type="pct"/>
            <w:shd w:val="clear" w:color="auto" w:fill="auto"/>
            <w:vAlign w:val="bottom"/>
          </w:tcPr>
          <w:p w14:paraId="195030A3" w14:textId="77777777" w:rsidR="00BF3A3A" w:rsidRDefault="00BF3A3A">
            <w:pPr>
              <w:rPr>
                <w:rFonts w:ascii="宋体"/>
              </w:rPr>
            </w:pPr>
          </w:p>
        </w:tc>
        <w:tc>
          <w:tcPr>
            <w:tcW w:w="5" w:type="pct"/>
            <w:shd w:val="clear" w:color="auto" w:fill="auto"/>
            <w:vAlign w:val="bottom"/>
          </w:tcPr>
          <w:p w14:paraId="195030A4" w14:textId="77777777" w:rsidR="00BF3A3A" w:rsidRDefault="00BF3A3A">
            <w:pPr>
              <w:rPr>
                <w:rFonts w:ascii="宋体"/>
              </w:rPr>
            </w:pPr>
          </w:p>
        </w:tc>
      </w:tr>
      <w:tr w:rsidR="00BF3A3A" w14:paraId="195030AA" w14:textId="77777777">
        <w:tc>
          <w:tcPr>
            <w:tcW w:w="0" w:type="auto"/>
            <w:gridSpan w:val="3"/>
            <w:shd w:val="clear" w:color="auto" w:fill="auto"/>
            <w:tcMar>
              <w:top w:w="40" w:type="dxa"/>
              <w:left w:w="20" w:type="dxa"/>
              <w:bottom w:w="40" w:type="dxa"/>
              <w:right w:w="20" w:type="dxa"/>
            </w:tcMar>
            <w:vAlign w:val="bottom"/>
          </w:tcPr>
          <w:p w14:paraId="195030A6" w14:textId="77777777" w:rsidR="00BF3A3A" w:rsidRDefault="00A76802">
            <w:pPr>
              <w:textAlignment w:val="bottom"/>
            </w:pPr>
            <w:r>
              <w:rPr>
                <w:rFonts w:ascii="sans-serif" w:eastAsia="sans-serif" w:hAnsi="sans-serif" w:cs="sans-serif"/>
                <w:color w:val="000000"/>
                <w:sz w:val="20"/>
                <w:szCs w:val="20"/>
              </w:rPr>
              <w:t> </w:t>
            </w:r>
          </w:p>
        </w:tc>
        <w:tc>
          <w:tcPr>
            <w:tcW w:w="0" w:type="auto"/>
            <w:gridSpan w:val="15"/>
            <w:shd w:val="clear" w:color="auto" w:fill="auto"/>
            <w:tcMar>
              <w:top w:w="40" w:type="dxa"/>
              <w:left w:w="20" w:type="dxa"/>
              <w:bottom w:w="40" w:type="dxa"/>
              <w:right w:w="20" w:type="dxa"/>
            </w:tcMar>
            <w:vAlign w:val="bottom"/>
          </w:tcPr>
          <w:p w14:paraId="195030A7" w14:textId="77777777" w:rsidR="00BF3A3A" w:rsidRDefault="00A76802">
            <w:pPr>
              <w:jc w:val="center"/>
              <w:textAlignment w:val="bottom"/>
            </w:pPr>
            <w:r>
              <w:rPr>
                <w:rFonts w:ascii="sans-serif" w:eastAsia="sans-serif" w:hAnsi="sans-serif" w:cs="sans-serif"/>
                <w:b/>
                <w:bCs/>
                <w:color w:val="000000"/>
                <w:sz w:val="20"/>
                <w:szCs w:val="20"/>
              </w:rPr>
              <w:t>July 31, 2022</w:t>
            </w:r>
          </w:p>
        </w:tc>
        <w:tc>
          <w:tcPr>
            <w:tcW w:w="0" w:type="auto"/>
            <w:gridSpan w:val="3"/>
            <w:shd w:val="clear" w:color="auto" w:fill="auto"/>
            <w:tcMar>
              <w:top w:w="0" w:type="dxa"/>
              <w:left w:w="20" w:type="dxa"/>
              <w:bottom w:w="0" w:type="dxa"/>
              <w:right w:w="20" w:type="dxa"/>
            </w:tcMar>
            <w:vAlign w:val="bottom"/>
          </w:tcPr>
          <w:p w14:paraId="195030A8" w14:textId="77777777" w:rsidR="00BF3A3A" w:rsidRDefault="00BF3A3A">
            <w:pPr>
              <w:rPr>
                <w:rFonts w:ascii="宋体"/>
              </w:rPr>
            </w:pPr>
          </w:p>
        </w:tc>
        <w:tc>
          <w:tcPr>
            <w:tcW w:w="0" w:type="auto"/>
            <w:gridSpan w:val="15"/>
            <w:shd w:val="clear" w:color="auto" w:fill="auto"/>
            <w:tcMar>
              <w:top w:w="40" w:type="dxa"/>
              <w:left w:w="20" w:type="dxa"/>
              <w:bottom w:w="40" w:type="dxa"/>
              <w:right w:w="20" w:type="dxa"/>
            </w:tcMar>
            <w:vAlign w:val="bottom"/>
          </w:tcPr>
          <w:p w14:paraId="195030A9" w14:textId="77777777" w:rsidR="00BF3A3A" w:rsidRDefault="00A76802">
            <w:pPr>
              <w:jc w:val="center"/>
              <w:textAlignment w:val="bottom"/>
            </w:pPr>
            <w:r>
              <w:rPr>
                <w:rFonts w:ascii="sans-serif" w:eastAsia="sans-serif" w:hAnsi="sans-serif" w:cs="sans-serif"/>
                <w:b/>
                <w:bCs/>
                <w:color w:val="000000"/>
                <w:sz w:val="20"/>
                <w:szCs w:val="20"/>
              </w:rPr>
              <w:t>January 30, 2022</w:t>
            </w:r>
          </w:p>
        </w:tc>
      </w:tr>
      <w:tr w:rsidR="00BF3A3A" w14:paraId="195030B7" w14:textId="77777777">
        <w:tc>
          <w:tcPr>
            <w:tcW w:w="0" w:type="auto"/>
            <w:gridSpan w:val="3"/>
            <w:shd w:val="clear" w:color="auto" w:fill="auto"/>
            <w:tcMar>
              <w:top w:w="40" w:type="dxa"/>
              <w:left w:w="20" w:type="dxa"/>
              <w:bottom w:w="40" w:type="dxa"/>
              <w:right w:w="20" w:type="dxa"/>
            </w:tcMar>
            <w:vAlign w:val="bottom"/>
          </w:tcPr>
          <w:p w14:paraId="195030AB"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0AC" w14:textId="77777777" w:rsidR="00BF3A3A" w:rsidRDefault="00A76802">
            <w:pPr>
              <w:jc w:val="center"/>
              <w:textAlignment w:val="bottom"/>
            </w:pPr>
            <w:r>
              <w:rPr>
                <w:rFonts w:ascii="sans-serif" w:eastAsia="sans-serif" w:hAnsi="sans-serif" w:cs="sans-serif"/>
                <w:b/>
                <w:bCs/>
                <w:color w:val="000000"/>
                <w:sz w:val="20"/>
                <w:szCs w:val="20"/>
              </w:rPr>
              <w:t>Gross</w:t>
            </w:r>
            <w:r>
              <w:rPr>
                <w:rFonts w:ascii="sans-serif" w:eastAsia="sans-serif" w:hAnsi="sans-serif" w:cs="sans-serif"/>
                <w:b/>
                <w:bCs/>
                <w:color w:val="000000"/>
                <w:sz w:val="20"/>
                <w:szCs w:val="20"/>
              </w:rPr>
              <w:br/>
              <w:t>Carrying</w:t>
            </w:r>
            <w:r>
              <w:rPr>
                <w:rFonts w:ascii="sans-serif" w:eastAsia="sans-serif" w:hAnsi="sans-serif" w:cs="sans-serif"/>
                <w:b/>
                <w:bCs/>
                <w:color w:val="000000"/>
                <w:sz w:val="20"/>
                <w:szCs w:val="20"/>
              </w:rPr>
              <w:b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0AD"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0AE" w14:textId="77777777" w:rsidR="00BF3A3A" w:rsidRDefault="00A76802">
            <w:pPr>
              <w:jc w:val="center"/>
              <w:textAlignment w:val="bottom"/>
            </w:pPr>
            <w:r>
              <w:rPr>
                <w:rFonts w:ascii="sans-serif" w:eastAsia="sans-serif" w:hAnsi="sans-serif" w:cs="sans-serif"/>
                <w:b/>
                <w:bCs/>
                <w:color w:val="000000"/>
                <w:sz w:val="20"/>
                <w:szCs w:val="20"/>
              </w:rPr>
              <w:t>Accumulated</w:t>
            </w:r>
            <w:r>
              <w:rPr>
                <w:rFonts w:ascii="sans-serif" w:eastAsia="sans-serif" w:hAnsi="sans-serif" w:cs="sans-serif"/>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0AF"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0B0" w14:textId="77777777" w:rsidR="00BF3A3A" w:rsidRDefault="00A76802">
            <w:pPr>
              <w:jc w:val="center"/>
              <w:textAlignment w:val="bottom"/>
            </w:pPr>
            <w:r>
              <w:rPr>
                <w:rFonts w:ascii="sans-serif" w:eastAsia="sans-serif" w:hAnsi="sans-serif" w:cs="sans-serif"/>
                <w:b/>
                <w:bCs/>
                <w:color w:val="000000"/>
                <w:sz w:val="20"/>
                <w:szCs w:val="20"/>
              </w:rPr>
              <w:t>Net Carrying</w:t>
            </w:r>
            <w:r>
              <w:rPr>
                <w:rFonts w:ascii="sans-serif" w:eastAsia="sans-serif" w:hAnsi="sans-serif" w:cs="sans-serif"/>
                <w:b/>
                <w:bCs/>
                <w:color w:val="000000"/>
                <w:sz w:val="20"/>
                <w:szCs w:val="20"/>
              </w:rPr>
              <w:br/>
              <w:t>Amount</w:t>
            </w:r>
          </w:p>
        </w:tc>
        <w:tc>
          <w:tcPr>
            <w:tcW w:w="0" w:type="auto"/>
            <w:gridSpan w:val="3"/>
            <w:shd w:val="clear" w:color="auto" w:fill="auto"/>
            <w:tcMar>
              <w:top w:w="0" w:type="dxa"/>
              <w:left w:w="20" w:type="dxa"/>
              <w:bottom w:w="0" w:type="dxa"/>
              <w:right w:w="20" w:type="dxa"/>
            </w:tcMar>
            <w:vAlign w:val="bottom"/>
          </w:tcPr>
          <w:p w14:paraId="195030B1"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0B2" w14:textId="77777777" w:rsidR="00BF3A3A" w:rsidRDefault="00A76802">
            <w:pPr>
              <w:jc w:val="center"/>
              <w:textAlignment w:val="bottom"/>
            </w:pPr>
            <w:r>
              <w:rPr>
                <w:rFonts w:ascii="sans-serif" w:eastAsia="sans-serif" w:hAnsi="sans-serif" w:cs="sans-serif"/>
                <w:b/>
                <w:bCs/>
                <w:color w:val="000000"/>
                <w:sz w:val="20"/>
                <w:szCs w:val="20"/>
              </w:rPr>
              <w:t>Gross</w:t>
            </w:r>
            <w:r>
              <w:rPr>
                <w:rFonts w:ascii="sans-serif" w:eastAsia="sans-serif" w:hAnsi="sans-serif" w:cs="sans-serif"/>
                <w:b/>
                <w:bCs/>
                <w:color w:val="000000"/>
                <w:sz w:val="20"/>
                <w:szCs w:val="20"/>
              </w:rPr>
              <w:br/>
              <w:t>Carrying</w:t>
            </w:r>
            <w:r>
              <w:rPr>
                <w:rFonts w:ascii="sans-serif" w:eastAsia="sans-serif" w:hAnsi="sans-serif" w:cs="sans-serif"/>
                <w:b/>
                <w:bCs/>
                <w:color w:val="000000"/>
                <w:sz w:val="20"/>
                <w:szCs w:val="20"/>
              </w:rPr>
              <w:b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0B3"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0B4" w14:textId="77777777" w:rsidR="00BF3A3A" w:rsidRDefault="00A76802">
            <w:pPr>
              <w:jc w:val="center"/>
              <w:textAlignment w:val="bottom"/>
            </w:pPr>
            <w:r>
              <w:rPr>
                <w:rFonts w:ascii="sans-serif" w:eastAsia="sans-serif" w:hAnsi="sans-serif" w:cs="sans-serif"/>
                <w:b/>
                <w:bCs/>
                <w:color w:val="000000"/>
                <w:sz w:val="20"/>
                <w:szCs w:val="20"/>
              </w:rPr>
              <w:t>Accumulated</w:t>
            </w:r>
            <w:r>
              <w:rPr>
                <w:rFonts w:ascii="sans-serif" w:eastAsia="sans-serif" w:hAnsi="sans-serif" w:cs="sans-serif"/>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0B5"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0B6" w14:textId="77777777" w:rsidR="00BF3A3A" w:rsidRDefault="00A76802">
            <w:pPr>
              <w:jc w:val="center"/>
              <w:textAlignment w:val="bottom"/>
            </w:pPr>
            <w:r>
              <w:rPr>
                <w:rFonts w:ascii="sans-serif" w:eastAsia="sans-serif" w:hAnsi="sans-serif" w:cs="sans-serif"/>
                <w:b/>
                <w:bCs/>
                <w:color w:val="000000"/>
                <w:sz w:val="20"/>
                <w:szCs w:val="20"/>
              </w:rPr>
              <w:t>Net Carrying</w:t>
            </w:r>
            <w:r>
              <w:rPr>
                <w:rFonts w:ascii="sans-serif" w:eastAsia="sans-serif" w:hAnsi="sans-serif" w:cs="sans-serif"/>
                <w:b/>
                <w:bCs/>
                <w:color w:val="000000"/>
                <w:sz w:val="20"/>
                <w:szCs w:val="20"/>
              </w:rPr>
              <w:br/>
              <w:t>Amount</w:t>
            </w:r>
          </w:p>
        </w:tc>
      </w:tr>
      <w:tr w:rsidR="00BF3A3A" w14:paraId="195030C4" w14:textId="77777777">
        <w:trPr>
          <w:trHeight w:val="60"/>
        </w:trPr>
        <w:tc>
          <w:tcPr>
            <w:tcW w:w="0" w:type="auto"/>
            <w:gridSpan w:val="3"/>
            <w:shd w:val="clear" w:color="auto" w:fill="auto"/>
            <w:tcMar>
              <w:top w:w="0" w:type="dxa"/>
              <w:left w:w="20" w:type="dxa"/>
              <w:bottom w:w="0" w:type="dxa"/>
              <w:right w:w="20" w:type="dxa"/>
            </w:tcMar>
            <w:vAlign w:val="bottom"/>
          </w:tcPr>
          <w:p w14:paraId="195030B8"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0B9"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0BA"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0BB"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0BC"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0BD"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0BE"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0BF"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0C0"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0C1"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0C2"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0C3" w14:textId="77777777" w:rsidR="00BF3A3A" w:rsidRDefault="00BF3A3A">
            <w:pPr>
              <w:rPr>
                <w:rFonts w:ascii="宋体"/>
              </w:rPr>
            </w:pPr>
          </w:p>
        </w:tc>
      </w:tr>
      <w:tr w:rsidR="00BF3A3A" w14:paraId="195030C7" w14:textId="77777777">
        <w:tc>
          <w:tcPr>
            <w:tcW w:w="0" w:type="auto"/>
            <w:gridSpan w:val="3"/>
            <w:shd w:val="clear" w:color="auto" w:fill="auto"/>
            <w:tcMar>
              <w:top w:w="40" w:type="dxa"/>
              <w:left w:w="20" w:type="dxa"/>
              <w:bottom w:w="40" w:type="dxa"/>
              <w:right w:w="20" w:type="dxa"/>
            </w:tcMar>
            <w:vAlign w:val="bottom"/>
          </w:tcPr>
          <w:p w14:paraId="195030C5" w14:textId="77777777" w:rsidR="00BF3A3A" w:rsidRDefault="00A76802">
            <w:pPr>
              <w:textAlignment w:val="bottom"/>
            </w:pPr>
            <w:r>
              <w:rPr>
                <w:rFonts w:ascii="sans-serif" w:eastAsia="sans-serif" w:hAnsi="sans-serif" w:cs="sans-serif"/>
                <w:color w:val="000000"/>
                <w:sz w:val="20"/>
                <w:szCs w:val="20"/>
              </w:rPr>
              <w:t> </w:t>
            </w:r>
          </w:p>
        </w:tc>
        <w:tc>
          <w:tcPr>
            <w:tcW w:w="0" w:type="auto"/>
            <w:gridSpan w:val="33"/>
            <w:shd w:val="clear" w:color="auto" w:fill="auto"/>
            <w:tcMar>
              <w:top w:w="40" w:type="dxa"/>
              <w:left w:w="20" w:type="dxa"/>
              <w:bottom w:w="40" w:type="dxa"/>
              <w:right w:w="20" w:type="dxa"/>
            </w:tcMar>
            <w:vAlign w:val="bottom"/>
          </w:tcPr>
          <w:p w14:paraId="195030C6" w14:textId="77777777" w:rsidR="00BF3A3A" w:rsidRDefault="00A76802">
            <w:pPr>
              <w:jc w:val="center"/>
              <w:textAlignment w:val="bottom"/>
            </w:pPr>
            <w:r>
              <w:rPr>
                <w:rFonts w:ascii="sans-serif" w:eastAsia="sans-serif" w:hAnsi="sans-serif" w:cs="sans-serif"/>
                <w:i/>
                <w:iCs/>
                <w:color w:val="000000"/>
                <w:sz w:val="20"/>
                <w:szCs w:val="20"/>
              </w:rPr>
              <w:t>(In millions)</w:t>
            </w:r>
          </w:p>
        </w:tc>
      </w:tr>
      <w:tr w:rsidR="00BF3A3A" w14:paraId="195030E0" w14:textId="77777777">
        <w:tc>
          <w:tcPr>
            <w:tcW w:w="0" w:type="auto"/>
            <w:gridSpan w:val="3"/>
            <w:shd w:val="clear" w:color="auto" w:fill="E2EFD9"/>
            <w:tcMar>
              <w:top w:w="40" w:type="dxa"/>
              <w:left w:w="20" w:type="dxa"/>
              <w:bottom w:w="40" w:type="dxa"/>
              <w:right w:w="20" w:type="dxa"/>
            </w:tcMar>
            <w:vAlign w:val="bottom"/>
          </w:tcPr>
          <w:p w14:paraId="195030C8" w14:textId="77777777" w:rsidR="00BF3A3A" w:rsidRDefault="00A76802">
            <w:pPr>
              <w:textAlignment w:val="bottom"/>
            </w:pPr>
            <w:r>
              <w:rPr>
                <w:rFonts w:ascii="sans-serif" w:eastAsia="sans-serif" w:hAnsi="sans-serif" w:cs="sans-serif"/>
                <w:color w:val="000000"/>
                <w:sz w:val="20"/>
                <w:szCs w:val="20"/>
              </w:rPr>
              <w:t>Acquisition-related intangible assets (1)</w:t>
            </w:r>
          </w:p>
        </w:tc>
        <w:tc>
          <w:tcPr>
            <w:tcW w:w="0" w:type="auto"/>
            <w:shd w:val="clear" w:color="auto" w:fill="E2EFD9"/>
            <w:tcMar>
              <w:top w:w="40" w:type="dxa"/>
              <w:left w:w="20" w:type="dxa"/>
              <w:bottom w:w="40" w:type="dxa"/>
              <w:right w:w="0" w:type="dxa"/>
            </w:tcMar>
            <w:vAlign w:val="bottom"/>
          </w:tcPr>
          <w:p w14:paraId="195030C9"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0CA" w14:textId="77777777" w:rsidR="00BF3A3A" w:rsidRDefault="00A76802">
            <w:pPr>
              <w:jc w:val="right"/>
              <w:textAlignment w:val="bottom"/>
            </w:pPr>
            <w:r>
              <w:rPr>
                <w:rFonts w:ascii="sans-serif" w:eastAsia="sans-serif" w:hAnsi="sans-serif" w:cs="sans-serif"/>
                <w:color w:val="000000"/>
                <w:sz w:val="20"/>
                <w:szCs w:val="20"/>
              </w:rPr>
              <w:t>3,260 </w:t>
            </w:r>
          </w:p>
        </w:tc>
        <w:tc>
          <w:tcPr>
            <w:tcW w:w="0" w:type="auto"/>
            <w:shd w:val="clear" w:color="auto" w:fill="E2EFD9"/>
            <w:tcMar>
              <w:top w:w="40" w:type="dxa"/>
              <w:left w:w="0" w:type="dxa"/>
              <w:bottom w:w="40" w:type="dxa"/>
              <w:right w:w="20" w:type="dxa"/>
            </w:tcMar>
            <w:vAlign w:val="bottom"/>
          </w:tcPr>
          <w:p w14:paraId="195030CB"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0CC"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0CD"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0CE" w14:textId="77777777" w:rsidR="00BF3A3A" w:rsidRDefault="00A76802">
            <w:pPr>
              <w:jc w:val="right"/>
              <w:textAlignment w:val="bottom"/>
            </w:pPr>
            <w:r>
              <w:rPr>
                <w:rFonts w:ascii="sans-serif" w:eastAsia="sans-serif" w:hAnsi="sans-serif" w:cs="sans-serif"/>
                <w:color w:val="000000"/>
                <w:sz w:val="20"/>
                <w:szCs w:val="20"/>
              </w:rPr>
              <w:t>(1,434)</w:t>
            </w:r>
          </w:p>
        </w:tc>
        <w:tc>
          <w:tcPr>
            <w:tcW w:w="0" w:type="auto"/>
            <w:shd w:val="clear" w:color="auto" w:fill="E2EFD9"/>
            <w:tcMar>
              <w:top w:w="40" w:type="dxa"/>
              <w:left w:w="0" w:type="dxa"/>
              <w:bottom w:w="40" w:type="dxa"/>
              <w:right w:w="20" w:type="dxa"/>
            </w:tcMar>
            <w:vAlign w:val="bottom"/>
          </w:tcPr>
          <w:p w14:paraId="195030C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0D0"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0D1"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0D2" w14:textId="77777777" w:rsidR="00BF3A3A" w:rsidRDefault="00A76802">
            <w:pPr>
              <w:jc w:val="right"/>
              <w:textAlignment w:val="bottom"/>
            </w:pPr>
            <w:r>
              <w:rPr>
                <w:rFonts w:ascii="sans-serif" w:eastAsia="sans-serif" w:hAnsi="sans-serif" w:cs="sans-serif"/>
                <w:color w:val="000000"/>
                <w:sz w:val="20"/>
                <w:szCs w:val="20"/>
              </w:rPr>
              <w:t>1,826 </w:t>
            </w:r>
          </w:p>
        </w:tc>
        <w:tc>
          <w:tcPr>
            <w:tcW w:w="0" w:type="auto"/>
            <w:shd w:val="clear" w:color="auto" w:fill="E2EFD9"/>
            <w:tcMar>
              <w:top w:w="40" w:type="dxa"/>
              <w:left w:w="0" w:type="dxa"/>
              <w:bottom w:w="40" w:type="dxa"/>
              <w:right w:w="20" w:type="dxa"/>
            </w:tcMar>
            <w:vAlign w:val="bottom"/>
          </w:tcPr>
          <w:p w14:paraId="195030D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0D4"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0D5"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0D6" w14:textId="77777777" w:rsidR="00BF3A3A" w:rsidRDefault="00A76802">
            <w:pPr>
              <w:jc w:val="right"/>
              <w:textAlignment w:val="bottom"/>
            </w:pPr>
            <w:r>
              <w:rPr>
                <w:rFonts w:ascii="sans-serif" w:eastAsia="sans-serif" w:hAnsi="sans-serif" w:cs="sans-serif"/>
                <w:color w:val="000000"/>
                <w:sz w:val="20"/>
                <w:szCs w:val="20"/>
              </w:rPr>
              <w:t>3,418 </w:t>
            </w:r>
          </w:p>
        </w:tc>
        <w:tc>
          <w:tcPr>
            <w:tcW w:w="0" w:type="auto"/>
            <w:shd w:val="clear" w:color="auto" w:fill="E2EFD9"/>
            <w:tcMar>
              <w:top w:w="40" w:type="dxa"/>
              <w:left w:w="0" w:type="dxa"/>
              <w:bottom w:w="40" w:type="dxa"/>
              <w:right w:w="20" w:type="dxa"/>
            </w:tcMar>
            <w:vAlign w:val="bottom"/>
          </w:tcPr>
          <w:p w14:paraId="195030D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0D8"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0D9"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0DA" w14:textId="77777777" w:rsidR="00BF3A3A" w:rsidRDefault="00A76802">
            <w:pPr>
              <w:jc w:val="right"/>
              <w:textAlignment w:val="bottom"/>
            </w:pPr>
            <w:r>
              <w:rPr>
                <w:rFonts w:ascii="sans-serif" w:eastAsia="sans-serif" w:hAnsi="sans-serif" w:cs="sans-serif"/>
                <w:color w:val="000000"/>
                <w:sz w:val="20"/>
                <w:szCs w:val="20"/>
              </w:rPr>
              <w:t>(1,304)</w:t>
            </w:r>
          </w:p>
        </w:tc>
        <w:tc>
          <w:tcPr>
            <w:tcW w:w="0" w:type="auto"/>
            <w:shd w:val="clear" w:color="auto" w:fill="E2EFD9"/>
            <w:tcMar>
              <w:top w:w="40" w:type="dxa"/>
              <w:left w:w="0" w:type="dxa"/>
              <w:bottom w:w="40" w:type="dxa"/>
              <w:right w:w="20" w:type="dxa"/>
            </w:tcMar>
            <w:vAlign w:val="bottom"/>
          </w:tcPr>
          <w:p w14:paraId="195030DB"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0DC"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0DD"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0DE" w14:textId="77777777" w:rsidR="00BF3A3A" w:rsidRDefault="00A76802">
            <w:pPr>
              <w:jc w:val="right"/>
              <w:textAlignment w:val="bottom"/>
            </w:pPr>
            <w:r>
              <w:rPr>
                <w:rFonts w:ascii="sans-serif" w:eastAsia="sans-serif" w:hAnsi="sans-serif" w:cs="sans-serif"/>
                <w:color w:val="000000"/>
                <w:sz w:val="20"/>
                <w:szCs w:val="20"/>
              </w:rPr>
              <w:t>2,114 </w:t>
            </w:r>
          </w:p>
        </w:tc>
        <w:tc>
          <w:tcPr>
            <w:tcW w:w="0" w:type="auto"/>
            <w:shd w:val="clear" w:color="auto" w:fill="E2EFD9"/>
            <w:tcMar>
              <w:top w:w="40" w:type="dxa"/>
              <w:left w:w="0" w:type="dxa"/>
              <w:bottom w:w="40" w:type="dxa"/>
              <w:right w:w="20" w:type="dxa"/>
            </w:tcMar>
            <w:vAlign w:val="bottom"/>
          </w:tcPr>
          <w:p w14:paraId="195030DF" w14:textId="77777777" w:rsidR="00BF3A3A" w:rsidRDefault="00BF3A3A">
            <w:pPr>
              <w:jc w:val="right"/>
              <w:rPr>
                <w:rFonts w:ascii="宋体"/>
              </w:rPr>
            </w:pPr>
          </w:p>
        </w:tc>
      </w:tr>
      <w:tr w:rsidR="00BF3A3A" w14:paraId="195030F3" w14:textId="77777777">
        <w:tc>
          <w:tcPr>
            <w:tcW w:w="0" w:type="auto"/>
            <w:gridSpan w:val="3"/>
            <w:shd w:val="clear" w:color="auto" w:fill="FFFFFF"/>
            <w:tcMar>
              <w:top w:w="40" w:type="dxa"/>
              <w:left w:w="20" w:type="dxa"/>
              <w:bottom w:w="40" w:type="dxa"/>
              <w:right w:w="20" w:type="dxa"/>
            </w:tcMar>
            <w:vAlign w:val="bottom"/>
          </w:tcPr>
          <w:p w14:paraId="195030E1" w14:textId="77777777" w:rsidR="00BF3A3A" w:rsidRDefault="00A76802">
            <w:pPr>
              <w:textAlignment w:val="bottom"/>
            </w:pPr>
            <w:r>
              <w:rPr>
                <w:rFonts w:ascii="sans-serif" w:eastAsia="sans-serif" w:hAnsi="sans-serif" w:cs="sans-serif"/>
                <w:color w:val="000000"/>
                <w:sz w:val="20"/>
                <w:szCs w:val="20"/>
              </w:rPr>
              <w:t>Patents and</w:t>
            </w:r>
            <w:r>
              <w:rPr>
                <w:rFonts w:ascii="sans-serif" w:eastAsia="sans-serif" w:hAnsi="sans-serif" w:cs="sans-serif"/>
                <w:color w:val="000000"/>
                <w:sz w:val="20"/>
                <w:szCs w:val="20"/>
              </w:rPr>
              <w:t xml:space="preserve"> licensed technology</w:t>
            </w:r>
          </w:p>
        </w:tc>
        <w:tc>
          <w:tcPr>
            <w:tcW w:w="0" w:type="auto"/>
            <w:gridSpan w:val="2"/>
            <w:shd w:val="clear" w:color="auto" w:fill="FFFFFF"/>
            <w:tcMar>
              <w:top w:w="40" w:type="dxa"/>
              <w:left w:w="20" w:type="dxa"/>
              <w:bottom w:w="40" w:type="dxa"/>
              <w:right w:w="0" w:type="dxa"/>
            </w:tcMar>
            <w:vAlign w:val="bottom"/>
          </w:tcPr>
          <w:p w14:paraId="195030E2" w14:textId="77777777" w:rsidR="00BF3A3A" w:rsidRDefault="00A76802">
            <w:pPr>
              <w:jc w:val="right"/>
              <w:textAlignment w:val="bottom"/>
            </w:pPr>
            <w:r>
              <w:rPr>
                <w:rFonts w:ascii="sans-serif" w:eastAsia="sans-serif" w:hAnsi="sans-serif" w:cs="sans-serif"/>
                <w:color w:val="000000"/>
                <w:sz w:val="20"/>
                <w:szCs w:val="20"/>
              </w:rPr>
              <w:t>718 </w:t>
            </w:r>
          </w:p>
        </w:tc>
        <w:tc>
          <w:tcPr>
            <w:tcW w:w="0" w:type="auto"/>
            <w:shd w:val="clear" w:color="auto" w:fill="FFFFFF"/>
            <w:tcMar>
              <w:top w:w="40" w:type="dxa"/>
              <w:left w:w="0" w:type="dxa"/>
              <w:bottom w:w="40" w:type="dxa"/>
              <w:right w:w="20" w:type="dxa"/>
            </w:tcMar>
            <w:vAlign w:val="bottom"/>
          </w:tcPr>
          <w:p w14:paraId="195030E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0E4"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0E5" w14:textId="77777777" w:rsidR="00BF3A3A" w:rsidRDefault="00A76802">
            <w:pPr>
              <w:jc w:val="right"/>
              <w:textAlignment w:val="bottom"/>
            </w:pPr>
            <w:r>
              <w:rPr>
                <w:rFonts w:ascii="sans-serif" w:eastAsia="sans-serif" w:hAnsi="sans-serif" w:cs="sans-serif"/>
                <w:color w:val="000000"/>
                <w:sz w:val="20"/>
                <w:szCs w:val="20"/>
              </w:rPr>
              <w:t>(508)</w:t>
            </w:r>
          </w:p>
        </w:tc>
        <w:tc>
          <w:tcPr>
            <w:tcW w:w="0" w:type="auto"/>
            <w:shd w:val="clear" w:color="auto" w:fill="FFFFFF"/>
            <w:tcMar>
              <w:top w:w="40" w:type="dxa"/>
              <w:left w:w="0" w:type="dxa"/>
              <w:bottom w:w="40" w:type="dxa"/>
              <w:right w:w="20" w:type="dxa"/>
            </w:tcMar>
            <w:vAlign w:val="bottom"/>
          </w:tcPr>
          <w:p w14:paraId="195030E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0E7"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0E8" w14:textId="77777777" w:rsidR="00BF3A3A" w:rsidRDefault="00A76802">
            <w:pPr>
              <w:jc w:val="right"/>
              <w:textAlignment w:val="bottom"/>
            </w:pPr>
            <w:r>
              <w:rPr>
                <w:rFonts w:ascii="sans-serif" w:eastAsia="sans-serif" w:hAnsi="sans-serif" w:cs="sans-serif"/>
                <w:color w:val="000000"/>
                <w:sz w:val="20"/>
                <w:szCs w:val="20"/>
              </w:rPr>
              <w:t>210 </w:t>
            </w:r>
          </w:p>
        </w:tc>
        <w:tc>
          <w:tcPr>
            <w:tcW w:w="0" w:type="auto"/>
            <w:shd w:val="clear" w:color="auto" w:fill="FFFFFF"/>
            <w:tcMar>
              <w:top w:w="40" w:type="dxa"/>
              <w:left w:w="0" w:type="dxa"/>
              <w:bottom w:w="40" w:type="dxa"/>
              <w:right w:w="20" w:type="dxa"/>
            </w:tcMar>
            <w:vAlign w:val="bottom"/>
          </w:tcPr>
          <w:p w14:paraId="195030E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0EA"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0EB" w14:textId="77777777" w:rsidR="00BF3A3A" w:rsidRDefault="00A76802">
            <w:pPr>
              <w:jc w:val="right"/>
              <w:textAlignment w:val="bottom"/>
            </w:pPr>
            <w:r>
              <w:rPr>
                <w:rFonts w:ascii="sans-serif" w:eastAsia="sans-serif" w:hAnsi="sans-serif" w:cs="sans-serif"/>
                <w:color w:val="000000"/>
                <w:sz w:val="20"/>
                <w:szCs w:val="20"/>
              </w:rPr>
              <w:t>717 </w:t>
            </w:r>
          </w:p>
        </w:tc>
        <w:tc>
          <w:tcPr>
            <w:tcW w:w="0" w:type="auto"/>
            <w:shd w:val="clear" w:color="auto" w:fill="FFFFFF"/>
            <w:tcMar>
              <w:top w:w="40" w:type="dxa"/>
              <w:left w:w="0" w:type="dxa"/>
              <w:bottom w:w="40" w:type="dxa"/>
              <w:right w:w="20" w:type="dxa"/>
            </w:tcMar>
            <w:vAlign w:val="bottom"/>
          </w:tcPr>
          <w:p w14:paraId="195030EC"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0ED"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0EE" w14:textId="77777777" w:rsidR="00BF3A3A" w:rsidRDefault="00A76802">
            <w:pPr>
              <w:jc w:val="right"/>
              <w:textAlignment w:val="bottom"/>
            </w:pPr>
            <w:r>
              <w:rPr>
                <w:rFonts w:ascii="sans-serif" w:eastAsia="sans-serif" w:hAnsi="sans-serif" w:cs="sans-serif"/>
                <w:color w:val="000000"/>
                <w:sz w:val="20"/>
                <w:szCs w:val="20"/>
              </w:rPr>
              <w:t>(492)</w:t>
            </w:r>
          </w:p>
        </w:tc>
        <w:tc>
          <w:tcPr>
            <w:tcW w:w="0" w:type="auto"/>
            <w:shd w:val="clear" w:color="auto" w:fill="FFFFFF"/>
            <w:tcMar>
              <w:top w:w="40" w:type="dxa"/>
              <w:left w:w="0" w:type="dxa"/>
              <w:bottom w:w="40" w:type="dxa"/>
              <w:right w:w="20" w:type="dxa"/>
            </w:tcMar>
            <w:vAlign w:val="bottom"/>
          </w:tcPr>
          <w:p w14:paraId="195030EF"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0F0"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0F1" w14:textId="77777777" w:rsidR="00BF3A3A" w:rsidRDefault="00A76802">
            <w:pPr>
              <w:jc w:val="right"/>
              <w:textAlignment w:val="bottom"/>
            </w:pPr>
            <w:r>
              <w:rPr>
                <w:rFonts w:ascii="sans-serif" w:eastAsia="sans-serif" w:hAnsi="sans-serif" w:cs="sans-serif"/>
                <w:color w:val="000000"/>
                <w:sz w:val="20"/>
                <w:szCs w:val="20"/>
              </w:rPr>
              <w:t>225 </w:t>
            </w:r>
          </w:p>
        </w:tc>
        <w:tc>
          <w:tcPr>
            <w:tcW w:w="0" w:type="auto"/>
            <w:shd w:val="clear" w:color="auto" w:fill="FFFFFF"/>
            <w:tcMar>
              <w:top w:w="40" w:type="dxa"/>
              <w:left w:w="0" w:type="dxa"/>
              <w:bottom w:w="40" w:type="dxa"/>
              <w:right w:w="20" w:type="dxa"/>
            </w:tcMar>
            <w:vAlign w:val="bottom"/>
          </w:tcPr>
          <w:p w14:paraId="195030F2" w14:textId="77777777" w:rsidR="00BF3A3A" w:rsidRDefault="00BF3A3A">
            <w:pPr>
              <w:jc w:val="right"/>
              <w:rPr>
                <w:rFonts w:ascii="宋体"/>
              </w:rPr>
            </w:pPr>
          </w:p>
        </w:tc>
      </w:tr>
      <w:tr w:rsidR="00BF3A3A" w14:paraId="1950310C" w14:textId="77777777">
        <w:tc>
          <w:tcPr>
            <w:tcW w:w="0" w:type="auto"/>
            <w:gridSpan w:val="3"/>
            <w:shd w:val="clear" w:color="auto" w:fill="E2EFD9"/>
            <w:tcMar>
              <w:top w:w="40" w:type="dxa"/>
              <w:left w:w="20" w:type="dxa"/>
              <w:bottom w:w="40" w:type="dxa"/>
              <w:right w:w="20" w:type="dxa"/>
            </w:tcMar>
            <w:vAlign w:val="bottom"/>
          </w:tcPr>
          <w:p w14:paraId="195030F4" w14:textId="77777777" w:rsidR="00BF3A3A" w:rsidRDefault="00A76802">
            <w:pPr>
              <w:textAlignment w:val="bottom"/>
            </w:pPr>
            <w:r>
              <w:rPr>
                <w:rFonts w:ascii="sans-serif" w:eastAsia="sans-serif" w:hAnsi="sans-serif" w:cs="sans-serif"/>
                <w:color w:val="000000"/>
                <w:sz w:val="20"/>
                <w:szCs w:val="20"/>
              </w:rPr>
              <w:t>Total intangible assets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0F5"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0F6" w14:textId="77777777" w:rsidR="00BF3A3A" w:rsidRDefault="00A76802">
            <w:pPr>
              <w:jc w:val="right"/>
              <w:textAlignment w:val="bottom"/>
            </w:pPr>
            <w:r>
              <w:rPr>
                <w:rFonts w:ascii="sans-serif" w:eastAsia="sans-serif" w:hAnsi="sans-serif" w:cs="sans-serif"/>
                <w:color w:val="000000"/>
                <w:sz w:val="20"/>
                <w:szCs w:val="20"/>
              </w:rPr>
              <w:t>3,978 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0F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0F8"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0F9"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0FA" w14:textId="77777777" w:rsidR="00BF3A3A" w:rsidRDefault="00A76802">
            <w:pPr>
              <w:jc w:val="right"/>
              <w:textAlignment w:val="bottom"/>
            </w:pPr>
            <w:r>
              <w:rPr>
                <w:rFonts w:ascii="sans-serif" w:eastAsia="sans-serif" w:hAnsi="sans-serif" w:cs="sans-serif"/>
                <w:color w:val="000000"/>
                <w:sz w:val="20"/>
                <w:szCs w:val="20"/>
              </w:rPr>
              <w:t>(1,942)</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0FB"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0FC"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0FD"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0FE" w14:textId="77777777" w:rsidR="00BF3A3A" w:rsidRDefault="00A76802">
            <w:pPr>
              <w:jc w:val="right"/>
              <w:textAlignment w:val="bottom"/>
            </w:pPr>
            <w:r>
              <w:rPr>
                <w:rFonts w:ascii="sans-serif" w:eastAsia="sans-serif" w:hAnsi="sans-serif" w:cs="sans-serif"/>
                <w:color w:val="000000"/>
                <w:sz w:val="20"/>
                <w:szCs w:val="20"/>
              </w:rPr>
              <w:t>2,036 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0F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100"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101"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102" w14:textId="77777777" w:rsidR="00BF3A3A" w:rsidRDefault="00A76802">
            <w:pPr>
              <w:jc w:val="right"/>
              <w:textAlignment w:val="bottom"/>
            </w:pPr>
            <w:r>
              <w:rPr>
                <w:rFonts w:ascii="sans-serif" w:eastAsia="sans-serif" w:hAnsi="sans-serif" w:cs="sans-serif"/>
                <w:color w:val="000000"/>
                <w:sz w:val="20"/>
                <w:szCs w:val="20"/>
              </w:rPr>
              <w:t>4,135 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10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104"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105"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106" w14:textId="77777777" w:rsidR="00BF3A3A" w:rsidRDefault="00A76802">
            <w:pPr>
              <w:jc w:val="right"/>
              <w:textAlignment w:val="bottom"/>
            </w:pPr>
            <w:r>
              <w:rPr>
                <w:rFonts w:ascii="sans-serif" w:eastAsia="sans-serif" w:hAnsi="sans-serif" w:cs="sans-serif"/>
                <w:color w:val="000000"/>
                <w:sz w:val="20"/>
                <w:szCs w:val="20"/>
              </w:rPr>
              <w:t>(1,796)</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10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108"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109"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10A" w14:textId="77777777" w:rsidR="00BF3A3A" w:rsidRDefault="00A76802">
            <w:pPr>
              <w:jc w:val="right"/>
              <w:textAlignment w:val="bottom"/>
            </w:pPr>
            <w:r>
              <w:rPr>
                <w:rFonts w:ascii="sans-serif" w:eastAsia="sans-serif" w:hAnsi="sans-serif" w:cs="sans-serif"/>
                <w:color w:val="000000"/>
                <w:sz w:val="20"/>
                <w:szCs w:val="20"/>
              </w:rPr>
              <w:t>2,339 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10B" w14:textId="77777777" w:rsidR="00BF3A3A" w:rsidRDefault="00BF3A3A">
            <w:pPr>
              <w:jc w:val="right"/>
              <w:rPr>
                <w:rFonts w:ascii="宋体"/>
              </w:rPr>
            </w:pPr>
          </w:p>
        </w:tc>
      </w:tr>
    </w:tbl>
    <w:p w14:paraId="1950310D" w14:textId="77777777" w:rsidR="00BF3A3A" w:rsidRDefault="00A76802">
      <w:pPr>
        <w:spacing w:after="180"/>
        <w:ind w:hanging="360"/>
        <w:jc w:val="both"/>
      </w:pPr>
      <w:r>
        <w:rPr>
          <w:rFonts w:ascii="sans-serif" w:eastAsia="sans-serif" w:hAnsi="sans-serif" w:cs="sans-serif"/>
          <w:color w:val="000000"/>
          <w:sz w:val="16"/>
          <w:szCs w:val="16"/>
        </w:rPr>
        <w:t>(1)    During the first quarter of fiscal year 2023, we commenced amortization of the $630 million in-process research and development intangible asset related to our acquisition of M</w:t>
      </w:r>
      <w:r>
        <w:rPr>
          <w:rFonts w:ascii="sans-serif" w:eastAsia="sans-serif" w:hAnsi="sans-serif" w:cs="sans-serif"/>
          <w:color w:val="000000"/>
          <w:sz w:val="16"/>
          <w:szCs w:val="16"/>
        </w:rPr>
        <w:t>ellanox.</w:t>
      </w:r>
    </w:p>
    <w:p w14:paraId="1950310E" w14:textId="77777777" w:rsidR="00BF3A3A" w:rsidRDefault="00A76802">
      <w:pPr>
        <w:spacing w:after="180"/>
        <w:jc w:val="both"/>
      </w:pPr>
      <w:r>
        <w:rPr>
          <w:rFonts w:ascii="sans-serif" w:eastAsia="sans-serif" w:hAnsi="sans-serif" w:cs="sans-serif"/>
          <w:color w:val="000000"/>
          <w:sz w:val="20"/>
          <w:szCs w:val="20"/>
        </w:rPr>
        <w:t>Amortization expense associated with intangible assets was $182 million and $336 million for the second quarter and first half of fiscal year 2023, respectively, and $138 million and $275 million for the second quarter and first half of fiscal yea</w:t>
      </w:r>
      <w:r>
        <w:rPr>
          <w:rFonts w:ascii="sans-serif" w:eastAsia="sans-serif" w:hAnsi="sans-serif" w:cs="sans-serif"/>
          <w:color w:val="000000"/>
          <w:sz w:val="20"/>
          <w:szCs w:val="20"/>
        </w:rPr>
        <w:t>r 2022, respectively. Future amortization expense related to the net carrying amount of intangible assets as of July 31, 2022 is estimated to be $364 million for the remainder of fiscal year 2023, $601 million in fiscal year 2024, $539 million in fiscal ye</w:t>
      </w:r>
      <w:r>
        <w:rPr>
          <w:rFonts w:ascii="sans-serif" w:eastAsia="sans-serif" w:hAnsi="sans-serif" w:cs="sans-serif"/>
          <w:color w:val="000000"/>
          <w:sz w:val="20"/>
          <w:szCs w:val="20"/>
        </w:rPr>
        <w:t>ar 2025, $245 million in fiscal year 2026, $141 million in fiscal year 2027, and $146 million in fiscal year 2028 and thereafter.</w:t>
      </w:r>
    </w:p>
    <w:p w14:paraId="1950310F" w14:textId="77777777" w:rsidR="00BF3A3A" w:rsidRDefault="00A76802">
      <w:pPr>
        <w:spacing w:after="180"/>
        <w:jc w:val="both"/>
      </w:pPr>
      <w:r>
        <w:rPr>
          <w:rFonts w:ascii="sans-serif" w:eastAsia="sans-serif" w:hAnsi="sans-serif" w:cs="sans-serif"/>
          <w:color w:val="000000"/>
          <w:sz w:val="20"/>
          <w:szCs w:val="20"/>
        </w:rPr>
        <w:t>In the first half of fiscal year 2023, goodwill increased by $23 million and intangible assets increased by $32 million from a</w:t>
      </w:r>
      <w:r>
        <w:rPr>
          <w:rFonts w:ascii="sans-serif" w:eastAsia="sans-serif" w:hAnsi="sans-serif" w:cs="sans-serif"/>
          <w:color w:val="000000"/>
          <w:sz w:val="20"/>
          <w:szCs w:val="20"/>
        </w:rPr>
        <w:t xml:space="preserve">cquisitions. We assigned $14 million of the increase in goodwill to our Compute &amp; Networking segment and $9 million of the increase to our Graphics segment. </w:t>
      </w:r>
    </w:p>
    <w:p w14:paraId="19503110" w14:textId="77777777" w:rsidR="00BF3A3A" w:rsidRDefault="00A76802">
      <w:pPr>
        <w:spacing w:before="180" w:after="120"/>
        <w:jc w:val="both"/>
      </w:pPr>
      <w:r>
        <w:rPr>
          <w:rFonts w:ascii="sans-serif" w:eastAsia="sans-serif" w:hAnsi="sans-serif" w:cs="sans-serif"/>
          <w:b/>
          <w:bCs/>
          <w:color w:val="76B900"/>
          <w:sz w:val="22"/>
          <w:szCs w:val="22"/>
        </w:rPr>
        <w:t>Note 10 - Balance Sheet Components </w:t>
      </w:r>
    </w:p>
    <w:p w14:paraId="19503111" w14:textId="77777777" w:rsidR="00BF3A3A" w:rsidRDefault="00A76802">
      <w:pPr>
        <w:spacing w:after="120"/>
        <w:jc w:val="both"/>
      </w:pPr>
      <w:r>
        <w:rPr>
          <w:rFonts w:ascii="sans-serif" w:eastAsia="sans-serif" w:hAnsi="sans-serif" w:cs="sans-serif"/>
          <w:color w:val="000000"/>
          <w:sz w:val="20"/>
          <w:szCs w:val="20"/>
        </w:rPr>
        <w:t>Certain balance sheet components are as follows:</w:t>
      </w:r>
    </w:p>
    <w:tbl>
      <w:tblPr>
        <w:tblW w:w="4993" w:type="pct"/>
        <w:tblCellMar>
          <w:top w:w="15" w:type="dxa"/>
          <w:left w:w="15" w:type="dxa"/>
          <w:bottom w:w="15" w:type="dxa"/>
          <w:right w:w="15" w:type="dxa"/>
        </w:tblCellMar>
        <w:tblLook w:val="04A0" w:firstRow="1" w:lastRow="0" w:firstColumn="1" w:lastColumn="0" w:noHBand="0" w:noVBand="1"/>
      </w:tblPr>
      <w:tblGrid>
        <w:gridCol w:w="40"/>
        <w:gridCol w:w="5910"/>
        <w:gridCol w:w="37"/>
        <w:gridCol w:w="122"/>
        <w:gridCol w:w="974"/>
        <w:gridCol w:w="36"/>
        <w:gridCol w:w="36"/>
        <w:gridCol w:w="36"/>
        <w:gridCol w:w="36"/>
        <w:gridCol w:w="123"/>
        <w:gridCol w:w="938"/>
        <w:gridCol w:w="36"/>
      </w:tblGrid>
      <w:tr w:rsidR="00BF3A3A" w14:paraId="1950311E" w14:textId="77777777">
        <w:tc>
          <w:tcPr>
            <w:tcW w:w="50" w:type="pct"/>
            <w:shd w:val="clear" w:color="auto" w:fill="auto"/>
            <w:vAlign w:val="bottom"/>
          </w:tcPr>
          <w:p w14:paraId="19503112" w14:textId="77777777" w:rsidR="00BF3A3A" w:rsidRDefault="00BF3A3A">
            <w:pPr>
              <w:rPr>
                <w:rFonts w:ascii="宋体"/>
              </w:rPr>
            </w:pPr>
          </w:p>
        </w:tc>
        <w:tc>
          <w:tcPr>
            <w:tcW w:w="3575" w:type="pct"/>
            <w:shd w:val="clear" w:color="auto" w:fill="auto"/>
            <w:vAlign w:val="bottom"/>
          </w:tcPr>
          <w:p w14:paraId="19503113" w14:textId="77777777" w:rsidR="00BF3A3A" w:rsidRDefault="00BF3A3A">
            <w:pPr>
              <w:rPr>
                <w:rFonts w:ascii="宋体"/>
              </w:rPr>
            </w:pPr>
          </w:p>
        </w:tc>
        <w:tc>
          <w:tcPr>
            <w:tcW w:w="5" w:type="pct"/>
            <w:shd w:val="clear" w:color="auto" w:fill="auto"/>
            <w:vAlign w:val="bottom"/>
          </w:tcPr>
          <w:p w14:paraId="19503114" w14:textId="77777777" w:rsidR="00BF3A3A" w:rsidRDefault="00BF3A3A">
            <w:pPr>
              <w:rPr>
                <w:rFonts w:ascii="宋体"/>
              </w:rPr>
            </w:pPr>
          </w:p>
        </w:tc>
        <w:tc>
          <w:tcPr>
            <w:tcW w:w="50" w:type="pct"/>
            <w:shd w:val="clear" w:color="auto" w:fill="auto"/>
            <w:vAlign w:val="bottom"/>
          </w:tcPr>
          <w:p w14:paraId="19503115" w14:textId="77777777" w:rsidR="00BF3A3A" w:rsidRDefault="00BF3A3A">
            <w:pPr>
              <w:rPr>
                <w:rFonts w:ascii="宋体"/>
              </w:rPr>
            </w:pPr>
          </w:p>
        </w:tc>
        <w:tc>
          <w:tcPr>
            <w:tcW w:w="611" w:type="pct"/>
            <w:shd w:val="clear" w:color="auto" w:fill="auto"/>
            <w:vAlign w:val="bottom"/>
          </w:tcPr>
          <w:p w14:paraId="19503116" w14:textId="77777777" w:rsidR="00BF3A3A" w:rsidRDefault="00BF3A3A">
            <w:pPr>
              <w:rPr>
                <w:rFonts w:ascii="宋体"/>
              </w:rPr>
            </w:pPr>
          </w:p>
        </w:tc>
        <w:tc>
          <w:tcPr>
            <w:tcW w:w="5" w:type="pct"/>
            <w:shd w:val="clear" w:color="auto" w:fill="auto"/>
            <w:vAlign w:val="bottom"/>
          </w:tcPr>
          <w:p w14:paraId="19503117" w14:textId="77777777" w:rsidR="00BF3A3A" w:rsidRDefault="00BF3A3A">
            <w:pPr>
              <w:rPr>
                <w:rFonts w:ascii="宋体"/>
              </w:rPr>
            </w:pPr>
          </w:p>
        </w:tc>
        <w:tc>
          <w:tcPr>
            <w:tcW w:w="5" w:type="pct"/>
            <w:shd w:val="clear" w:color="auto" w:fill="auto"/>
            <w:vAlign w:val="bottom"/>
          </w:tcPr>
          <w:p w14:paraId="19503118" w14:textId="77777777" w:rsidR="00BF3A3A" w:rsidRDefault="00BF3A3A">
            <w:pPr>
              <w:rPr>
                <w:rFonts w:ascii="宋体"/>
              </w:rPr>
            </w:pPr>
          </w:p>
        </w:tc>
        <w:tc>
          <w:tcPr>
            <w:tcW w:w="26" w:type="pct"/>
            <w:shd w:val="clear" w:color="auto" w:fill="auto"/>
            <w:vAlign w:val="bottom"/>
          </w:tcPr>
          <w:p w14:paraId="19503119" w14:textId="77777777" w:rsidR="00BF3A3A" w:rsidRDefault="00BF3A3A">
            <w:pPr>
              <w:rPr>
                <w:rFonts w:ascii="宋体"/>
              </w:rPr>
            </w:pPr>
          </w:p>
        </w:tc>
        <w:tc>
          <w:tcPr>
            <w:tcW w:w="5" w:type="pct"/>
            <w:shd w:val="clear" w:color="auto" w:fill="auto"/>
            <w:vAlign w:val="bottom"/>
          </w:tcPr>
          <w:p w14:paraId="1950311A" w14:textId="77777777" w:rsidR="00BF3A3A" w:rsidRDefault="00BF3A3A">
            <w:pPr>
              <w:rPr>
                <w:rFonts w:ascii="宋体"/>
              </w:rPr>
            </w:pPr>
          </w:p>
        </w:tc>
        <w:tc>
          <w:tcPr>
            <w:tcW w:w="50" w:type="pct"/>
            <w:shd w:val="clear" w:color="auto" w:fill="auto"/>
            <w:vAlign w:val="bottom"/>
          </w:tcPr>
          <w:p w14:paraId="1950311B" w14:textId="77777777" w:rsidR="00BF3A3A" w:rsidRDefault="00BF3A3A">
            <w:pPr>
              <w:rPr>
                <w:rFonts w:ascii="宋体"/>
              </w:rPr>
            </w:pPr>
          </w:p>
        </w:tc>
        <w:tc>
          <w:tcPr>
            <w:tcW w:w="611" w:type="pct"/>
            <w:shd w:val="clear" w:color="auto" w:fill="auto"/>
            <w:vAlign w:val="bottom"/>
          </w:tcPr>
          <w:p w14:paraId="1950311C" w14:textId="77777777" w:rsidR="00BF3A3A" w:rsidRDefault="00BF3A3A">
            <w:pPr>
              <w:rPr>
                <w:rFonts w:ascii="宋体"/>
              </w:rPr>
            </w:pPr>
          </w:p>
        </w:tc>
        <w:tc>
          <w:tcPr>
            <w:tcW w:w="5" w:type="pct"/>
            <w:shd w:val="clear" w:color="auto" w:fill="auto"/>
            <w:vAlign w:val="bottom"/>
          </w:tcPr>
          <w:p w14:paraId="1950311D" w14:textId="77777777" w:rsidR="00BF3A3A" w:rsidRDefault="00BF3A3A">
            <w:pPr>
              <w:rPr>
                <w:rFonts w:ascii="宋体"/>
              </w:rPr>
            </w:pPr>
          </w:p>
        </w:tc>
      </w:tr>
      <w:tr w:rsidR="00BF3A3A" w14:paraId="19503123" w14:textId="77777777">
        <w:tc>
          <w:tcPr>
            <w:tcW w:w="0" w:type="auto"/>
            <w:gridSpan w:val="3"/>
            <w:shd w:val="clear" w:color="auto" w:fill="auto"/>
            <w:tcMar>
              <w:top w:w="0" w:type="dxa"/>
              <w:left w:w="20" w:type="dxa"/>
              <w:bottom w:w="0" w:type="dxa"/>
              <w:right w:w="20" w:type="dxa"/>
            </w:tcMar>
            <w:vAlign w:val="bottom"/>
          </w:tcPr>
          <w:p w14:paraId="1950311F"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120" w14:textId="77777777" w:rsidR="00BF3A3A" w:rsidRDefault="00A76802">
            <w:pPr>
              <w:jc w:val="center"/>
              <w:textAlignment w:val="bottom"/>
            </w:pPr>
            <w:r>
              <w:rPr>
                <w:rFonts w:ascii="sans-serif" w:eastAsia="sans-serif" w:hAnsi="sans-serif" w:cs="sans-serif"/>
                <w:b/>
                <w:bCs/>
                <w:color w:val="000000"/>
                <w:sz w:val="20"/>
                <w:szCs w:val="20"/>
              </w:rPr>
              <w:t>July 31,</w:t>
            </w:r>
          </w:p>
        </w:tc>
        <w:tc>
          <w:tcPr>
            <w:tcW w:w="0" w:type="auto"/>
            <w:gridSpan w:val="3"/>
            <w:shd w:val="clear" w:color="auto" w:fill="auto"/>
            <w:tcMar>
              <w:top w:w="0" w:type="dxa"/>
              <w:left w:w="20" w:type="dxa"/>
              <w:bottom w:w="0" w:type="dxa"/>
              <w:right w:w="20" w:type="dxa"/>
            </w:tcMar>
            <w:vAlign w:val="bottom"/>
          </w:tcPr>
          <w:p w14:paraId="19503121"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122" w14:textId="77777777" w:rsidR="00BF3A3A" w:rsidRDefault="00A76802">
            <w:pPr>
              <w:jc w:val="center"/>
              <w:textAlignment w:val="bottom"/>
            </w:pPr>
            <w:r>
              <w:rPr>
                <w:rFonts w:ascii="sans-serif" w:eastAsia="sans-serif" w:hAnsi="sans-serif" w:cs="sans-serif"/>
                <w:b/>
                <w:bCs/>
                <w:color w:val="000000"/>
                <w:sz w:val="20"/>
                <w:szCs w:val="20"/>
              </w:rPr>
              <w:t>January 30,</w:t>
            </w:r>
          </w:p>
        </w:tc>
      </w:tr>
      <w:tr w:rsidR="00BF3A3A" w14:paraId="19503128" w14:textId="77777777">
        <w:tc>
          <w:tcPr>
            <w:tcW w:w="0" w:type="auto"/>
            <w:gridSpan w:val="3"/>
            <w:shd w:val="clear" w:color="auto" w:fill="auto"/>
            <w:tcMar>
              <w:top w:w="40" w:type="dxa"/>
              <w:left w:w="20" w:type="dxa"/>
              <w:bottom w:w="40" w:type="dxa"/>
              <w:right w:w="20" w:type="dxa"/>
            </w:tcMar>
            <w:vAlign w:val="bottom"/>
          </w:tcPr>
          <w:p w14:paraId="19503124"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9503125" w14:textId="77777777" w:rsidR="00BF3A3A" w:rsidRDefault="00A76802">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19503126"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127" w14:textId="77777777" w:rsidR="00BF3A3A" w:rsidRDefault="00A76802">
            <w:pPr>
              <w:jc w:val="center"/>
              <w:textAlignment w:val="bottom"/>
            </w:pPr>
            <w:r>
              <w:rPr>
                <w:rFonts w:ascii="sans-serif" w:eastAsia="sans-serif" w:hAnsi="sans-serif" w:cs="sans-serif"/>
                <w:b/>
                <w:bCs/>
                <w:color w:val="000000"/>
                <w:sz w:val="20"/>
                <w:szCs w:val="20"/>
              </w:rPr>
              <w:t>2022</w:t>
            </w:r>
          </w:p>
        </w:tc>
      </w:tr>
      <w:tr w:rsidR="00BF3A3A" w14:paraId="1950312D" w14:textId="77777777">
        <w:trPr>
          <w:trHeight w:val="60"/>
        </w:trPr>
        <w:tc>
          <w:tcPr>
            <w:tcW w:w="0" w:type="auto"/>
            <w:gridSpan w:val="3"/>
            <w:shd w:val="clear" w:color="auto" w:fill="auto"/>
            <w:tcMar>
              <w:top w:w="0" w:type="dxa"/>
              <w:left w:w="20" w:type="dxa"/>
              <w:bottom w:w="0" w:type="dxa"/>
              <w:right w:w="20" w:type="dxa"/>
            </w:tcMar>
            <w:vAlign w:val="bottom"/>
          </w:tcPr>
          <w:p w14:paraId="19503129"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12A"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12B"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12C" w14:textId="77777777" w:rsidR="00BF3A3A" w:rsidRDefault="00BF3A3A">
            <w:pPr>
              <w:rPr>
                <w:rFonts w:ascii="宋体"/>
              </w:rPr>
            </w:pPr>
          </w:p>
        </w:tc>
      </w:tr>
      <w:tr w:rsidR="00BF3A3A" w14:paraId="19503130" w14:textId="77777777">
        <w:tc>
          <w:tcPr>
            <w:tcW w:w="0" w:type="auto"/>
            <w:gridSpan w:val="3"/>
            <w:shd w:val="clear" w:color="auto" w:fill="auto"/>
            <w:tcMar>
              <w:top w:w="40" w:type="dxa"/>
              <w:left w:w="20" w:type="dxa"/>
              <w:bottom w:w="40" w:type="dxa"/>
              <w:right w:w="20" w:type="dxa"/>
            </w:tcMar>
            <w:vAlign w:val="bottom"/>
          </w:tcPr>
          <w:p w14:paraId="1950312E" w14:textId="77777777" w:rsidR="00BF3A3A" w:rsidRDefault="00A76802">
            <w:pPr>
              <w:textAlignment w:val="bottom"/>
            </w:pPr>
            <w:r>
              <w:rPr>
                <w:rFonts w:ascii="sans-serif" w:eastAsia="sans-serif" w:hAnsi="sans-serif" w:cs="sans-serif"/>
                <w:b/>
                <w:bCs/>
                <w:color w:val="000000"/>
                <w:sz w:val="20"/>
                <w:szCs w:val="20"/>
              </w:rPr>
              <w:t xml:space="preserve">Inventories </w:t>
            </w:r>
            <w:r>
              <w:rPr>
                <w:rFonts w:ascii="sans-serif" w:eastAsia="sans-serif" w:hAnsi="sans-serif" w:cs="sans-serif"/>
                <w:color w:val="000000"/>
                <w:sz w:val="20"/>
                <w:szCs w:val="20"/>
              </w:rPr>
              <w:t>(1)</w:t>
            </w:r>
            <w:r>
              <w:rPr>
                <w:rFonts w:ascii="sans-serif" w:eastAsia="sans-serif" w:hAnsi="sans-serif" w:cs="sans-serif"/>
                <w:b/>
                <w:bCs/>
                <w:color w:val="000000"/>
                <w:sz w:val="20"/>
                <w:szCs w:val="20"/>
              </w:rPr>
              <w:t>:</w:t>
            </w:r>
          </w:p>
        </w:tc>
        <w:tc>
          <w:tcPr>
            <w:tcW w:w="0" w:type="auto"/>
            <w:gridSpan w:val="9"/>
            <w:shd w:val="clear" w:color="auto" w:fill="auto"/>
            <w:tcMar>
              <w:top w:w="40" w:type="dxa"/>
              <w:left w:w="20" w:type="dxa"/>
              <w:bottom w:w="40" w:type="dxa"/>
              <w:right w:w="20" w:type="dxa"/>
            </w:tcMar>
            <w:vAlign w:val="bottom"/>
          </w:tcPr>
          <w:p w14:paraId="1950312F" w14:textId="77777777" w:rsidR="00BF3A3A" w:rsidRDefault="00A76802">
            <w:pPr>
              <w:jc w:val="center"/>
              <w:textAlignment w:val="bottom"/>
            </w:pPr>
            <w:r>
              <w:rPr>
                <w:rFonts w:ascii="sans-serif" w:eastAsia="sans-serif" w:hAnsi="sans-serif" w:cs="sans-serif"/>
                <w:i/>
                <w:iCs/>
                <w:color w:val="000000"/>
                <w:sz w:val="20"/>
                <w:szCs w:val="20"/>
              </w:rPr>
              <w:t>(In millions)</w:t>
            </w:r>
          </w:p>
        </w:tc>
      </w:tr>
      <w:tr w:rsidR="00BF3A3A" w14:paraId="19503139" w14:textId="77777777">
        <w:tc>
          <w:tcPr>
            <w:tcW w:w="0" w:type="auto"/>
            <w:gridSpan w:val="3"/>
            <w:shd w:val="clear" w:color="auto" w:fill="E2EFD9"/>
            <w:tcMar>
              <w:top w:w="40" w:type="dxa"/>
              <w:left w:w="20" w:type="dxa"/>
              <w:bottom w:w="40" w:type="dxa"/>
              <w:right w:w="20" w:type="dxa"/>
            </w:tcMar>
            <w:vAlign w:val="bottom"/>
          </w:tcPr>
          <w:p w14:paraId="19503131" w14:textId="77777777" w:rsidR="00BF3A3A" w:rsidRDefault="00A76802">
            <w:pPr>
              <w:textAlignment w:val="bottom"/>
            </w:pPr>
            <w:r>
              <w:rPr>
                <w:rFonts w:ascii="sans-serif" w:eastAsia="sans-serif" w:hAnsi="sans-serif" w:cs="sans-serif"/>
                <w:color w:val="000000"/>
                <w:sz w:val="20"/>
                <w:szCs w:val="20"/>
              </w:rPr>
              <w:t>Raw materials</w:t>
            </w:r>
          </w:p>
        </w:tc>
        <w:tc>
          <w:tcPr>
            <w:tcW w:w="0" w:type="auto"/>
            <w:shd w:val="clear" w:color="auto" w:fill="E2EFD9"/>
            <w:tcMar>
              <w:top w:w="40" w:type="dxa"/>
              <w:left w:w="20" w:type="dxa"/>
              <w:bottom w:w="40" w:type="dxa"/>
              <w:right w:w="0" w:type="dxa"/>
            </w:tcMar>
            <w:vAlign w:val="bottom"/>
          </w:tcPr>
          <w:p w14:paraId="19503132"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133" w14:textId="77777777" w:rsidR="00BF3A3A" w:rsidRDefault="00A76802">
            <w:pPr>
              <w:jc w:val="right"/>
              <w:textAlignment w:val="bottom"/>
            </w:pPr>
            <w:r>
              <w:rPr>
                <w:rFonts w:ascii="sans-serif" w:eastAsia="sans-serif" w:hAnsi="sans-serif" w:cs="sans-serif"/>
                <w:color w:val="000000"/>
                <w:sz w:val="20"/>
                <w:szCs w:val="20"/>
              </w:rPr>
              <w:t>1,534 </w:t>
            </w:r>
          </w:p>
        </w:tc>
        <w:tc>
          <w:tcPr>
            <w:tcW w:w="0" w:type="auto"/>
            <w:shd w:val="clear" w:color="auto" w:fill="E2EFD9"/>
            <w:tcMar>
              <w:top w:w="40" w:type="dxa"/>
              <w:left w:w="0" w:type="dxa"/>
              <w:bottom w:w="40" w:type="dxa"/>
              <w:right w:w="20" w:type="dxa"/>
            </w:tcMar>
            <w:vAlign w:val="bottom"/>
          </w:tcPr>
          <w:p w14:paraId="1950313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135"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136"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137" w14:textId="77777777" w:rsidR="00BF3A3A" w:rsidRDefault="00A76802">
            <w:pPr>
              <w:jc w:val="right"/>
              <w:textAlignment w:val="bottom"/>
            </w:pPr>
            <w:r>
              <w:rPr>
                <w:rFonts w:ascii="sans-serif" w:eastAsia="sans-serif" w:hAnsi="sans-serif" w:cs="sans-serif"/>
                <w:color w:val="000000"/>
                <w:sz w:val="20"/>
                <w:szCs w:val="20"/>
              </w:rPr>
              <w:t>791 </w:t>
            </w:r>
          </w:p>
        </w:tc>
        <w:tc>
          <w:tcPr>
            <w:tcW w:w="0" w:type="auto"/>
            <w:shd w:val="clear" w:color="auto" w:fill="E2EFD9"/>
            <w:tcMar>
              <w:top w:w="40" w:type="dxa"/>
              <w:left w:w="0" w:type="dxa"/>
              <w:bottom w:w="40" w:type="dxa"/>
              <w:right w:w="20" w:type="dxa"/>
            </w:tcMar>
            <w:vAlign w:val="bottom"/>
          </w:tcPr>
          <w:p w14:paraId="19503138" w14:textId="77777777" w:rsidR="00BF3A3A" w:rsidRDefault="00BF3A3A">
            <w:pPr>
              <w:jc w:val="right"/>
              <w:rPr>
                <w:rFonts w:ascii="宋体"/>
              </w:rPr>
            </w:pPr>
          </w:p>
        </w:tc>
      </w:tr>
      <w:tr w:rsidR="00BF3A3A" w14:paraId="19503140" w14:textId="77777777">
        <w:tc>
          <w:tcPr>
            <w:tcW w:w="0" w:type="auto"/>
            <w:gridSpan w:val="3"/>
            <w:shd w:val="clear" w:color="auto" w:fill="FFFFFF"/>
            <w:tcMar>
              <w:top w:w="40" w:type="dxa"/>
              <w:left w:w="20" w:type="dxa"/>
              <w:bottom w:w="40" w:type="dxa"/>
              <w:right w:w="20" w:type="dxa"/>
            </w:tcMar>
            <w:vAlign w:val="bottom"/>
          </w:tcPr>
          <w:p w14:paraId="1950313A" w14:textId="77777777" w:rsidR="00BF3A3A" w:rsidRDefault="00A76802">
            <w:pPr>
              <w:textAlignment w:val="bottom"/>
            </w:pPr>
            <w:r>
              <w:rPr>
                <w:rFonts w:ascii="sans-serif" w:eastAsia="sans-serif" w:hAnsi="sans-serif" w:cs="sans-serif"/>
                <w:color w:val="000000"/>
                <w:sz w:val="20"/>
                <w:szCs w:val="20"/>
              </w:rPr>
              <w:t>Work in-process</w:t>
            </w:r>
          </w:p>
        </w:tc>
        <w:tc>
          <w:tcPr>
            <w:tcW w:w="0" w:type="auto"/>
            <w:gridSpan w:val="2"/>
            <w:shd w:val="clear" w:color="auto" w:fill="FFFFFF"/>
            <w:tcMar>
              <w:top w:w="40" w:type="dxa"/>
              <w:left w:w="20" w:type="dxa"/>
              <w:bottom w:w="40" w:type="dxa"/>
              <w:right w:w="0" w:type="dxa"/>
            </w:tcMar>
            <w:vAlign w:val="bottom"/>
          </w:tcPr>
          <w:p w14:paraId="1950313B" w14:textId="77777777" w:rsidR="00BF3A3A" w:rsidRDefault="00A76802">
            <w:pPr>
              <w:jc w:val="right"/>
              <w:textAlignment w:val="bottom"/>
            </w:pPr>
            <w:r>
              <w:rPr>
                <w:rFonts w:ascii="sans-serif" w:eastAsia="sans-serif" w:hAnsi="sans-serif" w:cs="sans-serif"/>
                <w:color w:val="000000"/>
                <w:sz w:val="20"/>
                <w:szCs w:val="20"/>
              </w:rPr>
              <w:t>767 </w:t>
            </w:r>
          </w:p>
        </w:tc>
        <w:tc>
          <w:tcPr>
            <w:tcW w:w="0" w:type="auto"/>
            <w:shd w:val="clear" w:color="auto" w:fill="FFFFFF"/>
            <w:tcMar>
              <w:top w:w="40" w:type="dxa"/>
              <w:left w:w="0" w:type="dxa"/>
              <w:bottom w:w="40" w:type="dxa"/>
              <w:right w:w="20" w:type="dxa"/>
            </w:tcMar>
            <w:vAlign w:val="bottom"/>
          </w:tcPr>
          <w:p w14:paraId="1950313C"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13D"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13E" w14:textId="77777777" w:rsidR="00BF3A3A" w:rsidRDefault="00A76802">
            <w:pPr>
              <w:jc w:val="right"/>
              <w:textAlignment w:val="bottom"/>
            </w:pPr>
            <w:r>
              <w:rPr>
                <w:rFonts w:ascii="sans-serif" w:eastAsia="sans-serif" w:hAnsi="sans-serif" w:cs="sans-serif"/>
                <w:color w:val="000000"/>
                <w:sz w:val="20"/>
                <w:szCs w:val="20"/>
              </w:rPr>
              <w:t>692 </w:t>
            </w:r>
          </w:p>
        </w:tc>
        <w:tc>
          <w:tcPr>
            <w:tcW w:w="0" w:type="auto"/>
            <w:shd w:val="clear" w:color="auto" w:fill="FFFFFF"/>
            <w:tcMar>
              <w:top w:w="40" w:type="dxa"/>
              <w:left w:w="0" w:type="dxa"/>
              <w:bottom w:w="40" w:type="dxa"/>
              <w:right w:w="20" w:type="dxa"/>
            </w:tcMar>
            <w:vAlign w:val="bottom"/>
          </w:tcPr>
          <w:p w14:paraId="1950313F" w14:textId="77777777" w:rsidR="00BF3A3A" w:rsidRDefault="00BF3A3A">
            <w:pPr>
              <w:jc w:val="right"/>
              <w:rPr>
                <w:rFonts w:ascii="宋体"/>
              </w:rPr>
            </w:pPr>
          </w:p>
        </w:tc>
      </w:tr>
      <w:tr w:rsidR="00BF3A3A" w14:paraId="19503147" w14:textId="77777777">
        <w:tc>
          <w:tcPr>
            <w:tcW w:w="0" w:type="auto"/>
            <w:gridSpan w:val="3"/>
            <w:shd w:val="clear" w:color="auto" w:fill="E2EFD9"/>
            <w:tcMar>
              <w:top w:w="40" w:type="dxa"/>
              <w:left w:w="20" w:type="dxa"/>
              <w:bottom w:w="40" w:type="dxa"/>
              <w:right w:w="20" w:type="dxa"/>
            </w:tcMar>
            <w:vAlign w:val="bottom"/>
          </w:tcPr>
          <w:p w14:paraId="19503141" w14:textId="77777777" w:rsidR="00BF3A3A" w:rsidRDefault="00A76802">
            <w:pPr>
              <w:textAlignment w:val="bottom"/>
            </w:pPr>
            <w:r>
              <w:rPr>
                <w:rFonts w:ascii="sans-serif" w:eastAsia="sans-serif" w:hAnsi="sans-serif" w:cs="sans-serif"/>
                <w:color w:val="000000"/>
                <w:sz w:val="20"/>
                <w:szCs w:val="20"/>
              </w:rPr>
              <w:t>Finished goods</w:t>
            </w:r>
          </w:p>
        </w:tc>
        <w:tc>
          <w:tcPr>
            <w:tcW w:w="0" w:type="auto"/>
            <w:gridSpan w:val="2"/>
            <w:shd w:val="clear" w:color="auto" w:fill="E2EFD9"/>
            <w:tcMar>
              <w:top w:w="40" w:type="dxa"/>
              <w:left w:w="20" w:type="dxa"/>
              <w:bottom w:w="40" w:type="dxa"/>
              <w:right w:w="0" w:type="dxa"/>
            </w:tcMar>
            <w:vAlign w:val="bottom"/>
          </w:tcPr>
          <w:p w14:paraId="19503142" w14:textId="77777777" w:rsidR="00BF3A3A" w:rsidRDefault="00A76802">
            <w:pPr>
              <w:jc w:val="right"/>
              <w:textAlignment w:val="bottom"/>
            </w:pPr>
            <w:r>
              <w:rPr>
                <w:rFonts w:ascii="sans-serif" w:eastAsia="sans-serif" w:hAnsi="sans-serif" w:cs="sans-serif"/>
                <w:color w:val="000000"/>
                <w:sz w:val="20"/>
                <w:szCs w:val="20"/>
              </w:rPr>
              <w:t>1,588 </w:t>
            </w:r>
          </w:p>
        </w:tc>
        <w:tc>
          <w:tcPr>
            <w:tcW w:w="0" w:type="auto"/>
            <w:shd w:val="clear" w:color="auto" w:fill="E2EFD9"/>
            <w:tcMar>
              <w:top w:w="40" w:type="dxa"/>
              <w:left w:w="0" w:type="dxa"/>
              <w:bottom w:w="40" w:type="dxa"/>
              <w:right w:w="20" w:type="dxa"/>
            </w:tcMar>
            <w:vAlign w:val="bottom"/>
          </w:tcPr>
          <w:p w14:paraId="1950314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144"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145" w14:textId="77777777" w:rsidR="00BF3A3A" w:rsidRDefault="00A76802">
            <w:pPr>
              <w:jc w:val="right"/>
              <w:textAlignment w:val="bottom"/>
            </w:pPr>
            <w:r>
              <w:rPr>
                <w:rFonts w:ascii="sans-serif" w:eastAsia="sans-serif" w:hAnsi="sans-serif" w:cs="sans-serif"/>
                <w:color w:val="000000"/>
                <w:sz w:val="20"/>
                <w:szCs w:val="20"/>
              </w:rPr>
              <w:t>1,122 </w:t>
            </w:r>
          </w:p>
        </w:tc>
        <w:tc>
          <w:tcPr>
            <w:tcW w:w="0" w:type="auto"/>
            <w:shd w:val="clear" w:color="auto" w:fill="E2EFD9"/>
            <w:tcMar>
              <w:top w:w="40" w:type="dxa"/>
              <w:left w:w="0" w:type="dxa"/>
              <w:bottom w:w="40" w:type="dxa"/>
              <w:right w:w="20" w:type="dxa"/>
            </w:tcMar>
            <w:vAlign w:val="bottom"/>
          </w:tcPr>
          <w:p w14:paraId="19503146" w14:textId="77777777" w:rsidR="00BF3A3A" w:rsidRDefault="00BF3A3A">
            <w:pPr>
              <w:jc w:val="right"/>
              <w:rPr>
                <w:rFonts w:ascii="宋体"/>
              </w:rPr>
            </w:pPr>
          </w:p>
        </w:tc>
      </w:tr>
      <w:tr w:rsidR="00BF3A3A" w14:paraId="19503150" w14:textId="77777777">
        <w:tc>
          <w:tcPr>
            <w:tcW w:w="0" w:type="auto"/>
            <w:gridSpan w:val="3"/>
            <w:shd w:val="clear" w:color="auto" w:fill="FFFFFF"/>
            <w:tcMar>
              <w:top w:w="40" w:type="dxa"/>
              <w:left w:w="380" w:type="dxa"/>
              <w:bottom w:w="40" w:type="dxa"/>
              <w:right w:w="20" w:type="dxa"/>
            </w:tcMar>
            <w:vAlign w:val="bottom"/>
          </w:tcPr>
          <w:p w14:paraId="19503148" w14:textId="77777777" w:rsidR="00BF3A3A" w:rsidRDefault="00A76802">
            <w:pPr>
              <w:textAlignment w:val="bottom"/>
            </w:pPr>
            <w:r>
              <w:rPr>
                <w:rFonts w:ascii="sans-serif" w:eastAsia="sans-serif" w:hAnsi="sans-serif" w:cs="sans-serif"/>
                <w:color w:val="000000"/>
                <w:sz w:val="20"/>
                <w:szCs w:val="20"/>
              </w:rPr>
              <w:t>Total inventories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149"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314A" w14:textId="77777777" w:rsidR="00BF3A3A" w:rsidRDefault="00A76802">
            <w:pPr>
              <w:jc w:val="right"/>
              <w:textAlignment w:val="bottom"/>
            </w:pPr>
            <w:r>
              <w:rPr>
                <w:rFonts w:ascii="sans-serif" w:eastAsia="sans-serif" w:hAnsi="sans-serif" w:cs="sans-serif"/>
                <w:color w:val="000000"/>
                <w:sz w:val="20"/>
                <w:szCs w:val="20"/>
              </w:rPr>
              <w:t>3,889 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14B"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14C"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14D"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314E" w14:textId="77777777" w:rsidR="00BF3A3A" w:rsidRDefault="00A76802">
            <w:pPr>
              <w:jc w:val="right"/>
              <w:textAlignment w:val="bottom"/>
            </w:pPr>
            <w:r>
              <w:rPr>
                <w:rFonts w:ascii="sans-serif" w:eastAsia="sans-serif" w:hAnsi="sans-serif" w:cs="sans-serif"/>
                <w:color w:val="000000"/>
                <w:sz w:val="20"/>
                <w:szCs w:val="20"/>
              </w:rPr>
              <w:t>2,605 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14F" w14:textId="77777777" w:rsidR="00BF3A3A" w:rsidRDefault="00BF3A3A">
            <w:pPr>
              <w:jc w:val="right"/>
              <w:rPr>
                <w:rFonts w:ascii="宋体"/>
              </w:rPr>
            </w:pPr>
          </w:p>
        </w:tc>
      </w:tr>
    </w:tbl>
    <w:p w14:paraId="19503151" w14:textId="77777777" w:rsidR="00BF3A3A" w:rsidRDefault="00A76802">
      <w:pPr>
        <w:spacing w:after="180"/>
        <w:jc w:val="both"/>
      </w:pPr>
      <w:r>
        <w:rPr>
          <w:rFonts w:ascii="sans-serif" w:eastAsia="sans-serif" w:hAnsi="sans-serif" w:cs="sans-serif"/>
          <w:color w:val="000000"/>
          <w:sz w:val="16"/>
          <w:szCs w:val="16"/>
        </w:rPr>
        <w:t xml:space="preserve">(1) During the second quarter of </w:t>
      </w:r>
      <w:r>
        <w:rPr>
          <w:rFonts w:ascii="sans-serif" w:eastAsia="sans-serif" w:hAnsi="sans-serif" w:cs="sans-serif"/>
          <w:color w:val="000000"/>
          <w:sz w:val="16"/>
          <w:szCs w:val="16"/>
        </w:rPr>
        <w:t>fiscal year 2023, we recorded an inventory reserve expense of approximately $570 million in cost of revenue.</w:t>
      </w:r>
    </w:p>
    <w:p w14:paraId="19503152" w14:textId="77777777" w:rsidR="00BF3A3A" w:rsidRDefault="00BF3A3A">
      <w:pPr>
        <w:spacing w:after="120"/>
        <w:jc w:val="both"/>
      </w:pPr>
    </w:p>
    <w:tbl>
      <w:tblPr>
        <w:tblW w:w="4993" w:type="pct"/>
        <w:tblCellMar>
          <w:top w:w="15" w:type="dxa"/>
          <w:left w:w="15" w:type="dxa"/>
          <w:bottom w:w="15" w:type="dxa"/>
          <w:right w:w="15" w:type="dxa"/>
        </w:tblCellMar>
        <w:tblLook w:val="04A0" w:firstRow="1" w:lastRow="0" w:firstColumn="1" w:lastColumn="0" w:noHBand="0" w:noVBand="1"/>
      </w:tblPr>
      <w:tblGrid>
        <w:gridCol w:w="39"/>
        <w:gridCol w:w="5910"/>
        <w:gridCol w:w="38"/>
        <w:gridCol w:w="122"/>
        <w:gridCol w:w="974"/>
        <w:gridCol w:w="36"/>
        <w:gridCol w:w="36"/>
        <w:gridCol w:w="36"/>
        <w:gridCol w:w="36"/>
        <w:gridCol w:w="123"/>
        <w:gridCol w:w="938"/>
        <w:gridCol w:w="36"/>
      </w:tblGrid>
      <w:tr w:rsidR="00BF3A3A" w14:paraId="1950315F" w14:textId="77777777">
        <w:tc>
          <w:tcPr>
            <w:tcW w:w="50" w:type="pct"/>
            <w:shd w:val="clear" w:color="auto" w:fill="auto"/>
            <w:vAlign w:val="bottom"/>
          </w:tcPr>
          <w:p w14:paraId="19503153" w14:textId="77777777" w:rsidR="00BF3A3A" w:rsidRDefault="00BF3A3A">
            <w:pPr>
              <w:rPr>
                <w:rFonts w:ascii="宋体"/>
              </w:rPr>
            </w:pPr>
          </w:p>
        </w:tc>
        <w:tc>
          <w:tcPr>
            <w:tcW w:w="3575" w:type="pct"/>
            <w:shd w:val="clear" w:color="auto" w:fill="auto"/>
            <w:vAlign w:val="bottom"/>
          </w:tcPr>
          <w:p w14:paraId="19503154" w14:textId="77777777" w:rsidR="00BF3A3A" w:rsidRDefault="00BF3A3A">
            <w:pPr>
              <w:rPr>
                <w:rFonts w:ascii="宋体"/>
              </w:rPr>
            </w:pPr>
          </w:p>
        </w:tc>
        <w:tc>
          <w:tcPr>
            <w:tcW w:w="5" w:type="pct"/>
            <w:shd w:val="clear" w:color="auto" w:fill="auto"/>
            <w:vAlign w:val="bottom"/>
          </w:tcPr>
          <w:p w14:paraId="19503155" w14:textId="77777777" w:rsidR="00BF3A3A" w:rsidRDefault="00BF3A3A">
            <w:pPr>
              <w:rPr>
                <w:rFonts w:ascii="宋体"/>
              </w:rPr>
            </w:pPr>
          </w:p>
        </w:tc>
        <w:tc>
          <w:tcPr>
            <w:tcW w:w="50" w:type="pct"/>
            <w:shd w:val="clear" w:color="auto" w:fill="auto"/>
            <w:vAlign w:val="bottom"/>
          </w:tcPr>
          <w:p w14:paraId="19503156" w14:textId="77777777" w:rsidR="00BF3A3A" w:rsidRDefault="00BF3A3A">
            <w:pPr>
              <w:rPr>
                <w:rFonts w:ascii="宋体"/>
              </w:rPr>
            </w:pPr>
          </w:p>
        </w:tc>
        <w:tc>
          <w:tcPr>
            <w:tcW w:w="611" w:type="pct"/>
            <w:shd w:val="clear" w:color="auto" w:fill="auto"/>
            <w:vAlign w:val="bottom"/>
          </w:tcPr>
          <w:p w14:paraId="19503157" w14:textId="77777777" w:rsidR="00BF3A3A" w:rsidRDefault="00BF3A3A">
            <w:pPr>
              <w:rPr>
                <w:rFonts w:ascii="宋体"/>
              </w:rPr>
            </w:pPr>
          </w:p>
        </w:tc>
        <w:tc>
          <w:tcPr>
            <w:tcW w:w="5" w:type="pct"/>
            <w:shd w:val="clear" w:color="auto" w:fill="auto"/>
            <w:vAlign w:val="bottom"/>
          </w:tcPr>
          <w:p w14:paraId="19503158" w14:textId="77777777" w:rsidR="00BF3A3A" w:rsidRDefault="00BF3A3A">
            <w:pPr>
              <w:rPr>
                <w:rFonts w:ascii="宋体"/>
              </w:rPr>
            </w:pPr>
          </w:p>
        </w:tc>
        <w:tc>
          <w:tcPr>
            <w:tcW w:w="5" w:type="pct"/>
            <w:shd w:val="clear" w:color="auto" w:fill="auto"/>
            <w:vAlign w:val="bottom"/>
          </w:tcPr>
          <w:p w14:paraId="19503159" w14:textId="77777777" w:rsidR="00BF3A3A" w:rsidRDefault="00BF3A3A">
            <w:pPr>
              <w:rPr>
                <w:rFonts w:ascii="宋体"/>
              </w:rPr>
            </w:pPr>
          </w:p>
        </w:tc>
        <w:tc>
          <w:tcPr>
            <w:tcW w:w="26" w:type="pct"/>
            <w:shd w:val="clear" w:color="auto" w:fill="auto"/>
            <w:vAlign w:val="bottom"/>
          </w:tcPr>
          <w:p w14:paraId="1950315A" w14:textId="77777777" w:rsidR="00BF3A3A" w:rsidRDefault="00BF3A3A">
            <w:pPr>
              <w:rPr>
                <w:rFonts w:ascii="宋体"/>
              </w:rPr>
            </w:pPr>
          </w:p>
        </w:tc>
        <w:tc>
          <w:tcPr>
            <w:tcW w:w="5" w:type="pct"/>
            <w:shd w:val="clear" w:color="auto" w:fill="auto"/>
            <w:vAlign w:val="bottom"/>
          </w:tcPr>
          <w:p w14:paraId="1950315B" w14:textId="77777777" w:rsidR="00BF3A3A" w:rsidRDefault="00BF3A3A">
            <w:pPr>
              <w:rPr>
                <w:rFonts w:ascii="宋体"/>
              </w:rPr>
            </w:pPr>
          </w:p>
        </w:tc>
        <w:tc>
          <w:tcPr>
            <w:tcW w:w="50" w:type="pct"/>
            <w:shd w:val="clear" w:color="auto" w:fill="auto"/>
            <w:vAlign w:val="bottom"/>
          </w:tcPr>
          <w:p w14:paraId="1950315C" w14:textId="77777777" w:rsidR="00BF3A3A" w:rsidRDefault="00BF3A3A">
            <w:pPr>
              <w:rPr>
                <w:rFonts w:ascii="宋体"/>
              </w:rPr>
            </w:pPr>
          </w:p>
        </w:tc>
        <w:tc>
          <w:tcPr>
            <w:tcW w:w="611" w:type="pct"/>
            <w:shd w:val="clear" w:color="auto" w:fill="auto"/>
            <w:vAlign w:val="bottom"/>
          </w:tcPr>
          <w:p w14:paraId="1950315D" w14:textId="77777777" w:rsidR="00BF3A3A" w:rsidRDefault="00BF3A3A">
            <w:pPr>
              <w:rPr>
                <w:rFonts w:ascii="宋体"/>
              </w:rPr>
            </w:pPr>
          </w:p>
        </w:tc>
        <w:tc>
          <w:tcPr>
            <w:tcW w:w="5" w:type="pct"/>
            <w:shd w:val="clear" w:color="auto" w:fill="auto"/>
            <w:vAlign w:val="bottom"/>
          </w:tcPr>
          <w:p w14:paraId="1950315E" w14:textId="77777777" w:rsidR="00BF3A3A" w:rsidRDefault="00BF3A3A">
            <w:pPr>
              <w:rPr>
                <w:rFonts w:ascii="宋体"/>
              </w:rPr>
            </w:pPr>
          </w:p>
        </w:tc>
      </w:tr>
      <w:tr w:rsidR="00BF3A3A" w14:paraId="19503164" w14:textId="77777777">
        <w:tc>
          <w:tcPr>
            <w:tcW w:w="0" w:type="auto"/>
            <w:gridSpan w:val="3"/>
            <w:shd w:val="clear" w:color="auto" w:fill="auto"/>
            <w:tcMar>
              <w:top w:w="0" w:type="dxa"/>
              <w:left w:w="20" w:type="dxa"/>
              <w:bottom w:w="0" w:type="dxa"/>
              <w:right w:w="20" w:type="dxa"/>
            </w:tcMar>
            <w:vAlign w:val="bottom"/>
          </w:tcPr>
          <w:p w14:paraId="19503160"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161" w14:textId="77777777" w:rsidR="00BF3A3A" w:rsidRDefault="00A76802">
            <w:pPr>
              <w:jc w:val="center"/>
              <w:textAlignment w:val="bottom"/>
            </w:pPr>
            <w:r>
              <w:rPr>
                <w:rFonts w:ascii="sans-serif" w:eastAsia="sans-serif" w:hAnsi="sans-serif" w:cs="sans-serif"/>
                <w:b/>
                <w:bCs/>
                <w:color w:val="000000"/>
                <w:sz w:val="20"/>
                <w:szCs w:val="20"/>
              </w:rPr>
              <w:t>July 31,</w:t>
            </w:r>
          </w:p>
        </w:tc>
        <w:tc>
          <w:tcPr>
            <w:tcW w:w="0" w:type="auto"/>
            <w:gridSpan w:val="3"/>
            <w:shd w:val="clear" w:color="auto" w:fill="auto"/>
            <w:tcMar>
              <w:top w:w="0" w:type="dxa"/>
              <w:left w:w="20" w:type="dxa"/>
              <w:bottom w:w="0" w:type="dxa"/>
              <w:right w:w="20" w:type="dxa"/>
            </w:tcMar>
            <w:vAlign w:val="bottom"/>
          </w:tcPr>
          <w:p w14:paraId="19503162"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163" w14:textId="77777777" w:rsidR="00BF3A3A" w:rsidRDefault="00A76802">
            <w:pPr>
              <w:jc w:val="center"/>
              <w:textAlignment w:val="bottom"/>
            </w:pPr>
            <w:r>
              <w:rPr>
                <w:rFonts w:ascii="sans-serif" w:eastAsia="sans-serif" w:hAnsi="sans-serif" w:cs="sans-serif"/>
                <w:b/>
                <w:bCs/>
                <w:color w:val="000000"/>
                <w:sz w:val="20"/>
                <w:szCs w:val="20"/>
              </w:rPr>
              <w:t>January 30,</w:t>
            </w:r>
          </w:p>
        </w:tc>
      </w:tr>
      <w:tr w:rsidR="00BF3A3A" w14:paraId="19503169" w14:textId="77777777">
        <w:tc>
          <w:tcPr>
            <w:tcW w:w="0" w:type="auto"/>
            <w:gridSpan w:val="3"/>
            <w:shd w:val="clear" w:color="auto" w:fill="auto"/>
            <w:tcMar>
              <w:top w:w="40" w:type="dxa"/>
              <w:left w:w="20" w:type="dxa"/>
              <w:bottom w:w="40" w:type="dxa"/>
              <w:right w:w="20" w:type="dxa"/>
            </w:tcMar>
            <w:vAlign w:val="bottom"/>
          </w:tcPr>
          <w:p w14:paraId="19503165"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9503166" w14:textId="77777777" w:rsidR="00BF3A3A" w:rsidRDefault="00A76802">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19503167"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168" w14:textId="77777777" w:rsidR="00BF3A3A" w:rsidRDefault="00A76802">
            <w:pPr>
              <w:jc w:val="center"/>
              <w:textAlignment w:val="bottom"/>
            </w:pPr>
            <w:r>
              <w:rPr>
                <w:rFonts w:ascii="sans-serif" w:eastAsia="sans-serif" w:hAnsi="sans-serif" w:cs="sans-serif"/>
                <w:b/>
                <w:bCs/>
                <w:color w:val="000000"/>
                <w:sz w:val="20"/>
                <w:szCs w:val="20"/>
              </w:rPr>
              <w:t>2022</w:t>
            </w:r>
          </w:p>
        </w:tc>
      </w:tr>
      <w:tr w:rsidR="00BF3A3A" w14:paraId="1950316E" w14:textId="77777777">
        <w:trPr>
          <w:trHeight w:val="60"/>
        </w:trPr>
        <w:tc>
          <w:tcPr>
            <w:tcW w:w="0" w:type="auto"/>
            <w:gridSpan w:val="3"/>
            <w:shd w:val="clear" w:color="auto" w:fill="auto"/>
            <w:tcMar>
              <w:top w:w="0" w:type="dxa"/>
              <w:left w:w="20" w:type="dxa"/>
              <w:bottom w:w="0" w:type="dxa"/>
              <w:right w:w="20" w:type="dxa"/>
            </w:tcMar>
            <w:vAlign w:val="bottom"/>
          </w:tcPr>
          <w:p w14:paraId="1950316A"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16B"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16C"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16D" w14:textId="77777777" w:rsidR="00BF3A3A" w:rsidRDefault="00BF3A3A">
            <w:pPr>
              <w:rPr>
                <w:rFonts w:ascii="宋体"/>
              </w:rPr>
            </w:pPr>
          </w:p>
        </w:tc>
      </w:tr>
      <w:tr w:rsidR="00BF3A3A" w14:paraId="19503171" w14:textId="77777777">
        <w:tc>
          <w:tcPr>
            <w:tcW w:w="0" w:type="auto"/>
            <w:gridSpan w:val="3"/>
            <w:shd w:val="clear" w:color="auto" w:fill="auto"/>
            <w:tcMar>
              <w:top w:w="40" w:type="dxa"/>
              <w:left w:w="20" w:type="dxa"/>
              <w:bottom w:w="40" w:type="dxa"/>
              <w:right w:w="20" w:type="dxa"/>
            </w:tcMar>
            <w:vAlign w:val="bottom"/>
          </w:tcPr>
          <w:p w14:paraId="1950316F" w14:textId="77777777" w:rsidR="00BF3A3A" w:rsidRDefault="00A76802">
            <w:pPr>
              <w:textAlignment w:val="bottom"/>
            </w:pPr>
            <w:r>
              <w:rPr>
                <w:rFonts w:ascii="sans-serif" w:eastAsia="sans-serif" w:hAnsi="sans-serif" w:cs="sans-serif"/>
                <w:b/>
                <w:bCs/>
                <w:color w:val="000000"/>
                <w:sz w:val="20"/>
                <w:szCs w:val="20"/>
              </w:rPr>
              <w:t>Other assets:</w:t>
            </w:r>
          </w:p>
        </w:tc>
        <w:tc>
          <w:tcPr>
            <w:tcW w:w="0" w:type="auto"/>
            <w:gridSpan w:val="9"/>
            <w:shd w:val="clear" w:color="auto" w:fill="auto"/>
            <w:tcMar>
              <w:top w:w="40" w:type="dxa"/>
              <w:left w:w="20" w:type="dxa"/>
              <w:bottom w:w="40" w:type="dxa"/>
              <w:right w:w="20" w:type="dxa"/>
            </w:tcMar>
            <w:vAlign w:val="bottom"/>
          </w:tcPr>
          <w:p w14:paraId="19503170" w14:textId="77777777" w:rsidR="00BF3A3A" w:rsidRDefault="00A76802">
            <w:pPr>
              <w:jc w:val="center"/>
              <w:textAlignment w:val="bottom"/>
            </w:pPr>
            <w:r>
              <w:rPr>
                <w:rFonts w:ascii="sans-serif" w:eastAsia="sans-serif" w:hAnsi="sans-serif" w:cs="sans-serif"/>
                <w:i/>
                <w:iCs/>
                <w:color w:val="000000"/>
                <w:sz w:val="20"/>
                <w:szCs w:val="20"/>
              </w:rPr>
              <w:t>(In millions)</w:t>
            </w:r>
          </w:p>
        </w:tc>
      </w:tr>
      <w:tr w:rsidR="00BF3A3A" w14:paraId="1950317A" w14:textId="77777777">
        <w:tc>
          <w:tcPr>
            <w:tcW w:w="0" w:type="auto"/>
            <w:gridSpan w:val="3"/>
            <w:shd w:val="clear" w:color="auto" w:fill="E2EFD9"/>
            <w:tcMar>
              <w:top w:w="40" w:type="dxa"/>
              <w:left w:w="20" w:type="dxa"/>
              <w:bottom w:w="40" w:type="dxa"/>
              <w:right w:w="20" w:type="dxa"/>
            </w:tcMar>
            <w:vAlign w:val="bottom"/>
          </w:tcPr>
          <w:p w14:paraId="19503172" w14:textId="77777777" w:rsidR="00BF3A3A" w:rsidRDefault="00A76802">
            <w:pPr>
              <w:textAlignment w:val="bottom"/>
            </w:pPr>
            <w:r>
              <w:rPr>
                <w:rFonts w:ascii="sans-serif" w:eastAsia="sans-serif" w:hAnsi="sans-serif" w:cs="sans-serif"/>
                <w:color w:val="000000"/>
                <w:sz w:val="20"/>
                <w:szCs w:val="20"/>
              </w:rPr>
              <w:t>Prepaid supply agreements</w:t>
            </w:r>
          </w:p>
        </w:tc>
        <w:tc>
          <w:tcPr>
            <w:tcW w:w="0" w:type="auto"/>
            <w:shd w:val="clear" w:color="auto" w:fill="E2EFD9"/>
            <w:tcMar>
              <w:top w:w="40" w:type="dxa"/>
              <w:left w:w="20" w:type="dxa"/>
              <w:bottom w:w="40" w:type="dxa"/>
              <w:right w:w="0" w:type="dxa"/>
            </w:tcMar>
            <w:vAlign w:val="bottom"/>
          </w:tcPr>
          <w:p w14:paraId="19503173"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174" w14:textId="77777777" w:rsidR="00BF3A3A" w:rsidRDefault="00A76802">
            <w:pPr>
              <w:jc w:val="right"/>
              <w:textAlignment w:val="bottom"/>
            </w:pPr>
            <w:r>
              <w:rPr>
                <w:rFonts w:ascii="sans-serif" w:eastAsia="sans-serif" w:hAnsi="sans-serif" w:cs="sans-serif"/>
                <w:color w:val="000000"/>
                <w:sz w:val="20"/>
                <w:szCs w:val="20"/>
              </w:rPr>
              <w:t>2,523 </w:t>
            </w:r>
          </w:p>
        </w:tc>
        <w:tc>
          <w:tcPr>
            <w:tcW w:w="0" w:type="auto"/>
            <w:shd w:val="clear" w:color="auto" w:fill="E2EFD9"/>
            <w:tcMar>
              <w:top w:w="40" w:type="dxa"/>
              <w:left w:w="0" w:type="dxa"/>
              <w:bottom w:w="40" w:type="dxa"/>
              <w:right w:w="20" w:type="dxa"/>
            </w:tcMar>
            <w:vAlign w:val="bottom"/>
          </w:tcPr>
          <w:p w14:paraId="1950317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176"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177"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178" w14:textId="77777777" w:rsidR="00BF3A3A" w:rsidRDefault="00A76802">
            <w:pPr>
              <w:jc w:val="right"/>
              <w:textAlignment w:val="bottom"/>
            </w:pPr>
            <w:r>
              <w:rPr>
                <w:rFonts w:ascii="sans-serif" w:eastAsia="sans-serif" w:hAnsi="sans-serif" w:cs="sans-serif"/>
                <w:color w:val="000000"/>
                <w:sz w:val="20"/>
                <w:szCs w:val="20"/>
              </w:rPr>
              <w:t>1,747 </w:t>
            </w:r>
          </w:p>
        </w:tc>
        <w:tc>
          <w:tcPr>
            <w:tcW w:w="0" w:type="auto"/>
            <w:shd w:val="clear" w:color="auto" w:fill="E2EFD9"/>
            <w:tcMar>
              <w:top w:w="40" w:type="dxa"/>
              <w:left w:w="0" w:type="dxa"/>
              <w:bottom w:w="40" w:type="dxa"/>
              <w:right w:w="20" w:type="dxa"/>
            </w:tcMar>
            <w:vAlign w:val="bottom"/>
          </w:tcPr>
          <w:p w14:paraId="19503179" w14:textId="77777777" w:rsidR="00BF3A3A" w:rsidRDefault="00BF3A3A">
            <w:pPr>
              <w:jc w:val="right"/>
              <w:rPr>
                <w:rFonts w:ascii="宋体"/>
              </w:rPr>
            </w:pPr>
          </w:p>
        </w:tc>
      </w:tr>
      <w:tr w:rsidR="00BF3A3A" w14:paraId="19503181" w14:textId="77777777">
        <w:tc>
          <w:tcPr>
            <w:tcW w:w="0" w:type="auto"/>
            <w:gridSpan w:val="3"/>
            <w:shd w:val="clear" w:color="auto" w:fill="FFFFFF"/>
            <w:tcMar>
              <w:top w:w="40" w:type="dxa"/>
              <w:left w:w="20" w:type="dxa"/>
              <w:bottom w:w="40" w:type="dxa"/>
              <w:right w:w="20" w:type="dxa"/>
            </w:tcMar>
            <w:vAlign w:val="bottom"/>
          </w:tcPr>
          <w:p w14:paraId="1950317B" w14:textId="77777777" w:rsidR="00BF3A3A" w:rsidRDefault="00A76802">
            <w:pPr>
              <w:textAlignment w:val="bottom"/>
            </w:pPr>
            <w:r>
              <w:rPr>
                <w:rFonts w:ascii="sans-serif" w:eastAsia="sans-serif" w:hAnsi="sans-serif" w:cs="sans-serif"/>
                <w:color w:val="000000"/>
                <w:sz w:val="20"/>
                <w:szCs w:val="20"/>
              </w:rPr>
              <w:t>Prepaid royalties</w:t>
            </w:r>
          </w:p>
        </w:tc>
        <w:tc>
          <w:tcPr>
            <w:tcW w:w="0" w:type="auto"/>
            <w:gridSpan w:val="2"/>
            <w:shd w:val="clear" w:color="auto" w:fill="FFFFFF"/>
            <w:tcMar>
              <w:top w:w="40" w:type="dxa"/>
              <w:left w:w="20" w:type="dxa"/>
              <w:bottom w:w="40" w:type="dxa"/>
              <w:right w:w="0" w:type="dxa"/>
            </w:tcMar>
            <w:vAlign w:val="bottom"/>
          </w:tcPr>
          <w:p w14:paraId="1950317C" w14:textId="77777777" w:rsidR="00BF3A3A" w:rsidRDefault="00A76802">
            <w:pPr>
              <w:jc w:val="right"/>
              <w:textAlignment w:val="bottom"/>
            </w:pPr>
            <w:r>
              <w:rPr>
                <w:rFonts w:ascii="sans-serif" w:eastAsia="sans-serif" w:hAnsi="sans-serif" w:cs="sans-serif"/>
                <w:color w:val="000000"/>
                <w:sz w:val="20"/>
                <w:szCs w:val="20"/>
              </w:rPr>
              <w:t>399 </w:t>
            </w:r>
          </w:p>
        </w:tc>
        <w:tc>
          <w:tcPr>
            <w:tcW w:w="0" w:type="auto"/>
            <w:shd w:val="clear" w:color="auto" w:fill="FFFFFF"/>
            <w:tcMar>
              <w:top w:w="40" w:type="dxa"/>
              <w:left w:w="0" w:type="dxa"/>
              <w:bottom w:w="40" w:type="dxa"/>
              <w:right w:w="20" w:type="dxa"/>
            </w:tcMar>
            <w:vAlign w:val="bottom"/>
          </w:tcPr>
          <w:p w14:paraId="1950317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17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17F" w14:textId="77777777" w:rsidR="00BF3A3A" w:rsidRDefault="00A76802">
            <w:pPr>
              <w:jc w:val="right"/>
              <w:textAlignment w:val="bottom"/>
            </w:pPr>
            <w:r>
              <w:rPr>
                <w:rFonts w:ascii="sans-serif" w:eastAsia="sans-serif" w:hAnsi="sans-serif" w:cs="sans-serif"/>
                <w:color w:val="000000"/>
                <w:sz w:val="20"/>
                <w:szCs w:val="20"/>
              </w:rPr>
              <w:t>409 </w:t>
            </w:r>
          </w:p>
        </w:tc>
        <w:tc>
          <w:tcPr>
            <w:tcW w:w="0" w:type="auto"/>
            <w:shd w:val="clear" w:color="auto" w:fill="FFFFFF"/>
            <w:tcMar>
              <w:top w:w="40" w:type="dxa"/>
              <w:left w:w="0" w:type="dxa"/>
              <w:bottom w:w="40" w:type="dxa"/>
              <w:right w:w="20" w:type="dxa"/>
            </w:tcMar>
            <w:vAlign w:val="bottom"/>
          </w:tcPr>
          <w:p w14:paraId="19503180" w14:textId="77777777" w:rsidR="00BF3A3A" w:rsidRDefault="00BF3A3A">
            <w:pPr>
              <w:jc w:val="right"/>
              <w:rPr>
                <w:rFonts w:ascii="宋体"/>
              </w:rPr>
            </w:pPr>
          </w:p>
        </w:tc>
      </w:tr>
      <w:tr w:rsidR="00BF3A3A" w14:paraId="19503188" w14:textId="77777777">
        <w:tc>
          <w:tcPr>
            <w:tcW w:w="0" w:type="auto"/>
            <w:gridSpan w:val="3"/>
            <w:shd w:val="clear" w:color="auto" w:fill="E2EFD9"/>
            <w:tcMar>
              <w:top w:w="40" w:type="dxa"/>
              <w:left w:w="20" w:type="dxa"/>
              <w:bottom w:w="40" w:type="dxa"/>
              <w:right w:w="20" w:type="dxa"/>
            </w:tcMar>
            <w:vAlign w:val="bottom"/>
          </w:tcPr>
          <w:p w14:paraId="19503182" w14:textId="77777777" w:rsidR="00BF3A3A" w:rsidRDefault="00A76802">
            <w:pPr>
              <w:textAlignment w:val="bottom"/>
            </w:pPr>
            <w:r>
              <w:rPr>
                <w:rFonts w:ascii="sans-serif" w:eastAsia="sans-serif" w:hAnsi="sans-serif" w:cs="sans-serif"/>
                <w:color w:val="000000"/>
                <w:sz w:val="20"/>
                <w:szCs w:val="20"/>
              </w:rPr>
              <w:t>Investment in non-affiliated entities</w:t>
            </w:r>
          </w:p>
        </w:tc>
        <w:tc>
          <w:tcPr>
            <w:tcW w:w="0" w:type="auto"/>
            <w:gridSpan w:val="2"/>
            <w:shd w:val="clear" w:color="auto" w:fill="E2EFD9"/>
            <w:tcMar>
              <w:top w:w="40" w:type="dxa"/>
              <w:left w:w="20" w:type="dxa"/>
              <w:bottom w:w="40" w:type="dxa"/>
              <w:right w:w="0" w:type="dxa"/>
            </w:tcMar>
            <w:vAlign w:val="bottom"/>
          </w:tcPr>
          <w:p w14:paraId="19503183" w14:textId="77777777" w:rsidR="00BF3A3A" w:rsidRDefault="00A76802">
            <w:pPr>
              <w:jc w:val="right"/>
              <w:textAlignment w:val="bottom"/>
            </w:pPr>
            <w:r>
              <w:rPr>
                <w:rFonts w:ascii="sans-serif" w:eastAsia="sans-serif" w:hAnsi="sans-serif" w:cs="sans-serif"/>
                <w:color w:val="000000"/>
                <w:sz w:val="20"/>
                <w:szCs w:val="20"/>
              </w:rPr>
              <w:t>307 </w:t>
            </w:r>
          </w:p>
        </w:tc>
        <w:tc>
          <w:tcPr>
            <w:tcW w:w="0" w:type="auto"/>
            <w:shd w:val="clear" w:color="auto" w:fill="E2EFD9"/>
            <w:tcMar>
              <w:top w:w="40" w:type="dxa"/>
              <w:left w:w="0" w:type="dxa"/>
              <w:bottom w:w="40" w:type="dxa"/>
              <w:right w:w="20" w:type="dxa"/>
            </w:tcMar>
            <w:vAlign w:val="bottom"/>
          </w:tcPr>
          <w:p w14:paraId="1950318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185"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186" w14:textId="77777777" w:rsidR="00BF3A3A" w:rsidRDefault="00A76802">
            <w:pPr>
              <w:jc w:val="right"/>
              <w:textAlignment w:val="bottom"/>
            </w:pPr>
            <w:r>
              <w:rPr>
                <w:rFonts w:ascii="sans-serif" w:eastAsia="sans-serif" w:hAnsi="sans-serif" w:cs="sans-serif"/>
                <w:color w:val="000000"/>
                <w:sz w:val="20"/>
                <w:szCs w:val="20"/>
              </w:rPr>
              <w:t>266 </w:t>
            </w:r>
          </w:p>
        </w:tc>
        <w:tc>
          <w:tcPr>
            <w:tcW w:w="0" w:type="auto"/>
            <w:shd w:val="clear" w:color="auto" w:fill="E2EFD9"/>
            <w:tcMar>
              <w:top w:w="40" w:type="dxa"/>
              <w:left w:w="0" w:type="dxa"/>
              <w:bottom w:w="40" w:type="dxa"/>
              <w:right w:w="20" w:type="dxa"/>
            </w:tcMar>
            <w:vAlign w:val="bottom"/>
          </w:tcPr>
          <w:p w14:paraId="19503187" w14:textId="77777777" w:rsidR="00BF3A3A" w:rsidRDefault="00BF3A3A">
            <w:pPr>
              <w:jc w:val="right"/>
              <w:rPr>
                <w:rFonts w:ascii="宋体"/>
              </w:rPr>
            </w:pPr>
          </w:p>
        </w:tc>
      </w:tr>
      <w:tr w:rsidR="00BF3A3A" w14:paraId="1950318D" w14:textId="77777777">
        <w:trPr>
          <w:hidden/>
        </w:trPr>
        <w:tc>
          <w:tcPr>
            <w:tcW w:w="0" w:type="auto"/>
            <w:gridSpan w:val="3"/>
            <w:shd w:val="clear" w:color="auto" w:fill="auto"/>
            <w:vAlign w:val="bottom"/>
          </w:tcPr>
          <w:p w14:paraId="19503189" w14:textId="77777777" w:rsidR="00BF3A3A" w:rsidRDefault="00BF3A3A">
            <w:pPr>
              <w:rPr>
                <w:rFonts w:ascii="宋体"/>
                <w:vanish/>
              </w:rPr>
            </w:pPr>
          </w:p>
        </w:tc>
        <w:tc>
          <w:tcPr>
            <w:tcW w:w="0" w:type="auto"/>
            <w:gridSpan w:val="3"/>
            <w:shd w:val="clear" w:color="auto" w:fill="auto"/>
            <w:vAlign w:val="bottom"/>
          </w:tcPr>
          <w:p w14:paraId="1950318A" w14:textId="77777777" w:rsidR="00BF3A3A" w:rsidRDefault="00BF3A3A">
            <w:pPr>
              <w:rPr>
                <w:rFonts w:ascii="宋体"/>
                <w:vanish/>
              </w:rPr>
            </w:pPr>
          </w:p>
        </w:tc>
        <w:tc>
          <w:tcPr>
            <w:tcW w:w="0" w:type="auto"/>
            <w:gridSpan w:val="3"/>
            <w:shd w:val="clear" w:color="auto" w:fill="auto"/>
            <w:vAlign w:val="bottom"/>
          </w:tcPr>
          <w:p w14:paraId="1950318B" w14:textId="77777777" w:rsidR="00BF3A3A" w:rsidRDefault="00BF3A3A">
            <w:pPr>
              <w:rPr>
                <w:rFonts w:ascii="宋体"/>
                <w:vanish/>
              </w:rPr>
            </w:pPr>
          </w:p>
        </w:tc>
        <w:tc>
          <w:tcPr>
            <w:tcW w:w="0" w:type="auto"/>
            <w:gridSpan w:val="3"/>
            <w:shd w:val="clear" w:color="auto" w:fill="auto"/>
            <w:vAlign w:val="bottom"/>
          </w:tcPr>
          <w:p w14:paraId="1950318C" w14:textId="77777777" w:rsidR="00BF3A3A" w:rsidRDefault="00BF3A3A">
            <w:pPr>
              <w:rPr>
                <w:rFonts w:ascii="宋体"/>
                <w:vanish/>
              </w:rPr>
            </w:pPr>
          </w:p>
        </w:tc>
      </w:tr>
      <w:tr w:rsidR="00BF3A3A" w14:paraId="19503192" w14:textId="77777777">
        <w:trPr>
          <w:hidden/>
        </w:trPr>
        <w:tc>
          <w:tcPr>
            <w:tcW w:w="0" w:type="auto"/>
            <w:gridSpan w:val="3"/>
            <w:shd w:val="clear" w:color="auto" w:fill="auto"/>
            <w:vAlign w:val="bottom"/>
          </w:tcPr>
          <w:p w14:paraId="1950318E" w14:textId="77777777" w:rsidR="00BF3A3A" w:rsidRDefault="00BF3A3A">
            <w:pPr>
              <w:rPr>
                <w:rFonts w:ascii="宋体"/>
                <w:vanish/>
              </w:rPr>
            </w:pPr>
          </w:p>
        </w:tc>
        <w:tc>
          <w:tcPr>
            <w:tcW w:w="0" w:type="auto"/>
            <w:gridSpan w:val="3"/>
            <w:shd w:val="clear" w:color="auto" w:fill="auto"/>
            <w:vAlign w:val="bottom"/>
          </w:tcPr>
          <w:p w14:paraId="1950318F" w14:textId="77777777" w:rsidR="00BF3A3A" w:rsidRDefault="00BF3A3A">
            <w:pPr>
              <w:rPr>
                <w:rFonts w:ascii="宋体"/>
                <w:vanish/>
              </w:rPr>
            </w:pPr>
          </w:p>
        </w:tc>
        <w:tc>
          <w:tcPr>
            <w:tcW w:w="0" w:type="auto"/>
            <w:gridSpan w:val="3"/>
            <w:shd w:val="clear" w:color="auto" w:fill="auto"/>
            <w:vAlign w:val="bottom"/>
          </w:tcPr>
          <w:p w14:paraId="19503190" w14:textId="77777777" w:rsidR="00BF3A3A" w:rsidRDefault="00BF3A3A">
            <w:pPr>
              <w:rPr>
                <w:rFonts w:ascii="宋体"/>
                <w:vanish/>
              </w:rPr>
            </w:pPr>
          </w:p>
        </w:tc>
        <w:tc>
          <w:tcPr>
            <w:tcW w:w="0" w:type="auto"/>
            <w:gridSpan w:val="3"/>
            <w:shd w:val="clear" w:color="auto" w:fill="auto"/>
            <w:vAlign w:val="bottom"/>
          </w:tcPr>
          <w:p w14:paraId="19503191" w14:textId="77777777" w:rsidR="00BF3A3A" w:rsidRDefault="00BF3A3A">
            <w:pPr>
              <w:rPr>
                <w:rFonts w:ascii="宋体"/>
                <w:vanish/>
              </w:rPr>
            </w:pPr>
          </w:p>
        </w:tc>
      </w:tr>
      <w:tr w:rsidR="00BF3A3A" w14:paraId="19503199" w14:textId="77777777">
        <w:tc>
          <w:tcPr>
            <w:tcW w:w="0" w:type="auto"/>
            <w:gridSpan w:val="3"/>
            <w:shd w:val="clear" w:color="auto" w:fill="FFFFFF"/>
            <w:tcMar>
              <w:top w:w="40" w:type="dxa"/>
              <w:left w:w="20" w:type="dxa"/>
              <w:bottom w:w="40" w:type="dxa"/>
              <w:right w:w="20" w:type="dxa"/>
            </w:tcMar>
            <w:vAlign w:val="bottom"/>
          </w:tcPr>
          <w:p w14:paraId="19503193" w14:textId="77777777" w:rsidR="00BF3A3A" w:rsidRDefault="00A76802">
            <w:pPr>
              <w:textAlignment w:val="bottom"/>
            </w:pPr>
            <w:r>
              <w:rPr>
                <w:rFonts w:ascii="sans-serif" w:eastAsia="sans-serif" w:hAnsi="sans-serif" w:cs="sans-serif"/>
                <w:color w:val="000000"/>
                <w:sz w:val="20"/>
                <w:szCs w:val="20"/>
              </w:rPr>
              <w:t>Advanced consideration for acquisition (1)</w:t>
            </w:r>
          </w:p>
        </w:tc>
        <w:tc>
          <w:tcPr>
            <w:tcW w:w="0" w:type="auto"/>
            <w:gridSpan w:val="2"/>
            <w:shd w:val="clear" w:color="auto" w:fill="FFFFFF"/>
            <w:tcMar>
              <w:top w:w="40" w:type="dxa"/>
              <w:left w:w="20" w:type="dxa"/>
              <w:bottom w:w="40" w:type="dxa"/>
              <w:right w:w="0" w:type="dxa"/>
            </w:tcMar>
            <w:vAlign w:val="bottom"/>
          </w:tcPr>
          <w:p w14:paraId="19503194"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3195"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196"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197" w14:textId="77777777" w:rsidR="00BF3A3A" w:rsidRDefault="00A76802">
            <w:pPr>
              <w:jc w:val="right"/>
              <w:textAlignment w:val="bottom"/>
            </w:pPr>
            <w:r>
              <w:rPr>
                <w:rFonts w:ascii="sans-serif" w:eastAsia="sans-serif" w:hAnsi="sans-serif" w:cs="sans-serif"/>
                <w:color w:val="000000"/>
                <w:sz w:val="20"/>
                <w:szCs w:val="20"/>
              </w:rPr>
              <w:t>1,353 </w:t>
            </w:r>
          </w:p>
        </w:tc>
        <w:tc>
          <w:tcPr>
            <w:tcW w:w="0" w:type="auto"/>
            <w:shd w:val="clear" w:color="auto" w:fill="FFFFFF"/>
            <w:tcMar>
              <w:top w:w="40" w:type="dxa"/>
              <w:left w:w="0" w:type="dxa"/>
              <w:bottom w:w="40" w:type="dxa"/>
              <w:right w:w="20" w:type="dxa"/>
            </w:tcMar>
            <w:vAlign w:val="bottom"/>
          </w:tcPr>
          <w:p w14:paraId="19503198" w14:textId="77777777" w:rsidR="00BF3A3A" w:rsidRDefault="00BF3A3A">
            <w:pPr>
              <w:jc w:val="right"/>
              <w:rPr>
                <w:rFonts w:ascii="宋体"/>
              </w:rPr>
            </w:pPr>
          </w:p>
        </w:tc>
      </w:tr>
      <w:tr w:rsidR="00BF3A3A" w14:paraId="195031A0" w14:textId="77777777">
        <w:tc>
          <w:tcPr>
            <w:tcW w:w="0" w:type="auto"/>
            <w:gridSpan w:val="3"/>
            <w:shd w:val="clear" w:color="auto" w:fill="E2EFD9"/>
            <w:tcMar>
              <w:top w:w="40" w:type="dxa"/>
              <w:left w:w="20" w:type="dxa"/>
              <w:bottom w:w="40" w:type="dxa"/>
              <w:right w:w="20" w:type="dxa"/>
            </w:tcMar>
            <w:vAlign w:val="bottom"/>
          </w:tcPr>
          <w:p w14:paraId="1950319A" w14:textId="77777777" w:rsidR="00BF3A3A" w:rsidRDefault="00A76802">
            <w:pPr>
              <w:textAlignment w:val="bottom"/>
            </w:pPr>
            <w:r>
              <w:rPr>
                <w:rFonts w:ascii="sans-serif" w:eastAsia="sans-serif" w:hAnsi="sans-serif" w:cs="sans-serif"/>
                <w:color w:val="000000"/>
                <w:sz w:val="20"/>
                <w:szCs w:val="20"/>
              </w:rPr>
              <w:t>Other</w:t>
            </w:r>
          </w:p>
        </w:tc>
        <w:tc>
          <w:tcPr>
            <w:tcW w:w="0" w:type="auto"/>
            <w:gridSpan w:val="2"/>
            <w:shd w:val="clear" w:color="auto" w:fill="E2EFD9"/>
            <w:tcMar>
              <w:top w:w="40" w:type="dxa"/>
              <w:left w:w="20" w:type="dxa"/>
              <w:bottom w:w="40" w:type="dxa"/>
              <w:right w:w="0" w:type="dxa"/>
            </w:tcMar>
            <w:vAlign w:val="bottom"/>
          </w:tcPr>
          <w:p w14:paraId="1950319B" w14:textId="77777777" w:rsidR="00BF3A3A" w:rsidRDefault="00A76802">
            <w:pPr>
              <w:jc w:val="right"/>
              <w:textAlignment w:val="bottom"/>
            </w:pPr>
            <w:r>
              <w:rPr>
                <w:rFonts w:ascii="sans-serif" w:eastAsia="sans-serif" w:hAnsi="sans-serif" w:cs="sans-serif"/>
                <w:color w:val="000000"/>
                <w:sz w:val="20"/>
                <w:szCs w:val="20"/>
              </w:rPr>
              <w:t>111 </w:t>
            </w:r>
          </w:p>
        </w:tc>
        <w:tc>
          <w:tcPr>
            <w:tcW w:w="0" w:type="auto"/>
            <w:shd w:val="clear" w:color="auto" w:fill="E2EFD9"/>
            <w:tcMar>
              <w:top w:w="40" w:type="dxa"/>
              <w:left w:w="0" w:type="dxa"/>
              <w:bottom w:w="40" w:type="dxa"/>
              <w:right w:w="20" w:type="dxa"/>
            </w:tcMar>
            <w:vAlign w:val="bottom"/>
          </w:tcPr>
          <w:p w14:paraId="1950319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19D"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19E" w14:textId="77777777" w:rsidR="00BF3A3A" w:rsidRDefault="00A76802">
            <w:pPr>
              <w:jc w:val="right"/>
              <w:textAlignment w:val="bottom"/>
            </w:pPr>
            <w:r>
              <w:rPr>
                <w:rFonts w:ascii="sans-serif" w:eastAsia="sans-serif" w:hAnsi="sans-serif" w:cs="sans-serif"/>
                <w:color w:val="000000"/>
                <w:sz w:val="20"/>
                <w:szCs w:val="20"/>
              </w:rPr>
              <w:t>66 </w:t>
            </w:r>
          </w:p>
        </w:tc>
        <w:tc>
          <w:tcPr>
            <w:tcW w:w="0" w:type="auto"/>
            <w:shd w:val="clear" w:color="auto" w:fill="E2EFD9"/>
            <w:tcMar>
              <w:top w:w="40" w:type="dxa"/>
              <w:left w:w="0" w:type="dxa"/>
              <w:bottom w:w="40" w:type="dxa"/>
              <w:right w:w="20" w:type="dxa"/>
            </w:tcMar>
            <w:vAlign w:val="bottom"/>
          </w:tcPr>
          <w:p w14:paraId="1950319F" w14:textId="77777777" w:rsidR="00BF3A3A" w:rsidRDefault="00BF3A3A">
            <w:pPr>
              <w:jc w:val="right"/>
              <w:rPr>
                <w:rFonts w:ascii="宋体"/>
              </w:rPr>
            </w:pPr>
          </w:p>
        </w:tc>
      </w:tr>
      <w:tr w:rsidR="00BF3A3A" w14:paraId="195031A9" w14:textId="77777777">
        <w:tc>
          <w:tcPr>
            <w:tcW w:w="0" w:type="auto"/>
            <w:gridSpan w:val="3"/>
            <w:shd w:val="clear" w:color="auto" w:fill="FFFFFF"/>
            <w:tcMar>
              <w:top w:w="40" w:type="dxa"/>
              <w:left w:w="380" w:type="dxa"/>
              <w:bottom w:w="40" w:type="dxa"/>
              <w:right w:w="20" w:type="dxa"/>
            </w:tcMar>
            <w:vAlign w:val="bottom"/>
          </w:tcPr>
          <w:p w14:paraId="195031A1" w14:textId="77777777" w:rsidR="00BF3A3A" w:rsidRDefault="00A76802">
            <w:pPr>
              <w:textAlignment w:val="bottom"/>
            </w:pPr>
            <w:r>
              <w:rPr>
                <w:rFonts w:ascii="sans-serif" w:eastAsia="sans-serif" w:hAnsi="sans-serif" w:cs="sans-serif"/>
                <w:color w:val="000000"/>
                <w:sz w:val="20"/>
                <w:szCs w:val="20"/>
              </w:rPr>
              <w:t>Total other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1A2"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31A3" w14:textId="77777777" w:rsidR="00BF3A3A" w:rsidRDefault="00A76802">
            <w:pPr>
              <w:jc w:val="right"/>
              <w:textAlignment w:val="bottom"/>
            </w:pPr>
            <w:r>
              <w:rPr>
                <w:rFonts w:ascii="sans-serif" w:eastAsia="sans-serif" w:hAnsi="sans-serif" w:cs="sans-serif"/>
                <w:color w:val="000000"/>
                <w:sz w:val="20"/>
                <w:szCs w:val="20"/>
              </w:rPr>
              <w:t>3,340 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1A4"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1A5"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1A6"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31A7" w14:textId="77777777" w:rsidR="00BF3A3A" w:rsidRDefault="00A76802">
            <w:pPr>
              <w:jc w:val="right"/>
              <w:textAlignment w:val="bottom"/>
            </w:pPr>
            <w:r>
              <w:rPr>
                <w:rFonts w:ascii="sans-serif" w:eastAsia="sans-serif" w:hAnsi="sans-serif" w:cs="sans-serif"/>
                <w:color w:val="000000"/>
                <w:sz w:val="20"/>
                <w:szCs w:val="20"/>
              </w:rPr>
              <w:t>3,841 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1A8" w14:textId="77777777" w:rsidR="00BF3A3A" w:rsidRDefault="00BF3A3A">
            <w:pPr>
              <w:jc w:val="right"/>
              <w:rPr>
                <w:rFonts w:ascii="宋体"/>
              </w:rPr>
            </w:pPr>
          </w:p>
        </w:tc>
      </w:tr>
    </w:tbl>
    <w:p w14:paraId="195031AA" w14:textId="77777777" w:rsidR="00BF3A3A" w:rsidRDefault="00A76802">
      <w:pPr>
        <w:spacing w:after="180"/>
        <w:ind w:hanging="360"/>
      </w:pPr>
      <w:r>
        <w:rPr>
          <w:rFonts w:ascii="sans-serif" w:eastAsia="sans-serif" w:hAnsi="sans-serif" w:cs="sans-serif"/>
          <w:color w:val="000000"/>
          <w:sz w:val="16"/>
          <w:szCs w:val="16"/>
        </w:rPr>
        <w:t xml:space="preserve">(1)    Refer to Note 2 - Business Combination for further details on the Arm acquisition. </w:t>
      </w:r>
    </w:p>
    <w:p w14:paraId="195031AB" w14:textId="77777777" w:rsidR="00BF3A3A" w:rsidRDefault="00A76802">
      <w:pPr>
        <w:spacing w:after="180"/>
        <w:jc w:val="center"/>
      </w:pPr>
      <w:r>
        <w:rPr>
          <w:rFonts w:ascii="sans-serif" w:eastAsia="sans-serif" w:hAnsi="sans-serif" w:cs="sans-serif"/>
          <w:color w:val="000000"/>
          <w:sz w:val="20"/>
          <w:szCs w:val="20"/>
        </w:rPr>
        <w:t>15</w:t>
      </w:r>
    </w:p>
    <w:p w14:paraId="195031AC" w14:textId="77777777" w:rsidR="00BF3A3A" w:rsidRDefault="00A76802">
      <w:r>
        <w:pict w14:anchorId="19503FD4">
          <v:rect id="_x0000_i1039" style="width:415.3pt;height:1.5pt" o:hralign="center" o:hrstd="t" o:hr="t" fillcolor="#a0a0a0" stroked="f"/>
        </w:pict>
      </w:r>
    </w:p>
    <w:p w14:paraId="195031AD" w14:textId="77777777" w:rsidR="00BF3A3A" w:rsidRDefault="00A76802">
      <w:pPr>
        <w:jc w:val="center"/>
      </w:pPr>
      <w:r>
        <w:rPr>
          <w:rFonts w:ascii="sans-serif" w:eastAsia="sans-serif" w:hAnsi="sans-serif" w:cs="sans-serif"/>
          <w:b/>
          <w:bCs/>
          <w:color w:val="000000"/>
          <w:sz w:val="20"/>
          <w:szCs w:val="20"/>
        </w:rPr>
        <w:t>NVIDIA CORPORATION AND SUBSIDIARIES</w:t>
      </w:r>
    </w:p>
    <w:p w14:paraId="195031AE" w14:textId="77777777" w:rsidR="00BF3A3A" w:rsidRDefault="00A76802">
      <w:pPr>
        <w:jc w:val="center"/>
      </w:pPr>
      <w:r>
        <w:rPr>
          <w:rFonts w:ascii="sans-serif" w:eastAsia="sans-serif" w:hAnsi="sans-serif" w:cs="sans-serif"/>
          <w:b/>
          <w:bCs/>
          <w:color w:val="000000"/>
          <w:sz w:val="20"/>
          <w:szCs w:val="20"/>
        </w:rPr>
        <w:t>NOTES TO CONDENSED CONSOLIDATED FINANCIAL STATEMENTS (Continued)</w:t>
      </w:r>
    </w:p>
    <w:p w14:paraId="195031AF" w14:textId="77777777" w:rsidR="00BF3A3A" w:rsidRDefault="00A76802">
      <w:pPr>
        <w:jc w:val="center"/>
      </w:pPr>
      <w:r>
        <w:rPr>
          <w:rFonts w:ascii="sans-serif" w:eastAsia="sans-serif" w:hAnsi="sans-serif" w:cs="sans-serif"/>
          <w:b/>
          <w:bCs/>
          <w:color w:val="000000"/>
          <w:sz w:val="20"/>
          <w:szCs w:val="20"/>
        </w:rPr>
        <w:t>(Unaudited)</w:t>
      </w:r>
    </w:p>
    <w:p w14:paraId="195031B0" w14:textId="77777777" w:rsidR="00BF3A3A" w:rsidRDefault="00BF3A3A">
      <w:pPr>
        <w:spacing w:after="180"/>
        <w:jc w:val="both"/>
      </w:pPr>
    </w:p>
    <w:p w14:paraId="195031B1" w14:textId="77777777" w:rsidR="00BF3A3A" w:rsidRDefault="00BF3A3A">
      <w:pPr>
        <w:spacing w:after="180"/>
        <w:jc w:val="both"/>
      </w:pPr>
    </w:p>
    <w:p w14:paraId="195031B2" w14:textId="77777777" w:rsidR="00BF3A3A" w:rsidRDefault="00BF3A3A"/>
    <w:tbl>
      <w:tblPr>
        <w:tblW w:w="4993" w:type="pct"/>
        <w:tblCellMar>
          <w:top w:w="15" w:type="dxa"/>
          <w:left w:w="15" w:type="dxa"/>
          <w:bottom w:w="15" w:type="dxa"/>
          <w:right w:w="15" w:type="dxa"/>
        </w:tblCellMar>
        <w:tblLook w:val="04A0" w:firstRow="1" w:lastRow="0" w:firstColumn="1" w:lastColumn="0" w:noHBand="0" w:noVBand="1"/>
      </w:tblPr>
      <w:tblGrid>
        <w:gridCol w:w="40"/>
        <w:gridCol w:w="5910"/>
        <w:gridCol w:w="37"/>
        <w:gridCol w:w="122"/>
        <w:gridCol w:w="974"/>
        <w:gridCol w:w="36"/>
        <w:gridCol w:w="36"/>
        <w:gridCol w:w="36"/>
        <w:gridCol w:w="36"/>
        <w:gridCol w:w="123"/>
        <w:gridCol w:w="938"/>
        <w:gridCol w:w="36"/>
      </w:tblGrid>
      <w:tr w:rsidR="00BF3A3A" w14:paraId="195031BF" w14:textId="77777777">
        <w:tc>
          <w:tcPr>
            <w:tcW w:w="50" w:type="pct"/>
            <w:shd w:val="clear" w:color="auto" w:fill="auto"/>
            <w:vAlign w:val="bottom"/>
          </w:tcPr>
          <w:p w14:paraId="195031B3" w14:textId="77777777" w:rsidR="00BF3A3A" w:rsidRDefault="00BF3A3A">
            <w:pPr>
              <w:rPr>
                <w:rFonts w:ascii="宋体"/>
              </w:rPr>
            </w:pPr>
          </w:p>
        </w:tc>
        <w:tc>
          <w:tcPr>
            <w:tcW w:w="3575" w:type="pct"/>
            <w:shd w:val="clear" w:color="auto" w:fill="auto"/>
            <w:vAlign w:val="bottom"/>
          </w:tcPr>
          <w:p w14:paraId="195031B4" w14:textId="77777777" w:rsidR="00BF3A3A" w:rsidRDefault="00BF3A3A">
            <w:pPr>
              <w:rPr>
                <w:rFonts w:ascii="宋体"/>
              </w:rPr>
            </w:pPr>
          </w:p>
        </w:tc>
        <w:tc>
          <w:tcPr>
            <w:tcW w:w="5" w:type="pct"/>
            <w:shd w:val="clear" w:color="auto" w:fill="auto"/>
            <w:vAlign w:val="bottom"/>
          </w:tcPr>
          <w:p w14:paraId="195031B5" w14:textId="77777777" w:rsidR="00BF3A3A" w:rsidRDefault="00BF3A3A">
            <w:pPr>
              <w:rPr>
                <w:rFonts w:ascii="宋体"/>
              </w:rPr>
            </w:pPr>
          </w:p>
        </w:tc>
        <w:tc>
          <w:tcPr>
            <w:tcW w:w="50" w:type="pct"/>
            <w:shd w:val="clear" w:color="auto" w:fill="auto"/>
            <w:vAlign w:val="bottom"/>
          </w:tcPr>
          <w:p w14:paraId="195031B6" w14:textId="77777777" w:rsidR="00BF3A3A" w:rsidRDefault="00BF3A3A">
            <w:pPr>
              <w:rPr>
                <w:rFonts w:ascii="宋体"/>
              </w:rPr>
            </w:pPr>
          </w:p>
        </w:tc>
        <w:tc>
          <w:tcPr>
            <w:tcW w:w="611" w:type="pct"/>
            <w:shd w:val="clear" w:color="auto" w:fill="auto"/>
            <w:vAlign w:val="bottom"/>
          </w:tcPr>
          <w:p w14:paraId="195031B7" w14:textId="77777777" w:rsidR="00BF3A3A" w:rsidRDefault="00BF3A3A">
            <w:pPr>
              <w:rPr>
                <w:rFonts w:ascii="宋体"/>
              </w:rPr>
            </w:pPr>
          </w:p>
        </w:tc>
        <w:tc>
          <w:tcPr>
            <w:tcW w:w="5" w:type="pct"/>
            <w:shd w:val="clear" w:color="auto" w:fill="auto"/>
            <w:vAlign w:val="bottom"/>
          </w:tcPr>
          <w:p w14:paraId="195031B8" w14:textId="77777777" w:rsidR="00BF3A3A" w:rsidRDefault="00BF3A3A">
            <w:pPr>
              <w:rPr>
                <w:rFonts w:ascii="宋体"/>
              </w:rPr>
            </w:pPr>
          </w:p>
        </w:tc>
        <w:tc>
          <w:tcPr>
            <w:tcW w:w="5" w:type="pct"/>
            <w:shd w:val="clear" w:color="auto" w:fill="auto"/>
            <w:vAlign w:val="bottom"/>
          </w:tcPr>
          <w:p w14:paraId="195031B9" w14:textId="77777777" w:rsidR="00BF3A3A" w:rsidRDefault="00BF3A3A">
            <w:pPr>
              <w:rPr>
                <w:rFonts w:ascii="宋体"/>
              </w:rPr>
            </w:pPr>
          </w:p>
        </w:tc>
        <w:tc>
          <w:tcPr>
            <w:tcW w:w="26" w:type="pct"/>
            <w:shd w:val="clear" w:color="auto" w:fill="auto"/>
            <w:vAlign w:val="bottom"/>
          </w:tcPr>
          <w:p w14:paraId="195031BA" w14:textId="77777777" w:rsidR="00BF3A3A" w:rsidRDefault="00BF3A3A">
            <w:pPr>
              <w:rPr>
                <w:rFonts w:ascii="宋体"/>
              </w:rPr>
            </w:pPr>
          </w:p>
        </w:tc>
        <w:tc>
          <w:tcPr>
            <w:tcW w:w="5" w:type="pct"/>
            <w:shd w:val="clear" w:color="auto" w:fill="auto"/>
            <w:vAlign w:val="bottom"/>
          </w:tcPr>
          <w:p w14:paraId="195031BB" w14:textId="77777777" w:rsidR="00BF3A3A" w:rsidRDefault="00BF3A3A">
            <w:pPr>
              <w:rPr>
                <w:rFonts w:ascii="宋体"/>
              </w:rPr>
            </w:pPr>
          </w:p>
        </w:tc>
        <w:tc>
          <w:tcPr>
            <w:tcW w:w="50" w:type="pct"/>
            <w:shd w:val="clear" w:color="auto" w:fill="auto"/>
            <w:vAlign w:val="bottom"/>
          </w:tcPr>
          <w:p w14:paraId="195031BC" w14:textId="77777777" w:rsidR="00BF3A3A" w:rsidRDefault="00BF3A3A">
            <w:pPr>
              <w:rPr>
                <w:rFonts w:ascii="宋体"/>
              </w:rPr>
            </w:pPr>
          </w:p>
        </w:tc>
        <w:tc>
          <w:tcPr>
            <w:tcW w:w="611" w:type="pct"/>
            <w:shd w:val="clear" w:color="auto" w:fill="auto"/>
            <w:vAlign w:val="bottom"/>
          </w:tcPr>
          <w:p w14:paraId="195031BD" w14:textId="77777777" w:rsidR="00BF3A3A" w:rsidRDefault="00BF3A3A">
            <w:pPr>
              <w:rPr>
                <w:rFonts w:ascii="宋体"/>
              </w:rPr>
            </w:pPr>
          </w:p>
        </w:tc>
        <w:tc>
          <w:tcPr>
            <w:tcW w:w="5" w:type="pct"/>
            <w:shd w:val="clear" w:color="auto" w:fill="auto"/>
            <w:vAlign w:val="bottom"/>
          </w:tcPr>
          <w:p w14:paraId="195031BE" w14:textId="77777777" w:rsidR="00BF3A3A" w:rsidRDefault="00BF3A3A">
            <w:pPr>
              <w:rPr>
                <w:rFonts w:ascii="宋体"/>
              </w:rPr>
            </w:pPr>
          </w:p>
        </w:tc>
      </w:tr>
      <w:tr w:rsidR="00BF3A3A" w14:paraId="195031C4" w14:textId="77777777">
        <w:tc>
          <w:tcPr>
            <w:tcW w:w="0" w:type="auto"/>
            <w:gridSpan w:val="3"/>
            <w:shd w:val="clear" w:color="auto" w:fill="auto"/>
            <w:tcMar>
              <w:top w:w="0" w:type="dxa"/>
              <w:left w:w="20" w:type="dxa"/>
              <w:bottom w:w="0" w:type="dxa"/>
              <w:right w:w="20" w:type="dxa"/>
            </w:tcMar>
            <w:vAlign w:val="bottom"/>
          </w:tcPr>
          <w:p w14:paraId="195031C0"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1C1" w14:textId="77777777" w:rsidR="00BF3A3A" w:rsidRDefault="00A76802">
            <w:pPr>
              <w:jc w:val="center"/>
              <w:textAlignment w:val="bottom"/>
            </w:pPr>
            <w:r>
              <w:rPr>
                <w:rFonts w:ascii="sans-serif" w:eastAsia="sans-serif" w:hAnsi="sans-serif" w:cs="sans-serif"/>
                <w:b/>
                <w:bCs/>
                <w:color w:val="000000"/>
                <w:sz w:val="20"/>
                <w:szCs w:val="20"/>
              </w:rPr>
              <w:t>July 31,</w:t>
            </w:r>
          </w:p>
        </w:tc>
        <w:tc>
          <w:tcPr>
            <w:tcW w:w="0" w:type="auto"/>
            <w:gridSpan w:val="3"/>
            <w:shd w:val="clear" w:color="auto" w:fill="auto"/>
            <w:tcMar>
              <w:top w:w="0" w:type="dxa"/>
              <w:left w:w="20" w:type="dxa"/>
              <w:bottom w:w="0" w:type="dxa"/>
              <w:right w:w="20" w:type="dxa"/>
            </w:tcMar>
            <w:vAlign w:val="bottom"/>
          </w:tcPr>
          <w:p w14:paraId="195031C2"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1C3" w14:textId="77777777" w:rsidR="00BF3A3A" w:rsidRDefault="00A76802">
            <w:pPr>
              <w:jc w:val="center"/>
              <w:textAlignment w:val="bottom"/>
            </w:pPr>
            <w:r>
              <w:rPr>
                <w:rFonts w:ascii="sans-serif" w:eastAsia="sans-serif" w:hAnsi="sans-serif" w:cs="sans-serif"/>
                <w:b/>
                <w:bCs/>
                <w:color w:val="000000"/>
                <w:sz w:val="20"/>
                <w:szCs w:val="20"/>
              </w:rPr>
              <w:t>January 30,</w:t>
            </w:r>
          </w:p>
        </w:tc>
      </w:tr>
      <w:tr w:rsidR="00BF3A3A" w14:paraId="195031C9" w14:textId="77777777">
        <w:tc>
          <w:tcPr>
            <w:tcW w:w="0" w:type="auto"/>
            <w:gridSpan w:val="3"/>
            <w:shd w:val="clear" w:color="auto" w:fill="auto"/>
            <w:tcMar>
              <w:top w:w="40" w:type="dxa"/>
              <w:left w:w="20" w:type="dxa"/>
              <w:bottom w:w="40" w:type="dxa"/>
              <w:right w:w="20" w:type="dxa"/>
            </w:tcMar>
            <w:vAlign w:val="bottom"/>
          </w:tcPr>
          <w:p w14:paraId="195031C5"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95031C6" w14:textId="77777777" w:rsidR="00BF3A3A" w:rsidRDefault="00A76802">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195031C7"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1C8" w14:textId="77777777" w:rsidR="00BF3A3A" w:rsidRDefault="00A76802">
            <w:pPr>
              <w:jc w:val="center"/>
              <w:textAlignment w:val="bottom"/>
            </w:pPr>
            <w:r>
              <w:rPr>
                <w:rFonts w:ascii="sans-serif" w:eastAsia="sans-serif" w:hAnsi="sans-serif" w:cs="sans-serif"/>
                <w:b/>
                <w:bCs/>
                <w:color w:val="000000"/>
                <w:sz w:val="20"/>
                <w:szCs w:val="20"/>
              </w:rPr>
              <w:t>2022</w:t>
            </w:r>
          </w:p>
        </w:tc>
      </w:tr>
      <w:tr w:rsidR="00BF3A3A" w14:paraId="195031CE" w14:textId="77777777">
        <w:trPr>
          <w:trHeight w:val="60"/>
        </w:trPr>
        <w:tc>
          <w:tcPr>
            <w:tcW w:w="0" w:type="auto"/>
            <w:gridSpan w:val="3"/>
            <w:shd w:val="clear" w:color="auto" w:fill="auto"/>
            <w:tcMar>
              <w:top w:w="0" w:type="dxa"/>
              <w:left w:w="20" w:type="dxa"/>
              <w:bottom w:w="0" w:type="dxa"/>
              <w:right w:w="20" w:type="dxa"/>
            </w:tcMar>
            <w:vAlign w:val="bottom"/>
          </w:tcPr>
          <w:p w14:paraId="195031CA"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1CB"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1CC"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1CD" w14:textId="77777777" w:rsidR="00BF3A3A" w:rsidRDefault="00BF3A3A">
            <w:pPr>
              <w:rPr>
                <w:rFonts w:ascii="宋体"/>
              </w:rPr>
            </w:pPr>
          </w:p>
        </w:tc>
      </w:tr>
      <w:tr w:rsidR="00BF3A3A" w14:paraId="195031D1" w14:textId="77777777">
        <w:tc>
          <w:tcPr>
            <w:tcW w:w="0" w:type="auto"/>
            <w:gridSpan w:val="3"/>
            <w:shd w:val="clear" w:color="auto" w:fill="auto"/>
            <w:tcMar>
              <w:top w:w="40" w:type="dxa"/>
              <w:left w:w="20" w:type="dxa"/>
              <w:bottom w:w="40" w:type="dxa"/>
              <w:right w:w="20" w:type="dxa"/>
            </w:tcMar>
            <w:vAlign w:val="bottom"/>
          </w:tcPr>
          <w:p w14:paraId="195031CF" w14:textId="77777777" w:rsidR="00BF3A3A" w:rsidRDefault="00A76802">
            <w:pPr>
              <w:textAlignment w:val="bottom"/>
            </w:pPr>
            <w:r>
              <w:rPr>
                <w:rFonts w:ascii="sans-serif" w:eastAsia="sans-serif" w:hAnsi="sans-serif" w:cs="sans-serif"/>
                <w:b/>
                <w:bCs/>
                <w:color w:val="000000"/>
                <w:sz w:val="20"/>
                <w:szCs w:val="20"/>
              </w:rPr>
              <w:t>Accrued and Other Current Liabilities:</w:t>
            </w:r>
          </w:p>
        </w:tc>
        <w:tc>
          <w:tcPr>
            <w:tcW w:w="0" w:type="auto"/>
            <w:gridSpan w:val="9"/>
            <w:shd w:val="clear" w:color="auto" w:fill="auto"/>
            <w:tcMar>
              <w:top w:w="40" w:type="dxa"/>
              <w:left w:w="20" w:type="dxa"/>
              <w:bottom w:w="40" w:type="dxa"/>
              <w:right w:w="20" w:type="dxa"/>
            </w:tcMar>
            <w:vAlign w:val="bottom"/>
          </w:tcPr>
          <w:p w14:paraId="195031D0" w14:textId="77777777" w:rsidR="00BF3A3A" w:rsidRDefault="00A76802">
            <w:pPr>
              <w:jc w:val="center"/>
              <w:textAlignment w:val="bottom"/>
            </w:pPr>
            <w:r>
              <w:rPr>
                <w:rFonts w:ascii="sans-serif" w:eastAsia="sans-serif" w:hAnsi="sans-serif" w:cs="sans-serif"/>
                <w:i/>
                <w:iCs/>
                <w:color w:val="000000"/>
                <w:sz w:val="20"/>
                <w:szCs w:val="20"/>
              </w:rPr>
              <w:t>(In millions)</w:t>
            </w:r>
          </w:p>
        </w:tc>
      </w:tr>
      <w:tr w:rsidR="00BF3A3A" w14:paraId="195031DA" w14:textId="77777777">
        <w:tc>
          <w:tcPr>
            <w:tcW w:w="0" w:type="auto"/>
            <w:gridSpan w:val="3"/>
            <w:shd w:val="clear" w:color="auto" w:fill="E2EFD9"/>
            <w:tcMar>
              <w:top w:w="40" w:type="dxa"/>
              <w:left w:w="20" w:type="dxa"/>
              <w:bottom w:w="40" w:type="dxa"/>
              <w:right w:w="20" w:type="dxa"/>
            </w:tcMar>
            <w:vAlign w:val="bottom"/>
          </w:tcPr>
          <w:p w14:paraId="195031D2" w14:textId="77777777" w:rsidR="00BF3A3A" w:rsidRDefault="00A76802">
            <w:pPr>
              <w:textAlignment w:val="bottom"/>
            </w:pPr>
            <w:r>
              <w:rPr>
                <w:rFonts w:ascii="sans-serif" w:eastAsia="sans-serif" w:hAnsi="sans-serif" w:cs="sans-serif"/>
                <w:color w:val="000000"/>
                <w:sz w:val="20"/>
                <w:szCs w:val="20"/>
              </w:rPr>
              <w:t>Customer program accruals</w:t>
            </w:r>
          </w:p>
        </w:tc>
        <w:tc>
          <w:tcPr>
            <w:tcW w:w="0" w:type="auto"/>
            <w:shd w:val="clear" w:color="auto" w:fill="E2EFD9"/>
            <w:tcMar>
              <w:top w:w="40" w:type="dxa"/>
              <w:left w:w="20" w:type="dxa"/>
              <w:bottom w:w="40" w:type="dxa"/>
              <w:right w:w="0" w:type="dxa"/>
            </w:tcMar>
            <w:vAlign w:val="bottom"/>
          </w:tcPr>
          <w:p w14:paraId="195031D3"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1D4" w14:textId="77777777" w:rsidR="00BF3A3A" w:rsidRDefault="00A76802">
            <w:pPr>
              <w:jc w:val="right"/>
              <w:textAlignment w:val="bottom"/>
            </w:pPr>
            <w:r>
              <w:rPr>
                <w:rFonts w:ascii="sans-serif" w:eastAsia="sans-serif" w:hAnsi="sans-serif" w:cs="sans-serif"/>
                <w:color w:val="000000"/>
                <w:sz w:val="20"/>
                <w:szCs w:val="20"/>
              </w:rPr>
              <w:t>1,463 </w:t>
            </w:r>
          </w:p>
        </w:tc>
        <w:tc>
          <w:tcPr>
            <w:tcW w:w="0" w:type="auto"/>
            <w:shd w:val="clear" w:color="auto" w:fill="E2EFD9"/>
            <w:tcMar>
              <w:top w:w="40" w:type="dxa"/>
              <w:left w:w="0" w:type="dxa"/>
              <w:bottom w:w="40" w:type="dxa"/>
              <w:right w:w="20" w:type="dxa"/>
            </w:tcMar>
            <w:vAlign w:val="bottom"/>
          </w:tcPr>
          <w:p w14:paraId="195031D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1D6"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1D7"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1D8" w14:textId="77777777" w:rsidR="00BF3A3A" w:rsidRDefault="00A76802">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195031D9" w14:textId="77777777" w:rsidR="00BF3A3A" w:rsidRDefault="00BF3A3A">
            <w:pPr>
              <w:jc w:val="right"/>
              <w:rPr>
                <w:rFonts w:ascii="宋体"/>
              </w:rPr>
            </w:pPr>
          </w:p>
        </w:tc>
      </w:tr>
      <w:tr w:rsidR="00BF3A3A" w14:paraId="195031E1" w14:textId="77777777">
        <w:tc>
          <w:tcPr>
            <w:tcW w:w="0" w:type="auto"/>
            <w:gridSpan w:val="3"/>
            <w:shd w:val="clear" w:color="auto" w:fill="FFFFFF"/>
            <w:tcMar>
              <w:top w:w="40" w:type="dxa"/>
              <w:left w:w="20" w:type="dxa"/>
              <w:bottom w:w="40" w:type="dxa"/>
              <w:right w:w="20" w:type="dxa"/>
            </w:tcMar>
            <w:vAlign w:val="bottom"/>
          </w:tcPr>
          <w:p w14:paraId="195031DB" w14:textId="77777777" w:rsidR="00BF3A3A" w:rsidRDefault="00A76802">
            <w:pPr>
              <w:textAlignment w:val="bottom"/>
            </w:pPr>
            <w:r>
              <w:rPr>
                <w:rFonts w:ascii="sans-serif" w:eastAsia="sans-serif" w:hAnsi="sans-serif" w:cs="sans-serif"/>
                <w:color w:val="000000"/>
                <w:sz w:val="20"/>
                <w:szCs w:val="20"/>
              </w:rPr>
              <w:t>Excess inventory purchase obligations (1)</w:t>
            </w:r>
          </w:p>
        </w:tc>
        <w:tc>
          <w:tcPr>
            <w:tcW w:w="0" w:type="auto"/>
            <w:gridSpan w:val="2"/>
            <w:shd w:val="clear" w:color="auto" w:fill="FFFFFF"/>
            <w:tcMar>
              <w:top w:w="40" w:type="dxa"/>
              <w:left w:w="20" w:type="dxa"/>
              <w:bottom w:w="40" w:type="dxa"/>
              <w:right w:w="0" w:type="dxa"/>
            </w:tcMar>
            <w:vAlign w:val="bottom"/>
          </w:tcPr>
          <w:p w14:paraId="195031DC" w14:textId="77777777" w:rsidR="00BF3A3A" w:rsidRDefault="00A76802">
            <w:pPr>
              <w:jc w:val="right"/>
              <w:textAlignment w:val="bottom"/>
            </w:pPr>
            <w:r>
              <w:rPr>
                <w:rFonts w:ascii="sans-serif" w:eastAsia="sans-serif" w:hAnsi="sans-serif" w:cs="sans-serif"/>
                <w:color w:val="000000"/>
                <w:sz w:val="20"/>
                <w:szCs w:val="20"/>
              </w:rPr>
              <w:t>866 </w:t>
            </w:r>
          </w:p>
        </w:tc>
        <w:tc>
          <w:tcPr>
            <w:tcW w:w="0" w:type="auto"/>
            <w:shd w:val="clear" w:color="auto" w:fill="FFFFFF"/>
            <w:tcMar>
              <w:top w:w="40" w:type="dxa"/>
              <w:left w:w="0" w:type="dxa"/>
              <w:bottom w:w="40" w:type="dxa"/>
              <w:right w:w="20" w:type="dxa"/>
            </w:tcMar>
            <w:vAlign w:val="bottom"/>
          </w:tcPr>
          <w:p w14:paraId="195031D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1D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1DF" w14:textId="77777777" w:rsidR="00BF3A3A" w:rsidRDefault="00A76802">
            <w:pPr>
              <w:jc w:val="right"/>
              <w:textAlignment w:val="bottom"/>
            </w:pPr>
            <w:r>
              <w:rPr>
                <w:rFonts w:ascii="sans-serif" w:eastAsia="sans-serif" w:hAnsi="sans-serif" w:cs="sans-serif"/>
                <w:color w:val="000000"/>
                <w:sz w:val="20"/>
                <w:szCs w:val="20"/>
              </w:rPr>
              <w:t>196 </w:t>
            </w:r>
          </w:p>
        </w:tc>
        <w:tc>
          <w:tcPr>
            <w:tcW w:w="0" w:type="auto"/>
            <w:shd w:val="clear" w:color="auto" w:fill="FFFFFF"/>
            <w:tcMar>
              <w:top w:w="40" w:type="dxa"/>
              <w:left w:w="0" w:type="dxa"/>
              <w:bottom w:w="40" w:type="dxa"/>
              <w:right w:w="20" w:type="dxa"/>
            </w:tcMar>
            <w:vAlign w:val="bottom"/>
          </w:tcPr>
          <w:p w14:paraId="195031E0" w14:textId="77777777" w:rsidR="00BF3A3A" w:rsidRDefault="00BF3A3A">
            <w:pPr>
              <w:jc w:val="right"/>
              <w:rPr>
                <w:rFonts w:ascii="宋体"/>
              </w:rPr>
            </w:pPr>
          </w:p>
        </w:tc>
      </w:tr>
      <w:tr w:rsidR="00BF3A3A" w14:paraId="195031E8" w14:textId="77777777">
        <w:tc>
          <w:tcPr>
            <w:tcW w:w="0" w:type="auto"/>
            <w:gridSpan w:val="3"/>
            <w:shd w:val="clear" w:color="auto" w:fill="E2EFD9"/>
            <w:tcMar>
              <w:top w:w="40" w:type="dxa"/>
              <w:left w:w="20" w:type="dxa"/>
              <w:bottom w:w="40" w:type="dxa"/>
              <w:right w:w="20" w:type="dxa"/>
            </w:tcMar>
            <w:vAlign w:val="bottom"/>
          </w:tcPr>
          <w:p w14:paraId="195031E2" w14:textId="77777777" w:rsidR="00BF3A3A" w:rsidRDefault="00A76802">
            <w:pPr>
              <w:textAlignment w:val="bottom"/>
            </w:pPr>
            <w:r>
              <w:rPr>
                <w:rFonts w:ascii="sans-serif" w:eastAsia="sans-serif" w:hAnsi="sans-serif" w:cs="sans-serif"/>
                <w:color w:val="000000"/>
                <w:sz w:val="20"/>
                <w:szCs w:val="20"/>
              </w:rPr>
              <w:t>Accrued payroll and related expenses</w:t>
            </w:r>
          </w:p>
        </w:tc>
        <w:tc>
          <w:tcPr>
            <w:tcW w:w="0" w:type="auto"/>
            <w:gridSpan w:val="2"/>
            <w:shd w:val="clear" w:color="auto" w:fill="E2EFD9"/>
            <w:tcMar>
              <w:top w:w="40" w:type="dxa"/>
              <w:left w:w="20" w:type="dxa"/>
              <w:bottom w:w="40" w:type="dxa"/>
              <w:right w:w="0" w:type="dxa"/>
            </w:tcMar>
            <w:vAlign w:val="bottom"/>
          </w:tcPr>
          <w:p w14:paraId="195031E3" w14:textId="77777777" w:rsidR="00BF3A3A" w:rsidRDefault="00A76802">
            <w:pPr>
              <w:jc w:val="right"/>
              <w:textAlignment w:val="bottom"/>
            </w:pPr>
            <w:r>
              <w:rPr>
                <w:rFonts w:ascii="sans-serif" w:eastAsia="sans-serif" w:hAnsi="sans-serif" w:cs="sans-serif"/>
                <w:color w:val="000000"/>
                <w:sz w:val="20"/>
                <w:szCs w:val="20"/>
              </w:rPr>
              <w:t>421 </w:t>
            </w:r>
          </w:p>
        </w:tc>
        <w:tc>
          <w:tcPr>
            <w:tcW w:w="0" w:type="auto"/>
            <w:shd w:val="clear" w:color="auto" w:fill="E2EFD9"/>
            <w:tcMar>
              <w:top w:w="40" w:type="dxa"/>
              <w:left w:w="0" w:type="dxa"/>
              <w:bottom w:w="40" w:type="dxa"/>
              <w:right w:w="20" w:type="dxa"/>
            </w:tcMar>
            <w:vAlign w:val="bottom"/>
          </w:tcPr>
          <w:p w14:paraId="195031E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1E5"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1E6" w14:textId="77777777" w:rsidR="00BF3A3A" w:rsidRDefault="00A76802">
            <w:pPr>
              <w:jc w:val="right"/>
              <w:textAlignment w:val="bottom"/>
            </w:pPr>
            <w:r>
              <w:rPr>
                <w:rFonts w:ascii="sans-serif" w:eastAsia="sans-serif" w:hAnsi="sans-serif" w:cs="sans-serif"/>
                <w:color w:val="000000"/>
                <w:sz w:val="20"/>
                <w:szCs w:val="20"/>
              </w:rPr>
              <w:t>409 </w:t>
            </w:r>
          </w:p>
        </w:tc>
        <w:tc>
          <w:tcPr>
            <w:tcW w:w="0" w:type="auto"/>
            <w:shd w:val="clear" w:color="auto" w:fill="E2EFD9"/>
            <w:tcMar>
              <w:top w:w="40" w:type="dxa"/>
              <w:left w:w="0" w:type="dxa"/>
              <w:bottom w:w="40" w:type="dxa"/>
              <w:right w:w="20" w:type="dxa"/>
            </w:tcMar>
            <w:vAlign w:val="bottom"/>
          </w:tcPr>
          <w:p w14:paraId="195031E7" w14:textId="77777777" w:rsidR="00BF3A3A" w:rsidRDefault="00BF3A3A">
            <w:pPr>
              <w:jc w:val="right"/>
              <w:rPr>
                <w:rFonts w:ascii="宋体"/>
              </w:rPr>
            </w:pPr>
          </w:p>
        </w:tc>
      </w:tr>
      <w:tr w:rsidR="00BF3A3A" w14:paraId="195031EF" w14:textId="77777777">
        <w:tc>
          <w:tcPr>
            <w:tcW w:w="0" w:type="auto"/>
            <w:gridSpan w:val="3"/>
            <w:shd w:val="clear" w:color="auto" w:fill="FFFFFF"/>
            <w:tcMar>
              <w:top w:w="40" w:type="dxa"/>
              <w:left w:w="20" w:type="dxa"/>
              <w:bottom w:w="40" w:type="dxa"/>
              <w:right w:w="20" w:type="dxa"/>
            </w:tcMar>
            <w:vAlign w:val="bottom"/>
          </w:tcPr>
          <w:p w14:paraId="195031E9" w14:textId="77777777" w:rsidR="00BF3A3A" w:rsidRDefault="00A76802">
            <w:pPr>
              <w:textAlignment w:val="bottom"/>
            </w:pPr>
            <w:r>
              <w:rPr>
                <w:rFonts w:ascii="sans-serif" w:eastAsia="sans-serif" w:hAnsi="sans-serif" w:cs="sans-serif"/>
                <w:color w:val="000000"/>
                <w:sz w:val="20"/>
                <w:szCs w:val="20"/>
              </w:rPr>
              <w:t>Deferred revenue (2)</w:t>
            </w:r>
          </w:p>
        </w:tc>
        <w:tc>
          <w:tcPr>
            <w:tcW w:w="0" w:type="auto"/>
            <w:gridSpan w:val="2"/>
            <w:shd w:val="clear" w:color="auto" w:fill="FFFFFF"/>
            <w:tcMar>
              <w:top w:w="40" w:type="dxa"/>
              <w:left w:w="20" w:type="dxa"/>
              <w:bottom w:w="40" w:type="dxa"/>
              <w:right w:w="0" w:type="dxa"/>
            </w:tcMar>
            <w:vAlign w:val="bottom"/>
          </w:tcPr>
          <w:p w14:paraId="195031EA" w14:textId="77777777" w:rsidR="00BF3A3A" w:rsidRDefault="00A76802">
            <w:pPr>
              <w:jc w:val="right"/>
              <w:textAlignment w:val="bottom"/>
            </w:pPr>
            <w:r>
              <w:rPr>
                <w:rFonts w:ascii="sans-serif" w:eastAsia="sans-serif" w:hAnsi="sans-serif" w:cs="sans-serif"/>
                <w:color w:val="000000"/>
                <w:sz w:val="20"/>
                <w:szCs w:val="20"/>
              </w:rPr>
              <w:t>359 </w:t>
            </w:r>
          </w:p>
        </w:tc>
        <w:tc>
          <w:tcPr>
            <w:tcW w:w="0" w:type="auto"/>
            <w:shd w:val="clear" w:color="auto" w:fill="FFFFFF"/>
            <w:tcMar>
              <w:top w:w="40" w:type="dxa"/>
              <w:left w:w="0" w:type="dxa"/>
              <w:bottom w:w="40" w:type="dxa"/>
              <w:right w:w="20" w:type="dxa"/>
            </w:tcMar>
            <w:vAlign w:val="bottom"/>
          </w:tcPr>
          <w:p w14:paraId="195031EB"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1EC"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1ED" w14:textId="77777777" w:rsidR="00BF3A3A" w:rsidRDefault="00A76802">
            <w:pPr>
              <w:jc w:val="right"/>
              <w:textAlignment w:val="bottom"/>
            </w:pPr>
            <w:r>
              <w:rPr>
                <w:rFonts w:ascii="sans-serif" w:eastAsia="sans-serif" w:hAnsi="sans-serif" w:cs="sans-serif"/>
                <w:color w:val="000000"/>
                <w:sz w:val="20"/>
                <w:szCs w:val="20"/>
              </w:rPr>
              <w:t>300 </w:t>
            </w:r>
          </w:p>
        </w:tc>
        <w:tc>
          <w:tcPr>
            <w:tcW w:w="0" w:type="auto"/>
            <w:shd w:val="clear" w:color="auto" w:fill="FFFFFF"/>
            <w:tcMar>
              <w:top w:w="40" w:type="dxa"/>
              <w:left w:w="0" w:type="dxa"/>
              <w:bottom w:w="40" w:type="dxa"/>
              <w:right w:w="20" w:type="dxa"/>
            </w:tcMar>
            <w:vAlign w:val="bottom"/>
          </w:tcPr>
          <w:p w14:paraId="195031EE" w14:textId="77777777" w:rsidR="00BF3A3A" w:rsidRDefault="00BF3A3A">
            <w:pPr>
              <w:jc w:val="right"/>
              <w:rPr>
                <w:rFonts w:ascii="宋体"/>
              </w:rPr>
            </w:pPr>
          </w:p>
        </w:tc>
      </w:tr>
      <w:tr w:rsidR="00BF3A3A" w14:paraId="195031F4" w14:textId="77777777">
        <w:trPr>
          <w:hidden/>
        </w:trPr>
        <w:tc>
          <w:tcPr>
            <w:tcW w:w="0" w:type="auto"/>
            <w:gridSpan w:val="3"/>
            <w:shd w:val="clear" w:color="auto" w:fill="auto"/>
            <w:vAlign w:val="bottom"/>
          </w:tcPr>
          <w:p w14:paraId="195031F0" w14:textId="77777777" w:rsidR="00BF3A3A" w:rsidRDefault="00BF3A3A">
            <w:pPr>
              <w:rPr>
                <w:rFonts w:ascii="宋体"/>
                <w:vanish/>
              </w:rPr>
            </w:pPr>
          </w:p>
        </w:tc>
        <w:tc>
          <w:tcPr>
            <w:tcW w:w="0" w:type="auto"/>
            <w:gridSpan w:val="3"/>
            <w:shd w:val="clear" w:color="auto" w:fill="auto"/>
            <w:vAlign w:val="bottom"/>
          </w:tcPr>
          <w:p w14:paraId="195031F1" w14:textId="77777777" w:rsidR="00BF3A3A" w:rsidRDefault="00BF3A3A">
            <w:pPr>
              <w:rPr>
                <w:rFonts w:ascii="宋体"/>
                <w:vanish/>
              </w:rPr>
            </w:pPr>
          </w:p>
        </w:tc>
        <w:tc>
          <w:tcPr>
            <w:tcW w:w="0" w:type="auto"/>
            <w:gridSpan w:val="3"/>
            <w:shd w:val="clear" w:color="auto" w:fill="auto"/>
            <w:vAlign w:val="bottom"/>
          </w:tcPr>
          <w:p w14:paraId="195031F2" w14:textId="77777777" w:rsidR="00BF3A3A" w:rsidRDefault="00BF3A3A">
            <w:pPr>
              <w:rPr>
                <w:rFonts w:ascii="宋体"/>
                <w:vanish/>
              </w:rPr>
            </w:pPr>
          </w:p>
        </w:tc>
        <w:tc>
          <w:tcPr>
            <w:tcW w:w="0" w:type="auto"/>
            <w:gridSpan w:val="3"/>
            <w:shd w:val="clear" w:color="auto" w:fill="auto"/>
            <w:vAlign w:val="bottom"/>
          </w:tcPr>
          <w:p w14:paraId="195031F3" w14:textId="77777777" w:rsidR="00BF3A3A" w:rsidRDefault="00BF3A3A">
            <w:pPr>
              <w:rPr>
                <w:rFonts w:ascii="宋体"/>
                <w:vanish/>
              </w:rPr>
            </w:pPr>
          </w:p>
        </w:tc>
      </w:tr>
      <w:tr w:rsidR="00BF3A3A" w14:paraId="195031F9" w14:textId="77777777">
        <w:trPr>
          <w:hidden/>
        </w:trPr>
        <w:tc>
          <w:tcPr>
            <w:tcW w:w="0" w:type="auto"/>
            <w:gridSpan w:val="3"/>
            <w:shd w:val="clear" w:color="auto" w:fill="auto"/>
            <w:vAlign w:val="bottom"/>
          </w:tcPr>
          <w:p w14:paraId="195031F5" w14:textId="77777777" w:rsidR="00BF3A3A" w:rsidRDefault="00BF3A3A">
            <w:pPr>
              <w:rPr>
                <w:rFonts w:ascii="宋体"/>
                <w:vanish/>
              </w:rPr>
            </w:pPr>
          </w:p>
        </w:tc>
        <w:tc>
          <w:tcPr>
            <w:tcW w:w="0" w:type="auto"/>
            <w:gridSpan w:val="3"/>
            <w:shd w:val="clear" w:color="auto" w:fill="auto"/>
            <w:vAlign w:val="bottom"/>
          </w:tcPr>
          <w:p w14:paraId="195031F6" w14:textId="77777777" w:rsidR="00BF3A3A" w:rsidRDefault="00BF3A3A">
            <w:pPr>
              <w:rPr>
                <w:rFonts w:ascii="宋体"/>
                <w:vanish/>
              </w:rPr>
            </w:pPr>
          </w:p>
        </w:tc>
        <w:tc>
          <w:tcPr>
            <w:tcW w:w="0" w:type="auto"/>
            <w:gridSpan w:val="3"/>
            <w:shd w:val="clear" w:color="auto" w:fill="auto"/>
            <w:vAlign w:val="bottom"/>
          </w:tcPr>
          <w:p w14:paraId="195031F7" w14:textId="77777777" w:rsidR="00BF3A3A" w:rsidRDefault="00BF3A3A">
            <w:pPr>
              <w:rPr>
                <w:rFonts w:ascii="宋体"/>
                <w:vanish/>
              </w:rPr>
            </w:pPr>
          </w:p>
        </w:tc>
        <w:tc>
          <w:tcPr>
            <w:tcW w:w="0" w:type="auto"/>
            <w:gridSpan w:val="3"/>
            <w:shd w:val="clear" w:color="auto" w:fill="auto"/>
            <w:vAlign w:val="bottom"/>
          </w:tcPr>
          <w:p w14:paraId="195031F8" w14:textId="77777777" w:rsidR="00BF3A3A" w:rsidRDefault="00BF3A3A">
            <w:pPr>
              <w:rPr>
                <w:rFonts w:ascii="宋体"/>
                <w:vanish/>
              </w:rPr>
            </w:pPr>
          </w:p>
        </w:tc>
      </w:tr>
      <w:tr w:rsidR="00BF3A3A" w14:paraId="195031FE" w14:textId="77777777">
        <w:trPr>
          <w:hidden/>
        </w:trPr>
        <w:tc>
          <w:tcPr>
            <w:tcW w:w="0" w:type="auto"/>
            <w:gridSpan w:val="3"/>
            <w:shd w:val="clear" w:color="auto" w:fill="auto"/>
            <w:vAlign w:val="bottom"/>
          </w:tcPr>
          <w:p w14:paraId="195031FA" w14:textId="77777777" w:rsidR="00BF3A3A" w:rsidRDefault="00BF3A3A">
            <w:pPr>
              <w:rPr>
                <w:rFonts w:ascii="宋体"/>
                <w:vanish/>
              </w:rPr>
            </w:pPr>
          </w:p>
        </w:tc>
        <w:tc>
          <w:tcPr>
            <w:tcW w:w="0" w:type="auto"/>
            <w:gridSpan w:val="3"/>
            <w:shd w:val="clear" w:color="auto" w:fill="auto"/>
            <w:vAlign w:val="bottom"/>
          </w:tcPr>
          <w:p w14:paraId="195031FB" w14:textId="77777777" w:rsidR="00BF3A3A" w:rsidRDefault="00BF3A3A">
            <w:pPr>
              <w:rPr>
                <w:rFonts w:ascii="宋体"/>
                <w:vanish/>
              </w:rPr>
            </w:pPr>
          </w:p>
        </w:tc>
        <w:tc>
          <w:tcPr>
            <w:tcW w:w="0" w:type="auto"/>
            <w:gridSpan w:val="3"/>
            <w:shd w:val="clear" w:color="auto" w:fill="auto"/>
            <w:vAlign w:val="bottom"/>
          </w:tcPr>
          <w:p w14:paraId="195031FC" w14:textId="77777777" w:rsidR="00BF3A3A" w:rsidRDefault="00BF3A3A">
            <w:pPr>
              <w:rPr>
                <w:rFonts w:ascii="宋体"/>
                <w:vanish/>
              </w:rPr>
            </w:pPr>
          </w:p>
        </w:tc>
        <w:tc>
          <w:tcPr>
            <w:tcW w:w="0" w:type="auto"/>
            <w:gridSpan w:val="3"/>
            <w:shd w:val="clear" w:color="auto" w:fill="auto"/>
            <w:vAlign w:val="bottom"/>
          </w:tcPr>
          <w:p w14:paraId="195031FD" w14:textId="77777777" w:rsidR="00BF3A3A" w:rsidRDefault="00BF3A3A">
            <w:pPr>
              <w:rPr>
                <w:rFonts w:ascii="宋体"/>
                <w:vanish/>
              </w:rPr>
            </w:pPr>
          </w:p>
        </w:tc>
      </w:tr>
      <w:tr w:rsidR="00BF3A3A" w14:paraId="19503205" w14:textId="77777777">
        <w:tc>
          <w:tcPr>
            <w:tcW w:w="0" w:type="auto"/>
            <w:gridSpan w:val="3"/>
            <w:shd w:val="clear" w:color="auto" w:fill="E2EFD9"/>
            <w:tcMar>
              <w:top w:w="40" w:type="dxa"/>
              <w:left w:w="20" w:type="dxa"/>
              <w:bottom w:w="40" w:type="dxa"/>
              <w:right w:w="20" w:type="dxa"/>
            </w:tcMar>
            <w:vAlign w:val="bottom"/>
          </w:tcPr>
          <w:p w14:paraId="195031FF" w14:textId="77777777" w:rsidR="00BF3A3A" w:rsidRDefault="00A76802">
            <w:pPr>
              <w:textAlignment w:val="bottom"/>
            </w:pPr>
            <w:r>
              <w:rPr>
                <w:rFonts w:ascii="sans-serif" w:eastAsia="sans-serif" w:hAnsi="sans-serif" w:cs="sans-serif"/>
                <w:color w:val="000000"/>
                <w:sz w:val="20"/>
                <w:szCs w:val="20"/>
              </w:rPr>
              <w:t>Product warranty</w:t>
            </w:r>
          </w:p>
        </w:tc>
        <w:tc>
          <w:tcPr>
            <w:tcW w:w="0" w:type="auto"/>
            <w:gridSpan w:val="2"/>
            <w:shd w:val="clear" w:color="auto" w:fill="E2EFD9"/>
            <w:tcMar>
              <w:top w:w="40" w:type="dxa"/>
              <w:left w:w="20" w:type="dxa"/>
              <w:bottom w:w="40" w:type="dxa"/>
              <w:right w:w="0" w:type="dxa"/>
            </w:tcMar>
            <w:vAlign w:val="bottom"/>
          </w:tcPr>
          <w:p w14:paraId="19503200" w14:textId="77777777" w:rsidR="00BF3A3A" w:rsidRDefault="00A76802">
            <w:pPr>
              <w:jc w:val="right"/>
              <w:textAlignment w:val="bottom"/>
            </w:pPr>
            <w:r>
              <w:rPr>
                <w:rFonts w:ascii="sans-serif" w:eastAsia="sans-serif" w:hAnsi="sans-serif" w:cs="sans-serif"/>
                <w:color w:val="000000"/>
                <w:sz w:val="20"/>
                <w:szCs w:val="20"/>
              </w:rPr>
              <w:t>168 </w:t>
            </w:r>
          </w:p>
        </w:tc>
        <w:tc>
          <w:tcPr>
            <w:tcW w:w="0" w:type="auto"/>
            <w:shd w:val="clear" w:color="auto" w:fill="E2EFD9"/>
            <w:tcMar>
              <w:top w:w="40" w:type="dxa"/>
              <w:left w:w="0" w:type="dxa"/>
              <w:bottom w:w="40" w:type="dxa"/>
              <w:right w:w="20" w:type="dxa"/>
            </w:tcMar>
            <w:vAlign w:val="bottom"/>
          </w:tcPr>
          <w:p w14:paraId="19503201"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202"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203" w14:textId="77777777" w:rsidR="00BF3A3A" w:rsidRDefault="00A76802">
            <w:pPr>
              <w:jc w:val="right"/>
              <w:textAlignment w:val="bottom"/>
            </w:pPr>
            <w:r>
              <w:rPr>
                <w:rFonts w:ascii="sans-serif" w:eastAsia="sans-serif" w:hAnsi="sans-serif" w:cs="sans-serif"/>
                <w:color w:val="000000"/>
                <w:sz w:val="20"/>
                <w:szCs w:val="20"/>
              </w:rPr>
              <w:t>46 </w:t>
            </w:r>
          </w:p>
        </w:tc>
        <w:tc>
          <w:tcPr>
            <w:tcW w:w="0" w:type="auto"/>
            <w:shd w:val="clear" w:color="auto" w:fill="E2EFD9"/>
            <w:tcMar>
              <w:top w:w="40" w:type="dxa"/>
              <w:left w:w="0" w:type="dxa"/>
              <w:bottom w:w="40" w:type="dxa"/>
              <w:right w:w="20" w:type="dxa"/>
            </w:tcMar>
            <w:vAlign w:val="bottom"/>
          </w:tcPr>
          <w:p w14:paraId="19503204" w14:textId="77777777" w:rsidR="00BF3A3A" w:rsidRDefault="00BF3A3A">
            <w:pPr>
              <w:jc w:val="right"/>
              <w:rPr>
                <w:rFonts w:ascii="宋体"/>
              </w:rPr>
            </w:pPr>
          </w:p>
        </w:tc>
      </w:tr>
      <w:tr w:rsidR="00BF3A3A" w14:paraId="1950320A" w14:textId="77777777">
        <w:trPr>
          <w:hidden/>
        </w:trPr>
        <w:tc>
          <w:tcPr>
            <w:tcW w:w="0" w:type="auto"/>
            <w:gridSpan w:val="3"/>
            <w:shd w:val="clear" w:color="auto" w:fill="auto"/>
            <w:vAlign w:val="bottom"/>
          </w:tcPr>
          <w:p w14:paraId="19503206" w14:textId="77777777" w:rsidR="00BF3A3A" w:rsidRDefault="00BF3A3A">
            <w:pPr>
              <w:rPr>
                <w:rFonts w:ascii="宋体"/>
                <w:vanish/>
              </w:rPr>
            </w:pPr>
          </w:p>
        </w:tc>
        <w:tc>
          <w:tcPr>
            <w:tcW w:w="0" w:type="auto"/>
            <w:gridSpan w:val="3"/>
            <w:shd w:val="clear" w:color="auto" w:fill="auto"/>
            <w:vAlign w:val="bottom"/>
          </w:tcPr>
          <w:p w14:paraId="19503207" w14:textId="77777777" w:rsidR="00BF3A3A" w:rsidRDefault="00BF3A3A">
            <w:pPr>
              <w:rPr>
                <w:rFonts w:ascii="宋体"/>
                <w:vanish/>
              </w:rPr>
            </w:pPr>
          </w:p>
        </w:tc>
        <w:tc>
          <w:tcPr>
            <w:tcW w:w="0" w:type="auto"/>
            <w:gridSpan w:val="3"/>
            <w:shd w:val="clear" w:color="auto" w:fill="auto"/>
            <w:vAlign w:val="bottom"/>
          </w:tcPr>
          <w:p w14:paraId="19503208" w14:textId="77777777" w:rsidR="00BF3A3A" w:rsidRDefault="00BF3A3A">
            <w:pPr>
              <w:rPr>
                <w:rFonts w:ascii="宋体"/>
                <w:vanish/>
              </w:rPr>
            </w:pPr>
          </w:p>
        </w:tc>
        <w:tc>
          <w:tcPr>
            <w:tcW w:w="0" w:type="auto"/>
            <w:gridSpan w:val="3"/>
            <w:shd w:val="clear" w:color="auto" w:fill="auto"/>
            <w:vAlign w:val="bottom"/>
          </w:tcPr>
          <w:p w14:paraId="19503209" w14:textId="77777777" w:rsidR="00BF3A3A" w:rsidRDefault="00BF3A3A">
            <w:pPr>
              <w:rPr>
                <w:rFonts w:ascii="宋体"/>
                <w:vanish/>
              </w:rPr>
            </w:pPr>
          </w:p>
        </w:tc>
      </w:tr>
      <w:tr w:rsidR="00BF3A3A" w14:paraId="1950320F" w14:textId="77777777">
        <w:trPr>
          <w:hidden/>
        </w:trPr>
        <w:tc>
          <w:tcPr>
            <w:tcW w:w="0" w:type="auto"/>
            <w:gridSpan w:val="3"/>
            <w:shd w:val="clear" w:color="auto" w:fill="auto"/>
            <w:vAlign w:val="bottom"/>
          </w:tcPr>
          <w:p w14:paraId="1950320B" w14:textId="77777777" w:rsidR="00BF3A3A" w:rsidRDefault="00BF3A3A">
            <w:pPr>
              <w:rPr>
                <w:rFonts w:ascii="宋体"/>
                <w:vanish/>
              </w:rPr>
            </w:pPr>
          </w:p>
        </w:tc>
        <w:tc>
          <w:tcPr>
            <w:tcW w:w="0" w:type="auto"/>
            <w:gridSpan w:val="3"/>
            <w:shd w:val="clear" w:color="auto" w:fill="auto"/>
            <w:vAlign w:val="bottom"/>
          </w:tcPr>
          <w:p w14:paraId="1950320C" w14:textId="77777777" w:rsidR="00BF3A3A" w:rsidRDefault="00BF3A3A">
            <w:pPr>
              <w:rPr>
                <w:rFonts w:ascii="宋体"/>
                <w:vanish/>
              </w:rPr>
            </w:pPr>
          </w:p>
        </w:tc>
        <w:tc>
          <w:tcPr>
            <w:tcW w:w="0" w:type="auto"/>
            <w:gridSpan w:val="3"/>
            <w:shd w:val="clear" w:color="auto" w:fill="auto"/>
            <w:vAlign w:val="bottom"/>
          </w:tcPr>
          <w:p w14:paraId="1950320D" w14:textId="77777777" w:rsidR="00BF3A3A" w:rsidRDefault="00BF3A3A">
            <w:pPr>
              <w:rPr>
                <w:rFonts w:ascii="宋体"/>
                <w:vanish/>
              </w:rPr>
            </w:pPr>
          </w:p>
        </w:tc>
        <w:tc>
          <w:tcPr>
            <w:tcW w:w="0" w:type="auto"/>
            <w:gridSpan w:val="3"/>
            <w:shd w:val="clear" w:color="auto" w:fill="auto"/>
            <w:vAlign w:val="bottom"/>
          </w:tcPr>
          <w:p w14:paraId="1950320E" w14:textId="77777777" w:rsidR="00BF3A3A" w:rsidRDefault="00BF3A3A">
            <w:pPr>
              <w:rPr>
                <w:rFonts w:ascii="宋体"/>
                <w:vanish/>
              </w:rPr>
            </w:pPr>
          </w:p>
        </w:tc>
      </w:tr>
      <w:tr w:rsidR="00BF3A3A" w14:paraId="19503214" w14:textId="77777777">
        <w:trPr>
          <w:hidden/>
        </w:trPr>
        <w:tc>
          <w:tcPr>
            <w:tcW w:w="0" w:type="auto"/>
            <w:gridSpan w:val="3"/>
            <w:shd w:val="clear" w:color="auto" w:fill="auto"/>
            <w:vAlign w:val="bottom"/>
          </w:tcPr>
          <w:p w14:paraId="19503210" w14:textId="77777777" w:rsidR="00BF3A3A" w:rsidRDefault="00BF3A3A">
            <w:pPr>
              <w:rPr>
                <w:rFonts w:ascii="宋体"/>
                <w:vanish/>
              </w:rPr>
            </w:pPr>
          </w:p>
        </w:tc>
        <w:tc>
          <w:tcPr>
            <w:tcW w:w="0" w:type="auto"/>
            <w:gridSpan w:val="3"/>
            <w:shd w:val="clear" w:color="auto" w:fill="auto"/>
            <w:vAlign w:val="bottom"/>
          </w:tcPr>
          <w:p w14:paraId="19503211" w14:textId="77777777" w:rsidR="00BF3A3A" w:rsidRDefault="00BF3A3A">
            <w:pPr>
              <w:rPr>
                <w:rFonts w:ascii="宋体"/>
                <w:vanish/>
              </w:rPr>
            </w:pPr>
          </w:p>
        </w:tc>
        <w:tc>
          <w:tcPr>
            <w:tcW w:w="0" w:type="auto"/>
            <w:gridSpan w:val="3"/>
            <w:shd w:val="clear" w:color="auto" w:fill="auto"/>
            <w:vAlign w:val="bottom"/>
          </w:tcPr>
          <w:p w14:paraId="19503212" w14:textId="77777777" w:rsidR="00BF3A3A" w:rsidRDefault="00BF3A3A">
            <w:pPr>
              <w:rPr>
                <w:rFonts w:ascii="宋体"/>
                <w:vanish/>
              </w:rPr>
            </w:pPr>
          </w:p>
        </w:tc>
        <w:tc>
          <w:tcPr>
            <w:tcW w:w="0" w:type="auto"/>
            <w:gridSpan w:val="3"/>
            <w:shd w:val="clear" w:color="auto" w:fill="auto"/>
            <w:vAlign w:val="bottom"/>
          </w:tcPr>
          <w:p w14:paraId="19503213" w14:textId="77777777" w:rsidR="00BF3A3A" w:rsidRDefault="00BF3A3A">
            <w:pPr>
              <w:rPr>
                <w:rFonts w:ascii="宋体"/>
                <w:vanish/>
              </w:rPr>
            </w:pPr>
          </w:p>
        </w:tc>
      </w:tr>
      <w:tr w:rsidR="00BF3A3A" w14:paraId="19503219" w14:textId="77777777">
        <w:trPr>
          <w:hidden/>
        </w:trPr>
        <w:tc>
          <w:tcPr>
            <w:tcW w:w="0" w:type="auto"/>
            <w:gridSpan w:val="3"/>
            <w:shd w:val="clear" w:color="auto" w:fill="auto"/>
            <w:vAlign w:val="bottom"/>
          </w:tcPr>
          <w:p w14:paraId="19503215" w14:textId="77777777" w:rsidR="00BF3A3A" w:rsidRDefault="00BF3A3A">
            <w:pPr>
              <w:rPr>
                <w:rFonts w:ascii="宋体"/>
                <w:vanish/>
              </w:rPr>
            </w:pPr>
          </w:p>
        </w:tc>
        <w:tc>
          <w:tcPr>
            <w:tcW w:w="0" w:type="auto"/>
            <w:gridSpan w:val="3"/>
            <w:shd w:val="clear" w:color="auto" w:fill="auto"/>
            <w:vAlign w:val="bottom"/>
          </w:tcPr>
          <w:p w14:paraId="19503216" w14:textId="77777777" w:rsidR="00BF3A3A" w:rsidRDefault="00BF3A3A">
            <w:pPr>
              <w:rPr>
                <w:rFonts w:ascii="宋体"/>
                <w:vanish/>
              </w:rPr>
            </w:pPr>
          </w:p>
        </w:tc>
        <w:tc>
          <w:tcPr>
            <w:tcW w:w="0" w:type="auto"/>
            <w:gridSpan w:val="3"/>
            <w:shd w:val="clear" w:color="auto" w:fill="auto"/>
            <w:vAlign w:val="bottom"/>
          </w:tcPr>
          <w:p w14:paraId="19503217" w14:textId="77777777" w:rsidR="00BF3A3A" w:rsidRDefault="00BF3A3A">
            <w:pPr>
              <w:rPr>
                <w:rFonts w:ascii="宋体"/>
                <w:vanish/>
              </w:rPr>
            </w:pPr>
          </w:p>
        </w:tc>
        <w:tc>
          <w:tcPr>
            <w:tcW w:w="0" w:type="auto"/>
            <w:gridSpan w:val="3"/>
            <w:shd w:val="clear" w:color="auto" w:fill="auto"/>
            <w:vAlign w:val="bottom"/>
          </w:tcPr>
          <w:p w14:paraId="19503218" w14:textId="77777777" w:rsidR="00BF3A3A" w:rsidRDefault="00BF3A3A">
            <w:pPr>
              <w:rPr>
                <w:rFonts w:ascii="宋体"/>
                <w:vanish/>
              </w:rPr>
            </w:pPr>
          </w:p>
        </w:tc>
      </w:tr>
      <w:tr w:rsidR="00BF3A3A" w14:paraId="1950321E" w14:textId="77777777">
        <w:trPr>
          <w:hidden/>
        </w:trPr>
        <w:tc>
          <w:tcPr>
            <w:tcW w:w="0" w:type="auto"/>
            <w:gridSpan w:val="3"/>
            <w:shd w:val="clear" w:color="auto" w:fill="auto"/>
            <w:vAlign w:val="bottom"/>
          </w:tcPr>
          <w:p w14:paraId="1950321A" w14:textId="77777777" w:rsidR="00BF3A3A" w:rsidRDefault="00BF3A3A">
            <w:pPr>
              <w:rPr>
                <w:rFonts w:ascii="宋体"/>
                <w:vanish/>
              </w:rPr>
            </w:pPr>
          </w:p>
        </w:tc>
        <w:tc>
          <w:tcPr>
            <w:tcW w:w="0" w:type="auto"/>
            <w:gridSpan w:val="3"/>
            <w:shd w:val="clear" w:color="auto" w:fill="auto"/>
            <w:vAlign w:val="bottom"/>
          </w:tcPr>
          <w:p w14:paraId="1950321B" w14:textId="77777777" w:rsidR="00BF3A3A" w:rsidRDefault="00BF3A3A">
            <w:pPr>
              <w:rPr>
                <w:rFonts w:ascii="宋体"/>
                <w:vanish/>
              </w:rPr>
            </w:pPr>
          </w:p>
        </w:tc>
        <w:tc>
          <w:tcPr>
            <w:tcW w:w="0" w:type="auto"/>
            <w:gridSpan w:val="3"/>
            <w:shd w:val="clear" w:color="auto" w:fill="auto"/>
            <w:vAlign w:val="bottom"/>
          </w:tcPr>
          <w:p w14:paraId="1950321C" w14:textId="77777777" w:rsidR="00BF3A3A" w:rsidRDefault="00BF3A3A">
            <w:pPr>
              <w:rPr>
                <w:rFonts w:ascii="宋体"/>
                <w:vanish/>
              </w:rPr>
            </w:pPr>
          </w:p>
        </w:tc>
        <w:tc>
          <w:tcPr>
            <w:tcW w:w="0" w:type="auto"/>
            <w:gridSpan w:val="3"/>
            <w:shd w:val="clear" w:color="auto" w:fill="auto"/>
            <w:vAlign w:val="bottom"/>
          </w:tcPr>
          <w:p w14:paraId="1950321D" w14:textId="77777777" w:rsidR="00BF3A3A" w:rsidRDefault="00BF3A3A">
            <w:pPr>
              <w:rPr>
                <w:rFonts w:ascii="宋体"/>
                <w:vanish/>
              </w:rPr>
            </w:pPr>
          </w:p>
        </w:tc>
      </w:tr>
      <w:tr w:rsidR="00BF3A3A" w14:paraId="19503223" w14:textId="77777777">
        <w:trPr>
          <w:hidden/>
        </w:trPr>
        <w:tc>
          <w:tcPr>
            <w:tcW w:w="0" w:type="auto"/>
            <w:gridSpan w:val="3"/>
            <w:shd w:val="clear" w:color="auto" w:fill="auto"/>
            <w:vAlign w:val="bottom"/>
          </w:tcPr>
          <w:p w14:paraId="1950321F" w14:textId="77777777" w:rsidR="00BF3A3A" w:rsidRDefault="00BF3A3A">
            <w:pPr>
              <w:rPr>
                <w:rFonts w:ascii="宋体"/>
                <w:vanish/>
              </w:rPr>
            </w:pPr>
          </w:p>
        </w:tc>
        <w:tc>
          <w:tcPr>
            <w:tcW w:w="0" w:type="auto"/>
            <w:gridSpan w:val="3"/>
            <w:shd w:val="clear" w:color="auto" w:fill="auto"/>
            <w:vAlign w:val="bottom"/>
          </w:tcPr>
          <w:p w14:paraId="19503220" w14:textId="77777777" w:rsidR="00BF3A3A" w:rsidRDefault="00BF3A3A">
            <w:pPr>
              <w:rPr>
                <w:rFonts w:ascii="宋体"/>
                <w:vanish/>
              </w:rPr>
            </w:pPr>
          </w:p>
        </w:tc>
        <w:tc>
          <w:tcPr>
            <w:tcW w:w="0" w:type="auto"/>
            <w:gridSpan w:val="3"/>
            <w:shd w:val="clear" w:color="auto" w:fill="auto"/>
            <w:vAlign w:val="bottom"/>
          </w:tcPr>
          <w:p w14:paraId="19503221" w14:textId="77777777" w:rsidR="00BF3A3A" w:rsidRDefault="00BF3A3A">
            <w:pPr>
              <w:rPr>
                <w:rFonts w:ascii="宋体"/>
                <w:vanish/>
              </w:rPr>
            </w:pPr>
          </w:p>
        </w:tc>
        <w:tc>
          <w:tcPr>
            <w:tcW w:w="0" w:type="auto"/>
            <w:gridSpan w:val="3"/>
            <w:shd w:val="clear" w:color="auto" w:fill="auto"/>
            <w:vAlign w:val="bottom"/>
          </w:tcPr>
          <w:p w14:paraId="19503222" w14:textId="77777777" w:rsidR="00BF3A3A" w:rsidRDefault="00BF3A3A">
            <w:pPr>
              <w:rPr>
                <w:rFonts w:ascii="宋体"/>
                <w:vanish/>
              </w:rPr>
            </w:pPr>
          </w:p>
        </w:tc>
      </w:tr>
      <w:tr w:rsidR="00BF3A3A" w14:paraId="19503228" w14:textId="77777777">
        <w:trPr>
          <w:hidden/>
        </w:trPr>
        <w:tc>
          <w:tcPr>
            <w:tcW w:w="0" w:type="auto"/>
            <w:gridSpan w:val="3"/>
            <w:shd w:val="clear" w:color="auto" w:fill="auto"/>
            <w:vAlign w:val="bottom"/>
          </w:tcPr>
          <w:p w14:paraId="19503224" w14:textId="77777777" w:rsidR="00BF3A3A" w:rsidRDefault="00BF3A3A">
            <w:pPr>
              <w:rPr>
                <w:rFonts w:ascii="宋体"/>
                <w:vanish/>
              </w:rPr>
            </w:pPr>
          </w:p>
        </w:tc>
        <w:tc>
          <w:tcPr>
            <w:tcW w:w="0" w:type="auto"/>
            <w:gridSpan w:val="3"/>
            <w:shd w:val="clear" w:color="auto" w:fill="auto"/>
            <w:vAlign w:val="bottom"/>
          </w:tcPr>
          <w:p w14:paraId="19503225" w14:textId="77777777" w:rsidR="00BF3A3A" w:rsidRDefault="00BF3A3A">
            <w:pPr>
              <w:rPr>
                <w:rFonts w:ascii="宋体"/>
                <w:vanish/>
              </w:rPr>
            </w:pPr>
          </w:p>
        </w:tc>
        <w:tc>
          <w:tcPr>
            <w:tcW w:w="0" w:type="auto"/>
            <w:gridSpan w:val="3"/>
            <w:shd w:val="clear" w:color="auto" w:fill="auto"/>
            <w:vAlign w:val="bottom"/>
          </w:tcPr>
          <w:p w14:paraId="19503226" w14:textId="77777777" w:rsidR="00BF3A3A" w:rsidRDefault="00BF3A3A">
            <w:pPr>
              <w:rPr>
                <w:rFonts w:ascii="宋体"/>
                <w:vanish/>
              </w:rPr>
            </w:pPr>
          </w:p>
        </w:tc>
        <w:tc>
          <w:tcPr>
            <w:tcW w:w="0" w:type="auto"/>
            <w:gridSpan w:val="3"/>
            <w:shd w:val="clear" w:color="auto" w:fill="auto"/>
            <w:vAlign w:val="bottom"/>
          </w:tcPr>
          <w:p w14:paraId="19503227" w14:textId="77777777" w:rsidR="00BF3A3A" w:rsidRDefault="00BF3A3A">
            <w:pPr>
              <w:rPr>
                <w:rFonts w:ascii="宋体"/>
                <w:vanish/>
              </w:rPr>
            </w:pPr>
          </w:p>
        </w:tc>
      </w:tr>
      <w:tr w:rsidR="00BF3A3A" w14:paraId="1950322F" w14:textId="77777777">
        <w:tc>
          <w:tcPr>
            <w:tcW w:w="0" w:type="auto"/>
            <w:gridSpan w:val="3"/>
            <w:shd w:val="clear" w:color="auto" w:fill="FFFFFF"/>
            <w:tcMar>
              <w:top w:w="40" w:type="dxa"/>
              <w:left w:w="20" w:type="dxa"/>
              <w:bottom w:w="40" w:type="dxa"/>
              <w:right w:w="20" w:type="dxa"/>
            </w:tcMar>
            <w:vAlign w:val="bottom"/>
          </w:tcPr>
          <w:p w14:paraId="19503229" w14:textId="77777777" w:rsidR="00BF3A3A" w:rsidRDefault="00A76802">
            <w:pPr>
              <w:textAlignment w:val="bottom"/>
            </w:pPr>
            <w:r>
              <w:rPr>
                <w:rFonts w:ascii="sans-serif" w:eastAsia="sans-serif" w:hAnsi="sans-serif" w:cs="sans-serif"/>
                <w:color w:val="000000"/>
                <w:sz w:val="20"/>
                <w:szCs w:val="20"/>
              </w:rPr>
              <w:t>Taxes payable</w:t>
            </w:r>
          </w:p>
        </w:tc>
        <w:tc>
          <w:tcPr>
            <w:tcW w:w="0" w:type="auto"/>
            <w:gridSpan w:val="2"/>
            <w:shd w:val="clear" w:color="auto" w:fill="FFFFFF"/>
            <w:tcMar>
              <w:top w:w="40" w:type="dxa"/>
              <w:left w:w="20" w:type="dxa"/>
              <w:bottom w:w="40" w:type="dxa"/>
              <w:right w:w="0" w:type="dxa"/>
            </w:tcMar>
            <w:vAlign w:val="bottom"/>
          </w:tcPr>
          <w:p w14:paraId="1950322A" w14:textId="77777777" w:rsidR="00BF3A3A" w:rsidRDefault="00A76802">
            <w:pPr>
              <w:jc w:val="right"/>
              <w:textAlignment w:val="bottom"/>
            </w:pPr>
            <w:r>
              <w:rPr>
                <w:rFonts w:ascii="sans-serif" w:eastAsia="sans-serif" w:hAnsi="sans-serif" w:cs="sans-serif"/>
                <w:color w:val="000000"/>
                <w:sz w:val="20"/>
                <w:szCs w:val="20"/>
              </w:rPr>
              <w:t>158 </w:t>
            </w:r>
          </w:p>
        </w:tc>
        <w:tc>
          <w:tcPr>
            <w:tcW w:w="0" w:type="auto"/>
            <w:shd w:val="clear" w:color="auto" w:fill="FFFFFF"/>
            <w:tcMar>
              <w:top w:w="40" w:type="dxa"/>
              <w:left w:w="0" w:type="dxa"/>
              <w:bottom w:w="40" w:type="dxa"/>
              <w:right w:w="20" w:type="dxa"/>
            </w:tcMar>
            <w:vAlign w:val="bottom"/>
          </w:tcPr>
          <w:p w14:paraId="1950322B"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22C"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22D" w14:textId="77777777" w:rsidR="00BF3A3A" w:rsidRDefault="00A76802">
            <w:pPr>
              <w:jc w:val="right"/>
              <w:textAlignment w:val="bottom"/>
            </w:pPr>
            <w:r>
              <w:rPr>
                <w:rFonts w:ascii="sans-serif" w:eastAsia="sans-serif" w:hAnsi="sans-serif" w:cs="sans-serif"/>
                <w:color w:val="000000"/>
                <w:sz w:val="20"/>
                <w:szCs w:val="20"/>
              </w:rPr>
              <w:t>132 </w:t>
            </w:r>
          </w:p>
        </w:tc>
        <w:tc>
          <w:tcPr>
            <w:tcW w:w="0" w:type="auto"/>
            <w:shd w:val="clear" w:color="auto" w:fill="FFFFFF"/>
            <w:tcMar>
              <w:top w:w="40" w:type="dxa"/>
              <w:left w:w="0" w:type="dxa"/>
              <w:bottom w:w="40" w:type="dxa"/>
              <w:right w:w="20" w:type="dxa"/>
            </w:tcMar>
            <w:vAlign w:val="bottom"/>
          </w:tcPr>
          <w:p w14:paraId="1950322E" w14:textId="77777777" w:rsidR="00BF3A3A" w:rsidRDefault="00BF3A3A">
            <w:pPr>
              <w:jc w:val="right"/>
              <w:rPr>
                <w:rFonts w:ascii="宋体"/>
              </w:rPr>
            </w:pPr>
          </w:p>
        </w:tc>
      </w:tr>
      <w:tr w:rsidR="00BF3A3A" w14:paraId="19503234" w14:textId="77777777">
        <w:trPr>
          <w:hidden/>
        </w:trPr>
        <w:tc>
          <w:tcPr>
            <w:tcW w:w="0" w:type="auto"/>
            <w:gridSpan w:val="3"/>
            <w:shd w:val="clear" w:color="auto" w:fill="auto"/>
            <w:vAlign w:val="bottom"/>
          </w:tcPr>
          <w:p w14:paraId="19503230" w14:textId="77777777" w:rsidR="00BF3A3A" w:rsidRDefault="00BF3A3A">
            <w:pPr>
              <w:rPr>
                <w:rFonts w:ascii="宋体"/>
                <w:vanish/>
              </w:rPr>
            </w:pPr>
          </w:p>
        </w:tc>
        <w:tc>
          <w:tcPr>
            <w:tcW w:w="0" w:type="auto"/>
            <w:gridSpan w:val="3"/>
            <w:shd w:val="clear" w:color="auto" w:fill="auto"/>
            <w:vAlign w:val="bottom"/>
          </w:tcPr>
          <w:p w14:paraId="19503231" w14:textId="77777777" w:rsidR="00BF3A3A" w:rsidRDefault="00BF3A3A">
            <w:pPr>
              <w:rPr>
                <w:rFonts w:ascii="宋体"/>
                <w:vanish/>
              </w:rPr>
            </w:pPr>
          </w:p>
        </w:tc>
        <w:tc>
          <w:tcPr>
            <w:tcW w:w="0" w:type="auto"/>
            <w:gridSpan w:val="3"/>
            <w:shd w:val="clear" w:color="auto" w:fill="auto"/>
            <w:vAlign w:val="bottom"/>
          </w:tcPr>
          <w:p w14:paraId="19503232" w14:textId="77777777" w:rsidR="00BF3A3A" w:rsidRDefault="00BF3A3A">
            <w:pPr>
              <w:rPr>
                <w:rFonts w:ascii="宋体"/>
                <w:vanish/>
              </w:rPr>
            </w:pPr>
          </w:p>
        </w:tc>
        <w:tc>
          <w:tcPr>
            <w:tcW w:w="0" w:type="auto"/>
            <w:gridSpan w:val="3"/>
            <w:shd w:val="clear" w:color="auto" w:fill="auto"/>
            <w:vAlign w:val="bottom"/>
          </w:tcPr>
          <w:p w14:paraId="19503233" w14:textId="77777777" w:rsidR="00BF3A3A" w:rsidRDefault="00BF3A3A">
            <w:pPr>
              <w:rPr>
                <w:rFonts w:ascii="宋体"/>
                <w:vanish/>
              </w:rPr>
            </w:pPr>
          </w:p>
        </w:tc>
      </w:tr>
      <w:tr w:rsidR="00BF3A3A" w14:paraId="19503239" w14:textId="77777777">
        <w:trPr>
          <w:hidden/>
        </w:trPr>
        <w:tc>
          <w:tcPr>
            <w:tcW w:w="0" w:type="auto"/>
            <w:gridSpan w:val="3"/>
            <w:shd w:val="clear" w:color="auto" w:fill="auto"/>
            <w:vAlign w:val="bottom"/>
          </w:tcPr>
          <w:p w14:paraId="19503235" w14:textId="77777777" w:rsidR="00BF3A3A" w:rsidRDefault="00BF3A3A">
            <w:pPr>
              <w:rPr>
                <w:rFonts w:ascii="宋体"/>
                <w:vanish/>
              </w:rPr>
            </w:pPr>
          </w:p>
        </w:tc>
        <w:tc>
          <w:tcPr>
            <w:tcW w:w="0" w:type="auto"/>
            <w:gridSpan w:val="3"/>
            <w:shd w:val="clear" w:color="auto" w:fill="auto"/>
            <w:vAlign w:val="bottom"/>
          </w:tcPr>
          <w:p w14:paraId="19503236" w14:textId="77777777" w:rsidR="00BF3A3A" w:rsidRDefault="00BF3A3A">
            <w:pPr>
              <w:rPr>
                <w:rFonts w:ascii="宋体"/>
                <w:vanish/>
              </w:rPr>
            </w:pPr>
          </w:p>
        </w:tc>
        <w:tc>
          <w:tcPr>
            <w:tcW w:w="0" w:type="auto"/>
            <w:gridSpan w:val="3"/>
            <w:shd w:val="clear" w:color="auto" w:fill="auto"/>
            <w:vAlign w:val="bottom"/>
          </w:tcPr>
          <w:p w14:paraId="19503237" w14:textId="77777777" w:rsidR="00BF3A3A" w:rsidRDefault="00BF3A3A">
            <w:pPr>
              <w:rPr>
                <w:rFonts w:ascii="宋体"/>
                <w:vanish/>
              </w:rPr>
            </w:pPr>
          </w:p>
        </w:tc>
        <w:tc>
          <w:tcPr>
            <w:tcW w:w="0" w:type="auto"/>
            <w:gridSpan w:val="3"/>
            <w:shd w:val="clear" w:color="auto" w:fill="auto"/>
            <w:vAlign w:val="bottom"/>
          </w:tcPr>
          <w:p w14:paraId="19503238" w14:textId="77777777" w:rsidR="00BF3A3A" w:rsidRDefault="00BF3A3A">
            <w:pPr>
              <w:rPr>
                <w:rFonts w:ascii="宋体"/>
                <w:vanish/>
              </w:rPr>
            </w:pPr>
          </w:p>
        </w:tc>
      </w:tr>
      <w:tr w:rsidR="00BF3A3A" w14:paraId="1950323E" w14:textId="77777777">
        <w:trPr>
          <w:hidden/>
        </w:trPr>
        <w:tc>
          <w:tcPr>
            <w:tcW w:w="0" w:type="auto"/>
            <w:gridSpan w:val="3"/>
            <w:shd w:val="clear" w:color="auto" w:fill="auto"/>
            <w:vAlign w:val="bottom"/>
          </w:tcPr>
          <w:p w14:paraId="1950323A" w14:textId="77777777" w:rsidR="00BF3A3A" w:rsidRDefault="00BF3A3A">
            <w:pPr>
              <w:rPr>
                <w:rFonts w:ascii="宋体"/>
                <w:vanish/>
              </w:rPr>
            </w:pPr>
          </w:p>
        </w:tc>
        <w:tc>
          <w:tcPr>
            <w:tcW w:w="0" w:type="auto"/>
            <w:gridSpan w:val="3"/>
            <w:shd w:val="clear" w:color="auto" w:fill="auto"/>
            <w:vAlign w:val="bottom"/>
          </w:tcPr>
          <w:p w14:paraId="1950323B" w14:textId="77777777" w:rsidR="00BF3A3A" w:rsidRDefault="00BF3A3A">
            <w:pPr>
              <w:rPr>
                <w:rFonts w:ascii="宋体"/>
                <w:vanish/>
              </w:rPr>
            </w:pPr>
          </w:p>
        </w:tc>
        <w:tc>
          <w:tcPr>
            <w:tcW w:w="0" w:type="auto"/>
            <w:gridSpan w:val="3"/>
            <w:shd w:val="clear" w:color="auto" w:fill="auto"/>
            <w:vAlign w:val="bottom"/>
          </w:tcPr>
          <w:p w14:paraId="1950323C" w14:textId="77777777" w:rsidR="00BF3A3A" w:rsidRDefault="00BF3A3A">
            <w:pPr>
              <w:rPr>
                <w:rFonts w:ascii="宋体"/>
                <w:vanish/>
              </w:rPr>
            </w:pPr>
          </w:p>
        </w:tc>
        <w:tc>
          <w:tcPr>
            <w:tcW w:w="0" w:type="auto"/>
            <w:gridSpan w:val="3"/>
            <w:shd w:val="clear" w:color="auto" w:fill="auto"/>
            <w:vAlign w:val="bottom"/>
          </w:tcPr>
          <w:p w14:paraId="1950323D" w14:textId="77777777" w:rsidR="00BF3A3A" w:rsidRDefault="00BF3A3A">
            <w:pPr>
              <w:rPr>
                <w:rFonts w:ascii="宋体"/>
                <w:vanish/>
              </w:rPr>
            </w:pPr>
          </w:p>
        </w:tc>
      </w:tr>
      <w:tr w:rsidR="00BF3A3A" w14:paraId="19503243" w14:textId="77777777">
        <w:trPr>
          <w:hidden/>
        </w:trPr>
        <w:tc>
          <w:tcPr>
            <w:tcW w:w="0" w:type="auto"/>
            <w:gridSpan w:val="3"/>
            <w:shd w:val="clear" w:color="auto" w:fill="auto"/>
            <w:vAlign w:val="bottom"/>
          </w:tcPr>
          <w:p w14:paraId="1950323F" w14:textId="77777777" w:rsidR="00BF3A3A" w:rsidRDefault="00BF3A3A">
            <w:pPr>
              <w:rPr>
                <w:rFonts w:ascii="宋体"/>
                <w:vanish/>
              </w:rPr>
            </w:pPr>
          </w:p>
        </w:tc>
        <w:tc>
          <w:tcPr>
            <w:tcW w:w="0" w:type="auto"/>
            <w:gridSpan w:val="3"/>
            <w:shd w:val="clear" w:color="auto" w:fill="auto"/>
            <w:vAlign w:val="bottom"/>
          </w:tcPr>
          <w:p w14:paraId="19503240" w14:textId="77777777" w:rsidR="00BF3A3A" w:rsidRDefault="00BF3A3A">
            <w:pPr>
              <w:rPr>
                <w:rFonts w:ascii="宋体"/>
                <w:vanish/>
              </w:rPr>
            </w:pPr>
          </w:p>
        </w:tc>
        <w:tc>
          <w:tcPr>
            <w:tcW w:w="0" w:type="auto"/>
            <w:gridSpan w:val="3"/>
            <w:shd w:val="clear" w:color="auto" w:fill="auto"/>
            <w:vAlign w:val="bottom"/>
          </w:tcPr>
          <w:p w14:paraId="19503241" w14:textId="77777777" w:rsidR="00BF3A3A" w:rsidRDefault="00BF3A3A">
            <w:pPr>
              <w:rPr>
                <w:rFonts w:ascii="宋体"/>
                <w:vanish/>
              </w:rPr>
            </w:pPr>
          </w:p>
        </w:tc>
        <w:tc>
          <w:tcPr>
            <w:tcW w:w="0" w:type="auto"/>
            <w:gridSpan w:val="3"/>
            <w:shd w:val="clear" w:color="auto" w:fill="auto"/>
            <w:vAlign w:val="bottom"/>
          </w:tcPr>
          <w:p w14:paraId="19503242" w14:textId="77777777" w:rsidR="00BF3A3A" w:rsidRDefault="00BF3A3A">
            <w:pPr>
              <w:rPr>
                <w:rFonts w:ascii="宋体"/>
                <w:vanish/>
              </w:rPr>
            </w:pPr>
          </w:p>
        </w:tc>
      </w:tr>
      <w:tr w:rsidR="00BF3A3A" w14:paraId="1950324A" w14:textId="77777777">
        <w:tc>
          <w:tcPr>
            <w:tcW w:w="0" w:type="auto"/>
            <w:gridSpan w:val="3"/>
            <w:shd w:val="clear" w:color="auto" w:fill="E2EFD9"/>
            <w:tcMar>
              <w:top w:w="40" w:type="dxa"/>
              <w:left w:w="20" w:type="dxa"/>
              <w:bottom w:w="40" w:type="dxa"/>
              <w:right w:w="20" w:type="dxa"/>
            </w:tcMar>
            <w:vAlign w:val="bottom"/>
          </w:tcPr>
          <w:p w14:paraId="19503244" w14:textId="77777777" w:rsidR="00BF3A3A" w:rsidRDefault="00A76802">
            <w:pPr>
              <w:textAlignment w:val="bottom"/>
            </w:pPr>
            <w:r>
              <w:rPr>
                <w:rFonts w:ascii="sans-serif" w:eastAsia="sans-serif" w:hAnsi="sans-serif" w:cs="sans-serif"/>
                <w:color w:val="000000"/>
                <w:sz w:val="20"/>
                <w:szCs w:val="20"/>
              </w:rPr>
              <w:t>Other</w:t>
            </w:r>
          </w:p>
        </w:tc>
        <w:tc>
          <w:tcPr>
            <w:tcW w:w="0" w:type="auto"/>
            <w:gridSpan w:val="2"/>
            <w:shd w:val="clear" w:color="auto" w:fill="E2EFD9"/>
            <w:tcMar>
              <w:top w:w="40" w:type="dxa"/>
              <w:left w:w="20" w:type="dxa"/>
              <w:bottom w:w="40" w:type="dxa"/>
              <w:right w:w="0" w:type="dxa"/>
            </w:tcMar>
            <w:vAlign w:val="bottom"/>
          </w:tcPr>
          <w:p w14:paraId="19503245" w14:textId="77777777" w:rsidR="00BF3A3A" w:rsidRDefault="00A76802">
            <w:pPr>
              <w:jc w:val="right"/>
              <w:textAlignment w:val="bottom"/>
            </w:pPr>
            <w:r>
              <w:rPr>
                <w:rFonts w:ascii="sans-serif" w:eastAsia="sans-serif" w:hAnsi="sans-serif" w:cs="sans-serif"/>
                <w:color w:val="000000"/>
                <w:sz w:val="20"/>
                <w:szCs w:val="20"/>
              </w:rPr>
              <w:t>468 </w:t>
            </w:r>
          </w:p>
        </w:tc>
        <w:tc>
          <w:tcPr>
            <w:tcW w:w="0" w:type="auto"/>
            <w:shd w:val="clear" w:color="auto" w:fill="E2EFD9"/>
            <w:tcMar>
              <w:top w:w="40" w:type="dxa"/>
              <w:left w:w="0" w:type="dxa"/>
              <w:bottom w:w="40" w:type="dxa"/>
              <w:right w:w="20" w:type="dxa"/>
            </w:tcMar>
            <w:vAlign w:val="bottom"/>
          </w:tcPr>
          <w:p w14:paraId="1950324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247"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248" w14:textId="77777777" w:rsidR="00BF3A3A" w:rsidRDefault="00A76802">
            <w:pPr>
              <w:jc w:val="right"/>
              <w:textAlignment w:val="bottom"/>
            </w:pPr>
            <w:r>
              <w:rPr>
                <w:rFonts w:ascii="sans-serif" w:eastAsia="sans-serif" w:hAnsi="sans-serif" w:cs="sans-serif"/>
                <w:color w:val="000000"/>
                <w:sz w:val="20"/>
                <w:szCs w:val="20"/>
              </w:rPr>
              <w:t>469 </w:t>
            </w:r>
          </w:p>
        </w:tc>
        <w:tc>
          <w:tcPr>
            <w:tcW w:w="0" w:type="auto"/>
            <w:shd w:val="clear" w:color="auto" w:fill="E2EFD9"/>
            <w:tcMar>
              <w:top w:w="40" w:type="dxa"/>
              <w:left w:w="0" w:type="dxa"/>
              <w:bottom w:w="40" w:type="dxa"/>
              <w:right w:w="20" w:type="dxa"/>
            </w:tcMar>
            <w:vAlign w:val="bottom"/>
          </w:tcPr>
          <w:p w14:paraId="19503249" w14:textId="77777777" w:rsidR="00BF3A3A" w:rsidRDefault="00BF3A3A">
            <w:pPr>
              <w:jc w:val="right"/>
              <w:rPr>
                <w:rFonts w:ascii="宋体"/>
              </w:rPr>
            </w:pPr>
          </w:p>
        </w:tc>
      </w:tr>
      <w:tr w:rsidR="00BF3A3A" w14:paraId="19503253" w14:textId="77777777">
        <w:tc>
          <w:tcPr>
            <w:tcW w:w="0" w:type="auto"/>
            <w:gridSpan w:val="3"/>
            <w:shd w:val="clear" w:color="auto" w:fill="FFFFFF"/>
            <w:tcMar>
              <w:top w:w="40" w:type="dxa"/>
              <w:left w:w="380" w:type="dxa"/>
              <w:bottom w:w="40" w:type="dxa"/>
              <w:right w:w="20" w:type="dxa"/>
            </w:tcMar>
            <w:vAlign w:val="bottom"/>
          </w:tcPr>
          <w:p w14:paraId="1950324B" w14:textId="77777777" w:rsidR="00BF3A3A" w:rsidRDefault="00A76802">
            <w:pPr>
              <w:textAlignment w:val="bottom"/>
            </w:pPr>
            <w:r>
              <w:rPr>
                <w:rFonts w:ascii="sans-serif" w:eastAsia="sans-serif" w:hAnsi="sans-serif" w:cs="sans-serif"/>
                <w:color w:val="000000"/>
                <w:sz w:val="20"/>
                <w:szCs w:val="20"/>
              </w:rPr>
              <w:t>Total accrued and other current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24C"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324D" w14:textId="77777777" w:rsidR="00BF3A3A" w:rsidRDefault="00A76802">
            <w:pPr>
              <w:jc w:val="right"/>
              <w:textAlignment w:val="bottom"/>
            </w:pPr>
            <w:r>
              <w:rPr>
                <w:rFonts w:ascii="sans-serif" w:eastAsia="sans-serif" w:hAnsi="sans-serif" w:cs="sans-serif"/>
                <w:color w:val="000000"/>
                <w:sz w:val="20"/>
                <w:szCs w:val="20"/>
              </w:rPr>
              <w:t>3,903 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24E"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24F"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250"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3251" w14:textId="77777777" w:rsidR="00BF3A3A" w:rsidRDefault="00A76802">
            <w:pPr>
              <w:jc w:val="right"/>
              <w:textAlignment w:val="bottom"/>
            </w:pPr>
            <w:r>
              <w:rPr>
                <w:rFonts w:ascii="sans-serif" w:eastAsia="sans-serif" w:hAnsi="sans-serif" w:cs="sans-serif"/>
                <w:color w:val="000000"/>
                <w:sz w:val="20"/>
                <w:szCs w:val="20"/>
              </w:rPr>
              <w:t>2,552 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252" w14:textId="77777777" w:rsidR="00BF3A3A" w:rsidRDefault="00BF3A3A">
            <w:pPr>
              <w:jc w:val="right"/>
              <w:rPr>
                <w:rFonts w:ascii="宋体"/>
              </w:rPr>
            </w:pPr>
          </w:p>
        </w:tc>
      </w:tr>
    </w:tbl>
    <w:p w14:paraId="19503254" w14:textId="77777777" w:rsidR="00BF3A3A" w:rsidRDefault="00A76802">
      <w:pPr>
        <w:ind w:hanging="360"/>
        <w:jc w:val="both"/>
      </w:pPr>
      <w:r>
        <w:rPr>
          <w:rFonts w:ascii="sans-serif" w:eastAsia="sans-serif" w:hAnsi="sans-serif" w:cs="sans-serif"/>
          <w:color w:val="000000"/>
          <w:sz w:val="16"/>
          <w:szCs w:val="16"/>
        </w:rPr>
        <w:t xml:space="preserve">(1)    During the second </w:t>
      </w:r>
      <w:r>
        <w:rPr>
          <w:rFonts w:ascii="sans-serif" w:eastAsia="sans-serif" w:hAnsi="sans-serif" w:cs="sans-serif"/>
          <w:color w:val="000000"/>
          <w:sz w:val="16"/>
          <w:szCs w:val="16"/>
        </w:rPr>
        <w:t>quarter of fiscal year 2023, we recorded an expense of approximately $650 million in cost of revenue for inventory purchase obligations in excess of our current demand projections, and cancellation and underutilization penalties.</w:t>
      </w:r>
    </w:p>
    <w:p w14:paraId="19503255" w14:textId="77777777" w:rsidR="00BF3A3A" w:rsidRDefault="00A76802">
      <w:pPr>
        <w:spacing w:after="180"/>
        <w:ind w:hanging="360"/>
        <w:jc w:val="both"/>
      </w:pPr>
      <w:r>
        <w:rPr>
          <w:rFonts w:ascii="sans-serif" w:eastAsia="sans-serif" w:hAnsi="sans-serif" w:cs="sans-serif"/>
          <w:color w:val="000000"/>
          <w:sz w:val="16"/>
          <w:szCs w:val="16"/>
        </w:rPr>
        <w:t>(2)    Deferred revenue primarily includes customer advances and deferrals related to license and development arrangements, support for hardware and software, and cloud services.</w:t>
      </w:r>
    </w:p>
    <w:tbl>
      <w:tblPr>
        <w:tblW w:w="4993" w:type="pct"/>
        <w:tblCellMar>
          <w:top w:w="15" w:type="dxa"/>
          <w:left w:w="15" w:type="dxa"/>
          <w:bottom w:w="15" w:type="dxa"/>
          <w:right w:w="15" w:type="dxa"/>
        </w:tblCellMar>
        <w:tblLook w:val="04A0" w:firstRow="1" w:lastRow="0" w:firstColumn="1" w:lastColumn="0" w:noHBand="0" w:noVBand="1"/>
      </w:tblPr>
      <w:tblGrid>
        <w:gridCol w:w="40"/>
        <w:gridCol w:w="5910"/>
        <w:gridCol w:w="37"/>
        <w:gridCol w:w="122"/>
        <w:gridCol w:w="974"/>
        <w:gridCol w:w="36"/>
        <w:gridCol w:w="36"/>
        <w:gridCol w:w="36"/>
        <w:gridCol w:w="36"/>
        <w:gridCol w:w="123"/>
        <w:gridCol w:w="938"/>
        <w:gridCol w:w="36"/>
      </w:tblGrid>
      <w:tr w:rsidR="00BF3A3A" w14:paraId="19503262" w14:textId="77777777">
        <w:tc>
          <w:tcPr>
            <w:tcW w:w="50" w:type="pct"/>
            <w:shd w:val="clear" w:color="auto" w:fill="auto"/>
            <w:vAlign w:val="bottom"/>
          </w:tcPr>
          <w:p w14:paraId="19503256" w14:textId="77777777" w:rsidR="00BF3A3A" w:rsidRDefault="00BF3A3A">
            <w:pPr>
              <w:rPr>
                <w:rFonts w:ascii="宋体"/>
              </w:rPr>
            </w:pPr>
          </w:p>
        </w:tc>
        <w:tc>
          <w:tcPr>
            <w:tcW w:w="3575" w:type="pct"/>
            <w:shd w:val="clear" w:color="auto" w:fill="auto"/>
            <w:vAlign w:val="bottom"/>
          </w:tcPr>
          <w:p w14:paraId="19503257" w14:textId="77777777" w:rsidR="00BF3A3A" w:rsidRDefault="00BF3A3A">
            <w:pPr>
              <w:rPr>
                <w:rFonts w:ascii="宋体"/>
              </w:rPr>
            </w:pPr>
          </w:p>
        </w:tc>
        <w:tc>
          <w:tcPr>
            <w:tcW w:w="5" w:type="pct"/>
            <w:shd w:val="clear" w:color="auto" w:fill="auto"/>
            <w:vAlign w:val="bottom"/>
          </w:tcPr>
          <w:p w14:paraId="19503258" w14:textId="77777777" w:rsidR="00BF3A3A" w:rsidRDefault="00BF3A3A">
            <w:pPr>
              <w:rPr>
                <w:rFonts w:ascii="宋体"/>
              </w:rPr>
            </w:pPr>
          </w:p>
        </w:tc>
        <w:tc>
          <w:tcPr>
            <w:tcW w:w="50" w:type="pct"/>
            <w:shd w:val="clear" w:color="auto" w:fill="auto"/>
            <w:vAlign w:val="bottom"/>
          </w:tcPr>
          <w:p w14:paraId="19503259" w14:textId="77777777" w:rsidR="00BF3A3A" w:rsidRDefault="00BF3A3A">
            <w:pPr>
              <w:rPr>
                <w:rFonts w:ascii="宋体"/>
              </w:rPr>
            </w:pPr>
          </w:p>
        </w:tc>
        <w:tc>
          <w:tcPr>
            <w:tcW w:w="611" w:type="pct"/>
            <w:shd w:val="clear" w:color="auto" w:fill="auto"/>
            <w:vAlign w:val="bottom"/>
          </w:tcPr>
          <w:p w14:paraId="1950325A" w14:textId="77777777" w:rsidR="00BF3A3A" w:rsidRDefault="00BF3A3A">
            <w:pPr>
              <w:rPr>
                <w:rFonts w:ascii="宋体"/>
              </w:rPr>
            </w:pPr>
          </w:p>
        </w:tc>
        <w:tc>
          <w:tcPr>
            <w:tcW w:w="5" w:type="pct"/>
            <w:shd w:val="clear" w:color="auto" w:fill="auto"/>
            <w:vAlign w:val="bottom"/>
          </w:tcPr>
          <w:p w14:paraId="1950325B" w14:textId="77777777" w:rsidR="00BF3A3A" w:rsidRDefault="00BF3A3A">
            <w:pPr>
              <w:rPr>
                <w:rFonts w:ascii="宋体"/>
              </w:rPr>
            </w:pPr>
          </w:p>
        </w:tc>
        <w:tc>
          <w:tcPr>
            <w:tcW w:w="5" w:type="pct"/>
            <w:shd w:val="clear" w:color="auto" w:fill="auto"/>
            <w:vAlign w:val="bottom"/>
          </w:tcPr>
          <w:p w14:paraId="1950325C" w14:textId="77777777" w:rsidR="00BF3A3A" w:rsidRDefault="00BF3A3A">
            <w:pPr>
              <w:rPr>
                <w:rFonts w:ascii="宋体"/>
              </w:rPr>
            </w:pPr>
          </w:p>
        </w:tc>
        <w:tc>
          <w:tcPr>
            <w:tcW w:w="26" w:type="pct"/>
            <w:shd w:val="clear" w:color="auto" w:fill="auto"/>
            <w:vAlign w:val="bottom"/>
          </w:tcPr>
          <w:p w14:paraId="1950325D" w14:textId="77777777" w:rsidR="00BF3A3A" w:rsidRDefault="00BF3A3A">
            <w:pPr>
              <w:rPr>
                <w:rFonts w:ascii="宋体"/>
              </w:rPr>
            </w:pPr>
          </w:p>
        </w:tc>
        <w:tc>
          <w:tcPr>
            <w:tcW w:w="5" w:type="pct"/>
            <w:shd w:val="clear" w:color="auto" w:fill="auto"/>
            <w:vAlign w:val="bottom"/>
          </w:tcPr>
          <w:p w14:paraId="1950325E" w14:textId="77777777" w:rsidR="00BF3A3A" w:rsidRDefault="00BF3A3A">
            <w:pPr>
              <w:rPr>
                <w:rFonts w:ascii="宋体"/>
              </w:rPr>
            </w:pPr>
          </w:p>
        </w:tc>
        <w:tc>
          <w:tcPr>
            <w:tcW w:w="50" w:type="pct"/>
            <w:shd w:val="clear" w:color="auto" w:fill="auto"/>
            <w:vAlign w:val="bottom"/>
          </w:tcPr>
          <w:p w14:paraId="1950325F" w14:textId="77777777" w:rsidR="00BF3A3A" w:rsidRDefault="00BF3A3A">
            <w:pPr>
              <w:rPr>
                <w:rFonts w:ascii="宋体"/>
              </w:rPr>
            </w:pPr>
          </w:p>
        </w:tc>
        <w:tc>
          <w:tcPr>
            <w:tcW w:w="611" w:type="pct"/>
            <w:shd w:val="clear" w:color="auto" w:fill="auto"/>
            <w:vAlign w:val="bottom"/>
          </w:tcPr>
          <w:p w14:paraId="19503260" w14:textId="77777777" w:rsidR="00BF3A3A" w:rsidRDefault="00BF3A3A">
            <w:pPr>
              <w:rPr>
                <w:rFonts w:ascii="宋体"/>
              </w:rPr>
            </w:pPr>
          </w:p>
        </w:tc>
        <w:tc>
          <w:tcPr>
            <w:tcW w:w="5" w:type="pct"/>
            <w:shd w:val="clear" w:color="auto" w:fill="auto"/>
            <w:vAlign w:val="bottom"/>
          </w:tcPr>
          <w:p w14:paraId="19503261" w14:textId="77777777" w:rsidR="00BF3A3A" w:rsidRDefault="00BF3A3A">
            <w:pPr>
              <w:rPr>
                <w:rFonts w:ascii="宋体"/>
              </w:rPr>
            </w:pPr>
          </w:p>
        </w:tc>
      </w:tr>
      <w:tr w:rsidR="00BF3A3A" w14:paraId="19503267" w14:textId="77777777">
        <w:tc>
          <w:tcPr>
            <w:tcW w:w="0" w:type="auto"/>
            <w:gridSpan w:val="3"/>
            <w:shd w:val="clear" w:color="auto" w:fill="auto"/>
            <w:tcMar>
              <w:top w:w="0" w:type="dxa"/>
              <w:left w:w="20" w:type="dxa"/>
              <w:bottom w:w="0" w:type="dxa"/>
              <w:right w:w="20" w:type="dxa"/>
            </w:tcMar>
            <w:vAlign w:val="bottom"/>
          </w:tcPr>
          <w:p w14:paraId="19503263"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264" w14:textId="77777777" w:rsidR="00BF3A3A" w:rsidRDefault="00A76802">
            <w:pPr>
              <w:jc w:val="center"/>
              <w:textAlignment w:val="bottom"/>
            </w:pPr>
            <w:r>
              <w:rPr>
                <w:rFonts w:ascii="sans-serif" w:eastAsia="sans-serif" w:hAnsi="sans-serif" w:cs="sans-serif"/>
                <w:b/>
                <w:bCs/>
                <w:color w:val="000000"/>
                <w:sz w:val="20"/>
                <w:szCs w:val="20"/>
              </w:rPr>
              <w:t>July 31,</w:t>
            </w:r>
          </w:p>
        </w:tc>
        <w:tc>
          <w:tcPr>
            <w:tcW w:w="0" w:type="auto"/>
            <w:gridSpan w:val="3"/>
            <w:shd w:val="clear" w:color="auto" w:fill="auto"/>
            <w:tcMar>
              <w:top w:w="0" w:type="dxa"/>
              <w:left w:w="20" w:type="dxa"/>
              <w:bottom w:w="0" w:type="dxa"/>
              <w:right w:w="20" w:type="dxa"/>
            </w:tcMar>
            <w:vAlign w:val="bottom"/>
          </w:tcPr>
          <w:p w14:paraId="19503265"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266" w14:textId="77777777" w:rsidR="00BF3A3A" w:rsidRDefault="00A76802">
            <w:pPr>
              <w:jc w:val="center"/>
              <w:textAlignment w:val="bottom"/>
            </w:pPr>
            <w:r>
              <w:rPr>
                <w:rFonts w:ascii="sans-serif" w:eastAsia="sans-serif" w:hAnsi="sans-serif" w:cs="sans-serif"/>
                <w:b/>
                <w:bCs/>
                <w:color w:val="000000"/>
                <w:sz w:val="20"/>
                <w:szCs w:val="20"/>
              </w:rPr>
              <w:t>January 30,</w:t>
            </w:r>
          </w:p>
        </w:tc>
      </w:tr>
      <w:tr w:rsidR="00BF3A3A" w14:paraId="1950326C" w14:textId="77777777">
        <w:tc>
          <w:tcPr>
            <w:tcW w:w="0" w:type="auto"/>
            <w:gridSpan w:val="3"/>
            <w:shd w:val="clear" w:color="auto" w:fill="auto"/>
            <w:tcMar>
              <w:top w:w="40" w:type="dxa"/>
              <w:left w:w="20" w:type="dxa"/>
              <w:bottom w:w="40" w:type="dxa"/>
              <w:right w:w="20" w:type="dxa"/>
            </w:tcMar>
            <w:vAlign w:val="bottom"/>
          </w:tcPr>
          <w:p w14:paraId="19503268"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9503269" w14:textId="77777777" w:rsidR="00BF3A3A" w:rsidRDefault="00A76802">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1950326A"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26B" w14:textId="77777777" w:rsidR="00BF3A3A" w:rsidRDefault="00A76802">
            <w:pPr>
              <w:jc w:val="center"/>
              <w:textAlignment w:val="bottom"/>
            </w:pPr>
            <w:r>
              <w:rPr>
                <w:rFonts w:ascii="sans-serif" w:eastAsia="sans-serif" w:hAnsi="sans-serif" w:cs="sans-serif"/>
                <w:b/>
                <w:bCs/>
                <w:color w:val="000000"/>
                <w:sz w:val="20"/>
                <w:szCs w:val="20"/>
              </w:rPr>
              <w:t>2022</w:t>
            </w:r>
          </w:p>
        </w:tc>
      </w:tr>
      <w:tr w:rsidR="00BF3A3A" w14:paraId="19503271" w14:textId="77777777">
        <w:trPr>
          <w:trHeight w:val="60"/>
        </w:trPr>
        <w:tc>
          <w:tcPr>
            <w:tcW w:w="0" w:type="auto"/>
            <w:gridSpan w:val="3"/>
            <w:shd w:val="clear" w:color="auto" w:fill="auto"/>
            <w:tcMar>
              <w:top w:w="0" w:type="dxa"/>
              <w:left w:w="20" w:type="dxa"/>
              <w:bottom w:w="0" w:type="dxa"/>
              <w:right w:w="20" w:type="dxa"/>
            </w:tcMar>
            <w:vAlign w:val="bottom"/>
          </w:tcPr>
          <w:p w14:paraId="1950326D"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26E"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26F"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270" w14:textId="77777777" w:rsidR="00BF3A3A" w:rsidRDefault="00BF3A3A">
            <w:pPr>
              <w:rPr>
                <w:rFonts w:ascii="宋体"/>
              </w:rPr>
            </w:pPr>
          </w:p>
        </w:tc>
      </w:tr>
      <w:tr w:rsidR="00BF3A3A" w14:paraId="19503274" w14:textId="77777777">
        <w:tc>
          <w:tcPr>
            <w:tcW w:w="0" w:type="auto"/>
            <w:gridSpan w:val="3"/>
            <w:shd w:val="clear" w:color="auto" w:fill="auto"/>
            <w:tcMar>
              <w:top w:w="40" w:type="dxa"/>
              <w:left w:w="20" w:type="dxa"/>
              <w:bottom w:w="40" w:type="dxa"/>
              <w:right w:w="20" w:type="dxa"/>
            </w:tcMar>
            <w:vAlign w:val="bottom"/>
          </w:tcPr>
          <w:p w14:paraId="19503272" w14:textId="77777777" w:rsidR="00BF3A3A" w:rsidRDefault="00A76802">
            <w:pPr>
              <w:textAlignment w:val="bottom"/>
            </w:pPr>
            <w:r>
              <w:rPr>
                <w:rFonts w:ascii="sans-serif" w:eastAsia="sans-serif" w:hAnsi="sans-serif" w:cs="sans-serif"/>
                <w:b/>
                <w:bCs/>
                <w:color w:val="000000"/>
                <w:sz w:val="20"/>
                <w:szCs w:val="20"/>
              </w:rPr>
              <w:t xml:space="preserve">Other </w:t>
            </w:r>
            <w:r>
              <w:rPr>
                <w:rFonts w:ascii="sans-serif" w:eastAsia="sans-serif" w:hAnsi="sans-serif" w:cs="sans-serif"/>
                <w:b/>
                <w:bCs/>
                <w:color w:val="000000"/>
                <w:sz w:val="20"/>
                <w:szCs w:val="20"/>
              </w:rPr>
              <w:t>Long-Term Liabilities:</w:t>
            </w:r>
          </w:p>
        </w:tc>
        <w:tc>
          <w:tcPr>
            <w:tcW w:w="0" w:type="auto"/>
            <w:gridSpan w:val="9"/>
            <w:shd w:val="clear" w:color="auto" w:fill="auto"/>
            <w:tcMar>
              <w:top w:w="40" w:type="dxa"/>
              <w:left w:w="20" w:type="dxa"/>
              <w:bottom w:w="40" w:type="dxa"/>
              <w:right w:w="20" w:type="dxa"/>
            </w:tcMar>
            <w:vAlign w:val="bottom"/>
          </w:tcPr>
          <w:p w14:paraId="19503273" w14:textId="77777777" w:rsidR="00BF3A3A" w:rsidRDefault="00A76802">
            <w:pPr>
              <w:jc w:val="center"/>
              <w:textAlignment w:val="bottom"/>
            </w:pPr>
            <w:r>
              <w:rPr>
                <w:rFonts w:ascii="sans-serif" w:eastAsia="sans-serif" w:hAnsi="sans-serif" w:cs="sans-serif"/>
                <w:i/>
                <w:iCs/>
                <w:color w:val="000000"/>
                <w:sz w:val="20"/>
                <w:szCs w:val="20"/>
              </w:rPr>
              <w:t>(In millions)</w:t>
            </w:r>
          </w:p>
        </w:tc>
      </w:tr>
      <w:tr w:rsidR="00BF3A3A" w14:paraId="1950327D" w14:textId="77777777">
        <w:tc>
          <w:tcPr>
            <w:tcW w:w="0" w:type="auto"/>
            <w:gridSpan w:val="3"/>
            <w:shd w:val="clear" w:color="auto" w:fill="E2EFD9"/>
            <w:tcMar>
              <w:top w:w="40" w:type="dxa"/>
              <w:left w:w="20" w:type="dxa"/>
              <w:bottom w:w="40" w:type="dxa"/>
              <w:right w:w="20" w:type="dxa"/>
            </w:tcMar>
            <w:vAlign w:val="bottom"/>
          </w:tcPr>
          <w:p w14:paraId="19503275" w14:textId="77777777" w:rsidR="00BF3A3A" w:rsidRDefault="00A76802">
            <w:pPr>
              <w:textAlignment w:val="bottom"/>
            </w:pPr>
            <w:r>
              <w:rPr>
                <w:rFonts w:ascii="sans-serif" w:eastAsia="sans-serif" w:hAnsi="sans-serif" w:cs="sans-serif"/>
                <w:color w:val="000000"/>
                <w:sz w:val="20"/>
                <w:szCs w:val="20"/>
              </w:rPr>
              <w:t>Income tax payable (1)</w:t>
            </w:r>
          </w:p>
        </w:tc>
        <w:tc>
          <w:tcPr>
            <w:tcW w:w="0" w:type="auto"/>
            <w:shd w:val="clear" w:color="auto" w:fill="E2EFD9"/>
            <w:tcMar>
              <w:top w:w="40" w:type="dxa"/>
              <w:left w:w="20" w:type="dxa"/>
              <w:bottom w:w="40" w:type="dxa"/>
              <w:right w:w="0" w:type="dxa"/>
            </w:tcMar>
            <w:vAlign w:val="bottom"/>
          </w:tcPr>
          <w:p w14:paraId="19503276"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277" w14:textId="77777777" w:rsidR="00BF3A3A" w:rsidRDefault="00A76802">
            <w:pPr>
              <w:jc w:val="right"/>
              <w:textAlignment w:val="bottom"/>
            </w:pPr>
            <w:r>
              <w:rPr>
                <w:rFonts w:ascii="sans-serif" w:eastAsia="sans-serif" w:hAnsi="sans-serif" w:cs="sans-serif"/>
                <w:color w:val="000000"/>
                <w:sz w:val="20"/>
                <w:szCs w:val="20"/>
              </w:rPr>
              <w:t>1,022 </w:t>
            </w:r>
          </w:p>
        </w:tc>
        <w:tc>
          <w:tcPr>
            <w:tcW w:w="0" w:type="auto"/>
            <w:shd w:val="clear" w:color="auto" w:fill="E2EFD9"/>
            <w:tcMar>
              <w:top w:w="40" w:type="dxa"/>
              <w:left w:w="0" w:type="dxa"/>
              <w:bottom w:w="40" w:type="dxa"/>
              <w:right w:w="20" w:type="dxa"/>
            </w:tcMar>
            <w:vAlign w:val="bottom"/>
          </w:tcPr>
          <w:p w14:paraId="1950327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279"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27A"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27B" w14:textId="77777777" w:rsidR="00BF3A3A" w:rsidRDefault="00A76802">
            <w:pPr>
              <w:jc w:val="right"/>
              <w:textAlignment w:val="bottom"/>
            </w:pPr>
            <w:r>
              <w:rPr>
                <w:rFonts w:ascii="sans-serif" w:eastAsia="sans-serif" w:hAnsi="sans-serif" w:cs="sans-serif"/>
                <w:color w:val="000000"/>
                <w:sz w:val="20"/>
                <w:szCs w:val="20"/>
              </w:rPr>
              <w:t>980 </w:t>
            </w:r>
          </w:p>
        </w:tc>
        <w:tc>
          <w:tcPr>
            <w:tcW w:w="0" w:type="auto"/>
            <w:shd w:val="clear" w:color="auto" w:fill="E2EFD9"/>
            <w:tcMar>
              <w:top w:w="40" w:type="dxa"/>
              <w:left w:w="0" w:type="dxa"/>
              <w:bottom w:w="40" w:type="dxa"/>
              <w:right w:w="20" w:type="dxa"/>
            </w:tcMar>
            <w:vAlign w:val="bottom"/>
          </w:tcPr>
          <w:p w14:paraId="1950327C" w14:textId="77777777" w:rsidR="00BF3A3A" w:rsidRDefault="00BF3A3A">
            <w:pPr>
              <w:jc w:val="right"/>
              <w:rPr>
                <w:rFonts w:ascii="宋体"/>
              </w:rPr>
            </w:pPr>
          </w:p>
        </w:tc>
      </w:tr>
      <w:tr w:rsidR="00BF3A3A" w14:paraId="19503284" w14:textId="77777777">
        <w:tc>
          <w:tcPr>
            <w:tcW w:w="0" w:type="auto"/>
            <w:gridSpan w:val="3"/>
            <w:shd w:val="clear" w:color="auto" w:fill="FFFFFF"/>
            <w:tcMar>
              <w:top w:w="40" w:type="dxa"/>
              <w:left w:w="20" w:type="dxa"/>
              <w:bottom w:w="40" w:type="dxa"/>
              <w:right w:w="20" w:type="dxa"/>
            </w:tcMar>
            <w:vAlign w:val="bottom"/>
          </w:tcPr>
          <w:p w14:paraId="1950327E" w14:textId="77777777" w:rsidR="00BF3A3A" w:rsidRDefault="00A76802">
            <w:pPr>
              <w:textAlignment w:val="bottom"/>
            </w:pPr>
            <w:r>
              <w:rPr>
                <w:rFonts w:ascii="sans-serif" w:eastAsia="sans-serif" w:hAnsi="sans-serif" w:cs="sans-serif"/>
                <w:color w:val="000000"/>
                <w:sz w:val="20"/>
                <w:szCs w:val="20"/>
              </w:rPr>
              <w:t>Deferred income tax</w:t>
            </w:r>
          </w:p>
        </w:tc>
        <w:tc>
          <w:tcPr>
            <w:tcW w:w="0" w:type="auto"/>
            <w:gridSpan w:val="2"/>
            <w:shd w:val="clear" w:color="auto" w:fill="FFFFFF"/>
            <w:tcMar>
              <w:top w:w="40" w:type="dxa"/>
              <w:left w:w="20" w:type="dxa"/>
              <w:bottom w:w="40" w:type="dxa"/>
              <w:right w:w="0" w:type="dxa"/>
            </w:tcMar>
            <w:vAlign w:val="bottom"/>
          </w:tcPr>
          <w:p w14:paraId="1950327F" w14:textId="77777777" w:rsidR="00BF3A3A" w:rsidRDefault="00A76802">
            <w:pPr>
              <w:jc w:val="right"/>
              <w:textAlignment w:val="bottom"/>
            </w:pPr>
            <w:r>
              <w:rPr>
                <w:rFonts w:ascii="sans-serif" w:eastAsia="sans-serif" w:hAnsi="sans-serif" w:cs="sans-serif"/>
                <w:color w:val="000000"/>
                <w:sz w:val="20"/>
                <w:szCs w:val="20"/>
              </w:rPr>
              <w:t>252 </w:t>
            </w:r>
          </w:p>
        </w:tc>
        <w:tc>
          <w:tcPr>
            <w:tcW w:w="0" w:type="auto"/>
            <w:shd w:val="clear" w:color="auto" w:fill="FFFFFF"/>
            <w:tcMar>
              <w:top w:w="40" w:type="dxa"/>
              <w:left w:w="0" w:type="dxa"/>
              <w:bottom w:w="40" w:type="dxa"/>
              <w:right w:w="20" w:type="dxa"/>
            </w:tcMar>
            <w:vAlign w:val="bottom"/>
          </w:tcPr>
          <w:p w14:paraId="1950328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281"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282" w14:textId="77777777" w:rsidR="00BF3A3A" w:rsidRDefault="00A76802">
            <w:pPr>
              <w:jc w:val="right"/>
              <w:textAlignment w:val="bottom"/>
            </w:pPr>
            <w:r>
              <w:rPr>
                <w:rFonts w:ascii="sans-serif" w:eastAsia="sans-serif" w:hAnsi="sans-serif" w:cs="sans-serif"/>
                <w:color w:val="000000"/>
                <w:sz w:val="20"/>
                <w:szCs w:val="20"/>
              </w:rPr>
              <w:t>245 </w:t>
            </w:r>
          </w:p>
        </w:tc>
        <w:tc>
          <w:tcPr>
            <w:tcW w:w="0" w:type="auto"/>
            <w:shd w:val="clear" w:color="auto" w:fill="FFFFFF"/>
            <w:tcMar>
              <w:top w:w="40" w:type="dxa"/>
              <w:left w:w="0" w:type="dxa"/>
              <w:bottom w:w="40" w:type="dxa"/>
              <w:right w:w="20" w:type="dxa"/>
            </w:tcMar>
            <w:vAlign w:val="bottom"/>
          </w:tcPr>
          <w:p w14:paraId="19503283" w14:textId="77777777" w:rsidR="00BF3A3A" w:rsidRDefault="00BF3A3A">
            <w:pPr>
              <w:jc w:val="right"/>
              <w:rPr>
                <w:rFonts w:ascii="宋体"/>
              </w:rPr>
            </w:pPr>
          </w:p>
        </w:tc>
      </w:tr>
      <w:tr w:rsidR="00BF3A3A" w14:paraId="1950328B" w14:textId="77777777">
        <w:tc>
          <w:tcPr>
            <w:tcW w:w="0" w:type="auto"/>
            <w:gridSpan w:val="3"/>
            <w:shd w:val="clear" w:color="auto" w:fill="E2EFD9"/>
            <w:tcMar>
              <w:top w:w="40" w:type="dxa"/>
              <w:left w:w="20" w:type="dxa"/>
              <w:bottom w:w="40" w:type="dxa"/>
              <w:right w:w="20" w:type="dxa"/>
            </w:tcMar>
            <w:vAlign w:val="bottom"/>
          </w:tcPr>
          <w:p w14:paraId="19503285" w14:textId="77777777" w:rsidR="00BF3A3A" w:rsidRDefault="00A76802">
            <w:pPr>
              <w:textAlignment w:val="bottom"/>
            </w:pPr>
            <w:r>
              <w:rPr>
                <w:rFonts w:ascii="sans-serif" w:eastAsia="sans-serif" w:hAnsi="sans-serif" w:cs="sans-serif"/>
                <w:color w:val="000000"/>
                <w:sz w:val="20"/>
                <w:szCs w:val="20"/>
              </w:rPr>
              <w:t>Deferred revenue (2)</w:t>
            </w:r>
          </w:p>
        </w:tc>
        <w:tc>
          <w:tcPr>
            <w:tcW w:w="0" w:type="auto"/>
            <w:gridSpan w:val="2"/>
            <w:shd w:val="clear" w:color="auto" w:fill="E2EFD9"/>
            <w:tcMar>
              <w:top w:w="40" w:type="dxa"/>
              <w:left w:w="20" w:type="dxa"/>
              <w:bottom w:w="40" w:type="dxa"/>
              <w:right w:w="0" w:type="dxa"/>
            </w:tcMar>
            <w:vAlign w:val="bottom"/>
          </w:tcPr>
          <w:p w14:paraId="19503286" w14:textId="77777777" w:rsidR="00BF3A3A" w:rsidRDefault="00A76802">
            <w:pPr>
              <w:jc w:val="right"/>
              <w:textAlignment w:val="bottom"/>
            </w:pPr>
            <w:r>
              <w:rPr>
                <w:rFonts w:ascii="sans-serif" w:eastAsia="sans-serif" w:hAnsi="sans-serif" w:cs="sans-serif"/>
                <w:color w:val="000000"/>
                <w:sz w:val="20"/>
                <w:szCs w:val="20"/>
              </w:rPr>
              <w:t>201 </w:t>
            </w:r>
          </w:p>
        </w:tc>
        <w:tc>
          <w:tcPr>
            <w:tcW w:w="0" w:type="auto"/>
            <w:shd w:val="clear" w:color="auto" w:fill="E2EFD9"/>
            <w:tcMar>
              <w:top w:w="40" w:type="dxa"/>
              <w:left w:w="0" w:type="dxa"/>
              <w:bottom w:w="40" w:type="dxa"/>
              <w:right w:w="20" w:type="dxa"/>
            </w:tcMar>
            <w:vAlign w:val="bottom"/>
          </w:tcPr>
          <w:p w14:paraId="1950328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288"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289" w14:textId="77777777" w:rsidR="00BF3A3A" w:rsidRDefault="00A76802">
            <w:pPr>
              <w:jc w:val="right"/>
              <w:textAlignment w:val="bottom"/>
            </w:pPr>
            <w:r>
              <w:rPr>
                <w:rFonts w:ascii="sans-serif" w:eastAsia="sans-serif" w:hAnsi="sans-serif" w:cs="sans-serif"/>
                <w:color w:val="000000"/>
                <w:sz w:val="20"/>
                <w:szCs w:val="20"/>
              </w:rPr>
              <w:t>202 </w:t>
            </w:r>
          </w:p>
        </w:tc>
        <w:tc>
          <w:tcPr>
            <w:tcW w:w="0" w:type="auto"/>
            <w:shd w:val="clear" w:color="auto" w:fill="E2EFD9"/>
            <w:tcMar>
              <w:top w:w="40" w:type="dxa"/>
              <w:left w:w="0" w:type="dxa"/>
              <w:bottom w:w="40" w:type="dxa"/>
              <w:right w:w="20" w:type="dxa"/>
            </w:tcMar>
            <w:vAlign w:val="bottom"/>
          </w:tcPr>
          <w:p w14:paraId="1950328A" w14:textId="77777777" w:rsidR="00BF3A3A" w:rsidRDefault="00BF3A3A">
            <w:pPr>
              <w:jc w:val="right"/>
              <w:rPr>
                <w:rFonts w:ascii="宋体"/>
              </w:rPr>
            </w:pPr>
          </w:p>
        </w:tc>
      </w:tr>
      <w:tr w:rsidR="00BF3A3A" w14:paraId="19503290" w14:textId="77777777">
        <w:trPr>
          <w:hidden/>
        </w:trPr>
        <w:tc>
          <w:tcPr>
            <w:tcW w:w="0" w:type="auto"/>
            <w:gridSpan w:val="3"/>
            <w:shd w:val="clear" w:color="auto" w:fill="auto"/>
            <w:vAlign w:val="bottom"/>
          </w:tcPr>
          <w:p w14:paraId="1950328C" w14:textId="77777777" w:rsidR="00BF3A3A" w:rsidRDefault="00BF3A3A">
            <w:pPr>
              <w:rPr>
                <w:rFonts w:ascii="宋体"/>
                <w:vanish/>
              </w:rPr>
            </w:pPr>
          </w:p>
        </w:tc>
        <w:tc>
          <w:tcPr>
            <w:tcW w:w="0" w:type="auto"/>
            <w:gridSpan w:val="3"/>
            <w:shd w:val="clear" w:color="auto" w:fill="auto"/>
            <w:vAlign w:val="bottom"/>
          </w:tcPr>
          <w:p w14:paraId="1950328D" w14:textId="77777777" w:rsidR="00BF3A3A" w:rsidRDefault="00BF3A3A">
            <w:pPr>
              <w:rPr>
                <w:rFonts w:ascii="宋体"/>
                <w:vanish/>
              </w:rPr>
            </w:pPr>
          </w:p>
        </w:tc>
        <w:tc>
          <w:tcPr>
            <w:tcW w:w="0" w:type="auto"/>
            <w:gridSpan w:val="3"/>
            <w:shd w:val="clear" w:color="auto" w:fill="auto"/>
            <w:vAlign w:val="bottom"/>
          </w:tcPr>
          <w:p w14:paraId="1950328E" w14:textId="77777777" w:rsidR="00BF3A3A" w:rsidRDefault="00BF3A3A">
            <w:pPr>
              <w:rPr>
                <w:rFonts w:ascii="宋体"/>
                <w:vanish/>
              </w:rPr>
            </w:pPr>
          </w:p>
        </w:tc>
        <w:tc>
          <w:tcPr>
            <w:tcW w:w="0" w:type="auto"/>
            <w:gridSpan w:val="3"/>
            <w:shd w:val="clear" w:color="auto" w:fill="auto"/>
            <w:vAlign w:val="bottom"/>
          </w:tcPr>
          <w:p w14:paraId="1950328F" w14:textId="77777777" w:rsidR="00BF3A3A" w:rsidRDefault="00BF3A3A">
            <w:pPr>
              <w:rPr>
                <w:rFonts w:ascii="宋体"/>
                <w:vanish/>
              </w:rPr>
            </w:pPr>
          </w:p>
        </w:tc>
      </w:tr>
      <w:tr w:rsidR="00BF3A3A" w14:paraId="19503295" w14:textId="77777777">
        <w:trPr>
          <w:hidden/>
        </w:trPr>
        <w:tc>
          <w:tcPr>
            <w:tcW w:w="0" w:type="auto"/>
            <w:gridSpan w:val="3"/>
            <w:shd w:val="clear" w:color="auto" w:fill="auto"/>
            <w:vAlign w:val="bottom"/>
          </w:tcPr>
          <w:p w14:paraId="19503291" w14:textId="77777777" w:rsidR="00BF3A3A" w:rsidRDefault="00BF3A3A">
            <w:pPr>
              <w:rPr>
                <w:rFonts w:ascii="宋体"/>
                <w:vanish/>
              </w:rPr>
            </w:pPr>
          </w:p>
        </w:tc>
        <w:tc>
          <w:tcPr>
            <w:tcW w:w="0" w:type="auto"/>
            <w:gridSpan w:val="3"/>
            <w:shd w:val="clear" w:color="auto" w:fill="auto"/>
            <w:vAlign w:val="bottom"/>
          </w:tcPr>
          <w:p w14:paraId="19503292" w14:textId="77777777" w:rsidR="00BF3A3A" w:rsidRDefault="00BF3A3A">
            <w:pPr>
              <w:rPr>
                <w:rFonts w:ascii="宋体"/>
                <w:vanish/>
              </w:rPr>
            </w:pPr>
          </w:p>
        </w:tc>
        <w:tc>
          <w:tcPr>
            <w:tcW w:w="0" w:type="auto"/>
            <w:gridSpan w:val="3"/>
            <w:shd w:val="clear" w:color="auto" w:fill="auto"/>
            <w:vAlign w:val="bottom"/>
          </w:tcPr>
          <w:p w14:paraId="19503293" w14:textId="77777777" w:rsidR="00BF3A3A" w:rsidRDefault="00BF3A3A">
            <w:pPr>
              <w:rPr>
                <w:rFonts w:ascii="宋体"/>
                <w:vanish/>
              </w:rPr>
            </w:pPr>
          </w:p>
        </w:tc>
        <w:tc>
          <w:tcPr>
            <w:tcW w:w="0" w:type="auto"/>
            <w:gridSpan w:val="3"/>
            <w:shd w:val="clear" w:color="auto" w:fill="auto"/>
            <w:vAlign w:val="bottom"/>
          </w:tcPr>
          <w:p w14:paraId="19503294" w14:textId="77777777" w:rsidR="00BF3A3A" w:rsidRDefault="00BF3A3A">
            <w:pPr>
              <w:rPr>
                <w:rFonts w:ascii="宋体"/>
                <w:vanish/>
              </w:rPr>
            </w:pPr>
          </w:p>
        </w:tc>
      </w:tr>
      <w:tr w:rsidR="00BF3A3A" w14:paraId="1950329A" w14:textId="77777777">
        <w:trPr>
          <w:hidden/>
        </w:trPr>
        <w:tc>
          <w:tcPr>
            <w:tcW w:w="0" w:type="auto"/>
            <w:gridSpan w:val="3"/>
            <w:shd w:val="clear" w:color="auto" w:fill="auto"/>
            <w:vAlign w:val="bottom"/>
          </w:tcPr>
          <w:p w14:paraId="19503296" w14:textId="77777777" w:rsidR="00BF3A3A" w:rsidRDefault="00BF3A3A">
            <w:pPr>
              <w:rPr>
                <w:rFonts w:ascii="宋体"/>
                <w:vanish/>
              </w:rPr>
            </w:pPr>
          </w:p>
        </w:tc>
        <w:tc>
          <w:tcPr>
            <w:tcW w:w="0" w:type="auto"/>
            <w:gridSpan w:val="3"/>
            <w:shd w:val="clear" w:color="auto" w:fill="auto"/>
            <w:vAlign w:val="bottom"/>
          </w:tcPr>
          <w:p w14:paraId="19503297" w14:textId="77777777" w:rsidR="00BF3A3A" w:rsidRDefault="00BF3A3A">
            <w:pPr>
              <w:rPr>
                <w:rFonts w:ascii="宋体"/>
                <w:vanish/>
              </w:rPr>
            </w:pPr>
          </w:p>
        </w:tc>
        <w:tc>
          <w:tcPr>
            <w:tcW w:w="0" w:type="auto"/>
            <w:gridSpan w:val="3"/>
            <w:shd w:val="clear" w:color="auto" w:fill="auto"/>
            <w:vAlign w:val="bottom"/>
          </w:tcPr>
          <w:p w14:paraId="19503298" w14:textId="77777777" w:rsidR="00BF3A3A" w:rsidRDefault="00BF3A3A">
            <w:pPr>
              <w:rPr>
                <w:rFonts w:ascii="宋体"/>
                <w:vanish/>
              </w:rPr>
            </w:pPr>
          </w:p>
        </w:tc>
        <w:tc>
          <w:tcPr>
            <w:tcW w:w="0" w:type="auto"/>
            <w:gridSpan w:val="3"/>
            <w:shd w:val="clear" w:color="auto" w:fill="auto"/>
            <w:vAlign w:val="bottom"/>
          </w:tcPr>
          <w:p w14:paraId="19503299" w14:textId="77777777" w:rsidR="00BF3A3A" w:rsidRDefault="00BF3A3A">
            <w:pPr>
              <w:rPr>
                <w:rFonts w:ascii="宋体"/>
                <w:vanish/>
              </w:rPr>
            </w:pPr>
          </w:p>
        </w:tc>
      </w:tr>
      <w:tr w:rsidR="00BF3A3A" w14:paraId="195032A1" w14:textId="77777777">
        <w:tc>
          <w:tcPr>
            <w:tcW w:w="0" w:type="auto"/>
            <w:gridSpan w:val="3"/>
            <w:shd w:val="clear" w:color="auto" w:fill="FFFFFF"/>
            <w:tcMar>
              <w:top w:w="40" w:type="dxa"/>
              <w:left w:w="20" w:type="dxa"/>
              <w:bottom w:w="40" w:type="dxa"/>
              <w:right w:w="20" w:type="dxa"/>
            </w:tcMar>
            <w:vAlign w:val="bottom"/>
          </w:tcPr>
          <w:p w14:paraId="1950329B" w14:textId="77777777" w:rsidR="00BF3A3A" w:rsidRDefault="00A76802">
            <w:pPr>
              <w:textAlignment w:val="bottom"/>
            </w:pPr>
            <w:r>
              <w:rPr>
                <w:rFonts w:ascii="sans-serif" w:eastAsia="sans-serif" w:hAnsi="sans-serif" w:cs="sans-serif"/>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1950329C" w14:textId="77777777" w:rsidR="00BF3A3A" w:rsidRDefault="00A76802">
            <w:pPr>
              <w:jc w:val="right"/>
              <w:textAlignment w:val="bottom"/>
            </w:pPr>
            <w:r>
              <w:rPr>
                <w:rFonts w:ascii="sans-serif" w:eastAsia="sans-serif" w:hAnsi="sans-serif" w:cs="sans-serif"/>
                <w:color w:val="000000"/>
                <w:sz w:val="20"/>
                <w:szCs w:val="20"/>
              </w:rPr>
              <w:t>134 </w:t>
            </w:r>
          </w:p>
        </w:tc>
        <w:tc>
          <w:tcPr>
            <w:tcW w:w="0" w:type="auto"/>
            <w:shd w:val="clear" w:color="auto" w:fill="FFFFFF"/>
            <w:tcMar>
              <w:top w:w="40" w:type="dxa"/>
              <w:left w:w="0" w:type="dxa"/>
              <w:bottom w:w="40" w:type="dxa"/>
              <w:right w:w="20" w:type="dxa"/>
            </w:tcMar>
            <w:vAlign w:val="bottom"/>
          </w:tcPr>
          <w:p w14:paraId="1950329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29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29F" w14:textId="77777777" w:rsidR="00BF3A3A" w:rsidRDefault="00A76802">
            <w:pPr>
              <w:jc w:val="right"/>
              <w:textAlignment w:val="bottom"/>
            </w:pPr>
            <w:r>
              <w:rPr>
                <w:rFonts w:ascii="sans-serif" w:eastAsia="sans-serif" w:hAnsi="sans-serif" w:cs="sans-serif"/>
                <w:color w:val="000000"/>
                <w:sz w:val="20"/>
                <w:szCs w:val="20"/>
              </w:rPr>
              <w:t>126 </w:t>
            </w:r>
          </w:p>
        </w:tc>
        <w:tc>
          <w:tcPr>
            <w:tcW w:w="0" w:type="auto"/>
            <w:shd w:val="clear" w:color="auto" w:fill="FFFFFF"/>
            <w:tcMar>
              <w:top w:w="40" w:type="dxa"/>
              <w:left w:w="0" w:type="dxa"/>
              <w:bottom w:w="40" w:type="dxa"/>
              <w:right w:w="20" w:type="dxa"/>
            </w:tcMar>
            <w:vAlign w:val="bottom"/>
          </w:tcPr>
          <w:p w14:paraId="195032A0" w14:textId="77777777" w:rsidR="00BF3A3A" w:rsidRDefault="00BF3A3A">
            <w:pPr>
              <w:jc w:val="right"/>
              <w:rPr>
                <w:rFonts w:ascii="宋体"/>
              </w:rPr>
            </w:pPr>
          </w:p>
        </w:tc>
      </w:tr>
      <w:tr w:rsidR="00BF3A3A" w14:paraId="195032AA" w14:textId="77777777">
        <w:tc>
          <w:tcPr>
            <w:tcW w:w="0" w:type="auto"/>
            <w:gridSpan w:val="3"/>
            <w:shd w:val="clear" w:color="auto" w:fill="E2EFD9"/>
            <w:tcMar>
              <w:top w:w="40" w:type="dxa"/>
              <w:left w:w="380" w:type="dxa"/>
              <w:bottom w:w="40" w:type="dxa"/>
              <w:right w:w="20" w:type="dxa"/>
            </w:tcMar>
            <w:vAlign w:val="bottom"/>
          </w:tcPr>
          <w:p w14:paraId="195032A2" w14:textId="77777777" w:rsidR="00BF3A3A" w:rsidRDefault="00A76802">
            <w:pPr>
              <w:textAlignment w:val="bottom"/>
            </w:pPr>
            <w:r>
              <w:rPr>
                <w:rFonts w:ascii="sans-serif" w:eastAsia="sans-serif" w:hAnsi="sans-serif" w:cs="sans-serif"/>
                <w:color w:val="000000"/>
                <w:sz w:val="20"/>
                <w:szCs w:val="20"/>
              </w:rPr>
              <w:t>Total other long-term liabilities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2A3"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2A4" w14:textId="77777777" w:rsidR="00BF3A3A" w:rsidRDefault="00A76802">
            <w:pPr>
              <w:jc w:val="right"/>
              <w:textAlignment w:val="bottom"/>
            </w:pPr>
            <w:r>
              <w:rPr>
                <w:rFonts w:ascii="sans-serif" w:eastAsia="sans-serif" w:hAnsi="sans-serif" w:cs="sans-serif"/>
                <w:color w:val="000000"/>
                <w:sz w:val="20"/>
                <w:szCs w:val="20"/>
              </w:rPr>
              <w:t>1,609 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2A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2A6"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2A7"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2A8" w14:textId="77777777" w:rsidR="00BF3A3A" w:rsidRDefault="00A76802">
            <w:pPr>
              <w:jc w:val="right"/>
              <w:textAlignment w:val="bottom"/>
            </w:pPr>
            <w:r>
              <w:rPr>
                <w:rFonts w:ascii="sans-serif" w:eastAsia="sans-serif" w:hAnsi="sans-serif" w:cs="sans-serif"/>
                <w:color w:val="000000"/>
                <w:sz w:val="20"/>
                <w:szCs w:val="20"/>
              </w:rPr>
              <w:t>1,553 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2A9" w14:textId="77777777" w:rsidR="00BF3A3A" w:rsidRDefault="00BF3A3A">
            <w:pPr>
              <w:jc w:val="right"/>
              <w:rPr>
                <w:rFonts w:ascii="宋体"/>
              </w:rPr>
            </w:pPr>
          </w:p>
        </w:tc>
      </w:tr>
    </w:tbl>
    <w:p w14:paraId="195032AB" w14:textId="77777777" w:rsidR="00BF3A3A" w:rsidRDefault="00A76802">
      <w:pPr>
        <w:ind w:hanging="360"/>
        <w:jc w:val="both"/>
      </w:pPr>
      <w:r>
        <w:rPr>
          <w:rFonts w:ascii="sans-serif" w:eastAsia="sans-serif" w:hAnsi="sans-serif" w:cs="sans-serif"/>
          <w:color w:val="000000"/>
          <w:sz w:val="16"/>
          <w:szCs w:val="16"/>
        </w:rPr>
        <w:t>(1)    As of July 31, 2022, income tax payable represents the long-term portion of the one-time transition tax payable of $188 million, unrecognized tax benefits of $762 million, and related interest and penalties of $72 million. As of January 30, 2022, in</w:t>
      </w:r>
      <w:r>
        <w:rPr>
          <w:rFonts w:ascii="sans-serif" w:eastAsia="sans-serif" w:hAnsi="sans-serif" w:cs="sans-serif"/>
          <w:color w:val="000000"/>
          <w:sz w:val="16"/>
          <w:szCs w:val="16"/>
        </w:rPr>
        <w:t>come tax payable represents the long-term portion of the one-time transition tax payable of $251 million, unrecognized tax benefits of $670 million, and related interest and penalties of $59 million.</w:t>
      </w:r>
    </w:p>
    <w:p w14:paraId="195032AC" w14:textId="77777777" w:rsidR="00BF3A3A" w:rsidRDefault="00A76802">
      <w:pPr>
        <w:spacing w:after="60"/>
        <w:ind w:hanging="360"/>
        <w:jc w:val="both"/>
      </w:pPr>
      <w:r>
        <w:rPr>
          <w:rFonts w:ascii="sans-serif" w:eastAsia="sans-serif" w:hAnsi="sans-serif" w:cs="sans-serif"/>
          <w:color w:val="000000"/>
          <w:sz w:val="16"/>
          <w:szCs w:val="16"/>
        </w:rPr>
        <w:t xml:space="preserve">(2)    Deferred revenue primarily includes </w:t>
      </w:r>
      <w:r>
        <w:rPr>
          <w:rFonts w:ascii="sans-serif" w:eastAsia="sans-serif" w:hAnsi="sans-serif" w:cs="sans-serif"/>
          <w:color w:val="000000"/>
          <w:sz w:val="16"/>
          <w:szCs w:val="16"/>
        </w:rPr>
        <w:t>deferrals related to support for hardware and software.</w:t>
      </w:r>
    </w:p>
    <w:p w14:paraId="195032AD" w14:textId="77777777" w:rsidR="00BF3A3A" w:rsidRDefault="00A76802">
      <w:pPr>
        <w:spacing w:before="240" w:after="60"/>
        <w:jc w:val="both"/>
      </w:pPr>
      <w:r>
        <w:rPr>
          <w:rFonts w:ascii="sans-serif" w:eastAsia="sans-serif" w:hAnsi="sans-serif" w:cs="sans-serif"/>
          <w:b/>
          <w:bCs/>
          <w:color w:val="76B900"/>
          <w:sz w:val="20"/>
          <w:szCs w:val="20"/>
        </w:rPr>
        <w:t xml:space="preserve">Deferred Revenue </w:t>
      </w:r>
    </w:p>
    <w:p w14:paraId="195032AE" w14:textId="77777777" w:rsidR="00BF3A3A" w:rsidRDefault="00A76802">
      <w:pPr>
        <w:spacing w:after="180"/>
      </w:pPr>
      <w:r>
        <w:rPr>
          <w:rFonts w:ascii="sans-serif" w:eastAsia="sans-serif" w:hAnsi="sans-serif" w:cs="sans-serif"/>
          <w:color w:val="000000"/>
          <w:sz w:val="20"/>
          <w:szCs w:val="20"/>
        </w:rPr>
        <w:t>The following table shows the changes in deferred revenue during the first half of fiscal years 2023 and 2022:</w:t>
      </w:r>
    </w:p>
    <w:tbl>
      <w:tblPr>
        <w:tblW w:w="4993" w:type="pct"/>
        <w:tblCellMar>
          <w:top w:w="15" w:type="dxa"/>
          <w:left w:w="15" w:type="dxa"/>
          <w:bottom w:w="15" w:type="dxa"/>
          <w:right w:w="15" w:type="dxa"/>
        </w:tblCellMar>
        <w:tblLook w:val="04A0" w:firstRow="1" w:lastRow="0" w:firstColumn="1" w:lastColumn="0" w:noHBand="0" w:noVBand="1"/>
      </w:tblPr>
      <w:tblGrid>
        <w:gridCol w:w="40"/>
        <w:gridCol w:w="5910"/>
        <w:gridCol w:w="37"/>
        <w:gridCol w:w="122"/>
        <w:gridCol w:w="974"/>
        <w:gridCol w:w="36"/>
        <w:gridCol w:w="36"/>
        <w:gridCol w:w="36"/>
        <w:gridCol w:w="36"/>
        <w:gridCol w:w="123"/>
        <w:gridCol w:w="938"/>
        <w:gridCol w:w="36"/>
      </w:tblGrid>
      <w:tr w:rsidR="00BF3A3A" w14:paraId="195032BB" w14:textId="77777777">
        <w:tc>
          <w:tcPr>
            <w:tcW w:w="50" w:type="pct"/>
            <w:shd w:val="clear" w:color="auto" w:fill="auto"/>
            <w:vAlign w:val="bottom"/>
          </w:tcPr>
          <w:p w14:paraId="195032AF" w14:textId="77777777" w:rsidR="00BF3A3A" w:rsidRDefault="00BF3A3A">
            <w:pPr>
              <w:rPr>
                <w:rFonts w:ascii="宋体"/>
              </w:rPr>
            </w:pPr>
          </w:p>
        </w:tc>
        <w:tc>
          <w:tcPr>
            <w:tcW w:w="3575" w:type="pct"/>
            <w:shd w:val="clear" w:color="auto" w:fill="auto"/>
            <w:vAlign w:val="bottom"/>
          </w:tcPr>
          <w:p w14:paraId="195032B0" w14:textId="77777777" w:rsidR="00BF3A3A" w:rsidRDefault="00BF3A3A">
            <w:pPr>
              <w:rPr>
                <w:rFonts w:ascii="宋体"/>
              </w:rPr>
            </w:pPr>
          </w:p>
        </w:tc>
        <w:tc>
          <w:tcPr>
            <w:tcW w:w="5" w:type="pct"/>
            <w:shd w:val="clear" w:color="auto" w:fill="auto"/>
            <w:vAlign w:val="bottom"/>
          </w:tcPr>
          <w:p w14:paraId="195032B1" w14:textId="77777777" w:rsidR="00BF3A3A" w:rsidRDefault="00BF3A3A">
            <w:pPr>
              <w:rPr>
                <w:rFonts w:ascii="宋体"/>
              </w:rPr>
            </w:pPr>
          </w:p>
        </w:tc>
        <w:tc>
          <w:tcPr>
            <w:tcW w:w="50" w:type="pct"/>
            <w:shd w:val="clear" w:color="auto" w:fill="auto"/>
            <w:vAlign w:val="bottom"/>
          </w:tcPr>
          <w:p w14:paraId="195032B2" w14:textId="77777777" w:rsidR="00BF3A3A" w:rsidRDefault="00BF3A3A">
            <w:pPr>
              <w:rPr>
                <w:rFonts w:ascii="宋体"/>
              </w:rPr>
            </w:pPr>
          </w:p>
        </w:tc>
        <w:tc>
          <w:tcPr>
            <w:tcW w:w="611" w:type="pct"/>
            <w:shd w:val="clear" w:color="auto" w:fill="auto"/>
            <w:vAlign w:val="bottom"/>
          </w:tcPr>
          <w:p w14:paraId="195032B3" w14:textId="77777777" w:rsidR="00BF3A3A" w:rsidRDefault="00BF3A3A">
            <w:pPr>
              <w:rPr>
                <w:rFonts w:ascii="宋体"/>
              </w:rPr>
            </w:pPr>
          </w:p>
        </w:tc>
        <w:tc>
          <w:tcPr>
            <w:tcW w:w="5" w:type="pct"/>
            <w:shd w:val="clear" w:color="auto" w:fill="auto"/>
            <w:vAlign w:val="bottom"/>
          </w:tcPr>
          <w:p w14:paraId="195032B4" w14:textId="77777777" w:rsidR="00BF3A3A" w:rsidRDefault="00BF3A3A">
            <w:pPr>
              <w:rPr>
                <w:rFonts w:ascii="宋体"/>
              </w:rPr>
            </w:pPr>
          </w:p>
        </w:tc>
        <w:tc>
          <w:tcPr>
            <w:tcW w:w="5" w:type="pct"/>
            <w:shd w:val="clear" w:color="auto" w:fill="auto"/>
            <w:vAlign w:val="bottom"/>
          </w:tcPr>
          <w:p w14:paraId="195032B5" w14:textId="77777777" w:rsidR="00BF3A3A" w:rsidRDefault="00BF3A3A">
            <w:pPr>
              <w:rPr>
                <w:rFonts w:ascii="宋体"/>
              </w:rPr>
            </w:pPr>
          </w:p>
        </w:tc>
        <w:tc>
          <w:tcPr>
            <w:tcW w:w="26" w:type="pct"/>
            <w:shd w:val="clear" w:color="auto" w:fill="auto"/>
            <w:vAlign w:val="bottom"/>
          </w:tcPr>
          <w:p w14:paraId="195032B6" w14:textId="77777777" w:rsidR="00BF3A3A" w:rsidRDefault="00BF3A3A">
            <w:pPr>
              <w:rPr>
                <w:rFonts w:ascii="宋体"/>
              </w:rPr>
            </w:pPr>
          </w:p>
        </w:tc>
        <w:tc>
          <w:tcPr>
            <w:tcW w:w="5" w:type="pct"/>
            <w:shd w:val="clear" w:color="auto" w:fill="auto"/>
            <w:vAlign w:val="bottom"/>
          </w:tcPr>
          <w:p w14:paraId="195032B7" w14:textId="77777777" w:rsidR="00BF3A3A" w:rsidRDefault="00BF3A3A">
            <w:pPr>
              <w:rPr>
                <w:rFonts w:ascii="宋体"/>
              </w:rPr>
            </w:pPr>
          </w:p>
        </w:tc>
        <w:tc>
          <w:tcPr>
            <w:tcW w:w="50" w:type="pct"/>
            <w:shd w:val="clear" w:color="auto" w:fill="auto"/>
            <w:vAlign w:val="bottom"/>
          </w:tcPr>
          <w:p w14:paraId="195032B8" w14:textId="77777777" w:rsidR="00BF3A3A" w:rsidRDefault="00BF3A3A">
            <w:pPr>
              <w:rPr>
                <w:rFonts w:ascii="宋体"/>
              </w:rPr>
            </w:pPr>
          </w:p>
        </w:tc>
        <w:tc>
          <w:tcPr>
            <w:tcW w:w="611" w:type="pct"/>
            <w:shd w:val="clear" w:color="auto" w:fill="auto"/>
            <w:vAlign w:val="bottom"/>
          </w:tcPr>
          <w:p w14:paraId="195032B9" w14:textId="77777777" w:rsidR="00BF3A3A" w:rsidRDefault="00BF3A3A">
            <w:pPr>
              <w:rPr>
                <w:rFonts w:ascii="宋体"/>
              </w:rPr>
            </w:pPr>
          </w:p>
        </w:tc>
        <w:tc>
          <w:tcPr>
            <w:tcW w:w="5" w:type="pct"/>
            <w:shd w:val="clear" w:color="auto" w:fill="auto"/>
            <w:vAlign w:val="bottom"/>
          </w:tcPr>
          <w:p w14:paraId="195032BA" w14:textId="77777777" w:rsidR="00BF3A3A" w:rsidRDefault="00BF3A3A">
            <w:pPr>
              <w:rPr>
                <w:rFonts w:ascii="宋体"/>
              </w:rPr>
            </w:pPr>
          </w:p>
        </w:tc>
      </w:tr>
      <w:tr w:rsidR="00BF3A3A" w14:paraId="195032C0" w14:textId="77777777">
        <w:tc>
          <w:tcPr>
            <w:tcW w:w="0" w:type="auto"/>
            <w:gridSpan w:val="3"/>
            <w:shd w:val="clear" w:color="auto" w:fill="auto"/>
            <w:tcMar>
              <w:top w:w="0" w:type="dxa"/>
              <w:left w:w="20" w:type="dxa"/>
              <w:bottom w:w="0" w:type="dxa"/>
              <w:right w:w="20" w:type="dxa"/>
            </w:tcMar>
            <w:vAlign w:val="bottom"/>
          </w:tcPr>
          <w:p w14:paraId="195032BC"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2BD" w14:textId="77777777" w:rsidR="00BF3A3A" w:rsidRDefault="00A76802">
            <w:pPr>
              <w:jc w:val="center"/>
              <w:textAlignment w:val="bottom"/>
            </w:pPr>
            <w:r>
              <w:rPr>
                <w:rFonts w:ascii="sans-serif" w:eastAsia="sans-serif" w:hAnsi="sans-serif" w:cs="sans-serif"/>
                <w:b/>
                <w:bCs/>
                <w:color w:val="000000"/>
                <w:sz w:val="20"/>
                <w:szCs w:val="20"/>
              </w:rPr>
              <w:t>July 31,</w:t>
            </w:r>
          </w:p>
        </w:tc>
        <w:tc>
          <w:tcPr>
            <w:tcW w:w="0" w:type="auto"/>
            <w:gridSpan w:val="3"/>
            <w:shd w:val="clear" w:color="auto" w:fill="auto"/>
            <w:tcMar>
              <w:top w:w="0" w:type="dxa"/>
              <w:left w:w="20" w:type="dxa"/>
              <w:bottom w:w="0" w:type="dxa"/>
              <w:right w:w="20" w:type="dxa"/>
            </w:tcMar>
            <w:vAlign w:val="bottom"/>
          </w:tcPr>
          <w:p w14:paraId="195032BE"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2BF" w14:textId="77777777" w:rsidR="00BF3A3A" w:rsidRDefault="00A76802">
            <w:pPr>
              <w:jc w:val="center"/>
              <w:textAlignment w:val="bottom"/>
            </w:pPr>
            <w:r>
              <w:rPr>
                <w:rFonts w:ascii="sans-serif" w:eastAsia="sans-serif" w:hAnsi="sans-serif" w:cs="sans-serif"/>
                <w:b/>
                <w:bCs/>
                <w:color w:val="000000"/>
                <w:sz w:val="20"/>
                <w:szCs w:val="20"/>
              </w:rPr>
              <w:t>August 1,</w:t>
            </w:r>
          </w:p>
        </w:tc>
      </w:tr>
      <w:tr w:rsidR="00BF3A3A" w14:paraId="195032C5" w14:textId="77777777">
        <w:tc>
          <w:tcPr>
            <w:tcW w:w="0" w:type="auto"/>
            <w:gridSpan w:val="3"/>
            <w:shd w:val="clear" w:color="auto" w:fill="auto"/>
            <w:tcMar>
              <w:top w:w="40" w:type="dxa"/>
              <w:left w:w="20" w:type="dxa"/>
              <w:bottom w:w="40" w:type="dxa"/>
              <w:right w:w="20" w:type="dxa"/>
            </w:tcMar>
            <w:vAlign w:val="bottom"/>
          </w:tcPr>
          <w:p w14:paraId="195032C1"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95032C2" w14:textId="77777777" w:rsidR="00BF3A3A" w:rsidRDefault="00A76802">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195032C3"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2C4" w14:textId="77777777" w:rsidR="00BF3A3A" w:rsidRDefault="00A76802">
            <w:pPr>
              <w:jc w:val="center"/>
              <w:textAlignment w:val="bottom"/>
            </w:pPr>
            <w:r>
              <w:rPr>
                <w:rFonts w:ascii="sans-serif" w:eastAsia="sans-serif" w:hAnsi="sans-serif" w:cs="sans-serif"/>
                <w:b/>
                <w:bCs/>
                <w:color w:val="000000"/>
                <w:sz w:val="20"/>
                <w:szCs w:val="20"/>
              </w:rPr>
              <w:t>2021</w:t>
            </w:r>
          </w:p>
        </w:tc>
      </w:tr>
      <w:tr w:rsidR="00BF3A3A" w14:paraId="195032CA" w14:textId="77777777">
        <w:trPr>
          <w:trHeight w:val="60"/>
        </w:trPr>
        <w:tc>
          <w:tcPr>
            <w:tcW w:w="0" w:type="auto"/>
            <w:gridSpan w:val="3"/>
            <w:shd w:val="clear" w:color="auto" w:fill="auto"/>
            <w:tcMar>
              <w:top w:w="0" w:type="dxa"/>
              <w:left w:w="20" w:type="dxa"/>
              <w:bottom w:w="0" w:type="dxa"/>
              <w:right w:w="20" w:type="dxa"/>
            </w:tcMar>
            <w:vAlign w:val="bottom"/>
          </w:tcPr>
          <w:p w14:paraId="195032C6"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2C7"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2C8"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2C9" w14:textId="77777777" w:rsidR="00BF3A3A" w:rsidRDefault="00BF3A3A">
            <w:pPr>
              <w:rPr>
                <w:rFonts w:ascii="宋体"/>
              </w:rPr>
            </w:pPr>
          </w:p>
        </w:tc>
      </w:tr>
      <w:tr w:rsidR="00BF3A3A" w14:paraId="195032CD" w14:textId="77777777">
        <w:tc>
          <w:tcPr>
            <w:tcW w:w="0" w:type="auto"/>
            <w:gridSpan w:val="3"/>
            <w:shd w:val="clear" w:color="auto" w:fill="auto"/>
            <w:tcMar>
              <w:top w:w="0" w:type="dxa"/>
              <w:left w:w="20" w:type="dxa"/>
              <w:bottom w:w="0" w:type="dxa"/>
              <w:right w:w="20" w:type="dxa"/>
            </w:tcMar>
            <w:vAlign w:val="bottom"/>
          </w:tcPr>
          <w:p w14:paraId="195032CB" w14:textId="77777777" w:rsidR="00BF3A3A" w:rsidRDefault="00BF3A3A">
            <w:pPr>
              <w:rPr>
                <w:rFonts w:ascii="宋体"/>
              </w:rPr>
            </w:pPr>
          </w:p>
        </w:tc>
        <w:tc>
          <w:tcPr>
            <w:tcW w:w="0" w:type="auto"/>
            <w:gridSpan w:val="9"/>
            <w:shd w:val="clear" w:color="auto" w:fill="auto"/>
            <w:tcMar>
              <w:top w:w="40" w:type="dxa"/>
              <w:left w:w="20" w:type="dxa"/>
              <w:bottom w:w="40" w:type="dxa"/>
              <w:right w:w="20" w:type="dxa"/>
            </w:tcMar>
            <w:vAlign w:val="bottom"/>
          </w:tcPr>
          <w:p w14:paraId="195032CC" w14:textId="77777777" w:rsidR="00BF3A3A" w:rsidRDefault="00A76802">
            <w:pPr>
              <w:jc w:val="center"/>
              <w:textAlignment w:val="bottom"/>
            </w:pPr>
            <w:r>
              <w:rPr>
                <w:rFonts w:ascii="sans-serif" w:eastAsia="sans-serif" w:hAnsi="sans-serif" w:cs="sans-serif"/>
                <w:i/>
                <w:iCs/>
                <w:color w:val="000000"/>
                <w:sz w:val="20"/>
                <w:szCs w:val="20"/>
              </w:rPr>
              <w:t xml:space="preserve">(In </w:t>
            </w:r>
            <w:r>
              <w:rPr>
                <w:rFonts w:ascii="sans-serif" w:eastAsia="sans-serif" w:hAnsi="sans-serif" w:cs="sans-serif"/>
                <w:i/>
                <w:iCs/>
                <w:color w:val="000000"/>
                <w:sz w:val="20"/>
                <w:szCs w:val="20"/>
              </w:rPr>
              <w:t>millions)</w:t>
            </w:r>
          </w:p>
        </w:tc>
      </w:tr>
      <w:tr w:rsidR="00BF3A3A" w14:paraId="195032D6" w14:textId="77777777">
        <w:tc>
          <w:tcPr>
            <w:tcW w:w="0" w:type="auto"/>
            <w:gridSpan w:val="3"/>
            <w:shd w:val="clear" w:color="auto" w:fill="E2EFD9"/>
            <w:tcMar>
              <w:top w:w="40" w:type="dxa"/>
              <w:left w:w="20" w:type="dxa"/>
              <w:bottom w:w="40" w:type="dxa"/>
              <w:right w:w="20" w:type="dxa"/>
            </w:tcMar>
            <w:vAlign w:val="bottom"/>
          </w:tcPr>
          <w:p w14:paraId="195032CE" w14:textId="77777777" w:rsidR="00BF3A3A" w:rsidRDefault="00A76802">
            <w:pPr>
              <w:textAlignment w:val="bottom"/>
            </w:pPr>
            <w:r>
              <w:rPr>
                <w:rFonts w:ascii="sans-serif" w:eastAsia="sans-serif" w:hAnsi="sans-serif" w:cs="sans-serif"/>
                <w:color w:val="000000"/>
                <w:sz w:val="20"/>
                <w:szCs w:val="20"/>
              </w:rPr>
              <w:t>Balance at beginning of period</w:t>
            </w:r>
          </w:p>
        </w:tc>
        <w:tc>
          <w:tcPr>
            <w:tcW w:w="0" w:type="auto"/>
            <w:shd w:val="clear" w:color="auto" w:fill="E2EFD9"/>
            <w:tcMar>
              <w:top w:w="40" w:type="dxa"/>
              <w:left w:w="20" w:type="dxa"/>
              <w:bottom w:w="40" w:type="dxa"/>
              <w:right w:w="0" w:type="dxa"/>
            </w:tcMar>
            <w:vAlign w:val="bottom"/>
          </w:tcPr>
          <w:p w14:paraId="195032CF"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2D0" w14:textId="77777777" w:rsidR="00BF3A3A" w:rsidRDefault="00A76802">
            <w:pPr>
              <w:jc w:val="right"/>
              <w:textAlignment w:val="bottom"/>
            </w:pPr>
            <w:r>
              <w:rPr>
                <w:rFonts w:ascii="sans-serif" w:eastAsia="sans-serif" w:hAnsi="sans-serif" w:cs="sans-serif"/>
                <w:color w:val="000000"/>
                <w:sz w:val="20"/>
                <w:szCs w:val="20"/>
              </w:rPr>
              <w:t>502 </w:t>
            </w:r>
          </w:p>
        </w:tc>
        <w:tc>
          <w:tcPr>
            <w:tcW w:w="0" w:type="auto"/>
            <w:shd w:val="clear" w:color="auto" w:fill="E2EFD9"/>
            <w:tcMar>
              <w:top w:w="40" w:type="dxa"/>
              <w:left w:w="0" w:type="dxa"/>
              <w:bottom w:w="40" w:type="dxa"/>
              <w:right w:w="20" w:type="dxa"/>
            </w:tcMar>
            <w:vAlign w:val="bottom"/>
          </w:tcPr>
          <w:p w14:paraId="195032D1"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2D2"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2D3"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2D4" w14:textId="77777777" w:rsidR="00BF3A3A" w:rsidRDefault="00A76802">
            <w:pPr>
              <w:jc w:val="right"/>
              <w:textAlignment w:val="bottom"/>
            </w:pPr>
            <w:r>
              <w:rPr>
                <w:rFonts w:ascii="sans-serif" w:eastAsia="sans-serif" w:hAnsi="sans-serif" w:cs="sans-serif"/>
                <w:color w:val="000000"/>
                <w:sz w:val="20"/>
                <w:szCs w:val="20"/>
              </w:rPr>
              <w:t>451 </w:t>
            </w:r>
          </w:p>
        </w:tc>
        <w:tc>
          <w:tcPr>
            <w:tcW w:w="0" w:type="auto"/>
            <w:shd w:val="clear" w:color="auto" w:fill="E2EFD9"/>
            <w:tcMar>
              <w:top w:w="40" w:type="dxa"/>
              <w:left w:w="0" w:type="dxa"/>
              <w:bottom w:w="40" w:type="dxa"/>
              <w:right w:w="20" w:type="dxa"/>
            </w:tcMar>
            <w:vAlign w:val="bottom"/>
          </w:tcPr>
          <w:p w14:paraId="195032D5" w14:textId="77777777" w:rsidR="00BF3A3A" w:rsidRDefault="00BF3A3A">
            <w:pPr>
              <w:jc w:val="right"/>
              <w:rPr>
                <w:rFonts w:ascii="宋体"/>
              </w:rPr>
            </w:pPr>
          </w:p>
        </w:tc>
      </w:tr>
      <w:tr w:rsidR="00BF3A3A" w14:paraId="195032DD" w14:textId="77777777">
        <w:tc>
          <w:tcPr>
            <w:tcW w:w="0" w:type="auto"/>
            <w:gridSpan w:val="3"/>
            <w:shd w:val="clear" w:color="auto" w:fill="FFFFFF"/>
            <w:tcMar>
              <w:top w:w="40" w:type="dxa"/>
              <w:left w:w="20" w:type="dxa"/>
              <w:bottom w:w="40" w:type="dxa"/>
              <w:right w:w="20" w:type="dxa"/>
            </w:tcMar>
            <w:vAlign w:val="bottom"/>
          </w:tcPr>
          <w:p w14:paraId="195032D7" w14:textId="77777777" w:rsidR="00BF3A3A" w:rsidRDefault="00A76802">
            <w:pPr>
              <w:textAlignment w:val="bottom"/>
            </w:pPr>
            <w:r>
              <w:rPr>
                <w:rFonts w:ascii="sans-serif" w:eastAsia="sans-serif" w:hAnsi="sans-serif" w:cs="sans-serif"/>
                <w:color w:val="000000"/>
                <w:sz w:val="20"/>
                <w:szCs w:val="20"/>
              </w:rPr>
              <w:t>Deferred revenue additions during the period</w:t>
            </w:r>
          </w:p>
        </w:tc>
        <w:tc>
          <w:tcPr>
            <w:tcW w:w="0" w:type="auto"/>
            <w:gridSpan w:val="2"/>
            <w:shd w:val="clear" w:color="auto" w:fill="FFFFFF"/>
            <w:tcMar>
              <w:top w:w="40" w:type="dxa"/>
              <w:left w:w="20" w:type="dxa"/>
              <w:bottom w:w="40" w:type="dxa"/>
              <w:right w:w="0" w:type="dxa"/>
            </w:tcMar>
            <w:vAlign w:val="bottom"/>
          </w:tcPr>
          <w:p w14:paraId="195032D8" w14:textId="77777777" w:rsidR="00BF3A3A" w:rsidRDefault="00A76802">
            <w:pPr>
              <w:jc w:val="right"/>
              <w:textAlignment w:val="bottom"/>
            </w:pPr>
            <w:r>
              <w:rPr>
                <w:rFonts w:ascii="sans-serif" w:eastAsia="sans-serif" w:hAnsi="sans-serif" w:cs="sans-serif"/>
                <w:color w:val="000000"/>
                <w:sz w:val="20"/>
                <w:szCs w:val="20"/>
              </w:rPr>
              <w:t>399 </w:t>
            </w:r>
          </w:p>
        </w:tc>
        <w:tc>
          <w:tcPr>
            <w:tcW w:w="0" w:type="auto"/>
            <w:shd w:val="clear" w:color="auto" w:fill="FFFFFF"/>
            <w:tcMar>
              <w:top w:w="40" w:type="dxa"/>
              <w:left w:w="0" w:type="dxa"/>
              <w:bottom w:w="40" w:type="dxa"/>
              <w:right w:w="20" w:type="dxa"/>
            </w:tcMar>
            <w:vAlign w:val="bottom"/>
          </w:tcPr>
          <w:p w14:paraId="195032D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2DA"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2DB" w14:textId="77777777" w:rsidR="00BF3A3A" w:rsidRDefault="00A76802">
            <w:pPr>
              <w:jc w:val="right"/>
              <w:textAlignment w:val="bottom"/>
            </w:pPr>
            <w:r>
              <w:rPr>
                <w:rFonts w:ascii="sans-serif" w:eastAsia="sans-serif" w:hAnsi="sans-serif" w:cs="sans-serif"/>
                <w:color w:val="000000"/>
                <w:sz w:val="20"/>
                <w:szCs w:val="20"/>
              </w:rPr>
              <w:t>401 </w:t>
            </w:r>
          </w:p>
        </w:tc>
        <w:tc>
          <w:tcPr>
            <w:tcW w:w="0" w:type="auto"/>
            <w:shd w:val="clear" w:color="auto" w:fill="FFFFFF"/>
            <w:tcMar>
              <w:top w:w="40" w:type="dxa"/>
              <w:left w:w="0" w:type="dxa"/>
              <w:bottom w:w="40" w:type="dxa"/>
              <w:right w:w="20" w:type="dxa"/>
            </w:tcMar>
            <w:vAlign w:val="bottom"/>
          </w:tcPr>
          <w:p w14:paraId="195032DC" w14:textId="77777777" w:rsidR="00BF3A3A" w:rsidRDefault="00BF3A3A">
            <w:pPr>
              <w:jc w:val="right"/>
              <w:rPr>
                <w:rFonts w:ascii="宋体"/>
              </w:rPr>
            </w:pPr>
          </w:p>
        </w:tc>
      </w:tr>
      <w:tr w:rsidR="00BF3A3A" w14:paraId="195032E2" w14:textId="77777777">
        <w:trPr>
          <w:hidden/>
        </w:trPr>
        <w:tc>
          <w:tcPr>
            <w:tcW w:w="0" w:type="auto"/>
            <w:gridSpan w:val="3"/>
            <w:shd w:val="clear" w:color="auto" w:fill="auto"/>
            <w:vAlign w:val="bottom"/>
          </w:tcPr>
          <w:p w14:paraId="195032DE" w14:textId="77777777" w:rsidR="00BF3A3A" w:rsidRDefault="00BF3A3A">
            <w:pPr>
              <w:rPr>
                <w:rFonts w:ascii="宋体"/>
                <w:vanish/>
              </w:rPr>
            </w:pPr>
          </w:p>
        </w:tc>
        <w:tc>
          <w:tcPr>
            <w:tcW w:w="0" w:type="auto"/>
            <w:gridSpan w:val="3"/>
            <w:shd w:val="clear" w:color="auto" w:fill="auto"/>
            <w:vAlign w:val="bottom"/>
          </w:tcPr>
          <w:p w14:paraId="195032DF" w14:textId="77777777" w:rsidR="00BF3A3A" w:rsidRDefault="00BF3A3A">
            <w:pPr>
              <w:rPr>
                <w:rFonts w:ascii="宋体"/>
                <w:vanish/>
              </w:rPr>
            </w:pPr>
          </w:p>
        </w:tc>
        <w:tc>
          <w:tcPr>
            <w:tcW w:w="0" w:type="auto"/>
            <w:gridSpan w:val="3"/>
            <w:shd w:val="clear" w:color="auto" w:fill="auto"/>
            <w:vAlign w:val="bottom"/>
          </w:tcPr>
          <w:p w14:paraId="195032E0" w14:textId="77777777" w:rsidR="00BF3A3A" w:rsidRDefault="00BF3A3A">
            <w:pPr>
              <w:rPr>
                <w:rFonts w:ascii="宋体"/>
                <w:vanish/>
              </w:rPr>
            </w:pPr>
          </w:p>
        </w:tc>
        <w:tc>
          <w:tcPr>
            <w:tcW w:w="0" w:type="auto"/>
            <w:gridSpan w:val="3"/>
            <w:shd w:val="clear" w:color="auto" w:fill="auto"/>
            <w:vAlign w:val="bottom"/>
          </w:tcPr>
          <w:p w14:paraId="195032E1" w14:textId="77777777" w:rsidR="00BF3A3A" w:rsidRDefault="00BF3A3A">
            <w:pPr>
              <w:rPr>
                <w:rFonts w:ascii="宋体"/>
                <w:vanish/>
              </w:rPr>
            </w:pPr>
          </w:p>
        </w:tc>
      </w:tr>
      <w:tr w:rsidR="00BF3A3A" w14:paraId="195032E9" w14:textId="77777777">
        <w:tc>
          <w:tcPr>
            <w:tcW w:w="0" w:type="auto"/>
            <w:gridSpan w:val="3"/>
            <w:shd w:val="clear" w:color="auto" w:fill="E2EFD9"/>
            <w:tcMar>
              <w:top w:w="40" w:type="dxa"/>
              <w:left w:w="20" w:type="dxa"/>
              <w:bottom w:w="40" w:type="dxa"/>
              <w:right w:w="20" w:type="dxa"/>
            </w:tcMar>
            <w:vAlign w:val="bottom"/>
          </w:tcPr>
          <w:p w14:paraId="195032E3" w14:textId="77777777" w:rsidR="00BF3A3A" w:rsidRDefault="00A76802">
            <w:pPr>
              <w:textAlignment w:val="bottom"/>
            </w:pPr>
            <w:r>
              <w:rPr>
                <w:rFonts w:ascii="sans-serif" w:eastAsia="sans-serif" w:hAnsi="sans-serif" w:cs="sans-serif"/>
                <w:color w:val="000000"/>
                <w:sz w:val="20"/>
                <w:szCs w:val="20"/>
              </w:rPr>
              <w:t>Revenue recognized during the period</w:t>
            </w:r>
          </w:p>
        </w:tc>
        <w:tc>
          <w:tcPr>
            <w:tcW w:w="0" w:type="auto"/>
            <w:gridSpan w:val="2"/>
            <w:shd w:val="clear" w:color="auto" w:fill="E2EFD9"/>
            <w:tcMar>
              <w:top w:w="40" w:type="dxa"/>
              <w:left w:w="20" w:type="dxa"/>
              <w:bottom w:w="40" w:type="dxa"/>
              <w:right w:w="0" w:type="dxa"/>
            </w:tcMar>
            <w:vAlign w:val="bottom"/>
          </w:tcPr>
          <w:p w14:paraId="195032E4" w14:textId="77777777" w:rsidR="00BF3A3A" w:rsidRDefault="00A76802">
            <w:pPr>
              <w:jc w:val="right"/>
              <w:textAlignment w:val="bottom"/>
            </w:pPr>
            <w:r>
              <w:rPr>
                <w:rFonts w:ascii="sans-serif" w:eastAsia="sans-serif" w:hAnsi="sans-serif" w:cs="sans-serif"/>
                <w:color w:val="000000"/>
                <w:sz w:val="20"/>
                <w:szCs w:val="20"/>
              </w:rPr>
              <w:t>(341)</w:t>
            </w:r>
          </w:p>
        </w:tc>
        <w:tc>
          <w:tcPr>
            <w:tcW w:w="0" w:type="auto"/>
            <w:shd w:val="clear" w:color="auto" w:fill="E2EFD9"/>
            <w:tcMar>
              <w:top w:w="40" w:type="dxa"/>
              <w:left w:w="0" w:type="dxa"/>
              <w:bottom w:w="40" w:type="dxa"/>
              <w:right w:w="20" w:type="dxa"/>
            </w:tcMar>
            <w:vAlign w:val="bottom"/>
          </w:tcPr>
          <w:p w14:paraId="195032E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2E6"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2E7" w14:textId="77777777" w:rsidR="00BF3A3A" w:rsidRDefault="00A76802">
            <w:pPr>
              <w:jc w:val="right"/>
              <w:textAlignment w:val="bottom"/>
            </w:pPr>
            <w:r>
              <w:rPr>
                <w:rFonts w:ascii="sans-serif" w:eastAsia="sans-serif" w:hAnsi="sans-serif" w:cs="sans-serif"/>
                <w:color w:val="000000"/>
                <w:sz w:val="20"/>
                <w:szCs w:val="20"/>
              </w:rPr>
              <w:t>(362)</w:t>
            </w:r>
          </w:p>
        </w:tc>
        <w:tc>
          <w:tcPr>
            <w:tcW w:w="0" w:type="auto"/>
            <w:shd w:val="clear" w:color="auto" w:fill="E2EFD9"/>
            <w:tcMar>
              <w:top w:w="40" w:type="dxa"/>
              <w:left w:w="0" w:type="dxa"/>
              <w:bottom w:w="40" w:type="dxa"/>
              <w:right w:w="20" w:type="dxa"/>
            </w:tcMar>
            <w:vAlign w:val="bottom"/>
          </w:tcPr>
          <w:p w14:paraId="195032E8" w14:textId="77777777" w:rsidR="00BF3A3A" w:rsidRDefault="00BF3A3A">
            <w:pPr>
              <w:jc w:val="right"/>
              <w:rPr>
                <w:rFonts w:ascii="宋体"/>
              </w:rPr>
            </w:pPr>
          </w:p>
        </w:tc>
      </w:tr>
      <w:tr w:rsidR="00BF3A3A" w14:paraId="195032F2" w14:textId="77777777">
        <w:tc>
          <w:tcPr>
            <w:tcW w:w="0" w:type="auto"/>
            <w:gridSpan w:val="3"/>
            <w:shd w:val="clear" w:color="auto" w:fill="FFFFFF"/>
            <w:tcMar>
              <w:top w:w="40" w:type="dxa"/>
              <w:left w:w="20" w:type="dxa"/>
              <w:bottom w:w="40" w:type="dxa"/>
              <w:right w:w="20" w:type="dxa"/>
            </w:tcMar>
            <w:vAlign w:val="bottom"/>
          </w:tcPr>
          <w:p w14:paraId="195032EA" w14:textId="77777777" w:rsidR="00BF3A3A" w:rsidRDefault="00A76802">
            <w:pPr>
              <w:textAlignment w:val="bottom"/>
            </w:pPr>
            <w:r>
              <w:rPr>
                <w:rFonts w:ascii="sans-serif" w:eastAsia="sans-serif" w:hAnsi="sans-serif" w:cs="sans-serif"/>
                <w:color w:val="000000"/>
                <w:sz w:val="20"/>
                <w:szCs w:val="20"/>
              </w:rPr>
              <w:t>Balance at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2EB"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32EC" w14:textId="77777777" w:rsidR="00BF3A3A" w:rsidRDefault="00A76802">
            <w:pPr>
              <w:jc w:val="right"/>
              <w:textAlignment w:val="bottom"/>
            </w:pPr>
            <w:r>
              <w:rPr>
                <w:rFonts w:ascii="sans-serif" w:eastAsia="sans-serif" w:hAnsi="sans-serif" w:cs="sans-serif"/>
                <w:color w:val="000000"/>
                <w:sz w:val="20"/>
                <w:szCs w:val="20"/>
              </w:rPr>
              <w:t>560 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2E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2EE"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2EF"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32F0" w14:textId="77777777" w:rsidR="00BF3A3A" w:rsidRDefault="00A76802">
            <w:pPr>
              <w:jc w:val="right"/>
              <w:textAlignment w:val="bottom"/>
            </w:pPr>
            <w:r>
              <w:rPr>
                <w:rFonts w:ascii="sans-serif" w:eastAsia="sans-serif" w:hAnsi="sans-serif" w:cs="sans-serif"/>
                <w:color w:val="000000"/>
                <w:sz w:val="20"/>
                <w:szCs w:val="20"/>
              </w:rPr>
              <w:t>490 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2F1" w14:textId="77777777" w:rsidR="00BF3A3A" w:rsidRDefault="00BF3A3A">
            <w:pPr>
              <w:jc w:val="right"/>
              <w:rPr>
                <w:rFonts w:ascii="宋体"/>
              </w:rPr>
            </w:pPr>
          </w:p>
        </w:tc>
      </w:tr>
    </w:tbl>
    <w:p w14:paraId="195032F3" w14:textId="77777777" w:rsidR="00BF3A3A" w:rsidRDefault="00A76802">
      <w:pPr>
        <w:spacing w:before="180" w:after="60"/>
        <w:jc w:val="both"/>
      </w:pPr>
      <w:r>
        <w:rPr>
          <w:rFonts w:ascii="sans-serif" w:eastAsia="sans-serif" w:hAnsi="sans-serif" w:cs="sans-serif"/>
          <w:color w:val="000000"/>
          <w:sz w:val="20"/>
          <w:szCs w:val="20"/>
        </w:rPr>
        <w:t xml:space="preserve">Revenue related to </w:t>
      </w:r>
      <w:r>
        <w:rPr>
          <w:rFonts w:ascii="sans-serif" w:eastAsia="sans-serif" w:hAnsi="sans-serif" w:cs="sans-serif"/>
          <w:color w:val="000000"/>
          <w:sz w:val="20"/>
          <w:szCs w:val="20"/>
        </w:rPr>
        <w:t>remaining performance obligations represents the contracted license and development arrangements and support for hardware and software. This includes deferred revenue currently recorded and amounts that will be invoiced in future periods. As of July 31, 20</w:t>
      </w:r>
      <w:r>
        <w:rPr>
          <w:rFonts w:ascii="sans-serif" w:eastAsia="sans-serif" w:hAnsi="sans-serif" w:cs="sans-serif"/>
          <w:color w:val="000000"/>
          <w:sz w:val="20"/>
          <w:szCs w:val="20"/>
        </w:rPr>
        <w:t>22, $645 million of revenue related to performance obligations had not been recognized, of which we expect to recognize approximately 48% over the next twelve months and the remainder thereafter. This excludes revenue related to performance obligations for</w:t>
      </w:r>
      <w:r>
        <w:rPr>
          <w:rFonts w:ascii="sans-serif" w:eastAsia="sans-serif" w:hAnsi="sans-serif" w:cs="sans-serif"/>
          <w:color w:val="000000"/>
          <w:sz w:val="20"/>
          <w:szCs w:val="20"/>
        </w:rPr>
        <w:t xml:space="preserve"> contracts with a length of one year or less.</w:t>
      </w:r>
    </w:p>
    <w:p w14:paraId="195032F4" w14:textId="77777777" w:rsidR="00BF3A3A" w:rsidRDefault="00A76802">
      <w:pPr>
        <w:spacing w:after="180"/>
        <w:jc w:val="center"/>
      </w:pPr>
      <w:r>
        <w:rPr>
          <w:rFonts w:ascii="sans-serif" w:eastAsia="sans-serif" w:hAnsi="sans-serif" w:cs="sans-serif"/>
          <w:color w:val="000000"/>
          <w:sz w:val="20"/>
          <w:szCs w:val="20"/>
        </w:rPr>
        <w:t>16</w:t>
      </w:r>
    </w:p>
    <w:p w14:paraId="195032F5" w14:textId="77777777" w:rsidR="00BF3A3A" w:rsidRDefault="00A76802">
      <w:r>
        <w:pict w14:anchorId="19503FD5">
          <v:rect id="_x0000_i1040" style="width:415.3pt;height:1.5pt" o:hralign="center" o:hrstd="t" o:hr="t" fillcolor="#a0a0a0" stroked="f"/>
        </w:pict>
      </w:r>
    </w:p>
    <w:p w14:paraId="195032F6" w14:textId="77777777" w:rsidR="00BF3A3A" w:rsidRDefault="00A76802">
      <w:pPr>
        <w:jc w:val="center"/>
      </w:pPr>
      <w:r>
        <w:rPr>
          <w:rFonts w:ascii="sans-serif" w:eastAsia="sans-serif" w:hAnsi="sans-serif" w:cs="sans-serif"/>
          <w:b/>
          <w:bCs/>
          <w:color w:val="000000"/>
          <w:sz w:val="20"/>
          <w:szCs w:val="20"/>
        </w:rPr>
        <w:t>NVIDIA CORPORATION AND SUBSIDIARIES</w:t>
      </w:r>
    </w:p>
    <w:p w14:paraId="195032F7" w14:textId="77777777" w:rsidR="00BF3A3A" w:rsidRDefault="00A76802">
      <w:pPr>
        <w:jc w:val="center"/>
      </w:pPr>
      <w:r>
        <w:rPr>
          <w:rFonts w:ascii="sans-serif" w:eastAsia="sans-serif" w:hAnsi="sans-serif" w:cs="sans-serif"/>
          <w:b/>
          <w:bCs/>
          <w:color w:val="000000"/>
          <w:sz w:val="20"/>
          <w:szCs w:val="20"/>
        </w:rPr>
        <w:t>NOTES TO CONDENSED CONSOLIDATED FINANCIAL STATEMENTS (Continued)</w:t>
      </w:r>
    </w:p>
    <w:p w14:paraId="195032F8" w14:textId="77777777" w:rsidR="00BF3A3A" w:rsidRDefault="00A76802">
      <w:pPr>
        <w:jc w:val="center"/>
      </w:pPr>
      <w:r>
        <w:rPr>
          <w:rFonts w:ascii="sans-serif" w:eastAsia="sans-serif" w:hAnsi="sans-serif" w:cs="sans-serif"/>
          <w:b/>
          <w:bCs/>
          <w:color w:val="000000"/>
          <w:sz w:val="20"/>
          <w:szCs w:val="20"/>
        </w:rPr>
        <w:t>(Unaudited)</w:t>
      </w:r>
    </w:p>
    <w:p w14:paraId="195032F9" w14:textId="77777777" w:rsidR="00BF3A3A" w:rsidRDefault="00BF3A3A">
      <w:pPr>
        <w:spacing w:after="180"/>
        <w:jc w:val="both"/>
      </w:pPr>
    </w:p>
    <w:p w14:paraId="195032FA" w14:textId="77777777" w:rsidR="00BF3A3A" w:rsidRDefault="00BF3A3A">
      <w:pPr>
        <w:spacing w:after="180"/>
        <w:jc w:val="both"/>
      </w:pPr>
    </w:p>
    <w:p w14:paraId="195032FB" w14:textId="77777777" w:rsidR="00BF3A3A" w:rsidRDefault="00A76802">
      <w:pPr>
        <w:spacing w:before="240" w:after="120"/>
        <w:jc w:val="both"/>
      </w:pPr>
      <w:r>
        <w:rPr>
          <w:rFonts w:ascii="sans-serif" w:eastAsia="sans-serif" w:hAnsi="sans-serif" w:cs="sans-serif"/>
          <w:b/>
          <w:bCs/>
          <w:color w:val="76B900"/>
          <w:sz w:val="22"/>
          <w:szCs w:val="22"/>
        </w:rPr>
        <w:t>Note 11 - Derivative Financial Instruments</w:t>
      </w:r>
    </w:p>
    <w:p w14:paraId="195032FC" w14:textId="77777777" w:rsidR="00BF3A3A" w:rsidRDefault="00A76802">
      <w:pPr>
        <w:spacing w:after="180"/>
        <w:jc w:val="both"/>
      </w:pPr>
      <w:r>
        <w:rPr>
          <w:rFonts w:ascii="sans-serif" w:eastAsia="sans-serif" w:hAnsi="sans-serif" w:cs="sans-serif"/>
          <w:color w:val="000000"/>
          <w:sz w:val="20"/>
          <w:szCs w:val="20"/>
        </w:rPr>
        <w:t xml:space="preserve">We enter into foreign currency forward </w:t>
      </w:r>
      <w:r>
        <w:rPr>
          <w:rFonts w:ascii="sans-serif" w:eastAsia="sans-serif" w:hAnsi="sans-serif" w:cs="sans-serif"/>
          <w:color w:val="000000"/>
          <w:sz w:val="20"/>
          <w:szCs w:val="20"/>
        </w:rPr>
        <w:t>contracts to mitigate the impact of foreign currency exchange rate movements on our operating expenses. These contracts are designated as cash flow hedges for hedge accounting treatment. Gains or losses on the contracts are recorded in accumulated other co</w:t>
      </w:r>
      <w:r>
        <w:rPr>
          <w:rFonts w:ascii="sans-serif" w:eastAsia="sans-serif" w:hAnsi="sans-serif" w:cs="sans-serif"/>
          <w:color w:val="000000"/>
          <w:sz w:val="20"/>
          <w:szCs w:val="20"/>
        </w:rPr>
        <w:t>mprehensive income or loss and reclassified to operating expense when the related operating expenses are recognized in earnings or ineffectiveness should occur. The fair value of the contracts was not significant as of July 31, 2022 and January 30, 2022.</w:t>
      </w:r>
    </w:p>
    <w:p w14:paraId="195032FD" w14:textId="77777777" w:rsidR="00BF3A3A" w:rsidRDefault="00A76802">
      <w:pPr>
        <w:jc w:val="both"/>
      </w:pPr>
      <w:r>
        <w:rPr>
          <w:rFonts w:ascii="sans-serif" w:eastAsia="sans-serif" w:hAnsi="sans-serif" w:cs="sans-serif"/>
          <w:color w:val="000000"/>
          <w:sz w:val="20"/>
          <w:szCs w:val="20"/>
        </w:rPr>
        <w:t>W</w:t>
      </w:r>
      <w:r>
        <w:rPr>
          <w:rFonts w:ascii="sans-serif" w:eastAsia="sans-serif" w:hAnsi="sans-serif" w:cs="sans-serif"/>
          <w:color w:val="000000"/>
          <w:sz w:val="20"/>
          <w:szCs w:val="20"/>
        </w:rPr>
        <w:t>e also enter into foreign currency forward contracts to mitigate the impact of foreign currency movements on monetary assets and liabilities that are denominated in currencies other than the U.S. dollar. These forward contracts were not designated for hedg</w:t>
      </w:r>
      <w:r>
        <w:rPr>
          <w:rFonts w:ascii="sans-serif" w:eastAsia="sans-serif" w:hAnsi="sans-serif" w:cs="sans-serif"/>
          <w:color w:val="000000"/>
          <w:sz w:val="20"/>
          <w:szCs w:val="20"/>
        </w:rPr>
        <w:t>e accounting treatment. Therefore, the change in fair value of these contracts is recorded in other income or expense and offsets the change in fair value of the hedged foreign currency denominated monetary assets and liabilities, which is also recorded in</w:t>
      </w:r>
      <w:r>
        <w:rPr>
          <w:rFonts w:ascii="sans-serif" w:eastAsia="sans-serif" w:hAnsi="sans-serif" w:cs="sans-serif"/>
          <w:color w:val="000000"/>
          <w:sz w:val="20"/>
          <w:szCs w:val="20"/>
        </w:rPr>
        <w:t xml:space="preserve"> other income or expense. </w:t>
      </w:r>
    </w:p>
    <w:p w14:paraId="195032FE" w14:textId="77777777" w:rsidR="00BF3A3A" w:rsidRDefault="00BF3A3A"/>
    <w:p w14:paraId="195032FF" w14:textId="77777777" w:rsidR="00BF3A3A" w:rsidRDefault="00A76802">
      <w:pPr>
        <w:spacing w:after="180"/>
        <w:jc w:val="both"/>
      </w:pPr>
      <w:r>
        <w:rPr>
          <w:rFonts w:ascii="sans-serif" w:eastAsia="sans-serif" w:hAnsi="sans-serif" w:cs="sans-serif"/>
          <w:color w:val="000000"/>
          <w:sz w:val="20"/>
          <w:szCs w:val="20"/>
        </w:rPr>
        <w:t>The table below presents the notional value of our foreign currency forward contracts outstanding as of July 31, 2022 and January 30, 2022:</w:t>
      </w:r>
    </w:p>
    <w:tbl>
      <w:tblPr>
        <w:tblW w:w="5000" w:type="pct"/>
        <w:tblCellMar>
          <w:top w:w="15" w:type="dxa"/>
          <w:left w:w="15" w:type="dxa"/>
          <w:bottom w:w="15" w:type="dxa"/>
          <w:right w:w="15" w:type="dxa"/>
        </w:tblCellMar>
        <w:tblLook w:val="04A0" w:firstRow="1" w:lastRow="0" w:firstColumn="1" w:lastColumn="0" w:noHBand="0" w:noVBand="1"/>
      </w:tblPr>
      <w:tblGrid>
        <w:gridCol w:w="40"/>
        <w:gridCol w:w="5655"/>
        <w:gridCol w:w="36"/>
        <w:gridCol w:w="122"/>
        <w:gridCol w:w="1082"/>
        <w:gridCol w:w="36"/>
        <w:gridCol w:w="36"/>
        <w:gridCol w:w="49"/>
        <w:gridCol w:w="36"/>
        <w:gridCol w:w="123"/>
        <w:gridCol w:w="1085"/>
        <w:gridCol w:w="36"/>
      </w:tblGrid>
      <w:tr w:rsidR="00BF3A3A" w14:paraId="1950330C" w14:textId="77777777">
        <w:tc>
          <w:tcPr>
            <w:tcW w:w="50" w:type="pct"/>
            <w:shd w:val="clear" w:color="auto" w:fill="auto"/>
            <w:vAlign w:val="bottom"/>
          </w:tcPr>
          <w:p w14:paraId="19503300" w14:textId="77777777" w:rsidR="00BF3A3A" w:rsidRDefault="00BF3A3A">
            <w:pPr>
              <w:rPr>
                <w:rFonts w:ascii="宋体"/>
              </w:rPr>
            </w:pPr>
          </w:p>
        </w:tc>
        <w:tc>
          <w:tcPr>
            <w:tcW w:w="3417" w:type="pct"/>
            <w:shd w:val="clear" w:color="auto" w:fill="auto"/>
            <w:vAlign w:val="bottom"/>
          </w:tcPr>
          <w:p w14:paraId="19503301" w14:textId="77777777" w:rsidR="00BF3A3A" w:rsidRDefault="00BF3A3A">
            <w:pPr>
              <w:rPr>
                <w:rFonts w:ascii="宋体"/>
              </w:rPr>
            </w:pPr>
          </w:p>
        </w:tc>
        <w:tc>
          <w:tcPr>
            <w:tcW w:w="5" w:type="pct"/>
            <w:shd w:val="clear" w:color="auto" w:fill="auto"/>
            <w:vAlign w:val="bottom"/>
          </w:tcPr>
          <w:p w14:paraId="19503302" w14:textId="77777777" w:rsidR="00BF3A3A" w:rsidRDefault="00BF3A3A">
            <w:pPr>
              <w:rPr>
                <w:rFonts w:ascii="宋体"/>
              </w:rPr>
            </w:pPr>
          </w:p>
        </w:tc>
        <w:tc>
          <w:tcPr>
            <w:tcW w:w="50" w:type="pct"/>
            <w:shd w:val="clear" w:color="auto" w:fill="auto"/>
            <w:vAlign w:val="bottom"/>
          </w:tcPr>
          <w:p w14:paraId="19503303" w14:textId="77777777" w:rsidR="00BF3A3A" w:rsidRDefault="00BF3A3A">
            <w:pPr>
              <w:rPr>
                <w:rFonts w:ascii="宋体"/>
              </w:rPr>
            </w:pPr>
          </w:p>
        </w:tc>
        <w:tc>
          <w:tcPr>
            <w:tcW w:w="675" w:type="pct"/>
            <w:shd w:val="clear" w:color="auto" w:fill="auto"/>
            <w:vAlign w:val="bottom"/>
          </w:tcPr>
          <w:p w14:paraId="19503304" w14:textId="77777777" w:rsidR="00BF3A3A" w:rsidRDefault="00BF3A3A">
            <w:pPr>
              <w:rPr>
                <w:rFonts w:ascii="宋体"/>
              </w:rPr>
            </w:pPr>
          </w:p>
        </w:tc>
        <w:tc>
          <w:tcPr>
            <w:tcW w:w="5" w:type="pct"/>
            <w:shd w:val="clear" w:color="auto" w:fill="auto"/>
            <w:vAlign w:val="bottom"/>
          </w:tcPr>
          <w:p w14:paraId="19503305" w14:textId="77777777" w:rsidR="00BF3A3A" w:rsidRDefault="00BF3A3A">
            <w:pPr>
              <w:rPr>
                <w:rFonts w:ascii="宋体"/>
              </w:rPr>
            </w:pPr>
          </w:p>
        </w:tc>
        <w:tc>
          <w:tcPr>
            <w:tcW w:w="5" w:type="pct"/>
            <w:shd w:val="clear" w:color="auto" w:fill="auto"/>
            <w:vAlign w:val="bottom"/>
          </w:tcPr>
          <w:p w14:paraId="19503306" w14:textId="77777777" w:rsidR="00BF3A3A" w:rsidRDefault="00BF3A3A">
            <w:pPr>
              <w:rPr>
                <w:rFonts w:ascii="宋体"/>
              </w:rPr>
            </w:pPr>
          </w:p>
        </w:tc>
        <w:tc>
          <w:tcPr>
            <w:tcW w:w="55" w:type="pct"/>
            <w:shd w:val="clear" w:color="auto" w:fill="auto"/>
            <w:vAlign w:val="bottom"/>
          </w:tcPr>
          <w:p w14:paraId="19503307" w14:textId="77777777" w:rsidR="00BF3A3A" w:rsidRDefault="00BF3A3A">
            <w:pPr>
              <w:rPr>
                <w:rFonts w:ascii="宋体"/>
              </w:rPr>
            </w:pPr>
          </w:p>
        </w:tc>
        <w:tc>
          <w:tcPr>
            <w:tcW w:w="5" w:type="pct"/>
            <w:shd w:val="clear" w:color="auto" w:fill="auto"/>
            <w:vAlign w:val="bottom"/>
          </w:tcPr>
          <w:p w14:paraId="19503308" w14:textId="77777777" w:rsidR="00BF3A3A" w:rsidRDefault="00BF3A3A">
            <w:pPr>
              <w:rPr>
                <w:rFonts w:ascii="宋体"/>
              </w:rPr>
            </w:pPr>
          </w:p>
        </w:tc>
        <w:tc>
          <w:tcPr>
            <w:tcW w:w="50" w:type="pct"/>
            <w:shd w:val="clear" w:color="auto" w:fill="auto"/>
            <w:vAlign w:val="bottom"/>
          </w:tcPr>
          <w:p w14:paraId="19503309" w14:textId="77777777" w:rsidR="00BF3A3A" w:rsidRDefault="00BF3A3A">
            <w:pPr>
              <w:rPr>
                <w:rFonts w:ascii="宋体"/>
              </w:rPr>
            </w:pPr>
          </w:p>
        </w:tc>
        <w:tc>
          <w:tcPr>
            <w:tcW w:w="676" w:type="pct"/>
            <w:shd w:val="clear" w:color="auto" w:fill="auto"/>
            <w:vAlign w:val="bottom"/>
          </w:tcPr>
          <w:p w14:paraId="1950330A" w14:textId="77777777" w:rsidR="00BF3A3A" w:rsidRDefault="00BF3A3A">
            <w:pPr>
              <w:rPr>
                <w:rFonts w:ascii="宋体"/>
              </w:rPr>
            </w:pPr>
          </w:p>
        </w:tc>
        <w:tc>
          <w:tcPr>
            <w:tcW w:w="5" w:type="pct"/>
            <w:shd w:val="clear" w:color="auto" w:fill="auto"/>
            <w:vAlign w:val="bottom"/>
          </w:tcPr>
          <w:p w14:paraId="1950330B" w14:textId="77777777" w:rsidR="00BF3A3A" w:rsidRDefault="00BF3A3A">
            <w:pPr>
              <w:rPr>
                <w:rFonts w:ascii="宋体"/>
              </w:rPr>
            </w:pPr>
          </w:p>
        </w:tc>
      </w:tr>
      <w:tr w:rsidR="00BF3A3A" w14:paraId="19503311" w14:textId="77777777">
        <w:tc>
          <w:tcPr>
            <w:tcW w:w="0" w:type="auto"/>
            <w:gridSpan w:val="3"/>
            <w:shd w:val="clear" w:color="auto" w:fill="auto"/>
            <w:tcMar>
              <w:top w:w="40" w:type="dxa"/>
              <w:left w:w="20" w:type="dxa"/>
              <w:bottom w:w="40" w:type="dxa"/>
              <w:right w:w="20" w:type="dxa"/>
            </w:tcMar>
            <w:vAlign w:val="bottom"/>
          </w:tcPr>
          <w:p w14:paraId="1950330D"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950330E" w14:textId="77777777" w:rsidR="00BF3A3A" w:rsidRDefault="00A76802">
            <w:pPr>
              <w:jc w:val="center"/>
              <w:textAlignment w:val="bottom"/>
            </w:pPr>
            <w:r>
              <w:rPr>
                <w:rFonts w:ascii="sans-serif" w:eastAsia="sans-serif" w:hAnsi="sans-serif" w:cs="sans-serif"/>
                <w:b/>
                <w:bCs/>
                <w:color w:val="000000"/>
                <w:sz w:val="20"/>
                <w:szCs w:val="20"/>
              </w:rPr>
              <w:t>July 31,</w:t>
            </w:r>
            <w:r>
              <w:rPr>
                <w:rFonts w:ascii="sans-serif" w:eastAsia="sans-serif" w:hAnsi="sans-serif" w:cs="sans-serif"/>
                <w:b/>
                <w:bCs/>
                <w:color w:val="000000"/>
                <w:sz w:val="20"/>
                <w:szCs w:val="20"/>
              </w:rPr>
              <w:br/>
              <w:t>2022</w:t>
            </w:r>
          </w:p>
        </w:tc>
        <w:tc>
          <w:tcPr>
            <w:tcW w:w="0" w:type="auto"/>
            <w:gridSpan w:val="3"/>
            <w:shd w:val="clear" w:color="auto" w:fill="auto"/>
            <w:tcMar>
              <w:top w:w="0" w:type="dxa"/>
              <w:left w:w="20" w:type="dxa"/>
              <w:bottom w:w="0" w:type="dxa"/>
              <w:right w:w="20" w:type="dxa"/>
            </w:tcMar>
            <w:vAlign w:val="bottom"/>
          </w:tcPr>
          <w:p w14:paraId="1950330F"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310" w14:textId="77777777" w:rsidR="00BF3A3A" w:rsidRDefault="00A76802">
            <w:pPr>
              <w:jc w:val="center"/>
              <w:textAlignment w:val="bottom"/>
            </w:pPr>
            <w:r>
              <w:rPr>
                <w:rFonts w:ascii="sans-serif" w:eastAsia="sans-serif" w:hAnsi="sans-serif" w:cs="sans-serif"/>
                <w:b/>
                <w:bCs/>
                <w:color w:val="000000"/>
                <w:sz w:val="20"/>
                <w:szCs w:val="20"/>
              </w:rPr>
              <w:t>January 30,</w:t>
            </w:r>
            <w:r>
              <w:rPr>
                <w:rFonts w:ascii="sans-serif" w:eastAsia="sans-serif" w:hAnsi="sans-serif" w:cs="sans-serif"/>
                <w:b/>
                <w:bCs/>
                <w:color w:val="000000"/>
                <w:sz w:val="20"/>
                <w:szCs w:val="20"/>
              </w:rPr>
              <w:br/>
              <w:t>2022</w:t>
            </w:r>
          </w:p>
        </w:tc>
      </w:tr>
      <w:tr w:rsidR="00BF3A3A" w14:paraId="19503316" w14:textId="77777777">
        <w:trPr>
          <w:trHeight w:val="60"/>
        </w:trPr>
        <w:tc>
          <w:tcPr>
            <w:tcW w:w="0" w:type="auto"/>
            <w:gridSpan w:val="3"/>
            <w:shd w:val="clear" w:color="auto" w:fill="auto"/>
            <w:tcMar>
              <w:top w:w="0" w:type="dxa"/>
              <w:left w:w="20" w:type="dxa"/>
              <w:bottom w:w="0" w:type="dxa"/>
              <w:right w:w="20" w:type="dxa"/>
            </w:tcMar>
            <w:vAlign w:val="bottom"/>
          </w:tcPr>
          <w:p w14:paraId="19503312"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313"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314"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315" w14:textId="77777777" w:rsidR="00BF3A3A" w:rsidRDefault="00BF3A3A">
            <w:pPr>
              <w:rPr>
                <w:rFonts w:ascii="宋体"/>
              </w:rPr>
            </w:pPr>
          </w:p>
        </w:tc>
      </w:tr>
      <w:tr w:rsidR="00BF3A3A" w14:paraId="19503319" w14:textId="77777777">
        <w:tc>
          <w:tcPr>
            <w:tcW w:w="0" w:type="auto"/>
            <w:gridSpan w:val="3"/>
            <w:shd w:val="clear" w:color="auto" w:fill="auto"/>
            <w:tcMar>
              <w:top w:w="0" w:type="dxa"/>
              <w:left w:w="20" w:type="dxa"/>
              <w:bottom w:w="0" w:type="dxa"/>
              <w:right w:w="20" w:type="dxa"/>
            </w:tcMar>
            <w:vAlign w:val="bottom"/>
          </w:tcPr>
          <w:p w14:paraId="19503317" w14:textId="77777777" w:rsidR="00BF3A3A" w:rsidRDefault="00BF3A3A">
            <w:pPr>
              <w:rPr>
                <w:rFonts w:ascii="宋体"/>
              </w:rPr>
            </w:pPr>
          </w:p>
        </w:tc>
        <w:tc>
          <w:tcPr>
            <w:tcW w:w="0" w:type="auto"/>
            <w:gridSpan w:val="9"/>
            <w:shd w:val="clear" w:color="auto" w:fill="auto"/>
            <w:tcMar>
              <w:top w:w="40" w:type="dxa"/>
              <w:left w:w="20" w:type="dxa"/>
              <w:bottom w:w="40" w:type="dxa"/>
              <w:right w:w="20" w:type="dxa"/>
            </w:tcMar>
            <w:vAlign w:val="bottom"/>
          </w:tcPr>
          <w:p w14:paraId="19503318" w14:textId="77777777" w:rsidR="00BF3A3A" w:rsidRDefault="00A76802">
            <w:pPr>
              <w:jc w:val="center"/>
              <w:textAlignment w:val="bottom"/>
            </w:pPr>
            <w:r>
              <w:rPr>
                <w:rFonts w:ascii="sans-serif" w:eastAsia="sans-serif" w:hAnsi="sans-serif" w:cs="sans-serif"/>
                <w:i/>
                <w:iCs/>
                <w:color w:val="000000"/>
                <w:sz w:val="20"/>
                <w:szCs w:val="20"/>
              </w:rPr>
              <w:t>(In millions)</w:t>
            </w:r>
          </w:p>
        </w:tc>
      </w:tr>
      <w:tr w:rsidR="00BF3A3A" w14:paraId="19503322" w14:textId="77777777">
        <w:tc>
          <w:tcPr>
            <w:tcW w:w="0" w:type="auto"/>
            <w:gridSpan w:val="3"/>
            <w:shd w:val="clear" w:color="auto" w:fill="E2EFD9"/>
            <w:tcMar>
              <w:top w:w="40" w:type="dxa"/>
              <w:left w:w="20" w:type="dxa"/>
              <w:bottom w:w="40" w:type="dxa"/>
              <w:right w:w="20" w:type="dxa"/>
            </w:tcMar>
            <w:vAlign w:val="bottom"/>
          </w:tcPr>
          <w:p w14:paraId="1950331A" w14:textId="77777777" w:rsidR="00BF3A3A" w:rsidRDefault="00A76802">
            <w:pPr>
              <w:textAlignment w:val="bottom"/>
            </w:pPr>
            <w:r>
              <w:rPr>
                <w:rFonts w:ascii="sans-serif" w:eastAsia="sans-serif" w:hAnsi="sans-serif" w:cs="sans-serif"/>
                <w:color w:val="000000"/>
                <w:sz w:val="20"/>
                <w:szCs w:val="20"/>
              </w:rPr>
              <w:t>Designated as cash flow hedges</w:t>
            </w:r>
          </w:p>
        </w:tc>
        <w:tc>
          <w:tcPr>
            <w:tcW w:w="0" w:type="auto"/>
            <w:shd w:val="clear" w:color="auto" w:fill="E2EFD9"/>
            <w:tcMar>
              <w:top w:w="40" w:type="dxa"/>
              <w:left w:w="20" w:type="dxa"/>
              <w:bottom w:w="40" w:type="dxa"/>
              <w:right w:w="0" w:type="dxa"/>
            </w:tcMar>
            <w:vAlign w:val="bottom"/>
          </w:tcPr>
          <w:p w14:paraId="1950331B"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31C" w14:textId="77777777" w:rsidR="00BF3A3A" w:rsidRDefault="00A76802">
            <w:pPr>
              <w:jc w:val="right"/>
              <w:textAlignment w:val="bottom"/>
            </w:pPr>
            <w:r>
              <w:rPr>
                <w:rFonts w:ascii="sans-serif" w:eastAsia="sans-serif" w:hAnsi="sans-serif" w:cs="sans-serif"/>
                <w:color w:val="000000"/>
                <w:sz w:val="20"/>
                <w:szCs w:val="20"/>
              </w:rPr>
              <w:t>1,090 </w:t>
            </w:r>
          </w:p>
        </w:tc>
        <w:tc>
          <w:tcPr>
            <w:tcW w:w="0" w:type="auto"/>
            <w:shd w:val="clear" w:color="auto" w:fill="E2EFD9"/>
            <w:tcMar>
              <w:top w:w="40" w:type="dxa"/>
              <w:left w:w="0" w:type="dxa"/>
              <w:bottom w:w="40" w:type="dxa"/>
              <w:right w:w="20" w:type="dxa"/>
            </w:tcMar>
            <w:vAlign w:val="bottom"/>
          </w:tcPr>
          <w:p w14:paraId="1950331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31E"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31F"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320" w14:textId="77777777" w:rsidR="00BF3A3A" w:rsidRDefault="00A76802">
            <w:pPr>
              <w:jc w:val="right"/>
              <w:textAlignment w:val="bottom"/>
            </w:pPr>
            <w:r>
              <w:rPr>
                <w:rFonts w:ascii="sans-serif" w:eastAsia="sans-serif" w:hAnsi="sans-serif" w:cs="sans-serif"/>
                <w:color w:val="000000"/>
                <w:sz w:val="20"/>
                <w:szCs w:val="20"/>
              </w:rPr>
              <w:t>1,023 </w:t>
            </w:r>
          </w:p>
        </w:tc>
        <w:tc>
          <w:tcPr>
            <w:tcW w:w="0" w:type="auto"/>
            <w:shd w:val="clear" w:color="auto" w:fill="E2EFD9"/>
            <w:tcMar>
              <w:top w:w="40" w:type="dxa"/>
              <w:left w:w="0" w:type="dxa"/>
              <w:bottom w:w="40" w:type="dxa"/>
              <w:right w:w="20" w:type="dxa"/>
            </w:tcMar>
            <w:vAlign w:val="bottom"/>
          </w:tcPr>
          <w:p w14:paraId="19503321" w14:textId="77777777" w:rsidR="00BF3A3A" w:rsidRDefault="00BF3A3A">
            <w:pPr>
              <w:jc w:val="right"/>
              <w:rPr>
                <w:rFonts w:ascii="宋体"/>
              </w:rPr>
            </w:pPr>
          </w:p>
        </w:tc>
      </w:tr>
      <w:tr w:rsidR="00BF3A3A" w14:paraId="1950332B" w14:textId="77777777">
        <w:tc>
          <w:tcPr>
            <w:tcW w:w="0" w:type="auto"/>
            <w:gridSpan w:val="3"/>
            <w:shd w:val="clear" w:color="auto" w:fill="FFFFFF"/>
            <w:tcMar>
              <w:top w:w="40" w:type="dxa"/>
              <w:left w:w="20" w:type="dxa"/>
              <w:bottom w:w="40" w:type="dxa"/>
              <w:right w:w="20" w:type="dxa"/>
            </w:tcMar>
            <w:vAlign w:val="bottom"/>
          </w:tcPr>
          <w:p w14:paraId="19503323" w14:textId="77777777" w:rsidR="00BF3A3A" w:rsidRDefault="00A76802">
            <w:pPr>
              <w:textAlignment w:val="bottom"/>
            </w:pPr>
            <w:r>
              <w:rPr>
                <w:rFonts w:ascii="sans-serif" w:eastAsia="sans-serif" w:hAnsi="sans-serif" w:cs="sans-serif"/>
                <w:color w:val="000000"/>
                <w:sz w:val="20"/>
                <w:szCs w:val="20"/>
              </w:rPr>
              <w:t>Not designated for hedge accounting</w:t>
            </w:r>
          </w:p>
        </w:tc>
        <w:tc>
          <w:tcPr>
            <w:tcW w:w="0" w:type="auto"/>
            <w:shd w:val="clear" w:color="auto" w:fill="FFFFFF"/>
            <w:tcMar>
              <w:top w:w="40" w:type="dxa"/>
              <w:left w:w="20" w:type="dxa"/>
              <w:bottom w:w="40" w:type="dxa"/>
              <w:right w:w="0" w:type="dxa"/>
            </w:tcMar>
            <w:vAlign w:val="bottom"/>
          </w:tcPr>
          <w:p w14:paraId="19503324"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325" w14:textId="77777777" w:rsidR="00BF3A3A" w:rsidRDefault="00A76802">
            <w:pPr>
              <w:jc w:val="right"/>
              <w:textAlignment w:val="bottom"/>
            </w:pPr>
            <w:r>
              <w:rPr>
                <w:rFonts w:ascii="sans-serif" w:eastAsia="sans-serif" w:hAnsi="sans-serif" w:cs="sans-serif"/>
                <w:color w:val="000000"/>
                <w:sz w:val="20"/>
                <w:szCs w:val="20"/>
              </w:rPr>
              <w:t>378 </w:t>
            </w:r>
          </w:p>
        </w:tc>
        <w:tc>
          <w:tcPr>
            <w:tcW w:w="0" w:type="auto"/>
            <w:shd w:val="clear" w:color="auto" w:fill="FFFFFF"/>
            <w:tcMar>
              <w:top w:w="40" w:type="dxa"/>
              <w:left w:w="0" w:type="dxa"/>
              <w:bottom w:w="40" w:type="dxa"/>
              <w:right w:w="20" w:type="dxa"/>
            </w:tcMar>
            <w:vAlign w:val="bottom"/>
          </w:tcPr>
          <w:p w14:paraId="1950332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327"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328"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329" w14:textId="77777777" w:rsidR="00BF3A3A" w:rsidRDefault="00A76802">
            <w:pPr>
              <w:jc w:val="right"/>
              <w:textAlignment w:val="bottom"/>
            </w:pPr>
            <w:r>
              <w:rPr>
                <w:rFonts w:ascii="sans-serif" w:eastAsia="sans-serif" w:hAnsi="sans-serif" w:cs="sans-serif"/>
                <w:color w:val="000000"/>
                <w:sz w:val="20"/>
                <w:szCs w:val="20"/>
              </w:rPr>
              <w:t>408 </w:t>
            </w:r>
          </w:p>
        </w:tc>
        <w:tc>
          <w:tcPr>
            <w:tcW w:w="0" w:type="auto"/>
            <w:shd w:val="clear" w:color="auto" w:fill="FFFFFF"/>
            <w:tcMar>
              <w:top w:w="40" w:type="dxa"/>
              <w:left w:w="0" w:type="dxa"/>
              <w:bottom w:w="40" w:type="dxa"/>
              <w:right w:w="20" w:type="dxa"/>
            </w:tcMar>
            <w:vAlign w:val="bottom"/>
          </w:tcPr>
          <w:p w14:paraId="1950332A" w14:textId="77777777" w:rsidR="00BF3A3A" w:rsidRDefault="00BF3A3A">
            <w:pPr>
              <w:jc w:val="right"/>
              <w:rPr>
                <w:rFonts w:ascii="宋体"/>
              </w:rPr>
            </w:pPr>
          </w:p>
        </w:tc>
      </w:tr>
    </w:tbl>
    <w:p w14:paraId="1950332C" w14:textId="77777777" w:rsidR="00BF3A3A" w:rsidRDefault="00A76802">
      <w:pPr>
        <w:spacing w:before="180" w:after="180"/>
        <w:jc w:val="both"/>
      </w:pPr>
      <w:r>
        <w:rPr>
          <w:rFonts w:ascii="sans-serif" w:eastAsia="sans-serif" w:hAnsi="sans-serif" w:cs="sans-serif"/>
          <w:color w:val="000000"/>
          <w:sz w:val="20"/>
          <w:szCs w:val="20"/>
        </w:rPr>
        <w:t xml:space="preserve">As of July 31, 2022, all designated foreign currency forward contracts mature within 18 months. The expected realized gains and losses </w:t>
      </w:r>
      <w:r>
        <w:rPr>
          <w:rFonts w:ascii="sans-serif" w:eastAsia="sans-serif" w:hAnsi="sans-serif" w:cs="sans-serif"/>
          <w:color w:val="000000"/>
          <w:sz w:val="20"/>
          <w:szCs w:val="20"/>
        </w:rPr>
        <w:t>deferred into accumulated other comprehensive income or loss related to foreign currency forward contracts within the next twelve months was not significant.</w:t>
      </w:r>
    </w:p>
    <w:p w14:paraId="1950332D" w14:textId="77777777" w:rsidR="00BF3A3A" w:rsidRDefault="00A76802">
      <w:pPr>
        <w:spacing w:after="180"/>
        <w:jc w:val="both"/>
      </w:pPr>
      <w:r>
        <w:rPr>
          <w:rFonts w:ascii="sans-serif" w:eastAsia="sans-serif" w:hAnsi="sans-serif" w:cs="sans-serif"/>
          <w:color w:val="000000"/>
          <w:sz w:val="20"/>
          <w:szCs w:val="20"/>
        </w:rPr>
        <w:t>During the first half of fiscal years 2023 and 2022, the impact of derivative financial instrument</w:t>
      </w:r>
      <w:r>
        <w:rPr>
          <w:rFonts w:ascii="sans-serif" w:eastAsia="sans-serif" w:hAnsi="sans-serif" w:cs="sans-serif"/>
          <w:color w:val="000000"/>
          <w:sz w:val="20"/>
          <w:szCs w:val="20"/>
        </w:rPr>
        <w:t>s designated for hedge accounting treatment on other comprehensive income or loss was not significant.</w:t>
      </w:r>
    </w:p>
    <w:p w14:paraId="1950332E" w14:textId="77777777" w:rsidR="00BF3A3A" w:rsidRDefault="00A76802">
      <w:pPr>
        <w:spacing w:after="180"/>
        <w:jc w:val="center"/>
      </w:pPr>
      <w:r>
        <w:rPr>
          <w:rFonts w:ascii="sans-serif" w:eastAsia="sans-serif" w:hAnsi="sans-serif" w:cs="sans-serif"/>
          <w:color w:val="000000"/>
          <w:sz w:val="20"/>
          <w:szCs w:val="20"/>
        </w:rPr>
        <w:t>17</w:t>
      </w:r>
    </w:p>
    <w:p w14:paraId="1950332F" w14:textId="77777777" w:rsidR="00BF3A3A" w:rsidRDefault="00A76802">
      <w:r>
        <w:pict w14:anchorId="19503FD6">
          <v:rect id="_x0000_i1041" style="width:415.3pt;height:1.5pt" o:hralign="center" o:hrstd="t" o:hr="t" fillcolor="#a0a0a0" stroked="f"/>
        </w:pict>
      </w:r>
    </w:p>
    <w:p w14:paraId="19503330" w14:textId="77777777" w:rsidR="00BF3A3A" w:rsidRDefault="00A76802">
      <w:pPr>
        <w:jc w:val="center"/>
      </w:pPr>
      <w:r>
        <w:rPr>
          <w:rFonts w:ascii="sans-serif" w:eastAsia="sans-serif" w:hAnsi="sans-serif" w:cs="sans-serif"/>
          <w:b/>
          <w:bCs/>
          <w:color w:val="000000"/>
          <w:sz w:val="20"/>
          <w:szCs w:val="20"/>
        </w:rPr>
        <w:t>NVIDIA CORPORATION AND SUBSIDIARIES</w:t>
      </w:r>
    </w:p>
    <w:p w14:paraId="19503331" w14:textId="77777777" w:rsidR="00BF3A3A" w:rsidRDefault="00A76802">
      <w:pPr>
        <w:jc w:val="center"/>
      </w:pPr>
      <w:r>
        <w:rPr>
          <w:rFonts w:ascii="sans-serif" w:eastAsia="sans-serif" w:hAnsi="sans-serif" w:cs="sans-serif"/>
          <w:b/>
          <w:bCs/>
          <w:color w:val="000000"/>
          <w:sz w:val="20"/>
          <w:szCs w:val="20"/>
        </w:rPr>
        <w:t>NOTES TO CONDENSED CONSOLIDATED FINANCIAL STATEMENTS (Continued)</w:t>
      </w:r>
    </w:p>
    <w:p w14:paraId="19503332" w14:textId="77777777" w:rsidR="00BF3A3A" w:rsidRDefault="00A76802">
      <w:pPr>
        <w:jc w:val="center"/>
      </w:pPr>
      <w:r>
        <w:rPr>
          <w:rFonts w:ascii="sans-serif" w:eastAsia="sans-serif" w:hAnsi="sans-serif" w:cs="sans-serif"/>
          <w:b/>
          <w:bCs/>
          <w:color w:val="000000"/>
          <w:sz w:val="20"/>
          <w:szCs w:val="20"/>
        </w:rPr>
        <w:t>(Unaudited)</w:t>
      </w:r>
    </w:p>
    <w:p w14:paraId="19503333" w14:textId="77777777" w:rsidR="00BF3A3A" w:rsidRDefault="00BF3A3A">
      <w:pPr>
        <w:spacing w:after="180"/>
        <w:jc w:val="both"/>
      </w:pPr>
    </w:p>
    <w:p w14:paraId="19503334" w14:textId="77777777" w:rsidR="00BF3A3A" w:rsidRDefault="00BF3A3A">
      <w:pPr>
        <w:spacing w:after="180"/>
        <w:jc w:val="both"/>
      </w:pPr>
    </w:p>
    <w:p w14:paraId="19503335" w14:textId="77777777" w:rsidR="00BF3A3A" w:rsidRDefault="00A76802">
      <w:pPr>
        <w:spacing w:before="240" w:after="120"/>
        <w:jc w:val="both"/>
      </w:pPr>
      <w:r>
        <w:rPr>
          <w:rFonts w:ascii="sans-serif" w:eastAsia="sans-serif" w:hAnsi="sans-serif" w:cs="sans-serif"/>
          <w:b/>
          <w:bCs/>
          <w:color w:val="76B900"/>
          <w:sz w:val="22"/>
          <w:szCs w:val="22"/>
        </w:rPr>
        <w:t>Note 12 - Debt</w:t>
      </w:r>
    </w:p>
    <w:p w14:paraId="19503336" w14:textId="77777777" w:rsidR="00BF3A3A" w:rsidRDefault="00A76802">
      <w:pPr>
        <w:spacing w:before="240" w:after="60"/>
        <w:jc w:val="both"/>
      </w:pPr>
      <w:r>
        <w:rPr>
          <w:rFonts w:ascii="sans-serif" w:eastAsia="sans-serif" w:hAnsi="sans-serif" w:cs="sans-serif"/>
          <w:b/>
          <w:bCs/>
          <w:color w:val="76B900"/>
          <w:sz w:val="20"/>
          <w:szCs w:val="20"/>
        </w:rPr>
        <w:t>Long-Term Debt</w:t>
      </w:r>
    </w:p>
    <w:p w14:paraId="19503337" w14:textId="77777777" w:rsidR="00BF3A3A" w:rsidRDefault="00A76802">
      <w:pPr>
        <w:spacing w:after="180"/>
        <w:jc w:val="both"/>
      </w:pPr>
      <w:r>
        <w:rPr>
          <w:rFonts w:ascii="sans-serif" w:eastAsia="sans-serif" w:hAnsi="sans-serif" w:cs="sans-serif"/>
          <w:color w:val="000000"/>
          <w:sz w:val="20"/>
          <w:szCs w:val="20"/>
        </w:rPr>
        <w:t>The carrying values of our outstanding notes and their associated interest rates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47"/>
        <w:gridCol w:w="3712"/>
        <w:gridCol w:w="37"/>
        <w:gridCol w:w="36"/>
        <w:gridCol w:w="36"/>
        <w:gridCol w:w="36"/>
        <w:gridCol w:w="66"/>
        <w:gridCol w:w="993"/>
        <w:gridCol w:w="36"/>
        <w:gridCol w:w="36"/>
        <w:gridCol w:w="36"/>
        <w:gridCol w:w="36"/>
        <w:gridCol w:w="62"/>
        <w:gridCol w:w="889"/>
        <w:gridCol w:w="36"/>
        <w:gridCol w:w="36"/>
        <w:gridCol w:w="36"/>
        <w:gridCol w:w="36"/>
        <w:gridCol w:w="122"/>
        <w:gridCol w:w="855"/>
        <w:gridCol w:w="36"/>
        <w:gridCol w:w="36"/>
        <w:gridCol w:w="36"/>
        <w:gridCol w:w="36"/>
        <w:gridCol w:w="122"/>
        <w:gridCol w:w="855"/>
        <w:gridCol w:w="36"/>
      </w:tblGrid>
      <w:tr w:rsidR="00BF3A3A" w14:paraId="19503353" w14:textId="77777777">
        <w:tc>
          <w:tcPr>
            <w:tcW w:w="50" w:type="pct"/>
            <w:shd w:val="clear" w:color="auto" w:fill="auto"/>
            <w:vAlign w:val="bottom"/>
          </w:tcPr>
          <w:p w14:paraId="19503338" w14:textId="77777777" w:rsidR="00BF3A3A" w:rsidRDefault="00BF3A3A">
            <w:pPr>
              <w:rPr>
                <w:rFonts w:ascii="宋体"/>
              </w:rPr>
            </w:pPr>
          </w:p>
        </w:tc>
        <w:tc>
          <w:tcPr>
            <w:tcW w:w="2247" w:type="pct"/>
            <w:shd w:val="clear" w:color="auto" w:fill="auto"/>
            <w:vAlign w:val="bottom"/>
          </w:tcPr>
          <w:p w14:paraId="19503339" w14:textId="77777777" w:rsidR="00BF3A3A" w:rsidRDefault="00BF3A3A">
            <w:pPr>
              <w:rPr>
                <w:rFonts w:ascii="宋体"/>
              </w:rPr>
            </w:pPr>
          </w:p>
        </w:tc>
        <w:tc>
          <w:tcPr>
            <w:tcW w:w="5" w:type="pct"/>
            <w:shd w:val="clear" w:color="auto" w:fill="auto"/>
            <w:vAlign w:val="bottom"/>
          </w:tcPr>
          <w:p w14:paraId="1950333A" w14:textId="77777777" w:rsidR="00BF3A3A" w:rsidRDefault="00BF3A3A">
            <w:pPr>
              <w:rPr>
                <w:rFonts w:ascii="宋体"/>
              </w:rPr>
            </w:pPr>
          </w:p>
        </w:tc>
        <w:tc>
          <w:tcPr>
            <w:tcW w:w="5" w:type="pct"/>
            <w:shd w:val="clear" w:color="auto" w:fill="auto"/>
            <w:vAlign w:val="bottom"/>
          </w:tcPr>
          <w:p w14:paraId="1950333B" w14:textId="77777777" w:rsidR="00BF3A3A" w:rsidRDefault="00BF3A3A">
            <w:pPr>
              <w:rPr>
                <w:rFonts w:ascii="宋体"/>
              </w:rPr>
            </w:pPr>
          </w:p>
        </w:tc>
        <w:tc>
          <w:tcPr>
            <w:tcW w:w="26" w:type="pct"/>
            <w:shd w:val="clear" w:color="auto" w:fill="auto"/>
            <w:vAlign w:val="bottom"/>
          </w:tcPr>
          <w:p w14:paraId="1950333C" w14:textId="77777777" w:rsidR="00BF3A3A" w:rsidRDefault="00BF3A3A">
            <w:pPr>
              <w:rPr>
                <w:rFonts w:ascii="宋体"/>
              </w:rPr>
            </w:pPr>
          </w:p>
        </w:tc>
        <w:tc>
          <w:tcPr>
            <w:tcW w:w="5" w:type="pct"/>
            <w:shd w:val="clear" w:color="auto" w:fill="auto"/>
            <w:vAlign w:val="bottom"/>
          </w:tcPr>
          <w:p w14:paraId="1950333D" w14:textId="77777777" w:rsidR="00BF3A3A" w:rsidRDefault="00BF3A3A">
            <w:pPr>
              <w:rPr>
                <w:rFonts w:ascii="宋体"/>
              </w:rPr>
            </w:pPr>
          </w:p>
        </w:tc>
        <w:tc>
          <w:tcPr>
            <w:tcW w:w="50" w:type="pct"/>
            <w:shd w:val="clear" w:color="auto" w:fill="auto"/>
            <w:vAlign w:val="bottom"/>
          </w:tcPr>
          <w:p w14:paraId="1950333E" w14:textId="77777777" w:rsidR="00BF3A3A" w:rsidRDefault="00BF3A3A">
            <w:pPr>
              <w:rPr>
                <w:rFonts w:ascii="宋体"/>
              </w:rPr>
            </w:pPr>
          </w:p>
        </w:tc>
        <w:tc>
          <w:tcPr>
            <w:tcW w:w="646" w:type="pct"/>
            <w:shd w:val="clear" w:color="auto" w:fill="auto"/>
            <w:vAlign w:val="bottom"/>
          </w:tcPr>
          <w:p w14:paraId="1950333F" w14:textId="77777777" w:rsidR="00BF3A3A" w:rsidRDefault="00BF3A3A">
            <w:pPr>
              <w:rPr>
                <w:rFonts w:ascii="宋体"/>
              </w:rPr>
            </w:pPr>
          </w:p>
        </w:tc>
        <w:tc>
          <w:tcPr>
            <w:tcW w:w="5" w:type="pct"/>
            <w:shd w:val="clear" w:color="auto" w:fill="auto"/>
            <w:vAlign w:val="bottom"/>
          </w:tcPr>
          <w:p w14:paraId="19503340" w14:textId="77777777" w:rsidR="00BF3A3A" w:rsidRDefault="00BF3A3A">
            <w:pPr>
              <w:rPr>
                <w:rFonts w:ascii="宋体"/>
              </w:rPr>
            </w:pPr>
          </w:p>
        </w:tc>
        <w:tc>
          <w:tcPr>
            <w:tcW w:w="5" w:type="pct"/>
            <w:shd w:val="clear" w:color="auto" w:fill="auto"/>
            <w:vAlign w:val="bottom"/>
          </w:tcPr>
          <w:p w14:paraId="19503341" w14:textId="77777777" w:rsidR="00BF3A3A" w:rsidRDefault="00BF3A3A">
            <w:pPr>
              <w:rPr>
                <w:rFonts w:ascii="宋体"/>
              </w:rPr>
            </w:pPr>
          </w:p>
        </w:tc>
        <w:tc>
          <w:tcPr>
            <w:tcW w:w="41" w:type="pct"/>
            <w:shd w:val="clear" w:color="auto" w:fill="auto"/>
            <w:vAlign w:val="bottom"/>
          </w:tcPr>
          <w:p w14:paraId="19503342" w14:textId="77777777" w:rsidR="00BF3A3A" w:rsidRDefault="00BF3A3A">
            <w:pPr>
              <w:rPr>
                <w:rFonts w:ascii="宋体"/>
              </w:rPr>
            </w:pPr>
          </w:p>
        </w:tc>
        <w:tc>
          <w:tcPr>
            <w:tcW w:w="5" w:type="pct"/>
            <w:shd w:val="clear" w:color="auto" w:fill="auto"/>
            <w:vAlign w:val="bottom"/>
          </w:tcPr>
          <w:p w14:paraId="19503343" w14:textId="77777777" w:rsidR="00BF3A3A" w:rsidRDefault="00BF3A3A">
            <w:pPr>
              <w:rPr>
                <w:rFonts w:ascii="宋体"/>
              </w:rPr>
            </w:pPr>
          </w:p>
        </w:tc>
        <w:tc>
          <w:tcPr>
            <w:tcW w:w="50" w:type="pct"/>
            <w:shd w:val="clear" w:color="auto" w:fill="auto"/>
            <w:vAlign w:val="bottom"/>
          </w:tcPr>
          <w:p w14:paraId="19503344" w14:textId="77777777" w:rsidR="00BF3A3A" w:rsidRDefault="00BF3A3A">
            <w:pPr>
              <w:rPr>
                <w:rFonts w:ascii="宋体"/>
              </w:rPr>
            </w:pPr>
          </w:p>
        </w:tc>
        <w:tc>
          <w:tcPr>
            <w:tcW w:w="566" w:type="pct"/>
            <w:shd w:val="clear" w:color="auto" w:fill="auto"/>
            <w:vAlign w:val="bottom"/>
          </w:tcPr>
          <w:p w14:paraId="19503345" w14:textId="77777777" w:rsidR="00BF3A3A" w:rsidRDefault="00BF3A3A">
            <w:pPr>
              <w:rPr>
                <w:rFonts w:ascii="宋体"/>
              </w:rPr>
            </w:pPr>
          </w:p>
        </w:tc>
        <w:tc>
          <w:tcPr>
            <w:tcW w:w="5" w:type="pct"/>
            <w:shd w:val="clear" w:color="auto" w:fill="auto"/>
            <w:vAlign w:val="bottom"/>
          </w:tcPr>
          <w:p w14:paraId="19503346" w14:textId="77777777" w:rsidR="00BF3A3A" w:rsidRDefault="00BF3A3A">
            <w:pPr>
              <w:rPr>
                <w:rFonts w:ascii="宋体"/>
              </w:rPr>
            </w:pPr>
          </w:p>
        </w:tc>
        <w:tc>
          <w:tcPr>
            <w:tcW w:w="5" w:type="pct"/>
            <w:shd w:val="clear" w:color="auto" w:fill="auto"/>
            <w:vAlign w:val="bottom"/>
          </w:tcPr>
          <w:p w14:paraId="19503347" w14:textId="77777777" w:rsidR="00BF3A3A" w:rsidRDefault="00BF3A3A">
            <w:pPr>
              <w:rPr>
                <w:rFonts w:ascii="宋体"/>
              </w:rPr>
            </w:pPr>
          </w:p>
        </w:tc>
        <w:tc>
          <w:tcPr>
            <w:tcW w:w="41" w:type="pct"/>
            <w:shd w:val="clear" w:color="auto" w:fill="auto"/>
            <w:vAlign w:val="bottom"/>
          </w:tcPr>
          <w:p w14:paraId="19503348" w14:textId="77777777" w:rsidR="00BF3A3A" w:rsidRDefault="00BF3A3A">
            <w:pPr>
              <w:rPr>
                <w:rFonts w:ascii="宋体"/>
              </w:rPr>
            </w:pPr>
          </w:p>
        </w:tc>
        <w:tc>
          <w:tcPr>
            <w:tcW w:w="5" w:type="pct"/>
            <w:shd w:val="clear" w:color="auto" w:fill="auto"/>
            <w:vAlign w:val="bottom"/>
          </w:tcPr>
          <w:p w14:paraId="19503349" w14:textId="77777777" w:rsidR="00BF3A3A" w:rsidRDefault="00BF3A3A">
            <w:pPr>
              <w:rPr>
                <w:rFonts w:ascii="宋体"/>
              </w:rPr>
            </w:pPr>
          </w:p>
        </w:tc>
        <w:tc>
          <w:tcPr>
            <w:tcW w:w="50" w:type="pct"/>
            <w:shd w:val="clear" w:color="auto" w:fill="auto"/>
            <w:vAlign w:val="bottom"/>
          </w:tcPr>
          <w:p w14:paraId="1950334A" w14:textId="77777777" w:rsidR="00BF3A3A" w:rsidRDefault="00BF3A3A">
            <w:pPr>
              <w:rPr>
                <w:rFonts w:ascii="宋体"/>
              </w:rPr>
            </w:pPr>
          </w:p>
        </w:tc>
        <w:tc>
          <w:tcPr>
            <w:tcW w:w="537" w:type="pct"/>
            <w:shd w:val="clear" w:color="auto" w:fill="auto"/>
            <w:vAlign w:val="bottom"/>
          </w:tcPr>
          <w:p w14:paraId="1950334B" w14:textId="77777777" w:rsidR="00BF3A3A" w:rsidRDefault="00BF3A3A">
            <w:pPr>
              <w:rPr>
                <w:rFonts w:ascii="宋体"/>
              </w:rPr>
            </w:pPr>
          </w:p>
        </w:tc>
        <w:tc>
          <w:tcPr>
            <w:tcW w:w="5" w:type="pct"/>
            <w:shd w:val="clear" w:color="auto" w:fill="auto"/>
            <w:vAlign w:val="bottom"/>
          </w:tcPr>
          <w:p w14:paraId="1950334C" w14:textId="77777777" w:rsidR="00BF3A3A" w:rsidRDefault="00BF3A3A">
            <w:pPr>
              <w:rPr>
                <w:rFonts w:ascii="宋体"/>
              </w:rPr>
            </w:pPr>
          </w:p>
        </w:tc>
        <w:tc>
          <w:tcPr>
            <w:tcW w:w="5" w:type="pct"/>
            <w:shd w:val="clear" w:color="auto" w:fill="auto"/>
            <w:vAlign w:val="bottom"/>
          </w:tcPr>
          <w:p w14:paraId="1950334D" w14:textId="77777777" w:rsidR="00BF3A3A" w:rsidRDefault="00BF3A3A">
            <w:pPr>
              <w:rPr>
                <w:rFonts w:ascii="宋体"/>
              </w:rPr>
            </w:pPr>
          </w:p>
        </w:tc>
        <w:tc>
          <w:tcPr>
            <w:tcW w:w="41" w:type="pct"/>
            <w:shd w:val="clear" w:color="auto" w:fill="auto"/>
            <w:vAlign w:val="bottom"/>
          </w:tcPr>
          <w:p w14:paraId="1950334E" w14:textId="77777777" w:rsidR="00BF3A3A" w:rsidRDefault="00BF3A3A">
            <w:pPr>
              <w:rPr>
                <w:rFonts w:ascii="宋体"/>
              </w:rPr>
            </w:pPr>
          </w:p>
        </w:tc>
        <w:tc>
          <w:tcPr>
            <w:tcW w:w="5" w:type="pct"/>
            <w:shd w:val="clear" w:color="auto" w:fill="auto"/>
            <w:vAlign w:val="bottom"/>
          </w:tcPr>
          <w:p w14:paraId="1950334F" w14:textId="77777777" w:rsidR="00BF3A3A" w:rsidRDefault="00BF3A3A">
            <w:pPr>
              <w:rPr>
                <w:rFonts w:ascii="宋体"/>
              </w:rPr>
            </w:pPr>
          </w:p>
        </w:tc>
        <w:tc>
          <w:tcPr>
            <w:tcW w:w="50" w:type="pct"/>
            <w:shd w:val="clear" w:color="auto" w:fill="auto"/>
            <w:vAlign w:val="bottom"/>
          </w:tcPr>
          <w:p w14:paraId="19503350" w14:textId="77777777" w:rsidR="00BF3A3A" w:rsidRDefault="00BF3A3A">
            <w:pPr>
              <w:rPr>
                <w:rFonts w:ascii="宋体"/>
              </w:rPr>
            </w:pPr>
          </w:p>
        </w:tc>
        <w:tc>
          <w:tcPr>
            <w:tcW w:w="537" w:type="pct"/>
            <w:shd w:val="clear" w:color="auto" w:fill="auto"/>
            <w:vAlign w:val="bottom"/>
          </w:tcPr>
          <w:p w14:paraId="19503351" w14:textId="77777777" w:rsidR="00BF3A3A" w:rsidRDefault="00BF3A3A">
            <w:pPr>
              <w:rPr>
                <w:rFonts w:ascii="宋体"/>
              </w:rPr>
            </w:pPr>
          </w:p>
        </w:tc>
        <w:tc>
          <w:tcPr>
            <w:tcW w:w="5" w:type="pct"/>
            <w:shd w:val="clear" w:color="auto" w:fill="auto"/>
            <w:vAlign w:val="bottom"/>
          </w:tcPr>
          <w:p w14:paraId="19503352" w14:textId="77777777" w:rsidR="00BF3A3A" w:rsidRDefault="00BF3A3A">
            <w:pPr>
              <w:rPr>
                <w:rFonts w:ascii="宋体"/>
              </w:rPr>
            </w:pPr>
          </w:p>
        </w:tc>
      </w:tr>
      <w:tr w:rsidR="00BF3A3A" w14:paraId="1950335B" w14:textId="77777777">
        <w:tc>
          <w:tcPr>
            <w:tcW w:w="0" w:type="auto"/>
            <w:gridSpan w:val="3"/>
            <w:shd w:val="clear" w:color="auto" w:fill="auto"/>
            <w:tcMar>
              <w:top w:w="0" w:type="dxa"/>
              <w:left w:w="20" w:type="dxa"/>
              <w:bottom w:w="0" w:type="dxa"/>
              <w:right w:w="20" w:type="dxa"/>
            </w:tcMar>
            <w:vAlign w:val="bottom"/>
          </w:tcPr>
          <w:p w14:paraId="19503354"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355"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356"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357"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358"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359" w14:textId="77777777" w:rsidR="00BF3A3A" w:rsidRDefault="00BF3A3A">
            <w:pPr>
              <w:rPr>
                <w:rFonts w:ascii="宋体"/>
              </w:rPr>
            </w:pPr>
          </w:p>
        </w:tc>
        <w:tc>
          <w:tcPr>
            <w:tcW w:w="0" w:type="auto"/>
            <w:gridSpan w:val="9"/>
            <w:shd w:val="clear" w:color="auto" w:fill="auto"/>
            <w:tcMar>
              <w:top w:w="40" w:type="dxa"/>
              <w:left w:w="20" w:type="dxa"/>
              <w:bottom w:w="40" w:type="dxa"/>
              <w:right w:w="20" w:type="dxa"/>
            </w:tcMar>
            <w:vAlign w:val="bottom"/>
          </w:tcPr>
          <w:p w14:paraId="1950335A" w14:textId="77777777" w:rsidR="00BF3A3A" w:rsidRDefault="00A76802">
            <w:pPr>
              <w:jc w:val="center"/>
              <w:textAlignment w:val="bottom"/>
            </w:pPr>
            <w:r>
              <w:rPr>
                <w:rFonts w:ascii="sans-serif" w:eastAsia="sans-serif" w:hAnsi="sans-serif" w:cs="sans-serif"/>
                <w:b/>
                <w:bCs/>
                <w:color w:val="000000"/>
                <w:sz w:val="20"/>
                <w:szCs w:val="20"/>
              </w:rPr>
              <w:t>Carrying Value at</w:t>
            </w:r>
          </w:p>
        </w:tc>
      </w:tr>
      <w:tr w:rsidR="00BF3A3A" w14:paraId="19503366" w14:textId="77777777">
        <w:tc>
          <w:tcPr>
            <w:tcW w:w="0" w:type="auto"/>
            <w:gridSpan w:val="3"/>
            <w:shd w:val="clear" w:color="auto" w:fill="auto"/>
            <w:tcMar>
              <w:top w:w="0" w:type="dxa"/>
              <w:left w:w="20" w:type="dxa"/>
              <w:bottom w:w="0" w:type="dxa"/>
              <w:right w:w="20" w:type="dxa"/>
            </w:tcMar>
            <w:vAlign w:val="bottom"/>
          </w:tcPr>
          <w:p w14:paraId="1950335C"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35D"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35E" w14:textId="77777777" w:rsidR="00BF3A3A" w:rsidRDefault="00A76802">
            <w:pPr>
              <w:jc w:val="center"/>
              <w:textAlignment w:val="bottom"/>
            </w:pPr>
            <w:r>
              <w:rPr>
                <w:rFonts w:ascii="sans-serif" w:eastAsia="sans-serif" w:hAnsi="sans-serif" w:cs="sans-serif"/>
                <w:b/>
                <w:bCs/>
                <w:color w:val="000000"/>
                <w:sz w:val="20"/>
                <w:szCs w:val="20"/>
              </w:rPr>
              <w:t>Expected</w:t>
            </w:r>
          </w:p>
          <w:p w14:paraId="1950335F" w14:textId="77777777" w:rsidR="00BF3A3A" w:rsidRDefault="00A76802">
            <w:pPr>
              <w:jc w:val="center"/>
              <w:textAlignment w:val="bottom"/>
            </w:pPr>
            <w:r>
              <w:rPr>
                <w:rFonts w:ascii="sans-serif" w:eastAsia="sans-serif" w:hAnsi="sans-serif" w:cs="sans-serif"/>
                <w:b/>
                <w:bCs/>
                <w:color w:val="000000"/>
                <w:sz w:val="20"/>
                <w:szCs w:val="20"/>
              </w:rPr>
              <w:t>Remaining Term (years)</w:t>
            </w:r>
          </w:p>
        </w:tc>
        <w:tc>
          <w:tcPr>
            <w:tcW w:w="0" w:type="auto"/>
            <w:gridSpan w:val="3"/>
            <w:shd w:val="clear" w:color="auto" w:fill="auto"/>
            <w:tcMar>
              <w:top w:w="0" w:type="dxa"/>
              <w:left w:w="20" w:type="dxa"/>
              <w:bottom w:w="0" w:type="dxa"/>
              <w:right w:w="20" w:type="dxa"/>
            </w:tcMar>
            <w:vAlign w:val="bottom"/>
          </w:tcPr>
          <w:p w14:paraId="19503360"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361" w14:textId="77777777" w:rsidR="00BF3A3A" w:rsidRDefault="00A76802">
            <w:pPr>
              <w:jc w:val="center"/>
              <w:textAlignment w:val="bottom"/>
            </w:pPr>
            <w:r>
              <w:rPr>
                <w:rFonts w:ascii="sans-serif" w:eastAsia="sans-serif" w:hAnsi="sans-serif" w:cs="sans-serif"/>
                <w:b/>
                <w:bCs/>
                <w:color w:val="000000"/>
                <w:sz w:val="20"/>
                <w:szCs w:val="20"/>
              </w:rPr>
              <w:t>Effective</w:t>
            </w:r>
            <w:r>
              <w:rPr>
                <w:rFonts w:ascii="sans-serif" w:eastAsia="sans-serif" w:hAnsi="sans-serif" w:cs="sans-serif"/>
                <w:b/>
                <w:bCs/>
                <w:color w:val="000000"/>
                <w:sz w:val="20"/>
                <w:szCs w:val="20"/>
              </w:rPr>
              <w:br/>
              <w:t>Interest Rate</w:t>
            </w:r>
          </w:p>
        </w:tc>
        <w:tc>
          <w:tcPr>
            <w:tcW w:w="0" w:type="auto"/>
            <w:gridSpan w:val="3"/>
            <w:shd w:val="clear" w:color="auto" w:fill="auto"/>
            <w:tcMar>
              <w:top w:w="0" w:type="dxa"/>
              <w:left w:w="20" w:type="dxa"/>
              <w:bottom w:w="0" w:type="dxa"/>
              <w:right w:w="20" w:type="dxa"/>
            </w:tcMar>
            <w:vAlign w:val="bottom"/>
          </w:tcPr>
          <w:p w14:paraId="19503362"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363" w14:textId="77777777" w:rsidR="00BF3A3A" w:rsidRDefault="00A76802">
            <w:pPr>
              <w:jc w:val="center"/>
              <w:textAlignment w:val="bottom"/>
            </w:pPr>
            <w:r>
              <w:rPr>
                <w:rFonts w:ascii="sans-serif" w:eastAsia="sans-serif" w:hAnsi="sans-serif" w:cs="sans-serif"/>
                <w:b/>
                <w:bCs/>
                <w:color w:val="000000"/>
                <w:sz w:val="20"/>
                <w:szCs w:val="20"/>
              </w:rPr>
              <w:t>July 31,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364"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365" w14:textId="77777777" w:rsidR="00BF3A3A" w:rsidRDefault="00A76802">
            <w:pPr>
              <w:jc w:val="center"/>
              <w:textAlignment w:val="bottom"/>
            </w:pPr>
            <w:r>
              <w:rPr>
                <w:rFonts w:ascii="sans-serif" w:eastAsia="sans-serif" w:hAnsi="sans-serif" w:cs="sans-serif"/>
                <w:b/>
                <w:bCs/>
                <w:color w:val="000000"/>
                <w:sz w:val="20"/>
                <w:szCs w:val="20"/>
              </w:rPr>
              <w:t>January 30, 2022</w:t>
            </w:r>
          </w:p>
        </w:tc>
      </w:tr>
      <w:tr w:rsidR="00BF3A3A" w14:paraId="19503370" w14:textId="77777777">
        <w:trPr>
          <w:trHeight w:val="60"/>
        </w:trPr>
        <w:tc>
          <w:tcPr>
            <w:tcW w:w="0" w:type="auto"/>
            <w:gridSpan w:val="3"/>
            <w:shd w:val="clear" w:color="auto" w:fill="auto"/>
            <w:tcMar>
              <w:top w:w="0" w:type="dxa"/>
              <w:left w:w="20" w:type="dxa"/>
              <w:bottom w:w="0" w:type="dxa"/>
              <w:right w:w="20" w:type="dxa"/>
            </w:tcMar>
            <w:vAlign w:val="bottom"/>
          </w:tcPr>
          <w:p w14:paraId="19503367"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368"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369"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36A"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36B"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36C"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36D"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36E"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36F" w14:textId="77777777" w:rsidR="00BF3A3A" w:rsidRDefault="00BF3A3A">
            <w:pPr>
              <w:rPr>
                <w:rFonts w:ascii="宋体"/>
              </w:rPr>
            </w:pPr>
          </w:p>
        </w:tc>
      </w:tr>
      <w:tr w:rsidR="00BF3A3A" w14:paraId="19503378" w14:textId="77777777">
        <w:tc>
          <w:tcPr>
            <w:tcW w:w="0" w:type="auto"/>
            <w:gridSpan w:val="3"/>
            <w:shd w:val="clear" w:color="auto" w:fill="auto"/>
            <w:tcMar>
              <w:top w:w="0" w:type="dxa"/>
              <w:left w:w="20" w:type="dxa"/>
              <w:bottom w:w="0" w:type="dxa"/>
              <w:right w:w="20" w:type="dxa"/>
            </w:tcMar>
            <w:vAlign w:val="bottom"/>
          </w:tcPr>
          <w:p w14:paraId="19503371"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372"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373"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374"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375"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376" w14:textId="77777777" w:rsidR="00BF3A3A" w:rsidRDefault="00BF3A3A">
            <w:pPr>
              <w:rPr>
                <w:rFonts w:ascii="宋体"/>
              </w:rPr>
            </w:pPr>
          </w:p>
        </w:tc>
        <w:tc>
          <w:tcPr>
            <w:tcW w:w="0" w:type="auto"/>
            <w:gridSpan w:val="9"/>
            <w:shd w:val="clear" w:color="auto" w:fill="auto"/>
            <w:tcMar>
              <w:top w:w="40" w:type="dxa"/>
              <w:left w:w="20" w:type="dxa"/>
              <w:bottom w:w="40" w:type="dxa"/>
              <w:right w:w="20" w:type="dxa"/>
            </w:tcMar>
            <w:vAlign w:val="bottom"/>
          </w:tcPr>
          <w:p w14:paraId="19503377" w14:textId="77777777" w:rsidR="00BF3A3A" w:rsidRDefault="00A76802">
            <w:pPr>
              <w:jc w:val="center"/>
              <w:textAlignment w:val="bottom"/>
            </w:pPr>
            <w:r>
              <w:rPr>
                <w:rFonts w:ascii="sans-serif" w:eastAsia="sans-serif" w:hAnsi="sans-serif" w:cs="sans-serif"/>
                <w:i/>
                <w:iCs/>
                <w:color w:val="000000"/>
                <w:sz w:val="20"/>
                <w:szCs w:val="20"/>
              </w:rPr>
              <w:t>(In millions)</w:t>
            </w:r>
          </w:p>
        </w:tc>
      </w:tr>
      <w:tr w:rsidR="00BF3A3A" w14:paraId="19503382" w14:textId="77777777">
        <w:trPr>
          <w:hidden/>
        </w:trPr>
        <w:tc>
          <w:tcPr>
            <w:tcW w:w="0" w:type="auto"/>
            <w:gridSpan w:val="3"/>
            <w:shd w:val="clear" w:color="auto" w:fill="auto"/>
            <w:vAlign w:val="bottom"/>
          </w:tcPr>
          <w:p w14:paraId="19503379" w14:textId="77777777" w:rsidR="00BF3A3A" w:rsidRDefault="00BF3A3A">
            <w:pPr>
              <w:rPr>
                <w:rFonts w:ascii="宋体"/>
                <w:vanish/>
              </w:rPr>
            </w:pPr>
          </w:p>
        </w:tc>
        <w:tc>
          <w:tcPr>
            <w:tcW w:w="0" w:type="auto"/>
            <w:gridSpan w:val="3"/>
            <w:shd w:val="clear" w:color="auto" w:fill="auto"/>
            <w:vAlign w:val="bottom"/>
          </w:tcPr>
          <w:p w14:paraId="1950337A" w14:textId="77777777" w:rsidR="00BF3A3A" w:rsidRDefault="00BF3A3A">
            <w:pPr>
              <w:rPr>
                <w:rFonts w:ascii="宋体"/>
                <w:vanish/>
              </w:rPr>
            </w:pPr>
          </w:p>
        </w:tc>
        <w:tc>
          <w:tcPr>
            <w:tcW w:w="0" w:type="auto"/>
            <w:gridSpan w:val="3"/>
            <w:shd w:val="clear" w:color="auto" w:fill="auto"/>
            <w:vAlign w:val="bottom"/>
          </w:tcPr>
          <w:p w14:paraId="1950337B" w14:textId="77777777" w:rsidR="00BF3A3A" w:rsidRDefault="00BF3A3A">
            <w:pPr>
              <w:rPr>
                <w:rFonts w:ascii="宋体"/>
                <w:vanish/>
              </w:rPr>
            </w:pPr>
          </w:p>
        </w:tc>
        <w:tc>
          <w:tcPr>
            <w:tcW w:w="0" w:type="auto"/>
            <w:gridSpan w:val="3"/>
            <w:shd w:val="clear" w:color="auto" w:fill="auto"/>
            <w:vAlign w:val="bottom"/>
          </w:tcPr>
          <w:p w14:paraId="1950337C" w14:textId="77777777" w:rsidR="00BF3A3A" w:rsidRDefault="00BF3A3A">
            <w:pPr>
              <w:rPr>
                <w:rFonts w:ascii="宋体"/>
                <w:vanish/>
              </w:rPr>
            </w:pPr>
          </w:p>
        </w:tc>
        <w:tc>
          <w:tcPr>
            <w:tcW w:w="0" w:type="auto"/>
            <w:gridSpan w:val="3"/>
            <w:shd w:val="clear" w:color="auto" w:fill="auto"/>
            <w:vAlign w:val="bottom"/>
          </w:tcPr>
          <w:p w14:paraId="1950337D" w14:textId="77777777" w:rsidR="00BF3A3A" w:rsidRDefault="00BF3A3A">
            <w:pPr>
              <w:rPr>
                <w:rFonts w:ascii="宋体"/>
                <w:vanish/>
              </w:rPr>
            </w:pPr>
          </w:p>
        </w:tc>
        <w:tc>
          <w:tcPr>
            <w:tcW w:w="0" w:type="auto"/>
            <w:gridSpan w:val="3"/>
            <w:shd w:val="clear" w:color="auto" w:fill="auto"/>
            <w:vAlign w:val="bottom"/>
          </w:tcPr>
          <w:p w14:paraId="1950337E" w14:textId="77777777" w:rsidR="00BF3A3A" w:rsidRDefault="00BF3A3A">
            <w:pPr>
              <w:rPr>
                <w:rFonts w:ascii="宋体"/>
                <w:vanish/>
              </w:rPr>
            </w:pPr>
          </w:p>
        </w:tc>
        <w:tc>
          <w:tcPr>
            <w:tcW w:w="0" w:type="auto"/>
            <w:gridSpan w:val="3"/>
            <w:shd w:val="clear" w:color="auto" w:fill="auto"/>
            <w:vAlign w:val="bottom"/>
          </w:tcPr>
          <w:p w14:paraId="1950337F" w14:textId="77777777" w:rsidR="00BF3A3A" w:rsidRDefault="00BF3A3A">
            <w:pPr>
              <w:rPr>
                <w:rFonts w:ascii="宋体"/>
                <w:vanish/>
              </w:rPr>
            </w:pPr>
          </w:p>
        </w:tc>
        <w:tc>
          <w:tcPr>
            <w:tcW w:w="0" w:type="auto"/>
            <w:gridSpan w:val="3"/>
            <w:shd w:val="clear" w:color="auto" w:fill="auto"/>
            <w:vAlign w:val="bottom"/>
          </w:tcPr>
          <w:p w14:paraId="19503380" w14:textId="77777777" w:rsidR="00BF3A3A" w:rsidRDefault="00BF3A3A">
            <w:pPr>
              <w:rPr>
                <w:rFonts w:ascii="宋体"/>
                <w:vanish/>
              </w:rPr>
            </w:pPr>
          </w:p>
        </w:tc>
        <w:tc>
          <w:tcPr>
            <w:tcW w:w="0" w:type="auto"/>
            <w:gridSpan w:val="3"/>
            <w:shd w:val="clear" w:color="auto" w:fill="auto"/>
            <w:vAlign w:val="bottom"/>
          </w:tcPr>
          <w:p w14:paraId="19503381" w14:textId="77777777" w:rsidR="00BF3A3A" w:rsidRDefault="00BF3A3A">
            <w:pPr>
              <w:rPr>
                <w:rFonts w:ascii="宋体"/>
                <w:vanish/>
              </w:rPr>
            </w:pPr>
          </w:p>
        </w:tc>
      </w:tr>
      <w:tr w:rsidR="00BF3A3A" w14:paraId="19503390" w14:textId="77777777">
        <w:tc>
          <w:tcPr>
            <w:tcW w:w="0" w:type="auto"/>
            <w:gridSpan w:val="3"/>
            <w:shd w:val="clear" w:color="auto" w:fill="E2EFD9"/>
            <w:tcMar>
              <w:top w:w="40" w:type="dxa"/>
              <w:left w:w="20" w:type="dxa"/>
              <w:bottom w:w="40" w:type="dxa"/>
              <w:right w:w="20" w:type="dxa"/>
            </w:tcMar>
            <w:vAlign w:val="center"/>
          </w:tcPr>
          <w:p w14:paraId="19503383" w14:textId="77777777" w:rsidR="00BF3A3A" w:rsidRDefault="00A76802">
            <w:pPr>
              <w:textAlignment w:val="center"/>
            </w:pPr>
            <w:r>
              <w:rPr>
                <w:rFonts w:ascii="sans-serif" w:eastAsia="sans-serif" w:hAnsi="sans-serif" w:cs="sans-serif"/>
                <w:color w:val="000000"/>
                <w:sz w:val="20"/>
                <w:szCs w:val="20"/>
              </w:rPr>
              <w:t>0.309% Notes Due 2023</w:t>
            </w:r>
          </w:p>
        </w:tc>
        <w:tc>
          <w:tcPr>
            <w:tcW w:w="0" w:type="auto"/>
            <w:gridSpan w:val="3"/>
            <w:shd w:val="clear" w:color="auto" w:fill="E2EFD9"/>
            <w:tcMar>
              <w:top w:w="0" w:type="dxa"/>
              <w:left w:w="20" w:type="dxa"/>
              <w:bottom w:w="0" w:type="dxa"/>
              <w:right w:w="20" w:type="dxa"/>
            </w:tcMar>
            <w:vAlign w:val="bottom"/>
          </w:tcPr>
          <w:p w14:paraId="19503384" w14:textId="77777777" w:rsidR="00BF3A3A" w:rsidRDefault="00BF3A3A">
            <w:pPr>
              <w:rPr>
                <w:rFonts w:ascii="宋体"/>
              </w:rPr>
            </w:pPr>
          </w:p>
        </w:tc>
        <w:tc>
          <w:tcPr>
            <w:tcW w:w="0" w:type="auto"/>
            <w:gridSpan w:val="3"/>
            <w:shd w:val="clear" w:color="auto" w:fill="E2EFD9"/>
            <w:tcMar>
              <w:top w:w="40" w:type="dxa"/>
              <w:left w:w="20" w:type="dxa"/>
              <w:bottom w:w="40" w:type="dxa"/>
              <w:right w:w="20" w:type="dxa"/>
            </w:tcMar>
            <w:vAlign w:val="bottom"/>
          </w:tcPr>
          <w:p w14:paraId="19503385" w14:textId="77777777" w:rsidR="00BF3A3A" w:rsidRDefault="00A76802">
            <w:pPr>
              <w:jc w:val="center"/>
              <w:textAlignment w:val="bottom"/>
            </w:pPr>
            <w:r>
              <w:rPr>
                <w:rFonts w:ascii="sans-serif" w:eastAsia="sans-serif" w:hAnsi="sans-serif" w:cs="sans-serif"/>
                <w:color w:val="000000"/>
                <w:sz w:val="20"/>
                <w:szCs w:val="20"/>
              </w:rPr>
              <w:t>0.9</w:t>
            </w:r>
          </w:p>
        </w:tc>
        <w:tc>
          <w:tcPr>
            <w:tcW w:w="0" w:type="auto"/>
            <w:gridSpan w:val="3"/>
            <w:shd w:val="clear" w:color="auto" w:fill="E2EFD9"/>
            <w:tcMar>
              <w:top w:w="0" w:type="dxa"/>
              <w:left w:w="20" w:type="dxa"/>
              <w:bottom w:w="0" w:type="dxa"/>
              <w:right w:w="20" w:type="dxa"/>
            </w:tcMar>
            <w:vAlign w:val="bottom"/>
          </w:tcPr>
          <w:p w14:paraId="19503386" w14:textId="77777777" w:rsidR="00BF3A3A" w:rsidRDefault="00BF3A3A">
            <w:pPr>
              <w:rPr>
                <w:rFonts w:ascii="宋体"/>
              </w:rPr>
            </w:pPr>
          </w:p>
        </w:tc>
        <w:tc>
          <w:tcPr>
            <w:tcW w:w="0" w:type="auto"/>
            <w:gridSpan w:val="3"/>
            <w:shd w:val="clear" w:color="auto" w:fill="E2EFD9"/>
            <w:tcMar>
              <w:top w:w="40" w:type="dxa"/>
              <w:left w:w="20" w:type="dxa"/>
              <w:bottom w:w="40" w:type="dxa"/>
              <w:right w:w="20" w:type="dxa"/>
            </w:tcMar>
            <w:vAlign w:val="bottom"/>
          </w:tcPr>
          <w:p w14:paraId="19503387" w14:textId="77777777" w:rsidR="00BF3A3A" w:rsidRDefault="00A76802">
            <w:pPr>
              <w:jc w:val="center"/>
              <w:textAlignment w:val="bottom"/>
            </w:pPr>
            <w:r>
              <w:rPr>
                <w:rFonts w:ascii="sans-serif" w:eastAsia="sans-serif" w:hAnsi="sans-serif" w:cs="sans-serif"/>
                <w:color w:val="000000"/>
                <w:sz w:val="20"/>
                <w:szCs w:val="20"/>
              </w:rPr>
              <w:t>0.41%</w:t>
            </w:r>
          </w:p>
        </w:tc>
        <w:tc>
          <w:tcPr>
            <w:tcW w:w="0" w:type="auto"/>
            <w:gridSpan w:val="3"/>
            <w:shd w:val="clear" w:color="auto" w:fill="E2EFD9"/>
            <w:tcMar>
              <w:top w:w="0" w:type="dxa"/>
              <w:left w:w="20" w:type="dxa"/>
              <w:bottom w:w="0" w:type="dxa"/>
              <w:right w:w="20" w:type="dxa"/>
            </w:tcMar>
            <w:vAlign w:val="bottom"/>
          </w:tcPr>
          <w:p w14:paraId="19503388"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389"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38A" w14:textId="77777777" w:rsidR="00BF3A3A" w:rsidRDefault="00A76802">
            <w:pPr>
              <w:jc w:val="right"/>
              <w:textAlignment w:val="bottom"/>
            </w:pPr>
            <w:r>
              <w:rPr>
                <w:rFonts w:ascii="sans-serif" w:eastAsia="sans-serif" w:hAnsi="sans-serif" w:cs="sans-serif"/>
                <w:color w:val="000000"/>
                <w:sz w:val="20"/>
                <w:szCs w:val="20"/>
              </w:rPr>
              <w:t>1,250 </w:t>
            </w:r>
          </w:p>
        </w:tc>
        <w:tc>
          <w:tcPr>
            <w:tcW w:w="0" w:type="auto"/>
            <w:shd w:val="clear" w:color="auto" w:fill="E2EFD9"/>
            <w:tcMar>
              <w:top w:w="40" w:type="dxa"/>
              <w:left w:w="0" w:type="dxa"/>
              <w:bottom w:w="40" w:type="dxa"/>
              <w:right w:w="20" w:type="dxa"/>
            </w:tcMar>
            <w:vAlign w:val="bottom"/>
          </w:tcPr>
          <w:p w14:paraId="1950338B"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38C"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38D"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38E" w14:textId="77777777" w:rsidR="00BF3A3A" w:rsidRDefault="00A76802">
            <w:pPr>
              <w:jc w:val="right"/>
              <w:textAlignment w:val="bottom"/>
            </w:pPr>
            <w:r>
              <w:rPr>
                <w:rFonts w:ascii="sans-serif" w:eastAsia="sans-serif" w:hAnsi="sans-serif" w:cs="sans-serif"/>
                <w:color w:val="000000"/>
                <w:sz w:val="20"/>
                <w:szCs w:val="20"/>
              </w:rPr>
              <w:t>1,250 </w:t>
            </w:r>
          </w:p>
        </w:tc>
        <w:tc>
          <w:tcPr>
            <w:tcW w:w="0" w:type="auto"/>
            <w:shd w:val="clear" w:color="auto" w:fill="E2EFD9"/>
            <w:tcMar>
              <w:top w:w="40" w:type="dxa"/>
              <w:left w:w="0" w:type="dxa"/>
              <w:bottom w:w="40" w:type="dxa"/>
              <w:right w:w="20" w:type="dxa"/>
            </w:tcMar>
            <w:vAlign w:val="bottom"/>
          </w:tcPr>
          <w:p w14:paraId="1950338F" w14:textId="77777777" w:rsidR="00BF3A3A" w:rsidRDefault="00BF3A3A">
            <w:pPr>
              <w:jc w:val="right"/>
              <w:rPr>
                <w:rFonts w:ascii="宋体"/>
              </w:rPr>
            </w:pPr>
          </w:p>
        </w:tc>
      </w:tr>
      <w:tr w:rsidR="00BF3A3A" w14:paraId="1950339C" w14:textId="77777777">
        <w:tc>
          <w:tcPr>
            <w:tcW w:w="0" w:type="auto"/>
            <w:gridSpan w:val="3"/>
            <w:shd w:val="clear" w:color="auto" w:fill="FFFFFF"/>
            <w:tcMar>
              <w:top w:w="40" w:type="dxa"/>
              <w:left w:w="20" w:type="dxa"/>
              <w:bottom w:w="40" w:type="dxa"/>
              <w:right w:w="20" w:type="dxa"/>
            </w:tcMar>
            <w:vAlign w:val="center"/>
          </w:tcPr>
          <w:p w14:paraId="19503391" w14:textId="77777777" w:rsidR="00BF3A3A" w:rsidRDefault="00A76802">
            <w:pPr>
              <w:textAlignment w:val="center"/>
            </w:pPr>
            <w:r>
              <w:rPr>
                <w:rFonts w:ascii="sans-serif" w:eastAsia="sans-serif" w:hAnsi="sans-serif" w:cs="sans-serif"/>
                <w:color w:val="000000"/>
                <w:sz w:val="20"/>
                <w:szCs w:val="20"/>
              </w:rPr>
              <w:t>0.584% Notes Due 2024</w:t>
            </w:r>
          </w:p>
        </w:tc>
        <w:tc>
          <w:tcPr>
            <w:tcW w:w="0" w:type="auto"/>
            <w:gridSpan w:val="3"/>
            <w:shd w:val="clear" w:color="auto" w:fill="FFFFFF"/>
            <w:tcMar>
              <w:top w:w="0" w:type="dxa"/>
              <w:left w:w="20" w:type="dxa"/>
              <w:bottom w:w="0" w:type="dxa"/>
              <w:right w:w="20" w:type="dxa"/>
            </w:tcMar>
            <w:vAlign w:val="bottom"/>
          </w:tcPr>
          <w:p w14:paraId="19503392" w14:textId="77777777" w:rsidR="00BF3A3A" w:rsidRDefault="00BF3A3A">
            <w:pPr>
              <w:rPr>
                <w:rFonts w:ascii="宋体"/>
              </w:rPr>
            </w:pPr>
          </w:p>
        </w:tc>
        <w:tc>
          <w:tcPr>
            <w:tcW w:w="0" w:type="auto"/>
            <w:gridSpan w:val="3"/>
            <w:shd w:val="clear" w:color="auto" w:fill="FFFFFF"/>
            <w:tcMar>
              <w:top w:w="40" w:type="dxa"/>
              <w:left w:w="20" w:type="dxa"/>
              <w:bottom w:w="40" w:type="dxa"/>
              <w:right w:w="20" w:type="dxa"/>
            </w:tcMar>
            <w:vAlign w:val="bottom"/>
          </w:tcPr>
          <w:p w14:paraId="19503393" w14:textId="77777777" w:rsidR="00BF3A3A" w:rsidRDefault="00A76802">
            <w:pPr>
              <w:jc w:val="center"/>
              <w:textAlignment w:val="bottom"/>
            </w:pPr>
            <w:r>
              <w:rPr>
                <w:rFonts w:ascii="sans-serif" w:eastAsia="sans-serif" w:hAnsi="sans-serif" w:cs="sans-serif"/>
                <w:color w:val="000000"/>
                <w:sz w:val="20"/>
                <w:szCs w:val="20"/>
              </w:rPr>
              <w:t>1.9</w:t>
            </w:r>
          </w:p>
        </w:tc>
        <w:tc>
          <w:tcPr>
            <w:tcW w:w="0" w:type="auto"/>
            <w:gridSpan w:val="3"/>
            <w:shd w:val="clear" w:color="auto" w:fill="FFFFFF"/>
            <w:tcMar>
              <w:top w:w="0" w:type="dxa"/>
              <w:left w:w="20" w:type="dxa"/>
              <w:bottom w:w="0" w:type="dxa"/>
              <w:right w:w="20" w:type="dxa"/>
            </w:tcMar>
            <w:vAlign w:val="bottom"/>
          </w:tcPr>
          <w:p w14:paraId="19503394" w14:textId="77777777" w:rsidR="00BF3A3A" w:rsidRDefault="00BF3A3A">
            <w:pPr>
              <w:rPr>
                <w:rFonts w:ascii="宋体"/>
              </w:rPr>
            </w:pPr>
          </w:p>
        </w:tc>
        <w:tc>
          <w:tcPr>
            <w:tcW w:w="0" w:type="auto"/>
            <w:gridSpan w:val="3"/>
            <w:shd w:val="clear" w:color="auto" w:fill="FFFFFF"/>
            <w:tcMar>
              <w:top w:w="40" w:type="dxa"/>
              <w:left w:w="20" w:type="dxa"/>
              <w:bottom w:w="40" w:type="dxa"/>
              <w:right w:w="20" w:type="dxa"/>
            </w:tcMar>
            <w:vAlign w:val="bottom"/>
          </w:tcPr>
          <w:p w14:paraId="19503395" w14:textId="77777777" w:rsidR="00BF3A3A" w:rsidRDefault="00A76802">
            <w:pPr>
              <w:jc w:val="center"/>
              <w:textAlignment w:val="bottom"/>
            </w:pPr>
            <w:r>
              <w:rPr>
                <w:rFonts w:ascii="sans-serif" w:eastAsia="sans-serif" w:hAnsi="sans-serif" w:cs="sans-serif"/>
                <w:color w:val="000000"/>
                <w:sz w:val="20"/>
                <w:szCs w:val="20"/>
              </w:rPr>
              <w:t>0.66%</w:t>
            </w:r>
          </w:p>
        </w:tc>
        <w:tc>
          <w:tcPr>
            <w:tcW w:w="0" w:type="auto"/>
            <w:gridSpan w:val="3"/>
            <w:shd w:val="clear" w:color="auto" w:fill="FFFFFF"/>
            <w:tcMar>
              <w:top w:w="0" w:type="dxa"/>
              <w:left w:w="20" w:type="dxa"/>
              <w:bottom w:w="0" w:type="dxa"/>
              <w:right w:w="20" w:type="dxa"/>
            </w:tcMar>
            <w:vAlign w:val="bottom"/>
          </w:tcPr>
          <w:p w14:paraId="19503396"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397" w14:textId="77777777" w:rsidR="00BF3A3A" w:rsidRDefault="00A76802">
            <w:pPr>
              <w:jc w:val="right"/>
              <w:textAlignment w:val="bottom"/>
            </w:pPr>
            <w:r>
              <w:rPr>
                <w:rFonts w:ascii="sans-serif" w:eastAsia="sans-serif" w:hAnsi="sans-serif" w:cs="sans-serif"/>
                <w:color w:val="000000"/>
                <w:sz w:val="20"/>
                <w:szCs w:val="20"/>
              </w:rPr>
              <w:t>1,250 </w:t>
            </w:r>
          </w:p>
        </w:tc>
        <w:tc>
          <w:tcPr>
            <w:tcW w:w="0" w:type="auto"/>
            <w:shd w:val="clear" w:color="auto" w:fill="FFFFFF"/>
            <w:tcMar>
              <w:top w:w="40" w:type="dxa"/>
              <w:left w:w="0" w:type="dxa"/>
              <w:bottom w:w="40" w:type="dxa"/>
              <w:right w:w="20" w:type="dxa"/>
            </w:tcMar>
            <w:vAlign w:val="bottom"/>
          </w:tcPr>
          <w:p w14:paraId="19503398"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399"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39A" w14:textId="77777777" w:rsidR="00BF3A3A" w:rsidRDefault="00A76802">
            <w:pPr>
              <w:jc w:val="right"/>
              <w:textAlignment w:val="bottom"/>
            </w:pPr>
            <w:r>
              <w:rPr>
                <w:rFonts w:ascii="sans-serif" w:eastAsia="sans-serif" w:hAnsi="sans-serif" w:cs="sans-serif"/>
                <w:color w:val="000000"/>
                <w:sz w:val="20"/>
                <w:szCs w:val="20"/>
              </w:rPr>
              <w:t>1,250 </w:t>
            </w:r>
          </w:p>
        </w:tc>
        <w:tc>
          <w:tcPr>
            <w:tcW w:w="0" w:type="auto"/>
            <w:shd w:val="clear" w:color="auto" w:fill="FFFFFF"/>
            <w:tcMar>
              <w:top w:w="40" w:type="dxa"/>
              <w:left w:w="0" w:type="dxa"/>
              <w:bottom w:w="40" w:type="dxa"/>
              <w:right w:w="20" w:type="dxa"/>
            </w:tcMar>
            <w:vAlign w:val="bottom"/>
          </w:tcPr>
          <w:p w14:paraId="1950339B" w14:textId="77777777" w:rsidR="00BF3A3A" w:rsidRDefault="00BF3A3A">
            <w:pPr>
              <w:jc w:val="right"/>
              <w:rPr>
                <w:rFonts w:ascii="宋体"/>
              </w:rPr>
            </w:pPr>
          </w:p>
        </w:tc>
      </w:tr>
      <w:tr w:rsidR="00BF3A3A" w14:paraId="195033A8" w14:textId="77777777">
        <w:tc>
          <w:tcPr>
            <w:tcW w:w="0" w:type="auto"/>
            <w:gridSpan w:val="3"/>
            <w:shd w:val="clear" w:color="auto" w:fill="E2EFD9"/>
            <w:tcMar>
              <w:top w:w="40" w:type="dxa"/>
              <w:left w:w="20" w:type="dxa"/>
              <w:bottom w:w="40" w:type="dxa"/>
              <w:right w:w="20" w:type="dxa"/>
            </w:tcMar>
            <w:vAlign w:val="center"/>
          </w:tcPr>
          <w:p w14:paraId="1950339D" w14:textId="77777777" w:rsidR="00BF3A3A" w:rsidRDefault="00A76802">
            <w:pPr>
              <w:textAlignment w:val="center"/>
            </w:pPr>
            <w:r>
              <w:rPr>
                <w:rFonts w:ascii="sans-serif" w:eastAsia="sans-serif" w:hAnsi="sans-serif" w:cs="sans-serif"/>
                <w:color w:val="000000"/>
                <w:sz w:val="20"/>
                <w:szCs w:val="20"/>
              </w:rPr>
              <w:t xml:space="preserve">3.20% </w:t>
            </w:r>
            <w:r>
              <w:rPr>
                <w:rFonts w:ascii="sans-serif" w:eastAsia="sans-serif" w:hAnsi="sans-serif" w:cs="sans-serif"/>
                <w:color w:val="000000"/>
                <w:sz w:val="20"/>
                <w:szCs w:val="20"/>
              </w:rPr>
              <w:t>Notes Due 2026</w:t>
            </w:r>
          </w:p>
        </w:tc>
        <w:tc>
          <w:tcPr>
            <w:tcW w:w="0" w:type="auto"/>
            <w:gridSpan w:val="3"/>
            <w:shd w:val="clear" w:color="auto" w:fill="E2EFD9"/>
            <w:tcMar>
              <w:top w:w="0" w:type="dxa"/>
              <w:left w:w="20" w:type="dxa"/>
              <w:bottom w:w="0" w:type="dxa"/>
              <w:right w:w="20" w:type="dxa"/>
            </w:tcMar>
            <w:vAlign w:val="bottom"/>
          </w:tcPr>
          <w:p w14:paraId="1950339E" w14:textId="77777777" w:rsidR="00BF3A3A" w:rsidRDefault="00BF3A3A">
            <w:pPr>
              <w:rPr>
                <w:rFonts w:ascii="宋体"/>
              </w:rPr>
            </w:pPr>
          </w:p>
        </w:tc>
        <w:tc>
          <w:tcPr>
            <w:tcW w:w="0" w:type="auto"/>
            <w:gridSpan w:val="3"/>
            <w:shd w:val="clear" w:color="auto" w:fill="E2EFD9"/>
            <w:tcMar>
              <w:top w:w="40" w:type="dxa"/>
              <w:left w:w="20" w:type="dxa"/>
              <w:bottom w:w="40" w:type="dxa"/>
              <w:right w:w="20" w:type="dxa"/>
            </w:tcMar>
            <w:vAlign w:val="bottom"/>
          </w:tcPr>
          <w:p w14:paraId="1950339F" w14:textId="77777777" w:rsidR="00BF3A3A" w:rsidRDefault="00A76802">
            <w:pPr>
              <w:jc w:val="center"/>
              <w:textAlignment w:val="bottom"/>
            </w:pPr>
            <w:r>
              <w:rPr>
                <w:rFonts w:ascii="sans-serif" w:eastAsia="sans-serif" w:hAnsi="sans-serif" w:cs="sans-serif"/>
                <w:color w:val="000000"/>
                <w:sz w:val="20"/>
                <w:szCs w:val="20"/>
              </w:rPr>
              <w:t>4.1</w:t>
            </w:r>
          </w:p>
        </w:tc>
        <w:tc>
          <w:tcPr>
            <w:tcW w:w="0" w:type="auto"/>
            <w:gridSpan w:val="3"/>
            <w:shd w:val="clear" w:color="auto" w:fill="E2EFD9"/>
            <w:tcMar>
              <w:top w:w="0" w:type="dxa"/>
              <w:left w:w="20" w:type="dxa"/>
              <w:bottom w:w="0" w:type="dxa"/>
              <w:right w:w="20" w:type="dxa"/>
            </w:tcMar>
            <w:vAlign w:val="bottom"/>
          </w:tcPr>
          <w:p w14:paraId="195033A0" w14:textId="77777777" w:rsidR="00BF3A3A" w:rsidRDefault="00BF3A3A">
            <w:pPr>
              <w:rPr>
                <w:rFonts w:ascii="宋体"/>
              </w:rPr>
            </w:pPr>
          </w:p>
        </w:tc>
        <w:tc>
          <w:tcPr>
            <w:tcW w:w="0" w:type="auto"/>
            <w:gridSpan w:val="3"/>
            <w:shd w:val="clear" w:color="auto" w:fill="E2EFD9"/>
            <w:tcMar>
              <w:top w:w="40" w:type="dxa"/>
              <w:left w:w="20" w:type="dxa"/>
              <w:bottom w:w="40" w:type="dxa"/>
              <w:right w:w="20" w:type="dxa"/>
            </w:tcMar>
            <w:vAlign w:val="bottom"/>
          </w:tcPr>
          <w:p w14:paraId="195033A1" w14:textId="77777777" w:rsidR="00BF3A3A" w:rsidRDefault="00A76802">
            <w:pPr>
              <w:jc w:val="center"/>
              <w:textAlignment w:val="bottom"/>
            </w:pPr>
            <w:r>
              <w:rPr>
                <w:rFonts w:ascii="sans-serif" w:eastAsia="sans-serif" w:hAnsi="sans-serif" w:cs="sans-serif"/>
                <w:color w:val="000000"/>
                <w:sz w:val="20"/>
                <w:szCs w:val="20"/>
              </w:rPr>
              <w:t>3.31%</w:t>
            </w:r>
          </w:p>
        </w:tc>
        <w:tc>
          <w:tcPr>
            <w:tcW w:w="0" w:type="auto"/>
            <w:gridSpan w:val="3"/>
            <w:shd w:val="clear" w:color="auto" w:fill="E2EFD9"/>
            <w:tcMar>
              <w:top w:w="0" w:type="dxa"/>
              <w:left w:w="20" w:type="dxa"/>
              <w:bottom w:w="0" w:type="dxa"/>
              <w:right w:w="20" w:type="dxa"/>
            </w:tcMar>
            <w:vAlign w:val="bottom"/>
          </w:tcPr>
          <w:p w14:paraId="195033A2"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3A3" w14:textId="77777777" w:rsidR="00BF3A3A" w:rsidRDefault="00A76802">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195033A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3A5"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3A6" w14:textId="77777777" w:rsidR="00BF3A3A" w:rsidRDefault="00A76802">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195033A7" w14:textId="77777777" w:rsidR="00BF3A3A" w:rsidRDefault="00BF3A3A">
            <w:pPr>
              <w:jc w:val="right"/>
              <w:rPr>
                <w:rFonts w:ascii="宋体"/>
              </w:rPr>
            </w:pPr>
          </w:p>
        </w:tc>
      </w:tr>
      <w:tr w:rsidR="00BF3A3A" w14:paraId="195033B4" w14:textId="77777777">
        <w:tc>
          <w:tcPr>
            <w:tcW w:w="0" w:type="auto"/>
            <w:gridSpan w:val="3"/>
            <w:shd w:val="clear" w:color="auto" w:fill="FFFFFF"/>
            <w:tcMar>
              <w:top w:w="40" w:type="dxa"/>
              <w:left w:w="20" w:type="dxa"/>
              <w:bottom w:w="40" w:type="dxa"/>
              <w:right w:w="20" w:type="dxa"/>
            </w:tcMar>
            <w:vAlign w:val="center"/>
          </w:tcPr>
          <w:p w14:paraId="195033A9" w14:textId="77777777" w:rsidR="00BF3A3A" w:rsidRDefault="00A76802">
            <w:pPr>
              <w:textAlignment w:val="center"/>
            </w:pPr>
            <w:r>
              <w:rPr>
                <w:rFonts w:ascii="sans-serif" w:eastAsia="sans-serif" w:hAnsi="sans-serif" w:cs="sans-serif"/>
                <w:color w:val="000000"/>
                <w:sz w:val="20"/>
                <w:szCs w:val="20"/>
              </w:rPr>
              <w:t>1.55% Notes Due 2028</w:t>
            </w:r>
          </w:p>
        </w:tc>
        <w:tc>
          <w:tcPr>
            <w:tcW w:w="0" w:type="auto"/>
            <w:gridSpan w:val="3"/>
            <w:shd w:val="clear" w:color="auto" w:fill="FFFFFF"/>
            <w:tcMar>
              <w:top w:w="0" w:type="dxa"/>
              <w:left w:w="20" w:type="dxa"/>
              <w:bottom w:w="0" w:type="dxa"/>
              <w:right w:w="20" w:type="dxa"/>
            </w:tcMar>
            <w:vAlign w:val="bottom"/>
          </w:tcPr>
          <w:p w14:paraId="195033AA" w14:textId="77777777" w:rsidR="00BF3A3A" w:rsidRDefault="00BF3A3A">
            <w:pPr>
              <w:rPr>
                <w:rFonts w:ascii="宋体"/>
              </w:rPr>
            </w:pPr>
          </w:p>
        </w:tc>
        <w:tc>
          <w:tcPr>
            <w:tcW w:w="0" w:type="auto"/>
            <w:gridSpan w:val="3"/>
            <w:shd w:val="clear" w:color="auto" w:fill="FFFFFF"/>
            <w:tcMar>
              <w:top w:w="40" w:type="dxa"/>
              <w:left w:w="20" w:type="dxa"/>
              <w:bottom w:w="40" w:type="dxa"/>
              <w:right w:w="20" w:type="dxa"/>
            </w:tcMar>
            <w:vAlign w:val="bottom"/>
          </w:tcPr>
          <w:p w14:paraId="195033AB" w14:textId="77777777" w:rsidR="00BF3A3A" w:rsidRDefault="00A76802">
            <w:pPr>
              <w:jc w:val="center"/>
              <w:textAlignment w:val="bottom"/>
            </w:pPr>
            <w:r>
              <w:rPr>
                <w:rFonts w:ascii="sans-serif" w:eastAsia="sans-serif" w:hAnsi="sans-serif" w:cs="sans-serif"/>
                <w:color w:val="000000"/>
                <w:sz w:val="20"/>
                <w:szCs w:val="20"/>
              </w:rPr>
              <w:t>5.9</w:t>
            </w:r>
          </w:p>
        </w:tc>
        <w:tc>
          <w:tcPr>
            <w:tcW w:w="0" w:type="auto"/>
            <w:gridSpan w:val="3"/>
            <w:shd w:val="clear" w:color="auto" w:fill="FFFFFF"/>
            <w:tcMar>
              <w:top w:w="0" w:type="dxa"/>
              <w:left w:w="20" w:type="dxa"/>
              <w:bottom w:w="0" w:type="dxa"/>
              <w:right w:w="20" w:type="dxa"/>
            </w:tcMar>
            <w:vAlign w:val="bottom"/>
          </w:tcPr>
          <w:p w14:paraId="195033AC" w14:textId="77777777" w:rsidR="00BF3A3A" w:rsidRDefault="00BF3A3A">
            <w:pPr>
              <w:rPr>
                <w:rFonts w:ascii="宋体"/>
              </w:rPr>
            </w:pPr>
          </w:p>
        </w:tc>
        <w:tc>
          <w:tcPr>
            <w:tcW w:w="0" w:type="auto"/>
            <w:gridSpan w:val="3"/>
            <w:shd w:val="clear" w:color="auto" w:fill="FFFFFF"/>
            <w:tcMar>
              <w:top w:w="40" w:type="dxa"/>
              <w:left w:w="20" w:type="dxa"/>
              <w:bottom w:w="40" w:type="dxa"/>
              <w:right w:w="20" w:type="dxa"/>
            </w:tcMar>
            <w:vAlign w:val="bottom"/>
          </w:tcPr>
          <w:p w14:paraId="195033AD" w14:textId="77777777" w:rsidR="00BF3A3A" w:rsidRDefault="00A76802">
            <w:pPr>
              <w:jc w:val="center"/>
              <w:textAlignment w:val="bottom"/>
            </w:pPr>
            <w:r>
              <w:rPr>
                <w:rFonts w:ascii="sans-serif" w:eastAsia="sans-serif" w:hAnsi="sans-serif" w:cs="sans-serif"/>
                <w:color w:val="000000"/>
                <w:sz w:val="20"/>
                <w:szCs w:val="20"/>
              </w:rPr>
              <w:t>1.64%</w:t>
            </w:r>
          </w:p>
        </w:tc>
        <w:tc>
          <w:tcPr>
            <w:tcW w:w="0" w:type="auto"/>
            <w:gridSpan w:val="3"/>
            <w:shd w:val="clear" w:color="auto" w:fill="FFFFFF"/>
            <w:tcMar>
              <w:top w:w="0" w:type="dxa"/>
              <w:left w:w="20" w:type="dxa"/>
              <w:bottom w:w="0" w:type="dxa"/>
              <w:right w:w="20" w:type="dxa"/>
            </w:tcMar>
            <w:vAlign w:val="bottom"/>
          </w:tcPr>
          <w:p w14:paraId="195033A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3AF" w14:textId="77777777" w:rsidR="00BF3A3A" w:rsidRDefault="00A76802">
            <w:pPr>
              <w:jc w:val="right"/>
              <w:textAlignment w:val="bottom"/>
            </w:pPr>
            <w:r>
              <w:rPr>
                <w:rFonts w:ascii="sans-serif" w:eastAsia="sans-serif" w:hAnsi="sans-serif" w:cs="sans-serif"/>
                <w:color w:val="000000"/>
                <w:sz w:val="20"/>
                <w:szCs w:val="20"/>
              </w:rPr>
              <w:t>1,250 </w:t>
            </w:r>
          </w:p>
        </w:tc>
        <w:tc>
          <w:tcPr>
            <w:tcW w:w="0" w:type="auto"/>
            <w:shd w:val="clear" w:color="auto" w:fill="FFFFFF"/>
            <w:tcMar>
              <w:top w:w="40" w:type="dxa"/>
              <w:left w:w="0" w:type="dxa"/>
              <w:bottom w:w="40" w:type="dxa"/>
              <w:right w:w="20" w:type="dxa"/>
            </w:tcMar>
            <w:vAlign w:val="bottom"/>
          </w:tcPr>
          <w:p w14:paraId="195033B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3B1"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3B2" w14:textId="77777777" w:rsidR="00BF3A3A" w:rsidRDefault="00A76802">
            <w:pPr>
              <w:jc w:val="right"/>
              <w:textAlignment w:val="bottom"/>
            </w:pPr>
            <w:r>
              <w:rPr>
                <w:rFonts w:ascii="sans-serif" w:eastAsia="sans-serif" w:hAnsi="sans-serif" w:cs="sans-serif"/>
                <w:color w:val="000000"/>
                <w:sz w:val="20"/>
                <w:szCs w:val="20"/>
              </w:rPr>
              <w:t>1,250 </w:t>
            </w:r>
          </w:p>
        </w:tc>
        <w:tc>
          <w:tcPr>
            <w:tcW w:w="0" w:type="auto"/>
            <w:shd w:val="clear" w:color="auto" w:fill="FFFFFF"/>
            <w:tcMar>
              <w:top w:w="40" w:type="dxa"/>
              <w:left w:w="0" w:type="dxa"/>
              <w:bottom w:w="40" w:type="dxa"/>
              <w:right w:w="20" w:type="dxa"/>
            </w:tcMar>
            <w:vAlign w:val="bottom"/>
          </w:tcPr>
          <w:p w14:paraId="195033B3" w14:textId="77777777" w:rsidR="00BF3A3A" w:rsidRDefault="00BF3A3A">
            <w:pPr>
              <w:jc w:val="right"/>
              <w:rPr>
                <w:rFonts w:ascii="宋体"/>
              </w:rPr>
            </w:pPr>
          </w:p>
        </w:tc>
      </w:tr>
      <w:tr w:rsidR="00BF3A3A" w14:paraId="195033C0" w14:textId="77777777">
        <w:tc>
          <w:tcPr>
            <w:tcW w:w="0" w:type="auto"/>
            <w:gridSpan w:val="3"/>
            <w:shd w:val="clear" w:color="auto" w:fill="E2EFD9"/>
            <w:tcMar>
              <w:top w:w="40" w:type="dxa"/>
              <w:left w:w="20" w:type="dxa"/>
              <w:bottom w:w="40" w:type="dxa"/>
              <w:right w:w="20" w:type="dxa"/>
            </w:tcMar>
            <w:vAlign w:val="center"/>
          </w:tcPr>
          <w:p w14:paraId="195033B5" w14:textId="77777777" w:rsidR="00BF3A3A" w:rsidRDefault="00A76802">
            <w:pPr>
              <w:textAlignment w:val="center"/>
            </w:pPr>
            <w:r>
              <w:rPr>
                <w:rFonts w:ascii="sans-serif" w:eastAsia="sans-serif" w:hAnsi="sans-serif" w:cs="sans-serif"/>
                <w:color w:val="000000"/>
                <w:sz w:val="20"/>
                <w:szCs w:val="20"/>
              </w:rPr>
              <w:t>2.85% Notes</w:t>
            </w:r>
            <w:r>
              <w:rPr>
                <w:rFonts w:ascii="sans-serif" w:eastAsia="sans-serif" w:hAnsi="sans-serif" w:cs="sans-serif"/>
                <w:color w:val="000000"/>
                <w:sz w:val="20"/>
                <w:szCs w:val="20"/>
              </w:rPr>
              <w:t xml:space="preserve"> Due 2030</w:t>
            </w:r>
          </w:p>
        </w:tc>
        <w:tc>
          <w:tcPr>
            <w:tcW w:w="0" w:type="auto"/>
            <w:gridSpan w:val="3"/>
            <w:shd w:val="clear" w:color="auto" w:fill="E2EFD9"/>
            <w:tcMar>
              <w:top w:w="0" w:type="dxa"/>
              <w:left w:w="20" w:type="dxa"/>
              <w:bottom w:w="0" w:type="dxa"/>
              <w:right w:w="20" w:type="dxa"/>
            </w:tcMar>
            <w:vAlign w:val="bottom"/>
          </w:tcPr>
          <w:p w14:paraId="195033B6" w14:textId="77777777" w:rsidR="00BF3A3A" w:rsidRDefault="00BF3A3A">
            <w:pPr>
              <w:rPr>
                <w:rFonts w:ascii="宋体"/>
              </w:rPr>
            </w:pPr>
          </w:p>
        </w:tc>
        <w:tc>
          <w:tcPr>
            <w:tcW w:w="0" w:type="auto"/>
            <w:gridSpan w:val="3"/>
            <w:shd w:val="clear" w:color="auto" w:fill="E2EFD9"/>
            <w:tcMar>
              <w:top w:w="40" w:type="dxa"/>
              <w:left w:w="20" w:type="dxa"/>
              <w:bottom w:w="40" w:type="dxa"/>
              <w:right w:w="20" w:type="dxa"/>
            </w:tcMar>
            <w:vAlign w:val="bottom"/>
          </w:tcPr>
          <w:p w14:paraId="195033B7" w14:textId="77777777" w:rsidR="00BF3A3A" w:rsidRDefault="00A76802">
            <w:pPr>
              <w:jc w:val="center"/>
              <w:textAlignment w:val="bottom"/>
            </w:pPr>
            <w:r>
              <w:rPr>
                <w:rFonts w:ascii="sans-serif" w:eastAsia="sans-serif" w:hAnsi="sans-serif" w:cs="sans-serif"/>
                <w:color w:val="000000"/>
                <w:sz w:val="20"/>
                <w:szCs w:val="20"/>
              </w:rPr>
              <w:t>7.7</w:t>
            </w:r>
          </w:p>
        </w:tc>
        <w:tc>
          <w:tcPr>
            <w:tcW w:w="0" w:type="auto"/>
            <w:gridSpan w:val="3"/>
            <w:shd w:val="clear" w:color="auto" w:fill="E2EFD9"/>
            <w:tcMar>
              <w:top w:w="0" w:type="dxa"/>
              <w:left w:w="20" w:type="dxa"/>
              <w:bottom w:w="0" w:type="dxa"/>
              <w:right w:w="20" w:type="dxa"/>
            </w:tcMar>
            <w:vAlign w:val="bottom"/>
          </w:tcPr>
          <w:p w14:paraId="195033B8" w14:textId="77777777" w:rsidR="00BF3A3A" w:rsidRDefault="00BF3A3A">
            <w:pPr>
              <w:rPr>
                <w:rFonts w:ascii="宋体"/>
              </w:rPr>
            </w:pPr>
          </w:p>
        </w:tc>
        <w:tc>
          <w:tcPr>
            <w:tcW w:w="0" w:type="auto"/>
            <w:gridSpan w:val="3"/>
            <w:shd w:val="clear" w:color="auto" w:fill="E2EFD9"/>
            <w:tcMar>
              <w:top w:w="40" w:type="dxa"/>
              <w:left w:w="20" w:type="dxa"/>
              <w:bottom w:w="40" w:type="dxa"/>
              <w:right w:w="20" w:type="dxa"/>
            </w:tcMar>
            <w:vAlign w:val="bottom"/>
          </w:tcPr>
          <w:p w14:paraId="195033B9" w14:textId="77777777" w:rsidR="00BF3A3A" w:rsidRDefault="00A76802">
            <w:pPr>
              <w:jc w:val="center"/>
              <w:textAlignment w:val="bottom"/>
            </w:pPr>
            <w:r>
              <w:rPr>
                <w:rFonts w:ascii="sans-serif" w:eastAsia="sans-serif" w:hAnsi="sans-serif" w:cs="sans-serif"/>
                <w:color w:val="000000"/>
                <w:sz w:val="20"/>
                <w:szCs w:val="20"/>
              </w:rPr>
              <w:t>2.93%</w:t>
            </w:r>
          </w:p>
        </w:tc>
        <w:tc>
          <w:tcPr>
            <w:tcW w:w="0" w:type="auto"/>
            <w:gridSpan w:val="3"/>
            <w:shd w:val="clear" w:color="auto" w:fill="E2EFD9"/>
            <w:tcMar>
              <w:top w:w="0" w:type="dxa"/>
              <w:left w:w="20" w:type="dxa"/>
              <w:bottom w:w="0" w:type="dxa"/>
              <w:right w:w="20" w:type="dxa"/>
            </w:tcMar>
            <w:vAlign w:val="bottom"/>
          </w:tcPr>
          <w:p w14:paraId="195033BA"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3BB" w14:textId="77777777" w:rsidR="00BF3A3A" w:rsidRDefault="00A76802">
            <w:pPr>
              <w:jc w:val="right"/>
              <w:textAlignment w:val="bottom"/>
            </w:pPr>
            <w:r>
              <w:rPr>
                <w:rFonts w:ascii="sans-serif" w:eastAsia="sans-serif" w:hAnsi="sans-serif" w:cs="sans-serif"/>
                <w:color w:val="000000"/>
                <w:sz w:val="20"/>
                <w:szCs w:val="20"/>
              </w:rPr>
              <w:t>1,500 </w:t>
            </w:r>
          </w:p>
        </w:tc>
        <w:tc>
          <w:tcPr>
            <w:tcW w:w="0" w:type="auto"/>
            <w:shd w:val="clear" w:color="auto" w:fill="E2EFD9"/>
            <w:tcMar>
              <w:top w:w="40" w:type="dxa"/>
              <w:left w:w="0" w:type="dxa"/>
              <w:bottom w:w="40" w:type="dxa"/>
              <w:right w:w="20" w:type="dxa"/>
            </w:tcMar>
            <w:vAlign w:val="bottom"/>
          </w:tcPr>
          <w:p w14:paraId="195033B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3BD"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3BE" w14:textId="77777777" w:rsidR="00BF3A3A" w:rsidRDefault="00A76802">
            <w:pPr>
              <w:jc w:val="right"/>
              <w:textAlignment w:val="bottom"/>
            </w:pPr>
            <w:r>
              <w:rPr>
                <w:rFonts w:ascii="sans-serif" w:eastAsia="sans-serif" w:hAnsi="sans-serif" w:cs="sans-serif"/>
                <w:color w:val="000000"/>
                <w:sz w:val="20"/>
                <w:szCs w:val="20"/>
              </w:rPr>
              <w:t>1,500 </w:t>
            </w:r>
          </w:p>
        </w:tc>
        <w:tc>
          <w:tcPr>
            <w:tcW w:w="0" w:type="auto"/>
            <w:shd w:val="clear" w:color="auto" w:fill="E2EFD9"/>
            <w:tcMar>
              <w:top w:w="40" w:type="dxa"/>
              <w:left w:w="0" w:type="dxa"/>
              <w:bottom w:w="40" w:type="dxa"/>
              <w:right w:w="20" w:type="dxa"/>
            </w:tcMar>
            <w:vAlign w:val="bottom"/>
          </w:tcPr>
          <w:p w14:paraId="195033BF" w14:textId="77777777" w:rsidR="00BF3A3A" w:rsidRDefault="00BF3A3A">
            <w:pPr>
              <w:jc w:val="right"/>
              <w:rPr>
                <w:rFonts w:ascii="宋体"/>
              </w:rPr>
            </w:pPr>
          </w:p>
        </w:tc>
      </w:tr>
      <w:tr w:rsidR="00BF3A3A" w14:paraId="195033CC" w14:textId="77777777">
        <w:tc>
          <w:tcPr>
            <w:tcW w:w="0" w:type="auto"/>
            <w:gridSpan w:val="3"/>
            <w:shd w:val="clear" w:color="auto" w:fill="FFFFFF"/>
            <w:tcMar>
              <w:top w:w="40" w:type="dxa"/>
              <w:left w:w="20" w:type="dxa"/>
              <w:bottom w:w="40" w:type="dxa"/>
              <w:right w:w="20" w:type="dxa"/>
            </w:tcMar>
            <w:vAlign w:val="center"/>
          </w:tcPr>
          <w:p w14:paraId="195033C1" w14:textId="77777777" w:rsidR="00BF3A3A" w:rsidRDefault="00A76802">
            <w:pPr>
              <w:textAlignment w:val="center"/>
            </w:pPr>
            <w:r>
              <w:rPr>
                <w:rFonts w:ascii="sans-serif" w:eastAsia="sans-serif" w:hAnsi="sans-serif" w:cs="sans-serif"/>
                <w:color w:val="000000"/>
                <w:sz w:val="20"/>
                <w:szCs w:val="20"/>
              </w:rPr>
              <w:t>2.00% Notes Due 2031</w:t>
            </w:r>
          </w:p>
        </w:tc>
        <w:tc>
          <w:tcPr>
            <w:tcW w:w="0" w:type="auto"/>
            <w:gridSpan w:val="3"/>
            <w:shd w:val="clear" w:color="auto" w:fill="FFFFFF"/>
            <w:tcMar>
              <w:top w:w="0" w:type="dxa"/>
              <w:left w:w="20" w:type="dxa"/>
              <w:bottom w:w="0" w:type="dxa"/>
              <w:right w:w="20" w:type="dxa"/>
            </w:tcMar>
            <w:vAlign w:val="bottom"/>
          </w:tcPr>
          <w:p w14:paraId="195033C2" w14:textId="77777777" w:rsidR="00BF3A3A" w:rsidRDefault="00BF3A3A">
            <w:pPr>
              <w:rPr>
                <w:rFonts w:ascii="宋体"/>
              </w:rPr>
            </w:pPr>
          </w:p>
        </w:tc>
        <w:tc>
          <w:tcPr>
            <w:tcW w:w="0" w:type="auto"/>
            <w:gridSpan w:val="3"/>
            <w:shd w:val="clear" w:color="auto" w:fill="FFFFFF"/>
            <w:tcMar>
              <w:top w:w="40" w:type="dxa"/>
              <w:left w:w="20" w:type="dxa"/>
              <w:bottom w:w="40" w:type="dxa"/>
              <w:right w:w="20" w:type="dxa"/>
            </w:tcMar>
            <w:vAlign w:val="bottom"/>
          </w:tcPr>
          <w:p w14:paraId="195033C3" w14:textId="77777777" w:rsidR="00BF3A3A" w:rsidRDefault="00A76802">
            <w:pPr>
              <w:jc w:val="center"/>
              <w:textAlignment w:val="bottom"/>
            </w:pPr>
            <w:r>
              <w:rPr>
                <w:rFonts w:ascii="sans-serif" w:eastAsia="sans-serif" w:hAnsi="sans-serif" w:cs="sans-serif"/>
                <w:color w:val="000000"/>
                <w:sz w:val="20"/>
                <w:szCs w:val="20"/>
              </w:rPr>
              <w:t>8.9</w:t>
            </w:r>
          </w:p>
        </w:tc>
        <w:tc>
          <w:tcPr>
            <w:tcW w:w="0" w:type="auto"/>
            <w:gridSpan w:val="3"/>
            <w:shd w:val="clear" w:color="auto" w:fill="FFFFFF"/>
            <w:tcMar>
              <w:top w:w="0" w:type="dxa"/>
              <w:left w:w="20" w:type="dxa"/>
              <w:bottom w:w="0" w:type="dxa"/>
              <w:right w:w="20" w:type="dxa"/>
            </w:tcMar>
            <w:vAlign w:val="bottom"/>
          </w:tcPr>
          <w:p w14:paraId="195033C4" w14:textId="77777777" w:rsidR="00BF3A3A" w:rsidRDefault="00BF3A3A">
            <w:pPr>
              <w:rPr>
                <w:rFonts w:ascii="宋体"/>
              </w:rPr>
            </w:pPr>
          </w:p>
        </w:tc>
        <w:tc>
          <w:tcPr>
            <w:tcW w:w="0" w:type="auto"/>
            <w:gridSpan w:val="3"/>
            <w:shd w:val="clear" w:color="auto" w:fill="FFFFFF"/>
            <w:tcMar>
              <w:top w:w="40" w:type="dxa"/>
              <w:left w:w="20" w:type="dxa"/>
              <w:bottom w:w="40" w:type="dxa"/>
              <w:right w:w="20" w:type="dxa"/>
            </w:tcMar>
            <w:vAlign w:val="bottom"/>
          </w:tcPr>
          <w:p w14:paraId="195033C5" w14:textId="77777777" w:rsidR="00BF3A3A" w:rsidRDefault="00A76802">
            <w:pPr>
              <w:jc w:val="center"/>
              <w:textAlignment w:val="bottom"/>
            </w:pPr>
            <w:r>
              <w:rPr>
                <w:rFonts w:ascii="sans-serif" w:eastAsia="sans-serif" w:hAnsi="sans-serif" w:cs="sans-serif"/>
                <w:color w:val="000000"/>
                <w:sz w:val="20"/>
                <w:szCs w:val="20"/>
              </w:rPr>
              <w:t>2.09%</w:t>
            </w:r>
          </w:p>
        </w:tc>
        <w:tc>
          <w:tcPr>
            <w:tcW w:w="0" w:type="auto"/>
            <w:gridSpan w:val="3"/>
            <w:shd w:val="clear" w:color="auto" w:fill="FFFFFF"/>
            <w:tcMar>
              <w:top w:w="0" w:type="dxa"/>
              <w:left w:w="20" w:type="dxa"/>
              <w:bottom w:w="0" w:type="dxa"/>
              <w:right w:w="20" w:type="dxa"/>
            </w:tcMar>
            <w:vAlign w:val="bottom"/>
          </w:tcPr>
          <w:p w14:paraId="195033C6"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3C7" w14:textId="77777777" w:rsidR="00BF3A3A" w:rsidRDefault="00A76802">
            <w:pPr>
              <w:jc w:val="right"/>
              <w:textAlignment w:val="bottom"/>
            </w:pPr>
            <w:r>
              <w:rPr>
                <w:rFonts w:ascii="sans-serif" w:eastAsia="sans-serif" w:hAnsi="sans-serif" w:cs="sans-serif"/>
                <w:color w:val="000000"/>
                <w:sz w:val="20"/>
                <w:szCs w:val="20"/>
              </w:rPr>
              <w:t>1,250 </w:t>
            </w:r>
          </w:p>
        </w:tc>
        <w:tc>
          <w:tcPr>
            <w:tcW w:w="0" w:type="auto"/>
            <w:shd w:val="clear" w:color="auto" w:fill="FFFFFF"/>
            <w:tcMar>
              <w:top w:w="40" w:type="dxa"/>
              <w:left w:w="0" w:type="dxa"/>
              <w:bottom w:w="40" w:type="dxa"/>
              <w:right w:w="20" w:type="dxa"/>
            </w:tcMar>
            <w:vAlign w:val="bottom"/>
          </w:tcPr>
          <w:p w14:paraId="195033C8"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3C9"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3CA" w14:textId="77777777" w:rsidR="00BF3A3A" w:rsidRDefault="00A76802">
            <w:pPr>
              <w:jc w:val="right"/>
              <w:textAlignment w:val="bottom"/>
            </w:pPr>
            <w:r>
              <w:rPr>
                <w:rFonts w:ascii="sans-serif" w:eastAsia="sans-serif" w:hAnsi="sans-serif" w:cs="sans-serif"/>
                <w:color w:val="000000"/>
                <w:sz w:val="20"/>
                <w:szCs w:val="20"/>
              </w:rPr>
              <w:t>1,250 </w:t>
            </w:r>
          </w:p>
        </w:tc>
        <w:tc>
          <w:tcPr>
            <w:tcW w:w="0" w:type="auto"/>
            <w:shd w:val="clear" w:color="auto" w:fill="FFFFFF"/>
            <w:tcMar>
              <w:top w:w="40" w:type="dxa"/>
              <w:left w:w="0" w:type="dxa"/>
              <w:bottom w:w="40" w:type="dxa"/>
              <w:right w:w="20" w:type="dxa"/>
            </w:tcMar>
            <w:vAlign w:val="bottom"/>
          </w:tcPr>
          <w:p w14:paraId="195033CB" w14:textId="77777777" w:rsidR="00BF3A3A" w:rsidRDefault="00BF3A3A">
            <w:pPr>
              <w:jc w:val="right"/>
              <w:rPr>
                <w:rFonts w:ascii="宋体"/>
              </w:rPr>
            </w:pPr>
          </w:p>
        </w:tc>
      </w:tr>
      <w:tr w:rsidR="00BF3A3A" w14:paraId="195033D8" w14:textId="77777777">
        <w:tc>
          <w:tcPr>
            <w:tcW w:w="0" w:type="auto"/>
            <w:gridSpan w:val="3"/>
            <w:shd w:val="clear" w:color="auto" w:fill="E2EFD9"/>
            <w:tcMar>
              <w:top w:w="40" w:type="dxa"/>
              <w:left w:w="20" w:type="dxa"/>
              <w:bottom w:w="40" w:type="dxa"/>
              <w:right w:w="20" w:type="dxa"/>
            </w:tcMar>
            <w:vAlign w:val="center"/>
          </w:tcPr>
          <w:p w14:paraId="195033CD" w14:textId="77777777" w:rsidR="00BF3A3A" w:rsidRDefault="00A76802">
            <w:pPr>
              <w:textAlignment w:val="center"/>
            </w:pPr>
            <w:r>
              <w:rPr>
                <w:rFonts w:ascii="sans-serif" w:eastAsia="sans-serif" w:hAnsi="sans-serif" w:cs="sans-serif"/>
                <w:color w:val="000000"/>
                <w:sz w:val="20"/>
                <w:szCs w:val="20"/>
              </w:rPr>
              <w:t>3.50% Notes</w:t>
            </w:r>
            <w:r>
              <w:rPr>
                <w:rFonts w:ascii="sans-serif" w:eastAsia="sans-serif" w:hAnsi="sans-serif" w:cs="sans-serif"/>
                <w:color w:val="000000"/>
                <w:sz w:val="20"/>
                <w:szCs w:val="20"/>
              </w:rPr>
              <w:t xml:space="preserve"> Due 2040</w:t>
            </w:r>
          </w:p>
        </w:tc>
        <w:tc>
          <w:tcPr>
            <w:tcW w:w="0" w:type="auto"/>
            <w:gridSpan w:val="3"/>
            <w:shd w:val="clear" w:color="auto" w:fill="E2EFD9"/>
            <w:tcMar>
              <w:top w:w="0" w:type="dxa"/>
              <w:left w:w="20" w:type="dxa"/>
              <w:bottom w:w="0" w:type="dxa"/>
              <w:right w:w="20" w:type="dxa"/>
            </w:tcMar>
            <w:vAlign w:val="bottom"/>
          </w:tcPr>
          <w:p w14:paraId="195033CE" w14:textId="77777777" w:rsidR="00BF3A3A" w:rsidRDefault="00BF3A3A">
            <w:pPr>
              <w:rPr>
                <w:rFonts w:ascii="宋体"/>
              </w:rPr>
            </w:pPr>
          </w:p>
        </w:tc>
        <w:tc>
          <w:tcPr>
            <w:tcW w:w="0" w:type="auto"/>
            <w:gridSpan w:val="3"/>
            <w:shd w:val="clear" w:color="auto" w:fill="E2EFD9"/>
            <w:tcMar>
              <w:top w:w="40" w:type="dxa"/>
              <w:left w:w="20" w:type="dxa"/>
              <w:bottom w:w="40" w:type="dxa"/>
              <w:right w:w="20" w:type="dxa"/>
            </w:tcMar>
            <w:vAlign w:val="bottom"/>
          </w:tcPr>
          <w:p w14:paraId="195033CF" w14:textId="77777777" w:rsidR="00BF3A3A" w:rsidRDefault="00A76802">
            <w:pPr>
              <w:jc w:val="center"/>
              <w:textAlignment w:val="bottom"/>
            </w:pPr>
            <w:r>
              <w:rPr>
                <w:rFonts w:ascii="sans-serif" w:eastAsia="sans-serif" w:hAnsi="sans-serif" w:cs="sans-serif"/>
                <w:color w:val="000000"/>
                <w:sz w:val="20"/>
                <w:szCs w:val="20"/>
              </w:rPr>
              <w:t>17.7</w:t>
            </w:r>
          </w:p>
        </w:tc>
        <w:tc>
          <w:tcPr>
            <w:tcW w:w="0" w:type="auto"/>
            <w:gridSpan w:val="3"/>
            <w:shd w:val="clear" w:color="auto" w:fill="E2EFD9"/>
            <w:tcMar>
              <w:top w:w="0" w:type="dxa"/>
              <w:left w:w="20" w:type="dxa"/>
              <w:bottom w:w="0" w:type="dxa"/>
              <w:right w:w="20" w:type="dxa"/>
            </w:tcMar>
            <w:vAlign w:val="bottom"/>
          </w:tcPr>
          <w:p w14:paraId="195033D0" w14:textId="77777777" w:rsidR="00BF3A3A" w:rsidRDefault="00BF3A3A">
            <w:pPr>
              <w:rPr>
                <w:rFonts w:ascii="宋体"/>
              </w:rPr>
            </w:pPr>
          </w:p>
        </w:tc>
        <w:tc>
          <w:tcPr>
            <w:tcW w:w="0" w:type="auto"/>
            <w:gridSpan w:val="3"/>
            <w:shd w:val="clear" w:color="auto" w:fill="E2EFD9"/>
            <w:tcMar>
              <w:top w:w="40" w:type="dxa"/>
              <w:left w:w="20" w:type="dxa"/>
              <w:bottom w:w="40" w:type="dxa"/>
              <w:right w:w="20" w:type="dxa"/>
            </w:tcMar>
            <w:vAlign w:val="bottom"/>
          </w:tcPr>
          <w:p w14:paraId="195033D1" w14:textId="77777777" w:rsidR="00BF3A3A" w:rsidRDefault="00A76802">
            <w:pPr>
              <w:jc w:val="center"/>
              <w:textAlignment w:val="bottom"/>
            </w:pPr>
            <w:r>
              <w:rPr>
                <w:rFonts w:ascii="sans-serif" w:eastAsia="sans-serif" w:hAnsi="sans-serif" w:cs="sans-serif"/>
                <w:color w:val="000000"/>
                <w:sz w:val="20"/>
                <w:szCs w:val="20"/>
              </w:rPr>
              <w:t>3.54%</w:t>
            </w:r>
          </w:p>
        </w:tc>
        <w:tc>
          <w:tcPr>
            <w:tcW w:w="0" w:type="auto"/>
            <w:gridSpan w:val="3"/>
            <w:shd w:val="clear" w:color="auto" w:fill="E2EFD9"/>
            <w:tcMar>
              <w:top w:w="0" w:type="dxa"/>
              <w:left w:w="20" w:type="dxa"/>
              <w:bottom w:w="0" w:type="dxa"/>
              <w:right w:w="20" w:type="dxa"/>
            </w:tcMar>
            <w:vAlign w:val="bottom"/>
          </w:tcPr>
          <w:p w14:paraId="195033D2"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3D3" w14:textId="77777777" w:rsidR="00BF3A3A" w:rsidRDefault="00A76802">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195033D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3D5"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3D6" w14:textId="77777777" w:rsidR="00BF3A3A" w:rsidRDefault="00A76802">
            <w:pPr>
              <w:jc w:val="right"/>
              <w:textAlignment w:val="bottom"/>
            </w:pPr>
            <w:r>
              <w:rPr>
                <w:rFonts w:ascii="sans-serif" w:eastAsia="sans-serif" w:hAnsi="sans-serif" w:cs="sans-serif"/>
                <w:color w:val="000000"/>
                <w:sz w:val="20"/>
                <w:szCs w:val="20"/>
              </w:rPr>
              <w:t>1,000 </w:t>
            </w:r>
          </w:p>
        </w:tc>
        <w:tc>
          <w:tcPr>
            <w:tcW w:w="0" w:type="auto"/>
            <w:shd w:val="clear" w:color="auto" w:fill="E2EFD9"/>
            <w:tcMar>
              <w:top w:w="40" w:type="dxa"/>
              <w:left w:w="0" w:type="dxa"/>
              <w:bottom w:w="40" w:type="dxa"/>
              <w:right w:w="20" w:type="dxa"/>
            </w:tcMar>
            <w:vAlign w:val="bottom"/>
          </w:tcPr>
          <w:p w14:paraId="195033D7" w14:textId="77777777" w:rsidR="00BF3A3A" w:rsidRDefault="00BF3A3A">
            <w:pPr>
              <w:jc w:val="right"/>
              <w:rPr>
                <w:rFonts w:ascii="宋体"/>
              </w:rPr>
            </w:pPr>
          </w:p>
        </w:tc>
      </w:tr>
      <w:tr w:rsidR="00BF3A3A" w14:paraId="195033E4" w14:textId="77777777">
        <w:tc>
          <w:tcPr>
            <w:tcW w:w="0" w:type="auto"/>
            <w:gridSpan w:val="3"/>
            <w:shd w:val="clear" w:color="auto" w:fill="FFFFFF"/>
            <w:tcMar>
              <w:top w:w="40" w:type="dxa"/>
              <w:left w:w="20" w:type="dxa"/>
              <w:bottom w:w="40" w:type="dxa"/>
              <w:right w:w="20" w:type="dxa"/>
            </w:tcMar>
            <w:vAlign w:val="center"/>
          </w:tcPr>
          <w:p w14:paraId="195033D9" w14:textId="77777777" w:rsidR="00BF3A3A" w:rsidRDefault="00A76802">
            <w:pPr>
              <w:textAlignment w:val="center"/>
            </w:pPr>
            <w:r>
              <w:rPr>
                <w:rFonts w:ascii="sans-serif" w:eastAsia="sans-serif" w:hAnsi="sans-serif" w:cs="sans-serif"/>
                <w:color w:val="000000"/>
                <w:sz w:val="20"/>
                <w:szCs w:val="20"/>
              </w:rPr>
              <w:t xml:space="preserve">3.50% </w:t>
            </w:r>
            <w:r>
              <w:rPr>
                <w:rFonts w:ascii="sans-serif" w:eastAsia="sans-serif" w:hAnsi="sans-serif" w:cs="sans-serif"/>
                <w:color w:val="000000"/>
                <w:sz w:val="20"/>
                <w:szCs w:val="20"/>
              </w:rPr>
              <w:t>Notes Due 2050</w:t>
            </w:r>
          </w:p>
        </w:tc>
        <w:tc>
          <w:tcPr>
            <w:tcW w:w="0" w:type="auto"/>
            <w:gridSpan w:val="3"/>
            <w:shd w:val="clear" w:color="auto" w:fill="FFFFFF"/>
            <w:tcMar>
              <w:top w:w="0" w:type="dxa"/>
              <w:left w:w="20" w:type="dxa"/>
              <w:bottom w:w="0" w:type="dxa"/>
              <w:right w:w="20" w:type="dxa"/>
            </w:tcMar>
            <w:vAlign w:val="bottom"/>
          </w:tcPr>
          <w:p w14:paraId="195033DA" w14:textId="77777777" w:rsidR="00BF3A3A" w:rsidRDefault="00BF3A3A">
            <w:pPr>
              <w:rPr>
                <w:rFonts w:ascii="宋体"/>
              </w:rPr>
            </w:pPr>
          </w:p>
        </w:tc>
        <w:tc>
          <w:tcPr>
            <w:tcW w:w="0" w:type="auto"/>
            <w:gridSpan w:val="3"/>
            <w:shd w:val="clear" w:color="auto" w:fill="FFFFFF"/>
            <w:tcMar>
              <w:top w:w="40" w:type="dxa"/>
              <w:left w:w="20" w:type="dxa"/>
              <w:bottom w:w="40" w:type="dxa"/>
              <w:right w:w="20" w:type="dxa"/>
            </w:tcMar>
            <w:vAlign w:val="bottom"/>
          </w:tcPr>
          <w:p w14:paraId="195033DB" w14:textId="77777777" w:rsidR="00BF3A3A" w:rsidRDefault="00A76802">
            <w:pPr>
              <w:jc w:val="center"/>
              <w:textAlignment w:val="bottom"/>
            </w:pPr>
            <w:r>
              <w:rPr>
                <w:rFonts w:ascii="sans-serif" w:eastAsia="sans-serif" w:hAnsi="sans-serif" w:cs="sans-serif"/>
                <w:color w:val="000000"/>
                <w:sz w:val="20"/>
                <w:szCs w:val="20"/>
              </w:rPr>
              <w:t>27.7</w:t>
            </w:r>
          </w:p>
        </w:tc>
        <w:tc>
          <w:tcPr>
            <w:tcW w:w="0" w:type="auto"/>
            <w:gridSpan w:val="3"/>
            <w:shd w:val="clear" w:color="auto" w:fill="FFFFFF"/>
            <w:tcMar>
              <w:top w:w="0" w:type="dxa"/>
              <w:left w:w="20" w:type="dxa"/>
              <w:bottom w:w="0" w:type="dxa"/>
              <w:right w:w="20" w:type="dxa"/>
            </w:tcMar>
            <w:vAlign w:val="bottom"/>
          </w:tcPr>
          <w:p w14:paraId="195033DC" w14:textId="77777777" w:rsidR="00BF3A3A" w:rsidRDefault="00BF3A3A">
            <w:pPr>
              <w:rPr>
                <w:rFonts w:ascii="宋体"/>
              </w:rPr>
            </w:pPr>
          </w:p>
        </w:tc>
        <w:tc>
          <w:tcPr>
            <w:tcW w:w="0" w:type="auto"/>
            <w:gridSpan w:val="3"/>
            <w:shd w:val="clear" w:color="auto" w:fill="FFFFFF"/>
            <w:tcMar>
              <w:top w:w="40" w:type="dxa"/>
              <w:left w:w="20" w:type="dxa"/>
              <w:bottom w:w="40" w:type="dxa"/>
              <w:right w:w="20" w:type="dxa"/>
            </w:tcMar>
            <w:vAlign w:val="bottom"/>
          </w:tcPr>
          <w:p w14:paraId="195033DD" w14:textId="77777777" w:rsidR="00BF3A3A" w:rsidRDefault="00A76802">
            <w:pPr>
              <w:jc w:val="center"/>
              <w:textAlignment w:val="bottom"/>
            </w:pPr>
            <w:r>
              <w:rPr>
                <w:rFonts w:ascii="sans-serif" w:eastAsia="sans-serif" w:hAnsi="sans-serif" w:cs="sans-serif"/>
                <w:color w:val="000000"/>
                <w:sz w:val="20"/>
                <w:szCs w:val="20"/>
              </w:rPr>
              <w:t>3.54%</w:t>
            </w:r>
          </w:p>
        </w:tc>
        <w:tc>
          <w:tcPr>
            <w:tcW w:w="0" w:type="auto"/>
            <w:gridSpan w:val="3"/>
            <w:shd w:val="clear" w:color="auto" w:fill="FFFFFF"/>
            <w:tcMar>
              <w:top w:w="0" w:type="dxa"/>
              <w:left w:w="20" w:type="dxa"/>
              <w:bottom w:w="0" w:type="dxa"/>
              <w:right w:w="20" w:type="dxa"/>
            </w:tcMar>
            <w:vAlign w:val="bottom"/>
          </w:tcPr>
          <w:p w14:paraId="195033D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3DF" w14:textId="77777777" w:rsidR="00BF3A3A" w:rsidRDefault="00A76802">
            <w:pPr>
              <w:jc w:val="right"/>
              <w:textAlignment w:val="bottom"/>
            </w:pPr>
            <w:r>
              <w:rPr>
                <w:rFonts w:ascii="sans-serif" w:eastAsia="sans-serif" w:hAnsi="sans-serif" w:cs="sans-serif"/>
                <w:color w:val="000000"/>
                <w:sz w:val="20"/>
                <w:szCs w:val="20"/>
              </w:rPr>
              <w:t>2,000 </w:t>
            </w:r>
          </w:p>
        </w:tc>
        <w:tc>
          <w:tcPr>
            <w:tcW w:w="0" w:type="auto"/>
            <w:shd w:val="clear" w:color="auto" w:fill="FFFFFF"/>
            <w:tcMar>
              <w:top w:w="40" w:type="dxa"/>
              <w:left w:w="0" w:type="dxa"/>
              <w:bottom w:w="40" w:type="dxa"/>
              <w:right w:w="20" w:type="dxa"/>
            </w:tcMar>
            <w:vAlign w:val="bottom"/>
          </w:tcPr>
          <w:p w14:paraId="195033E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3E1"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3E2" w14:textId="77777777" w:rsidR="00BF3A3A" w:rsidRDefault="00A76802">
            <w:pPr>
              <w:jc w:val="right"/>
              <w:textAlignment w:val="bottom"/>
            </w:pPr>
            <w:r>
              <w:rPr>
                <w:rFonts w:ascii="sans-serif" w:eastAsia="sans-serif" w:hAnsi="sans-serif" w:cs="sans-serif"/>
                <w:color w:val="000000"/>
                <w:sz w:val="20"/>
                <w:szCs w:val="20"/>
              </w:rPr>
              <w:t>2,000 </w:t>
            </w:r>
          </w:p>
        </w:tc>
        <w:tc>
          <w:tcPr>
            <w:tcW w:w="0" w:type="auto"/>
            <w:shd w:val="clear" w:color="auto" w:fill="FFFFFF"/>
            <w:tcMar>
              <w:top w:w="40" w:type="dxa"/>
              <w:left w:w="0" w:type="dxa"/>
              <w:bottom w:w="40" w:type="dxa"/>
              <w:right w:w="20" w:type="dxa"/>
            </w:tcMar>
            <w:vAlign w:val="bottom"/>
          </w:tcPr>
          <w:p w14:paraId="195033E3" w14:textId="77777777" w:rsidR="00BF3A3A" w:rsidRDefault="00BF3A3A">
            <w:pPr>
              <w:jc w:val="right"/>
              <w:rPr>
                <w:rFonts w:ascii="宋体"/>
              </w:rPr>
            </w:pPr>
          </w:p>
        </w:tc>
      </w:tr>
      <w:tr w:rsidR="00BF3A3A" w14:paraId="195033F0" w14:textId="77777777">
        <w:tc>
          <w:tcPr>
            <w:tcW w:w="0" w:type="auto"/>
            <w:gridSpan w:val="3"/>
            <w:shd w:val="clear" w:color="auto" w:fill="E2EFD9"/>
            <w:tcMar>
              <w:top w:w="40" w:type="dxa"/>
              <w:left w:w="20" w:type="dxa"/>
              <w:bottom w:w="40" w:type="dxa"/>
              <w:right w:w="20" w:type="dxa"/>
            </w:tcMar>
            <w:vAlign w:val="center"/>
          </w:tcPr>
          <w:p w14:paraId="195033E5" w14:textId="77777777" w:rsidR="00BF3A3A" w:rsidRDefault="00A76802">
            <w:pPr>
              <w:textAlignment w:val="center"/>
            </w:pPr>
            <w:r>
              <w:rPr>
                <w:rFonts w:ascii="sans-serif" w:eastAsia="sans-serif" w:hAnsi="sans-serif" w:cs="sans-serif"/>
                <w:color w:val="000000"/>
                <w:sz w:val="20"/>
                <w:szCs w:val="20"/>
              </w:rPr>
              <w:t>3.70% Notes Due 2060</w:t>
            </w:r>
          </w:p>
        </w:tc>
        <w:tc>
          <w:tcPr>
            <w:tcW w:w="0" w:type="auto"/>
            <w:gridSpan w:val="3"/>
            <w:shd w:val="clear" w:color="auto" w:fill="E2EFD9"/>
            <w:tcMar>
              <w:top w:w="0" w:type="dxa"/>
              <w:left w:w="20" w:type="dxa"/>
              <w:bottom w:w="0" w:type="dxa"/>
              <w:right w:w="20" w:type="dxa"/>
            </w:tcMar>
            <w:vAlign w:val="bottom"/>
          </w:tcPr>
          <w:p w14:paraId="195033E6" w14:textId="77777777" w:rsidR="00BF3A3A" w:rsidRDefault="00BF3A3A">
            <w:pPr>
              <w:rPr>
                <w:rFonts w:ascii="宋体"/>
              </w:rPr>
            </w:pPr>
          </w:p>
        </w:tc>
        <w:tc>
          <w:tcPr>
            <w:tcW w:w="0" w:type="auto"/>
            <w:gridSpan w:val="3"/>
            <w:shd w:val="clear" w:color="auto" w:fill="E2EFD9"/>
            <w:tcMar>
              <w:top w:w="40" w:type="dxa"/>
              <w:left w:w="20" w:type="dxa"/>
              <w:bottom w:w="40" w:type="dxa"/>
              <w:right w:w="20" w:type="dxa"/>
            </w:tcMar>
            <w:vAlign w:val="bottom"/>
          </w:tcPr>
          <w:p w14:paraId="195033E7" w14:textId="77777777" w:rsidR="00BF3A3A" w:rsidRDefault="00A76802">
            <w:pPr>
              <w:jc w:val="center"/>
              <w:textAlignment w:val="bottom"/>
            </w:pPr>
            <w:r>
              <w:rPr>
                <w:rFonts w:ascii="sans-serif" w:eastAsia="sans-serif" w:hAnsi="sans-serif" w:cs="sans-serif"/>
                <w:color w:val="000000"/>
                <w:sz w:val="20"/>
                <w:szCs w:val="20"/>
              </w:rPr>
              <w:t>37.7</w:t>
            </w:r>
          </w:p>
        </w:tc>
        <w:tc>
          <w:tcPr>
            <w:tcW w:w="0" w:type="auto"/>
            <w:gridSpan w:val="3"/>
            <w:shd w:val="clear" w:color="auto" w:fill="E2EFD9"/>
            <w:tcMar>
              <w:top w:w="0" w:type="dxa"/>
              <w:left w:w="20" w:type="dxa"/>
              <w:bottom w:w="0" w:type="dxa"/>
              <w:right w:w="20" w:type="dxa"/>
            </w:tcMar>
            <w:vAlign w:val="bottom"/>
          </w:tcPr>
          <w:p w14:paraId="195033E8" w14:textId="77777777" w:rsidR="00BF3A3A" w:rsidRDefault="00BF3A3A">
            <w:pPr>
              <w:rPr>
                <w:rFonts w:ascii="宋体"/>
              </w:rPr>
            </w:pPr>
          </w:p>
        </w:tc>
        <w:tc>
          <w:tcPr>
            <w:tcW w:w="0" w:type="auto"/>
            <w:gridSpan w:val="3"/>
            <w:shd w:val="clear" w:color="auto" w:fill="E2EFD9"/>
            <w:tcMar>
              <w:top w:w="40" w:type="dxa"/>
              <w:left w:w="20" w:type="dxa"/>
              <w:bottom w:w="40" w:type="dxa"/>
              <w:right w:w="20" w:type="dxa"/>
            </w:tcMar>
            <w:vAlign w:val="bottom"/>
          </w:tcPr>
          <w:p w14:paraId="195033E9" w14:textId="77777777" w:rsidR="00BF3A3A" w:rsidRDefault="00A76802">
            <w:pPr>
              <w:jc w:val="center"/>
              <w:textAlignment w:val="bottom"/>
            </w:pPr>
            <w:r>
              <w:rPr>
                <w:rFonts w:ascii="sans-serif" w:eastAsia="sans-serif" w:hAnsi="sans-serif" w:cs="sans-serif"/>
                <w:color w:val="000000"/>
                <w:sz w:val="20"/>
                <w:szCs w:val="20"/>
              </w:rPr>
              <w:t>3.73%</w:t>
            </w:r>
          </w:p>
        </w:tc>
        <w:tc>
          <w:tcPr>
            <w:tcW w:w="0" w:type="auto"/>
            <w:gridSpan w:val="3"/>
            <w:shd w:val="clear" w:color="auto" w:fill="E2EFD9"/>
            <w:tcMar>
              <w:top w:w="0" w:type="dxa"/>
              <w:left w:w="20" w:type="dxa"/>
              <w:bottom w:w="0" w:type="dxa"/>
              <w:right w:w="20" w:type="dxa"/>
            </w:tcMar>
            <w:vAlign w:val="bottom"/>
          </w:tcPr>
          <w:p w14:paraId="195033EA"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3EB" w14:textId="77777777" w:rsidR="00BF3A3A" w:rsidRDefault="00A76802">
            <w:pPr>
              <w:jc w:val="right"/>
              <w:textAlignment w:val="bottom"/>
            </w:pPr>
            <w:r>
              <w:rPr>
                <w:rFonts w:ascii="sans-serif" w:eastAsia="sans-serif" w:hAnsi="sans-serif" w:cs="sans-serif"/>
                <w:color w:val="000000"/>
                <w:sz w:val="20"/>
                <w:szCs w:val="20"/>
              </w:rPr>
              <w:t>500 </w:t>
            </w:r>
          </w:p>
        </w:tc>
        <w:tc>
          <w:tcPr>
            <w:tcW w:w="0" w:type="auto"/>
            <w:shd w:val="clear" w:color="auto" w:fill="E2EFD9"/>
            <w:tcMar>
              <w:top w:w="40" w:type="dxa"/>
              <w:left w:w="0" w:type="dxa"/>
              <w:bottom w:w="40" w:type="dxa"/>
              <w:right w:w="20" w:type="dxa"/>
            </w:tcMar>
            <w:vAlign w:val="bottom"/>
          </w:tcPr>
          <w:p w14:paraId="195033E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3ED"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3EE" w14:textId="77777777" w:rsidR="00BF3A3A" w:rsidRDefault="00A76802">
            <w:pPr>
              <w:jc w:val="right"/>
              <w:textAlignment w:val="bottom"/>
            </w:pPr>
            <w:r>
              <w:rPr>
                <w:rFonts w:ascii="sans-serif" w:eastAsia="sans-serif" w:hAnsi="sans-serif" w:cs="sans-serif"/>
                <w:color w:val="000000"/>
                <w:sz w:val="20"/>
                <w:szCs w:val="20"/>
              </w:rPr>
              <w:t>500 </w:t>
            </w:r>
          </w:p>
        </w:tc>
        <w:tc>
          <w:tcPr>
            <w:tcW w:w="0" w:type="auto"/>
            <w:shd w:val="clear" w:color="auto" w:fill="E2EFD9"/>
            <w:tcMar>
              <w:top w:w="40" w:type="dxa"/>
              <w:left w:w="0" w:type="dxa"/>
              <w:bottom w:w="40" w:type="dxa"/>
              <w:right w:w="20" w:type="dxa"/>
            </w:tcMar>
            <w:vAlign w:val="bottom"/>
          </w:tcPr>
          <w:p w14:paraId="195033EF" w14:textId="77777777" w:rsidR="00BF3A3A" w:rsidRDefault="00BF3A3A">
            <w:pPr>
              <w:jc w:val="right"/>
              <w:rPr>
                <w:rFonts w:ascii="宋体"/>
              </w:rPr>
            </w:pPr>
          </w:p>
        </w:tc>
      </w:tr>
      <w:tr w:rsidR="00BF3A3A" w14:paraId="195033FC" w14:textId="77777777">
        <w:tc>
          <w:tcPr>
            <w:tcW w:w="0" w:type="auto"/>
            <w:gridSpan w:val="3"/>
            <w:shd w:val="clear" w:color="auto" w:fill="FFFFFF"/>
            <w:tcMar>
              <w:top w:w="40" w:type="dxa"/>
              <w:left w:w="20" w:type="dxa"/>
              <w:bottom w:w="40" w:type="dxa"/>
              <w:right w:w="20" w:type="dxa"/>
            </w:tcMar>
            <w:vAlign w:val="center"/>
          </w:tcPr>
          <w:p w14:paraId="195033F1" w14:textId="77777777" w:rsidR="00BF3A3A" w:rsidRDefault="00A76802">
            <w:pPr>
              <w:textAlignment w:val="center"/>
            </w:pPr>
            <w:r>
              <w:rPr>
                <w:rFonts w:ascii="sans-serif" w:eastAsia="sans-serif" w:hAnsi="sans-serif" w:cs="sans-serif"/>
                <w:color w:val="000000"/>
                <w:sz w:val="20"/>
                <w:szCs w:val="20"/>
              </w:rPr>
              <w:t>Unamortized</w:t>
            </w:r>
            <w:r>
              <w:rPr>
                <w:rFonts w:ascii="sans-serif" w:eastAsia="sans-serif" w:hAnsi="sans-serif" w:cs="sans-serif"/>
                <w:color w:val="000000"/>
                <w:sz w:val="20"/>
                <w:szCs w:val="20"/>
              </w:rPr>
              <w:t xml:space="preserve"> debt discount and issuance costs</w:t>
            </w:r>
          </w:p>
        </w:tc>
        <w:tc>
          <w:tcPr>
            <w:tcW w:w="0" w:type="auto"/>
            <w:gridSpan w:val="3"/>
            <w:shd w:val="clear" w:color="auto" w:fill="FFFFFF"/>
            <w:tcMar>
              <w:top w:w="0" w:type="dxa"/>
              <w:left w:w="20" w:type="dxa"/>
              <w:bottom w:w="0" w:type="dxa"/>
              <w:right w:w="20" w:type="dxa"/>
            </w:tcMar>
            <w:vAlign w:val="bottom"/>
          </w:tcPr>
          <w:p w14:paraId="195033F2"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3F3"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3F4"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3F5"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3F6"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3F7" w14:textId="77777777" w:rsidR="00BF3A3A" w:rsidRDefault="00A76802">
            <w:pPr>
              <w:jc w:val="right"/>
              <w:textAlignment w:val="bottom"/>
            </w:pPr>
            <w:r>
              <w:rPr>
                <w:rFonts w:ascii="sans-serif" w:eastAsia="sans-serif" w:hAnsi="sans-serif" w:cs="sans-serif"/>
                <w:color w:val="000000"/>
                <w:sz w:val="20"/>
                <w:szCs w:val="20"/>
              </w:rPr>
              <w:t>(51)</w:t>
            </w:r>
          </w:p>
        </w:tc>
        <w:tc>
          <w:tcPr>
            <w:tcW w:w="0" w:type="auto"/>
            <w:shd w:val="clear" w:color="auto" w:fill="FFFFFF"/>
            <w:tcMar>
              <w:top w:w="40" w:type="dxa"/>
              <w:left w:w="0" w:type="dxa"/>
              <w:bottom w:w="40" w:type="dxa"/>
              <w:right w:w="20" w:type="dxa"/>
            </w:tcMar>
            <w:vAlign w:val="bottom"/>
          </w:tcPr>
          <w:p w14:paraId="195033F8"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3F9"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3FA" w14:textId="77777777" w:rsidR="00BF3A3A" w:rsidRDefault="00A76802">
            <w:pPr>
              <w:jc w:val="right"/>
              <w:textAlignment w:val="bottom"/>
            </w:pPr>
            <w:r>
              <w:rPr>
                <w:rFonts w:ascii="sans-serif" w:eastAsia="sans-serif" w:hAnsi="sans-serif" w:cs="sans-serif"/>
                <w:color w:val="000000"/>
                <w:sz w:val="20"/>
                <w:szCs w:val="20"/>
              </w:rPr>
              <w:t>(54)</w:t>
            </w:r>
          </w:p>
        </w:tc>
        <w:tc>
          <w:tcPr>
            <w:tcW w:w="0" w:type="auto"/>
            <w:shd w:val="clear" w:color="auto" w:fill="FFFFFF"/>
            <w:tcMar>
              <w:top w:w="40" w:type="dxa"/>
              <w:left w:w="0" w:type="dxa"/>
              <w:bottom w:w="40" w:type="dxa"/>
              <w:right w:w="20" w:type="dxa"/>
            </w:tcMar>
            <w:vAlign w:val="bottom"/>
          </w:tcPr>
          <w:p w14:paraId="195033FB" w14:textId="77777777" w:rsidR="00BF3A3A" w:rsidRDefault="00BF3A3A">
            <w:pPr>
              <w:jc w:val="right"/>
              <w:rPr>
                <w:rFonts w:ascii="宋体"/>
              </w:rPr>
            </w:pPr>
          </w:p>
        </w:tc>
      </w:tr>
      <w:tr w:rsidR="00BF3A3A" w14:paraId="1950340A" w14:textId="77777777">
        <w:tc>
          <w:tcPr>
            <w:tcW w:w="0" w:type="auto"/>
            <w:gridSpan w:val="3"/>
            <w:shd w:val="clear" w:color="auto" w:fill="E2EFD9"/>
            <w:tcMar>
              <w:top w:w="40" w:type="dxa"/>
              <w:left w:w="140" w:type="dxa"/>
              <w:bottom w:w="40" w:type="dxa"/>
              <w:right w:w="20" w:type="dxa"/>
            </w:tcMar>
            <w:vAlign w:val="center"/>
          </w:tcPr>
          <w:p w14:paraId="195033FD" w14:textId="77777777" w:rsidR="00BF3A3A" w:rsidRDefault="00A76802">
            <w:pPr>
              <w:textAlignment w:val="center"/>
            </w:pPr>
            <w:r>
              <w:rPr>
                <w:rFonts w:ascii="sans-serif" w:eastAsia="sans-serif" w:hAnsi="sans-serif" w:cs="sans-serif"/>
                <w:color w:val="000000"/>
                <w:sz w:val="20"/>
                <w:szCs w:val="20"/>
              </w:rPr>
              <w:t>Net carrying amount</w:t>
            </w:r>
          </w:p>
        </w:tc>
        <w:tc>
          <w:tcPr>
            <w:tcW w:w="0" w:type="auto"/>
            <w:gridSpan w:val="3"/>
            <w:shd w:val="clear" w:color="auto" w:fill="E2EFD9"/>
            <w:tcMar>
              <w:top w:w="0" w:type="dxa"/>
              <w:left w:w="20" w:type="dxa"/>
              <w:bottom w:w="0" w:type="dxa"/>
              <w:right w:w="20" w:type="dxa"/>
            </w:tcMar>
            <w:vAlign w:val="bottom"/>
          </w:tcPr>
          <w:p w14:paraId="195033FE"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33FF"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3400"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3401"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3402"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3403"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3404" w14:textId="77777777" w:rsidR="00BF3A3A" w:rsidRDefault="00A76802">
            <w:pPr>
              <w:jc w:val="right"/>
              <w:textAlignment w:val="bottom"/>
            </w:pPr>
            <w:r>
              <w:rPr>
                <w:rFonts w:ascii="sans-serif" w:eastAsia="sans-serif" w:hAnsi="sans-serif" w:cs="sans-serif"/>
                <w:color w:val="000000"/>
                <w:sz w:val="20"/>
                <w:szCs w:val="20"/>
              </w:rPr>
              <w:t>10,949 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340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406"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3407"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3408" w14:textId="77777777" w:rsidR="00BF3A3A" w:rsidRDefault="00A76802">
            <w:pPr>
              <w:jc w:val="right"/>
              <w:textAlignment w:val="bottom"/>
            </w:pPr>
            <w:r>
              <w:rPr>
                <w:rFonts w:ascii="sans-serif" w:eastAsia="sans-serif" w:hAnsi="sans-serif" w:cs="sans-serif"/>
                <w:color w:val="000000"/>
                <w:sz w:val="20"/>
                <w:szCs w:val="20"/>
              </w:rPr>
              <w:t>10,946 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3409" w14:textId="77777777" w:rsidR="00BF3A3A" w:rsidRDefault="00BF3A3A">
            <w:pPr>
              <w:jc w:val="right"/>
              <w:rPr>
                <w:rFonts w:ascii="宋体"/>
              </w:rPr>
            </w:pPr>
          </w:p>
        </w:tc>
      </w:tr>
      <w:tr w:rsidR="00BF3A3A" w14:paraId="19503416" w14:textId="77777777">
        <w:tc>
          <w:tcPr>
            <w:tcW w:w="0" w:type="auto"/>
            <w:gridSpan w:val="3"/>
            <w:shd w:val="clear" w:color="auto" w:fill="FFFFFF"/>
            <w:tcMar>
              <w:top w:w="40" w:type="dxa"/>
              <w:left w:w="20" w:type="dxa"/>
              <w:bottom w:w="40" w:type="dxa"/>
              <w:right w:w="20" w:type="dxa"/>
            </w:tcMar>
            <w:vAlign w:val="center"/>
          </w:tcPr>
          <w:p w14:paraId="1950340B" w14:textId="77777777" w:rsidR="00BF3A3A" w:rsidRDefault="00A76802">
            <w:pPr>
              <w:textAlignment w:val="center"/>
            </w:pPr>
            <w:r>
              <w:rPr>
                <w:rFonts w:ascii="sans-serif" w:eastAsia="sans-serif" w:hAnsi="sans-serif" w:cs="sans-serif"/>
                <w:color w:val="000000"/>
                <w:sz w:val="20"/>
                <w:szCs w:val="20"/>
              </w:rPr>
              <w:t>Less short-term portion</w:t>
            </w:r>
          </w:p>
        </w:tc>
        <w:tc>
          <w:tcPr>
            <w:tcW w:w="0" w:type="auto"/>
            <w:gridSpan w:val="3"/>
            <w:shd w:val="clear" w:color="auto" w:fill="FFFFFF"/>
            <w:tcMar>
              <w:top w:w="0" w:type="dxa"/>
              <w:left w:w="20" w:type="dxa"/>
              <w:bottom w:w="0" w:type="dxa"/>
              <w:right w:w="20" w:type="dxa"/>
            </w:tcMar>
            <w:vAlign w:val="bottom"/>
          </w:tcPr>
          <w:p w14:paraId="1950340C"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40D"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40E"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40F"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410"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411" w14:textId="77777777" w:rsidR="00BF3A3A" w:rsidRDefault="00A76802">
            <w:pPr>
              <w:jc w:val="right"/>
              <w:textAlignment w:val="bottom"/>
            </w:pPr>
            <w:r>
              <w:rPr>
                <w:rFonts w:ascii="sans-serif" w:eastAsia="sans-serif" w:hAnsi="sans-serif" w:cs="sans-serif"/>
                <w:color w:val="000000"/>
                <w:sz w:val="20"/>
                <w:szCs w:val="20"/>
              </w:rPr>
              <w:t>(1,249)</w:t>
            </w:r>
          </w:p>
        </w:tc>
        <w:tc>
          <w:tcPr>
            <w:tcW w:w="0" w:type="auto"/>
            <w:shd w:val="clear" w:color="auto" w:fill="FFFFFF"/>
            <w:tcMar>
              <w:top w:w="40" w:type="dxa"/>
              <w:left w:w="0" w:type="dxa"/>
              <w:bottom w:w="40" w:type="dxa"/>
              <w:right w:w="20" w:type="dxa"/>
            </w:tcMar>
            <w:vAlign w:val="bottom"/>
          </w:tcPr>
          <w:p w14:paraId="19503412"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413"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414"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3415" w14:textId="77777777" w:rsidR="00BF3A3A" w:rsidRDefault="00BF3A3A">
            <w:pPr>
              <w:jc w:val="right"/>
              <w:rPr>
                <w:rFonts w:ascii="宋体"/>
              </w:rPr>
            </w:pPr>
          </w:p>
        </w:tc>
      </w:tr>
      <w:tr w:rsidR="00BF3A3A" w14:paraId="19503424" w14:textId="77777777">
        <w:tc>
          <w:tcPr>
            <w:tcW w:w="0" w:type="auto"/>
            <w:gridSpan w:val="3"/>
            <w:shd w:val="clear" w:color="auto" w:fill="E2EFD9"/>
            <w:tcMar>
              <w:top w:w="40" w:type="dxa"/>
              <w:left w:w="140" w:type="dxa"/>
              <w:bottom w:w="40" w:type="dxa"/>
              <w:right w:w="20" w:type="dxa"/>
            </w:tcMar>
            <w:vAlign w:val="center"/>
          </w:tcPr>
          <w:p w14:paraId="19503417" w14:textId="77777777" w:rsidR="00BF3A3A" w:rsidRDefault="00A76802">
            <w:pPr>
              <w:textAlignment w:val="center"/>
            </w:pPr>
            <w:r>
              <w:rPr>
                <w:rFonts w:ascii="sans-serif" w:eastAsia="sans-serif" w:hAnsi="sans-serif" w:cs="sans-serif"/>
                <w:color w:val="000000"/>
                <w:sz w:val="20"/>
                <w:szCs w:val="20"/>
              </w:rPr>
              <w:t>Total long-term portion</w:t>
            </w:r>
          </w:p>
        </w:tc>
        <w:tc>
          <w:tcPr>
            <w:tcW w:w="0" w:type="auto"/>
            <w:gridSpan w:val="3"/>
            <w:shd w:val="clear" w:color="auto" w:fill="E2EFD9"/>
            <w:tcMar>
              <w:top w:w="0" w:type="dxa"/>
              <w:left w:w="20" w:type="dxa"/>
              <w:bottom w:w="0" w:type="dxa"/>
              <w:right w:w="20" w:type="dxa"/>
            </w:tcMar>
            <w:vAlign w:val="bottom"/>
          </w:tcPr>
          <w:p w14:paraId="19503418"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3419"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341A"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341B"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341C"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41D"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41E" w14:textId="77777777" w:rsidR="00BF3A3A" w:rsidRDefault="00A76802">
            <w:pPr>
              <w:jc w:val="right"/>
              <w:textAlignment w:val="bottom"/>
            </w:pPr>
            <w:r>
              <w:rPr>
                <w:rFonts w:ascii="sans-serif" w:eastAsia="sans-serif" w:hAnsi="sans-serif" w:cs="sans-serif"/>
                <w:color w:val="000000"/>
                <w:sz w:val="20"/>
                <w:szCs w:val="20"/>
              </w:rPr>
              <w:t>9,700 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41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420"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421"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422" w14:textId="77777777" w:rsidR="00BF3A3A" w:rsidRDefault="00A76802">
            <w:pPr>
              <w:jc w:val="right"/>
              <w:textAlignment w:val="bottom"/>
            </w:pPr>
            <w:r>
              <w:rPr>
                <w:rFonts w:ascii="sans-serif" w:eastAsia="sans-serif" w:hAnsi="sans-serif" w:cs="sans-serif"/>
                <w:color w:val="000000"/>
                <w:sz w:val="20"/>
                <w:szCs w:val="20"/>
              </w:rPr>
              <w:t>10,946 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423" w14:textId="77777777" w:rsidR="00BF3A3A" w:rsidRDefault="00BF3A3A">
            <w:pPr>
              <w:jc w:val="right"/>
              <w:rPr>
                <w:rFonts w:ascii="宋体"/>
              </w:rPr>
            </w:pPr>
          </w:p>
        </w:tc>
      </w:tr>
    </w:tbl>
    <w:p w14:paraId="19503425" w14:textId="77777777" w:rsidR="00BF3A3A" w:rsidRDefault="00A76802">
      <w:pPr>
        <w:spacing w:after="180"/>
        <w:jc w:val="both"/>
      </w:pPr>
      <w:r>
        <w:rPr>
          <w:rFonts w:ascii="sans-serif" w:eastAsia="sans-serif" w:hAnsi="sans-serif" w:cs="sans-serif"/>
          <w:color w:val="000000"/>
          <w:sz w:val="20"/>
          <w:szCs w:val="20"/>
        </w:rPr>
        <w:t>All our notes are unsecured senior obligations. All existing and future liabilities of our subsidiaries will be effectively senior to the notes. Our notes pay interest semi-annually. We may redeem each of our notes prior to maturity, su</w:t>
      </w:r>
      <w:r>
        <w:rPr>
          <w:rFonts w:ascii="sans-serif" w:eastAsia="sans-serif" w:hAnsi="sans-serif" w:cs="sans-serif"/>
          <w:color w:val="000000"/>
          <w:sz w:val="20"/>
          <w:szCs w:val="20"/>
        </w:rPr>
        <w:t xml:space="preserve">bject to a make-whole premium as defined in the applicable form of note. </w:t>
      </w:r>
    </w:p>
    <w:p w14:paraId="19503426" w14:textId="77777777" w:rsidR="00BF3A3A" w:rsidRDefault="00A76802">
      <w:pPr>
        <w:ind w:hanging="360"/>
      </w:pPr>
      <w:r>
        <w:rPr>
          <w:rFonts w:ascii="sans-serif" w:eastAsia="sans-serif" w:hAnsi="sans-serif" w:cs="sans-serif"/>
          <w:color w:val="000000"/>
          <w:sz w:val="20"/>
          <w:szCs w:val="20"/>
        </w:rPr>
        <w:t xml:space="preserve">As of July 31, 2022, we have complied with the required covenants under the notes. </w:t>
      </w:r>
    </w:p>
    <w:p w14:paraId="19503427" w14:textId="77777777" w:rsidR="00BF3A3A" w:rsidRDefault="00A76802">
      <w:pPr>
        <w:spacing w:before="240" w:after="60"/>
        <w:jc w:val="both"/>
      </w:pPr>
      <w:r>
        <w:rPr>
          <w:rFonts w:ascii="sans-serif" w:eastAsia="sans-serif" w:hAnsi="sans-serif" w:cs="sans-serif"/>
          <w:b/>
          <w:bCs/>
          <w:color w:val="76B900"/>
          <w:sz w:val="20"/>
          <w:szCs w:val="20"/>
        </w:rPr>
        <w:t>Commercial Paper</w:t>
      </w:r>
    </w:p>
    <w:p w14:paraId="19503428" w14:textId="77777777" w:rsidR="00BF3A3A" w:rsidRDefault="00A76802">
      <w:pPr>
        <w:spacing w:before="240" w:after="60"/>
        <w:jc w:val="both"/>
      </w:pPr>
      <w:r>
        <w:rPr>
          <w:rFonts w:ascii="sans-serif" w:eastAsia="sans-serif" w:hAnsi="sans-serif" w:cs="sans-serif"/>
          <w:color w:val="000000"/>
          <w:sz w:val="20"/>
          <w:szCs w:val="20"/>
        </w:rPr>
        <w:t xml:space="preserve">We have a $575 million commercial paper program to support general </w:t>
      </w:r>
      <w:r>
        <w:rPr>
          <w:rFonts w:ascii="sans-serif" w:eastAsia="sans-serif" w:hAnsi="sans-serif" w:cs="sans-serif"/>
          <w:color w:val="000000"/>
          <w:sz w:val="20"/>
          <w:szCs w:val="20"/>
        </w:rPr>
        <w:t>corporate purposes. As of July 31, 2022, we had not issued any commercial paper.</w:t>
      </w:r>
    </w:p>
    <w:p w14:paraId="19503429" w14:textId="77777777" w:rsidR="00BF3A3A" w:rsidRDefault="00A76802">
      <w:pPr>
        <w:spacing w:before="240" w:after="120"/>
        <w:jc w:val="both"/>
      </w:pPr>
      <w:r>
        <w:rPr>
          <w:rFonts w:ascii="sans-serif" w:eastAsia="sans-serif" w:hAnsi="sans-serif" w:cs="sans-serif"/>
          <w:b/>
          <w:bCs/>
          <w:color w:val="76B900"/>
          <w:sz w:val="22"/>
          <w:szCs w:val="22"/>
        </w:rPr>
        <w:t>Note 13 - Commitments and Contingencies</w:t>
      </w:r>
    </w:p>
    <w:p w14:paraId="1950342A" w14:textId="77777777" w:rsidR="00BF3A3A" w:rsidRDefault="00A76802">
      <w:pPr>
        <w:spacing w:before="240" w:after="60"/>
        <w:jc w:val="both"/>
      </w:pPr>
      <w:r>
        <w:rPr>
          <w:rFonts w:ascii="sans-serif" w:eastAsia="sans-serif" w:hAnsi="sans-serif" w:cs="sans-serif"/>
          <w:b/>
          <w:bCs/>
          <w:color w:val="76B900"/>
          <w:sz w:val="20"/>
          <w:szCs w:val="20"/>
        </w:rPr>
        <w:t>Purchase Obligations</w:t>
      </w:r>
    </w:p>
    <w:p w14:paraId="1950342B" w14:textId="77777777" w:rsidR="00BF3A3A" w:rsidRDefault="00A76802">
      <w:pPr>
        <w:spacing w:after="180"/>
        <w:jc w:val="both"/>
      </w:pPr>
      <w:r>
        <w:rPr>
          <w:rFonts w:ascii="sans-serif" w:eastAsia="sans-serif" w:hAnsi="sans-serif" w:cs="sans-serif"/>
          <w:color w:val="000000"/>
          <w:sz w:val="20"/>
          <w:szCs w:val="20"/>
        </w:rPr>
        <w:t xml:space="preserve">Our purchase obligations primarily include our commitments to purchase components used to manufacture our products, including long-term supply agreements, certain software and technology licenses, other goods and services and long-lived assets. </w:t>
      </w:r>
    </w:p>
    <w:p w14:paraId="1950342C" w14:textId="77777777" w:rsidR="00BF3A3A" w:rsidRDefault="00A76802">
      <w:pPr>
        <w:spacing w:after="180"/>
        <w:jc w:val="both"/>
      </w:pPr>
      <w:r>
        <w:rPr>
          <w:rFonts w:ascii="sans-serif" w:eastAsia="sans-serif" w:hAnsi="sans-serif" w:cs="sans-serif"/>
          <w:color w:val="000000"/>
          <w:sz w:val="20"/>
          <w:szCs w:val="20"/>
        </w:rPr>
        <w:t>We have en</w:t>
      </w:r>
      <w:r>
        <w:rPr>
          <w:rFonts w:ascii="sans-serif" w:eastAsia="sans-serif" w:hAnsi="sans-serif" w:cs="sans-serif"/>
          <w:color w:val="000000"/>
          <w:sz w:val="20"/>
          <w:szCs w:val="20"/>
        </w:rPr>
        <w:t xml:space="preserve">tered into several long-term supply agreements, under which we have made advance payments and have $929 million remaining unpaid. As of July 31, 2022, we had outstanding inventory purchase and long-term supply obligations totaling $9.22 billion, inclusive </w:t>
      </w:r>
      <w:r>
        <w:rPr>
          <w:rFonts w:ascii="sans-serif" w:eastAsia="sans-serif" w:hAnsi="sans-serif" w:cs="sans-serif"/>
          <w:color w:val="000000"/>
          <w:sz w:val="20"/>
          <w:szCs w:val="20"/>
        </w:rPr>
        <w:t xml:space="preserve">of the $929 million. We also had other purchase obligations totaling $1.36 billion. </w:t>
      </w:r>
    </w:p>
    <w:p w14:paraId="1950342D" w14:textId="77777777" w:rsidR="00BF3A3A" w:rsidRDefault="00A76802">
      <w:pPr>
        <w:spacing w:after="180"/>
        <w:jc w:val="center"/>
      </w:pPr>
      <w:r>
        <w:rPr>
          <w:rFonts w:ascii="sans-serif" w:eastAsia="sans-serif" w:hAnsi="sans-serif" w:cs="sans-serif"/>
          <w:color w:val="000000"/>
          <w:sz w:val="20"/>
          <w:szCs w:val="20"/>
        </w:rPr>
        <w:t>18</w:t>
      </w:r>
    </w:p>
    <w:p w14:paraId="1950342E" w14:textId="77777777" w:rsidR="00BF3A3A" w:rsidRDefault="00A76802">
      <w:r>
        <w:pict w14:anchorId="19503FD7">
          <v:rect id="_x0000_i1042" style="width:415.3pt;height:1.5pt" o:hralign="center" o:hrstd="t" o:hr="t" fillcolor="#a0a0a0" stroked="f"/>
        </w:pict>
      </w:r>
    </w:p>
    <w:p w14:paraId="1950342F" w14:textId="77777777" w:rsidR="00BF3A3A" w:rsidRDefault="00A76802">
      <w:pPr>
        <w:jc w:val="center"/>
      </w:pPr>
      <w:r>
        <w:rPr>
          <w:rFonts w:ascii="sans-serif" w:eastAsia="sans-serif" w:hAnsi="sans-serif" w:cs="sans-serif"/>
          <w:b/>
          <w:bCs/>
          <w:color w:val="000000"/>
          <w:sz w:val="20"/>
          <w:szCs w:val="20"/>
        </w:rPr>
        <w:t>NVIDIA CORPORATION AND SUBSIDIARIES</w:t>
      </w:r>
    </w:p>
    <w:p w14:paraId="19503430" w14:textId="77777777" w:rsidR="00BF3A3A" w:rsidRDefault="00A76802">
      <w:pPr>
        <w:jc w:val="center"/>
      </w:pPr>
      <w:r>
        <w:rPr>
          <w:rFonts w:ascii="sans-serif" w:eastAsia="sans-serif" w:hAnsi="sans-serif" w:cs="sans-serif"/>
          <w:b/>
          <w:bCs/>
          <w:color w:val="000000"/>
          <w:sz w:val="20"/>
          <w:szCs w:val="20"/>
        </w:rPr>
        <w:t>NOTES TO CONDENSED CONSOLIDATED FINANCIAL STATEMENTS (Continued)</w:t>
      </w:r>
    </w:p>
    <w:p w14:paraId="19503431" w14:textId="77777777" w:rsidR="00BF3A3A" w:rsidRDefault="00A76802">
      <w:pPr>
        <w:jc w:val="center"/>
      </w:pPr>
      <w:r>
        <w:rPr>
          <w:rFonts w:ascii="sans-serif" w:eastAsia="sans-serif" w:hAnsi="sans-serif" w:cs="sans-serif"/>
          <w:b/>
          <w:bCs/>
          <w:color w:val="000000"/>
          <w:sz w:val="20"/>
          <w:szCs w:val="20"/>
        </w:rPr>
        <w:t>(Unaudited)</w:t>
      </w:r>
    </w:p>
    <w:p w14:paraId="19503432" w14:textId="77777777" w:rsidR="00BF3A3A" w:rsidRDefault="00BF3A3A">
      <w:pPr>
        <w:spacing w:after="180"/>
        <w:jc w:val="both"/>
      </w:pPr>
    </w:p>
    <w:p w14:paraId="19503433" w14:textId="77777777" w:rsidR="00BF3A3A" w:rsidRDefault="00BF3A3A">
      <w:pPr>
        <w:spacing w:after="180"/>
        <w:jc w:val="both"/>
      </w:pPr>
    </w:p>
    <w:p w14:paraId="19503434" w14:textId="77777777" w:rsidR="00BF3A3A" w:rsidRDefault="00A76802">
      <w:pPr>
        <w:jc w:val="both"/>
      </w:pPr>
      <w:r>
        <w:rPr>
          <w:rFonts w:ascii="sans-serif" w:eastAsia="sans-serif" w:hAnsi="sans-serif" w:cs="sans-serif"/>
          <w:color w:val="000000"/>
          <w:sz w:val="20"/>
          <w:szCs w:val="20"/>
        </w:rPr>
        <w:t>Total gross future unconditional purchase commitmen</w:t>
      </w:r>
      <w:r>
        <w:rPr>
          <w:rFonts w:ascii="sans-serif" w:eastAsia="sans-serif" w:hAnsi="sans-serif" w:cs="sans-serif"/>
          <w:color w:val="000000"/>
          <w:sz w:val="20"/>
          <w:szCs w:val="20"/>
        </w:rPr>
        <w:t xml:space="preserve">ts as of July 31, 2022, are as follows: </w:t>
      </w:r>
    </w:p>
    <w:tbl>
      <w:tblPr>
        <w:tblW w:w="5000" w:type="pct"/>
        <w:tblCellMar>
          <w:top w:w="15" w:type="dxa"/>
          <w:left w:w="15" w:type="dxa"/>
          <w:bottom w:w="15" w:type="dxa"/>
          <w:right w:w="15" w:type="dxa"/>
        </w:tblCellMar>
        <w:tblLook w:val="04A0" w:firstRow="1" w:lastRow="0" w:firstColumn="1" w:lastColumn="0" w:noHBand="0" w:noVBand="1"/>
      </w:tblPr>
      <w:tblGrid>
        <w:gridCol w:w="51"/>
        <w:gridCol w:w="6653"/>
        <w:gridCol w:w="37"/>
        <w:gridCol w:w="123"/>
        <w:gridCol w:w="1436"/>
        <w:gridCol w:w="36"/>
      </w:tblGrid>
      <w:tr w:rsidR="00BF3A3A" w14:paraId="1950343B" w14:textId="77777777">
        <w:tc>
          <w:tcPr>
            <w:tcW w:w="50" w:type="pct"/>
            <w:shd w:val="clear" w:color="auto" w:fill="auto"/>
            <w:vAlign w:val="bottom"/>
          </w:tcPr>
          <w:p w14:paraId="19503435" w14:textId="77777777" w:rsidR="00BF3A3A" w:rsidRDefault="00BF3A3A">
            <w:pPr>
              <w:rPr>
                <w:rFonts w:ascii="宋体"/>
              </w:rPr>
            </w:pPr>
          </w:p>
        </w:tc>
        <w:tc>
          <w:tcPr>
            <w:tcW w:w="4009" w:type="pct"/>
            <w:shd w:val="clear" w:color="auto" w:fill="auto"/>
            <w:vAlign w:val="bottom"/>
          </w:tcPr>
          <w:p w14:paraId="19503436" w14:textId="77777777" w:rsidR="00BF3A3A" w:rsidRDefault="00BF3A3A">
            <w:pPr>
              <w:rPr>
                <w:rFonts w:ascii="宋体"/>
              </w:rPr>
            </w:pPr>
          </w:p>
        </w:tc>
        <w:tc>
          <w:tcPr>
            <w:tcW w:w="5" w:type="pct"/>
            <w:shd w:val="clear" w:color="auto" w:fill="auto"/>
            <w:vAlign w:val="bottom"/>
          </w:tcPr>
          <w:p w14:paraId="19503437" w14:textId="77777777" w:rsidR="00BF3A3A" w:rsidRDefault="00BF3A3A">
            <w:pPr>
              <w:rPr>
                <w:rFonts w:ascii="宋体"/>
              </w:rPr>
            </w:pPr>
          </w:p>
        </w:tc>
        <w:tc>
          <w:tcPr>
            <w:tcW w:w="50" w:type="pct"/>
            <w:shd w:val="clear" w:color="auto" w:fill="auto"/>
            <w:vAlign w:val="bottom"/>
          </w:tcPr>
          <w:p w14:paraId="19503438" w14:textId="77777777" w:rsidR="00BF3A3A" w:rsidRDefault="00BF3A3A">
            <w:pPr>
              <w:rPr>
                <w:rFonts w:ascii="宋体"/>
              </w:rPr>
            </w:pPr>
          </w:p>
        </w:tc>
        <w:tc>
          <w:tcPr>
            <w:tcW w:w="880" w:type="pct"/>
            <w:shd w:val="clear" w:color="auto" w:fill="auto"/>
            <w:vAlign w:val="bottom"/>
          </w:tcPr>
          <w:p w14:paraId="19503439" w14:textId="77777777" w:rsidR="00BF3A3A" w:rsidRDefault="00BF3A3A">
            <w:pPr>
              <w:rPr>
                <w:rFonts w:ascii="宋体"/>
              </w:rPr>
            </w:pPr>
          </w:p>
        </w:tc>
        <w:tc>
          <w:tcPr>
            <w:tcW w:w="5" w:type="pct"/>
            <w:shd w:val="clear" w:color="auto" w:fill="auto"/>
            <w:vAlign w:val="bottom"/>
          </w:tcPr>
          <w:p w14:paraId="1950343A" w14:textId="77777777" w:rsidR="00BF3A3A" w:rsidRDefault="00BF3A3A">
            <w:pPr>
              <w:rPr>
                <w:rFonts w:ascii="宋体"/>
              </w:rPr>
            </w:pPr>
          </w:p>
        </w:tc>
      </w:tr>
      <w:tr w:rsidR="00BF3A3A" w14:paraId="1950343E" w14:textId="77777777">
        <w:tc>
          <w:tcPr>
            <w:tcW w:w="0" w:type="auto"/>
            <w:gridSpan w:val="3"/>
            <w:shd w:val="clear" w:color="auto" w:fill="auto"/>
            <w:tcMar>
              <w:top w:w="0" w:type="dxa"/>
              <w:left w:w="20" w:type="dxa"/>
              <w:bottom w:w="0" w:type="dxa"/>
              <w:right w:w="20" w:type="dxa"/>
            </w:tcMar>
            <w:vAlign w:val="bottom"/>
          </w:tcPr>
          <w:p w14:paraId="1950343C" w14:textId="77777777" w:rsidR="00BF3A3A" w:rsidRDefault="00BF3A3A">
            <w:pPr>
              <w:rPr>
                <w:rFonts w:ascii="宋体"/>
              </w:rPr>
            </w:pPr>
          </w:p>
        </w:tc>
        <w:tc>
          <w:tcPr>
            <w:tcW w:w="0" w:type="auto"/>
            <w:gridSpan w:val="3"/>
            <w:shd w:val="clear" w:color="auto" w:fill="FFFFFF"/>
            <w:tcMar>
              <w:top w:w="40" w:type="dxa"/>
              <w:left w:w="20" w:type="dxa"/>
              <w:bottom w:w="40" w:type="dxa"/>
              <w:right w:w="20" w:type="dxa"/>
            </w:tcMar>
            <w:vAlign w:val="bottom"/>
          </w:tcPr>
          <w:p w14:paraId="1950343D" w14:textId="77777777" w:rsidR="00BF3A3A" w:rsidRDefault="00A76802">
            <w:pPr>
              <w:jc w:val="center"/>
              <w:textAlignment w:val="bottom"/>
            </w:pPr>
            <w:r>
              <w:rPr>
                <w:rFonts w:ascii="sans-serif" w:eastAsia="sans-serif" w:hAnsi="sans-serif" w:cs="sans-serif"/>
                <w:b/>
                <w:bCs/>
                <w:color w:val="000000"/>
                <w:sz w:val="20"/>
                <w:szCs w:val="20"/>
              </w:rPr>
              <w:t>Commitments</w:t>
            </w:r>
          </w:p>
        </w:tc>
      </w:tr>
      <w:tr w:rsidR="00BF3A3A" w14:paraId="19503441" w14:textId="77777777">
        <w:tc>
          <w:tcPr>
            <w:tcW w:w="0" w:type="auto"/>
            <w:gridSpan w:val="3"/>
            <w:shd w:val="clear" w:color="auto" w:fill="auto"/>
            <w:tcMar>
              <w:top w:w="40" w:type="dxa"/>
              <w:left w:w="20" w:type="dxa"/>
              <w:bottom w:w="40" w:type="dxa"/>
              <w:right w:w="20" w:type="dxa"/>
            </w:tcMar>
            <w:vAlign w:val="bottom"/>
          </w:tcPr>
          <w:p w14:paraId="1950343F"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440" w14:textId="77777777" w:rsidR="00BF3A3A" w:rsidRDefault="00A76802">
            <w:pPr>
              <w:jc w:val="center"/>
              <w:textAlignment w:val="bottom"/>
            </w:pPr>
            <w:r>
              <w:rPr>
                <w:rFonts w:ascii="sans-serif" w:eastAsia="sans-serif" w:hAnsi="sans-serif" w:cs="sans-serif"/>
                <w:i/>
                <w:iCs/>
                <w:color w:val="000000"/>
                <w:sz w:val="20"/>
                <w:szCs w:val="20"/>
              </w:rPr>
              <w:t>(In millions)</w:t>
            </w:r>
          </w:p>
        </w:tc>
      </w:tr>
      <w:tr w:rsidR="00BF3A3A" w14:paraId="19503444" w14:textId="77777777">
        <w:tc>
          <w:tcPr>
            <w:tcW w:w="0" w:type="auto"/>
            <w:gridSpan w:val="3"/>
            <w:shd w:val="clear" w:color="auto" w:fill="E2EFD9"/>
            <w:tcMar>
              <w:top w:w="40" w:type="dxa"/>
              <w:left w:w="20" w:type="dxa"/>
              <w:bottom w:w="40" w:type="dxa"/>
              <w:right w:w="20" w:type="dxa"/>
            </w:tcMar>
            <w:vAlign w:val="bottom"/>
          </w:tcPr>
          <w:p w14:paraId="19503442" w14:textId="77777777" w:rsidR="00BF3A3A" w:rsidRDefault="00A76802">
            <w:pPr>
              <w:textAlignment w:val="bottom"/>
            </w:pPr>
            <w:r>
              <w:rPr>
                <w:rFonts w:ascii="sans-serif" w:eastAsia="sans-serif" w:hAnsi="sans-serif" w:cs="sans-serif"/>
                <w:b/>
                <w:bCs/>
                <w:color w:val="000000"/>
                <w:sz w:val="20"/>
                <w:szCs w:val="20"/>
              </w:rPr>
              <w:t>Fiscal Year:</w:t>
            </w:r>
          </w:p>
        </w:tc>
        <w:tc>
          <w:tcPr>
            <w:tcW w:w="0" w:type="auto"/>
            <w:gridSpan w:val="3"/>
            <w:shd w:val="clear" w:color="auto" w:fill="E2EFD9"/>
            <w:tcMar>
              <w:top w:w="40" w:type="dxa"/>
              <w:left w:w="20" w:type="dxa"/>
              <w:bottom w:w="40" w:type="dxa"/>
              <w:right w:w="20" w:type="dxa"/>
            </w:tcMar>
            <w:vAlign w:val="bottom"/>
          </w:tcPr>
          <w:p w14:paraId="19503443" w14:textId="77777777" w:rsidR="00BF3A3A" w:rsidRDefault="00A76802">
            <w:pPr>
              <w:textAlignment w:val="bottom"/>
            </w:pPr>
            <w:r>
              <w:rPr>
                <w:rFonts w:ascii="sans-serif" w:eastAsia="sans-serif" w:hAnsi="sans-serif" w:cs="sans-serif"/>
                <w:color w:val="000000"/>
                <w:sz w:val="20"/>
                <w:szCs w:val="20"/>
              </w:rPr>
              <w:t> </w:t>
            </w:r>
          </w:p>
        </w:tc>
      </w:tr>
      <w:tr w:rsidR="00BF3A3A" w14:paraId="19503449" w14:textId="77777777">
        <w:tc>
          <w:tcPr>
            <w:tcW w:w="0" w:type="auto"/>
            <w:gridSpan w:val="3"/>
            <w:shd w:val="clear" w:color="auto" w:fill="FFFFFF"/>
            <w:tcMar>
              <w:top w:w="40" w:type="dxa"/>
              <w:left w:w="20" w:type="dxa"/>
              <w:bottom w:w="40" w:type="dxa"/>
              <w:right w:w="20" w:type="dxa"/>
            </w:tcMar>
            <w:vAlign w:val="bottom"/>
          </w:tcPr>
          <w:p w14:paraId="19503445" w14:textId="77777777" w:rsidR="00BF3A3A" w:rsidRDefault="00A76802">
            <w:pPr>
              <w:textAlignment w:val="bottom"/>
            </w:pPr>
            <w:r>
              <w:rPr>
                <w:rFonts w:ascii="sans-serif" w:eastAsia="sans-serif" w:hAnsi="sans-serif" w:cs="sans-serif"/>
                <w:color w:val="000000"/>
                <w:sz w:val="20"/>
                <w:szCs w:val="20"/>
              </w:rPr>
              <w:t>2023 (excluding first half of fiscal year 2023)</w:t>
            </w:r>
          </w:p>
        </w:tc>
        <w:tc>
          <w:tcPr>
            <w:tcW w:w="0" w:type="auto"/>
            <w:shd w:val="clear" w:color="auto" w:fill="FFFFFF"/>
            <w:tcMar>
              <w:top w:w="40" w:type="dxa"/>
              <w:left w:w="20" w:type="dxa"/>
              <w:bottom w:w="40" w:type="dxa"/>
              <w:right w:w="0" w:type="dxa"/>
            </w:tcMar>
            <w:vAlign w:val="bottom"/>
          </w:tcPr>
          <w:p w14:paraId="19503446"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447" w14:textId="77777777" w:rsidR="00BF3A3A" w:rsidRDefault="00A76802">
            <w:pPr>
              <w:jc w:val="right"/>
              <w:textAlignment w:val="bottom"/>
            </w:pPr>
            <w:r>
              <w:rPr>
                <w:rFonts w:ascii="sans-serif" w:eastAsia="sans-serif" w:hAnsi="sans-serif" w:cs="sans-serif"/>
                <w:color w:val="000000"/>
                <w:sz w:val="20"/>
                <w:szCs w:val="20"/>
              </w:rPr>
              <w:t>7,108 </w:t>
            </w:r>
          </w:p>
        </w:tc>
        <w:tc>
          <w:tcPr>
            <w:tcW w:w="0" w:type="auto"/>
            <w:shd w:val="clear" w:color="auto" w:fill="FFFFFF"/>
            <w:tcMar>
              <w:top w:w="40" w:type="dxa"/>
              <w:left w:w="0" w:type="dxa"/>
              <w:bottom w:w="40" w:type="dxa"/>
              <w:right w:w="20" w:type="dxa"/>
            </w:tcMar>
            <w:vAlign w:val="bottom"/>
          </w:tcPr>
          <w:p w14:paraId="19503448" w14:textId="77777777" w:rsidR="00BF3A3A" w:rsidRDefault="00BF3A3A">
            <w:pPr>
              <w:jc w:val="right"/>
              <w:rPr>
                <w:rFonts w:ascii="宋体"/>
              </w:rPr>
            </w:pPr>
          </w:p>
        </w:tc>
      </w:tr>
      <w:tr w:rsidR="00BF3A3A" w14:paraId="1950344D" w14:textId="77777777">
        <w:tc>
          <w:tcPr>
            <w:tcW w:w="0" w:type="auto"/>
            <w:gridSpan w:val="3"/>
            <w:shd w:val="clear" w:color="auto" w:fill="E2EFD9"/>
            <w:tcMar>
              <w:top w:w="40" w:type="dxa"/>
              <w:left w:w="20" w:type="dxa"/>
              <w:bottom w:w="40" w:type="dxa"/>
              <w:right w:w="20" w:type="dxa"/>
            </w:tcMar>
            <w:vAlign w:val="bottom"/>
          </w:tcPr>
          <w:p w14:paraId="1950344A" w14:textId="77777777" w:rsidR="00BF3A3A" w:rsidRDefault="00A76802">
            <w:pPr>
              <w:textAlignment w:val="bottom"/>
            </w:pPr>
            <w:r>
              <w:rPr>
                <w:rFonts w:ascii="sans-serif" w:eastAsia="sans-serif" w:hAnsi="sans-serif" w:cs="sans-serif"/>
                <w:color w:val="000000"/>
                <w:sz w:val="20"/>
                <w:szCs w:val="20"/>
              </w:rPr>
              <w:t>2024</w:t>
            </w:r>
          </w:p>
        </w:tc>
        <w:tc>
          <w:tcPr>
            <w:tcW w:w="0" w:type="auto"/>
            <w:gridSpan w:val="2"/>
            <w:shd w:val="clear" w:color="auto" w:fill="E2EFD9"/>
            <w:tcMar>
              <w:top w:w="40" w:type="dxa"/>
              <w:left w:w="20" w:type="dxa"/>
              <w:bottom w:w="40" w:type="dxa"/>
              <w:right w:w="0" w:type="dxa"/>
            </w:tcMar>
            <w:vAlign w:val="bottom"/>
          </w:tcPr>
          <w:p w14:paraId="1950344B" w14:textId="77777777" w:rsidR="00BF3A3A" w:rsidRDefault="00A76802">
            <w:pPr>
              <w:jc w:val="right"/>
              <w:textAlignment w:val="bottom"/>
            </w:pPr>
            <w:r>
              <w:rPr>
                <w:rFonts w:ascii="sans-serif" w:eastAsia="sans-serif" w:hAnsi="sans-serif" w:cs="sans-serif"/>
                <w:color w:val="000000"/>
                <w:sz w:val="20"/>
                <w:szCs w:val="20"/>
              </w:rPr>
              <w:t>2,730 </w:t>
            </w:r>
          </w:p>
        </w:tc>
        <w:tc>
          <w:tcPr>
            <w:tcW w:w="0" w:type="auto"/>
            <w:shd w:val="clear" w:color="auto" w:fill="E2EFD9"/>
            <w:tcMar>
              <w:top w:w="40" w:type="dxa"/>
              <w:left w:w="0" w:type="dxa"/>
              <w:bottom w:w="40" w:type="dxa"/>
              <w:right w:w="20" w:type="dxa"/>
            </w:tcMar>
            <w:vAlign w:val="bottom"/>
          </w:tcPr>
          <w:p w14:paraId="1950344C" w14:textId="77777777" w:rsidR="00BF3A3A" w:rsidRDefault="00BF3A3A">
            <w:pPr>
              <w:jc w:val="right"/>
              <w:rPr>
                <w:rFonts w:ascii="宋体"/>
              </w:rPr>
            </w:pPr>
          </w:p>
        </w:tc>
      </w:tr>
      <w:tr w:rsidR="00BF3A3A" w14:paraId="19503451" w14:textId="77777777">
        <w:tc>
          <w:tcPr>
            <w:tcW w:w="0" w:type="auto"/>
            <w:gridSpan w:val="3"/>
            <w:shd w:val="clear" w:color="auto" w:fill="FFFFFF"/>
            <w:tcMar>
              <w:top w:w="40" w:type="dxa"/>
              <w:left w:w="20" w:type="dxa"/>
              <w:bottom w:w="40" w:type="dxa"/>
              <w:right w:w="20" w:type="dxa"/>
            </w:tcMar>
            <w:vAlign w:val="bottom"/>
          </w:tcPr>
          <w:p w14:paraId="1950344E" w14:textId="77777777" w:rsidR="00BF3A3A" w:rsidRDefault="00A76802">
            <w:pPr>
              <w:textAlignment w:val="bottom"/>
            </w:pPr>
            <w:r>
              <w:rPr>
                <w:rFonts w:ascii="sans-serif" w:eastAsia="sans-serif" w:hAnsi="sans-serif" w:cs="sans-serif"/>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1950344F" w14:textId="77777777" w:rsidR="00BF3A3A" w:rsidRDefault="00A76802">
            <w:pPr>
              <w:jc w:val="right"/>
              <w:textAlignment w:val="bottom"/>
            </w:pPr>
            <w:r>
              <w:rPr>
                <w:rFonts w:ascii="sans-serif" w:eastAsia="sans-serif" w:hAnsi="sans-serif" w:cs="sans-serif"/>
                <w:color w:val="000000"/>
                <w:sz w:val="20"/>
                <w:szCs w:val="20"/>
              </w:rPr>
              <w:t>295 </w:t>
            </w:r>
          </w:p>
        </w:tc>
        <w:tc>
          <w:tcPr>
            <w:tcW w:w="0" w:type="auto"/>
            <w:shd w:val="clear" w:color="auto" w:fill="FFFFFF"/>
            <w:tcMar>
              <w:top w:w="40" w:type="dxa"/>
              <w:left w:w="0" w:type="dxa"/>
              <w:bottom w:w="40" w:type="dxa"/>
              <w:right w:w="20" w:type="dxa"/>
            </w:tcMar>
            <w:vAlign w:val="bottom"/>
          </w:tcPr>
          <w:p w14:paraId="19503450" w14:textId="77777777" w:rsidR="00BF3A3A" w:rsidRDefault="00BF3A3A">
            <w:pPr>
              <w:jc w:val="right"/>
              <w:rPr>
                <w:rFonts w:ascii="宋体"/>
              </w:rPr>
            </w:pPr>
          </w:p>
        </w:tc>
      </w:tr>
      <w:tr w:rsidR="00BF3A3A" w14:paraId="19503455" w14:textId="77777777">
        <w:tc>
          <w:tcPr>
            <w:tcW w:w="0" w:type="auto"/>
            <w:gridSpan w:val="3"/>
            <w:shd w:val="clear" w:color="auto" w:fill="E2EFD9"/>
            <w:tcMar>
              <w:top w:w="40" w:type="dxa"/>
              <w:left w:w="20" w:type="dxa"/>
              <w:bottom w:w="40" w:type="dxa"/>
              <w:right w:w="20" w:type="dxa"/>
            </w:tcMar>
            <w:vAlign w:val="bottom"/>
          </w:tcPr>
          <w:p w14:paraId="19503452" w14:textId="77777777" w:rsidR="00BF3A3A" w:rsidRDefault="00A76802">
            <w:pPr>
              <w:textAlignment w:val="bottom"/>
            </w:pPr>
            <w:r>
              <w:rPr>
                <w:rFonts w:ascii="sans-serif" w:eastAsia="sans-serif" w:hAnsi="sans-serif" w:cs="sans-serif"/>
                <w:color w:val="000000"/>
                <w:sz w:val="20"/>
                <w:szCs w:val="20"/>
              </w:rPr>
              <w:t>2026</w:t>
            </w:r>
          </w:p>
        </w:tc>
        <w:tc>
          <w:tcPr>
            <w:tcW w:w="0" w:type="auto"/>
            <w:gridSpan w:val="2"/>
            <w:shd w:val="clear" w:color="auto" w:fill="E2EFD9"/>
            <w:tcMar>
              <w:top w:w="40" w:type="dxa"/>
              <w:left w:w="20" w:type="dxa"/>
              <w:bottom w:w="40" w:type="dxa"/>
              <w:right w:w="0" w:type="dxa"/>
            </w:tcMar>
            <w:vAlign w:val="bottom"/>
          </w:tcPr>
          <w:p w14:paraId="19503453" w14:textId="77777777" w:rsidR="00BF3A3A" w:rsidRDefault="00A76802">
            <w:pPr>
              <w:jc w:val="right"/>
              <w:textAlignment w:val="bottom"/>
            </w:pPr>
            <w:r>
              <w:rPr>
                <w:rFonts w:ascii="sans-serif" w:eastAsia="sans-serif" w:hAnsi="sans-serif" w:cs="sans-serif"/>
                <w:color w:val="000000"/>
                <w:sz w:val="20"/>
                <w:szCs w:val="20"/>
              </w:rPr>
              <w:t>49 </w:t>
            </w:r>
          </w:p>
        </w:tc>
        <w:tc>
          <w:tcPr>
            <w:tcW w:w="0" w:type="auto"/>
            <w:shd w:val="clear" w:color="auto" w:fill="E2EFD9"/>
            <w:tcMar>
              <w:top w:w="40" w:type="dxa"/>
              <w:left w:w="0" w:type="dxa"/>
              <w:bottom w:w="40" w:type="dxa"/>
              <w:right w:w="20" w:type="dxa"/>
            </w:tcMar>
            <w:vAlign w:val="bottom"/>
          </w:tcPr>
          <w:p w14:paraId="19503454" w14:textId="77777777" w:rsidR="00BF3A3A" w:rsidRDefault="00BF3A3A">
            <w:pPr>
              <w:jc w:val="right"/>
              <w:rPr>
                <w:rFonts w:ascii="宋体"/>
              </w:rPr>
            </w:pPr>
          </w:p>
        </w:tc>
      </w:tr>
      <w:tr w:rsidR="00BF3A3A" w14:paraId="19503459" w14:textId="77777777">
        <w:tc>
          <w:tcPr>
            <w:tcW w:w="0" w:type="auto"/>
            <w:gridSpan w:val="3"/>
            <w:shd w:val="clear" w:color="auto" w:fill="FFFFFF"/>
            <w:tcMar>
              <w:top w:w="40" w:type="dxa"/>
              <w:left w:w="20" w:type="dxa"/>
              <w:bottom w:w="40" w:type="dxa"/>
              <w:right w:w="20" w:type="dxa"/>
            </w:tcMar>
            <w:vAlign w:val="bottom"/>
          </w:tcPr>
          <w:p w14:paraId="19503456" w14:textId="77777777" w:rsidR="00BF3A3A" w:rsidRDefault="00A76802">
            <w:pPr>
              <w:textAlignment w:val="bottom"/>
            </w:pPr>
            <w:r>
              <w:rPr>
                <w:rFonts w:ascii="sans-serif" w:eastAsia="sans-serif" w:hAnsi="sans-serif" w:cs="sans-serif"/>
                <w:color w:val="000000"/>
                <w:sz w:val="20"/>
                <w:szCs w:val="20"/>
              </w:rPr>
              <w:t>2027</w:t>
            </w:r>
          </w:p>
        </w:tc>
        <w:tc>
          <w:tcPr>
            <w:tcW w:w="0" w:type="auto"/>
            <w:gridSpan w:val="2"/>
            <w:shd w:val="clear" w:color="auto" w:fill="FFFFFF"/>
            <w:tcMar>
              <w:top w:w="40" w:type="dxa"/>
              <w:left w:w="20" w:type="dxa"/>
              <w:bottom w:w="40" w:type="dxa"/>
              <w:right w:w="0" w:type="dxa"/>
            </w:tcMar>
            <w:vAlign w:val="bottom"/>
          </w:tcPr>
          <w:p w14:paraId="19503457" w14:textId="77777777" w:rsidR="00BF3A3A" w:rsidRDefault="00A76802">
            <w:pPr>
              <w:jc w:val="right"/>
              <w:textAlignment w:val="bottom"/>
            </w:pPr>
            <w:r>
              <w:rPr>
                <w:rFonts w:ascii="sans-serif" w:eastAsia="sans-serif" w:hAnsi="sans-serif" w:cs="sans-serif"/>
                <w:color w:val="000000"/>
                <w:sz w:val="20"/>
                <w:szCs w:val="20"/>
              </w:rPr>
              <w:t>71 </w:t>
            </w:r>
          </w:p>
        </w:tc>
        <w:tc>
          <w:tcPr>
            <w:tcW w:w="0" w:type="auto"/>
            <w:shd w:val="clear" w:color="auto" w:fill="FFFFFF"/>
            <w:tcMar>
              <w:top w:w="40" w:type="dxa"/>
              <w:left w:w="0" w:type="dxa"/>
              <w:bottom w:w="40" w:type="dxa"/>
              <w:right w:w="20" w:type="dxa"/>
            </w:tcMar>
            <w:vAlign w:val="bottom"/>
          </w:tcPr>
          <w:p w14:paraId="19503458" w14:textId="77777777" w:rsidR="00BF3A3A" w:rsidRDefault="00BF3A3A">
            <w:pPr>
              <w:jc w:val="right"/>
              <w:rPr>
                <w:rFonts w:ascii="宋体"/>
              </w:rPr>
            </w:pPr>
          </w:p>
        </w:tc>
      </w:tr>
      <w:tr w:rsidR="00BF3A3A" w14:paraId="1950345D" w14:textId="77777777">
        <w:tc>
          <w:tcPr>
            <w:tcW w:w="0" w:type="auto"/>
            <w:gridSpan w:val="3"/>
            <w:shd w:val="clear" w:color="auto" w:fill="E2EFD9"/>
            <w:tcMar>
              <w:top w:w="40" w:type="dxa"/>
              <w:left w:w="20" w:type="dxa"/>
              <w:bottom w:w="40" w:type="dxa"/>
              <w:right w:w="20" w:type="dxa"/>
            </w:tcMar>
            <w:vAlign w:val="bottom"/>
          </w:tcPr>
          <w:p w14:paraId="1950345A" w14:textId="77777777" w:rsidR="00BF3A3A" w:rsidRDefault="00A76802">
            <w:pPr>
              <w:textAlignment w:val="bottom"/>
            </w:pPr>
            <w:r>
              <w:rPr>
                <w:rFonts w:ascii="sans-serif" w:eastAsia="sans-serif" w:hAnsi="sans-serif" w:cs="sans-serif"/>
                <w:color w:val="000000"/>
                <w:sz w:val="20"/>
                <w:szCs w:val="20"/>
              </w:rPr>
              <w:t>2028 and thereafter</w:t>
            </w:r>
          </w:p>
        </w:tc>
        <w:tc>
          <w:tcPr>
            <w:tcW w:w="0" w:type="auto"/>
            <w:gridSpan w:val="2"/>
            <w:shd w:val="clear" w:color="auto" w:fill="E2EFD9"/>
            <w:tcMar>
              <w:top w:w="40" w:type="dxa"/>
              <w:left w:w="20" w:type="dxa"/>
              <w:bottom w:w="40" w:type="dxa"/>
              <w:right w:w="0" w:type="dxa"/>
            </w:tcMar>
            <w:vAlign w:val="bottom"/>
          </w:tcPr>
          <w:p w14:paraId="1950345B" w14:textId="77777777" w:rsidR="00BF3A3A" w:rsidRDefault="00A76802">
            <w:pPr>
              <w:jc w:val="right"/>
              <w:textAlignment w:val="bottom"/>
            </w:pPr>
            <w:r>
              <w:rPr>
                <w:rFonts w:ascii="sans-serif" w:eastAsia="sans-serif" w:hAnsi="sans-serif" w:cs="sans-serif"/>
                <w:color w:val="000000"/>
                <w:sz w:val="20"/>
                <w:szCs w:val="20"/>
              </w:rPr>
              <w:t>331 </w:t>
            </w:r>
          </w:p>
        </w:tc>
        <w:tc>
          <w:tcPr>
            <w:tcW w:w="0" w:type="auto"/>
            <w:shd w:val="clear" w:color="auto" w:fill="E2EFD9"/>
            <w:tcMar>
              <w:top w:w="40" w:type="dxa"/>
              <w:left w:w="0" w:type="dxa"/>
              <w:bottom w:w="40" w:type="dxa"/>
              <w:right w:w="20" w:type="dxa"/>
            </w:tcMar>
            <w:vAlign w:val="bottom"/>
          </w:tcPr>
          <w:p w14:paraId="1950345C" w14:textId="77777777" w:rsidR="00BF3A3A" w:rsidRDefault="00BF3A3A">
            <w:pPr>
              <w:jc w:val="right"/>
              <w:rPr>
                <w:rFonts w:ascii="宋体"/>
              </w:rPr>
            </w:pPr>
          </w:p>
        </w:tc>
      </w:tr>
      <w:tr w:rsidR="00BF3A3A" w14:paraId="19503462" w14:textId="77777777">
        <w:tc>
          <w:tcPr>
            <w:tcW w:w="0" w:type="auto"/>
            <w:gridSpan w:val="3"/>
            <w:shd w:val="clear" w:color="auto" w:fill="FFFFFF"/>
            <w:tcMar>
              <w:top w:w="40" w:type="dxa"/>
              <w:left w:w="245" w:type="dxa"/>
              <w:bottom w:w="40" w:type="dxa"/>
              <w:right w:w="20" w:type="dxa"/>
            </w:tcMar>
            <w:vAlign w:val="bottom"/>
          </w:tcPr>
          <w:p w14:paraId="1950345E" w14:textId="77777777" w:rsidR="00BF3A3A" w:rsidRDefault="00A76802">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45F"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3460" w14:textId="77777777" w:rsidR="00BF3A3A" w:rsidRDefault="00A76802">
            <w:pPr>
              <w:jc w:val="right"/>
              <w:textAlignment w:val="bottom"/>
            </w:pPr>
            <w:r>
              <w:rPr>
                <w:rFonts w:ascii="sans-serif" w:eastAsia="sans-serif" w:hAnsi="sans-serif" w:cs="sans-serif"/>
                <w:color w:val="000000"/>
                <w:sz w:val="20"/>
                <w:szCs w:val="20"/>
              </w:rPr>
              <w:t>10,584 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461" w14:textId="77777777" w:rsidR="00BF3A3A" w:rsidRDefault="00BF3A3A">
            <w:pPr>
              <w:jc w:val="right"/>
              <w:rPr>
                <w:rFonts w:ascii="宋体"/>
              </w:rPr>
            </w:pPr>
          </w:p>
        </w:tc>
      </w:tr>
    </w:tbl>
    <w:p w14:paraId="19503463" w14:textId="77777777" w:rsidR="00BF3A3A" w:rsidRDefault="00A76802">
      <w:pPr>
        <w:spacing w:before="240" w:after="60"/>
        <w:jc w:val="both"/>
      </w:pPr>
      <w:r>
        <w:rPr>
          <w:rFonts w:ascii="sans-serif" w:eastAsia="sans-serif" w:hAnsi="sans-serif" w:cs="sans-serif"/>
          <w:b/>
          <w:bCs/>
          <w:color w:val="76B900"/>
          <w:sz w:val="20"/>
          <w:szCs w:val="20"/>
        </w:rPr>
        <w:t>Accrual for Product Warranty Liabilities</w:t>
      </w:r>
    </w:p>
    <w:p w14:paraId="19503464" w14:textId="77777777" w:rsidR="00BF3A3A" w:rsidRDefault="00A76802">
      <w:pPr>
        <w:jc w:val="both"/>
      </w:pPr>
      <w:r>
        <w:rPr>
          <w:rFonts w:ascii="sans-serif" w:eastAsia="sans-serif" w:hAnsi="sans-serif" w:cs="sans-serif"/>
          <w:color w:val="000000"/>
          <w:sz w:val="20"/>
          <w:szCs w:val="20"/>
        </w:rPr>
        <w:t>The estimated amount of product warranty liabilities was $168 million and $46 million as of July 31, 2022 and January 30, 2022, respectively. In the second quarter of fiscal year 2023, we recorded $122 million in pr</w:t>
      </w:r>
      <w:r>
        <w:rPr>
          <w:rFonts w:ascii="sans-serif" w:eastAsia="sans-serif" w:hAnsi="sans-serif" w:cs="sans-serif"/>
          <w:color w:val="000000"/>
          <w:sz w:val="20"/>
          <w:szCs w:val="20"/>
        </w:rPr>
        <w:t xml:space="preserve">oduct warranty liabilities primarily related to a defect identified in a third-party component embedded in certain Data Center products. The estimated product returns and estimated product warranty activity consisted of the following: </w:t>
      </w:r>
    </w:p>
    <w:tbl>
      <w:tblPr>
        <w:tblW w:w="5000" w:type="pct"/>
        <w:tblCellMar>
          <w:top w:w="15" w:type="dxa"/>
          <w:left w:w="15" w:type="dxa"/>
          <w:bottom w:w="15" w:type="dxa"/>
          <w:right w:w="15" w:type="dxa"/>
        </w:tblCellMar>
        <w:tblLook w:val="04A0" w:firstRow="1" w:lastRow="0" w:firstColumn="1" w:lastColumn="0" w:noHBand="0" w:noVBand="1"/>
      </w:tblPr>
      <w:tblGrid>
        <w:gridCol w:w="38"/>
        <w:gridCol w:w="2493"/>
        <w:gridCol w:w="37"/>
        <w:gridCol w:w="122"/>
        <w:gridCol w:w="1215"/>
        <w:gridCol w:w="36"/>
        <w:gridCol w:w="36"/>
        <w:gridCol w:w="36"/>
        <w:gridCol w:w="36"/>
        <w:gridCol w:w="123"/>
        <w:gridCol w:w="1188"/>
        <w:gridCol w:w="37"/>
        <w:gridCol w:w="36"/>
        <w:gridCol w:w="36"/>
        <w:gridCol w:w="36"/>
        <w:gridCol w:w="122"/>
        <w:gridCol w:w="1216"/>
        <w:gridCol w:w="36"/>
        <w:gridCol w:w="36"/>
        <w:gridCol w:w="36"/>
        <w:gridCol w:w="36"/>
        <w:gridCol w:w="123"/>
        <w:gridCol w:w="1190"/>
        <w:gridCol w:w="36"/>
      </w:tblGrid>
      <w:tr w:rsidR="00BF3A3A" w14:paraId="1950347D" w14:textId="77777777">
        <w:tc>
          <w:tcPr>
            <w:tcW w:w="50" w:type="pct"/>
            <w:shd w:val="clear" w:color="auto" w:fill="auto"/>
            <w:vAlign w:val="bottom"/>
          </w:tcPr>
          <w:p w14:paraId="19503465" w14:textId="77777777" w:rsidR="00BF3A3A" w:rsidRDefault="00BF3A3A">
            <w:pPr>
              <w:rPr>
                <w:rFonts w:ascii="宋体"/>
              </w:rPr>
            </w:pPr>
          </w:p>
        </w:tc>
        <w:tc>
          <w:tcPr>
            <w:tcW w:w="1538" w:type="pct"/>
            <w:shd w:val="clear" w:color="auto" w:fill="auto"/>
            <w:vAlign w:val="bottom"/>
          </w:tcPr>
          <w:p w14:paraId="19503466" w14:textId="77777777" w:rsidR="00BF3A3A" w:rsidRDefault="00BF3A3A">
            <w:pPr>
              <w:rPr>
                <w:rFonts w:ascii="宋体"/>
              </w:rPr>
            </w:pPr>
          </w:p>
        </w:tc>
        <w:tc>
          <w:tcPr>
            <w:tcW w:w="5" w:type="pct"/>
            <w:shd w:val="clear" w:color="auto" w:fill="auto"/>
            <w:vAlign w:val="bottom"/>
          </w:tcPr>
          <w:p w14:paraId="19503467" w14:textId="77777777" w:rsidR="00BF3A3A" w:rsidRDefault="00BF3A3A">
            <w:pPr>
              <w:rPr>
                <w:rFonts w:ascii="宋体"/>
              </w:rPr>
            </w:pPr>
          </w:p>
        </w:tc>
        <w:tc>
          <w:tcPr>
            <w:tcW w:w="50" w:type="pct"/>
            <w:shd w:val="clear" w:color="auto" w:fill="auto"/>
            <w:vAlign w:val="bottom"/>
          </w:tcPr>
          <w:p w14:paraId="19503468" w14:textId="77777777" w:rsidR="00BF3A3A" w:rsidRDefault="00BF3A3A">
            <w:pPr>
              <w:rPr>
                <w:rFonts w:ascii="宋体"/>
              </w:rPr>
            </w:pPr>
          </w:p>
        </w:tc>
        <w:tc>
          <w:tcPr>
            <w:tcW w:w="763" w:type="pct"/>
            <w:shd w:val="clear" w:color="auto" w:fill="auto"/>
            <w:vAlign w:val="bottom"/>
          </w:tcPr>
          <w:p w14:paraId="19503469" w14:textId="77777777" w:rsidR="00BF3A3A" w:rsidRDefault="00BF3A3A">
            <w:pPr>
              <w:rPr>
                <w:rFonts w:ascii="宋体"/>
              </w:rPr>
            </w:pPr>
          </w:p>
        </w:tc>
        <w:tc>
          <w:tcPr>
            <w:tcW w:w="5" w:type="pct"/>
            <w:shd w:val="clear" w:color="auto" w:fill="auto"/>
            <w:vAlign w:val="bottom"/>
          </w:tcPr>
          <w:p w14:paraId="1950346A" w14:textId="77777777" w:rsidR="00BF3A3A" w:rsidRDefault="00BF3A3A">
            <w:pPr>
              <w:rPr>
                <w:rFonts w:ascii="宋体"/>
              </w:rPr>
            </w:pPr>
          </w:p>
        </w:tc>
        <w:tc>
          <w:tcPr>
            <w:tcW w:w="5" w:type="pct"/>
            <w:shd w:val="clear" w:color="auto" w:fill="auto"/>
            <w:vAlign w:val="bottom"/>
          </w:tcPr>
          <w:p w14:paraId="1950346B" w14:textId="77777777" w:rsidR="00BF3A3A" w:rsidRDefault="00BF3A3A">
            <w:pPr>
              <w:rPr>
                <w:rFonts w:ascii="宋体"/>
              </w:rPr>
            </w:pPr>
          </w:p>
        </w:tc>
        <w:tc>
          <w:tcPr>
            <w:tcW w:w="41" w:type="pct"/>
            <w:shd w:val="clear" w:color="auto" w:fill="auto"/>
            <w:vAlign w:val="bottom"/>
          </w:tcPr>
          <w:p w14:paraId="1950346C" w14:textId="77777777" w:rsidR="00BF3A3A" w:rsidRDefault="00BF3A3A">
            <w:pPr>
              <w:rPr>
                <w:rFonts w:ascii="宋体"/>
              </w:rPr>
            </w:pPr>
          </w:p>
        </w:tc>
        <w:tc>
          <w:tcPr>
            <w:tcW w:w="5" w:type="pct"/>
            <w:shd w:val="clear" w:color="auto" w:fill="auto"/>
            <w:vAlign w:val="bottom"/>
          </w:tcPr>
          <w:p w14:paraId="1950346D" w14:textId="77777777" w:rsidR="00BF3A3A" w:rsidRDefault="00BF3A3A">
            <w:pPr>
              <w:rPr>
                <w:rFonts w:ascii="宋体"/>
              </w:rPr>
            </w:pPr>
          </w:p>
        </w:tc>
        <w:tc>
          <w:tcPr>
            <w:tcW w:w="50" w:type="pct"/>
            <w:shd w:val="clear" w:color="auto" w:fill="auto"/>
            <w:vAlign w:val="bottom"/>
          </w:tcPr>
          <w:p w14:paraId="1950346E" w14:textId="77777777" w:rsidR="00BF3A3A" w:rsidRDefault="00BF3A3A">
            <w:pPr>
              <w:rPr>
                <w:rFonts w:ascii="宋体"/>
              </w:rPr>
            </w:pPr>
          </w:p>
        </w:tc>
        <w:tc>
          <w:tcPr>
            <w:tcW w:w="763" w:type="pct"/>
            <w:shd w:val="clear" w:color="auto" w:fill="auto"/>
            <w:vAlign w:val="bottom"/>
          </w:tcPr>
          <w:p w14:paraId="1950346F" w14:textId="77777777" w:rsidR="00BF3A3A" w:rsidRDefault="00BF3A3A">
            <w:pPr>
              <w:rPr>
                <w:rFonts w:ascii="宋体"/>
              </w:rPr>
            </w:pPr>
          </w:p>
        </w:tc>
        <w:tc>
          <w:tcPr>
            <w:tcW w:w="5" w:type="pct"/>
            <w:shd w:val="clear" w:color="auto" w:fill="auto"/>
            <w:vAlign w:val="bottom"/>
          </w:tcPr>
          <w:p w14:paraId="19503470" w14:textId="77777777" w:rsidR="00BF3A3A" w:rsidRDefault="00BF3A3A">
            <w:pPr>
              <w:rPr>
                <w:rFonts w:ascii="宋体"/>
              </w:rPr>
            </w:pPr>
          </w:p>
        </w:tc>
        <w:tc>
          <w:tcPr>
            <w:tcW w:w="5" w:type="pct"/>
            <w:shd w:val="clear" w:color="auto" w:fill="auto"/>
            <w:vAlign w:val="bottom"/>
          </w:tcPr>
          <w:p w14:paraId="19503471" w14:textId="77777777" w:rsidR="00BF3A3A" w:rsidRDefault="00BF3A3A">
            <w:pPr>
              <w:rPr>
                <w:rFonts w:ascii="宋体"/>
              </w:rPr>
            </w:pPr>
          </w:p>
        </w:tc>
        <w:tc>
          <w:tcPr>
            <w:tcW w:w="19" w:type="pct"/>
            <w:shd w:val="clear" w:color="auto" w:fill="auto"/>
            <w:vAlign w:val="bottom"/>
          </w:tcPr>
          <w:p w14:paraId="19503472" w14:textId="77777777" w:rsidR="00BF3A3A" w:rsidRDefault="00BF3A3A">
            <w:pPr>
              <w:rPr>
                <w:rFonts w:ascii="宋体"/>
              </w:rPr>
            </w:pPr>
          </w:p>
        </w:tc>
        <w:tc>
          <w:tcPr>
            <w:tcW w:w="5" w:type="pct"/>
            <w:shd w:val="clear" w:color="auto" w:fill="auto"/>
            <w:vAlign w:val="bottom"/>
          </w:tcPr>
          <w:p w14:paraId="19503473" w14:textId="77777777" w:rsidR="00BF3A3A" w:rsidRDefault="00BF3A3A">
            <w:pPr>
              <w:rPr>
                <w:rFonts w:ascii="宋体"/>
              </w:rPr>
            </w:pPr>
          </w:p>
        </w:tc>
        <w:tc>
          <w:tcPr>
            <w:tcW w:w="50" w:type="pct"/>
            <w:shd w:val="clear" w:color="auto" w:fill="auto"/>
            <w:vAlign w:val="bottom"/>
          </w:tcPr>
          <w:p w14:paraId="19503474" w14:textId="77777777" w:rsidR="00BF3A3A" w:rsidRDefault="00BF3A3A">
            <w:pPr>
              <w:rPr>
                <w:rFonts w:ascii="宋体"/>
              </w:rPr>
            </w:pPr>
          </w:p>
        </w:tc>
        <w:tc>
          <w:tcPr>
            <w:tcW w:w="763" w:type="pct"/>
            <w:shd w:val="clear" w:color="auto" w:fill="auto"/>
            <w:vAlign w:val="bottom"/>
          </w:tcPr>
          <w:p w14:paraId="19503475" w14:textId="77777777" w:rsidR="00BF3A3A" w:rsidRDefault="00BF3A3A">
            <w:pPr>
              <w:rPr>
                <w:rFonts w:ascii="宋体"/>
              </w:rPr>
            </w:pPr>
          </w:p>
        </w:tc>
        <w:tc>
          <w:tcPr>
            <w:tcW w:w="5" w:type="pct"/>
            <w:shd w:val="clear" w:color="auto" w:fill="auto"/>
            <w:vAlign w:val="bottom"/>
          </w:tcPr>
          <w:p w14:paraId="19503476" w14:textId="77777777" w:rsidR="00BF3A3A" w:rsidRDefault="00BF3A3A">
            <w:pPr>
              <w:rPr>
                <w:rFonts w:ascii="宋体"/>
              </w:rPr>
            </w:pPr>
          </w:p>
        </w:tc>
        <w:tc>
          <w:tcPr>
            <w:tcW w:w="5" w:type="pct"/>
            <w:shd w:val="clear" w:color="auto" w:fill="auto"/>
            <w:vAlign w:val="bottom"/>
          </w:tcPr>
          <w:p w14:paraId="19503477" w14:textId="77777777" w:rsidR="00BF3A3A" w:rsidRDefault="00BF3A3A">
            <w:pPr>
              <w:rPr>
                <w:rFonts w:ascii="宋体"/>
              </w:rPr>
            </w:pPr>
          </w:p>
        </w:tc>
        <w:tc>
          <w:tcPr>
            <w:tcW w:w="41" w:type="pct"/>
            <w:shd w:val="clear" w:color="auto" w:fill="auto"/>
            <w:vAlign w:val="bottom"/>
          </w:tcPr>
          <w:p w14:paraId="19503478" w14:textId="77777777" w:rsidR="00BF3A3A" w:rsidRDefault="00BF3A3A">
            <w:pPr>
              <w:rPr>
                <w:rFonts w:ascii="宋体"/>
              </w:rPr>
            </w:pPr>
          </w:p>
        </w:tc>
        <w:tc>
          <w:tcPr>
            <w:tcW w:w="5" w:type="pct"/>
            <w:shd w:val="clear" w:color="auto" w:fill="auto"/>
            <w:vAlign w:val="bottom"/>
          </w:tcPr>
          <w:p w14:paraId="19503479" w14:textId="77777777" w:rsidR="00BF3A3A" w:rsidRDefault="00BF3A3A">
            <w:pPr>
              <w:rPr>
                <w:rFonts w:ascii="宋体"/>
              </w:rPr>
            </w:pPr>
          </w:p>
        </w:tc>
        <w:tc>
          <w:tcPr>
            <w:tcW w:w="50" w:type="pct"/>
            <w:shd w:val="clear" w:color="auto" w:fill="auto"/>
            <w:vAlign w:val="bottom"/>
          </w:tcPr>
          <w:p w14:paraId="1950347A" w14:textId="77777777" w:rsidR="00BF3A3A" w:rsidRDefault="00BF3A3A">
            <w:pPr>
              <w:rPr>
                <w:rFonts w:ascii="宋体"/>
              </w:rPr>
            </w:pPr>
          </w:p>
        </w:tc>
        <w:tc>
          <w:tcPr>
            <w:tcW w:w="763" w:type="pct"/>
            <w:shd w:val="clear" w:color="auto" w:fill="auto"/>
            <w:vAlign w:val="bottom"/>
          </w:tcPr>
          <w:p w14:paraId="1950347B" w14:textId="77777777" w:rsidR="00BF3A3A" w:rsidRDefault="00BF3A3A">
            <w:pPr>
              <w:rPr>
                <w:rFonts w:ascii="宋体"/>
              </w:rPr>
            </w:pPr>
          </w:p>
        </w:tc>
        <w:tc>
          <w:tcPr>
            <w:tcW w:w="5" w:type="pct"/>
            <w:shd w:val="clear" w:color="auto" w:fill="auto"/>
            <w:vAlign w:val="bottom"/>
          </w:tcPr>
          <w:p w14:paraId="1950347C" w14:textId="77777777" w:rsidR="00BF3A3A" w:rsidRDefault="00BF3A3A">
            <w:pPr>
              <w:rPr>
                <w:rFonts w:ascii="宋体"/>
              </w:rPr>
            </w:pPr>
          </w:p>
        </w:tc>
      </w:tr>
      <w:tr w:rsidR="00BF3A3A" w14:paraId="19503482" w14:textId="77777777">
        <w:tc>
          <w:tcPr>
            <w:tcW w:w="0" w:type="auto"/>
            <w:gridSpan w:val="3"/>
            <w:shd w:val="clear" w:color="auto" w:fill="auto"/>
            <w:tcMar>
              <w:top w:w="0" w:type="dxa"/>
              <w:left w:w="20" w:type="dxa"/>
              <w:bottom w:w="0" w:type="dxa"/>
              <w:right w:w="20" w:type="dxa"/>
            </w:tcMar>
            <w:vAlign w:val="bottom"/>
          </w:tcPr>
          <w:p w14:paraId="1950347E" w14:textId="77777777" w:rsidR="00BF3A3A" w:rsidRDefault="00BF3A3A">
            <w:pPr>
              <w:rPr>
                <w:rFonts w:ascii="宋体"/>
              </w:rPr>
            </w:pPr>
          </w:p>
        </w:tc>
        <w:tc>
          <w:tcPr>
            <w:tcW w:w="0" w:type="auto"/>
            <w:gridSpan w:val="9"/>
            <w:shd w:val="clear" w:color="auto" w:fill="FFFFFF"/>
            <w:tcMar>
              <w:top w:w="40" w:type="dxa"/>
              <w:left w:w="20" w:type="dxa"/>
              <w:bottom w:w="40" w:type="dxa"/>
              <w:right w:w="20" w:type="dxa"/>
            </w:tcMar>
            <w:vAlign w:val="bottom"/>
          </w:tcPr>
          <w:p w14:paraId="1950347F" w14:textId="77777777" w:rsidR="00BF3A3A" w:rsidRDefault="00A76802">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FFFFFF"/>
            <w:tcMar>
              <w:top w:w="0" w:type="dxa"/>
              <w:left w:w="20" w:type="dxa"/>
              <w:bottom w:w="0" w:type="dxa"/>
              <w:right w:w="20" w:type="dxa"/>
            </w:tcMar>
            <w:vAlign w:val="bottom"/>
          </w:tcPr>
          <w:p w14:paraId="19503480" w14:textId="77777777" w:rsidR="00BF3A3A" w:rsidRDefault="00BF3A3A">
            <w:pPr>
              <w:rPr>
                <w:rFonts w:ascii="宋体"/>
              </w:rPr>
            </w:pPr>
          </w:p>
        </w:tc>
        <w:tc>
          <w:tcPr>
            <w:tcW w:w="0" w:type="auto"/>
            <w:gridSpan w:val="9"/>
            <w:shd w:val="clear" w:color="auto" w:fill="FFFFFF"/>
            <w:tcMar>
              <w:top w:w="40" w:type="dxa"/>
              <w:left w:w="20" w:type="dxa"/>
              <w:bottom w:w="40" w:type="dxa"/>
              <w:right w:w="20" w:type="dxa"/>
            </w:tcMar>
            <w:vAlign w:val="bottom"/>
          </w:tcPr>
          <w:p w14:paraId="19503481" w14:textId="77777777" w:rsidR="00BF3A3A" w:rsidRDefault="00A76802">
            <w:pPr>
              <w:jc w:val="center"/>
              <w:textAlignment w:val="bottom"/>
            </w:pPr>
            <w:r>
              <w:rPr>
                <w:rFonts w:ascii="sans-serif" w:eastAsia="sans-serif" w:hAnsi="sans-serif" w:cs="sans-serif"/>
                <w:b/>
                <w:bCs/>
                <w:color w:val="000000"/>
                <w:sz w:val="20"/>
                <w:szCs w:val="20"/>
              </w:rPr>
              <w:t>Six Months Ended</w:t>
            </w:r>
          </w:p>
        </w:tc>
      </w:tr>
      <w:tr w:rsidR="00BF3A3A" w14:paraId="1950348B" w14:textId="77777777">
        <w:tc>
          <w:tcPr>
            <w:tcW w:w="0" w:type="auto"/>
            <w:gridSpan w:val="3"/>
            <w:shd w:val="clear" w:color="auto" w:fill="auto"/>
            <w:tcMar>
              <w:top w:w="0" w:type="dxa"/>
              <w:left w:w="20" w:type="dxa"/>
              <w:bottom w:w="0" w:type="dxa"/>
              <w:right w:w="20" w:type="dxa"/>
            </w:tcMar>
            <w:vAlign w:val="bottom"/>
          </w:tcPr>
          <w:p w14:paraId="19503483" w14:textId="77777777" w:rsidR="00BF3A3A" w:rsidRDefault="00BF3A3A">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9503484" w14:textId="77777777" w:rsidR="00BF3A3A" w:rsidRDefault="00A76802">
            <w:pPr>
              <w:jc w:val="center"/>
              <w:textAlignment w:val="bottom"/>
            </w:pPr>
            <w:r>
              <w:rPr>
                <w:rFonts w:ascii="sans-serif" w:eastAsia="sans-serif" w:hAnsi="sans-serif" w:cs="sans-serif"/>
                <w:b/>
                <w:bCs/>
                <w:color w:val="000000"/>
                <w:sz w:val="20"/>
                <w:szCs w:val="20"/>
              </w:rPr>
              <w:t>July 31,</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9503485" w14:textId="77777777" w:rsidR="00BF3A3A" w:rsidRDefault="00BF3A3A">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9503486" w14:textId="77777777" w:rsidR="00BF3A3A" w:rsidRDefault="00A76802">
            <w:pPr>
              <w:jc w:val="center"/>
              <w:textAlignment w:val="bottom"/>
            </w:pPr>
            <w:r>
              <w:rPr>
                <w:rFonts w:ascii="sans-serif" w:eastAsia="sans-serif" w:hAnsi="sans-serif" w:cs="sans-serif"/>
                <w:b/>
                <w:bCs/>
                <w:color w:val="000000"/>
                <w:sz w:val="20"/>
                <w:szCs w:val="20"/>
              </w:rPr>
              <w:t>August 1,</w:t>
            </w:r>
          </w:p>
        </w:tc>
        <w:tc>
          <w:tcPr>
            <w:tcW w:w="0" w:type="auto"/>
            <w:gridSpan w:val="3"/>
            <w:shd w:val="clear" w:color="auto" w:fill="FFFFFF"/>
            <w:tcMar>
              <w:top w:w="0" w:type="dxa"/>
              <w:left w:w="20" w:type="dxa"/>
              <w:bottom w:w="0" w:type="dxa"/>
              <w:right w:w="20" w:type="dxa"/>
            </w:tcMar>
            <w:vAlign w:val="bottom"/>
          </w:tcPr>
          <w:p w14:paraId="19503487" w14:textId="77777777" w:rsidR="00BF3A3A" w:rsidRDefault="00BF3A3A">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9503488" w14:textId="77777777" w:rsidR="00BF3A3A" w:rsidRDefault="00A76802">
            <w:pPr>
              <w:jc w:val="center"/>
              <w:textAlignment w:val="bottom"/>
            </w:pPr>
            <w:r>
              <w:rPr>
                <w:rFonts w:ascii="sans-serif" w:eastAsia="sans-serif" w:hAnsi="sans-serif" w:cs="sans-serif"/>
                <w:b/>
                <w:bCs/>
                <w:color w:val="000000"/>
                <w:sz w:val="20"/>
                <w:szCs w:val="20"/>
              </w:rPr>
              <w:t>July 31,</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9503489" w14:textId="77777777" w:rsidR="00BF3A3A" w:rsidRDefault="00BF3A3A">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950348A" w14:textId="77777777" w:rsidR="00BF3A3A" w:rsidRDefault="00A76802">
            <w:pPr>
              <w:jc w:val="center"/>
              <w:textAlignment w:val="bottom"/>
            </w:pPr>
            <w:r>
              <w:rPr>
                <w:rFonts w:ascii="sans-serif" w:eastAsia="sans-serif" w:hAnsi="sans-serif" w:cs="sans-serif"/>
                <w:b/>
                <w:bCs/>
                <w:color w:val="000000"/>
                <w:sz w:val="20"/>
                <w:szCs w:val="20"/>
              </w:rPr>
              <w:t>August 1,</w:t>
            </w:r>
          </w:p>
        </w:tc>
      </w:tr>
      <w:tr w:rsidR="00BF3A3A" w14:paraId="19503494" w14:textId="77777777">
        <w:tc>
          <w:tcPr>
            <w:tcW w:w="0" w:type="auto"/>
            <w:gridSpan w:val="3"/>
            <w:shd w:val="clear" w:color="auto" w:fill="auto"/>
            <w:tcMar>
              <w:top w:w="0" w:type="dxa"/>
              <w:left w:w="20" w:type="dxa"/>
              <w:bottom w:w="0" w:type="dxa"/>
              <w:right w:w="20" w:type="dxa"/>
            </w:tcMar>
            <w:vAlign w:val="bottom"/>
          </w:tcPr>
          <w:p w14:paraId="1950348C" w14:textId="77777777" w:rsidR="00BF3A3A" w:rsidRDefault="00BF3A3A">
            <w:pPr>
              <w:rPr>
                <w:rFonts w:ascii="宋体"/>
              </w:rPr>
            </w:pPr>
          </w:p>
        </w:tc>
        <w:tc>
          <w:tcPr>
            <w:tcW w:w="0" w:type="auto"/>
            <w:gridSpan w:val="3"/>
            <w:shd w:val="clear" w:color="auto" w:fill="FFFFFF"/>
            <w:tcMar>
              <w:top w:w="40" w:type="dxa"/>
              <w:left w:w="20" w:type="dxa"/>
              <w:bottom w:w="40" w:type="dxa"/>
              <w:right w:w="20" w:type="dxa"/>
            </w:tcMar>
            <w:vAlign w:val="bottom"/>
          </w:tcPr>
          <w:p w14:paraId="1950348D" w14:textId="77777777" w:rsidR="00BF3A3A" w:rsidRDefault="00A76802">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FFFFFF"/>
            <w:tcMar>
              <w:top w:w="0" w:type="dxa"/>
              <w:left w:w="20" w:type="dxa"/>
              <w:bottom w:w="0" w:type="dxa"/>
              <w:right w:w="20" w:type="dxa"/>
            </w:tcMar>
            <w:vAlign w:val="bottom"/>
          </w:tcPr>
          <w:p w14:paraId="1950348E" w14:textId="77777777" w:rsidR="00BF3A3A" w:rsidRDefault="00BF3A3A">
            <w:pPr>
              <w:rPr>
                <w:rFonts w:ascii="宋体"/>
              </w:rPr>
            </w:pPr>
          </w:p>
        </w:tc>
        <w:tc>
          <w:tcPr>
            <w:tcW w:w="0" w:type="auto"/>
            <w:gridSpan w:val="3"/>
            <w:tcBorders>
              <w:bottom w:val="single" w:sz="8" w:space="0" w:color="000000"/>
            </w:tcBorders>
            <w:shd w:val="clear" w:color="auto" w:fill="FFFFFF"/>
            <w:tcMar>
              <w:top w:w="40" w:type="dxa"/>
              <w:left w:w="20" w:type="dxa"/>
              <w:bottom w:w="40" w:type="dxa"/>
              <w:right w:w="20" w:type="dxa"/>
            </w:tcMar>
            <w:vAlign w:val="bottom"/>
          </w:tcPr>
          <w:p w14:paraId="1950348F" w14:textId="77777777" w:rsidR="00BF3A3A" w:rsidRDefault="00A76802">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FFFFFF"/>
            <w:tcMar>
              <w:top w:w="0" w:type="dxa"/>
              <w:left w:w="20" w:type="dxa"/>
              <w:bottom w:w="0" w:type="dxa"/>
              <w:right w:w="20" w:type="dxa"/>
            </w:tcMar>
            <w:vAlign w:val="bottom"/>
          </w:tcPr>
          <w:p w14:paraId="19503490" w14:textId="77777777" w:rsidR="00BF3A3A" w:rsidRDefault="00BF3A3A">
            <w:pPr>
              <w:rPr>
                <w:rFonts w:ascii="宋体"/>
              </w:rPr>
            </w:pPr>
          </w:p>
        </w:tc>
        <w:tc>
          <w:tcPr>
            <w:tcW w:w="0" w:type="auto"/>
            <w:gridSpan w:val="3"/>
            <w:tcBorders>
              <w:bottom w:val="single" w:sz="8" w:space="0" w:color="000000"/>
            </w:tcBorders>
            <w:shd w:val="clear" w:color="auto" w:fill="FFFFFF"/>
            <w:tcMar>
              <w:top w:w="40" w:type="dxa"/>
              <w:left w:w="20" w:type="dxa"/>
              <w:bottom w:w="40" w:type="dxa"/>
              <w:right w:w="20" w:type="dxa"/>
            </w:tcMar>
            <w:vAlign w:val="bottom"/>
          </w:tcPr>
          <w:p w14:paraId="19503491" w14:textId="77777777" w:rsidR="00BF3A3A" w:rsidRDefault="00A76802">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FFFFFF"/>
            <w:tcMar>
              <w:top w:w="0" w:type="dxa"/>
              <w:left w:w="20" w:type="dxa"/>
              <w:bottom w:w="0" w:type="dxa"/>
              <w:right w:w="20" w:type="dxa"/>
            </w:tcMar>
            <w:vAlign w:val="bottom"/>
          </w:tcPr>
          <w:p w14:paraId="19503492" w14:textId="77777777" w:rsidR="00BF3A3A" w:rsidRDefault="00BF3A3A">
            <w:pPr>
              <w:rPr>
                <w:rFonts w:ascii="宋体"/>
              </w:rPr>
            </w:pPr>
          </w:p>
        </w:tc>
        <w:tc>
          <w:tcPr>
            <w:tcW w:w="0" w:type="auto"/>
            <w:gridSpan w:val="3"/>
            <w:tcBorders>
              <w:bottom w:val="single" w:sz="8" w:space="0" w:color="000000"/>
            </w:tcBorders>
            <w:shd w:val="clear" w:color="auto" w:fill="FFFFFF"/>
            <w:tcMar>
              <w:top w:w="40" w:type="dxa"/>
              <w:left w:w="20" w:type="dxa"/>
              <w:bottom w:w="40" w:type="dxa"/>
              <w:right w:w="20" w:type="dxa"/>
            </w:tcMar>
            <w:vAlign w:val="bottom"/>
          </w:tcPr>
          <w:p w14:paraId="19503493" w14:textId="77777777" w:rsidR="00BF3A3A" w:rsidRDefault="00A76802">
            <w:pPr>
              <w:jc w:val="center"/>
              <w:textAlignment w:val="bottom"/>
            </w:pPr>
            <w:r>
              <w:rPr>
                <w:rFonts w:ascii="sans-serif" w:eastAsia="sans-serif" w:hAnsi="sans-serif" w:cs="sans-serif"/>
                <w:b/>
                <w:bCs/>
                <w:color w:val="000000"/>
                <w:sz w:val="20"/>
                <w:szCs w:val="20"/>
              </w:rPr>
              <w:t>2021</w:t>
            </w:r>
          </w:p>
        </w:tc>
      </w:tr>
      <w:tr w:rsidR="00BF3A3A" w14:paraId="19503497" w14:textId="77777777">
        <w:tc>
          <w:tcPr>
            <w:tcW w:w="0" w:type="auto"/>
            <w:gridSpan w:val="3"/>
            <w:shd w:val="clear" w:color="auto" w:fill="auto"/>
            <w:tcMar>
              <w:top w:w="40" w:type="dxa"/>
              <w:left w:w="20" w:type="dxa"/>
              <w:bottom w:w="40" w:type="dxa"/>
              <w:right w:w="20" w:type="dxa"/>
            </w:tcMar>
            <w:vAlign w:val="bottom"/>
          </w:tcPr>
          <w:p w14:paraId="19503495" w14:textId="77777777" w:rsidR="00BF3A3A" w:rsidRDefault="00A76802">
            <w:pPr>
              <w:textAlignment w:val="bottom"/>
            </w:pPr>
            <w:r>
              <w:rPr>
                <w:rFonts w:ascii="sans-serif" w:eastAsia="sans-serif" w:hAnsi="sans-serif" w:cs="sans-serif"/>
                <w:color w:val="000000"/>
                <w:sz w:val="20"/>
                <w:szCs w:val="20"/>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19503496" w14:textId="77777777" w:rsidR="00BF3A3A" w:rsidRDefault="00A76802">
            <w:pPr>
              <w:jc w:val="center"/>
              <w:textAlignment w:val="bottom"/>
            </w:pPr>
            <w:r>
              <w:rPr>
                <w:rFonts w:ascii="sans-serif" w:eastAsia="sans-serif" w:hAnsi="sans-serif" w:cs="sans-serif"/>
                <w:i/>
                <w:iCs/>
                <w:color w:val="000000"/>
                <w:sz w:val="20"/>
                <w:szCs w:val="20"/>
              </w:rPr>
              <w:t>(In millions)</w:t>
            </w:r>
          </w:p>
        </w:tc>
      </w:tr>
      <w:tr w:rsidR="00BF3A3A" w14:paraId="195034A8" w14:textId="77777777">
        <w:tc>
          <w:tcPr>
            <w:tcW w:w="0" w:type="auto"/>
            <w:gridSpan w:val="3"/>
            <w:shd w:val="clear" w:color="auto" w:fill="E2EFD9"/>
            <w:tcMar>
              <w:top w:w="40" w:type="dxa"/>
              <w:left w:w="20" w:type="dxa"/>
              <w:bottom w:w="40" w:type="dxa"/>
              <w:right w:w="20" w:type="dxa"/>
            </w:tcMar>
            <w:vAlign w:val="bottom"/>
          </w:tcPr>
          <w:p w14:paraId="19503498" w14:textId="77777777" w:rsidR="00BF3A3A" w:rsidRDefault="00A76802">
            <w:pPr>
              <w:textAlignment w:val="bottom"/>
            </w:pPr>
            <w:r>
              <w:rPr>
                <w:rFonts w:ascii="sans-serif" w:eastAsia="sans-serif" w:hAnsi="sans-serif" w:cs="sans-serif"/>
                <w:color w:val="000000"/>
                <w:sz w:val="20"/>
                <w:szCs w:val="20"/>
              </w:rPr>
              <w:t>Balance at beginning of period</w:t>
            </w:r>
          </w:p>
        </w:tc>
        <w:tc>
          <w:tcPr>
            <w:tcW w:w="0" w:type="auto"/>
            <w:shd w:val="clear" w:color="auto" w:fill="E2EFD9"/>
            <w:tcMar>
              <w:top w:w="40" w:type="dxa"/>
              <w:left w:w="20" w:type="dxa"/>
              <w:bottom w:w="40" w:type="dxa"/>
              <w:right w:w="0" w:type="dxa"/>
            </w:tcMar>
            <w:vAlign w:val="bottom"/>
          </w:tcPr>
          <w:p w14:paraId="19503499"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49A" w14:textId="77777777" w:rsidR="00BF3A3A" w:rsidRDefault="00A76802">
            <w:pPr>
              <w:jc w:val="right"/>
              <w:textAlignment w:val="bottom"/>
            </w:pPr>
            <w:r>
              <w:rPr>
                <w:rFonts w:ascii="sans-serif" w:eastAsia="sans-serif" w:hAnsi="sans-serif" w:cs="sans-serif"/>
                <w:color w:val="000000"/>
                <w:sz w:val="20"/>
                <w:szCs w:val="20"/>
              </w:rPr>
              <w:t>55 </w:t>
            </w:r>
          </w:p>
        </w:tc>
        <w:tc>
          <w:tcPr>
            <w:tcW w:w="0" w:type="auto"/>
            <w:shd w:val="clear" w:color="auto" w:fill="E2EFD9"/>
            <w:tcMar>
              <w:top w:w="40" w:type="dxa"/>
              <w:left w:w="0" w:type="dxa"/>
              <w:bottom w:w="40" w:type="dxa"/>
              <w:right w:w="20" w:type="dxa"/>
            </w:tcMar>
            <w:vAlign w:val="bottom"/>
          </w:tcPr>
          <w:p w14:paraId="1950349B"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49C"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49D"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49E" w14:textId="77777777" w:rsidR="00BF3A3A" w:rsidRDefault="00A76802">
            <w:pPr>
              <w:jc w:val="right"/>
              <w:textAlignment w:val="bottom"/>
            </w:pPr>
            <w:r>
              <w:rPr>
                <w:rFonts w:ascii="sans-serif" w:eastAsia="sans-serif" w:hAnsi="sans-serif" w:cs="sans-serif"/>
                <w:color w:val="000000"/>
                <w:sz w:val="20"/>
                <w:szCs w:val="20"/>
              </w:rPr>
              <w:t>30 </w:t>
            </w:r>
          </w:p>
        </w:tc>
        <w:tc>
          <w:tcPr>
            <w:tcW w:w="0" w:type="auto"/>
            <w:shd w:val="clear" w:color="auto" w:fill="E2EFD9"/>
            <w:tcMar>
              <w:top w:w="40" w:type="dxa"/>
              <w:left w:w="0" w:type="dxa"/>
              <w:bottom w:w="40" w:type="dxa"/>
              <w:right w:w="20" w:type="dxa"/>
            </w:tcMar>
            <w:vAlign w:val="bottom"/>
          </w:tcPr>
          <w:p w14:paraId="1950349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4A0"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4A1"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4A2" w14:textId="77777777" w:rsidR="00BF3A3A" w:rsidRDefault="00A76802">
            <w:pPr>
              <w:jc w:val="right"/>
              <w:textAlignment w:val="bottom"/>
            </w:pPr>
            <w:r>
              <w:rPr>
                <w:rFonts w:ascii="sans-serif" w:eastAsia="sans-serif" w:hAnsi="sans-serif" w:cs="sans-serif"/>
                <w:color w:val="000000"/>
                <w:sz w:val="20"/>
                <w:szCs w:val="20"/>
              </w:rPr>
              <w:t>46 </w:t>
            </w:r>
          </w:p>
        </w:tc>
        <w:tc>
          <w:tcPr>
            <w:tcW w:w="0" w:type="auto"/>
            <w:shd w:val="clear" w:color="auto" w:fill="E2EFD9"/>
            <w:tcMar>
              <w:top w:w="40" w:type="dxa"/>
              <w:left w:w="0" w:type="dxa"/>
              <w:bottom w:w="40" w:type="dxa"/>
              <w:right w:w="20" w:type="dxa"/>
            </w:tcMar>
            <w:vAlign w:val="bottom"/>
          </w:tcPr>
          <w:p w14:paraId="195034A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4A4"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4A5"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4A6" w14:textId="77777777" w:rsidR="00BF3A3A" w:rsidRDefault="00A76802">
            <w:pPr>
              <w:jc w:val="right"/>
              <w:textAlignment w:val="bottom"/>
            </w:pPr>
            <w:r>
              <w:rPr>
                <w:rFonts w:ascii="sans-serif" w:eastAsia="sans-serif" w:hAnsi="sans-serif" w:cs="sans-serif"/>
                <w:color w:val="000000"/>
                <w:sz w:val="20"/>
                <w:szCs w:val="20"/>
              </w:rPr>
              <w:t>22 </w:t>
            </w:r>
          </w:p>
        </w:tc>
        <w:tc>
          <w:tcPr>
            <w:tcW w:w="0" w:type="auto"/>
            <w:shd w:val="clear" w:color="auto" w:fill="E2EFD9"/>
            <w:tcMar>
              <w:top w:w="40" w:type="dxa"/>
              <w:left w:w="0" w:type="dxa"/>
              <w:bottom w:w="40" w:type="dxa"/>
              <w:right w:w="20" w:type="dxa"/>
            </w:tcMar>
            <w:vAlign w:val="bottom"/>
          </w:tcPr>
          <w:p w14:paraId="195034A7" w14:textId="77777777" w:rsidR="00BF3A3A" w:rsidRDefault="00BF3A3A">
            <w:pPr>
              <w:jc w:val="right"/>
              <w:rPr>
                <w:rFonts w:ascii="宋体"/>
              </w:rPr>
            </w:pPr>
          </w:p>
        </w:tc>
      </w:tr>
      <w:tr w:rsidR="00BF3A3A" w14:paraId="195034B5" w14:textId="77777777">
        <w:tc>
          <w:tcPr>
            <w:tcW w:w="0" w:type="auto"/>
            <w:gridSpan w:val="3"/>
            <w:shd w:val="clear" w:color="auto" w:fill="FFFFFF"/>
            <w:tcMar>
              <w:top w:w="40" w:type="dxa"/>
              <w:left w:w="20" w:type="dxa"/>
              <w:bottom w:w="40" w:type="dxa"/>
              <w:right w:w="20" w:type="dxa"/>
            </w:tcMar>
            <w:vAlign w:val="bottom"/>
          </w:tcPr>
          <w:p w14:paraId="195034A9" w14:textId="77777777" w:rsidR="00BF3A3A" w:rsidRDefault="00A76802">
            <w:pPr>
              <w:textAlignment w:val="bottom"/>
            </w:pPr>
            <w:r>
              <w:rPr>
                <w:rFonts w:ascii="sans-serif" w:eastAsia="sans-serif" w:hAnsi="sans-serif" w:cs="sans-serif"/>
                <w:color w:val="000000"/>
                <w:sz w:val="20"/>
                <w:szCs w:val="20"/>
              </w:rPr>
              <w:t>Additions</w:t>
            </w:r>
          </w:p>
        </w:tc>
        <w:tc>
          <w:tcPr>
            <w:tcW w:w="0" w:type="auto"/>
            <w:gridSpan w:val="2"/>
            <w:shd w:val="clear" w:color="auto" w:fill="FFFFFF"/>
            <w:tcMar>
              <w:top w:w="40" w:type="dxa"/>
              <w:left w:w="20" w:type="dxa"/>
              <w:bottom w:w="40" w:type="dxa"/>
              <w:right w:w="0" w:type="dxa"/>
            </w:tcMar>
            <w:vAlign w:val="bottom"/>
          </w:tcPr>
          <w:p w14:paraId="195034AA" w14:textId="77777777" w:rsidR="00BF3A3A" w:rsidRDefault="00A76802">
            <w:pPr>
              <w:jc w:val="right"/>
              <w:textAlignment w:val="bottom"/>
            </w:pPr>
            <w:r>
              <w:rPr>
                <w:rFonts w:ascii="sans-serif" w:eastAsia="sans-serif" w:hAnsi="sans-serif" w:cs="sans-serif"/>
                <w:color w:val="000000"/>
                <w:sz w:val="20"/>
                <w:szCs w:val="20"/>
              </w:rPr>
              <w:t>122 </w:t>
            </w:r>
          </w:p>
        </w:tc>
        <w:tc>
          <w:tcPr>
            <w:tcW w:w="0" w:type="auto"/>
            <w:shd w:val="clear" w:color="auto" w:fill="FFFFFF"/>
            <w:tcMar>
              <w:top w:w="40" w:type="dxa"/>
              <w:left w:w="0" w:type="dxa"/>
              <w:bottom w:w="40" w:type="dxa"/>
              <w:right w:w="20" w:type="dxa"/>
            </w:tcMar>
            <w:vAlign w:val="bottom"/>
          </w:tcPr>
          <w:p w14:paraId="195034AB"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4AC"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4AD" w14:textId="77777777" w:rsidR="00BF3A3A" w:rsidRDefault="00A76802">
            <w:pPr>
              <w:jc w:val="right"/>
              <w:textAlignment w:val="bottom"/>
            </w:pPr>
            <w:r>
              <w:rPr>
                <w:rFonts w:ascii="sans-serif" w:eastAsia="sans-serif" w:hAnsi="sans-serif" w:cs="sans-serif"/>
                <w:color w:val="000000"/>
                <w:sz w:val="20"/>
                <w:szCs w:val="20"/>
              </w:rPr>
              <w:t>4 </w:t>
            </w:r>
          </w:p>
        </w:tc>
        <w:tc>
          <w:tcPr>
            <w:tcW w:w="0" w:type="auto"/>
            <w:shd w:val="clear" w:color="auto" w:fill="FFFFFF"/>
            <w:tcMar>
              <w:top w:w="40" w:type="dxa"/>
              <w:left w:w="0" w:type="dxa"/>
              <w:bottom w:w="40" w:type="dxa"/>
              <w:right w:w="20" w:type="dxa"/>
            </w:tcMar>
            <w:vAlign w:val="bottom"/>
          </w:tcPr>
          <w:p w14:paraId="195034AE"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4AF"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4B0" w14:textId="77777777" w:rsidR="00BF3A3A" w:rsidRDefault="00A76802">
            <w:pPr>
              <w:jc w:val="right"/>
              <w:textAlignment w:val="bottom"/>
            </w:pPr>
            <w:r>
              <w:rPr>
                <w:rFonts w:ascii="sans-serif" w:eastAsia="sans-serif" w:hAnsi="sans-serif" w:cs="sans-serif"/>
                <w:color w:val="000000"/>
                <w:sz w:val="20"/>
                <w:szCs w:val="20"/>
              </w:rPr>
              <w:t>138 </w:t>
            </w:r>
          </w:p>
        </w:tc>
        <w:tc>
          <w:tcPr>
            <w:tcW w:w="0" w:type="auto"/>
            <w:shd w:val="clear" w:color="auto" w:fill="FFFFFF"/>
            <w:tcMar>
              <w:top w:w="40" w:type="dxa"/>
              <w:left w:w="0" w:type="dxa"/>
              <w:bottom w:w="40" w:type="dxa"/>
              <w:right w:w="20" w:type="dxa"/>
            </w:tcMar>
            <w:vAlign w:val="bottom"/>
          </w:tcPr>
          <w:p w14:paraId="195034B1"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4B2"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4B3" w14:textId="77777777" w:rsidR="00BF3A3A" w:rsidRDefault="00A76802">
            <w:pPr>
              <w:jc w:val="right"/>
              <w:textAlignment w:val="bottom"/>
            </w:pPr>
            <w:r>
              <w:rPr>
                <w:rFonts w:ascii="sans-serif" w:eastAsia="sans-serif" w:hAnsi="sans-serif" w:cs="sans-serif"/>
                <w:color w:val="000000"/>
                <w:sz w:val="20"/>
                <w:szCs w:val="20"/>
              </w:rPr>
              <w:t>15 </w:t>
            </w:r>
          </w:p>
        </w:tc>
        <w:tc>
          <w:tcPr>
            <w:tcW w:w="0" w:type="auto"/>
            <w:shd w:val="clear" w:color="auto" w:fill="FFFFFF"/>
            <w:tcMar>
              <w:top w:w="40" w:type="dxa"/>
              <w:left w:w="0" w:type="dxa"/>
              <w:bottom w:w="40" w:type="dxa"/>
              <w:right w:w="20" w:type="dxa"/>
            </w:tcMar>
            <w:vAlign w:val="bottom"/>
          </w:tcPr>
          <w:p w14:paraId="195034B4" w14:textId="77777777" w:rsidR="00BF3A3A" w:rsidRDefault="00BF3A3A">
            <w:pPr>
              <w:jc w:val="right"/>
              <w:rPr>
                <w:rFonts w:ascii="宋体"/>
              </w:rPr>
            </w:pPr>
          </w:p>
        </w:tc>
      </w:tr>
      <w:tr w:rsidR="00BF3A3A" w14:paraId="195034C2" w14:textId="77777777">
        <w:tc>
          <w:tcPr>
            <w:tcW w:w="0" w:type="auto"/>
            <w:gridSpan w:val="3"/>
            <w:shd w:val="clear" w:color="auto" w:fill="E2EFD9"/>
            <w:tcMar>
              <w:top w:w="40" w:type="dxa"/>
              <w:left w:w="20" w:type="dxa"/>
              <w:bottom w:w="40" w:type="dxa"/>
              <w:right w:w="20" w:type="dxa"/>
            </w:tcMar>
            <w:vAlign w:val="bottom"/>
          </w:tcPr>
          <w:p w14:paraId="195034B6" w14:textId="77777777" w:rsidR="00BF3A3A" w:rsidRDefault="00A76802">
            <w:pPr>
              <w:textAlignment w:val="bottom"/>
            </w:pPr>
            <w:r>
              <w:rPr>
                <w:rFonts w:ascii="sans-serif" w:eastAsia="sans-serif" w:hAnsi="sans-serif" w:cs="sans-serif"/>
                <w:color w:val="000000"/>
                <w:sz w:val="20"/>
                <w:szCs w:val="20"/>
              </w:rPr>
              <w:t>Deductions</w:t>
            </w:r>
          </w:p>
        </w:tc>
        <w:tc>
          <w:tcPr>
            <w:tcW w:w="0" w:type="auto"/>
            <w:gridSpan w:val="2"/>
            <w:shd w:val="clear" w:color="auto" w:fill="E2EFD9"/>
            <w:tcMar>
              <w:top w:w="40" w:type="dxa"/>
              <w:left w:w="20" w:type="dxa"/>
              <w:bottom w:w="40" w:type="dxa"/>
              <w:right w:w="0" w:type="dxa"/>
            </w:tcMar>
            <w:vAlign w:val="bottom"/>
          </w:tcPr>
          <w:p w14:paraId="195034B7" w14:textId="77777777" w:rsidR="00BF3A3A" w:rsidRDefault="00A76802">
            <w:pPr>
              <w:jc w:val="right"/>
              <w:textAlignment w:val="bottom"/>
            </w:pPr>
            <w:r>
              <w:rPr>
                <w:rFonts w:ascii="sans-serif" w:eastAsia="sans-serif" w:hAnsi="sans-serif" w:cs="sans-serif"/>
                <w:color w:val="000000"/>
                <w:sz w:val="20"/>
                <w:szCs w:val="20"/>
              </w:rPr>
              <w:t>(9)</w:t>
            </w:r>
          </w:p>
        </w:tc>
        <w:tc>
          <w:tcPr>
            <w:tcW w:w="0" w:type="auto"/>
            <w:shd w:val="clear" w:color="auto" w:fill="E2EFD9"/>
            <w:tcMar>
              <w:top w:w="40" w:type="dxa"/>
              <w:left w:w="0" w:type="dxa"/>
              <w:bottom w:w="40" w:type="dxa"/>
              <w:right w:w="20" w:type="dxa"/>
            </w:tcMar>
            <w:vAlign w:val="bottom"/>
          </w:tcPr>
          <w:p w14:paraId="195034B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4B9"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4BA" w14:textId="77777777" w:rsidR="00BF3A3A" w:rsidRDefault="00A76802">
            <w:pPr>
              <w:jc w:val="right"/>
              <w:textAlignment w:val="bottom"/>
            </w:pPr>
            <w:r>
              <w:rPr>
                <w:rFonts w:ascii="sans-serif" w:eastAsia="sans-serif" w:hAnsi="sans-serif" w:cs="sans-serif"/>
                <w:color w:val="000000"/>
                <w:sz w:val="20"/>
                <w:szCs w:val="20"/>
              </w:rPr>
              <w:t>(3)</w:t>
            </w:r>
          </w:p>
        </w:tc>
        <w:tc>
          <w:tcPr>
            <w:tcW w:w="0" w:type="auto"/>
            <w:shd w:val="clear" w:color="auto" w:fill="E2EFD9"/>
            <w:tcMar>
              <w:top w:w="40" w:type="dxa"/>
              <w:left w:w="0" w:type="dxa"/>
              <w:bottom w:w="40" w:type="dxa"/>
              <w:right w:w="20" w:type="dxa"/>
            </w:tcMar>
            <w:vAlign w:val="bottom"/>
          </w:tcPr>
          <w:p w14:paraId="195034BB"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4BC"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4BD" w14:textId="77777777" w:rsidR="00BF3A3A" w:rsidRDefault="00A76802">
            <w:pPr>
              <w:jc w:val="right"/>
              <w:textAlignment w:val="bottom"/>
            </w:pPr>
            <w:r>
              <w:rPr>
                <w:rFonts w:ascii="sans-serif" w:eastAsia="sans-serif" w:hAnsi="sans-serif" w:cs="sans-serif"/>
                <w:color w:val="000000"/>
                <w:sz w:val="20"/>
                <w:szCs w:val="20"/>
              </w:rPr>
              <w:t>(16)</w:t>
            </w:r>
          </w:p>
        </w:tc>
        <w:tc>
          <w:tcPr>
            <w:tcW w:w="0" w:type="auto"/>
            <w:shd w:val="clear" w:color="auto" w:fill="E2EFD9"/>
            <w:tcMar>
              <w:top w:w="40" w:type="dxa"/>
              <w:left w:w="0" w:type="dxa"/>
              <w:bottom w:w="40" w:type="dxa"/>
              <w:right w:w="20" w:type="dxa"/>
            </w:tcMar>
            <w:vAlign w:val="bottom"/>
          </w:tcPr>
          <w:p w14:paraId="195034B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4BF"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4C0" w14:textId="77777777" w:rsidR="00BF3A3A" w:rsidRDefault="00A76802">
            <w:pPr>
              <w:jc w:val="right"/>
              <w:textAlignment w:val="bottom"/>
            </w:pPr>
            <w:r>
              <w:rPr>
                <w:rFonts w:ascii="sans-serif" w:eastAsia="sans-serif" w:hAnsi="sans-serif" w:cs="sans-serif"/>
                <w:color w:val="000000"/>
                <w:sz w:val="20"/>
                <w:szCs w:val="20"/>
              </w:rPr>
              <w:t>(6)</w:t>
            </w:r>
          </w:p>
        </w:tc>
        <w:tc>
          <w:tcPr>
            <w:tcW w:w="0" w:type="auto"/>
            <w:shd w:val="clear" w:color="auto" w:fill="E2EFD9"/>
            <w:tcMar>
              <w:top w:w="40" w:type="dxa"/>
              <w:left w:w="0" w:type="dxa"/>
              <w:bottom w:w="40" w:type="dxa"/>
              <w:right w:w="20" w:type="dxa"/>
            </w:tcMar>
            <w:vAlign w:val="bottom"/>
          </w:tcPr>
          <w:p w14:paraId="195034C1" w14:textId="77777777" w:rsidR="00BF3A3A" w:rsidRDefault="00BF3A3A">
            <w:pPr>
              <w:jc w:val="right"/>
              <w:rPr>
                <w:rFonts w:ascii="宋体"/>
              </w:rPr>
            </w:pPr>
          </w:p>
        </w:tc>
      </w:tr>
      <w:tr w:rsidR="00BF3A3A" w14:paraId="195034D3" w14:textId="77777777">
        <w:tc>
          <w:tcPr>
            <w:tcW w:w="0" w:type="auto"/>
            <w:gridSpan w:val="3"/>
            <w:shd w:val="clear" w:color="auto" w:fill="FFFFFF"/>
            <w:tcMar>
              <w:top w:w="40" w:type="dxa"/>
              <w:left w:w="245" w:type="dxa"/>
              <w:bottom w:w="40" w:type="dxa"/>
              <w:right w:w="20" w:type="dxa"/>
            </w:tcMar>
            <w:vAlign w:val="bottom"/>
          </w:tcPr>
          <w:p w14:paraId="195034C3" w14:textId="77777777" w:rsidR="00BF3A3A" w:rsidRDefault="00A76802">
            <w:pPr>
              <w:textAlignment w:val="bottom"/>
            </w:pPr>
            <w:r>
              <w:rPr>
                <w:rFonts w:ascii="sans-serif" w:eastAsia="sans-serif" w:hAnsi="sans-serif" w:cs="sans-serif"/>
                <w:color w:val="000000"/>
                <w:sz w:val="20"/>
                <w:szCs w:val="20"/>
              </w:rPr>
              <w:t xml:space="preserve">Balance at end of period </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4C4"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34C5" w14:textId="77777777" w:rsidR="00BF3A3A" w:rsidRDefault="00A76802">
            <w:pPr>
              <w:jc w:val="right"/>
              <w:textAlignment w:val="bottom"/>
            </w:pPr>
            <w:r>
              <w:rPr>
                <w:rFonts w:ascii="sans-serif" w:eastAsia="sans-serif" w:hAnsi="sans-serif" w:cs="sans-serif"/>
                <w:color w:val="000000"/>
                <w:sz w:val="20"/>
                <w:szCs w:val="20"/>
              </w:rPr>
              <w:t>168 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4C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4C7"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4C8"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34C9" w14:textId="77777777" w:rsidR="00BF3A3A" w:rsidRDefault="00A76802">
            <w:pPr>
              <w:jc w:val="right"/>
              <w:textAlignment w:val="bottom"/>
            </w:pPr>
            <w:r>
              <w:rPr>
                <w:rFonts w:ascii="sans-serif" w:eastAsia="sans-serif" w:hAnsi="sans-serif" w:cs="sans-serif"/>
                <w:color w:val="000000"/>
                <w:sz w:val="20"/>
                <w:szCs w:val="20"/>
              </w:rPr>
              <w:t>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4CA"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4CB"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4CC"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34CD" w14:textId="77777777" w:rsidR="00BF3A3A" w:rsidRDefault="00A76802">
            <w:pPr>
              <w:jc w:val="right"/>
              <w:textAlignment w:val="bottom"/>
            </w:pPr>
            <w:r>
              <w:rPr>
                <w:rFonts w:ascii="sans-serif" w:eastAsia="sans-serif" w:hAnsi="sans-serif" w:cs="sans-serif"/>
                <w:color w:val="000000"/>
                <w:sz w:val="20"/>
                <w:szCs w:val="20"/>
              </w:rPr>
              <w:t>168 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4CE"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4CF"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4D0"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34D1" w14:textId="77777777" w:rsidR="00BF3A3A" w:rsidRDefault="00A76802">
            <w:pPr>
              <w:jc w:val="right"/>
              <w:textAlignment w:val="bottom"/>
            </w:pPr>
            <w:r>
              <w:rPr>
                <w:rFonts w:ascii="sans-serif" w:eastAsia="sans-serif" w:hAnsi="sans-serif" w:cs="sans-serif"/>
                <w:color w:val="000000"/>
                <w:sz w:val="20"/>
                <w:szCs w:val="20"/>
              </w:rPr>
              <w:t>31 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4D2" w14:textId="77777777" w:rsidR="00BF3A3A" w:rsidRDefault="00BF3A3A">
            <w:pPr>
              <w:jc w:val="right"/>
              <w:rPr>
                <w:rFonts w:ascii="宋体"/>
              </w:rPr>
            </w:pPr>
          </w:p>
        </w:tc>
      </w:tr>
    </w:tbl>
    <w:p w14:paraId="195034D4" w14:textId="77777777" w:rsidR="00BF3A3A" w:rsidRDefault="00A76802">
      <w:pPr>
        <w:spacing w:before="180" w:after="180"/>
        <w:jc w:val="both"/>
      </w:pPr>
      <w:r>
        <w:rPr>
          <w:rFonts w:ascii="sans-serif" w:eastAsia="sans-serif" w:hAnsi="sans-serif" w:cs="sans-serif"/>
          <w:color w:val="000000"/>
          <w:sz w:val="20"/>
          <w:szCs w:val="20"/>
        </w:rPr>
        <w:t>In connection with certain agreements that we have entered in the past, we have provided indemnities for m</w:t>
      </w:r>
      <w:r>
        <w:rPr>
          <w:rFonts w:ascii="sans-serif" w:eastAsia="sans-serif" w:hAnsi="sans-serif" w:cs="sans-serif"/>
          <w:color w:val="000000"/>
          <w:sz w:val="20"/>
          <w:szCs w:val="20"/>
        </w:rPr>
        <w:t>atters such as tax, product, and employee liabilities. We have included intellectual property indemnification provisions in our technology-related agreements with third parties. Maximum potential future payments cannot be estimated because many of these ag</w:t>
      </w:r>
      <w:r>
        <w:rPr>
          <w:rFonts w:ascii="sans-serif" w:eastAsia="sans-serif" w:hAnsi="sans-serif" w:cs="sans-serif"/>
          <w:color w:val="000000"/>
          <w:sz w:val="20"/>
          <w:szCs w:val="20"/>
        </w:rPr>
        <w:t>reements do not have a maximum stated liability. We have not recorded any liability in our Condensed Consolidated Financial Statements for such indemnifications.</w:t>
      </w:r>
    </w:p>
    <w:p w14:paraId="195034D5" w14:textId="77777777" w:rsidR="00BF3A3A" w:rsidRDefault="00A76802">
      <w:pPr>
        <w:spacing w:before="120" w:after="120"/>
        <w:jc w:val="both"/>
      </w:pPr>
      <w:r>
        <w:rPr>
          <w:rFonts w:ascii="sans-serif" w:eastAsia="sans-serif" w:hAnsi="sans-serif" w:cs="sans-serif"/>
          <w:b/>
          <w:bCs/>
          <w:color w:val="000000"/>
          <w:sz w:val="20"/>
          <w:szCs w:val="20"/>
        </w:rPr>
        <w:t>Securities Class Action and Derivative Lawsuits</w:t>
      </w:r>
    </w:p>
    <w:p w14:paraId="195034D6" w14:textId="77777777" w:rsidR="00BF3A3A" w:rsidRDefault="00A76802">
      <w:pPr>
        <w:spacing w:after="180"/>
        <w:jc w:val="both"/>
      </w:pPr>
      <w:r>
        <w:rPr>
          <w:rFonts w:ascii="sans-serif" w:eastAsia="sans-serif" w:hAnsi="sans-serif" w:cs="sans-serif"/>
          <w:color w:val="000000"/>
          <w:sz w:val="20"/>
          <w:szCs w:val="20"/>
        </w:rPr>
        <w:t xml:space="preserve">The plaintiffs in the putative securities class action lawsuit, captioned 4:18-cv-07669-HSG, initially filed on December 21, 2018 in the United States District Court for the Northern District of California, and titled </w:t>
      </w:r>
      <w:r>
        <w:rPr>
          <w:rFonts w:ascii="sans-serif" w:eastAsia="sans-serif" w:hAnsi="sans-serif" w:cs="sans-serif"/>
          <w:i/>
          <w:iCs/>
          <w:color w:val="000000"/>
          <w:sz w:val="20"/>
          <w:szCs w:val="20"/>
        </w:rPr>
        <w:t>In Re NVIDIA Corporation Securities Li</w:t>
      </w:r>
      <w:r>
        <w:rPr>
          <w:rFonts w:ascii="sans-serif" w:eastAsia="sans-serif" w:hAnsi="sans-serif" w:cs="sans-serif"/>
          <w:i/>
          <w:iCs/>
          <w:color w:val="000000"/>
          <w:sz w:val="20"/>
          <w:szCs w:val="20"/>
        </w:rPr>
        <w:t>tigation</w:t>
      </w:r>
      <w:r>
        <w:rPr>
          <w:rFonts w:ascii="sans-serif" w:eastAsia="sans-serif" w:hAnsi="sans-serif" w:cs="sans-serif"/>
          <w:color w:val="000000"/>
          <w:sz w:val="20"/>
          <w:szCs w:val="20"/>
        </w:rPr>
        <w:t>, filed an amended complaint on May 13, 2020. The amended complaint asserted that NVIDIA and certain NVIDIA executives violated Section 10(b) of the Securities Exchange Act of 1934, as amended, or the Exchange Act, and SEC Rule 10b-5, by making mat</w:t>
      </w:r>
      <w:r>
        <w:rPr>
          <w:rFonts w:ascii="sans-serif" w:eastAsia="sans-serif" w:hAnsi="sans-serif" w:cs="sans-serif"/>
          <w:color w:val="000000"/>
          <w:sz w:val="20"/>
          <w:szCs w:val="20"/>
        </w:rPr>
        <w:t>erially false or misleading statements related to channel inventory and the impact of cryptocurrency mining on GPU demand between May 10, 2017 and November 14, 2018. Plaintiffs also alleged that the NVIDIA executives who they named as defendants violated S</w:t>
      </w:r>
      <w:r>
        <w:rPr>
          <w:rFonts w:ascii="sans-serif" w:eastAsia="sans-serif" w:hAnsi="sans-serif" w:cs="sans-serif"/>
          <w:color w:val="000000"/>
          <w:sz w:val="20"/>
          <w:szCs w:val="20"/>
        </w:rPr>
        <w:t>ection 20(a) of the Exchange Act. Plaintiffs sought class certification, an award of unspecified compensatory damages, an award of reasonable costs and expenses, including attorneys’ fees and expert fees, and further relief as the Court may deem just and p</w:t>
      </w:r>
      <w:r>
        <w:rPr>
          <w:rFonts w:ascii="sans-serif" w:eastAsia="sans-serif" w:hAnsi="sans-serif" w:cs="sans-serif"/>
          <w:color w:val="000000"/>
          <w:sz w:val="20"/>
          <w:szCs w:val="20"/>
        </w:rPr>
        <w:t>roper. On March 2, 2021, the district court granted NVIDIA’s motion to dismiss the complaint without leave to amend, entered judgment in favor of NVIDIA and closed the case. On March 30, 2021, plaintiffs filed an appeal from judgment in the United States C</w:t>
      </w:r>
      <w:r>
        <w:rPr>
          <w:rFonts w:ascii="sans-serif" w:eastAsia="sans-serif" w:hAnsi="sans-serif" w:cs="sans-serif"/>
          <w:color w:val="000000"/>
          <w:sz w:val="20"/>
          <w:szCs w:val="20"/>
        </w:rPr>
        <w:t xml:space="preserve">ourt of Appeals for the Ninth Circuit, case number 21-15604. Oral argument on the appeal was held on May 10, 2022. </w:t>
      </w:r>
    </w:p>
    <w:p w14:paraId="195034D7" w14:textId="77777777" w:rsidR="00BF3A3A" w:rsidRDefault="00A76802">
      <w:pPr>
        <w:spacing w:after="180"/>
        <w:jc w:val="center"/>
      </w:pPr>
      <w:r>
        <w:rPr>
          <w:rFonts w:ascii="sans-serif" w:eastAsia="sans-serif" w:hAnsi="sans-serif" w:cs="sans-serif"/>
          <w:color w:val="000000"/>
          <w:sz w:val="20"/>
          <w:szCs w:val="20"/>
        </w:rPr>
        <w:t>19</w:t>
      </w:r>
    </w:p>
    <w:p w14:paraId="195034D8" w14:textId="77777777" w:rsidR="00BF3A3A" w:rsidRDefault="00A76802">
      <w:r>
        <w:pict w14:anchorId="19503FD8">
          <v:rect id="_x0000_i1043" style="width:415.3pt;height:1.5pt" o:hralign="center" o:hrstd="t" o:hr="t" fillcolor="#a0a0a0" stroked="f"/>
        </w:pict>
      </w:r>
    </w:p>
    <w:p w14:paraId="195034D9" w14:textId="77777777" w:rsidR="00BF3A3A" w:rsidRDefault="00A76802">
      <w:pPr>
        <w:jc w:val="center"/>
      </w:pPr>
      <w:r>
        <w:rPr>
          <w:rFonts w:ascii="sans-serif" w:eastAsia="sans-serif" w:hAnsi="sans-serif" w:cs="sans-serif"/>
          <w:b/>
          <w:bCs/>
          <w:color w:val="000000"/>
          <w:sz w:val="20"/>
          <w:szCs w:val="20"/>
        </w:rPr>
        <w:t>NVIDIA CORPORATION AND SUBSIDIARIES</w:t>
      </w:r>
    </w:p>
    <w:p w14:paraId="195034DA" w14:textId="77777777" w:rsidR="00BF3A3A" w:rsidRDefault="00A76802">
      <w:pPr>
        <w:jc w:val="center"/>
      </w:pPr>
      <w:r>
        <w:rPr>
          <w:rFonts w:ascii="sans-serif" w:eastAsia="sans-serif" w:hAnsi="sans-serif" w:cs="sans-serif"/>
          <w:b/>
          <w:bCs/>
          <w:color w:val="000000"/>
          <w:sz w:val="20"/>
          <w:szCs w:val="20"/>
        </w:rPr>
        <w:t>NOTES TO CONDENSED CONSOLIDATED FINANCIAL STATEMENTS (Continued)</w:t>
      </w:r>
    </w:p>
    <w:p w14:paraId="195034DB" w14:textId="77777777" w:rsidR="00BF3A3A" w:rsidRDefault="00A76802">
      <w:pPr>
        <w:jc w:val="center"/>
      </w:pPr>
      <w:r>
        <w:rPr>
          <w:rFonts w:ascii="sans-serif" w:eastAsia="sans-serif" w:hAnsi="sans-serif" w:cs="sans-serif"/>
          <w:b/>
          <w:bCs/>
          <w:color w:val="000000"/>
          <w:sz w:val="20"/>
          <w:szCs w:val="20"/>
        </w:rPr>
        <w:t>(Unaudited)</w:t>
      </w:r>
    </w:p>
    <w:p w14:paraId="195034DC" w14:textId="77777777" w:rsidR="00BF3A3A" w:rsidRDefault="00BF3A3A">
      <w:pPr>
        <w:spacing w:after="180"/>
        <w:jc w:val="both"/>
      </w:pPr>
    </w:p>
    <w:p w14:paraId="195034DD" w14:textId="77777777" w:rsidR="00BF3A3A" w:rsidRDefault="00BF3A3A">
      <w:pPr>
        <w:spacing w:after="180"/>
        <w:jc w:val="both"/>
      </w:pPr>
    </w:p>
    <w:p w14:paraId="195034DE" w14:textId="77777777" w:rsidR="00BF3A3A" w:rsidRDefault="00A76802">
      <w:pPr>
        <w:spacing w:after="180"/>
        <w:jc w:val="both"/>
      </w:pPr>
      <w:r>
        <w:rPr>
          <w:rFonts w:ascii="sans-serif" w:eastAsia="sans-serif" w:hAnsi="sans-serif" w:cs="sans-serif"/>
          <w:color w:val="000000"/>
          <w:sz w:val="20"/>
          <w:szCs w:val="20"/>
        </w:rPr>
        <w:t>The putative derivat</w:t>
      </w:r>
      <w:r>
        <w:rPr>
          <w:rFonts w:ascii="sans-serif" w:eastAsia="sans-serif" w:hAnsi="sans-serif" w:cs="sans-serif"/>
          <w:color w:val="000000"/>
          <w:sz w:val="20"/>
          <w:szCs w:val="20"/>
        </w:rPr>
        <w:t xml:space="preserve">ive lawsuit pending in the United States District Court for the Northern District of California, captioned 4:19-cv-00341-HSG, initially filed January 18, 2019 and titled </w:t>
      </w:r>
      <w:r>
        <w:rPr>
          <w:rFonts w:ascii="sans-serif" w:eastAsia="sans-serif" w:hAnsi="sans-serif" w:cs="sans-serif"/>
          <w:i/>
          <w:iCs/>
          <w:color w:val="000000"/>
          <w:sz w:val="20"/>
          <w:szCs w:val="20"/>
        </w:rPr>
        <w:t>In re NVIDIA Corporation Consolidated Derivative Litigation</w:t>
      </w:r>
      <w:r>
        <w:rPr>
          <w:rFonts w:ascii="sans-serif" w:eastAsia="sans-serif" w:hAnsi="sans-serif" w:cs="sans-serif"/>
          <w:color w:val="000000"/>
          <w:sz w:val="20"/>
          <w:szCs w:val="20"/>
        </w:rPr>
        <w:t>, was stayed pending resolu</w:t>
      </w:r>
      <w:r>
        <w:rPr>
          <w:rFonts w:ascii="sans-serif" w:eastAsia="sans-serif" w:hAnsi="sans-serif" w:cs="sans-serif"/>
          <w:color w:val="000000"/>
          <w:sz w:val="20"/>
          <w:szCs w:val="20"/>
        </w:rPr>
        <w:t xml:space="preserve">tion of the plaintiffs’ appeal in the </w:t>
      </w:r>
      <w:r>
        <w:rPr>
          <w:rFonts w:ascii="sans-serif" w:eastAsia="sans-serif" w:hAnsi="sans-serif" w:cs="sans-serif"/>
          <w:i/>
          <w:iCs/>
          <w:color w:val="000000"/>
          <w:sz w:val="20"/>
          <w:szCs w:val="20"/>
        </w:rPr>
        <w:t>In Re NVIDIA Corporation Securities Litigation</w:t>
      </w:r>
      <w:r>
        <w:rPr>
          <w:rFonts w:ascii="sans-serif" w:eastAsia="sans-serif" w:hAnsi="sans-serif" w:cs="sans-serif"/>
          <w:color w:val="000000"/>
          <w:sz w:val="20"/>
          <w:szCs w:val="20"/>
        </w:rPr>
        <w:t xml:space="preserve"> action. On February 22, 2022, the court administratively closed the case, but stated that it would reopen the case once the appeal in the </w:t>
      </w:r>
      <w:r>
        <w:rPr>
          <w:rFonts w:ascii="sans-serif" w:eastAsia="sans-serif" w:hAnsi="sans-serif" w:cs="sans-serif"/>
          <w:i/>
          <w:iCs/>
          <w:color w:val="000000"/>
          <w:sz w:val="20"/>
          <w:szCs w:val="20"/>
        </w:rPr>
        <w:t>In Re NVIDIA Corporation Securiti</w:t>
      </w:r>
      <w:r>
        <w:rPr>
          <w:rFonts w:ascii="sans-serif" w:eastAsia="sans-serif" w:hAnsi="sans-serif" w:cs="sans-serif"/>
          <w:i/>
          <w:iCs/>
          <w:color w:val="000000"/>
          <w:sz w:val="20"/>
          <w:szCs w:val="20"/>
        </w:rPr>
        <w:t>es Litigation</w:t>
      </w:r>
      <w:r>
        <w:rPr>
          <w:rFonts w:ascii="sans-serif" w:eastAsia="sans-serif" w:hAnsi="sans-serif" w:cs="sans-serif"/>
          <w:color w:val="000000"/>
          <w:sz w:val="20"/>
          <w:szCs w:val="20"/>
        </w:rPr>
        <w:t xml:space="preserve"> action is resolved. The lawsuit asserts claims, purportedly on behalf of us, against certain officers and directors of the Company for breach of fiduciary duty, unjust enrichment, waste of corporate assets, and violations of Sections 14(a), 1</w:t>
      </w:r>
      <w:r>
        <w:rPr>
          <w:rFonts w:ascii="sans-serif" w:eastAsia="sans-serif" w:hAnsi="sans-serif" w:cs="sans-serif"/>
          <w:color w:val="000000"/>
          <w:sz w:val="20"/>
          <w:szCs w:val="20"/>
        </w:rPr>
        <w:t>0(b), and 20(a) of the Exchange Act based on the dissemination of allegedly false and misleading statements related to channel inventory and the impact of cryptocurrency mining on GPU demand. The plaintiffs are seeking unspecified damages and other relief,</w:t>
      </w:r>
      <w:r>
        <w:rPr>
          <w:rFonts w:ascii="sans-serif" w:eastAsia="sans-serif" w:hAnsi="sans-serif" w:cs="sans-serif"/>
          <w:color w:val="000000"/>
          <w:sz w:val="20"/>
          <w:szCs w:val="20"/>
        </w:rPr>
        <w:t xml:space="preserve"> including reforms and improvements to NVIDIA’s corporate governance and internal procedures.</w:t>
      </w:r>
    </w:p>
    <w:p w14:paraId="195034DF" w14:textId="77777777" w:rsidR="00BF3A3A" w:rsidRDefault="00A76802">
      <w:pPr>
        <w:spacing w:after="180"/>
        <w:jc w:val="both"/>
      </w:pPr>
      <w:r>
        <w:rPr>
          <w:rFonts w:ascii="sans-serif" w:eastAsia="sans-serif" w:hAnsi="sans-serif" w:cs="sans-serif"/>
          <w:color w:val="000000"/>
          <w:sz w:val="20"/>
          <w:szCs w:val="20"/>
        </w:rPr>
        <w:t xml:space="preserve">The putative derivative actions initially filed September 24, 2019 and pending in the United States District Court for the District of Delaware, </w:t>
      </w:r>
      <w:r>
        <w:rPr>
          <w:rFonts w:ascii="sans-serif" w:eastAsia="sans-serif" w:hAnsi="sans-serif" w:cs="sans-serif"/>
          <w:i/>
          <w:iCs/>
          <w:color w:val="000000"/>
          <w:sz w:val="20"/>
          <w:szCs w:val="20"/>
        </w:rPr>
        <w:t>Lipchitz v. Huang</w:t>
      </w:r>
      <w:r>
        <w:rPr>
          <w:rFonts w:ascii="sans-serif" w:eastAsia="sans-serif" w:hAnsi="sans-serif" w:cs="sans-serif"/>
          <w:i/>
          <w:iCs/>
          <w:color w:val="000000"/>
          <w:sz w:val="20"/>
          <w:szCs w:val="20"/>
        </w:rPr>
        <w:t>, et al.</w:t>
      </w:r>
      <w:r>
        <w:rPr>
          <w:rFonts w:ascii="sans-serif" w:eastAsia="sans-serif" w:hAnsi="sans-serif" w:cs="sans-serif"/>
          <w:color w:val="000000"/>
          <w:sz w:val="20"/>
          <w:szCs w:val="20"/>
        </w:rPr>
        <w:t xml:space="preserve"> (Case No. 1:19-cv-01795-UNA) and </w:t>
      </w:r>
      <w:r>
        <w:rPr>
          <w:rFonts w:ascii="sans-serif" w:eastAsia="sans-serif" w:hAnsi="sans-serif" w:cs="sans-serif"/>
          <w:i/>
          <w:iCs/>
          <w:color w:val="000000"/>
          <w:sz w:val="20"/>
          <w:szCs w:val="20"/>
        </w:rPr>
        <w:t xml:space="preserve">Nelson v. Huang, et. al. </w:t>
      </w:r>
      <w:r>
        <w:rPr>
          <w:rFonts w:ascii="sans-serif" w:eastAsia="sans-serif" w:hAnsi="sans-serif" w:cs="sans-serif"/>
          <w:color w:val="000000"/>
          <w:sz w:val="20"/>
          <w:szCs w:val="20"/>
        </w:rPr>
        <w:t xml:space="preserve">(Case No. 1:19-cv-01798- UNA), remain stayed pending resolution of the plaintiffs’ appeal in the </w:t>
      </w:r>
      <w:r>
        <w:rPr>
          <w:rFonts w:ascii="sans-serif" w:eastAsia="sans-serif" w:hAnsi="sans-serif" w:cs="sans-serif"/>
          <w:i/>
          <w:iCs/>
          <w:color w:val="000000"/>
          <w:sz w:val="20"/>
          <w:szCs w:val="20"/>
        </w:rPr>
        <w:t>In Re NVIDIA Corporation Securities Litigation</w:t>
      </w:r>
      <w:r>
        <w:rPr>
          <w:rFonts w:ascii="sans-serif" w:eastAsia="sans-serif" w:hAnsi="sans-serif" w:cs="sans-serif"/>
          <w:color w:val="000000"/>
          <w:sz w:val="20"/>
          <w:szCs w:val="20"/>
        </w:rPr>
        <w:t xml:space="preserve"> action. The lawsuits assert claims, purported</w:t>
      </w:r>
      <w:r>
        <w:rPr>
          <w:rFonts w:ascii="sans-serif" w:eastAsia="sans-serif" w:hAnsi="sans-serif" w:cs="sans-serif"/>
          <w:color w:val="000000"/>
          <w:sz w:val="20"/>
          <w:szCs w:val="20"/>
        </w:rPr>
        <w:t xml:space="preserve">ly on behalf of us, against certain officers and directors of the Company for breach of fiduciary duty, unjust enrichment, insider trading, misappropriation of information, corporate waste and violations of Sections 14(a), 10(b), and 20(a) of the Exchange </w:t>
      </w:r>
      <w:r>
        <w:rPr>
          <w:rFonts w:ascii="sans-serif" w:eastAsia="sans-serif" w:hAnsi="sans-serif" w:cs="sans-serif"/>
          <w:color w:val="000000"/>
          <w:sz w:val="20"/>
          <w:szCs w:val="20"/>
        </w:rPr>
        <w:t>Act based on the dissemination of allegedly false, and misleading statements related to channel inventory and the impact of cryptocurrency mining on GPU demand. The plaintiffs seek unspecified damages and other relief, including disgorgement of profits fro</w:t>
      </w:r>
      <w:r>
        <w:rPr>
          <w:rFonts w:ascii="sans-serif" w:eastAsia="sans-serif" w:hAnsi="sans-serif" w:cs="sans-serif"/>
          <w:color w:val="000000"/>
          <w:sz w:val="20"/>
          <w:szCs w:val="20"/>
        </w:rPr>
        <w:t>m the sale of NVIDIA stock and unspecified corporate governance measures.</w:t>
      </w:r>
    </w:p>
    <w:p w14:paraId="195034E0" w14:textId="77777777" w:rsidR="00BF3A3A" w:rsidRDefault="00A76802">
      <w:pPr>
        <w:spacing w:before="120" w:after="120"/>
        <w:jc w:val="both"/>
      </w:pPr>
      <w:r>
        <w:rPr>
          <w:rFonts w:ascii="sans-serif" w:eastAsia="sans-serif" w:hAnsi="sans-serif" w:cs="sans-serif"/>
          <w:b/>
          <w:bCs/>
          <w:color w:val="000000"/>
          <w:sz w:val="20"/>
          <w:szCs w:val="20"/>
        </w:rPr>
        <w:t>Settlement</w:t>
      </w:r>
    </w:p>
    <w:p w14:paraId="195034E1" w14:textId="77777777" w:rsidR="00BF3A3A" w:rsidRDefault="00A76802">
      <w:pPr>
        <w:jc w:val="both"/>
      </w:pPr>
      <w:r>
        <w:rPr>
          <w:rFonts w:ascii="sans-serif" w:eastAsia="sans-serif" w:hAnsi="sans-serif" w:cs="sans-serif"/>
          <w:color w:val="000000"/>
          <w:sz w:val="20"/>
          <w:szCs w:val="20"/>
        </w:rPr>
        <w:t xml:space="preserve">In May 2022, NVIDIA entered into a settlement with the SEC relating to MD&amp;A disclosures in our Forms 10-Q for the second and third quarters of fiscal year 2018 concerning </w:t>
      </w:r>
      <w:r>
        <w:rPr>
          <w:rFonts w:ascii="sans-serif" w:eastAsia="sans-serif" w:hAnsi="sans-serif" w:cs="sans-serif"/>
          <w:color w:val="000000"/>
          <w:sz w:val="20"/>
          <w:szCs w:val="20"/>
        </w:rPr>
        <w:t>the impact of cryptocurrency mining on year-over-year growth in revenue for our gaming specialized market during those periods. As part of the settlement, without admitting or denying the findings in the administrative order issued by the SEC, NVIDIA agree</w:t>
      </w:r>
      <w:r>
        <w:rPr>
          <w:rFonts w:ascii="sans-serif" w:eastAsia="sans-serif" w:hAnsi="sans-serif" w:cs="sans-serif"/>
          <w:color w:val="000000"/>
          <w:sz w:val="20"/>
          <w:szCs w:val="20"/>
        </w:rPr>
        <w:t>d to cease-and-desist from violating certain federal securities laws and paid a $5.5 million civil penalty.</w:t>
      </w:r>
    </w:p>
    <w:p w14:paraId="195034E2" w14:textId="77777777" w:rsidR="00BF3A3A" w:rsidRDefault="00A76802">
      <w:pPr>
        <w:spacing w:before="120" w:after="120"/>
        <w:jc w:val="both"/>
      </w:pPr>
      <w:r>
        <w:rPr>
          <w:rFonts w:ascii="sans-serif" w:eastAsia="sans-serif" w:hAnsi="sans-serif" w:cs="sans-serif"/>
          <w:b/>
          <w:bCs/>
          <w:color w:val="000000"/>
          <w:sz w:val="20"/>
          <w:szCs w:val="20"/>
        </w:rPr>
        <w:t>Accounting for Loss Contingencies</w:t>
      </w:r>
    </w:p>
    <w:p w14:paraId="195034E3" w14:textId="77777777" w:rsidR="00BF3A3A" w:rsidRDefault="00A76802">
      <w:pPr>
        <w:spacing w:after="180"/>
        <w:jc w:val="both"/>
      </w:pPr>
      <w:r>
        <w:rPr>
          <w:rFonts w:ascii="sans-serif" w:eastAsia="sans-serif" w:hAnsi="sans-serif" w:cs="sans-serif"/>
          <w:color w:val="000000"/>
          <w:sz w:val="20"/>
          <w:szCs w:val="20"/>
        </w:rPr>
        <w:t>As of July 31, 2022, we have not recorded any accrual for contingent liabilities associated with the legal proceed</w:t>
      </w:r>
      <w:r>
        <w:rPr>
          <w:rFonts w:ascii="sans-serif" w:eastAsia="sans-serif" w:hAnsi="sans-serif" w:cs="sans-serif"/>
          <w:color w:val="000000"/>
          <w:sz w:val="20"/>
          <w:szCs w:val="20"/>
        </w:rPr>
        <w:t>ings described above based on our belief that liabilities, while possible, are not probable. Further, except as specifically described above, any possible loss or range of loss in these matters cannot be reasonably estimated at this time. We are engaged in</w:t>
      </w:r>
      <w:r>
        <w:rPr>
          <w:rFonts w:ascii="sans-serif" w:eastAsia="sans-serif" w:hAnsi="sans-serif" w:cs="sans-serif"/>
          <w:color w:val="000000"/>
          <w:sz w:val="20"/>
          <w:szCs w:val="20"/>
        </w:rPr>
        <w:t xml:space="preserve"> legal actions not described above arising in the ordinary course of business and, while there can be no assurance of favorable outcomes, we believe that the ultimate outcome of these actions will not have a material adverse effect on our operating results</w:t>
      </w:r>
      <w:r>
        <w:rPr>
          <w:rFonts w:ascii="sans-serif" w:eastAsia="sans-serif" w:hAnsi="sans-serif" w:cs="sans-serif"/>
          <w:color w:val="000000"/>
          <w:sz w:val="20"/>
          <w:szCs w:val="20"/>
        </w:rPr>
        <w:t>, liquidity or financial position.</w:t>
      </w:r>
    </w:p>
    <w:p w14:paraId="195034E4" w14:textId="77777777" w:rsidR="00BF3A3A" w:rsidRDefault="00A76802">
      <w:pPr>
        <w:spacing w:before="240" w:after="120"/>
        <w:jc w:val="both"/>
      </w:pPr>
      <w:r>
        <w:rPr>
          <w:rFonts w:ascii="sans-serif" w:eastAsia="sans-serif" w:hAnsi="sans-serif" w:cs="sans-serif"/>
          <w:b/>
          <w:bCs/>
          <w:color w:val="76B900"/>
          <w:sz w:val="22"/>
          <w:szCs w:val="22"/>
        </w:rPr>
        <w:t>Note 14 - Shareholders’ Equity</w:t>
      </w:r>
      <w:r>
        <w:rPr>
          <w:rFonts w:ascii="sans-serif" w:eastAsia="sans-serif" w:hAnsi="sans-serif" w:cs="sans-serif"/>
          <w:color w:val="000000"/>
          <w:sz w:val="20"/>
          <w:szCs w:val="20"/>
        </w:rPr>
        <w:t> </w:t>
      </w:r>
    </w:p>
    <w:p w14:paraId="195034E5" w14:textId="77777777" w:rsidR="00BF3A3A" w:rsidRDefault="00A76802">
      <w:pPr>
        <w:spacing w:before="240" w:after="60"/>
        <w:jc w:val="both"/>
      </w:pPr>
      <w:r>
        <w:rPr>
          <w:rFonts w:ascii="sans-serif" w:eastAsia="sans-serif" w:hAnsi="sans-serif" w:cs="sans-serif"/>
          <w:b/>
          <w:bCs/>
          <w:color w:val="76B900"/>
          <w:sz w:val="20"/>
          <w:szCs w:val="20"/>
        </w:rPr>
        <w:t>Capital Return Program </w:t>
      </w:r>
    </w:p>
    <w:p w14:paraId="195034E6" w14:textId="77777777" w:rsidR="00BF3A3A" w:rsidRDefault="00A76802">
      <w:pPr>
        <w:spacing w:after="180"/>
        <w:jc w:val="both"/>
      </w:pPr>
      <w:r>
        <w:rPr>
          <w:rFonts w:ascii="sans-serif" w:eastAsia="sans-serif" w:hAnsi="sans-serif" w:cs="sans-serif"/>
          <w:color w:val="000000"/>
          <w:sz w:val="20"/>
          <w:szCs w:val="20"/>
        </w:rPr>
        <w:t xml:space="preserve">During the second quarter and first half of fiscal year 2023, we repurchased a total of 19 million and 28 million shares for $3.35 billion and $5.34 billion, </w:t>
      </w:r>
      <w:r>
        <w:rPr>
          <w:rFonts w:ascii="sans-serif" w:eastAsia="sans-serif" w:hAnsi="sans-serif" w:cs="sans-serif"/>
          <w:color w:val="000000"/>
          <w:sz w:val="20"/>
          <w:szCs w:val="20"/>
        </w:rPr>
        <w:t>respectively. Through July 31, 2022, we have repurchased an aggregate of 1.07 billion shares under our share repurchase program for a total cost of $12.42 billion. As of July 31, 2022, we were authorized, subject to certain specifications, to repurchase ad</w:t>
      </w:r>
      <w:r>
        <w:rPr>
          <w:rFonts w:ascii="sans-serif" w:eastAsia="sans-serif" w:hAnsi="sans-serif" w:cs="sans-serif"/>
          <w:color w:val="000000"/>
          <w:sz w:val="20"/>
          <w:szCs w:val="20"/>
        </w:rPr>
        <w:t>ditional common stock up to a total of $11.93 billion through December 2023.</w:t>
      </w:r>
    </w:p>
    <w:p w14:paraId="195034E7" w14:textId="77777777" w:rsidR="00BF3A3A" w:rsidRDefault="00A76802">
      <w:pPr>
        <w:spacing w:after="180"/>
        <w:jc w:val="both"/>
      </w:pPr>
      <w:r>
        <w:rPr>
          <w:rFonts w:ascii="sans-serif" w:eastAsia="sans-serif" w:hAnsi="sans-serif" w:cs="sans-serif"/>
          <w:color w:val="000000"/>
          <w:sz w:val="20"/>
          <w:szCs w:val="20"/>
        </w:rPr>
        <w:t xml:space="preserve">During the second quarter and first half of fiscal year 2023, we paid $100 million and $200 million in cash dividends to our shareholders, respectively. During the second quarter </w:t>
      </w:r>
      <w:r>
        <w:rPr>
          <w:rFonts w:ascii="sans-serif" w:eastAsia="sans-serif" w:hAnsi="sans-serif" w:cs="sans-serif"/>
          <w:color w:val="000000"/>
          <w:sz w:val="20"/>
          <w:szCs w:val="20"/>
        </w:rPr>
        <w:t>and first half of fiscal year 2022, we paid $100 million and $198 million in cash dividends to our shareholders, respectively.</w:t>
      </w:r>
    </w:p>
    <w:p w14:paraId="195034E8" w14:textId="77777777" w:rsidR="00BF3A3A" w:rsidRDefault="00A76802">
      <w:pPr>
        <w:spacing w:after="180"/>
        <w:jc w:val="center"/>
      </w:pPr>
      <w:r>
        <w:rPr>
          <w:rFonts w:ascii="sans-serif" w:eastAsia="sans-serif" w:hAnsi="sans-serif" w:cs="sans-serif"/>
          <w:color w:val="000000"/>
          <w:sz w:val="20"/>
          <w:szCs w:val="20"/>
        </w:rPr>
        <w:t>20</w:t>
      </w:r>
    </w:p>
    <w:p w14:paraId="195034E9" w14:textId="77777777" w:rsidR="00BF3A3A" w:rsidRDefault="00A76802">
      <w:r>
        <w:pict w14:anchorId="19503FD9">
          <v:rect id="_x0000_i1044" style="width:415.3pt;height:1.5pt" o:hralign="center" o:hrstd="t" o:hr="t" fillcolor="#a0a0a0" stroked="f"/>
        </w:pict>
      </w:r>
    </w:p>
    <w:p w14:paraId="195034EA" w14:textId="77777777" w:rsidR="00BF3A3A" w:rsidRDefault="00A76802">
      <w:pPr>
        <w:jc w:val="center"/>
      </w:pPr>
      <w:r>
        <w:rPr>
          <w:rFonts w:ascii="sans-serif" w:eastAsia="sans-serif" w:hAnsi="sans-serif" w:cs="sans-serif"/>
          <w:b/>
          <w:bCs/>
          <w:color w:val="000000"/>
          <w:sz w:val="20"/>
          <w:szCs w:val="20"/>
        </w:rPr>
        <w:t>NVIDIA CORPORATION AND SUBSIDIARIES</w:t>
      </w:r>
    </w:p>
    <w:p w14:paraId="195034EB" w14:textId="77777777" w:rsidR="00BF3A3A" w:rsidRDefault="00A76802">
      <w:pPr>
        <w:jc w:val="center"/>
      </w:pPr>
      <w:r>
        <w:rPr>
          <w:rFonts w:ascii="sans-serif" w:eastAsia="sans-serif" w:hAnsi="sans-serif" w:cs="sans-serif"/>
          <w:b/>
          <w:bCs/>
          <w:color w:val="000000"/>
          <w:sz w:val="20"/>
          <w:szCs w:val="20"/>
        </w:rPr>
        <w:t>NOTES TO CONDENSED CONSOLIDATED FINANCIAL STATEMENTS (Continued)</w:t>
      </w:r>
    </w:p>
    <w:p w14:paraId="195034EC" w14:textId="77777777" w:rsidR="00BF3A3A" w:rsidRDefault="00A76802">
      <w:pPr>
        <w:jc w:val="center"/>
      </w:pPr>
      <w:r>
        <w:rPr>
          <w:rFonts w:ascii="sans-serif" w:eastAsia="sans-serif" w:hAnsi="sans-serif" w:cs="sans-serif"/>
          <w:b/>
          <w:bCs/>
          <w:color w:val="000000"/>
          <w:sz w:val="20"/>
          <w:szCs w:val="20"/>
        </w:rPr>
        <w:t>(Unaudited)</w:t>
      </w:r>
    </w:p>
    <w:p w14:paraId="195034ED" w14:textId="77777777" w:rsidR="00BF3A3A" w:rsidRDefault="00BF3A3A">
      <w:pPr>
        <w:spacing w:after="180"/>
        <w:jc w:val="both"/>
      </w:pPr>
    </w:p>
    <w:p w14:paraId="195034EE" w14:textId="77777777" w:rsidR="00BF3A3A" w:rsidRDefault="00BF3A3A">
      <w:pPr>
        <w:spacing w:after="180"/>
        <w:jc w:val="both"/>
      </w:pPr>
    </w:p>
    <w:p w14:paraId="195034EF" w14:textId="77777777" w:rsidR="00BF3A3A" w:rsidRDefault="00A76802">
      <w:pPr>
        <w:spacing w:before="240" w:after="120"/>
        <w:jc w:val="both"/>
      </w:pPr>
      <w:r>
        <w:rPr>
          <w:rFonts w:ascii="sans-serif" w:eastAsia="sans-serif" w:hAnsi="sans-serif" w:cs="sans-serif"/>
          <w:b/>
          <w:bCs/>
          <w:color w:val="76B900"/>
          <w:sz w:val="22"/>
          <w:szCs w:val="22"/>
        </w:rPr>
        <w:t xml:space="preserve">Note 15 </w:t>
      </w:r>
      <w:r>
        <w:rPr>
          <w:rFonts w:ascii="sans-serif" w:eastAsia="sans-serif" w:hAnsi="sans-serif" w:cs="sans-serif"/>
          <w:b/>
          <w:bCs/>
          <w:color w:val="76B900"/>
          <w:sz w:val="22"/>
          <w:szCs w:val="22"/>
        </w:rPr>
        <w:t>- Segment Information</w:t>
      </w:r>
    </w:p>
    <w:p w14:paraId="195034F0" w14:textId="77777777" w:rsidR="00BF3A3A" w:rsidRDefault="00A76802">
      <w:pPr>
        <w:spacing w:after="180"/>
        <w:jc w:val="both"/>
      </w:pPr>
      <w:r>
        <w:rPr>
          <w:rFonts w:ascii="sans-serif" w:eastAsia="sans-serif" w:hAnsi="sans-serif" w:cs="sans-serif"/>
          <w:color w:val="000000"/>
          <w:sz w:val="20"/>
          <w:szCs w:val="20"/>
        </w:rPr>
        <w:t>Our Chief Executive Officer, who is considered to be our chief operating decision maker, or CODM, reviews financial information presented on an operating segment basis for purposes of making decisions and assessing financial performan</w:t>
      </w:r>
      <w:r>
        <w:rPr>
          <w:rFonts w:ascii="sans-serif" w:eastAsia="sans-serif" w:hAnsi="sans-serif" w:cs="sans-serif"/>
          <w:color w:val="000000"/>
          <w:sz w:val="20"/>
          <w:szCs w:val="20"/>
        </w:rPr>
        <w:t>ce.</w:t>
      </w:r>
    </w:p>
    <w:p w14:paraId="195034F1" w14:textId="77777777" w:rsidR="00BF3A3A" w:rsidRDefault="00A76802">
      <w:pPr>
        <w:spacing w:after="180"/>
        <w:jc w:val="both"/>
      </w:pPr>
      <w:r>
        <w:rPr>
          <w:rFonts w:ascii="sans-serif" w:eastAsia="sans-serif" w:hAnsi="sans-serif" w:cs="sans-serif"/>
          <w:color w:val="000000"/>
          <w:sz w:val="20"/>
          <w:szCs w:val="20"/>
        </w:rPr>
        <w:t>Our Graphics segment includes GeForce GPUs for gaming and PCs, the GeForce NOW game streaming service and related infrastructure, and solutions for gaming platforms; Quadro/NVIDIA RTX GPUs for enterprise workstation graphics; vGPU software for cloud-ba</w:t>
      </w:r>
      <w:r>
        <w:rPr>
          <w:rFonts w:ascii="sans-serif" w:eastAsia="sans-serif" w:hAnsi="sans-serif" w:cs="sans-serif"/>
          <w:color w:val="000000"/>
          <w:sz w:val="20"/>
          <w:szCs w:val="20"/>
        </w:rPr>
        <w:t xml:space="preserve">sed visual and virtual computing; automotive platforms for infotainment systems; and Omniverse software for building 3D designs and virtual worlds. </w:t>
      </w:r>
    </w:p>
    <w:p w14:paraId="195034F2" w14:textId="77777777" w:rsidR="00BF3A3A" w:rsidRDefault="00A76802">
      <w:pPr>
        <w:spacing w:after="180"/>
        <w:jc w:val="both"/>
      </w:pPr>
      <w:r>
        <w:rPr>
          <w:rFonts w:ascii="sans-serif" w:eastAsia="sans-serif" w:hAnsi="sans-serif" w:cs="sans-serif"/>
          <w:color w:val="000000"/>
          <w:sz w:val="20"/>
          <w:szCs w:val="20"/>
        </w:rPr>
        <w:t>Our Compute &amp; Networking segment includes Data Center platforms and systems for artificial intelligence, or</w:t>
      </w:r>
      <w:r>
        <w:rPr>
          <w:rFonts w:ascii="sans-serif" w:eastAsia="sans-serif" w:hAnsi="sans-serif" w:cs="sans-serif"/>
          <w:color w:val="000000"/>
          <w:sz w:val="20"/>
          <w:szCs w:val="20"/>
        </w:rPr>
        <w:t xml:space="preserve"> AI, high-performance computing, and accelerated computing; Mellanox networking and interconnect solutions; automotive AI Cockpit, autonomous driving development agreements, and autonomous vehicle solutions; cryptocurrency mining processors, or CMP; Jetson</w:t>
      </w:r>
      <w:r>
        <w:rPr>
          <w:rFonts w:ascii="sans-serif" w:eastAsia="sans-serif" w:hAnsi="sans-serif" w:cs="sans-serif"/>
          <w:color w:val="000000"/>
          <w:sz w:val="20"/>
          <w:szCs w:val="20"/>
        </w:rPr>
        <w:t xml:space="preserve"> for robotics and other embedded platforms; and NVIDIA AI Enterprise and other software.</w:t>
      </w:r>
    </w:p>
    <w:p w14:paraId="195034F3" w14:textId="77777777" w:rsidR="00BF3A3A" w:rsidRDefault="00A76802">
      <w:pPr>
        <w:spacing w:after="180"/>
        <w:jc w:val="both"/>
      </w:pPr>
      <w:r>
        <w:rPr>
          <w:rFonts w:ascii="sans-serif" w:eastAsia="sans-serif" w:hAnsi="sans-serif" w:cs="sans-serif"/>
          <w:color w:val="000000"/>
          <w:sz w:val="20"/>
          <w:szCs w:val="20"/>
        </w:rPr>
        <w:t>Operating results by segment include costs or expenses that are directly attributable to each segment, and costs or expenses that are leveraged across our unified arch</w:t>
      </w:r>
      <w:r>
        <w:rPr>
          <w:rFonts w:ascii="sans-serif" w:eastAsia="sans-serif" w:hAnsi="sans-serif" w:cs="sans-serif"/>
          <w:color w:val="000000"/>
          <w:sz w:val="20"/>
          <w:szCs w:val="20"/>
        </w:rPr>
        <w:t>itecture and therefore allocated between our two segments.</w:t>
      </w:r>
    </w:p>
    <w:p w14:paraId="195034F4" w14:textId="77777777" w:rsidR="00BF3A3A" w:rsidRDefault="00A76802">
      <w:pPr>
        <w:spacing w:after="180"/>
        <w:jc w:val="both"/>
      </w:pPr>
      <w:r>
        <w:rPr>
          <w:rFonts w:ascii="sans-serif" w:eastAsia="sans-serif" w:hAnsi="sans-serif" w:cs="sans-serif"/>
          <w:color w:val="000000"/>
          <w:sz w:val="20"/>
          <w:szCs w:val="20"/>
        </w:rPr>
        <w:t>The “All Other” category includes the expenses that our CODM does not assign to either Graphics or Compute &amp; Networking for purposes of making operating decisions or assessing financial performance</w:t>
      </w:r>
      <w:r>
        <w:rPr>
          <w:rFonts w:ascii="sans-serif" w:eastAsia="sans-serif" w:hAnsi="sans-serif" w:cs="sans-serif"/>
          <w:color w:val="000000"/>
          <w:sz w:val="20"/>
          <w:szCs w:val="20"/>
        </w:rPr>
        <w:t xml:space="preserve">. The expenses include stock-based compensation expense, corporate infrastructure and support costs, acquisition-related costs, IP-related costs, and other non-recurring charges and benefits that our CODM deems to be enterprise in nature. </w:t>
      </w:r>
    </w:p>
    <w:p w14:paraId="195034F5" w14:textId="77777777" w:rsidR="00BF3A3A" w:rsidRDefault="00A76802">
      <w:pPr>
        <w:spacing w:after="180"/>
        <w:jc w:val="both"/>
      </w:pPr>
      <w:r>
        <w:rPr>
          <w:rFonts w:ascii="sans-serif" w:eastAsia="sans-serif" w:hAnsi="sans-serif" w:cs="sans-serif"/>
          <w:color w:val="000000"/>
          <w:sz w:val="20"/>
          <w:szCs w:val="20"/>
        </w:rPr>
        <w:t>Our CODM does no</w:t>
      </w:r>
      <w:r>
        <w:rPr>
          <w:rFonts w:ascii="sans-serif" w:eastAsia="sans-serif" w:hAnsi="sans-serif" w:cs="sans-serif"/>
          <w:color w:val="000000"/>
          <w:sz w:val="20"/>
          <w:szCs w:val="20"/>
        </w:rPr>
        <w:t>t review any information regarding total assets on a reportable segment basis. Depreciation and amortization expense directly attributable to each reportable segment is included in operating results for each segment. However, the CODM does not evaluate dep</w:t>
      </w:r>
      <w:r>
        <w:rPr>
          <w:rFonts w:ascii="sans-serif" w:eastAsia="sans-serif" w:hAnsi="sans-serif" w:cs="sans-serif"/>
          <w:color w:val="000000"/>
          <w:sz w:val="20"/>
          <w:szCs w:val="20"/>
        </w:rPr>
        <w:t>reciation and amortization expense by operating segment and, therefore, it is not separately presented. There is no intersegment revenue. The accounting policies for segment reporting are the same as for our consolidated financial statements. The table bel</w:t>
      </w:r>
      <w:r>
        <w:rPr>
          <w:rFonts w:ascii="sans-serif" w:eastAsia="sans-serif" w:hAnsi="sans-serif" w:cs="sans-serif"/>
          <w:color w:val="000000"/>
          <w:sz w:val="20"/>
          <w:szCs w:val="20"/>
        </w:rPr>
        <w:t>ow presents details of our reportable segments and the “All Other” category.</w:t>
      </w:r>
    </w:p>
    <w:tbl>
      <w:tblPr>
        <w:tblW w:w="5000" w:type="pct"/>
        <w:tblCellMar>
          <w:top w:w="15" w:type="dxa"/>
          <w:left w:w="15" w:type="dxa"/>
          <w:bottom w:w="15" w:type="dxa"/>
          <w:right w:w="15" w:type="dxa"/>
        </w:tblCellMar>
        <w:tblLook w:val="04A0" w:firstRow="1" w:lastRow="0" w:firstColumn="1" w:lastColumn="0" w:noHBand="0" w:noVBand="1"/>
      </w:tblPr>
      <w:tblGrid>
        <w:gridCol w:w="39"/>
        <w:gridCol w:w="3532"/>
        <w:gridCol w:w="38"/>
        <w:gridCol w:w="123"/>
        <w:gridCol w:w="940"/>
        <w:gridCol w:w="36"/>
        <w:gridCol w:w="36"/>
        <w:gridCol w:w="36"/>
        <w:gridCol w:w="36"/>
        <w:gridCol w:w="123"/>
        <w:gridCol w:w="933"/>
        <w:gridCol w:w="36"/>
        <w:gridCol w:w="36"/>
        <w:gridCol w:w="36"/>
        <w:gridCol w:w="36"/>
        <w:gridCol w:w="122"/>
        <w:gridCol w:w="858"/>
        <w:gridCol w:w="36"/>
        <w:gridCol w:w="36"/>
        <w:gridCol w:w="36"/>
        <w:gridCol w:w="36"/>
        <w:gridCol w:w="123"/>
        <w:gridCol w:w="1037"/>
        <w:gridCol w:w="36"/>
      </w:tblGrid>
      <w:tr w:rsidR="00BF3A3A" w14:paraId="1950350E" w14:textId="77777777">
        <w:tc>
          <w:tcPr>
            <w:tcW w:w="50" w:type="pct"/>
            <w:shd w:val="clear" w:color="auto" w:fill="auto"/>
            <w:vAlign w:val="bottom"/>
          </w:tcPr>
          <w:p w14:paraId="195034F6" w14:textId="77777777" w:rsidR="00BF3A3A" w:rsidRDefault="00BF3A3A">
            <w:pPr>
              <w:rPr>
                <w:rFonts w:ascii="宋体"/>
              </w:rPr>
            </w:pPr>
          </w:p>
        </w:tc>
        <w:tc>
          <w:tcPr>
            <w:tcW w:w="2174" w:type="pct"/>
            <w:shd w:val="clear" w:color="auto" w:fill="auto"/>
            <w:vAlign w:val="bottom"/>
          </w:tcPr>
          <w:p w14:paraId="195034F7" w14:textId="77777777" w:rsidR="00BF3A3A" w:rsidRDefault="00BF3A3A">
            <w:pPr>
              <w:rPr>
                <w:rFonts w:ascii="宋体"/>
              </w:rPr>
            </w:pPr>
          </w:p>
        </w:tc>
        <w:tc>
          <w:tcPr>
            <w:tcW w:w="5" w:type="pct"/>
            <w:shd w:val="clear" w:color="auto" w:fill="auto"/>
            <w:vAlign w:val="bottom"/>
          </w:tcPr>
          <w:p w14:paraId="195034F8" w14:textId="77777777" w:rsidR="00BF3A3A" w:rsidRDefault="00BF3A3A">
            <w:pPr>
              <w:rPr>
                <w:rFonts w:ascii="宋体"/>
              </w:rPr>
            </w:pPr>
          </w:p>
        </w:tc>
        <w:tc>
          <w:tcPr>
            <w:tcW w:w="50" w:type="pct"/>
            <w:shd w:val="clear" w:color="auto" w:fill="auto"/>
            <w:vAlign w:val="bottom"/>
          </w:tcPr>
          <w:p w14:paraId="195034F9" w14:textId="77777777" w:rsidR="00BF3A3A" w:rsidRDefault="00BF3A3A">
            <w:pPr>
              <w:rPr>
                <w:rFonts w:ascii="宋体"/>
              </w:rPr>
            </w:pPr>
          </w:p>
        </w:tc>
        <w:tc>
          <w:tcPr>
            <w:tcW w:w="610" w:type="pct"/>
            <w:shd w:val="clear" w:color="auto" w:fill="auto"/>
            <w:vAlign w:val="bottom"/>
          </w:tcPr>
          <w:p w14:paraId="195034FA" w14:textId="77777777" w:rsidR="00BF3A3A" w:rsidRDefault="00BF3A3A">
            <w:pPr>
              <w:rPr>
                <w:rFonts w:ascii="宋体"/>
              </w:rPr>
            </w:pPr>
          </w:p>
        </w:tc>
        <w:tc>
          <w:tcPr>
            <w:tcW w:w="5" w:type="pct"/>
            <w:shd w:val="clear" w:color="auto" w:fill="auto"/>
            <w:vAlign w:val="bottom"/>
          </w:tcPr>
          <w:p w14:paraId="195034FB" w14:textId="77777777" w:rsidR="00BF3A3A" w:rsidRDefault="00BF3A3A">
            <w:pPr>
              <w:rPr>
                <w:rFonts w:ascii="宋体"/>
              </w:rPr>
            </w:pPr>
          </w:p>
        </w:tc>
        <w:tc>
          <w:tcPr>
            <w:tcW w:w="5" w:type="pct"/>
            <w:shd w:val="clear" w:color="auto" w:fill="auto"/>
            <w:vAlign w:val="bottom"/>
          </w:tcPr>
          <w:p w14:paraId="195034FC" w14:textId="77777777" w:rsidR="00BF3A3A" w:rsidRDefault="00BF3A3A">
            <w:pPr>
              <w:rPr>
                <w:rFonts w:ascii="宋体"/>
              </w:rPr>
            </w:pPr>
          </w:p>
        </w:tc>
        <w:tc>
          <w:tcPr>
            <w:tcW w:w="26" w:type="pct"/>
            <w:shd w:val="clear" w:color="auto" w:fill="auto"/>
            <w:vAlign w:val="bottom"/>
          </w:tcPr>
          <w:p w14:paraId="195034FD" w14:textId="77777777" w:rsidR="00BF3A3A" w:rsidRDefault="00BF3A3A">
            <w:pPr>
              <w:rPr>
                <w:rFonts w:ascii="宋体"/>
              </w:rPr>
            </w:pPr>
          </w:p>
        </w:tc>
        <w:tc>
          <w:tcPr>
            <w:tcW w:w="5" w:type="pct"/>
            <w:shd w:val="clear" w:color="auto" w:fill="auto"/>
            <w:vAlign w:val="bottom"/>
          </w:tcPr>
          <w:p w14:paraId="195034FE" w14:textId="77777777" w:rsidR="00BF3A3A" w:rsidRDefault="00BF3A3A">
            <w:pPr>
              <w:rPr>
                <w:rFonts w:ascii="宋体"/>
              </w:rPr>
            </w:pPr>
          </w:p>
        </w:tc>
        <w:tc>
          <w:tcPr>
            <w:tcW w:w="50" w:type="pct"/>
            <w:shd w:val="clear" w:color="auto" w:fill="auto"/>
            <w:vAlign w:val="bottom"/>
          </w:tcPr>
          <w:p w14:paraId="195034FF" w14:textId="77777777" w:rsidR="00BF3A3A" w:rsidRDefault="00BF3A3A">
            <w:pPr>
              <w:rPr>
                <w:rFonts w:ascii="宋体"/>
              </w:rPr>
            </w:pPr>
          </w:p>
        </w:tc>
        <w:tc>
          <w:tcPr>
            <w:tcW w:w="610" w:type="pct"/>
            <w:shd w:val="clear" w:color="auto" w:fill="auto"/>
            <w:vAlign w:val="bottom"/>
          </w:tcPr>
          <w:p w14:paraId="19503500" w14:textId="77777777" w:rsidR="00BF3A3A" w:rsidRDefault="00BF3A3A">
            <w:pPr>
              <w:rPr>
                <w:rFonts w:ascii="宋体"/>
              </w:rPr>
            </w:pPr>
          </w:p>
        </w:tc>
        <w:tc>
          <w:tcPr>
            <w:tcW w:w="5" w:type="pct"/>
            <w:shd w:val="clear" w:color="auto" w:fill="auto"/>
            <w:vAlign w:val="bottom"/>
          </w:tcPr>
          <w:p w14:paraId="19503501" w14:textId="77777777" w:rsidR="00BF3A3A" w:rsidRDefault="00BF3A3A">
            <w:pPr>
              <w:rPr>
                <w:rFonts w:ascii="宋体"/>
              </w:rPr>
            </w:pPr>
          </w:p>
        </w:tc>
        <w:tc>
          <w:tcPr>
            <w:tcW w:w="5" w:type="pct"/>
            <w:shd w:val="clear" w:color="auto" w:fill="auto"/>
            <w:vAlign w:val="bottom"/>
          </w:tcPr>
          <w:p w14:paraId="19503502" w14:textId="77777777" w:rsidR="00BF3A3A" w:rsidRDefault="00BF3A3A">
            <w:pPr>
              <w:rPr>
                <w:rFonts w:ascii="宋体"/>
              </w:rPr>
            </w:pPr>
          </w:p>
        </w:tc>
        <w:tc>
          <w:tcPr>
            <w:tcW w:w="26" w:type="pct"/>
            <w:shd w:val="clear" w:color="auto" w:fill="auto"/>
            <w:vAlign w:val="bottom"/>
          </w:tcPr>
          <w:p w14:paraId="19503503" w14:textId="77777777" w:rsidR="00BF3A3A" w:rsidRDefault="00BF3A3A">
            <w:pPr>
              <w:rPr>
                <w:rFonts w:ascii="宋体"/>
              </w:rPr>
            </w:pPr>
          </w:p>
        </w:tc>
        <w:tc>
          <w:tcPr>
            <w:tcW w:w="5" w:type="pct"/>
            <w:shd w:val="clear" w:color="auto" w:fill="auto"/>
            <w:vAlign w:val="bottom"/>
          </w:tcPr>
          <w:p w14:paraId="19503504" w14:textId="77777777" w:rsidR="00BF3A3A" w:rsidRDefault="00BF3A3A">
            <w:pPr>
              <w:rPr>
                <w:rFonts w:ascii="宋体"/>
              </w:rPr>
            </w:pPr>
          </w:p>
        </w:tc>
        <w:tc>
          <w:tcPr>
            <w:tcW w:w="50" w:type="pct"/>
            <w:shd w:val="clear" w:color="auto" w:fill="auto"/>
            <w:vAlign w:val="bottom"/>
          </w:tcPr>
          <w:p w14:paraId="19503505" w14:textId="77777777" w:rsidR="00BF3A3A" w:rsidRDefault="00BF3A3A">
            <w:pPr>
              <w:rPr>
                <w:rFonts w:ascii="宋体"/>
              </w:rPr>
            </w:pPr>
          </w:p>
        </w:tc>
        <w:tc>
          <w:tcPr>
            <w:tcW w:w="610" w:type="pct"/>
            <w:shd w:val="clear" w:color="auto" w:fill="auto"/>
            <w:vAlign w:val="bottom"/>
          </w:tcPr>
          <w:p w14:paraId="19503506" w14:textId="77777777" w:rsidR="00BF3A3A" w:rsidRDefault="00BF3A3A">
            <w:pPr>
              <w:rPr>
                <w:rFonts w:ascii="宋体"/>
              </w:rPr>
            </w:pPr>
          </w:p>
        </w:tc>
        <w:tc>
          <w:tcPr>
            <w:tcW w:w="5" w:type="pct"/>
            <w:shd w:val="clear" w:color="auto" w:fill="auto"/>
            <w:vAlign w:val="bottom"/>
          </w:tcPr>
          <w:p w14:paraId="19503507" w14:textId="77777777" w:rsidR="00BF3A3A" w:rsidRDefault="00BF3A3A">
            <w:pPr>
              <w:rPr>
                <w:rFonts w:ascii="宋体"/>
              </w:rPr>
            </w:pPr>
          </w:p>
        </w:tc>
        <w:tc>
          <w:tcPr>
            <w:tcW w:w="5" w:type="pct"/>
            <w:shd w:val="clear" w:color="auto" w:fill="auto"/>
            <w:vAlign w:val="bottom"/>
          </w:tcPr>
          <w:p w14:paraId="19503508" w14:textId="77777777" w:rsidR="00BF3A3A" w:rsidRDefault="00BF3A3A">
            <w:pPr>
              <w:rPr>
                <w:rFonts w:ascii="宋体"/>
              </w:rPr>
            </w:pPr>
          </w:p>
        </w:tc>
        <w:tc>
          <w:tcPr>
            <w:tcW w:w="26" w:type="pct"/>
            <w:shd w:val="clear" w:color="auto" w:fill="auto"/>
            <w:vAlign w:val="bottom"/>
          </w:tcPr>
          <w:p w14:paraId="19503509" w14:textId="77777777" w:rsidR="00BF3A3A" w:rsidRDefault="00BF3A3A">
            <w:pPr>
              <w:rPr>
                <w:rFonts w:ascii="宋体"/>
              </w:rPr>
            </w:pPr>
          </w:p>
        </w:tc>
        <w:tc>
          <w:tcPr>
            <w:tcW w:w="5" w:type="pct"/>
            <w:shd w:val="clear" w:color="auto" w:fill="auto"/>
            <w:vAlign w:val="bottom"/>
          </w:tcPr>
          <w:p w14:paraId="1950350A" w14:textId="77777777" w:rsidR="00BF3A3A" w:rsidRDefault="00BF3A3A">
            <w:pPr>
              <w:rPr>
                <w:rFonts w:ascii="宋体"/>
              </w:rPr>
            </w:pPr>
          </w:p>
        </w:tc>
        <w:tc>
          <w:tcPr>
            <w:tcW w:w="50" w:type="pct"/>
            <w:shd w:val="clear" w:color="auto" w:fill="auto"/>
            <w:vAlign w:val="bottom"/>
          </w:tcPr>
          <w:p w14:paraId="1950350B" w14:textId="77777777" w:rsidR="00BF3A3A" w:rsidRDefault="00BF3A3A">
            <w:pPr>
              <w:rPr>
                <w:rFonts w:ascii="宋体"/>
              </w:rPr>
            </w:pPr>
          </w:p>
        </w:tc>
        <w:tc>
          <w:tcPr>
            <w:tcW w:w="610" w:type="pct"/>
            <w:shd w:val="clear" w:color="auto" w:fill="auto"/>
            <w:vAlign w:val="bottom"/>
          </w:tcPr>
          <w:p w14:paraId="1950350C" w14:textId="77777777" w:rsidR="00BF3A3A" w:rsidRDefault="00BF3A3A">
            <w:pPr>
              <w:rPr>
                <w:rFonts w:ascii="宋体"/>
              </w:rPr>
            </w:pPr>
          </w:p>
        </w:tc>
        <w:tc>
          <w:tcPr>
            <w:tcW w:w="5" w:type="pct"/>
            <w:shd w:val="clear" w:color="auto" w:fill="auto"/>
            <w:vAlign w:val="bottom"/>
          </w:tcPr>
          <w:p w14:paraId="1950350D" w14:textId="77777777" w:rsidR="00BF3A3A" w:rsidRDefault="00BF3A3A">
            <w:pPr>
              <w:rPr>
                <w:rFonts w:ascii="宋体"/>
              </w:rPr>
            </w:pPr>
          </w:p>
        </w:tc>
      </w:tr>
      <w:tr w:rsidR="00BF3A3A" w14:paraId="19503517" w14:textId="77777777">
        <w:tc>
          <w:tcPr>
            <w:tcW w:w="0" w:type="auto"/>
            <w:gridSpan w:val="3"/>
            <w:shd w:val="clear" w:color="auto" w:fill="auto"/>
            <w:tcMar>
              <w:top w:w="40" w:type="dxa"/>
              <w:left w:w="20" w:type="dxa"/>
              <w:bottom w:w="40" w:type="dxa"/>
              <w:right w:w="20" w:type="dxa"/>
            </w:tcMar>
            <w:vAlign w:val="bottom"/>
          </w:tcPr>
          <w:p w14:paraId="1950350F"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9503510" w14:textId="77777777" w:rsidR="00BF3A3A" w:rsidRDefault="00A76802">
            <w:pPr>
              <w:jc w:val="center"/>
              <w:textAlignment w:val="bottom"/>
            </w:pPr>
            <w:r>
              <w:rPr>
                <w:rFonts w:ascii="sans-serif" w:eastAsia="sans-serif" w:hAnsi="sans-serif" w:cs="sans-serif"/>
                <w:b/>
                <w:bCs/>
                <w:color w:val="000000"/>
                <w:sz w:val="20"/>
                <w:szCs w:val="20"/>
              </w:rPr>
              <w:t>Graphics</w:t>
            </w:r>
          </w:p>
        </w:tc>
        <w:tc>
          <w:tcPr>
            <w:tcW w:w="0" w:type="auto"/>
            <w:gridSpan w:val="3"/>
            <w:shd w:val="clear" w:color="auto" w:fill="auto"/>
            <w:tcMar>
              <w:top w:w="0" w:type="dxa"/>
              <w:left w:w="20" w:type="dxa"/>
              <w:bottom w:w="0" w:type="dxa"/>
              <w:right w:w="20" w:type="dxa"/>
            </w:tcMar>
            <w:vAlign w:val="bottom"/>
          </w:tcPr>
          <w:p w14:paraId="19503511"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512" w14:textId="77777777" w:rsidR="00BF3A3A" w:rsidRDefault="00A76802">
            <w:pPr>
              <w:jc w:val="center"/>
              <w:textAlignment w:val="bottom"/>
            </w:pPr>
            <w:r>
              <w:rPr>
                <w:rFonts w:ascii="sans-serif" w:eastAsia="sans-serif" w:hAnsi="sans-serif" w:cs="sans-serif"/>
                <w:b/>
                <w:bCs/>
                <w:color w:val="000000"/>
                <w:sz w:val="20"/>
                <w:szCs w:val="20"/>
              </w:rPr>
              <w:t>Compute &amp; Networking</w:t>
            </w:r>
          </w:p>
        </w:tc>
        <w:tc>
          <w:tcPr>
            <w:tcW w:w="0" w:type="auto"/>
            <w:gridSpan w:val="3"/>
            <w:shd w:val="clear" w:color="auto" w:fill="auto"/>
            <w:tcMar>
              <w:top w:w="0" w:type="dxa"/>
              <w:left w:w="20" w:type="dxa"/>
              <w:bottom w:w="0" w:type="dxa"/>
              <w:right w:w="20" w:type="dxa"/>
            </w:tcMar>
            <w:vAlign w:val="bottom"/>
          </w:tcPr>
          <w:p w14:paraId="19503513"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514" w14:textId="77777777" w:rsidR="00BF3A3A" w:rsidRDefault="00A76802">
            <w:pPr>
              <w:jc w:val="center"/>
              <w:textAlignment w:val="bottom"/>
            </w:pPr>
            <w:r>
              <w:rPr>
                <w:rFonts w:ascii="sans-serif" w:eastAsia="sans-serif" w:hAnsi="sans-serif" w:cs="sans-serif"/>
                <w:b/>
                <w:bCs/>
                <w:color w:val="000000"/>
                <w:sz w:val="20"/>
                <w:szCs w:val="20"/>
              </w:rPr>
              <w:t>All Other</w:t>
            </w:r>
          </w:p>
        </w:tc>
        <w:tc>
          <w:tcPr>
            <w:tcW w:w="0" w:type="auto"/>
            <w:gridSpan w:val="3"/>
            <w:shd w:val="clear" w:color="auto" w:fill="auto"/>
            <w:tcMar>
              <w:top w:w="0" w:type="dxa"/>
              <w:left w:w="20" w:type="dxa"/>
              <w:bottom w:w="0" w:type="dxa"/>
              <w:right w:w="20" w:type="dxa"/>
            </w:tcMar>
            <w:vAlign w:val="bottom"/>
          </w:tcPr>
          <w:p w14:paraId="19503515"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516" w14:textId="77777777" w:rsidR="00BF3A3A" w:rsidRDefault="00A76802">
            <w:pPr>
              <w:jc w:val="center"/>
              <w:textAlignment w:val="bottom"/>
            </w:pPr>
            <w:r>
              <w:rPr>
                <w:rFonts w:ascii="sans-serif" w:eastAsia="sans-serif" w:hAnsi="sans-serif" w:cs="sans-serif"/>
                <w:b/>
                <w:bCs/>
                <w:color w:val="000000"/>
                <w:sz w:val="20"/>
                <w:szCs w:val="20"/>
              </w:rPr>
              <w:t>Consolidated</w:t>
            </w:r>
          </w:p>
        </w:tc>
      </w:tr>
      <w:tr w:rsidR="00BF3A3A" w14:paraId="19503520" w14:textId="77777777">
        <w:trPr>
          <w:trHeight w:val="60"/>
        </w:trPr>
        <w:tc>
          <w:tcPr>
            <w:tcW w:w="0" w:type="auto"/>
            <w:gridSpan w:val="3"/>
            <w:shd w:val="clear" w:color="auto" w:fill="auto"/>
            <w:tcMar>
              <w:top w:w="0" w:type="dxa"/>
              <w:left w:w="20" w:type="dxa"/>
              <w:bottom w:w="0" w:type="dxa"/>
              <w:right w:w="20" w:type="dxa"/>
            </w:tcMar>
            <w:vAlign w:val="bottom"/>
          </w:tcPr>
          <w:p w14:paraId="19503518"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519"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51A"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51B"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51C"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51D"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51E"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51F" w14:textId="77777777" w:rsidR="00BF3A3A" w:rsidRDefault="00BF3A3A">
            <w:pPr>
              <w:rPr>
                <w:rFonts w:ascii="宋体"/>
              </w:rPr>
            </w:pPr>
          </w:p>
        </w:tc>
      </w:tr>
      <w:tr w:rsidR="00BF3A3A" w14:paraId="19503523" w14:textId="77777777">
        <w:tc>
          <w:tcPr>
            <w:tcW w:w="0" w:type="auto"/>
            <w:gridSpan w:val="3"/>
            <w:shd w:val="clear" w:color="auto" w:fill="auto"/>
            <w:tcMar>
              <w:top w:w="40" w:type="dxa"/>
              <w:left w:w="20" w:type="dxa"/>
              <w:bottom w:w="40" w:type="dxa"/>
              <w:right w:w="20" w:type="dxa"/>
            </w:tcMar>
            <w:vAlign w:val="bottom"/>
          </w:tcPr>
          <w:p w14:paraId="19503521" w14:textId="77777777" w:rsidR="00BF3A3A" w:rsidRDefault="00A76802">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19503522" w14:textId="77777777" w:rsidR="00BF3A3A" w:rsidRDefault="00A76802">
            <w:pPr>
              <w:jc w:val="center"/>
              <w:textAlignment w:val="bottom"/>
            </w:pPr>
            <w:r>
              <w:rPr>
                <w:rFonts w:ascii="sans-serif" w:eastAsia="sans-serif" w:hAnsi="sans-serif" w:cs="sans-serif"/>
                <w:i/>
                <w:iCs/>
                <w:color w:val="000000"/>
                <w:sz w:val="20"/>
                <w:szCs w:val="20"/>
              </w:rPr>
              <w:t>(In millions)</w:t>
            </w:r>
          </w:p>
        </w:tc>
      </w:tr>
      <w:tr w:rsidR="00BF3A3A" w14:paraId="1950352C" w14:textId="77777777">
        <w:tc>
          <w:tcPr>
            <w:tcW w:w="0" w:type="auto"/>
            <w:gridSpan w:val="3"/>
            <w:shd w:val="clear" w:color="auto" w:fill="E2EFD9"/>
            <w:tcMar>
              <w:top w:w="40" w:type="dxa"/>
              <w:left w:w="20" w:type="dxa"/>
              <w:bottom w:w="40" w:type="dxa"/>
              <w:right w:w="20" w:type="dxa"/>
            </w:tcMar>
            <w:vAlign w:val="bottom"/>
          </w:tcPr>
          <w:p w14:paraId="19503524" w14:textId="77777777" w:rsidR="00BF3A3A" w:rsidRDefault="00A76802">
            <w:pPr>
              <w:textAlignment w:val="bottom"/>
            </w:pPr>
            <w:r>
              <w:rPr>
                <w:rFonts w:ascii="sans-serif" w:eastAsia="sans-serif" w:hAnsi="sans-serif" w:cs="sans-serif"/>
                <w:b/>
                <w:bCs/>
                <w:color w:val="000000"/>
                <w:sz w:val="20"/>
                <w:szCs w:val="20"/>
              </w:rPr>
              <w:t>Three Months Ended July 31, 2022</w:t>
            </w:r>
          </w:p>
        </w:tc>
        <w:tc>
          <w:tcPr>
            <w:tcW w:w="0" w:type="auto"/>
            <w:gridSpan w:val="3"/>
            <w:shd w:val="clear" w:color="auto" w:fill="E2EFD9"/>
            <w:tcMar>
              <w:top w:w="40" w:type="dxa"/>
              <w:left w:w="20" w:type="dxa"/>
              <w:bottom w:w="40" w:type="dxa"/>
              <w:right w:w="20" w:type="dxa"/>
            </w:tcMar>
            <w:vAlign w:val="bottom"/>
          </w:tcPr>
          <w:p w14:paraId="19503525"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9503526" w14:textId="77777777" w:rsidR="00BF3A3A" w:rsidRDefault="00BF3A3A">
            <w:pPr>
              <w:rPr>
                <w:rFonts w:ascii="宋体"/>
              </w:rPr>
            </w:pPr>
          </w:p>
        </w:tc>
        <w:tc>
          <w:tcPr>
            <w:tcW w:w="0" w:type="auto"/>
            <w:gridSpan w:val="3"/>
            <w:shd w:val="clear" w:color="auto" w:fill="E2EFD9"/>
            <w:tcMar>
              <w:top w:w="40" w:type="dxa"/>
              <w:left w:w="20" w:type="dxa"/>
              <w:bottom w:w="40" w:type="dxa"/>
              <w:right w:w="20" w:type="dxa"/>
            </w:tcMar>
            <w:vAlign w:val="bottom"/>
          </w:tcPr>
          <w:p w14:paraId="19503527"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9503528" w14:textId="77777777" w:rsidR="00BF3A3A" w:rsidRDefault="00BF3A3A">
            <w:pPr>
              <w:rPr>
                <w:rFonts w:ascii="宋体"/>
              </w:rPr>
            </w:pPr>
          </w:p>
        </w:tc>
        <w:tc>
          <w:tcPr>
            <w:tcW w:w="0" w:type="auto"/>
            <w:gridSpan w:val="3"/>
            <w:shd w:val="clear" w:color="auto" w:fill="E2EFD9"/>
            <w:tcMar>
              <w:top w:w="40" w:type="dxa"/>
              <w:left w:w="20" w:type="dxa"/>
              <w:bottom w:w="40" w:type="dxa"/>
              <w:right w:w="20" w:type="dxa"/>
            </w:tcMar>
            <w:vAlign w:val="bottom"/>
          </w:tcPr>
          <w:p w14:paraId="19503529"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950352A" w14:textId="77777777" w:rsidR="00BF3A3A" w:rsidRDefault="00BF3A3A">
            <w:pPr>
              <w:rPr>
                <w:rFonts w:ascii="宋体"/>
              </w:rPr>
            </w:pPr>
          </w:p>
        </w:tc>
        <w:tc>
          <w:tcPr>
            <w:tcW w:w="0" w:type="auto"/>
            <w:gridSpan w:val="3"/>
            <w:shd w:val="clear" w:color="auto" w:fill="E2EFD9"/>
            <w:tcMar>
              <w:top w:w="40" w:type="dxa"/>
              <w:left w:w="20" w:type="dxa"/>
              <w:bottom w:w="40" w:type="dxa"/>
              <w:right w:w="20" w:type="dxa"/>
            </w:tcMar>
            <w:vAlign w:val="bottom"/>
          </w:tcPr>
          <w:p w14:paraId="1950352B" w14:textId="77777777" w:rsidR="00BF3A3A" w:rsidRDefault="00A76802">
            <w:pPr>
              <w:textAlignment w:val="bottom"/>
            </w:pPr>
            <w:r>
              <w:rPr>
                <w:rFonts w:ascii="sans-serif" w:eastAsia="sans-serif" w:hAnsi="sans-serif" w:cs="sans-serif"/>
                <w:color w:val="000000"/>
                <w:sz w:val="20"/>
                <w:szCs w:val="20"/>
              </w:rPr>
              <w:t> </w:t>
            </w:r>
          </w:p>
        </w:tc>
      </w:tr>
      <w:tr w:rsidR="00BF3A3A" w14:paraId="1950353D" w14:textId="77777777">
        <w:tc>
          <w:tcPr>
            <w:tcW w:w="0" w:type="auto"/>
            <w:gridSpan w:val="3"/>
            <w:shd w:val="clear" w:color="auto" w:fill="FFFFFF"/>
            <w:tcMar>
              <w:top w:w="40" w:type="dxa"/>
              <w:left w:w="20" w:type="dxa"/>
              <w:bottom w:w="40" w:type="dxa"/>
              <w:right w:w="20" w:type="dxa"/>
            </w:tcMar>
            <w:vAlign w:val="bottom"/>
          </w:tcPr>
          <w:p w14:paraId="1950352D" w14:textId="77777777" w:rsidR="00BF3A3A" w:rsidRDefault="00A76802">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1950352E"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52F" w14:textId="77777777" w:rsidR="00BF3A3A" w:rsidRDefault="00A76802">
            <w:pPr>
              <w:jc w:val="right"/>
              <w:textAlignment w:val="bottom"/>
            </w:pPr>
            <w:r>
              <w:rPr>
                <w:rFonts w:ascii="sans-serif" w:eastAsia="sans-serif" w:hAnsi="sans-serif" w:cs="sans-serif"/>
                <w:color w:val="000000"/>
                <w:sz w:val="20"/>
                <w:szCs w:val="20"/>
              </w:rPr>
              <w:t>2,797 </w:t>
            </w:r>
          </w:p>
        </w:tc>
        <w:tc>
          <w:tcPr>
            <w:tcW w:w="0" w:type="auto"/>
            <w:shd w:val="clear" w:color="auto" w:fill="FFFFFF"/>
            <w:tcMar>
              <w:top w:w="40" w:type="dxa"/>
              <w:left w:w="0" w:type="dxa"/>
              <w:bottom w:w="40" w:type="dxa"/>
              <w:right w:w="20" w:type="dxa"/>
            </w:tcMar>
            <w:vAlign w:val="bottom"/>
          </w:tcPr>
          <w:p w14:paraId="1950353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531"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532"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533" w14:textId="77777777" w:rsidR="00BF3A3A" w:rsidRDefault="00A76802">
            <w:pPr>
              <w:jc w:val="right"/>
              <w:textAlignment w:val="bottom"/>
            </w:pPr>
            <w:r>
              <w:rPr>
                <w:rFonts w:ascii="sans-serif" w:eastAsia="sans-serif" w:hAnsi="sans-serif" w:cs="sans-serif"/>
                <w:color w:val="000000"/>
                <w:sz w:val="20"/>
                <w:szCs w:val="20"/>
              </w:rPr>
              <w:t>3,907 </w:t>
            </w:r>
          </w:p>
        </w:tc>
        <w:tc>
          <w:tcPr>
            <w:tcW w:w="0" w:type="auto"/>
            <w:shd w:val="clear" w:color="auto" w:fill="FFFFFF"/>
            <w:tcMar>
              <w:top w:w="40" w:type="dxa"/>
              <w:left w:w="0" w:type="dxa"/>
              <w:bottom w:w="40" w:type="dxa"/>
              <w:right w:w="20" w:type="dxa"/>
            </w:tcMar>
            <w:vAlign w:val="bottom"/>
          </w:tcPr>
          <w:p w14:paraId="19503534"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535"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536"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537"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3538"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539"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53A"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53B" w14:textId="77777777" w:rsidR="00BF3A3A" w:rsidRDefault="00A76802">
            <w:pPr>
              <w:jc w:val="right"/>
              <w:textAlignment w:val="bottom"/>
            </w:pPr>
            <w:r>
              <w:rPr>
                <w:rFonts w:ascii="sans-serif" w:eastAsia="sans-serif" w:hAnsi="sans-serif" w:cs="sans-serif"/>
                <w:color w:val="000000"/>
                <w:sz w:val="20"/>
                <w:szCs w:val="20"/>
              </w:rPr>
              <w:t>6,704 </w:t>
            </w:r>
          </w:p>
        </w:tc>
        <w:tc>
          <w:tcPr>
            <w:tcW w:w="0" w:type="auto"/>
            <w:shd w:val="clear" w:color="auto" w:fill="FFFFFF"/>
            <w:tcMar>
              <w:top w:w="40" w:type="dxa"/>
              <w:left w:w="0" w:type="dxa"/>
              <w:bottom w:w="40" w:type="dxa"/>
              <w:right w:w="20" w:type="dxa"/>
            </w:tcMar>
            <w:vAlign w:val="bottom"/>
          </w:tcPr>
          <w:p w14:paraId="1950353C" w14:textId="77777777" w:rsidR="00BF3A3A" w:rsidRDefault="00BF3A3A">
            <w:pPr>
              <w:jc w:val="right"/>
              <w:rPr>
                <w:rFonts w:ascii="宋体"/>
              </w:rPr>
            </w:pPr>
          </w:p>
        </w:tc>
      </w:tr>
      <w:tr w:rsidR="00BF3A3A" w14:paraId="19503546" w14:textId="77777777">
        <w:trPr>
          <w:hidden/>
        </w:trPr>
        <w:tc>
          <w:tcPr>
            <w:tcW w:w="0" w:type="auto"/>
            <w:gridSpan w:val="3"/>
            <w:shd w:val="clear" w:color="auto" w:fill="auto"/>
            <w:vAlign w:val="bottom"/>
          </w:tcPr>
          <w:p w14:paraId="1950353E" w14:textId="77777777" w:rsidR="00BF3A3A" w:rsidRDefault="00BF3A3A">
            <w:pPr>
              <w:rPr>
                <w:rFonts w:ascii="宋体"/>
                <w:vanish/>
              </w:rPr>
            </w:pPr>
          </w:p>
        </w:tc>
        <w:tc>
          <w:tcPr>
            <w:tcW w:w="0" w:type="auto"/>
            <w:gridSpan w:val="3"/>
            <w:shd w:val="clear" w:color="auto" w:fill="auto"/>
            <w:vAlign w:val="bottom"/>
          </w:tcPr>
          <w:p w14:paraId="1950353F" w14:textId="77777777" w:rsidR="00BF3A3A" w:rsidRDefault="00BF3A3A">
            <w:pPr>
              <w:rPr>
                <w:rFonts w:ascii="宋体"/>
                <w:vanish/>
              </w:rPr>
            </w:pPr>
          </w:p>
        </w:tc>
        <w:tc>
          <w:tcPr>
            <w:tcW w:w="0" w:type="auto"/>
            <w:gridSpan w:val="3"/>
            <w:shd w:val="clear" w:color="auto" w:fill="auto"/>
            <w:vAlign w:val="bottom"/>
          </w:tcPr>
          <w:p w14:paraId="19503540" w14:textId="77777777" w:rsidR="00BF3A3A" w:rsidRDefault="00BF3A3A">
            <w:pPr>
              <w:rPr>
                <w:rFonts w:ascii="宋体"/>
                <w:vanish/>
              </w:rPr>
            </w:pPr>
          </w:p>
        </w:tc>
        <w:tc>
          <w:tcPr>
            <w:tcW w:w="0" w:type="auto"/>
            <w:gridSpan w:val="3"/>
            <w:shd w:val="clear" w:color="auto" w:fill="auto"/>
            <w:vAlign w:val="bottom"/>
          </w:tcPr>
          <w:p w14:paraId="19503541" w14:textId="77777777" w:rsidR="00BF3A3A" w:rsidRDefault="00BF3A3A">
            <w:pPr>
              <w:rPr>
                <w:rFonts w:ascii="宋体"/>
                <w:vanish/>
              </w:rPr>
            </w:pPr>
          </w:p>
        </w:tc>
        <w:tc>
          <w:tcPr>
            <w:tcW w:w="0" w:type="auto"/>
            <w:gridSpan w:val="3"/>
            <w:shd w:val="clear" w:color="auto" w:fill="auto"/>
            <w:vAlign w:val="bottom"/>
          </w:tcPr>
          <w:p w14:paraId="19503542" w14:textId="77777777" w:rsidR="00BF3A3A" w:rsidRDefault="00BF3A3A">
            <w:pPr>
              <w:rPr>
                <w:rFonts w:ascii="宋体"/>
                <w:vanish/>
              </w:rPr>
            </w:pPr>
          </w:p>
        </w:tc>
        <w:tc>
          <w:tcPr>
            <w:tcW w:w="0" w:type="auto"/>
            <w:gridSpan w:val="3"/>
            <w:shd w:val="clear" w:color="auto" w:fill="auto"/>
            <w:vAlign w:val="bottom"/>
          </w:tcPr>
          <w:p w14:paraId="19503543" w14:textId="77777777" w:rsidR="00BF3A3A" w:rsidRDefault="00BF3A3A">
            <w:pPr>
              <w:rPr>
                <w:rFonts w:ascii="宋体"/>
                <w:vanish/>
              </w:rPr>
            </w:pPr>
          </w:p>
        </w:tc>
        <w:tc>
          <w:tcPr>
            <w:tcW w:w="0" w:type="auto"/>
            <w:gridSpan w:val="3"/>
            <w:shd w:val="clear" w:color="auto" w:fill="auto"/>
            <w:vAlign w:val="bottom"/>
          </w:tcPr>
          <w:p w14:paraId="19503544" w14:textId="77777777" w:rsidR="00BF3A3A" w:rsidRDefault="00BF3A3A">
            <w:pPr>
              <w:rPr>
                <w:rFonts w:ascii="宋体"/>
                <w:vanish/>
              </w:rPr>
            </w:pPr>
          </w:p>
        </w:tc>
        <w:tc>
          <w:tcPr>
            <w:tcW w:w="0" w:type="auto"/>
            <w:gridSpan w:val="3"/>
            <w:shd w:val="clear" w:color="auto" w:fill="auto"/>
            <w:vAlign w:val="bottom"/>
          </w:tcPr>
          <w:p w14:paraId="19503545" w14:textId="77777777" w:rsidR="00BF3A3A" w:rsidRDefault="00BF3A3A">
            <w:pPr>
              <w:rPr>
                <w:rFonts w:ascii="宋体"/>
                <w:vanish/>
              </w:rPr>
            </w:pPr>
          </w:p>
        </w:tc>
      </w:tr>
      <w:tr w:rsidR="00BF3A3A" w14:paraId="19503557" w14:textId="77777777">
        <w:tc>
          <w:tcPr>
            <w:tcW w:w="0" w:type="auto"/>
            <w:gridSpan w:val="3"/>
            <w:shd w:val="clear" w:color="auto" w:fill="E2EFD9"/>
            <w:tcMar>
              <w:top w:w="40" w:type="dxa"/>
              <w:left w:w="20" w:type="dxa"/>
              <w:bottom w:w="40" w:type="dxa"/>
              <w:right w:w="20" w:type="dxa"/>
            </w:tcMar>
            <w:vAlign w:val="bottom"/>
          </w:tcPr>
          <w:p w14:paraId="19503547" w14:textId="77777777" w:rsidR="00BF3A3A" w:rsidRDefault="00A76802">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19503548"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549" w14:textId="77777777" w:rsidR="00BF3A3A" w:rsidRDefault="00A76802">
            <w:pPr>
              <w:jc w:val="right"/>
              <w:textAlignment w:val="bottom"/>
            </w:pPr>
            <w:r>
              <w:rPr>
                <w:rFonts w:ascii="sans-serif" w:eastAsia="sans-serif" w:hAnsi="sans-serif" w:cs="sans-serif"/>
                <w:color w:val="000000"/>
                <w:sz w:val="20"/>
                <w:szCs w:val="20"/>
              </w:rPr>
              <w:t>657 </w:t>
            </w:r>
          </w:p>
        </w:tc>
        <w:tc>
          <w:tcPr>
            <w:tcW w:w="0" w:type="auto"/>
            <w:shd w:val="clear" w:color="auto" w:fill="E2EFD9"/>
            <w:tcMar>
              <w:top w:w="40" w:type="dxa"/>
              <w:left w:w="0" w:type="dxa"/>
              <w:bottom w:w="40" w:type="dxa"/>
              <w:right w:w="20" w:type="dxa"/>
            </w:tcMar>
            <w:vAlign w:val="bottom"/>
          </w:tcPr>
          <w:p w14:paraId="1950354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54B"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54C"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54D" w14:textId="77777777" w:rsidR="00BF3A3A" w:rsidRDefault="00A76802">
            <w:pPr>
              <w:jc w:val="right"/>
              <w:textAlignment w:val="bottom"/>
            </w:pPr>
            <w:r>
              <w:rPr>
                <w:rFonts w:ascii="sans-serif" w:eastAsia="sans-serif" w:hAnsi="sans-serif" w:cs="sans-serif"/>
                <w:color w:val="000000"/>
                <w:sz w:val="20"/>
                <w:szCs w:val="20"/>
              </w:rPr>
              <w:t>816 </w:t>
            </w:r>
          </w:p>
        </w:tc>
        <w:tc>
          <w:tcPr>
            <w:tcW w:w="0" w:type="auto"/>
            <w:shd w:val="clear" w:color="auto" w:fill="E2EFD9"/>
            <w:tcMar>
              <w:top w:w="40" w:type="dxa"/>
              <w:left w:w="0" w:type="dxa"/>
              <w:bottom w:w="40" w:type="dxa"/>
              <w:right w:w="20" w:type="dxa"/>
            </w:tcMar>
            <w:vAlign w:val="bottom"/>
          </w:tcPr>
          <w:p w14:paraId="1950354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54F"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550"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551" w14:textId="77777777" w:rsidR="00BF3A3A" w:rsidRDefault="00A76802">
            <w:pPr>
              <w:jc w:val="right"/>
              <w:textAlignment w:val="bottom"/>
            </w:pPr>
            <w:r>
              <w:rPr>
                <w:rFonts w:ascii="sans-serif" w:eastAsia="sans-serif" w:hAnsi="sans-serif" w:cs="sans-serif"/>
                <w:color w:val="000000"/>
                <w:sz w:val="20"/>
                <w:szCs w:val="20"/>
              </w:rPr>
              <w:t>(974)</w:t>
            </w:r>
          </w:p>
        </w:tc>
        <w:tc>
          <w:tcPr>
            <w:tcW w:w="0" w:type="auto"/>
            <w:shd w:val="clear" w:color="auto" w:fill="E2EFD9"/>
            <w:tcMar>
              <w:top w:w="40" w:type="dxa"/>
              <w:left w:w="0" w:type="dxa"/>
              <w:bottom w:w="40" w:type="dxa"/>
              <w:right w:w="20" w:type="dxa"/>
            </w:tcMar>
            <w:vAlign w:val="bottom"/>
          </w:tcPr>
          <w:p w14:paraId="1950355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553"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554"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555" w14:textId="77777777" w:rsidR="00BF3A3A" w:rsidRDefault="00A76802">
            <w:pPr>
              <w:jc w:val="right"/>
              <w:textAlignment w:val="bottom"/>
            </w:pPr>
            <w:r>
              <w:rPr>
                <w:rFonts w:ascii="sans-serif" w:eastAsia="sans-serif" w:hAnsi="sans-serif" w:cs="sans-serif"/>
                <w:color w:val="000000"/>
                <w:sz w:val="20"/>
                <w:szCs w:val="20"/>
              </w:rPr>
              <w:t>499 </w:t>
            </w:r>
          </w:p>
        </w:tc>
        <w:tc>
          <w:tcPr>
            <w:tcW w:w="0" w:type="auto"/>
            <w:shd w:val="clear" w:color="auto" w:fill="E2EFD9"/>
            <w:tcMar>
              <w:top w:w="40" w:type="dxa"/>
              <w:left w:w="0" w:type="dxa"/>
              <w:bottom w:w="40" w:type="dxa"/>
              <w:right w:w="20" w:type="dxa"/>
            </w:tcMar>
            <w:vAlign w:val="bottom"/>
          </w:tcPr>
          <w:p w14:paraId="19503556" w14:textId="77777777" w:rsidR="00BF3A3A" w:rsidRDefault="00BF3A3A">
            <w:pPr>
              <w:jc w:val="right"/>
              <w:rPr>
                <w:rFonts w:ascii="宋体"/>
              </w:rPr>
            </w:pPr>
          </w:p>
        </w:tc>
      </w:tr>
      <w:tr w:rsidR="00BF3A3A" w14:paraId="19503560" w14:textId="77777777">
        <w:trPr>
          <w:trHeight w:val="300"/>
        </w:trPr>
        <w:tc>
          <w:tcPr>
            <w:tcW w:w="0" w:type="auto"/>
            <w:gridSpan w:val="3"/>
            <w:shd w:val="clear" w:color="auto" w:fill="FFFFFF"/>
            <w:tcMar>
              <w:top w:w="0" w:type="dxa"/>
              <w:left w:w="20" w:type="dxa"/>
              <w:bottom w:w="0" w:type="dxa"/>
              <w:right w:w="20" w:type="dxa"/>
            </w:tcMar>
            <w:vAlign w:val="bottom"/>
          </w:tcPr>
          <w:p w14:paraId="19503558"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559"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55A"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55B"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55C"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55D"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55E"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55F" w14:textId="77777777" w:rsidR="00BF3A3A" w:rsidRDefault="00BF3A3A">
            <w:pPr>
              <w:rPr>
                <w:rFonts w:ascii="宋体"/>
              </w:rPr>
            </w:pPr>
          </w:p>
        </w:tc>
      </w:tr>
      <w:tr w:rsidR="00BF3A3A" w14:paraId="19503569" w14:textId="77777777">
        <w:tc>
          <w:tcPr>
            <w:tcW w:w="0" w:type="auto"/>
            <w:gridSpan w:val="3"/>
            <w:shd w:val="clear" w:color="auto" w:fill="E2EFD9"/>
            <w:tcMar>
              <w:top w:w="40" w:type="dxa"/>
              <w:left w:w="20" w:type="dxa"/>
              <w:bottom w:w="40" w:type="dxa"/>
              <w:right w:w="20" w:type="dxa"/>
            </w:tcMar>
            <w:vAlign w:val="bottom"/>
          </w:tcPr>
          <w:p w14:paraId="19503561" w14:textId="77777777" w:rsidR="00BF3A3A" w:rsidRDefault="00A76802">
            <w:pPr>
              <w:textAlignment w:val="bottom"/>
            </w:pPr>
            <w:r>
              <w:rPr>
                <w:rFonts w:ascii="sans-serif" w:eastAsia="sans-serif" w:hAnsi="sans-serif" w:cs="sans-serif"/>
                <w:b/>
                <w:bCs/>
                <w:color w:val="000000"/>
                <w:sz w:val="20"/>
                <w:szCs w:val="20"/>
              </w:rPr>
              <w:t>Three Months Ended August 1, 2021</w:t>
            </w:r>
          </w:p>
        </w:tc>
        <w:tc>
          <w:tcPr>
            <w:tcW w:w="0" w:type="auto"/>
            <w:gridSpan w:val="3"/>
            <w:shd w:val="clear" w:color="auto" w:fill="E2EFD9"/>
            <w:tcMar>
              <w:top w:w="40" w:type="dxa"/>
              <w:left w:w="20" w:type="dxa"/>
              <w:bottom w:w="40" w:type="dxa"/>
              <w:right w:w="20" w:type="dxa"/>
            </w:tcMar>
            <w:vAlign w:val="bottom"/>
          </w:tcPr>
          <w:p w14:paraId="19503562" w14:textId="77777777" w:rsidR="00BF3A3A" w:rsidRDefault="00A76802">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9503563" w14:textId="77777777" w:rsidR="00BF3A3A" w:rsidRDefault="00BF3A3A">
            <w:pPr>
              <w:rPr>
                <w:rFonts w:ascii="宋体"/>
              </w:rPr>
            </w:pPr>
          </w:p>
        </w:tc>
        <w:tc>
          <w:tcPr>
            <w:tcW w:w="0" w:type="auto"/>
            <w:gridSpan w:val="3"/>
            <w:shd w:val="clear" w:color="auto" w:fill="E2EFD9"/>
            <w:tcMar>
              <w:top w:w="40" w:type="dxa"/>
              <w:left w:w="20" w:type="dxa"/>
              <w:bottom w:w="40" w:type="dxa"/>
              <w:right w:w="20" w:type="dxa"/>
            </w:tcMar>
            <w:vAlign w:val="bottom"/>
          </w:tcPr>
          <w:p w14:paraId="19503564" w14:textId="77777777" w:rsidR="00BF3A3A" w:rsidRDefault="00A76802">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9503565" w14:textId="77777777" w:rsidR="00BF3A3A" w:rsidRDefault="00BF3A3A">
            <w:pPr>
              <w:rPr>
                <w:rFonts w:ascii="宋体"/>
              </w:rPr>
            </w:pPr>
          </w:p>
        </w:tc>
        <w:tc>
          <w:tcPr>
            <w:tcW w:w="0" w:type="auto"/>
            <w:gridSpan w:val="3"/>
            <w:shd w:val="clear" w:color="auto" w:fill="E2EFD9"/>
            <w:tcMar>
              <w:top w:w="40" w:type="dxa"/>
              <w:left w:w="20" w:type="dxa"/>
              <w:bottom w:w="40" w:type="dxa"/>
              <w:right w:w="20" w:type="dxa"/>
            </w:tcMar>
            <w:vAlign w:val="bottom"/>
          </w:tcPr>
          <w:p w14:paraId="19503566" w14:textId="77777777" w:rsidR="00BF3A3A" w:rsidRDefault="00A76802">
            <w:pPr>
              <w:jc w:val="right"/>
              <w:textAlignment w:val="bottom"/>
            </w:pPr>
            <w:r>
              <w:rPr>
                <w:rFonts w:ascii="sans-serif" w:eastAsia="sans-serif" w:hAnsi="sans-serif" w:cs="sans-serif"/>
                <w:color w:val="000000"/>
                <w:sz w:val="20"/>
                <w:szCs w:val="20"/>
              </w:rPr>
              <w:t> </w:t>
            </w:r>
          </w:p>
        </w:tc>
        <w:tc>
          <w:tcPr>
            <w:tcW w:w="0" w:type="auto"/>
            <w:gridSpan w:val="3"/>
            <w:shd w:val="clear" w:color="auto" w:fill="E2EFD9"/>
            <w:tcMar>
              <w:top w:w="0" w:type="dxa"/>
              <w:left w:w="20" w:type="dxa"/>
              <w:bottom w:w="0" w:type="dxa"/>
              <w:right w:w="20" w:type="dxa"/>
            </w:tcMar>
            <w:vAlign w:val="bottom"/>
          </w:tcPr>
          <w:p w14:paraId="19503567" w14:textId="77777777" w:rsidR="00BF3A3A" w:rsidRDefault="00BF3A3A">
            <w:pPr>
              <w:rPr>
                <w:rFonts w:ascii="宋体"/>
              </w:rPr>
            </w:pPr>
          </w:p>
        </w:tc>
        <w:tc>
          <w:tcPr>
            <w:tcW w:w="0" w:type="auto"/>
            <w:gridSpan w:val="3"/>
            <w:shd w:val="clear" w:color="auto" w:fill="E2EFD9"/>
            <w:tcMar>
              <w:top w:w="40" w:type="dxa"/>
              <w:left w:w="20" w:type="dxa"/>
              <w:bottom w:w="40" w:type="dxa"/>
              <w:right w:w="20" w:type="dxa"/>
            </w:tcMar>
            <w:vAlign w:val="bottom"/>
          </w:tcPr>
          <w:p w14:paraId="19503568" w14:textId="77777777" w:rsidR="00BF3A3A" w:rsidRDefault="00A76802">
            <w:pPr>
              <w:jc w:val="right"/>
              <w:textAlignment w:val="bottom"/>
            </w:pPr>
            <w:r>
              <w:rPr>
                <w:rFonts w:ascii="sans-serif" w:eastAsia="sans-serif" w:hAnsi="sans-serif" w:cs="sans-serif"/>
                <w:color w:val="000000"/>
                <w:sz w:val="20"/>
                <w:szCs w:val="20"/>
              </w:rPr>
              <w:t> </w:t>
            </w:r>
          </w:p>
        </w:tc>
      </w:tr>
      <w:tr w:rsidR="00BF3A3A" w14:paraId="1950357A" w14:textId="77777777">
        <w:tc>
          <w:tcPr>
            <w:tcW w:w="0" w:type="auto"/>
            <w:gridSpan w:val="3"/>
            <w:shd w:val="clear" w:color="auto" w:fill="FFFFFF"/>
            <w:tcMar>
              <w:top w:w="40" w:type="dxa"/>
              <w:left w:w="20" w:type="dxa"/>
              <w:bottom w:w="40" w:type="dxa"/>
              <w:right w:w="20" w:type="dxa"/>
            </w:tcMar>
            <w:vAlign w:val="bottom"/>
          </w:tcPr>
          <w:p w14:paraId="1950356A" w14:textId="77777777" w:rsidR="00BF3A3A" w:rsidRDefault="00A76802">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1950356B"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56C" w14:textId="77777777" w:rsidR="00BF3A3A" w:rsidRDefault="00A76802">
            <w:pPr>
              <w:jc w:val="right"/>
              <w:textAlignment w:val="bottom"/>
            </w:pPr>
            <w:r>
              <w:rPr>
                <w:rFonts w:ascii="sans-serif" w:eastAsia="sans-serif" w:hAnsi="sans-serif" w:cs="sans-serif"/>
                <w:color w:val="000000"/>
                <w:sz w:val="20"/>
                <w:szCs w:val="20"/>
              </w:rPr>
              <w:t>3,907 </w:t>
            </w:r>
          </w:p>
        </w:tc>
        <w:tc>
          <w:tcPr>
            <w:tcW w:w="0" w:type="auto"/>
            <w:shd w:val="clear" w:color="auto" w:fill="FFFFFF"/>
            <w:tcMar>
              <w:top w:w="40" w:type="dxa"/>
              <w:left w:w="0" w:type="dxa"/>
              <w:bottom w:w="40" w:type="dxa"/>
              <w:right w:w="20" w:type="dxa"/>
            </w:tcMar>
            <w:vAlign w:val="bottom"/>
          </w:tcPr>
          <w:p w14:paraId="1950356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56E"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56F"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570" w14:textId="77777777" w:rsidR="00BF3A3A" w:rsidRDefault="00A76802">
            <w:pPr>
              <w:jc w:val="right"/>
              <w:textAlignment w:val="bottom"/>
            </w:pPr>
            <w:r>
              <w:rPr>
                <w:rFonts w:ascii="sans-serif" w:eastAsia="sans-serif" w:hAnsi="sans-serif" w:cs="sans-serif"/>
                <w:color w:val="000000"/>
                <w:sz w:val="20"/>
                <w:szCs w:val="20"/>
              </w:rPr>
              <w:t>2,600 </w:t>
            </w:r>
          </w:p>
        </w:tc>
        <w:tc>
          <w:tcPr>
            <w:tcW w:w="0" w:type="auto"/>
            <w:shd w:val="clear" w:color="auto" w:fill="FFFFFF"/>
            <w:tcMar>
              <w:top w:w="40" w:type="dxa"/>
              <w:left w:w="0" w:type="dxa"/>
              <w:bottom w:w="40" w:type="dxa"/>
              <w:right w:w="20" w:type="dxa"/>
            </w:tcMar>
            <w:vAlign w:val="bottom"/>
          </w:tcPr>
          <w:p w14:paraId="19503571"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572"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573"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574"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3575"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576"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577"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578" w14:textId="77777777" w:rsidR="00BF3A3A" w:rsidRDefault="00A76802">
            <w:pPr>
              <w:jc w:val="right"/>
              <w:textAlignment w:val="bottom"/>
            </w:pPr>
            <w:r>
              <w:rPr>
                <w:rFonts w:ascii="sans-serif" w:eastAsia="sans-serif" w:hAnsi="sans-serif" w:cs="sans-serif"/>
                <w:color w:val="000000"/>
                <w:sz w:val="20"/>
                <w:szCs w:val="20"/>
              </w:rPr>
              <w:t>6,507 </w:t>
            </w:r>
          </w:p>
        </w:tc>
        <w:tc>
          <w:tcPr>
            <w:tcW w:w="0" w:type="auto"/>
            <w:shd w:val="clear" w:color="auto" w:fill="FFFFFF"/>
            <w:tcMar>
              <w:top w:w="40" w:type="dxa"/>
              <w:left w:w="0" w:type="dxa"/>
              <w:bottom w:w="40" w:type="dxa"/>
              <w:right w:w="20" w:type="dxa"/>
            </w:tcMar>
            <w:vAlign w:val="bottom"/>
          </w:tcPr>
          <w:p w14:paraId="19503579" w14:textId="77777777" w:rsidR="00BF3A3A" w:rsidRDefault="00BF3A3A">
            <w:pPr>
              <w:jc w:val="right"/>
              <w:rPr>
                <w:rFonts w:ascii="宋体"/>
              </w:rPr>
            </w:pPr>
          </w:p>
        </w:tc>
      </w:tr>
      <w:tr w:rsidR="00BF3A3A" w14:paraId="19503583" w14:textId="77777777">
        <w:trPr>
          <w:hidden/>
        </w:trPr>
        <w:tc>
          <w:tcPr>
            <w:tcW w:w="0" w:type="auto"/>
            <w:gridSpan w:val="3"/>
            <w:shd w:val="clear" w:color="auto" w:fill="auto"/>
            <w:vAlign w:val="bottom"/>
          </w:tcPr>
          <w:p w14:paraId="1950357B" w14:textId="77777777" w:rsidR="00BF3A3A" w:rsidRDefault="00BF3A3A">
            <w:pPr>
              <w:rPr>
                <w:rFonts w:ascii="宋体"/>
                <w:vanish/>
              </w:rPr>
            </w:pPr>
          </w:p>
        </w:tc>
        <w:tc>
          <w:tcPr>
            <w:tcW w:w="0" w:type="auto"/>
            <w:gridSpan w:val="3"/>
            <w:shd w:val="clear" w:color="auto" w:fill="auto"/>
            <w:vAlign w:val="bottom"/>
          </w:tcPr>
          <w:p w14:paraId="1950357C" w14:textId="77777777" w:rsidR="00BF3A3A" w:rsidRDefault="00BF3A3A">
            <w:pPr>
              <w:rPr>
                <w:rFonts w:ascii="宋体"/>
                <w:vanish/>
              </w:rPr>
            </w:pPr>
          </w:p>
        </w:tc>
        <w:tc>
          <w:tcPr>
            <w:tcW w:w="0" w:type="auto"/>
            <w:gridSpan w:val="3"/>
            <w:shd w:val="clear" w:color="auto" w:fill="auto"/>
            <w:vAlign w:val="bottom"/>
          </w:tcPr>
          <w:p w14:paraId="1950357D" w14:textId="77777777" w:rsidR="00BF3A3A" w:rsidRDefault="00BF3A3A">
            <w:pPr>
              <w:rPr>
                <w:rFonts w:ascii="宋体"/>
                <w:vanish/>
              </w:rPr>
            </w:pPr>
          </w:p>
        </w:tc>
        <w:tc>
          <w:tcPr>
            <w:tcW w:w="0" w:type="auto"/>
            <w:gridSpan w:val="3"/>
            <w:shd w:val="clear" w:color="auto" w:fill="auto"/>
            <w:vAlign w:val="bottom"/>
          </w:tcPr>
          <w:p w14:paraId="1950357E" w14:textId="77777777" w:rsidR="00BF3A3A" w:rsidRDefault="00BF3A3A">
            <w:pPr>
              <w:rPr>
                <w:rFonts w:ascii="宋体"/>
                <w:vanish/>
              </w:rPr>
            </w:pPr>
          </w:p>
        </w:tc>
        <w:tc>
          <w:tcPr>
            <w:tcW w:w="0" w:type="auto"/>
            <w:gridSpan w:val="3"/>
            <w:shd w:val="clear" w:color="auto" w:fill="auto"/>
            <w:vAlign w:val="bottom"/>
          </w:tcPr>
          <w:p w14:paraId="1950357F" w14:textId="77777777" w:rsidR="00BF3A3A" w:rsidRDefault="00BF3A3A">
            <w:pPr>
              <w:rPr>
                <w:rFonts w:ascii="宋体"/>
                <w:vanish/>
              </w:rPr>
            </w:pPr>
          </w:p>
        </w:tc>
        <w:tc>
          <w:tcPr>
            <w:tcW w:w="0" w:type="auto"/>
            <w:gridSpan w:val="3"/>
            <w:shd w:val="clear" w:color="auto" w:fill="auto"/>
            <w:vAlign w:val="bottom"/>
          </w:tcPr>
          <w:p w14:paraId="19503580" w14:textId="77777777" w:rsidR="00BF3A3A" w:rsidRDefault="00BF3A3A">
            <w:pPr>
              <w:rPr>
                <w:rFonts w:ascii="宋体"/>
                <w:vanish/>
              </w:rPr>
            </w:pPr>
          </w:p>
        </w:tc>
        <w:tc>
          <w:tcPr>
            <w:tcW w:w="0" w:type="auto"/>
            <w:gridSpan w:val="3"/>
            <w:shd w:val="clear" w:color="auto" w:fill="auto"/>
            <w:vAlign w:val="bottom"/>
          </w:tcPr>
          <w:p w14:paraId="19503581" w14:textId="77777777" w:rsidR="00BF3A3A" w:rsidRDefault="00BF3A3A">
            <w:pPr>
              <w:rPr>
                <w:rFonts w:ascii="宋体"/>
                <w:vanish/>
              </w:rPr>
            </w:pPr>
          </w:p>
        </w:tc>
        <w:tc>
          <w:tcPr>
            <w:tcW w:w="0" w:type="auto"/>
            <w:gridSpan w:val="3"/>
            <w:shd w:val="clear" w:color="auto" w:fill="auto"/>
            <w:vAlign w:val="bottom"/>
          </w:tcPr>
          <w:p w14:paraId="19503582" w14:textId="77777777" w:rsidR="00BF3A3A" w:rsidRDefault="00BF3A3A">
            <w:pPr>
              <w:rPr>
                <w:rFonts w:ascii="宋体"/>
                <w:vanish/>
              </w:rPr>
            </w:pPr>
          </w:p>
        </w:tc>
      </w:tr>
      <w:tr w:rsidR="00BF3A3A" w14:paraId="19503594" w14:textId="77777777">
        <w:tc>
          <w:tcPr>
            <w:tcW w:w="0" w:type="auto"/>
            <w:gridSpan w:val="3"/>
            <w:shd w:val="clear" w:color="auto" w:fill="E2EFD9"/>
            <w:tcMar>
              <w:top w:w="40" w:type="dxa"/>
              <w:left w:w="20" w:type="dxa"/>
              <w:bottom w:w="40" w:type="dxa"/>
              <w:right w:w="20" w:type="dxa"/>
            </w:tcMar>
            <w:vAlign w:val="bottom"/>
          </w:tcPr>
          <w:p w14:paraId="19503584" w14:textId="77777777" w:rsidR="00BF3A3A" w:rsidRDefault="00A76802">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19503585"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586" w14:textId="77777777" w:rsidR="00BF3A3A" w:rsidRDefault="00A76802">
            <w:pPr>
              <w:jc w:val="right"/>
              <w:textAlignment w:val="bottom"/>
            </w:pPr>
            <w:r>
              <w:rPr>
                <w:rFonts w:ascii="sans-serif" w:eastAsia="sans-serif" w:hAnsi="sans-serif" w:cs="sans-serif"/>
                <w:color w:val="000000"/>
                <w:sz w:val="20"/>
                <w:szCs w:val="20"/>
              </w:rPr>
              <w:t>2,127 </w:t>
            </w:r>
          </w:p>
        </w:tc>
        <w:tc>
          <w:tcPr>
            <w:tcW w:w="0" w:type="auto"/>
            <w:shd w:val="clear" w:color="auto" w:fill="E2EFD9"/>
            <w:tcMar>
              <w:top w:w="40" w:type="dxa"/>
              <w:left w:w="0" w:type="dxa"/>
              <w:bottom w:w="40" w:type="dxa"/>
              <w:right w:w="20" w:type="dxa"/>
            </w:tcMar>
            <w:vAlign w:val="bottom"/>
          </w:tcPr>
          <w:p w14:paraId="1950358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588"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589"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58A" w14:textId="77777777" w:rsidR="00BF3A3A" w:rsidRDefault="00A76802">
            <w:pPr>
              <w:jc w:val="right"/>
              <w:textAlignment w:val="bottom"/>
            </w:pPr>
            <w:r>
              <w:rPr>
                <w:rFonts w:ascii="sans-serif" w:eastAsia="sans-serif" w:hAnsi="sans-serif" w:cs="sans-serif"/>
                <w:color w:val="000000"/>
                <w:sz w:val="20"/>
                <w:szCs w:val="20"/>
              </w:rPr>
              <w:t>1,034 </w:t>
            </w:r>
          </w:p>
        </w:tc>
        <w:tc>
          <w:tcPr>
            <w:tcW w:w="0" w:type="auto"/>
            <w:shd w:val="clear" w:color="auto" w:fill="E2EFD9"/>
            <w:tcMar>
              <w:top w:w="40" w:type="dxa"/>
              <w:left w:w="0" w:type="dxa"/>
              <w:bottom w:w="40" w:type="dxa"/>
              <w:right w:w="20" w:type="dxa"/>
            </w:tcMar>
            <w:vAlign w:val="bottom"/>
          </w:tcPr>
          <w:p w14:paraId="1950358B"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58C"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58D"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58E" w14:textId="77777777" w:rsidR="00BF3A3A" w:rsidRDefault="00A76802">
            <w:pPr>
              <w:jc w:val="right"/>
              <w:textAlignment w:val="bottom"/>
            </w:pPr>
            <w:r>
              <w:rPr>
                <w:rFonts w:ascii="sans-serif" w:eastAsia="sans-serif" w:hAnsi="sans-serif" w:cs="sans-serif"/>
                <w:color w:val="000000"/>
                <w:sz w:val="20"/>
                <w:szCs w:val="20"/>
              </w:rPr>
              <w:t>(717)</w:t>
            </w:r>
          </w:p>
        </w:tc>
        <w:tc>
          <w:tcPr>
            <w:tcW w:w="0" w:type="auto"/>
            <w:shd w:val="clear" w:color="auto" w:fill="E2EFD9"/>
            <w:tcMar>
              <w:top w:w="40" w:type="dxa"/>
              <w:left w:w="0" w:type="dxa"/>
              <w:bottom w:w="40" w:type="dxa"/>
              <w:right w:w="20" w:type="dxa"/>
            </w:tcMar>
            <w:vAlign w:val="bottom"/>
          </w:tcPr>
          <w:p w14:paraId="1950358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590"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591"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592" w14:textId="77777777" w:rsidR="00BF3A3A" w:rsidRDefault="00A76802">
            <w:pPr>
              <w:jc w:val="right"/>
              <w:textAlignment w:val="bottom"/>
            </w:pPr>
            <w:r>
              <w:rPr>
                <w:rFonts w:ascii="sans-serif" w:eastAsia="sans-serif" w:hAnsi="sans-serif" w:cs="sans-serif"/>
                <w:color w:val="000000"/>
                <w:sz w:val="20"/>
                <w:szCs w:val="20"/>
              </w:rPr>
              <w:t>2,444 </w:t>
            </w:r>
          </w:p>
        </w:tc>
        <w:tc>
          <w:tcPr>
            <w:tcW w:w="0" w:type="auto"/>
            <w:shd w:val="clear" w:color="auto" w:fill="E2EFD9"/>
            <w:tcMar>
              <w:top w:w="40" w:type="dxa"/>
              <w:left w:w="0" w:type="dxa"/>
              <w:bottom w:w="40" w:type="dxa"/>
              <w:right w:w="20" w:type="dxa"/>
            </w:tcMar>
            <w:vAlign w:val="bottom"/>
          </w:tcPr>
          <w:p w14:paraId="19503593" w14:textId="77777777" w:rsidR="00BF3A3A" w:rsidRDefault="00BF3A3A">
            <w:pPr>
              <w:jc w:val="right"/>
              <w:rPr>
                <w:rFonts w:ascii="宋体"/>
              </w:rPr>
            </w:pPr>
          </w:p>
        </w:tc>
      </w:tr>
      <w:tr w:rsidR="00BF3A3A" w14:paraId="1950359D" w14:textId="77777777">
        <w:trPr>
          <w:trHeight w:val="300"/>
        </w:trPr>
        <w:tc>
          <w:tcPr>
            <w:tcW w:w="0" w:type="auto"/>
            <w:gridSpan w:val="3"/>
            <w:shd w:val="clear" w:color="auto" w:fill="FFFFFF"/>
            <w:tcMar>
              <w:top w:w="0" w:type="dxa"/>
              <w:left w:w="20" w:type="dxa"/>
              <w:bottom w:w="0" w:type="dxa"/>
              <w:right w:w="20" w:type="dxa"/>
            </w:tcMar>
            <w:vAlign w:val="bottom"/>
          </w:tcPr>
          <w:p w14:paraId="19503595"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596"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597"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598"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599"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59A"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59B"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59C" w14:textId="77777777" w:rsidR="00BF3A3A" w:rsidRDefault="00BF3A3A">
            <w:pPr>
              <w:rPr>
                <w:rFonts w:ascii="宋体"/>
              </w:rPr>
            </w:pPr>
          </w:p>
        </w:tc>
      </w:tr>
      <w:tr w:rsidR="00BF3A3A" w14:paraId="195035A6" w14:textId="77777777">
        <w:tc>
          <w:tcPr>
            <w:tcW w:w="0" w:type="auto"/>
            <w:gridSpan w:val="3"/>
            <w:shd w:val="clear" w:color="auto" w:fill="E2EFD9"/>
            <w:tcMar>
              <w:top w:w="40" w:type="dxa"/>
              <w:left w:w="20" w:type="dxa"/>
              <w:bottom w:w="40" w:type="dxa"/>
              <w:right w:w="20" w:type="dxa"/>
            </w:tcMar>
            <w:vAlign w:val="bottom"/>
          </w:tcPr>
          <w:p w14:paraId="1950359E" w14:textId="77777777" w:rsidR="00BF3A3A" w:rsidRDefault="00A76802">
            <w:pPr>
              <w:textAlignment w:val="bottom"/>
            </w:pPr>
            <w:r>
              <w:rPr>
                <w:rFonts w:ascii="sans-serif" w:eastAsia="sans-serif" w:hAnsi="sans-serif" w:cs="sans-serif"/>
                <w:b/>
                <w:bCs/>
                <w:color w:val="000000"/>
                <w:sz w:val="20"/>
                <w:szCs w:val="20"/>
              </w:rPr>
              <w:t>Six Months Ended July 31, 2022</w:t>
            </w:r>
          </w:p>
        </w:tc>
        <w:tc>
          <w:tcPr>
            <w:tcW w:w="0" w:type="auto"/>
            <w:gridSpan w:val="3"/>
            <w:shd w:val="clear" w:color="auto" w:fill="E2EFD9"/>
            <w:tcMar>
              <w:top w:w="0" w:type="dxa"/>
              <w:left w:w="20" w:type="dxa"/>
              <w:bottom w:w="0" w:type="dxa"/>
              <w:right w:w="20" w:type="dxa"/>
            </w:tcMar>
            <w:vAlign w:val="bottom"/>
          </w:tcPr>
          <w:p w14:paraId="1950359F"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35A0"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35A1"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35A2"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35A3"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35A4"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35A5" w14:textId="77777777" w:rsidR="00BF3A3A" w:rsidRDefault="00BF3A3A">
            <w:pPr>
              <w:rPr>
                <w:rFonts w:ascii="宋体"/>
              </w:rPr>
            </w:pPr>
          </w:p>
        </w:tc>
      </w:tr>
      <w:tr w:rsidR="00BF3A3A" w14:paraId="195035B7" w14:textId="77777777">
        <w:tc>
          <w:tcPr>
            <w:tcW w:w="0" w:type="auto"/>
            <w:gridSpan w:val="3"/>
            <w:shd w:val="clear" w:color="auto" w:fill="FFFFFF"/>
            <w:tcMar>
              <w:top w:w="40" w:type="dxa"/>
              <w:left w:w="20" w:type="dxa"/>
              <w:bottom w:w="40" w:type="dxa"/>
              <w:right w:w="20" w:type="dxa"/>
            </w:tcMar>
            <w:vAlign w:val="bottom"/>
          </w:tcPr>
          <w:p w14:paraId="195035A7" w14:textId="77777777" w:rsidR="00BF3A3A" w:rsidRDefault="00A76802">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195035A8"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5A9" w14:textId="77777777" w:rsidR="00BF3A3A" w:rsidRDefault="00A76802">
            <w:pPr>
              <w:jc w:val="right"/>
              <w:textAlignment w:val="bottom"/>
            </w:pPr>
            <w:r>
              <w:rPr>
                <w:rFonts w:ascii="sans-serif" w:eastAsia="sans-serif" w:hAnsi="sans-serif" w:cs="sans-serif"/>
                <w:color w:val="000000"/>
                <w:sz w:val="20"/>
                <w:szCs w:val="20"/>
              </w:rPr>
              <w:t>7,413 </w:t>
            </w:r>
          </w:p>
        </w:tc>
        <w:tc>
          <w:tcPr>
            <w:tcW w:w="0" w:type="auto"/>
            <w:shd w:val="clear" w:color="auto" w:fill="FFFFFF"/>
            <w:tcMar>
              <w:top w:w="40" w:type="dxa"/>
              <w:left w:w="0" w:type="dxa"/>
              <w:bottom w:w="40" w:type="dxa"/>
              <w:right w:w="20" w:type="dxa"/>
            </w:tcMar>
            <w:vAlign w:val="bottom"/>
          </w:tcPr>
          <w:p w14:paraId="195035AA"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5AB"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5AC"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5AD" w14:textId="77777777" w:rsidR="00BF3A3A" w:rsidRDefault="00A76802">
            <w:pPr>
              <w:jc w:val="right"/>
              <w:textAlignment w:val="bottom"/>
            </w:pPr>
            <w:r>
              <w:rPr>
                <w:rFonts w:ascii="sans-serif" w:eastAsia="sans-serif" w:hAnsi="sans-serif" w:cs="sans-serif"/>
                <w:color w:val="000000"/>
                <w:sz w:val="20"/>
                <w:szCs w:val="20"/>
              </w:rPr>
              <w:t>7,579 </w:t>
            </w:r>
          </w:p>
        </w:tc>
        <w:tc>
          <w:tcPr>
            <w:tcW w:w="0" w:type="auto"/>
            <w:shd w:val="clear" w:color="auto" w:fill="FFFFFF"/>
            <w:tcMar>
              <w:top w:w="40" w:type="dxa"/>
              <w:left w:w="0" w:type="dxa"/>
              <w:bottom w:w="40" w:type="dxa"/>
              <w:right w:w="20" w:type="dxa"/>
            </w:tcMar>
            <w:vAlign w:val="bottom"/>
          </w:tcPr>
          <w:p w14:paraId="195035AE"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5AF"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5B0"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5B1"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35B2"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5B3"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5B4"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5B5" w14:textId="77777777" w:rsidR="00BF3A3A" w:rsidRDefault="00A76802">
            <w:pPr>
              <w:jc w:val="right"/>
              <w:textAlignment w:val="bottom"/>
            </w:pPr>
            <w:r>
              <w:rPr>
                <w:rFonts w:ascii="sans-serif" w:eastAsia="sans-serif" w:hAnsi="sans-serif" w:cs="sans-serif"/>
                <w:color w:val="000000"/>
                <w:sz w:val="20"/>
                <w:szCs w:val="20"/>
              </w:rPr>
              <w:t>14,992 </w:t>
            </w:r>
          </w:p>
        </w:tc>
        <w:tc>
          <w:tcPr>
            <w:tcW w:w="0" w:type="auto"/>
            <w:shd w:val="clear" w:color="auto" w:fill="FFFFFF"/>
            <w:tcMar>
              <w:top w:w="40" w:type="dxa"/>
              <w:left w:w="0" w:type="dxa"/>
              <w:bottom w:w="40" w:type="dxa"/>
              <w:right w:w="20" w:type="dxa"/>
            </w:tcMar>
            <w:vAlign w:val="bottom"/>
          </w:tcPr>
          <w:p w14:paraId="195035B6" w14:textId="77777777" w:rsidR="00BF3A3A" w:rsidRDefault="00BF3A3A">
            <w:pPr>
              <w:jc w:val="right"/>
              <w:rPr>
                <w:rFonts w:ascii="宋体"/>
              </w:rPr>
            </w:pPr>
          </w:p>
        </w:tc>
      </w:tr>
      <w:tr w:rsidR="00BF3A3A" w14:paraId="195035C0" w14:textId="77777777">
        <w:trPr>
          <w:hidden/>
        </w:trPr>
        <w:tc>
          <w:tcPr>
            <w:tcW w:w="0" w:type="auto"/>
            <w:gridSpan w:val="3"/>
            <w:shd w:val="clear" w:color="auto" w:fill="auto"/>
            <w:vAlign w:val="bottom"/>
          </w:tcPr>
          <w:p w14:paraId="195035B8" w14:textId="77777777" w:rsidR="00BF3A3A" w:rsidRDefault="00BF3A3A">
            <w:pPr>
              <w:rPr>
                <w:rFonts w:ascii="宋体"/>
                <w:vanish/>
              </w:rPr>
            </w:pPr>
          </w:p>
        </w:tc>
        <w:tc>
          <w:tcPr>
            <w:tcW w:w="0" w:type="auto"/>
            <w:gridSpan w:val="3"/>
            <w:shd w:val="clear" w:color="auto" w:fill="auto"/>
            <w:vAlign w:val="bottom"/>
          </w:tcPr>
          <w:p w14:paraId="195035B9" w14:textId="77777777" w:rsidR="00BF3A3A" w:rsidRDefault="00BF3A3A">
            <w:pPr>
              <w:rPr>
                <w:rFonts w:ascii="宋体"/>
                <w:vanish/>
              </w:rPr>
            </w:pPr>
          </w:p>
        </w:tc>
        <w:tc>
          <w:tcPr>
            <w:tcW w:w="0" w:type="auto"/>
            <w:gridSpan w:val="3"/>
            <w:shd w:val="clear" w:color="auto" w:fill="auto"/>
            <w:vAlign w:val="bottom"/>
          </w:tcPr>
          <w:p w14:paraId="195035BA" w14:textId="77777777" w:rsidR="00BF3A3A" w:rsidRDefault="00BF3A3A">
            <w:pPr>
              <w:rPr>
                <w:rFonts w:ascii="宋体"/>
                <w:vanish/>
              </w:rPr>
            </w:pPr>
          </w:p>
        </w:tc>
        <w:tc>
          <w:tcPr>
            <w:tcW w:w="0" w:type="auto"/>
            <w:gridSpan w:val="3"/>
            <w:shd w:val="clear" w:color="auto" w:fill="auto"/>
            <w:vAlign w:val="bottom"/>
          </w:tcPr>
          <w:p w14:paraId="195035BB" w14:textId="77777777" w:rsidR="00BF3A3A" w:rsidRDefault="00BF3A3A">
            <w:pPr>
              <w:rPr>
                <w:rFonts w:ascii="宋体"/>
                <w:vanish/>
              </w:rPr>
            </w:pPr>
          </w:p>
        </w:tc>
        <w:tc>
          <w:tcPr>
            <w:tcW w:w="0" w:type="auto"/>
            <w:gridSpan w:val="3"/>
            <w:shd w:val="clear" w:color="auto" w:fill="auto"/>
            <w:vAlign w:val="bottom"/>
          </w:tcPr>
          <w:p w14:paraId="195035BC" w14:textId="77777777" w:rsidR="00BF3A3A" w:rsidRDefault="00BF3A3A">
            <w:pPr>
              <w:rPr>
                <w:rFonts w:ascii="宋体"/>
                <w:vanish/>
              </w:rPr>
            </w:pPr>
          </w:p>
        </w:tc>
        <w:tc>
          <w:tcPr>
            <w:tcW w:w="0" w:type="auto"/>
            <w:gridSpan w:val="3"/>
            <w:shd w:val="clear" w:color="auto" w:fill="auto"/>
            <w:vAlign w:val="bottom"/>
          </w:tcPr>
          <w:p w14:paraId="195035BD" w14:textId="77777777" w:rsidR="00BF3A3A" w:rsidRDefault="00BF3A3A">
            <w:pPr>
              <w:rPr>
                <w:rFonts w:ascii="宋体"/>
                <w:vanish/>
              </w:rPr>
            </w:pPr>
          </w:p>
        </w:tc>
        <w:tc>
          <w:tcPr>
            <w:tcW w:w="0" w:type="auto"/>
            <w:gridSpan w:val="3"/>
            <w:shd w:val="clear" w:color="auto" w:fill="auto"/>
            <w:vAlign w:val="bottom"/>
          </w:tcPr>
          <w:p w14:paraId="195035BE" w14:textId="77777777" w:rsidR="00BF3A3A" w:rsidRDefault="00BF3A3A">
            <w:pPr>
              <w:rPr>
                <w:rFonts w:ascii="宋体"/>
                <w:vanish/>
              </w:rPr>
            </w:pPr>
          </w:p>
        </w:tc>
        <w:tc>
          <w:tcPr>
            <w:tcW w:w="0" w:type="auto"/>
            <w:gridSpan w:val="3"/>
            <w:shd w:val="clear" w:color="auto" w:fill="auto"/>
            <w:vAlign w:val="bottom"/>
          </w:tcPr>
          <w:p w14:paraId="195035BF" w14:textId="77777777" w:rsidR="00BF3A3A" w:rsidRDefault="00BF3A3A">
            <w:pPr>
              <w:rPr>
                <w:rFonts w:ascii="宋体"/>
                <w:vanish/>
              </w:rPr>
            </w:pPr>
          </w:p>
        </w:tc>
      </w:tr>
      <w:tr w:rsidR="00BF3A3A" w14:paraId="195035D1" w14:textId="77777777">
        <w:tc>
          <w:tcPr>
            <w:tcW w:w="0" w:type="auto"/>
            <w:gridSpan w:val="3"/>
            <w:shd w:val="clear" w:color="auto" w:fill="E2EFD9"/>
            <w:tcMar>
              <w:top w:w="40" w:type="dxa"/>
              <w:left w:w="20" w:type="dxa"/>
              <w:bottom w:w="40" w:type="dxa"/>
              <w:right w:w="20" w:type="dxa"/>
            </w:tcMar>
            <w:vAlign w:val="bottom"/>
          </w:tcPr>
          <w:p w14:paraId="195035C1" w14:textId="77777777" w:rsidR="00BF3A3A" w:rsidRDefault="00A76802">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195035C2"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5C3" w14:textId="77777777" w:rsidR="00BF3A3A" w:rsidRDefault="00A76802">
            <w:pPr>
              <w:jc w:val="right"/>
              <w:textAlignment w:val="bottom"/>
            </w:pPr>
            <w:r>
              <w:rPr>
                <w:rFonts w:ascii="sans-serif" w:eastAsia="sans-serif" w:hAnsi="sans-serif" w:cs="sans-serif"/>
                <w:color w:val="000000"/>
                <w:sz w:val="20"/>
                <w:szCs w:val="20"/>
              </w:rPr>
              <w:t>3,133 </w:t>
            </w:r>
          </w:p>
        </w:tc>
        <w:tc>
          <w:tcPr>
            <w:tcW w:w="0" w:type="auto"/>
            <w:shd w:val="clear" w:color="auto" w:fill="E2EFD9"/>
            <w:tcMar>
              <w:top w:w="40" w:type="dxa"/>
              <w:left w:w="0" w:type="dxa"/>
              <w:bottom w:w="40" w:type="dxa"/>
              <w:right w:w="20" w:type="dxa"/>
            </w:tcMar>
            <w:vAlign w:val="bottom"/>
          </w:tcPr>
          <w:p w14:paraId="195035C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5C5"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5C6"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5C7" w14:textId="77777777" w:rsidR="00BF3A3A" w:rsidRDefault="00A76802">
            <w:pPr>
              <w:jc w:val="right"/>
              <w:textAlignment w:val="bottom"/>
            </w:pPr>
            <w:r>
              <w:rPr>
                <w:rFonts w:ascii="sans-serif" w:eastAsia="sans-serif" w:hAnsi="sans-serif" w:cs="sans-serif"/>
                <w:color w:val="000000"/>
                <w:sz w:val="20"/>
                <w:szCs w:val="20"/>
              </w:rPr>
              <w:t>2,422 </w:t>
            </w:r>
          </w:p>
        </w:tc>
        <w:tc>
          <w:tcPr>
            <w:tcW w:w="0" w:type="auto"/>
            <w:shd w:val="clear" w:color="auto" w:fill="E2EFD9"/>
            <w:tcMar>
              <w:top w:w="40" w:type="dxa"/>
              <w:left w:w="0" w:type="dxa"/>
              <w:bottom w:w="40" w:type="dxa"/>
              <w:right w:w="20" w:type="dxa"/>
            </w:tcMar>
            <w:vAlign w:val="bottom"/>
          </w:tcPr>
          <w:p w14:paraId="195035C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5C9"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5CA"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5CB" w14:textId="77777777" w:rsidR="00BF3A3A" w:rsidRDefault="00A76802">
            <w:pPr>
              <w:jc w:val="right"/>
              <w:textAlignment w:val="bottom"/>
            </w:pPr>
            <w:r>
              <w:rPr>
                <w:rFonts w:ascii="sans-serif" w:eastAsia="sans-serif" w:hAnsi="sans-serif" w:cs="sans-serif"/>
                <w:color w:val="000000"/>
                <w:sz w:val="20"/>
                <w:szCs w:val="20"/>
              </w:rPr>
              <w:t>(3,188)</w:t>
            </w:r>
          </w:p>
        </w:tc>
        <w:tc>
          <w:tcPr>
            <w:tcW w:w="0" w:type="auto"/>
            <w:shd w:val="clear" w:color="auto" w:fill="E2EFD9"/>
            <w:tcMar>
              <w:top w:w="40" w:type="dxa"/>
              <w:left w:w="0" w:type="dxa"/>
              <w:bottom w:w="40" w:type="dxa"/>
              <w:right w:w="20" w:type="dxa"/>
            </w:tcMar>
            <w:vAlign w:val="bottom"/>
          </w:tcPr>
          <w:p w14:paraId="195035C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5CD"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5CE"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5CF" w14:textId="77777777" w:rsidR="00BF3A3A" w:rsidRDefault="00A76802">
            <w:pPr>
              <w:jc w:val="right"/>
              <w:textAlignment w:val="bottom"/>
            </w:pPr>
            <w:r>
              <w:rPr>
                <w:rFonts w:ascii="sans-serif" w:eastAsia="sans-serif" w:hAnsi="sans-serif" w:cs="sans-serif"/>
                <w:color w:val="000000"/>
                <w:sz w:val="20"/>
                <w:szCs w:val="20"/>
              </w:rPr>
              <w:t>2,367 </w:t>
            </w:r>
          </w:p>
        </w:tc>
        <w:tc>
          <w:tcPr>
            <w:tcW w:w="0" w:type="auto"/>
            <w:shd w:val="clear" w:color="auto" w:fill="E2EFD9"/>
            <w:tcMar>
              <w:top w:w="40" w:type="dxa"/>
              <w:left w:w="0" w:type="dxa"/>
              <w:bottom w:w="40" w:type="dxa"/>
              <w:right w:w="20" w:type="dxa"/>
            </w:tcMar>
            <w:vAlign w:val="bottom"/>
          </w:tcPr>
          <w:p w14:paraId="195035D0" w14:textId="77777777" w:rsidR="00BF3A3A" w:rsidRDefault="00BF3A3A">
            <w:pPr>
              <w:jc w:val="right"/>
              <w:rPr>
                <w:rFonts w:ascii="宋体"/>
              </w:rPr>
            </w:pPr>
          </w:p>
        </w:tc>
      </w:tr>
      <w:tr w:rsidR="00BF3A3A" w14:paraId="195035DA" w14:textId="77777777">
        <w:trPr>
          <w:trHeight w:val="300"/>
        </w:trPr>
        <w:tc>
          <w:tcPr>
            <w:tcW w:w="0" w:type="auto"/>
            <w:gridSpan w:val="3"/>
            <w:shd w:val="clear" w:color="auto" w:fill="FFFFFF"/>
            <w:tcMar>
              <w:top w:w="0" w:type="dxa"/>
              <w:left w:w="20" w:type="dxa"/>
              <w:bottom w:w="0" w:type="dxa"/>
              <w:right w:w="20" w:type="dxa"/>
            </w:tcMar>
            <w:vAlign w:val="bottom"/>
          </w:tcPr>
          <w:p w14:paraId="195035D2"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5D3"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5D4"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5D5"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5D6"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5D7"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5D8"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5D9" w14:textId="77777777" w:rsidR="00BF3A3A" w:rsidRDefault="00BF3A3A">
            <w:pPr>
              <w:rPr>
                <w:rFonts w:ascii="宋体"/>
              </w:rPr>
            </w:pPr>
          </w:p>
        </w:tc>
      </w:tr>
      <w:tr w:rsidR="00BF3A3A" w14:paraId="195035E3" w14:textId="77777777">
        <w:tc>
          <w:tcPr>
            <w:tcW w:w="0" w:type="auto"/>
            <w:gridSpan w:val="3"/>
            <w:shd w:val="clear" w:color="auto" w:fill="E2EFD9"/>
            <w:tcMar>
              <w:top w:w="40" w:type="dxa"/>
              <w:left w:w="20" w:type="dxa"/>
              <w:bottom w:w="40" w:type="dxa"/>
              <w:right w:w="20" w:type="dxa"/>
            </w:tcMar>
            <w:vAlign w:val="bottom"/>
          </w:tcPr>
          <w:p w14:paraId="195035DB" w14:textId="77777777" w:rsidR="00BF3A3A" w:rsidRDefault="00A76802">
            <w:pPr>
              <w:textAlignment w:val="bottom"/>
            </w:pPr>
            <w:r>
              <w:rPr>
                <w:rFonts w:ascii="sans-serif" w:eastAsia="sans-serif" w:hAnsi="sans-serif" w:cs="sans-serif"/>
                <w:b/>
                <w:bCs/>
                <w:color w:val="000000"/>
                <w:sz w:val="20"/>
                <w:szCs w:val="20"/>
              </w:rPr>
              <w:t>Six Months Ended August 1, 2021</w:t>
            </w:r>
          </w:p>
        </w:tc>
        <w:tc>
          <w:tcPr>
            <w:tcW w:w="0" w:type="auto"/>
            <w:gridSpan w:val="3"/>
            <w:shd w:val="clear" w:color="auto" w:fill="E2EFD9"/>
            <w:tcMar>
              <w:top w:w="0" w:type="dxa"/>
              <w:left w:w="20" w:type="dxa"/>
              <w:bottom w:w="0" w:type="dxa"/>
              <w:right w:w="20" w:type="dxa"/>
            </w:tcMar>
            <w:vAlign w:val="bottom"/>
          </w:tcPr>
          <w:p w14:paraId="195035DC"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35DD"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35DE"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35DF"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35E0"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35E1" w14:textId="77777777" w:rsidR="00BF3A3A" w:rsidRDefault="00BF3A3A">
            <w:pPr>
              <w:rPr>
                <w:rFonts w:ascii="宋体"/>
              </w:rPr>
            </w:pPr>
          </w:p>
        </w:tc>
        <w:tc>
          <w:tcPr>
            <w:tcW w:w="0" w:type="auto"/>
            <w:gridSpan w:val="3"/>
            <w:shd w:val="clear" w:color="auto" w:fill="E2EFD9"/>
            <w:tcMar>
              <w:top w:w="0" w:type="dxa"/>
              <w:left w:w="20" w:type="dxa"/>
              <w:bottom w:w="0" w:type="dxa"/>
              <w:right w:w="20" w:type="dxa"/>
            </w:tcMar>
            <w:vAlign w:val="bottom"/>
          </w:tcPr>
          <w:p w14:paraId="195035E2" w14:textId="77777777" w:rsidR="00BF3A3A" w:rsidRDefault="00BF3A3A">
            <w:pPr>
              <w:rPr>
                <w:rFonts w:ascii="宋体"/>
              </w:rPr>
            </w:pPr>
          </w:p>
        </w:tc>
      </w:tr>
      <w:tr w:rsidR="00BF3A3A" w14:paraId="195035F4" w14:textId="77777777">
        <w:tc>
          <w:tcPr>
            <w:tcW w:w="0" w:type="auto"/>
            <w:gridSpan w:val="3"/>
            <w:shd w:val="clear" w:color="auto" w:fill="FFFFFF"/>
            <w:tcMar>
              <w:top w:w="40" w:type="dxa"/>
              <w:left w:w="20" w:type="dxa"/>
              <w:bottom w:w="40" w:type="dxa"/>
              <w:right w:w="20" w:type="dxa"/>
            </w:tcMar>
            <w:vAlign w:val="bottom"/>
          </w:tcPr>
          <w:p w14:paraId="195035E4" w14:textId="77777777" w:rsidR="00BF3A3A" w:rsidRDefault="00A76802">
            <w:pPr>
              <w:textAlignment w:val="bottom"/>
            </w:pPr>
            <w:r>
              <w:rPr>
                <w:rFonts w:ascii="sans-serif" w:eastAsia="sans-serif" w:hAnsi="sans-serif" w:cs="sans-serif"/>
                <w:color w:val="000000"/>
                <w:sz w:val="20"/>
                <w:szCs w:val="20"/>
              </w:rPr>
              <w:t>Revenue</w:t>
            </w:r>
          </w:p>
        </w:tc>
        <w:tc>
          <w:tcPr>
            <w:tcW w:w="0" w:type="auto"/>
            <w:shd w:val="clear" w:color="auto" w:fill="FFFFFF"/>
            <w:tcMar>
              <w:top w:w="40" w:type="dxa"/>
              <w:left w:w="20" w:type="dxa"/>
              <w:bottom w:w="40" w:type="dxa"/>
              <w:right w:w="0" w:type="dxa"/>
            </w:tcMar>
            <w:vAlign w:val="bottom"/>
          </w:tcPr>
          <w:p w14:paraId="195035E5"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5E6" w14:textId="77777777" w:rsidR="00BF3A3A" w:rsidRDefault="00A76802">
            <w:pPr>
              <w:jc w:val="right"/>
              <w:textAlignment w:val="bottom"/>
            </w:pPr>
            <w:r>
              <w:rPr>
                <w:rFonts w:ascii="sans-serif" w:eastAsia="sans-serif" w:hAnsi="sans-serif" w:cs="sans-serif"/>
                <w:color w:val="000000"/>
                <w:sz w:val="20"/>
                <w:szCs w:val="20"/>
              </w:rPr>
              <w:t>7,358 </w:t>
            </w:r>
          </w:p>
        </w:tc>
        <w:tc>
          <w:tcPr>
            <w:tcW w:w="0" w:type="auto"/>
            <w:shd w:val="clear" w:color="auto" w:fill="FFFFFF"/>
            <w:tcMar>
              <w:top w:w="40" w:type="dxa"/>
              <w:left w:w="0" w:type="dxa"/>
              <w:bottom w:w="40" w:type="dxa"/>
              <w:right w:w="20" w:type="dxa"/>
            </w:tcMar>
            <w:vAlign w:val="bottom"/>
          </w:tcPr>
          <w:p w14:paraId="195035E7"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5E8"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5E9"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5EA" w14:textId="77777777" w:rsidR="00BF3A3A" w:rsidRDefault="00A76802">
            <w:pPr>
              <w:jc w:val="right"/>
              <w:textAlignment w:val="bottom"/>
            </w:pPr>
            <w:r>
              <w:rPr>
                <w:rFonts w:ascii="sans-serif" w:eastAsia="sans-serif" w:hAnsi="sans-serif" w:cs="sans-serif"/>
                <w:color w:val="000000"/>
                <w:sz w:val="20"/>
                <w:szCs w:val="20"/>
              </w:rPr>
              <w:t>4,810 </w:t>
            </w:r>
          </w:p>
        </w:tc>
        <w:tc>
          <w:tcPr>
            <w:tcW w:w="0" w:type="auto"/>
            <w:shd w:val="clear" w:color="auto" w:fill="FFFFFF"/>
            <w:tcMar>
              <w:top w:w="40" w:type="dxa"/>
              <w:left w:w="0" w:type="dxa"/>
              <w:bottom w:w="40" w:type="dxa"/>
              <w:right w:w="20" w:type="dxa"/>
            </w:tcMar>
            <w:vAlign w:val="bottom"/>
          </w:tcPr>
          <w:p w14:paraId="195035EB"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5EC"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5ED"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5EE"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35EF"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5F0"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5F1"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5F2" w14:textId="77777777" w:rsidR="00BF3A3A" w:rsidRDefault="00A76802">
            <w:pPr>
              <w:jc w:val="right"/>
              <w:textAlignment w:val="bottom"/>
            </w:pPr>
            <w:r>
              <w:rPr>
                <w:rFonts w:ascii="sans-serif" w:eastAsia="sans-serif" w:hAnsi="sans-serif" w:cs="sans-serif"/>
                <w:color w:val="000000"/>
                <w:sz w:val="20"/>
                <w:szCs w:val="20"/>
              </w:rPr>
              <w:t>12,168 </w:t>
            </w:r>
          </w:p>
        </w:tc>
        <w:tc>
          <w:tcPr>
            <w:tcW w:w="0" w:type="auto"/>
            <w:shd w:val="clear" w:color="auto" w:fill="FFFFFF"/>
            <w:tcMar>
              <w:top w:w="40" w:type="dxa"/>
              <w:left w:w="0" w:type="dxa"/>
              <w:bottom w:w="40" w:type="dxa"/>
              <w:right w:w="20" w:type="dxa"/>
            </w:tcMar>
            <w:vAlign w:val="bottom"/>
          </w:tcPr>
          <w:p w14:paraId="195035F3" w14:textId="77777777" w:rsidR="00BF3A3A" w:rsidRDefault="00BF3A3A">
            <w:pPr>
              <w:jc w:val="right"/>
              <w:rPr>
                <w:rFonts w:ascii="宋体"/>
              </w:rPr>
            </w:pPr>
          </w:p>
        </w:tc>
      </w:tr>
      <w:tr w:rsidR="00BF3A3A" w14:paraId="195035FD" w14:textId="77777777">
        <w:trPr>
          <w:hidden/>
        </w:trPr>
        <w:tc>
          <w:tcPr>
            <w:tcW w:w="0" w:type="auto"/>
            <w:gridSpan w:val="3"/>
            <w:shd w:val="clear" w:color="auto" w:fill="auto"/>
            <w:vAlign w:val="bottom"/>
          </w:tcPr>
          <w:p w14:paraId="195035F5" w14:textId="77777777" w:rsidR="00BF3A3A" w:rsidRDefault="00BF3A3A">
            <w:pPr>
              <w:rPr>
                <w:rFonts w:ascii="宋体"/>
                <w:vanish/>
              </w:rPr>
            </w:pPr>
          </w:p>
        </w:tc>
        <w:tc>
          <w:tcPr>
            <w:tcW w:w="0" w:type="auto"/>
            <w:gridSpan w:val="3"/>
            <w:shd w:val="clear" w:color="auto" w:fill="auto"/>
            <w:vAlign w:val="bottom"/>
          </w:tcPr>
          <w:p w14:paraId="195035F6" w14:textId="77777777" w:rsidR="00BF3A3A" w:rsidRDefault="00BF3A3A">
            <w:pPr>
              <w:rPr>
                <w:rFonts w:ascii="宋体"/>
                <w:vanish/>
              </w:rPr>
            </w:pPr>
          </w:p>
        </w:tc>
        <w:tc>
          <w:tcPr>
            <w:tcW w:w="0" w:type="auto"/>
            <w:gridSpan w:val="3"/>
            <w:shd w:val="clear" w:color="auto" w:fill="auto"/>
            <w:vAlign w:val="bottom"/>
          </w:tcPr>
          <w:p w14:paraId="195035F7" w14:textId="77777777" w:rsidR="00BF3A3A" w:rsidRDefault="00BF3A3A">
            <w:pPr>
              <w:rPr>
                <w:rFonts w:ascii="宋体"/>
                <w:vanish/>
              </w:rPr>
            </w:pPr>
          </w:p>
        </w:tc>
        <w:tc>
          <w:tcPr>
            <w:tcW w:w="0" w:type="auto"/>
            <w:gridSpan w:val="3"/>
            <w:shd w:val="clear" w:color="auto" w:fill="auto"/>
            <w:vAlign w:val="bottom"/>
          </w:tcPr>
          <w:p w14:paraId="195035F8" w14:textId="77777777" w:rsidR="00BF3A3A" w:rsidRDefault="00BF3A3A">
            <w:pPr>
              <w:rPr>
                <w:rFonts w:ascii="宋体"/>
                <w:vanish/>
              </w:rPr>
            </w:pPr>
          </w:p>
        </w:tc>
        <w:tc>
          <w:tcPr>
            <w:tcW w:w="0" w:type="auto"/>
            <w:gridSpan w:val="3"/>
            <w:shd w:val="clear" w:color="auto" w:fill="auto"/>
            <w:vAlign w:val="bottom"/>
          </w:tcPr>
          <w:p w14:paraId="195035F9" w14:textId="77777777" w:rsidR="00BF3A3A" w:rsidRDefault="00BF3A3A">
            <w:pPr>
              <w:rPr>
                <w:rFonts w:ascii="宋体"/>
                <w:vanish/>
              </w:rPr>
            </w:pPr>
          </w:p>
        </w:tc>
        <w:tc>
          <w:tcPr>
            <w:tcW w:w="0" w:type="auto"/>
            <w:gridSpan w:val="3"/>
            <w:shd w:val="clear" w:color="auto" w:fill="auto"/>
            <w:vAlign w:val="bottom"/>
          </w:tcPr>
          <w:p w14:paraId="195035FA" w14:textId="77777777" w:rsidR="00BF3A3A" w:rsidRDefault="00BF3A3A">
            <w:pPr>
              <w:rPr>
                <w:rFonts w:ascii="宋体"/>
                <w:vanish/>
              </w:rPr>
            </w:pPr>
          </w:p>
        </w:tc>
        <w:tc>
          <w:tcPr>
            <w:tcW w:w="0" w:type="auto"/>
            <w:gridSpan w:val="3"/>
            <w:shd w:val="clear" w:color="auto" w:fill="auto"/>
            <w:vAlign w:val="bottom"/>
          </w:tcPr>
          <w:p w14:paraId="195035FB" w14:textId="77777777" w:rsidR="00BF3A3A" w:rsidRDefault="00BF3A3A">
            <w:pPr>
              <w:rPr>
                <w:rFonts w:ascii="宋体"/>
                <w:vanish/>
              </w:rPr>
            </w:pPr>
          </w:p>
        </w:tc>
        <w:tc>
          <w:tcPr>
            <w:tcW w:w="0" w:type="auto"/>
            <w:gridSpan w:val="3"/>
            <w:shd w:val="clear" w:color="auto" w:fill="auto"/>
            <w:vAlign w:val="bottom"/>
          </w:tcPr>
          <w:p w14:paraId="195035FC" w14:textId="77777777" w:rsidR="00BF3A3A" w:rsidRDefault="00BF3A3A">
            <w:pPr>
              <w:rPr>
                <w:rFonts w:ascii="宋体"/>
                <w:vanish/>
              </w:rPr>
            </w:pPr>
          </w:p>
        </w:tc>
      </w:tr>
      <w:tr w:rsidR="00BF3A3A" w14:paraId="1950360E" w14:textId="77777777">
        <w:tc>
          <w:tcPr>
            <w:tcW w:w="0" w:type="auto"/>
            <w:gridSpan w:val="3"/>
            <w:shd w:val="clear" w:color="auto" w:fill="E2EFD9"/>
            <w:tcMar>
              <w:top w:w="40" w:type="dxa"/>
              <w:left w:w="20" w:type="dxa"/>
              <w:bottom w:w="40" w:type="dxa"/>
              <w:right w:w="20" w:type="dxa"/>
            </w:tcMar>
            <w:vAlign w:val="bottom"/>
          </w:tcPr>
          <w:p w14:paraId="195035FE" w14:textId="77777777" w:rsidR="00BF3A3A" w:rsidRDefault="00A76802">
            <w:pPr>
              <w:textAlignment w:val="bottom"/>
            </w:pPr>
            <w:r>
              <w:rPr>
                <w:rFonts w:ascii="sans-serif" w:eastAsia="sans-serif" w:hAnsi="sans-serif" w:cs="sans-serif"/>
                <w:color w:val="000000"/>
                <w:sz w:val="20"/>
                <w:szCs w:val="20"/>
              </w:rPr>
              <w:t>Operating income (loss)</w:t>
            </w:r>
          </w:p>
        </w:tc>
        <w:tc>
          <w:tcPr>
            <w:tcW w:w="0" w:type="auto"/>
            <w:shd w:val="clear" w:color="auto" w:fill="E2EFD9"/>
            <w:tcMar>
              <w:top w:w="40" w:type="dxa"/>
              <w:left w:w="20" w:type="dxa"/>
              <w:bottom w:w="40" w:type="dxa"/>
              <w:right w:w="0" w:type="dxa"/>
            </w:tcMar>
            <w:vAlign w:val="bottom"/>
          </w:tcPr>
          <w:p w14:paraId="195035FF"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600" w14:textId="77777777" w:rsidR="00BF3A3A" w:rsidRDefault="00A76802">
            <w:pPr>
              <w:jc w:val="right"/>
              <w:textAlignment w:val="bottom"/>
            </w:pPr>
            <w:r>
              <w:rPr>
                <w:rFonts w:ascii="sans-serif" w:eastAsia="sans-serif" w:hAnsi="sans-serif" w:cs="sans-serif"/>
                <w:color w:val="000000"/>
                <w:sz w:val="20"/>
                <w:szCs w:val="20"/>
              </w:rPr>
              <w:t>3,913 </w:t>
            </w:r>
          </w:p>
        </w:tc>
        <w:tc>
          <w:tcPr>
            <w:tcW w:w="0" w:type="auto"/>
            <w:shd w:val="clear" w:color="auto" w:fill="E2EFD9"/>
            <w:tcMar>
              <w:top w:w="40" w:type="dxa"/>
              <w:left w:w="0" w:type="dxa"/>
              <w:bottom w:w="40" w:type="dxa"/>
              <w:right w:w="20" w:type="dxa"/>
            </w:tcMar>
            <w:vAlign w:val="bottom"/>
          </w:tcPr>
          <w:p w14:paraId="19503601"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602"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603"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604" w14:textId="77777777" w:rsidR="00BF3A3A" w:rsidRDefault="00A76802">
            <w:pPr>
              <w:jc w:val="right"/>
              <w:textAlignment w:val="bottom"/>
            </w:pPr>
            <w:r>
              <w:rPr>
                <w:rFonts w:ascii="sans-serif" w:eastAsia="sans-serif" w:hAnsi="sans-serif" w:cs="sans-serif"/>
                <w:color w:val="000000"/>
                <w:sz w:val="20"/>
                <w:szCs w:val="20"/>
              </w:rPr>
              <w:t>1,895 </w:t>
            </w:r>
          </w:p>
        </w:tc>
        <w:tc>
          <w:tcPr>
            <w:tcW w:w="0" w:type="auto"/>
            <w:shd w:val="clear" w:color="auto" w:fill="E2EFD9"/>
            <w:tcMar>
              <w:top w:w="40" w:type="dxa"/>
              <w:left w:w="0" w:type="dxa"/>
              <w:bottom w:w="40" w:type="dxa"/>
              <w:right w:w="20" w:type="dxa"/>
            </w:tcMar>
            <w:vAlign w:val="bottom"/>
          </w:tcPr>
          <w:p w14:paraId="1950360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606"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607"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608" w14:textId="77777777" w:rsidR="00BF3A3A" w:rsidRDefault="00A76802">
            <w:pPr>
              <w:jc w:val="right"/>
              <w:textAlignment w:val="bottom"/>
            </w:pPr>
            <w:r>
              <w:rPr>
                <w:rFonts w:ascii="sans-serif" w:eastAsia="sans-serif" w:hAnsi="sans-serif" w:cs="sans-serif"/>
                <w:color w:val="000000"/>
                <w:sz w:val="20"/>
                <w:szCs w:val="20"/>
              </w:rPr>
              <w:t>(1,408)</w:t>
            </w:r>
          </w:p>
        </w:tc>
        <w:tc>
          <w:tcPr>
            <w:tcW w:w="0" w:type="auto"/>
            <w:shd w:val="clear" w:color="auto" w:fill="E2EFD9"/>
            <w:tcMar>
              <w:top w:w="40" w:type="dxa"/>
              <w:left w:w="0" w:type="dxa"/>
              <w:bottom w:w="40" w:type="dxa"/>
              <w:right w:w="20" w:type="dxa"/>
            </w:tcMar>
            <w:vAlign w:val="bottom"/>
          </w:tcPr>
          <w:p w14:paraId="1950360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60A"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60B"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60C" w14:textId="77777777" w:rsidR="00BF3A3A" w:rsidRDefault="00A76802">
            <w:pPr>
              <w:jc w:val="right"/>
              <w:textAlignment w:val="bottom"/>
            </w:pPr>
            <w:r>
              <w:rPr>
                <w:rFonts w:ascii="sans-serif" w:eastAsia="sans-serif" w:hAnsi="sans-serif" w:cs="sans-serif"/>
                <w:color w:val="000000"/>
                <w:sz w:val="20"/>
                <w:szCs w:val="20"/>
              </w:rPr>
              <w:t>4,400 </w:t>
            </w:r>
          </w:p>
        </w:tc>
        <w:tc>
          <w:tcPr>
            <w:tcW w:w="0" w:type="auto"/>
            <w:shd w:val="clear" w:color="auto" w:fill="E2EFD9"/>
            <w:tcMar>
              <w:top w:w="40" w:type="dxa"/>
              <w:left w:w="0" w:type="dxa"/>
              <w:bottom w:w="40" w:type="dxa"/>
              <w:right w:w="20" w:type="dxa"/>
            </w:tcMar>
            <w:vAlign w:val="bottom"/>
          </w:tcPr>
          <w:p w14:paraId="1950360D" w14:textId="77777777" w:rsidR="00BF3A3A" w:rsidRDefault="00BF3A3A">
            <w:pPr>
              <w:jc w:val="right"/>
              <w:rPr>
                <w:rFonts w:ascii="宋体"/>
              </w:rPr>
            </w:pPr>
          </w:p>
        </w:tc>
      </w:tr>
    </w:tbl>
    <w:p w14:paraId="1950360F" w14:textId="77777777" w:rsidR="00BF3A3A" w:rsidRDefault="00A76802">
      <w:pPr>
        <w:spacing w:after="180"/>
        <w:jc w:val="center"/>
      </w:pPr>
      <w:r>
        <w:rPr>
          <w:rFonts w:ascii="sans-serif" w:eastAsia="sans-serif" w:hAnsi="sans-serif" w:cs="sans-serif"/>
          <w:color w:val="000000"/>
          <w:sz w:val="20"/>
          <w:szCs w:val="20"/>
        </w:rPr>
        <w:t>21</w:t>
      </w:r>
    </w:p>
    <w:p w14:paraId="19503610" w14:textId="77777777" w:rsidR="00BF3A3A" w:rsidRDefault="00A76802">
      <w:r>
        <w:pict w14:anchorId="19503FDA">
          <v:rect id="_x0000_i1045" style="width:415.3pt;height:1.5pt" o:hralign="center" o:hrstd="t" o:hr="t" fillcolor="#a0a0a0" stroked="f"/>
        </w:pict>
      </w:r>
    </w:p>
    <w:p w14:paraId="19503611" w14:textId="77777777" w:rsidR="00BF3A3A" w:rsidRDefault="00A76802">
      <w:pPr>
        <w:jc w:val="center"/>
      </w:pPr>
      <w:r>
        <w:rPr>
          <w:rFonts w:ascii="sans-serif" w:eastAsia="sans-serif" w:hAnsi="sans-serif" w:cs="sans-serif"/>
          <w:b/>
          <w:bCs/>
          <w:color w:val="000000"/>
          <w:sz w:val="20"/>
          <w:szCs w:val="20"/>
        </w:rPr>
        <w:t>NVIDIA CORPORATION AND SUBSIDIARIES</w:t>
      </w:r>
    </w:p>
    <w:p w14:paraId="19503612" w14:textId="77777777" w:rsidR="00BF3A3A" w:rsidRDefault="00A76802">
      <w:pPr>
        <w:jc w:val="center"/>
      </w:pPr>
      <w:r>
        <w:rPr>
          <w:rFonts w:ascii="sans-serif" w:eastAsia="sans-serif" w:hAnsi="sans-serif" w:cs="sans-serif"/>
          <w:b/>
          <w:bCs/>
          <w:color w:val="000000"/>
          <w:sz w:val="20"/>
          <w:szCs w:val="20"/>
        </w:rPr>
        <w:t>NOTES TO CONDENSED CONSOLIDATED FINANCIAL STATEMENTS (Continued)</w:t>
      </w:r>
    </w:p>
    <w:p w14:paraId="19503613" w14:textId="77777777" w:rsidR="00BF3A3A" w:rsidRDefault="00A76802">
      <w:pPr>
        <w:jc w:val="center"/>
      </w:pPr>
      <w:r>
        <w:rPr>
          <w:rFonts w:ascii="sans-serif" w:eastAsia="sans-serif" w:hAnsi="sans-serif" w:cs="sans-serif"/>
          <w:b/>
          <w:bCs/>
          <w:color w:val="000000"/>
          <w:sz w:val="20"/>
          <w:szCs w:val="20"/>
        </w:rPr>
        <w:t>(Unaudited)</w:t>
      </w:r>
    </w:p>
    <w:p w14:paraId="19503614" w14:textId="77777777" w:rsidR="00BF3A3A" w:rsidRDefault="00BF3A3A">
      <w:pPr>
        <w:spacing w:after="180"/>
        <w:jc w:val="both"/>
      </w:pPr>
    </w:p>
    <w:p w14:paraId="19503615" w14:textId="77777777" w:rsidR="00BF3A3A" w:rsidRDefault="00BF3A3A">
      <w:pPr>
        <w:spacing w:after="180"/>
        <w:jc w:val="both"/>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568"/>
        <w:gridCol w:w="38"/>
        <w:gridCol w:w="122"/>
        <w:gridCol w:w="966"/>
        <w:gridCol w:w="36"/>
        <w:gridCol w:w="36"/>
        <w:gridCol w:w="36"/>
        <w:gridCol w:w="36"/>
        <w:gridCol w:w="123"/>
        <w:gridCol w:w="922"/>
        <w:gridCol w:w="37"/>
        <w:gridCol w:w="36"/>
        <w:gridCol w:w="36"/>
        <w:gridCol w:w="36"/>
        <w:gridCol w:w="122"/>
        <w:gridCol w:w="922"/>
        <w:gridCol w:w="36"/>
        <w:gridCol w:w="36"/>
        <w:gridCol w:w="36"/>
        <w:gridCol w:w="36"/>
        <w:gridCol w:w="122"/>
        <w:gridCol w:w="923"/>
        <w:gridCol w:w="36"/>
      </w:tblGrid>
      <w:tr w:rsidR="00BF3A3A" w14:paraId="1950362E" w14:textId="77777777">
        <w:trPr>
          <w:jc w:val="center"/>
        </w:trPr>
        <w:tc>
          <w:tcPr>
            <w:tcW w:w="50" w:type="pct"/>
            <w:shd w:val="clear" w:color="auto" w:fill="auto"/>
            <w:vAlign w:val="bottom"/>
          </w:tcPr>
          <w:p w14:paraId="19503616" w14:textId="77777777" w:rsidR="00BF3A3A" w:rsidRDefault="00BF3A3A">
            <w:pPr>
              <w:rPr>
                <w:rFonts w:ascii="宋体"/>
              </w:rPr>
            </w:pPr>
          </w:p>
        </w:tc>
        <w:tc>
          <w:tcPr>
            <w:tcW w:w="2174" w:type="pct"/>
            <w:shd w:val="clear" w:color="auto" w:fill="auto"/>
            <w:vAlign w:val="bottom"/>
          </w:tcPr>
          <w:p w14:paraId="19503617" w14:textId="77777777" w:rsidR="00BF3A3A" w:rsidRDefault="00BF3A3A">
            <w:pPr>
              <w:rPr>
                <w:rFonts w:ascii="宋体"/>
              </w:rPr>
            </w:pPr>
          </w:p>
        </w:tc>
        <w:tc>
          <w:tcPr>
            <w:tcW w:w="5" w:type="pct"/>
            <w:shd w:val="clear" w:color="auto" w:fill="auto"/>
            <w:vAlign w:val="bottom"/>
          </w:tcPr>
          <w:p w14:paraId="19503618" w14:textId="77777777" w:rsidR="00BF3A3A" w:rsidRDefault="00BF3A3A">
            <w:pPr>
              <w:rPr>
                <w:rFonts w:ascii="宋体"/>
              </w:rPr>
            </w:pPr>
          </w:p>
        </w:tc>
        <w:tc>
          <w:tcPr>
            <w:tcW w:w="50" w:type="pct"/>
            <w:shd w:val="clear" w:color="auto" w:fill="auto"/>
            <w:vAlign w:val="bottom"/>
          </w:tcPr>
          <w:p w14:paraId="19503619" w14:textId="77777777" w:rsidR="00BF3A3A" w:rsidRDefault="00BF3A3A">
            <w:pPr>
              <w:rPr>
                <w:rFonts w:ascii="宋体"/>
              </w:rPr>
            </w:pPr>
          </w:p>
        </w:tc>
        <w:tc>
          <w:tcPr>
            <w:tcW w:w="610" w:type="pct"/>
            <w:shd w:val="clear" w:color="auto" w:fill="auto"/>
            <w:vAlign w:val="bottom"/>
          </w:tcPr>
          <w:p w14:paraId="1950361A" w14:textId="77777777" w:rsidR="00BF3A3A" w:rsidRDefault="00BF3A3A">
            <w:pPr>
              <w:rPr>
                <w:rFonts w:ascii="宋体"/>
              </w:rPr>
            </w:pPr>
          </w:p>
        </w:tc>
        <w:tc>
          <w:tcPr>
            <w:tcW w:w="5" w:type="pct"/>
            <w:shd w:val="clear" w:color="auto" w:fill="auto"/>
            <w:vAlign w:val="bottom"/>
          </w:tcPr>
          <w:p w14:paraId="1950361B" w14:textId="77777777" w:rsidR="00BF3A3A" w:rsidRDefault="00BF3A3A">
            <w:pPr>
              <w:rPr>
                <w:rFonts w:ascii="宋体"/>
              </w:rPr>
            </w:pPr>
          </w:p>
        </w:tc>
        <w:tc>
          <w:tcPr>
            <w:tcW w:w="5" w:type="pct"/>
            <w:shd w:val="clear" w:color="auto" w:fill="auto"/>
            <w:vAlign w:val="bottom"/>
          </w:tcPr>
          <w:p w14:paraId="1950361C" w14:textId="77777777" w:rsidR="00BF3A3A" w:rsidRDefault="00BF3A3A">
            <w:pPr>
              <w:rPr>
                <w:rFonts w:ascii="宋体"/>
              </w:rPr>
            </w:pPr>
          </w:p>
        </w:tc>
        <w:tc>
          <w:tcPr>
            <w:tcW w:w="26" w:type="pct"/>
            <w:shd w:val="clear" w:color="auto" w:fill="auto"/>
            <w:vAlign w:val="bottom"/>
          </w:tcPr>
          <w:p w14:paraId="1950361D" w14:textId="77777777" w:rsidR="00BF3A3A" w:rsidRDefault="00BF3A3A">
            <w:pPr>
              <w:rPr>
                <w:rFonts w:ascii="宋体"/>
              </w:rPr>
            </w:pPr>
          </w:p>
        </w:tc>
        <w:tc>
          <w:tcPr>
            <w:tcW w:w="5" w:type="pct"/>
            <w:shd w:val="clear" w:color="auto" w:fill="auto"/>
            <w:vAlign w:val="bottom"/>
          </w:tcPr>
          <w:p w14:paraId="1950361E" w14:textId="77777777" w:rsidR="00BF3A3A" w:rsidRDefault="00BF3A3A">
            <w:pPr>
              <w:rPr>
                <w:rFonts w:ascii="宋体"/>
              </w:rPr>
            </w:pPr>
          </w:p>
        </w:tc>
        <w:tc>
          <w:tcPr>
            <w:tcW w:w="50" w:type="pct"/>
            <w:shd w:val="clear" w:color="auto" w:fill="auto"/>
            <w:vAlign w:val="bottom"/>
          </w:tcPr>
          <w:p w14:paraId="1950361F" w14:textId="77777777" w:rsidR="00BF3A3A" w:rsidRDefault="00BF3A3A">
            <w:pPr>
              <w:rPr>
                <w:rFonts w:ascii="宋体"/>
              </w:rPr>
            </w:pPr>
          </w:p>
        </w:tc>
        <w:tc>
          <w:tcPr>
            <w:tcW w:w="610" w:type="pct"/>
            <w:shd w:val="clear" w:color="auto" w:fill="auto"/>
            <w:vAlign w:val="bottom"/>
          </w:tcPr>
          <w:p w14:paraId="19503620" w14:textId="77777777" w:rsidR="00BF3A3A" w:rsidRDefault="00BF3A3A">
            <w:pPr>
              <w:rPr>
                <w:rFonts w:ascii="宋体"/>
              </w:rPr>
            </w:pPr>
          </w:p>
        </w:tc>
        <w:tc>
          <w:tcPr>
            <w:tcW w:w="5" w:type="pct"/>
            <w:shd w:val="clear" w:color="auto" w:fill="auto"/>
            <w:vAlign w:val="bottom"/>
          </w:tcPr>
          <w:p w14:paraId="19503621" w14:textId="77777777" w:rsidR="00BF3A3A" w:rsidRDefault="00BF3A3A">
            <w:pPr>
              <w:rPr>
                <w:rFonts w:ascii="宋体"/>
              </w:rPr>
            </w:pPr>
          </w:p>
        </w:tc>
        <w:tc>
          <w:tcPr>
            <w:tcW w:w="5" w:type="pct"/>
            <w:shd w:val="clear" w:color="auto" w:fill="auto"/>
            <w:vAlign w:val="bottom"/>
          </w:tcPr>
          <w:p w14:paraId="19503622" w14:textId="77777777" w:rsidR="00BF3A3A" w:rsidRDefault="00BF3A3A">
            <w:pPr>
              <w:rPr>
                <w:rFonts w:ascii="宋体"/>
              </w:rPr>
            </w:pPr>
          </w:p>
        </w:tc>
        <w:tc>
          <w:tcPr>
            <w:tcW w:w="26" w:type="pct"/>
            <w:shd w:val="clear" w:color="auto" w:fill="auto"/>
            <w:vAlign w:val="bottom"/>
          </w:tcPr>
          <w:p w14:paraId="19503623" w14:textId="77777777" w:rsidR="00BF3A3A" w:rsidRDefault="00BF3A3A">
            <w:pPr>
              <w:rPr>
                <w:rFonts w:ascii="宋体"/>
              </w:rPr>
            </w:pPr>
          </w:p>
        </w:tc>
        <w:tc>
          <w:tcPr>
            <w:tcW w:w="5" w:type="pct"/>
            <w:shd w:val="clear" w:color="auto" w:fill="auto"/>
            <w:vAlign w:val="bottom"/>
          </w:tcPr>
          <w:p w14:paraId="19503624" w14:textId="77777777" w:rsidR="00BF3A3A" w:rsidRDefault="00BF3A3A">
            <w:pPr>
              <w:rPr>
                <w:rFonts w:ascii="宋体"/>
              </w:rPr>
            </w:pPr>
          </w:p>
        </w:tc>
        <w:tc>
          <w:tcPr>
            <w:tcW w:w="50" w:type="pct"/>
            <w:shd w:val="clear" w:color="auto" w:fill="auto"/>
            <w:vAlign w:val="bottom"/>
          </w:tcPr>
          <w:p w14:paraId="19503625" w14:textId="77777777" w:rsidR="00BF3A3A" w:rsidRDefault="00BF3A3A">
            <w:pPr>
              <w:rPr>
                <w:rFonts w:ascii="宋体"/>
              </w:rPr>
            </w:pPr>
          </w:p>
        </w:tc>
        <w:tc>
          <w:tcPr>
            <w:tcW w:w="610" w:type="pct"/>
            <w:shd w:val="clear" w:color="auto" w:fill="auto"/>
            <w:vAlign w:val="bottom"/>
          </w:tcPr>
          <w:p w14:paraId="19503626" w14:textId="77777777" w:rsidR="00BF3A3A" w:rsidRDefault="00BF3A3A">
            <w:pPr>
              <w:rPr>
                <w:rFonts w:ascii="宋体"/>
              </w:rPr>
            </w:pPr>
          </w:p>
        </w:tc>
        <w:tc>
          <w:tcPr>
            <w:tcW w:w="5" w:type="pct"/>
            <w:shd w:val="clear" w:color="auto" w:fill="auto"/>
            <w:vAlign w:val="bottom"/>
          </w:tcPr>
          <w:p w14:paraId="19503627" w14:textId="77777777" w:rsidR="00BF3A3A" w:rsidRDefault="00BF3A3A">
            <w:pPr>
              <w:rPr>
                <w:rFonts w:ascii="宋体"/>
              </w:rPr>
            </w:pPr>
          </w:p>
        </w:tc>
        <w:tc>
          <w:tcPr>
            <w:tcW w:w="5" w:type="pct"/>
            <w:shd w:val="clear" w:color="auto" w:fill="auto"/>
            <w:vAlign w:val="bottom"/>
          </w:tcPr>
          <w:p w14:paraId="19503628" w14:textId="77777777" w:rsidR="00BF3A3A" w:rsidRDefault="00BF3A3A">
            <w:pPr>
              <w:rPr>
                <w:rFonts w:ascii="宋体"/>
              </w:rPr>
            </w:pPr>
          </w:p>
        </w:tc>
        <w:tc>
          <w:tcPr>
            <w:tcW w:w="26" w:type="pct"/>
            <w:shd w:val="clear" w:color="auto" w:fill="auto"/>
            <w:vAlign w:val="bottom"/>
          </w:tcPr>
          <w:p w14:paraId="19503629" w14:textId="77777777" w:rsidR="00BF3A3A" w:rsidRDefault="00BF3A3A">
            <w:pPr>
              <w:rPr>
                <w:rFonts w:ascii="宋体"/>
              </w:rPr>
            </w:pPr>
          </w:p>
        </w:tc>
        <w:tc>
          <w:tcPr>
            <w:tcW w:w="5" w:type="pct"/>
            <w:shd w:val="clear" w:color="auto" w:fill="auto"/>
            <w:vAlign w:val="bottom"/>
          </w:tcPr>
          <w:p w14:paraId="1950362A" w14:textId="77777777" w:rsidR="00BF3A3A" w:rsidRDefault="00BF3A3A">
            <w:pPr>
              <w:rPr>
                <w:rFonts w:ascii="宋体"/>
              </w:rPr>
            </w:pPr>
          </w:p>
        </w:tc>
        <w:tc>
          <w:tcPr>
            <w:tcW w:w="50" w:type="pct"/>
            <w:shd w:val="clear" w:color="auto" w:fill="auto"/>
            <w:vAlign w:val="bottom"/>
          </w:tcPr>
          <w:p w14:paraId="1950362B" w14:textId="77777777" w:rsidR="00BF3A3A" w:rsidRDefault="00BF3A3A">
            <w:pPr>
              <w:rPr>
                <w:rFonts w:ascii="宋体"/>
              </w:rPr>
            </w:pPr>
          </w:p>
        </w:tc>
        <w:tc>
          <w:tcPr>
            <w:tcW w:w="610" w:type="pct"/>
            <w:shd w:val="clear" w:color="auto" w:fill="auto"/>
            <w:vAlign w:val="bottom"/>
          </w:tcPr>
          <w:p w14:paraId="1950362C" w14:textId="77777777" w:rsidR="00BF3A3A" w:rsidRDefault="00BF3A3A">
            <w:pPr>
              <w:rPr>
                <w:rFonts w:ascii="宋体"/>
              </w:rPr>
            </w:pPr>
          </w:p>
        </w:tc>
        <w:tc>
          <w:tcPr>
            <w:tcW w:w="5" w:type="pct"/>
            <w:shd w:val="clear" w:color="auto" w:fill="auto"/>
            <w:vAlign w:val="bottom"/>
          </w:tcPr>
          <w:p w14:paraId="1950362D" w14:textId="77777777" w:rsidR="00BF3A3A" w:rsidRDefault="00BF3A3A">
            <w:pPr>
              <w:rPr>
                <w:rFonts w:ascii="宋体"/>
              </w:rPr>
            </w:pPr>
          </w:p>
        </w:tc>
      </w:tr>
      <w:tr w:rsidR="00BF3A3A" w14:paraId="19503633" w14:textId="77777777">
        <w:trPr>
          <w:jc w:val="center"/>
        </w:trPr>
        <w:tc>
          <w:tcPr>
            <w:tcW w:w="0" w:type="auto"/>
            <w:gridSpan w:val="3"/>
            <w:shd w:val="clear" w:color="auto" w:fill="auto"/>
            <w:tcMar>
              <w:top w:w="0" w:type="dxa"/>
              <w:left w:w="20" w:type="dxa"/>
              <w:bottom w:w="0" w:type="dxa"/>
              <w:right w:w="20" w:type="dxa"/>
            </w:tcMar>
            <w:vAlign w:val="bottom"/>
          </w:tcPr>
          <w:p w14:paraId="1950362F" w14:textId="77777777" w:rsidR="00BF3A3A" w:rsidRDefault="00BF3A3A">
            <w:pPr>
              <w:rPr>
                <w:rFonts w:ascii="宋体"/>
              </w:rPr>
            </w:pPr>
          </w:p>
        </w:tc>
        <w:tc>
          <w:tcPr>
            <w:tcW w:w="0" w:type="auto"/>
            <w:gridSpan w:val="9"/>
            <w:shd w:val="clear" w:color="auto" w:fill="auto"/>
            <w:tcMar>
              <w:top w:w="40" w:type="dxa"/>
              <w:left w:w="20" w:type="dxa"/>
              <w:bottom w:w="40" w:type="dxa"/>
              <w:right w:w="20" w:type="dxa"/>
            </w:tcMar>
            <w:vAlign w:val="bottom"/>
          </w:tcPr>
          <w:p w14:paraId="19503630" w14:textId="77777777" w:rsidR="00BF3A3A" w:rsidRDefault="00A76802">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19503631" w14:textId="77777777" w:rsidR="00BF3A3A" w:rsidRDefault="00BF3A3A">
            <w:pPr>
              <w:rPr>
                <w:rFonts w:ascii="宋体"/>
              </w:rPr>
            </w:pPr>
          </w:p>
        </w:tc>
        <w:tc>
          <w:tcPr>
            <w:tcW w:w="0" w:type="auto"/>
            <w:gridSpan w:val="9"/>
            <w:shd w:val="clear" w:color="auto" w:fill="auto"/>
            <w:tcMar>
              <w:top w:w="40" w:type="dxa"/>
              <w:left w:w="20" w:type="dxa"/>
              <w:bottom w:w="40" w:type="dxa"/>
              <w:right w:w="20" w:type="dxa"/>
            </w:tcMar>
            <w:vAlign w:val="bottom"/>
          </w:tcPr>
          <w:p w14:paraId="19503632" w14:textId="77777777" w:rsidR="00BF3A3A" w:rsidRDefault="00A76802">
            <w:pPr>
              <w:jc w:val="center"/>
              <w:textAlignment w:val="bottom"/>
            </w:pPr>
            <w:r>
              <w:rPr>
                <w:rFonts w:ascii="sans-serif" w:eastAsia="sans-serif" w:hAnsi="sans-serif" w:cs="sans-serif"/>
                <w:b/>
                <w:bCs/>
                <w:color w:val="000000"/>
                <w:sz w:val="20"/>
                <w:szCs w:val="20"/>
              </w:rPr>
              <w:t>Six Months Ended</w:t>
            </w:r>
          </w:p>
        </w:tc>
      </w:tr>
      <w:tr w:rsidR="00BF3A3A" w14:paraId="1950363C" w14:textId="77777777">
        <w:trPr>
          <w:jc w:val="center"/>
        </w:trPr>
        <w:tc>
          <w:tcPr>
            <w:tcW w:w="0" w:type="auto"/>
            <w:gridSpan w:val="3"/>
            <w:shd w:val="clear" w:color="auto" w:fill="auto"/>
            <w:tcMar>
              <w:top w:w="0" w:type="dxa"/>
              <w:left w:w="20" w:type="dxa"/>
              <w:bottom w:w="0" w:type="dxa"/>
              <w:right w:w="20" w:type="dxa"/>
            </w:tcMar>
            <w:vAlign w:val="bottom"/>
          </w:tcPr>
          <w:p w14:paraId="19503634"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635" w14:textId="77777777" w:rsidR="00BF3A3A" w:rsidRDefault="00A76802">
            <w:pPr>
              <w:jc w:val="center"/>
              <w:textAlignment w:val="bottom"/>
            </w:pPr>
            <w:r>
              <w:rPr>
                <w:rFonts w:ascii="sans-serif" w:eastAsia="sans-serif" w:hAnsi="sans-serif" w:cs="sans-serif"/>
                <w:b/>
                <w:bCs/>
                <w:color w:val="000000"/>
                <w:sz w:val="20"/>
                <w:szCs w:val="20"/>
              </w:rPr>
              <w:t>July 31,</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636"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637" w14:textId="77777777" w:rsidR="00BF3A3A" w:rsidRDefault="00A76802">
            <w:pPr>
              <w:jc w:val="center"/>
              <w:textAlignment w:val="bottom"/>
            </w:pPr>
            <w:r>
              <w:rPr>
                <w:rFonts w:ascii="sans-serif" w:eastAsia="sans-serif" w:hAnsi="sans-serif" w:cs="sans-serif"/>
                <w:b/>
                <w:bCs/>
                <w:color w:val="000000"/>
                <w:sz w:val="20"/>
                <w:szCs w:val="20"/>
              </w:rPr>
              <w:t>August 1,</w:t>
            </w:r>
            <w:r>
              <w:rPr>
                <w:rFonts w:ascii="sans-serif" w:eastAsia="sans-serif" w:hAnsi="sans-serif" w:cs="sans-serif"/>
                <w:b/>
                <w:bCs/>
                <w:color w:val="000000"/>
                <w:sz w:val="20"/>
                <w:szCs w:val="20"/>
              </w:rPr>
              <w:br/>
              <w:t>2021</w:t>
            </w:r>
          </w:p>
        </w:tc>
        <w:tc>
          <w:tcPr>
            <w:tcW w:w="0" w:type="auto"/>
            <w:gridSpan w:val="3"/>
            <w:shd w:val="clear" w:color="auto" w:fill="auto"/>
            <w:tcMar>
              <w:top w:w="0" w:type="dxa"/>
              <w:left w:w="20" w:type="dxa"/>
              <w:bottom w:w="0" w:type="dxa"/>
              <w:right w:w="20" w:type="dxa"/>
            </w:tcMar>
            <w:vAlign w:val="bottom"/>
          </w:tcPr>
          <w:p w14:paraId="19503638"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639" w14:textId="77777777" w:rsidR="00BF3A3A" w:rsidRDefault="00A76802">
            <w:pPr>
              <w:jc w:val="center"/>
              <w:textAlignment w:val="bottom"/>
            </w:pPr>
            <w:r>
              <w:rPr>
                <w:rFonts w:ascii="sans-serif" w:eastAsia="sans-serif" w:hAnsi="sans-serif" w:cs="sans-serif"/>
                <w:b/>
                <w:bCs/>
                <w:color w:val="000000"/>
                <w:sz w:val="20"/>
                <w:szCs w:val="20"/>
              </w:rPr>
              <w:t>July 31,</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63A"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63B" w14:textId="77777777" w:rsidR="00BF3A3A" w:rsidRDefault="00A76802">
            <w:pPr>
              <w:jc w:val="center"/>
              <w:textAlignment w:val="bottom"/>
            </w:pPr>
            <w:r>
              <w:rPr>
                <w:rFonts w:ascii="sans-serif" w:eastAsia="sans-serif" w:hAnsi="sans-serif" w:cs="sans-serif"/>
                <w:b/>
                <w:bCs/>
                <w:color w:val="000000"/>
                <w:sz w:val="20"/>
                <w:szCs w:val="20"/>
              </w:rPr>
              <w:t>August 1,</w:t>
            </w:r>
            <w:r>
              <w:rPr>
                <w:rFonts w:ascii="sans-serif" w:eastAsia="sans-serif" w:hAnsi="sans-serif" w:cs="sans-serif"/>
                <w:b/>
                <w:bCs/>
                <w:color w:val="000000"/>
                <w:sz w:val="20"/>
                <w:szCs w:val="20"/>
              </w:rPr>
              <w:br/>
              <w:t>2021</w:t>
            </w:r>
          </w:p>
        </w:tc>
      </w:tr>
      <w:tr w:rsidR="00BF3A3A" w14:paraId="19503645" w14:textId="77777777">
        <w:trPr>
          <w:trHeight w:val="60"/>
          <w:jc w:val="center"/>
        </w:trPr>
        <w:tc>
          <w:tcPr>
            <w:tcW w:w="0" w:type="auto"/>
            <w:gridSpan w:val="3"/>
            <w:shd w:val="clear" w:color="auto" w:fill="auto"/>
            <w:tcMar>
              <w:top w:w="0" w:type="dxa"/>
              <w:left w:w="20" w:type="dxa"/>
              <w:bottom w:w="0" w:type="dxa"/>
              <w:right w:w="20" w:type="dxa"/>
            </w:tcMar>
            <w:vAlign w:val="bottom"/>
          </w:tcPr>
          <w:p w14:paraId="1950363D"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63E"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63F"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640"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641"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642"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643"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644" w14:textId="77777777" w:rsidR="00BF3A3A" w:rsidRDefault="00BF3A3A">
            <w:pPr>
              <w:rPr>
                <w:rFonts w:ascii="宋体"/>
              </w:rPr>
            </w:pPr>
          </w:p>
        </w:tc>
      </w:tr>
      <w:tr w:rsidR="00BF3A3A" w14:paraId="19503648" w14:textId="77777777">
        <w:trPr>
          <w:jc w:val="center"/>
        </w:trPr>
        <w:tc>
          <w:tcPr>
            <w:tcW w:w="0" w:type="auto"/>
            <w:gridSpan w:val="3"/>
            <w:shd w:val="clear" w:color="auto" w:fill="auto"/>
            <w:tcMar>
              <w:top w:w="0" w:type="dxa"/>
              <w:left w:w="20" w:type="dxa"/>
              <w:bottom w:w="0" w:type="dxa"/>
              <w:right w:w="20" w:type="dxa"/>
            </w:tcMar>
            <w:vAlign w:val="bottom"/>
          </w:tcPr>
          <w:p w14:paraId="19503646" w14:textId="77777777" w:rsidR="00BF3A3A" w:rsidRDefault="00BF3A3A">
            <w:pPr>
              <w:rPr>
                <w:rFonts w:ascii="宋体"/>
              </w:rPr>
            </w:pPr>
          </w:p>
        </w:tc>
        <w:tc>
          <w:tcPr>
            <w:tcW w:w="0" w:type="auto"/>
            <w:gridSpan w:val="21"/>
            <w:shd w:val="clear" w:color="auto" w:fill="auto"/>
            <w:tcMar>
              <w:top w:w="40" w:type="dxa"/>
              <w:left w:w="20" w:type="dxa"/>
              <w:bottom w:w="40" w:type="dxa"/>
              <w:right w:w="20" w:type="dxa"/>
            </w:tcMar>
            <w:vAlign w:val="bottom"/>
          </w:tcPr>
          <w:p w14:paraId="19503647" w14:textId="77777777" w:rsidR="00BF3A3A" w:rsidRDefault="00A76802">
            <w:pPr>
              <w:jc w:val="center"/>
              <w:textAlignment w:val="bottom"/>
            </w:pPr>
            <w:r>
              <w:rPr>
                <w:rFonts w:ascii="sans-serif" w:eastAsia="sans-serif" w:hAnsi="sans-serif" w:cs="sans-serif"/>
                <w:i/>
                <w:iCs/>
                <w:color w:val="000000"/>
                <w:sz w:val="20"/>
                <w:szCs w:val="20"/>
              </w:rPr>
              <w:t>(In millions)</w:t>
            </w:r>
          </w:p>
        </w:tc>
      </w:tr>
      <w:tr w:rsidR="00BF3A3A" w14:paraId="19503651" w14:textId="77777777">
        <w:trPr>
          <w:jc w:val="center"/>
        </w:trPr>
        <w:tc>
          <w:tcPr>
            <w:tcW w:w="0" w:type="auto"/>
            <w:gridSpan w:val="3"/>
            <w:shd w:val="clear" w:color="auto" w:fill="auto"/>
            <w:tcMar>
              <w:top w:w="40" w:type="dxa"/>
              <w:left w:w="20" w:type="dxa"/>
              <w:bottom w:w="40" w:type="dxa"/>
              <w:right w:w="20" w:type="dxa"/>
            </w:tcMar>
            <w:vAlign w:val="bottom"/>
          </w:tcPr>
          <w:p w14:paraId="19503649" w14:textId="77777777" w:rsidR="00BF3A3A" w:rsidRDefault="00A76802">
            <w:pPr>
              <w:textAlignment w:val="bottom"/>
            </w:pPr>
            <w:r>
              <w:rPr>
                <w:rFonts w:ascii="sans-serif" w:eastAsia="sans-serif" w:hAnsi="sans-serif" w:cs="sans-serif"/>
                <w:b/>
                <w:bCs/>
                <w:color w:val="000000"/>
                <w:sz w:val="20"/>
                <w:szCs w:val="20"/>
              </w:rPr>
              <w:t>Reconciling items included in "All Other" category:</w:t>
            </w:r>
          </w:p>
        </w:tc>
        <w:tc>
          <w:tcPr>
            <w:tcW w:w="0" w:type="auto"/>
            <w:gridSpan w:val="3"/>
            <w:shd w:val="clear" w:color="auto" w:fill="auto"/>
            <w:tcMar>
              <w:top w:w="0" w:type="dxa"/>
              <w:left w:w="20" w:type="dxa"/>
              <w:bottom w:w="0" w:type="dxa"/>
              <w:right w:w="20" w:type="dxa"/>
            </w:tcMar>
            <w:vAlign w:val="bottom"/>
          </w:tcPr>
          <w:p w14:paraId="1950364A"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64B"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64C"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64D"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64E"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64F"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650" w14:textId="77777777" w:rsidR="00BF3A3A" w:rsidRDefault="00BF3A3A">
            <w:pPr>
              <w:rPr>
                <w:rFonts w:ascii="宋体"/>
              </w:rPr>
            </w:pPr>
          </w:p>
        </w:tc>
      </w:tr>
      <w:tr w:rsidR="00BF3A3A" w14:paraId="19503662" w14:textId="77777777">
        <w:trPr>
          <w:jc w:val="center"/>
        </w:trPr>
        <w:tc>
          <w:tcPr>
            <w:tcW w:w="0" w:type="auto"/>
            <w:gridSpan w:val="3"/>
            <w:shd w:val="clear" w:color="auto" w:fill="E2EFD9"/>
            <w:tcMar>
              <w:top w:w="40" w:type="dxa"/>
              <w:left w:w="20" w:type="dxa"/>
              <w:bottom w:w="40" w:type="dxa"/>
              <w:right w:w="20" w:type="dxa"/>
            </w:tcMar>
            <w:vAlign w:val="bottom"/>
          </w:tcPr>
          <w:p w14:paraId="19503652" w14:textId="77777777" w:rsidR="00BF3A3A" w:rsidRDefault="00A76802">
            <w:pPr>
              <w:textAlignment w:val="bottom"/>
            </w:pPr>
            <w:r>
              <w:rPr>
                <w:rFonts w:ascii="sans-serif" w:eastAsia="sans-serif" w:hAnsi="sans-serif" w:cs="sans-serif"/>
                <w:color w:val="000000"/>
                <w:sz w:val="20"/>
                <w:szCs w:val="20"/>
              </w:rPr>
              <w:t>Stock-based compensation expense</w:t>
            </w:r>
          </w:p>
        </w:tc>
        <w:tc>
          <w:tcPr>
            <w:tcW w:w="0" w:type="auto"/>
            <w:shd w:val="clear" w:color="auto" w:fill="E2EFD9"/>
            <w:tcMar>
              <w:top w:w="40" w:type="dxa"/>
              <w:left w:w="20" w:type="dxa"/>
              <w:bottom w:w="40" w:type="dxa"/>
              <w:right w:w="0" w:type="dxa"/>
            </w:tcMar>
            <w:vAlign w:val="bottom"/>
          </w:tcPr>
          <w:p w14:paraId="19503653"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654" w14:textId="77777777" w:rsidR="00BF3A3A" w:rsidRDefault="00A76802">
            <w:pPr>
              <w:jc w:val="right"/>
              <w:textAlignment w:val="bottom"/>
            </w:pPr>
            <w:r>
              <w:rPr>
                <w:rFonts w:ascii="sans-serif" w:eastAsia="sans-serif" w:hAnsi="sans-serif" w:cs="sans-serif"/>
                <w:color w:val="000000"/>
                <w:sz w:val="20"/>
                <w:szCs w:val="20"/>
              </w:rPr>
              <w:t>(649)</w:t>
            </w:r>
          </w:p>
        </w:tc>
        <w:tc>
          <w:tcPr>
            <w:tcW w:w="0" w:type="auto"/>
            <w:shd w:val="clear" w:color="auto" w:fill="E2EFD9"/>
            <w:tcMar>
              <w:top w:w="40" w:type="dxa"/>
              <w:left w:w="0" w:type="dxa"/>
              <w:bottom w:w="40" w:type="dxa"/>
              <w:right w:w="20" w:type="dxa"/>
            </w:tcMar>
            <w:vAlign w:val="bottom"/>
          </w:tcPr>
          <w:p w14:paraId="1950365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656"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657"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658" w14:textId="77777777" w:rsidR="00BF3A3A" w:rsidRDefault="00A76802">
            <w:pPr>
              <w:jc w:val="right"/>
              <w:textAlignment w:val="bottom"/>
            </w:pPr>
            <w:r>
              <w:rPr>
                <w:rFonts w:ascii="sans-serif" w:eastAsia="sans-serif" w:hAnsi="sans-serif" w:cs="sans-serif"/>
                <w:color w:val="000000"/>
                <w:sz w:val="20"/>
                <w:szCs w:val="20"/>
              </w:rPr>
              <w:t>(465)</w:t>
            </w:r>
          </w:p>
        </w:tc>
        <w:tc>
          <w:tcPr>
            <w:tcW w:w="0" w:type="auto"/>
            <w:shd w:val="clear" w:color="auto" w:fill="E2EFD9"/>
            <w:tcMar>
              <w:top w:w="40" w:type="dxa"/>
              <w:left w:w="0" w:type="dxa"/>
              <w:bottom w:w="40" w:type="dxa"/>
              <w:right w:w="20" w:type="dxa"/>
            </w:tcMar>
            <w:vAlign w:val="bottom"/>
          </w:tcPr>
          <w:p w14:paraId="1950365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65A"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65B"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65C" w14:textId="77777777" w:rsidR="00BF3A3A" w:rsidRDefault="00A76802">
            <w:pPr>
              <w:jc w:val="right"/>
              <w:textAlignment w:val="bottom"/>
            </w:pPr>
            <w:r>
              <w:rPr>
                <w:rFonts w:ascii="sans-serif" w:eastAsia="sans-serif" w:hAnsi="sans-serif" w:cs="sans-serif"/>
                <w:color w:val="000000"/>
                <w:sz w:val="20"/>
                <w:szCs w:val="20"/>
              </w:rPr>
              <w:t>(1,227)</w:t>
            </w:r>
          </w:p>
        </w:tc>
        <w:tc>
          <w:tcPr>
            <w:tcW w:w="0" w:type="auto"/>
            <w:shd w:val="clear" w:color="auto" w:fill="E2EFD9"/>
            <w:tcMar>
              <w:top w:w="40" w:type="dxa"/>
              <w:left w:w="0" w:type="dxa"/>
              <w:bottom w:w="40" w:type="dxa"/>
              <w:right w:w="20" w:type="dxa"/>
            </w:tcMar>
            <w:vAlign w:val="bottom"/>
          </w:tcPr>
          <w:p w14:paraId="1950365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65E"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65F"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660" w14:textId="77777777" w:rsidR="00BF3A3A" w:rsidRDefault="00A76802">
            <w:pPr>
              <w:jc w:val="right"/>
              <w:textAlignment w:val="bottom"/>
            </w:pPr>
            <w:r>
              <w:rPr>
                <w:rFonts w:ascii="sans-serif" w:eastAsia="sans-serif" w:hAnsi="sans-serif" w:cs="sans-serif"/>
                <w:color w:val="000000"/>
                <w:sz w:val="20"/>
                <w:szCs w:val="20"/>
              </w:rPr>
              <w:t>(894)</w:t>
            </w:r>
          </w:p>
        </w:tc>
        <w:tc>
          <w:tcPr>
            <w:tcW w:w="0" w:type="auto"/>
            <w:shd w:val="clear" w:color="auto" w:fill="E2EFD9"/>
            <w:tcMar>
              <w:top w:w="40" w:type="dxa"/>
              <w:left w:w="0" w:type="dxa"/>
              <w:bottom w:w="40" w:type="dxa"/>
              <w:right w:w="20" w:type="dxa"/>
            </w:tcMar>
            <w:vAlign w:val="bottom"/>
          </w:tcPr>
          <w:p w14:paraId="19503661" w14:textId="77777777" w:rsidR="00BF3A3A" w:rsidRDefault="00BF3A3A">
            <w:pPr>
              <w:jc w:val="right"/>
              <w:rPr>
                <w:rFonts w:ascii="宋体"/>
              </w:rPr>
            </w:pPr>
          </w:p>
        </w:tc>
      </w:tr>
      <w:tr w:rsidR="00BF3A3A" w14:paraId="1950366F" w14:textId="77777777">
        <w:trPr>
          <w:jc w:val="center"/>
        </w:trPr>
        <w:tc>
          <w:tcPr>
            <w:tcW w:w="0" w:type="auto"/>
            <w:gridSpan w:val="3"/>
            <w:shd w:val="clear" w:color="auto" w:fill="FFFFFF"/>
            <w:tcMar>
              <w:top w:w="40" w:type="dxa"/>
              <w:left w:w="20" w:type="dxa"/>
              <w:bottom w:w="40" w:type="dxa"/>
              <w:right w:w="20" w:type="dxa"/>
            </w:tcMar>
            <w:vAlign w:val="bottom"/>
          </w:tcPr>
          <w:p w14:paraId="19503663" w14:textId="77777777" w:rsidR="00BF3A3A" w:rsidRDefault="00A76802">
            <w:pPr>
              <w:textAlignment w:val="bottom"/>
            </w:pPr>
            <w:r>
              <w:rPr>
                <w:rFonts w:ascii="sans-serif" w:eastAsia="sans-serif" w:hAnsi="sans-serif" w:cs="sans-serif"/>
                <w:color w:val="000000"/>
                <w:sz w:val="20"/>
                <w:szCs w:val="20"/>
              </w:rPr>
              <w:t>Acquisition-related and other costs</w:t>
            </w:r>
          </w:p>
        </w:tc>
        <w:tc>
          <w:tcPr>
            <w:tcW w:w="0" w:type="auto"/>
            <w:gridSpan w:val="2"/>
            <w:shd w:val="clear" w:color="auto" w:fill="FFFFFF"/>
            <w:tcMar>
              <w:top w:w="40" w:type="dxa"/>
              <w:left w:w="20" w:type="dxa"/>
              <w:bottom w:w="40" w:type="dxa"/>
              <w:right w:w="0" w:type="dxa"/>
            </w:tcMar>
            <w:vAlign w:val="bottom"/>
          </w:tcPr>
          <w:p w14:paraId="19503664" w14:textId="77777777" w:rsidR="00BF3A3A" w:rsidRDefault="00A76802">
            <w:pPr>
              <w:jc w:val="right"/>
              <w:textAlignment w:val="bottom"/>
            </w:pPr>
            <w:r>
              <w:rPr>
                <w:rFonts w:ascii="sans-serif" w:eastAsia="sans-serif" w:hAnsi="sans-serif" w:cs="sans-serif"/>
                <w:color w:val="000000"/>
                <w:sz w:val="20"/>
                <w:szCs w:val="20"/>
              </w:rPr>
              <w:t>(175)</w:t>
            </w:r>
          </w:p>
        </w:tc>
        <w:tc>
          <w:tcPr>
            <w:tcW w:w="0" w:type="auto"/>
            <w:shd w:val="clear" w:color="auto" w:fill="FFFFFF"/>
            <w:tcMar>
              <w:top w:w="40" w:type="dxa"/>
              <w:left w:w="0" w:type="dxa"/>
              <w:bottom w:w="40" w:type="dxa"/>
              <w:right w:w="20" w:type="dxa"/>
            </w:tcMar>
            <w:vAlign w:val="bottom"/>
          </w:tcPr>
          <w:p w14:paraId="19503665"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666"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667" w14:textId="77777777" w:rsidR="00BF3A3A" w:rsidRDefault="00A76802">
            <w:pPr>
              <w:jc w:val="right"/>
              <w:textAlignment w:val="bottom"/>
            </w:pPr>
            <w:r>
              <w:rPr>
                <w:rFonts w:ascii="sans-serif" w:eastAsia="sans-serif" w:hAnsi="sans-serif" w:cs="sans-serif"/>
                <w:color w:val="000000"/>
                <w:sz w:val="20"/>
                <w:szCs w:val="20"/>
              </w:rPr>
              <w:t>(158)</w:t>
            </w:r>
          </w:p>
        </w:tc>
        <w:tc>
          <w:tcPr>
            <w:tcW w:w="0" w:type="auto"/>
            <w:shd w:val="clear" w:color="auto" w:fill="FFFFFF"/>
            <w:tcMar>
              <w:top w:w="40" w:type="dxa"/>
              <w:left w:w="0" w:type="dxa"/>
              <w:bottom w:w="40" w:type="dxa"/>
              <w:right w:w="20" w:type="dxa"/>
            </w:tcMar>
            <w:vAlign w:val="bottom"/>
          </w:tcPr>
          <w:p w14:paraId="19503668"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669"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66A" w14:textId="77777777" w:rsidR="00BF3A3A" w:rsidRDefault="00A76802">
            <w:pPr>
              <w:jc w:val="right"/>
              <w:textAlignment w:val="bottom"/>
            </w:pPr>
            <w:r>
              <w:rPr>
                <w:rFonts w:ascii="sans-serif" w:eastAsia="sans-serif" w:hAnsi="sans-serif" w:cs="sans-serif"/>
                <w:color w:val="000000"/>
                <w:sz w:val="20"/>
                <w:szCs w:val="20"/>
              </w:rPr>
              <w:t>(324)</w:t>
            </w:r>
          </w:p>
        </w:tc>
        <w:tc>
          <w:tcPr>
            <w:tcW w:w="0" w:type="auto"/>
            <w:shd w:val="clear" w:color="auto" w:fill="FFFFFF"/>
            <w:tcMar>
              <w:top w:w="40" w:type="dxa"/>
              <w:left w:w="0" w:type="dxa"/>
              <w:bottom w:w="40" w:type="dxa"/>
              <w:right w:w="20" w:type="dxa"/>
            </w:tcMar>
            <w:vAlign w:val="bottom"/>
          </w:tcPr>
          <w:p w14:paraId="1950366B"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66C"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66D" w14:textId="77777777" w:rsidR="00BF3A3A" w:rsidRDefault="00A76802">
            <w:pPr>
              <w:jc w:val="right"/>
              <w:textAlignment w:val="bottom"/>
            </w:pPr>
            <w:r>
              <w:rPr>
                <w:rFonts w:ascii="sans-serif" w:eastAsia="sans-serif" w:hAnsi="sans-serif" w:cs="sans-serif"/>
                <w:color w:val="000000"/>
                <w:sz w:val="20"/>
                <w:szCs w:val="20"/>
              </w:rPr>
              <w:t>(325)</w:t>
            </w:r>
          </w:p>
        </w:tc>
        <w:tc>
          <w:tcPr>
            <w:tcW w:w="0" w:type="auto"/>
            <w:shd w:val="clear" w:color="auto" w:fill="FFFFFF"/>
            <w:tcMar>
              <w:top w:w="40" w:type="dxa"/>
              <w:left w:w="0" w:type="dxa"/>
              <w:bottom w:w="40" w:type="dxa"/>
              <w:right w:w="20" w:type="dxa"/>
            </w:tcMar>
            <w:vAlign w:val="bottom"/>
          </w:tcPr>
          <w:p w14:paraId="1950366E" w14:textId="77777777" w:rsidR="00BF3A3A" w:rsidRDefault="00BF3A3A">
            <w:pPr>
              <w:jc w:val="right"/>
              <w:rPr>
                <w:rFonts w:ascii="宋体"/>
              </w:rPr>
            </w:pPr>
          </w:p>
        </w:tc>
      </w:tr>
      <w:tr w:rsidR="00BF3A3A" w14:paraId="1950367C" w14:textId="77777777">
        <w:trPr>
          <w:jc w:val="center"/>
        </w:trPr>
        <w:tc>
          <w:tcPr>
            <w:tcW w:w="0" w:type="auto"/>
            <w:gridSpan w:val="3"/>
            <w:shd w:val="clear" w:color="auto" w:fill="E2EFD9"/>
            <w:tcMar>
              <w:top w:w="40" w:type="dxa"/>
              <w:left w:w="20" w:type="dxa"/>
              <w:bottom w:w="40" w:type="dxa"/>
              <w:right w:w="20" w:type="dxa"/>
            </w:tcMar>
            <w:vAlign w:val="bottom"/>
          </w:tcPr>
          <w:p w14:paraId="19503670" w14:textId="77777777" w:rsidR="00BF3A3A" w:rsidRDefault="00A76802">
            <w:pPr>
              <w:textAlignment w:val="bottom"/>
            </w:pPr>
            <w:r>
              <w:rPr>
                <w:rFonts w:ascii="sans-serif" w:eastAsia="sans-serif" w:hAnsi="sans-serif" w:cs="sans-serif"/>
                <w:color w:val="000000"/>
                <w:sz w:val="20"/>
                <w:szCs w:val="20"/>
              </w:rPr>
              <w:t xml:space="preserve">Unallocated cost of revenue and operating expenses </w:t>
            </w:r>
          </w:p>
        </w:tc>
        <w:tc>
          <w:tcPr>
            <w:tcW w:w="0" w:type="auto"/>
            <w:gridSpan w:val="2"/>
            <w:shd w:val="clear" w:color="auto" w:fill="E2EFD9"/>
            <w:tcMar>
              <w:top w:w="40" w:type="dxa"/>
              <w:left w:w="20" w:type="dxa"/>
              <w:bottom w:w="40" w:type="dxa"/>
              <w:right w:w="0" w:type="dxa"/>
            </w:tcMar>
            <w:vAlign w:val="bottom"/>
          </w:tcPr>
          <w:p w14:paraId="19503671" w14:textId="77777777" w:rsidR="00BF3A3A" w:rsidRDefault="00A76802">
            <w:pPr>
              <w:jc w:val="right"/>
              <w:textAlignment w:val="bottom"/>
            </w:pPr>
            <w:r>
              <w:rPr>
                <w:rFonts w:ascii="sans-serif" w:eastAsia="sans-serif" w:hAnsi="sans-serif" w:cs="sans-serif"/>
                <w:color w:val="000000"/>
                <w:sz w:val="20"/>
                <w:szCs w:val="20"/>
              </w:rPr>
              <w:t>(148)</w:t>
            </w:r>
          </w:p>
        </w:tc>
        <w:tc>
          <w:tcPr>
            <w:tcW w:w="0" w:type="auto"/>
            <w:shd w:val="clear" w:color="auto" w:fill="E2EFD9"/>
            <w:tcMar>
              <w:top w:w="40" w:type="dxa"/>
              <w:left w:w="0" w:type="dxa"/>
              <w:bottom w:w="40" w:type="dxa"/>
              <w:right w:w="20" w:type="dxa"/>
            </w:tcMar>
            <w:vAlign w:val="bottom"/>
          </w:tcPr>
          <w:p w14:paraId="1950367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673"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674" w14:textId="77777777" w:rsidR="00BF3A3A" w:rsidRDefault="00A76802">
            <w:pPr>
              <w:jc w:val="right"/>
              <w:textAlignment w:val="bottom"/>
            </w:pPr>
            <w:r>
              <w:rPr>
                <w:rFonts w:ascii="sans-serif" w:eastAsia="sans-serif" w:hAnsi="sans-serif" w:cs="sans-serif"/>
                <w:color w:val="000000"/>
                <w:sz w:val="20"/>
                <w:szCs w:val="20"/>
              </w:rPr>
              <w:t>(90)</w:t>
            </w:r>
          </w:p>
        </w:tc>
        <w:tc>
          <w:tcPr>
            <w:tcW w:w="0" w:type="auto"/>
            <w:shd w:val="clear" w:color="auto" w:fill="E2EFD9"/>
            <w:tcMar>
              <w:top w:w="40" w:type="dxa"/>
              <w:left w:w="0" w:type="dxa"/>
              <w:bottom w:w="40" w:type="dxa"/>
              <w:right w:w="20" w:type="dxa"/>
            </w:tcMar>
            <w:vAlign w:val="bottom"/>
          </w:tcPr>
          <w:p w14:paraId="1950367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676"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677" w14:textId="77777777" w:rsidR="00BF3A3A" w:rsidRDefault="00A76802">
            <w:pPr>
              <w:jc w:val="right"/>
              <w:textAlignment w:val="bottom"/>
            </w:pPr>
            <w:r>
              <w:rPr>
                <w:rFonts w:ascii="sans-serif" w:eastAsia="sans-serif" w:hAnsi="sans-serif" w:cs="sans-serif"/>
                <w:color w:val="000000"/>
                <w:sz w:val="20"/>
                <w:szCs w:val="20"/>
              </w:rPr>
              <w:t>(275)</w:t>
            </w:r>
          </w:p>
        </w:tc>
        <w:tc>
          <w:tcPr>
            <w:tcW w:w="0" w:type="auto"/>
            <w:shd w:val="clear" w:color="auto" w:fill="E2EFD9"/>
            <w:tcMar>
              <w:top w:w="40" w:type="dxa"/>
              <w:left w:w="0" w:type="dxa"/>
              <w:bottom w:w="40" w:type="dxa"/>
              <w:right w:w="20" w:type="dxa"/>
            </w:tcMar>
            <w:vAlign w:val="bottom"/>
          </w:tcPr>
          <w:p w14:paraId="1950367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679"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67A" w14:textId="77777777" w:rsidR="00BF3A3A" w:rsidRDefault="00A76802">
            <w:pPr>
              <w:jc w:val="right"/>
              <w:textAlignment w:val="bottom"/>
            </w:pPr>
            <w:r>
              <w:rPr>
                <w:rFonts w:ascii="sans-serif" w:eastAsia="sans-serif" w:hAnsi="sans-serif" w:cs="sans-serif"/>
                <w:color w:val="000000"/>
                <w:sz w:val="20"/>
                <w:szCs w:val="20"/>
              </w:rPr>
              <w:t>(180)</w:t>
            </w:r>
          </w:p>
        </w:tc>
        <w:tc>
          <w:tcPr>
            <w:tcW w:w="0" w:type="auto"/>
            <w:shd w:val="clear" w:color="auto" w:fill="E2EFD9"/>
            <w:tcMar>
              <w:top w:w="40" w:type="dxa"/>
              <w:left w:w="0" w:type="dxa"/>
              <w:bottom w:w="40" w:type="dxa"/>
              <w:right w:w="20" w:type="dxa"/>
            </w:tcMar>
            <w:vAlign w:val="bottom"/>
          </w:tcPr>
          <w:p w14:paraId="1950367B" w14:textId="77777777" w:rsidR="00BF3A3A" w:rsidRDefault="00BF3A3A">
            <w:pPr>
              <w:jc w:val="right"/>
              <w:rPr>
                <w:rFonts w:ascii="宋体"/>
              </w:rPr>
            </w:pPr>
          </w:p>
        </w:tc>
      </w:tr>
      <w:tr w:rsidR="00BF3A3A" w14:paraId="19503689" w14:textId="77777777">
        <w:trPr>
          <w:jc w:val="center"/>
        </w:trPr>
        <w:tc>
          <w:tcPr>
            <w:tcW w:w="0" w:type="auto"/>
            <w:gridSpan w:val="3"/>
            <w:shd w:val="clear" w:color="auto" w:fill="FFFFFF"/>
            <w:tcMar>
              <w:top w:w="40" w:type="dxa"/>
              <w:left w:w="20" w:type="dxa"/>
              <w:bottom w:w="40" w:type="dxa"/>
              <w:right w:w="20" w:type="dxa"/>
            </w:tcMar>
            <w:vAlign w:val="bottom"/>
          </w:tcPr>
          <w:p w14:paraId="1950367D" w14:textId="77777777" w:rsidR="00BF3A3A" w:rsidRDefault="00A76802">
            <w:pPr>
              <w:textAlignment w:val="bottom"/>
            </w:pPr>
            <w:r>
              <w:rPr>
                <w:rFonts w:ascii="sans-serif" w:eastAsia="sans-serif" w:hAnsi="sans-serif" w:cs="sans-serif"/>
                <w:color w:val="000000"/>
                <w:sz w:val="20"/>
                <w:szCs w:val="20"/>
              </w:rPr>
              <w:t>Contributions</w:t>
            </w:r>
          </w:p>
        </w:tc>
        <w:tc>
          <w:tcPr>
            <w:tcW w:w="0" w:type="auto"/>
            <w:gridSpan w:val="2"/>
            <w:shd w:val="clear" w:color="auto" w:fill="FFFFFF"/>
            <w:tcMar>
              <w:top w:w="40" w:type="dxa"/>
              <w:left w:w="20" w:type="dxa"/>
              <w:bottom w:w="40" w:type="dxa"/>
              <w:right w:w="0" w:type="dxa"/>
            </w:tcMar>
            <w:vAlign w:val="bottom"/>
          </w:tcPr>
          <w:p w14:paraId="1950367E" w14:textId="77777777" w:rsidR="00BF3A3A" w:rsidRDefault="00A76802">
            <w:pPr>
              <w:jc w:val="right"/>
              <w:textAlignment w:val="bottom"/>
            </w:pPr>
            <w:r>
              <w:rPr>
                <w:rFonts w:ascii="sans-serif" w:eastAsia="sans-serif" w:hAnsi="sans-serif" w:cs="sans-serif"/>
                <w:color w:val="000000"/>
                <w:sz w:val="20"/>
                <w:szCs w:val="20"/>
              </w:rPr>
              <w:t>(2)</w:t>
            </w:r>
          </w:p>
        </w:tc>
        <w:tc>
          <w:tcPr>
            <w:tcW w:w="0" w:type="auto"/>
            <w:shd w:val="clear" w:color="auto" w:fill="FFFFFF"/>
            <w:tcMar>
              <w:top w:w="40" w:type="dxa"/>
              <w:left w:w="0" w:type="dxa"/>
              <w:bottom w:w="40" w:type="dxa"/>
              <w:right w:w="20" w:type="dxa"/>
            </w:tcMar>
            <w:vAlign w:val="bottom"/>
          </w:tcPr>
          <w:p w14:paraId="1950367F"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680"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681"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3682"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683"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684" w14:textId="77777777" w:rsidR="00BF3A3A" w:rsidRDefault="00A76802">
            <w:pPr>
              <w:jc w:val="right"/>
              <w:textAlignment w:val="bottom"/>
            </w:pPr>
            <w:r>
              <w:rPr>
                <w:rFonts w:ascii="sans-serif" w:eastAsia="sans-serif" w:hAnsi="sans-serif" w:cs="sans-serif"/>
                <w:color w:val="000000"/>
                <w:sz w:val="20"/>
                <w:szCs w:val="20"/>
              </w:rPr>
              <w:t>(2)</w:t>
            </w:r>
          </w:p>
        </w:tc>
        <w:tc>
          <w:tcPr>
            <w:tcW w:w="0" w:type="auto"/>
            <w:shd w:val="clear" w:color="auto" w:fill="FFFFFF"/>
            <w:tcMar>
              <w:top w:w="40" w:type="dxa"/>
              <w:left w:w="0" w:type="dxa"/>
              <w:bottom w:w="40" w:type="dxa"/>
              <w:right w:w="20" w:type="dxa"/>
            </w:tcMar>
            <w:vAlign w:val="bottom"/>
          </w:tcPr>
          <w:p w14:paraId="19503685"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686"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687"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3688" w14:textId="77777777" w:rsidR="00BF3A3A" w:rsidRDefault="00BF3A3A">
            <w:pPr>
              <w:jc w:val="right"/>
              <w:rPr>
                <w:rFonts w:ascii="宋体"/>
              </w:rPr>
            </w:pPr>
          </w:p>
        </w:tc>
      </w:tr>
      <w:tr w:rsidR="00BF3A3A" w14:paraId="19503696" w14:textId="77777777">
        <w:trPr>
          <w:jc w:val="center"/>
        </w:trPr>
        <w:tc>
          <w:tcPr>
            <w:tcW w:w="0" w:type="auto"/>
            <w:gridSpan w:val="3"/>
            <w:shd w:val="clear" w:color="auto" w:fill="E2EFD9"/>
            <w:tcMar>
              <w:top w:w="40" w:type="dxa"/>
              <w:left w:w="20" w:type="dxa"/>
              <w:bottom w:w="40" w:type="dxa"/>
              <w:right w:w="20" w:type="dxa"/>
            </w:tcMar>
            <w:vAlign w:val="bottom"/>
          </w:tcPr>
          <w:p w14:paraId="1950368A" w14:textId="77777777" w:rsidR="00BF3A3A" w:rsidRDefault="00A76802">
            <w:pPr>
              <w:textAlignment w:val="bottom"/>
            </w:pPr>
            <w:r>
              <w:rPr>
                <w:rFonts w:ascii="sans-serif" w:eastAsia="sans-serif" w:hAnsi="sans-serif" w:cs="sans-serif"/>
                <w:color w:val="000000"/>
                <w:sz w:val="20"/>
                <w:szCs w:val="20"/>
              </w:rPr>
              <w:t>IP-related and legal settlement costs</w:t>
            </w:r>
          </w:p>
        </w:tc>
        <w:tc>
          <w:tcPr>
            <w:tcW w:w="0" w:type="auto"/>
            <w:gridSpan w:val="2"/>
            <w:shd w:val="clear" w:color="auto" w:fill="E2EFD9"/>
            <w:tcMar>
              <w:top w:w="40" w:type="dxa"/>
              <w:left w:w="20" w:type="dxa"/>
              <w:bottom w:w="40" w:type="dxa"/>
              <w:right w:w="0" w:type="dxa"/>
            </w:tcMar>
            <w:vAlign w:val="bottom"/>
          </w:tcPr>
          <w:p w14:paraId="1950368B"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368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68D"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68E" w14:textId="77777777" w:rsidR="00BF3A3A" w:rsidRDefault="00A76802">
            <w:pPr>
              <w:jc w:val="right"/>
              <w:textAlignment w:val="bottom"/>
            </w:pPr>
            <w:r>
              <w:rPr>
                <w:rFonts w:ascii="sans-serif" w:eastAsia="sans-serif" w:hAnsi="sans-serif" w:cs="sans-serif"/>
                <w:color w:val="000000"/>
                <w:sz w:val="20"/>
                <w:szCs w:val="20"/>
              </w:rPr>
              <w:t>(4)</w:t>
            </w:r>
          </w:p>
        </w:tc>
        <w:tc>
          <w:tcPr>
            <w:tcW w:w="0" w:type="auto"/>
            <w:shd w:val="clear" w:color="auto" w:fill="E2EFD9"/>
            <w:tcMar>
              <w:top w:w="40" w:type="dxa"/>
              <w:left w:w="0" w:type="dxa"/>
              <w:bottom w:w="40" w:type="dxa"/>
              <w:right w:w="20" w:type="dxa"/>
            </w:tcMar>
            <w:vAlign w:val="bottom"/>
          </w:tcPr>
          <w:p w14:paraId="1950368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690"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691" w14:textId="77777777" w:rsidR="00BF3A3A" w:rsidRDefault="00A76802">
            <w:pPr>
              <w:jc w:val="right"/>
              <w:textAlignment w:val="bottom"/>
            </w:pPr>
            <w:r>
              <w:rPr>
                <w:rFonts w:ascii="sans-serif" w:eastAsia="sans-serif" w:hAnsi="sans-serif" w:cs="sans-serif"/>
                <w:color w:val="000000"/>
                <w:sz w:val="20"/>
                <w:szCs w:val="20"/>
              </w:rPr>
              <w:t>(7)</w:t>
            </w:r>
          </w:p>
        </w:tc>
        <w:tc>
          <w:tcPr>
            <w:tcW w:w="0" w:type="auto"/>
            <w:shd w:val="clear" w:color="auto" w:fill="E2EFD9"/>
            <w:tcMar>
              <w:top w:w="40" w:type="dxa"/>
              <w:left w:w="0" w:type="dxa"/>
              <w:bottom w:w="40" w:type="dxa"/>
              <w:right w:w="20" w:type="dxa"/>
            </w:tcMar>
            <w:vAlign w:val="bottom"/>
          </w:tcPr>
          <w:p w14:paraId="1950369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693"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694" w14:textId="77777777" w:rsidR="00BF3A3A" w:rsidRDefault="00A76802">
            <w:pPr>
              <w:jc w:val="right"/>
              <w:textAlignment w:val="bottom"/>
            </w:pPr>
            <w:r>
              <w:rPr>
                <w:rFonts w:ascii="sans-serif" w:eastAsia="sans-serif" w:hAnsi="sans-serif" w:cs="sans-serif"/>
                <w:color w:val="000000"/>
                <w:sz w:val="20"/>
                <w:szCs w:val="20"/>
              </w:rPr>
              <w:t>(9)</w:t>
            </w:r>
          </w:p>
        </w:tc>
        <w:tc>
          <w:tcPr>
            <w:tcW w:w="0" w:type="auto"/>
            <w:shd w:val="clear" w:color="auto" w:fill="E2EFD9"/>
            <w:tcMar>
              <w:top w:w="40" w:type="dxa"/>
              <w:left w:w="0" w:type="dxa"/>
              <w:bottom w:w="40" w:type="dxa"/>
              <w:right w:w="20" w:type="dxa"/>
            </w:tcMar>
            <w:vAlign w:val="bottom"/>
          </w:tcPr>
          <w:p w14:paraId="19503695" w14:textId="77777777" w:rsidR="00BF3A3A" w:rsidRDefault="00BF3A3A">
            <w:pPr>
              <w:jc w:val="right"/>
              <w:rPr>
                <w:rFonts w:ascii="宋体"/>
              </w:rPr>
            </w:pPr>
          </w:p>
        </w:tc>
      </w:tr>
      <w:tr w:rsidR="00BF3A3A" w14:paraId="195036A3" w14:textId="77777777">
        <w:trPr>
          <w:jc w:val="center"/>
        </w:trPr>
        <w:tc>
          <w:tcPr>
            <w:tcW w:w="0" w:type="auto"/>
            <w:gridSpan w:val="3"/>
            <w:shd w:val="clear" w:color="auto" w:fill="FFFFFF"/>
            <w:tcMar>
              <w:top w:w="40" w:type="dxa"/>
              <w:left w:w="20" w:type="dxa"/>
              <w:bottom w:w="40" w:type="dxa"/>
              <w:right w:w="20" w:type="dxa"/>
            </w:tcMar>
            <w:vAlign w:val="bottom"/>
          </w:tcPr>
          <w:p w14:paraId="19503697" w14:textId="77777777" w:rsidR="00BF3A3A" w:rsidRDefault="00A76802">
            <w:pPr>
              <w:textAlignment w:val="bottom"/>
            </w:pPr>
            <w:r>
              <w:rPr>
                <w:rFonts w:ascii="sans-serif" w:eastAsia="sans-serif" w:hAnsi="sans-serif" w:cs="sans-serif"/>
                <w:color w:val="000000"/>
                <w:sz w:val="20"/>
                <w:szCs w:val="20"/>
              </w:rPr>
              <w:t>Acquisition termination cost</w:t>
            </w:r>
          </w:p>
        </w:tc>
        <w:tc>
          <w:tcPr>
            <w:tcW w:w="0" w:type="auto"/>
            <w:gridSpan w:val="2"/>
            <w:shd w:val="clear" w:color="auto" w:fill="FFFFFF"/>
            <w:tcMar>
              <w:top w:w="40" w:type="dxa"/>
              <w:left w:w="20" w:type="dxa"/>
              <w:bottom w:w="40" w:type="dxa"/>
              <w:right w:w="0" w:type="dxa"/>
            </w:tcMar>
            <w:vAlign w:val="bottom"/>
          </w:tcPr>
          <w:p w14:paraId="19503698"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369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69A"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69B"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369C"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69D"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69E" w14:textId="77777777" w:rsidR="00BF3A3A" w:rsidRDefault="00A76802">
            <w:pPr>
              <w:jc w:val="right"/>
              <w:textAlignment w:val="bottom"/>
            </w:pPr>
            <w:r>
              <w:rPr>
                <w:rFonts w:ascii="sans-serif" w:eastAsia="sans-serif" w:hAnsi="sans-serif" w:cs="sans-serif"/>
                <w:color w:val="000000"/>
                <w:sz w:val="20"/>
                <w:szCs w:val="20"/>
              </w:rPr>
              <w:t>(1,353)</w:t>
            </w:r>
          </w:p>
        </w:tc>
        <w:tc>
          <w:tcPr>
            <w:tcW w:w="0" w:type="auto"/>
            <w:shd w:val="clear" w:color="auto" w:fill="FFFFFF"/>
            <w:tcMar>
              <w:top w:w="40" w:type="dxa"/>
              <w:left w:w="0" w:type="dxa"/>
              <w:bottom w:w="40" w:type="dxa"/>
              <w:right w:w="20" w:type="dxa"/>
            </w:tcMar>
            <w:vAlign w:val="bottom"/>
          </w:tcPr>
          <w:p w14:paraId="1950369F"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6A0"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6A1"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36A2" w14:textId="77777777" w:rsidR="00BF3A3A" w:rsidRDefault="00BF3A3A">
            <w:pPr>
              <w:jc w:val="right"/>
              <w:rPr>
                <w:rFonts w:ascii="宋体"/>
              </w:rPr>
            </w:pPr>
          </w:p>
        </w:tc>
      </w:tr>
      <w:tr w:rsidR="00BF3A3A" w14:paraId="195036AC" w14:textId="77777777">
        <w:trPr>
          <w:jc w:val="center"/>
          <w:hidden/>
        </w:trPr>
        <w:tc>
          <w:tcPr>
            <w:tcW w:w="0" w:type="auto"/>
            <w:gridSpan w:val="3"/>
            <w:shd w:val="clear" w:color="auto" w:fill="auto"/>
            <w:vAlign w:val="bottom"/>
          </w:tcPr>
          <w:p w14:paraId="195036A4" w14:textId="77777777" w:rsidR="00BF3A3A" w:rsidRDefault="00BF3A3A">
            <w:pPr>
              <w:rPr>
                <w:rFonts w:ascii="宋体"/>
                <w:vanish/>
              </w:rPr>
            </w:pPr>
          </w:p>
        </w:tc>
        <w:tc>
          <w:tcPr>
            <w:tcW w:w="0" w:type="auto"/>
            <w:gridSpan w:val="3"/>
            <w:shd w:val="clear" w:color="auto" w:fill="auto"/>
            <w:vAlign w:val="bottom"/>
          </w:tcPr>
          <w:p w14:paraId="195036A5" w14:textId="77777777" w:rsidR="00BF3A3A" w:rsidRDefault="00BF3A3A">
            <w:pPr>
              <w:rPr>
                <w:rFonts w:ascii="宋体"/>
                <w:vanish/>
              </w:rPr>
            </w:pPr>
          </w:p>
        </w:tc>
        <w:tc>
          <w:tcPr>
            <w:tcW w:w="0" w:type="auto"/>
            <w:gridSpan w:val="3"/>
            <w:shd w:val="clear" w:color="auto" w:fill="auto"/>
            <w:vAlign w:val="bottom"/>
          </w:tcPr>
          <w:p w14:paraId="195036A6" w14:textId="77777777" w:rsidR="00BF3A3A" w:rsidRDefault="00BF3A3A">
            <w:pPr>
              <w:rPr>
                <w:rFonts w:ascii="宋体"/>
                <w:vanish/>
              </w:rPr>
            </w:pPr>
          </w:p>
        </w:tc>
        <w:tc>
          <w:tcPr>
            <w:tcW w:w="0" w:type="auto"/>
            <w:gridSpan w:val="3"/>
            <w:shd w:val="clear" w:color="auto" w:fill="auto"/>
            <w:vAlign w:val="bottom"/>
          </w:tcPr>
          <w:p w14:paraId="195036A7" w14:textId="77777777" w:rsidR="00BF3A3A" w:rsidRDefault="00BF3A3A">
            <w:pPr>
              <w:rPr>
                <w:rFonts w:ascii="宋体"/>
                <w:vanish/>
              </w:rPr>
            </w:pPr>
          </w:p>
        </w:tc>
        <w:tc>
          <w:tcPr>
            <w:tcW w:w="0" w:type="auto"/>
            <w:gridSpan w:val="3"/>
            <w:shd w:val="clear" w:color="auto" w:fill="auto"/>
            <w:vAlign w:val="bottom"/>
          </w:tcPr>
          <w:p w14:paraId="195036A8" w14:textId="77777777" w:rsidR="00BF3A3A" w:rsidRDefault="00BF3A3A">
            <w:pPr>
              <w:rPr>
                <w:rFonts w:ascii="宋体"/>
                <w:vanish/>
              </w:rPr>
            </w:pPr>
          </w:p>
        </w:tc>
        <w:tc>
          <w:tcPr>
            <w:tcW w:w="0" w:type="auto"/>
            <w:gridSpan w:val="3"/>
            <w:shd w:val="clear" w:color="auto" w:fill="auto"/>
            <w:vAlign w:val="bottom"/>
          </w:tcPr>
          <w:p w14:paraId="195036A9" w14:textId="77777777" w:rsidR="00BF3A3A" w:rsidRDefault="00BF3A3A">
            <w:pPr>
              <w:rPr>
                <w:rFonts w:ascii="宋体"/>
                <w:vanish/>
              </w:rPr>
            </w:pPr>
          </w:p>
        </w:tc>
        <w:tc>
          <w:tcPr>
            <w:tcW w:w="0" w:type="auto"/>
            <w:gridSpan w:val="3"/>
            <w:shd w:val="clear" w:color="auto" w:fill="auto"/>
            <w:vAlign w:val="bottom"/>
          </w:tcPr>
          <w:p w14:paraId="195036AA" w14:textId="77777777" w:rsidR="00BF3A3A" w:rsidRDefault="00BF3A3A">
            <w:pPr>
              <w:rPr>
                <w:rFonts w:ascii="宋体"/>
                <w:vanish/>
              </w:rPr>
            </w:pPr>
          </w:p>
        </w:tc>
        <w:tc>
          <w:tcPr>
            <w:tcW w:w="0" w:type="auto"/>
            <w:gridSpan w:val="3"/>
            <w:shd w:val="clear" w:color="auto" w:fill="auto"/>
            <w:vAlign w:val="bottom"/>
          </w:tcPr>
          <w:p w14:paraId="195036AB" w14:textId="77777777" w:rsidR="00BF3A3A" w:rsidRDefault="00BF3A3A">
            <w:pPr>
              <w:rPr>
                <w:rFonts w:ascii="宋体"/>
                <w:vanish/>
              </w:rPr>
            </w:pPr>
          </w:p>
        </w:tc>
      </w:tr>
      <w:tr w:rsidR="00BF3A3A" w14:paraId="195036B5" w14:textId="77777777">
        <w:trPr>
          <w:jc w:val="center"/>
          <w:hidden/>
        </w:trPr>
        <w:tc>
          <w:tcPr>
            <w:tcW w:w="0" w:type="auto"/>
            <w:gridSpan w:val="3"/>
            <w:shd w:val="clear" w:color="auto" w:fill="auto"/>
            <w:vAlign w:val="bottom"/>
          </w:tcPr>
          <w:p w14:paraId="195036AD" w14:textId="77777777" w:rsidR="00BF3A3A" w:rsidRDefault="00BF3A3A">
            <w:pPr>
              <w:rPr>
                <w:rFonts w:ascii="宋体"/>
                <w:vanish/>
              </w:rPr>
            </w:pPr>
          </w:p>
        </w:tc>
        <w:tc>
          <w:tcPr>
            <w:tcW w:w="0" w:type="auto"/>
            <w:gridSpan w:val="3"/>
            <w:shd w:val="clear" w:color="auto" w:fill="auto"/>
            <w:vAlign w:val="bottom"/>
          </w:tcPr>
          <w:p w14:paraId="195036AE" w14:textId="77777777" w:rsidR="00BF3A3A" w:rsidRDefault="00BF3A3A">
            <w:pPr>
              <w:rPr>
                <w:rFonts w:ascii="宋体"/>
                <w:vanish/>
              </w:rPr>
            </w:pPr>
          </w:p>
        </w:tc>
        <w:tc>
          <w:tcPr>
            <w:tcW w:w="0" w:type="auto"/>
            <w:gridSpan w:val="3"/>
            <w:shd w:val="clear" w:color="auto" w:fill="auto"/>
            <w:vAlign w:val="bottom"/>
          </w:tcPr>
          <w:p w14:paraId="195036AF" w14:textId="77777777" w:rsidR="00BF3A3A" w:rsidRDefault="00BF3A3A">
            <w:pPr>
              <w:rPr>
                <w:rFonts w:ascii="宋体"/>
                <w:vanish/>
              </w:rPr>
            </w:pPr>
          </w:p>
        </w:tc>
        <w:tc>
          <w:tcPr>
            <w:tcW w:w="0" w:type="auto"/>
            <w:gridSpan w:val="3"/>
            <w:shd w:val="clear" w:color="auto" w:fill="auto"/>
            <w:vAlign w:val="bottom"/>
          </w:tcPr>
          <w:p w14:paraId="195036B0" w14:textId="77777777" w:rsidR="00BF3A3A" w:rsidRDefault="00BF3A3A">
            <w:pPr>
              <w:rPr>
                <w:rFonts w:ascii="宋体"/>
                <w:vanish/>
              </w:rPr>
            </w:pPr>
          </w:p>
        </w:tc>
        <w:tc>
          <w:tcPr>
            <w:tcW w:w="0" w:type="auto"/>
            <w:gridSpan w:val="3"/>
            <w:shd w:val="clear" w:color="auto" w:fill="auto"/>
            <w:vAlign w:val="bottom"/>
          </w:tcPr>
          <w:p w14:paraId="195036B1" w14:textId="77777777" w:rsidR="00BF3A3A" w:rsidRDefault="00BF3A3A">
            <w:pPr>
              <w:rPr>
                <w:rFonts w:ascii="宋体"/>
                <w:vanish/>
              </w:rPr>
            </w:pPr>
          </w:p>
        </w:tc>
        <w:tc>
          <w:tcPr>
            <w:tcW w:w="0" w:type="auto"/>
            <w:gridSpan w:val="3"/>
            <w:shd w:val="clear" w:color="auto" w:fill="auto"/>
            <w:vAlign w:val="bottom"/>
          </w:tcPr>
          <w:p w14:paraId="195036B2" w14:textId="77777777" w:rsidR="00BF3A3A" w:rsidRDefault="00BF3A3A">
            <w:pPr>
              <w:rPr>
                <w:rFonts w:ascii="宋体"/>
                <w:vanish/>
              </w:rPr>
            </w:pPr>
          </w:p>
        </w:tc>
        <w:tc>
          <w:tcPr>
            <w:tcW w:w="0" w:type="auto"/>
            <w:gridSpan w:val="3"/>
            <w:shd w:val="clear" w:color="auto" w:fill="auto"/>
            <w:vAlign w:val="bottom"/>
          </w:tcPr>
          <w:p w14:paraId="195036B3" w14:textId="77777777" w:rsidR="00BF3A3A" w:rsidRDefault="00BF3A3A">
            <w:pPr>
              <w:rPr>
                <w:rFonts w:ascii="宋体"/>
                <w:vanish/>
              </w:rPr>
            </w:pPr>
          </w:p>
        </w:tc>
        <w:tc>
          <w:tcPr>
            <w:tcW w:w="0" w:type="auto"/>
            <w:gridSpan w:val="3"/>
            <w:shd w:val="clear" w:color="auto" w:fill="auto"/>
            <w:vAlign w:val="bottom"/>
          </w:tcPr>
          <w:p w14:paraId="195036B4" w14:textId="77777777" w:rsidR="00BF3A3A" w:rsidRDefault="00BF3A3A">
            <w:pPr>
              <w:rPr>
                <w:rFonts w:ascii="宋体"/>
                <w:vanish/>
              </w:rPr>
            </w:pPr>
          </w:p>
        </w:tc>
      </w:tr>
      <w:tr w:rsidR="00BF3A3A" w14:paraId="195036C6" w14:textId="77777777">
        <w:trPr>
          <w:jc w:val="center"/>
        </w:trPr>
        <w:tc>
          <w:tcPr>
            <w:tcW w:w="0" w:type="auto"/>
            <w:gridSpan w:val="3"/>
            <w:shd w:val="clear" w:color="auto" w:fill="E2EFD9"/>
            <w:tcMar>
              <w:top w:w="40" w:type="dxa"/>
              <w:left w:w="20" w:type="dxa"/>
              <w:bottom w:w="40" w:type="dxa"/>
              <w:right w:w="20" w:type="dxa"/>
            </w:tcMar>
            <w:vAlign w:val="bottom"/>
          </w:tcPr>
          <w:p w14:paraId="195036B6" w14:textId="77777777" w:rsidR="00BF3A3A" w:rsidRDefault="00A76802">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6B7"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6B8" w14:textId="77777777" w:rsidR="00BF3A3A" w:rsidRDefault="00A76802">
            <w:pPr>
              <w:jc w:val="right"/>
              <w:textAlignment w:val="bottom"/>
            </w:pPr>
            <w:r>
              <w:rPr>
                <w:rFonts w:ascii="sans-serif" w:eastAsia="sans-serif" w:hAnsi="sans-serif" w:cs="sans-serif"/>
                <w:color w:val="000000"/>
                <w:sz w:val="20"/>
                <w:szCs w:val="20"/>
              </w:rPr>
              <w:t>(974)</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6B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6BA"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6BB"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6BC" w14:textId="77777777" w:rsidR="00BF3A3A" w:rsidRDefault="00A76802">
            <w:pPr>
              <w:jc w:val="right"/>
              <w:textAlignment w:val="bottom"/>
            </w:pPr>
            <w:r>
              <w:rPr>
                <w:rFonts w:ascii="sans-serif" w:eastAsia="sans-serif" w:hAnsi="sans-serif" w:cs="sans-serif"/>
                <w:color w:val="000000"/>
                <w:sz w:val="20"/>
                <w:szCs w:val="20"/>
              </w:rPr>
              <w:t>(717)</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6B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6BE"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6BF"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6C0" w14:textId="77777777" w:rsidR="00BF3A3A" w:rsidRDefault="00A76802">
            <w:pPr>
              <w:jc w:val="right"/>
              <w:textAlignment w:val="bottom"/>
            </w:pPr>
            <w:r>
              <w:rPr>
                <w:rFonts w:ascii="sans-serif" w:eastAsia="sans-serif" w:hAnsi="sans-serif" w:cs="sans-serif"/>
                <w:color w:val="000000"/>
                <w:sz w:val="20"/>
                <w:szCs w:val="20"/>
              </w:rPr>
              <w:t>(3,188)</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6C1"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6C2"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6C3"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6C4" w14:textId="77777777" w:rsidR="00BF3A3A" w:rsidRDefault="00A76802">
            <w:pPr>
              <w:jc w:val="right"/>
              <w:textAlignment w:val="bottom"/>
            </w:pPr>
            <w:r>
              <w:rPr>
                <w:rFonts w:ascii="sans-serif" w:eastAsia="sans-serif" w:hAnsi="sans-serif" w:cs="sans-serif"/>
                <w:color w:val="000000"/>
                <w:sz w:val="20"/>
                <w:szCs w:val="20"/>
              </w:rPr>
              <w:t>(1,408)</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6C5" w14:textId="77777777" w:rsidR="00BF3A3A" w:rsidRDefault="00BF3A3A">
            <w:pPr>
              <w:jc w:val="right"/>
              <w:rPr>
                <w:rFonts w:ascii="宋体"/>
              </w:rPr>
            </w:pPr>
          </w:p>
        </w:tc>
      </w:tr>
    </w:tbl>
    <w:p w14:paraId="195036C7" w14:textId="77777777" w:rsidR="00BF3A3A" w:rsidRDefault="00A76802">
      <w:pPr>
        <w:spacing w:before="180"/>
        <w:jc w:val="both"/>
      </w:pPr>
      <w:r>
        <w:rPr>
          <w:rFonts w:ascii="sans-serif" w:eastAsia="sans-serif" w:hAnsi="sans-serif" w:cs="sans-serif"/>
          <w:color w:val="000000"/>
          <w:sz w:val="20"/>
          <w:szCs w:val="20"/>
        </w:rPr>
        <w:t>Revenue by geographic region is allocated to individual countries based on the location to which the products</w:t>
      </w:r>
      <w:r>
        <w:rPr>
          <w:rFonts w:ascii="sans-serif" w:eastAsia="sans-serif" w:hAnsi="sans-serif" w:cs="sans-serif"/>
          <w:color w:val="000000"/>
          <w:sz w:val="20"/>
          <w:szCs w:val="20"/>
        </w:rPr>
        <w:t xml:space="preserve"> are initially billed even if our customers’ revenue is attributable to end customers that are located in a different location. The following table summarizes information pertaining to our revenue from customers based on the invoicing address by geographic</w:t>
      </w:r>
      <w:r>
        <w:rPr>
          <w:rFonts w:ascii="sans-serif" w:eastAsia="sans-serif" w:hAnsi="sans-serif" w:cs="sans-serif"/>
          <w:color w:val="000000"/>
          <w:sz w:val="20"/>
          <w:szCs w:val="20"/>
        </w:rPr>
        <w:t xml:space="preserve"> regions: </w:t>
      </w:r>
    </w:p>
    <w:tbl>
      <w:tblPr>
        <w:tblW w:w="5000" w:type="pct"/>
        <w:tblCellMar>
          <w:top w:w="15" w:type="dxa"/>
          <w:left w:w="15" w:type="dxa"/>
          <w:bottom w:w="15" w:type="dxa"/>
          <w:right w:w="15" w:type="dxa"/>
        </w:tblCellMar>
        <w:tblLook w:val="04A0" w:firstRow="1" w:lastRow="0" w:firstColumn="1" w:lastColumn="0" w:noHBand="0" w:noVBand="1"/>
      </w:tblPr>
      <w:tblGrid>
        <w:gridCol w:w="38"/>
        <w:gridCol w:w="3569"/>
        <w:gridCol w:w="37"/>
        <w:gridCol w:w="122"/>
        <w:gridCol w:w="966"/>
        <w:gridCol w:w="36"/>
        <w:gridCol w:w="36"/>
        <w:gridCol w:w="36"/>
        <w:gridCol w:w="36"/>
        <w:gridCol w:w="122"/>
        <w:gridCol w:w="922"/>
        <w:gridCol w:w="36"/>
        <w:gridCol w:w="36"/>
        <w:gridCol w:w="36"/>
        <w:gridCol w:w="36"/>
        <w:gridCol w:w="122"/>
        <w:gridCol w:w="924"/>
        <w:gridCol w:w="36"/>
        <w:gridCol w:w="36"/>
        <w:gridCol w:w="36"/>
        <w:gridCol w:w="36"/>
        <w:gridCol w:w="122"/>
        <w:gridCol w:w="924"/>
        <w:gridCol w:w="36"/>
      </w:tblGrid>
      <w:tr w:rsidR="00BF3A3A" w14:paraId="195036E0" w14:textId="77777777">
        <w:tc>
          <w:tcPr>
            <w:tcW w:w="50" w:type="pct"/>
            <w:shd w:val="clear" w:color="auto" w:fill="auto"/>
            <w:vAlign w:val="bottom"/>
          </w:tcPr>
          <w:p w14:paraId="195036C8" w14:textId="77777777" w:rsidR="00BF3A3A" w:rsidRDefault="00BF3A3A">
            <w:pPr>
              <w:rPr>
                <w:rFonts w:ascii="宋体"/>
              </w:rPr>
            </w:pPr>
          </w:p>
        </w:tc>
        <w:tc>
          <w:tcPr>
            <w:tcW w:w="2174" w:type="pct"/>
            <w:shd w:val="clear" w:color="auto" w:fill="auto"/>
            <w:vAlign w:val="bottom"/>
          </w:tcPr>
          <w:p w14:paraId="195036C9" w14:textId="77777777" w:rsidR="00BF3A3A" w:rsidRDefault="00BF3A3A">
            <w:pPr>
              <w:rPr>
                <w:rFonts w:ascii="宋体"/>
              </w:rPr>
            </w:pPr>
          </w:p>
        </w:tc>
        <w:tc>
          <w:tcPr>
            <w:tcW w:w="5" w:type="pct"/>
            <w:shd w:val="clear" w:color="auto" w:fill="auto"/>
            <w:vAlign w:val="bottom"/>
          </w:tcPr>
          <w:p w14:paraId="195036CA" w14:textId="77777777" w:rsidR="00BF3A3A" w:rsidRDefault="00BF3A3A">
            <w:pPr>
              <w:rPr>
                <w:rFonts w:ascii="宋体"/>
              </w:rPr>
            </w:pPr>
          </w:p>
        </w:tc>
        <w:tc>
          <w:tcPr>
            <w:tcW w:w="50" w:type="pct"/>
            <w:shd w:val="clear" w:color="auto" w:fill="auto"/>
            <w:vAlign w:val="bottom"/>
          </w:tcPr>
          <w:p w14:paraId="195036CB" w14:textId="77777777" w:rsidR="00BF3A3A" w:rsidRDefault="00BF3A3A">
            <w:pPr>
              <w:rPr>
                <w:rFonts w:ascii="宋体"/>
              </w:rPr>
            </w:pPr>
          </w:p>
        </w:tc>
        <w:tc>
          <w:tcPr>
            <w:tcW w:w="610" w:type="pct"/>
            <w:shd w:val="clear" w:color="auto" w:fill="auto"/>
            <w:vAlign w:val="bottom"/>
          </w:tcPr>
          <w:p w14:paraId="195036CC" w14:textId="77777777" w:rsidR="00BF3A3A" w:rsidRDefault="00BF3A3A">
            <w:pPr>
              <w:rPr>
                <w:rFonts w:ascii="宋体"/>
              </w:rPr>
            </w:pPr>
          </w:p>
        </w:tc>
        <w:tc>
          <w:tcPr>
            <w:tcW w:w="5" w:type="pct"/>
            <w:shd w:val="clear" w:color="auto" w:fill="auto"/>
            <w:vAlign w:val="bottom"/>
          </w:tcPr>
          <w:p w14:paraId="195036CD" w14:textId="77777777" w:rsidR="00BF3A3A" w:rsidRDefault="00BF3A3A">
            <w:pPr>
              <w:rPr>
                <w:rFonts w:ascii="宋体"/>
              </w:rPr>
            </w:pPr>
          </w:p>
        </w:tc>
        <w:tc>
          <w:tcPr>
            <w:tcW w:w="5" w:type="pct"/>
            <w:shd w:val="clear" w:color="auto" w:fill="auto"/>
            <w:vAlign w:val="bottom"/>
          </w:tcPr>
          <w:p w14:paraId="195036CE" w14:textId="77777777" w:rsidR="00BF3A3A" w:rsidRDefault="00BF3A3A">
            <w:pPr>
              <w:rPr>
                <w:rFonts w:ascii="宋体"/>
              </w:rPr>
            </w:pPr>
          </w:p>
        </w:tc>
        <w:tc>
          <w:tcPr>
            <w:tcW w:w="26" w:type="pct"/>
            <w:shd w:val="clear" w:color="auto" w:fill="auto"/>
            <w:vAlign w:val="bottom"/>
          </w:tcPr>
          <w:p w14:paraId="195036CF" w14:textId="77777777" w:rsidR="00BF3A3A" w:rsidRDefault="00BF3A3A">
            <w:pPr>
              <w:rPr>
                <w:rFonts w:ascii="宋体"/>
              </w:rPr>
            </w:pPr>
          </w:p>
        </w:tc>
        <w:tc>
          <w:tcPr>
            <w:tcW w:w="5" w:type="pct"/>
            <w:shd w:val="clear" w:color="auto" w:fill="auto"/>
            <w:vAlign w:val="bottom"/>
          </w:tcPr>
          <w:p w14:paraId="195036D0" w14:textId="77777777" w:rsidR="00BF3A3A" w:rsidRDefault="00BF3A3A">
            <w:pPr>
              <w:rPr>
                <w:rFonts w:ascii="宋体"/>
              </w:rPr>
            </w:pPr>
          </w:p>
        </w:tc>
        <w:tc>
          <w:tcPr>
            <w:tcW w:w="50" w:type="pct"/>
            <w:shd w:val="clear" w:color="auto" w:fill="auto"/>
            <w:vAlign w:val="bottom"/>
          </w:tcPr>
          <w:p w14:paraId="195036D1" w14:textId="77777777" w:rsidR="00BF3A3A" w:rsidRDefault="00BF3A3A">
            <w:pPr>
              <w:rPr>
                <w:rFonts w:ascii="宋体"/>
              </w:rPr>
            </w:pPr>
          </w:p>
        </w:tc>
        <w:tc>
          <w:tcPr>
            <w:tcW w:w="610" w:type="pct"/>
            <w:shd w:val="clear" w:color="auto" w:fill="auto"/>
            <w:vAlign w:val="bottom"/>
          </w:tcPr>
          <w:p w14:paraId="195036D2" w14:textId="77777777" w:rsidR="00BF3A3A" w:rsidRDefault="00BF3A3A">
            <w:pPr>
              <w:rPr>
                <w:rFonts w:ascii="宋体"/>
              </w:rPr>
            </w:pPr>
          </w:p>
        </w:tc>
        <w:tc>
          <w:tcPr>
            <w:tcW w:w="5" w:type="pct"/>
            <w:shd w:val="clear" w:color="auto" w:fill="auto"/>
            <w:vAlign w:val="bottom"/>
          </w:tcPr>
          <w:p w14:paraId="195036D3" w14:textId="77777777" w:rsidR="00BF3A3A" w:rsidRDefault="00BF3A3A">
            <w:pPr>
              <w:rPr>
                <w:rFonts w:ascii="宋体"/>
              </w:rPr>
            </w:pPr>
          </w:p>
        </w:tc>
        <w:tc>
          <w:tcPr>
            <w:tcW w:w="5" w:type="pct"/>
            <w:shd w:val="clear" w:color="auto" w:fill="auto"/>
            <w:vAlign w:val="bottom"/>
          </w:tcPr>
          <w:p w14:paraId="195036D4" w14:textId="77777777" w:rsidR="00BF3A3A" w:rsidRDefault="00BF3A3A">
            <w:pPr>
              <w:rPr>
                <w:rFonts w:ascii="宋体"/>
              </w:rPr>
            </w:pPr>
          </w:p>
        </w:tc>
        <w:tc>
          <w:tcPr>
            <w:tcW w:w="26" w:type="pct"/>
            <w:shd w:val="clear" w:color="auto" w:fill="auto"/>
            <w:vAlign w:val="bottom"/>
          </w:tcPr>
          <w:p w14:paraId="195036D5" w14:textId="77777777" w:rsidR="00BF3A3A" w:rsidRDefault="00BF3A3A">
            <w:pPr>
              <w:rPr>
                <w:rFonts w:ascii="宋体"/>
              </w:rPr>
            </w:pPr>
          </w:p>
        </w:tc>
        <w:tc>
          <w:tcPr>
            <w:tcW w:w="5" w:type="pct"/>
            <w:shd w:val="clear" w:color="auto" w:fill="auto"/>
            <w:vAlign w:val="bottom"/>
          </w:tcPr>
          <w:p w14:paraId="195036D6" w14:textId="77777777" w:rsidR="00BF3A3A" w:rsidRDefault="00BF3A3A">
            <w:pPr>
              <w:rPr>
                <w:rFonts w:ascii="宋体"/>
              </w:rPr>
            </w:pPr>
          </w:p>
        </w:tc>
        <w:tc>
          <w:tcPr>
            <w:tcW w:w="50" w:type="pct"/>
            <w:shd w:val="clear" w:color="auto" w:fill="auto"/>
            <w:vAlign w:val="bottom"/>
          </w:tcPr>
          <w:p w14:paraId="195036D7" w14:textId="77777777" w:rsidR="00BF3A3A" w:rsidRDefault="00BF3A3A">
            <w:pPr>
              <w:rPr>
                <w:rFonts w:ascii="宋体"/>
              </w:rPr>
            </w:pPr>
          </w:p>
        </w:tc>
        <w:tc>
          <w:tcPr>
            <w:tcW w:w="610" w:type="pct"/>
            <w:shd w:val="clear" w:color="auto" w:fill="auto"/>
            <w:vAlign w:val="bottom"/>
          </w:tcPr>
          <w:p w14:paraId="195036D8" w14:textId="77777777" w:rsidR="00BF3A3A" w:rsidRDefault="00BF3A3A">
            <w:pPr>
              <w:rPr>
                <w:rFonts w:ascii="宋体"/>
              </w:rPr>
            </w:pPr>
          </w:p>
        </w:tc>
        <w:tc>
          <w:tcPr>
            <w:tcW w:w="5" w:type="pct"/>
            <w:shd w:val="clear" w:color="auto" w:fill="auto"/>
            <w:vAlign w:val="bottom"/>
          </w:tcPr>
          <w:p w14:paraId="195036D9" w14:textId="77777777" w:rsidR="00BF3A3A" w:rsidRDefault="00BF3A3A">
            <w:pPr>
              <w:rPr>
                <w:rFonts w:ascii="宋体"/>
              </w:rPr>
            </w:pPr>
          </w:p>
        </w:tc>
        <w:tc>
          <w:tcPr>
            <w:tcW w:w="5" w:type="pct"/>
            <w:shd w:val="clear" w:color="auto" w:fill="auto"/>
            <w:vAlign w:val="bottom"/>
          </w:tcPr>
          <w:p w14:paraId="195036DA" w14:textId="77777777" w:rsidR="00BF3A3A" w:rsidRDefault="00BF3A3A">
            <w:pPr>
              <w:rPr>
                <w:rFonts w:ascii="宋体"/>
              </w:rPr>
            </w:pPr>
          </w:p>
        </w:tc>
        <w:tc>
          <w:tcPr>
            <w:tcW w:w="26" w:type="pct"/>
            <w:shd w:val="clear" w:color="auto" w:fill="auto"/>
            <w:vAlign w:val="bottom"/>
          </w:tcPr>
          <w:p w14:paraId="195036DB" w14:textId="77777777" w:rsidR="00BF3A3A" w:rsidRDefault="00BF3A3A">
            <w:pPr>
              <w:rPr>
                <w:rFonts w:ascii="宋体"/>
              </w:rPr>
            </w:pPr>
          </w:p>
        </w:tc>
        <w:tc>
          <w:tcPr>
            <w:tcW w:w="5" w:type="pct"/>
            <w:shd w:val="clear" w:color="auto" w:fill="auto"/>
            <w:vAlign w:val="bottom"/>
          </w:tcPr>
          <w:p w14:paraId="195036DC" w14:textId="77777777" w:rsidR="00BF3A3A" w:rsidRDefault="00BF3A3A">
            <w:pPr>
              <w:rPr>
                <w:rFonts w:ascii="宋体"/>
              </w:rPr>
            </w:pPr>
          </w:p>
        </w:tc>
        <w:tc>
          <w:tcPr>
            <w:tcW w:w="50" w:type="pct"/>
            <w:shd w:val="clear" w:color="auto" w:fill="auto"/>
            <w:vAlign w:val="bottom"/>
          </w:tcPr>
          <w:p w14:paraId="195036DD" w14:textId="77777777" w:rsidR="00BF3A3A" w:rsidRDefault="00BF3A3A">
            <w:pPr>
              <w:rPr>
                <w:rFonts w:ascii="宋体"/>
              </w:rPr>
            </w:pPr>
          </w:p>
        </w:tc>
        <w:tc>
          <w:tcPr>
            <w:tcW w:w="610" w:type="pct"/>
            <w:shd w:val="clear" w:color="auto" w:fill="auto"/>
            <w:vAlign w:val="bottom"/>
          </w:tcPr>
          <w:p w14:paraId="195036DE" w14:textId="77777777" w:rsidR="00BF3A3A" w:rsidRDefault="00BF3A3A">
            <w:pPr>
              <w:rPr>
                <w:rFonts w:ascii="宋体"/>
              </w:rPr>
            </w:pPr>
          </w:p>
        </w:tc>
        <w:tc>
          <w:tcPr>
            <w:tcW w:w="5" w:type="pct"/>
            <w:shd w:val="clear" w:color="auto" w:fill="auto"/>
            <w:vAlign w:val="bottom"/>
          </w:tcPr>
          <w:p w14:paraId="195036DF" w14:textId="77777777" w:rsidR="00BF3A3A" w:rsidRDefault="00BF3A3A">
            <w:pPr>
              <w:rPr>
                <w:rFonts w:ascii="宋体"/>
              </w:rPr>
            </w:pPr>
          </w:p>
        </w:tc>
      </w:tr>
      <w:tr w:rsidR="00BF3A3A" w14:paraId="195036E5" w14:textId="77777777">
        <w:tc>
          <w:tcPr>
            <w:tcW w:w="0" w:type="auto"/>
            <w:gridSpan w:val="3"/>
            <w:shd w:val="clear" w:color="auto" w:fill="auto"/>
            <w:tcMar>
              <w:top w:w="40" w:type="dxa"/>
              <w:left w:w="20" w:type="dxa"/>
              <w:bottom w:w="40" w:type="dxa"/>
              <w:right w:w="20" w:type="dxa"/>
            </w:tcMar>
            <w:vAlign w:val="bottom"/>
          </w:tcPr>
          <w:p w14:paraId="195036E1" w14:textId="77777777" w:rsidR="00BF3A3A" w:rsidRDefault="00A76802">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95036E2" w14:textId="77777777" w:rsidR="00BF3A3A" w:rsidRDefault="00A76802">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195036E3" w14:textId="77777777" w:rsidR="00BF3A3A" w:rsidRDefault="00BF3A3A">
            <w:pPr>
              <w:rPr>
                <w:rFonts w:ascii="宋体"/>
              </w:rPr>
            </w:pPr>
          </w:p>
        </w:tc>
        <w:tc>
          <w:tcPr>
            <w:tcW w:w="0" w:type="auto"/>
            <w:gridSpan w:val="9"/>
            <w:shd w:val="clear" w:color="auto" w:fill="auto"/>
            <w:tcMar>
              <w:top w:w="40" w:type="dxa"/>
              <w:left w:w="20" w:type="dxa"/>
              <w:bottom w:w="40" w:type="dxa"/>
              <w:right w:w="20" w:type="dxa"/>
            </w:tcMar>
            <w:vAlign w:val="bottom"/>
          </w:tcPr>
          <w:p w14:paraId="195036E4" w14:textId="77777777" w:rsidR="00BF3A3A" w:rsidRDefault="00A76802">
            <w:pPr>
              <w:jc w:val="center"/>
              <w:textAlignment w:val="bottom"/>
            </w:pPr>
            <w:r>
              <w:rPr>
                <w:rFonts w:ascii="sans-serif" w:eastAsia="sans-serif" w:hAnsi="sans-serif" w:cs="sans-serif"/>
                <w:b/>
                <w:bCs/>
                <w:color w:val="000000"/>
                <w:sz w:val="20"/>
                <w:szCs w:val="20"/>
              </w:rPr>
              <w:t>Six Months Ended</w:t>
            </w:r>
          </w:p>
        </w:tc>
      </w:tr>
      <w:tr w:rsidR="00BF3A3A" w14:paraId="195036EE" w14:textId="77777777">
        <w:tc>
          <w:tcPr>
            <w:tcW w:w="0" w:type="auto"/>
            <w:gridSpan w:val="3"/>
            <w:shd w:val="clear" w:color="auto" w:fill="auto"/>
            <w:tcMar>
              <w:top w:w="0" w:type="dxa"/>
              <w:left w:w="20" w:type="dxa"/>
              <w:bottom w:w="0" w:type="dxa"/>
              <w:right w:w="20" w:type="dxa"/>
            </w:tcMar>
            <w:vAlign w:val="bottom"/>
          </w:tcPr>
          <w:p w14:paraId="195036E6"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6E7" w14:textId="77777777" w:rsidR="00BF3A3A" w:rsidRDefault="00A76802">
            <w:pPr>
              <w:jc w:val="center"/>
              <w:textAlignment w:val="bottom"/>
            </w:pPr>
            <w:r>
              <w:rPr>
                <w:rFonts w:ascii="sans-serif" w:eastAsia="sans-serif" w:hAnsi="sans-serif" w:cs="sans-serif"/>
                <w:b/>
                <w:bCs/>
                <w:color w:val="000000"/>
                <w:sz w:val="20"/>
                <w:szCs w:val="20"/>
              </w:rPr>
              <w:t>July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6E8"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6E9" w14:textId="77777777" w:rsidR="00BF3A3A" w:rsidRDefault="00A76802">
            <w:pPr>
              <w:jc w:val="center"/>
              <w:textAlignment w:val="bottom"/>
            </w:pPr>
            <w:r>
              <w:rPr>
                <w:rFonts w:ascii="sans-serif" w:eastAsia="sans-serif" w:hAnsi="sans-serif" w:cs="sans-serif"/>
                <w:b/>
                <w:bCs/>
                <w:color w:val="000000"/>
                <w:sz w:val="20"/>
                <w:szCs w:val="20"/>
              </w:rPr>
              <w:t>August 1,</w:t>
            </w:r>
          </w:p>
        </w:tc>
        <w:tc>
          <w:tcPr>
            <w:tcW w:w="0" w:type="auto"/>
            <w:gridSpan w:val="3"/>
            <w:shd w:val="clear" w:color="auto" w:fill="auto"/>
            <w:tcMar>
              <w:top w:w="0" w:type="dxa"/>
              <w:left w:w="20" w:type="dxa"/>
              <w:bottom w:w="0" w:type="dxa"/>
              <w:right w:w="20" w:type="dxa"/>
            </w:tcMar>
            <w:vAlign w:val="bottom"/>
          </w:tcPr>
          <w:p w14:paraId="195036EA"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6EB" w14:textId="77777777" w:rsidR="00BF3A3A" w:rsidRDefault="00A76802">
            <w:pPr>
              <w:jc w:val="center"/>
              <w:textAlignment w:val="bottom"/>
            </w:pPr>
            <w:r>
              <w:rPr>
                <w:rFonts w:ascii="sans-serif" w:eastAsia="sans-serif" w:hAnsi="sans-serif" w:cs="sans-serif"/>
                <w:b/>
                <w:bCs/>
                <w:color w:val="000000"/>
                <w:sz w:val="20"/>
                <w:szCs w:val="20"/>
              </w:rPr>
              <w:t>July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6EC"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6ED" w14:textId="77777777" w:rsidR="00BF3A3A" w:rsidRDefault="00A76802">
            <w:pPr>
              <w:jc w:val="center"/>
              <w:textAlignment w:val="bottom"/>
            </w:pPr>
            <w:r>
              <w:rPr>
                <w:rFonts w:ascii="sans-serif" w:eastAsia="sans-serif" w:hAnsi="sans-serif" w:cs="sans-serif"/>
                <w:b/>
                <w:bCs/>
                <w:color w:val="000000"/>
                <w:sz w:val="20"/>
                <w:szCs w:val="20"/>
              </w:rPr>
              <w:t>August 1,</w:t>
            </w:r>
          </w:p>
        </w:tc>
      </w:tr>
      <w:tr w:rsidR="00BF3A3A" w14:paraId="195036F7" w14:textId="77777777">
        <w:tc>
          <w:tcPr>
            <w:tcW w:w="0" w:type="auto"/>
            <w:gridSpan w:val="3"/>
            <w:shd w:val="clear" w:color="auto" w:fill="auto"/>
            <w:tcMar>
              <w:top w:w="40" w:type="dxa"/>
              <w:left w:w="20" w:type="dxa"/>
              <w:bottom w:w="40" w:type="dxa"/>
              <w:right w:w="20" w:type="dxa"/>
            </w:tcMar>
            <w:vAlign w:val="bottom"/>
          </w:tcPr>
          <w:p w14:paraId="195036EF"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95036F0" w14:textId="77777777" w:rsidR="00BF3A3A" w:rsidRDefault="00A76802">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195036F1"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6F2" w14:textId="77777777" w:rsidR="00BF3A3A" w:rsidRDefault="00A76802">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195036F3"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6F4" w14:textId="77777777" w:rsidR="00BF3A3A" w:rsidRDefault="00A76802">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195036F5"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6F6" w14:textId="77777777" w:rsidR="00BF3A3A" w:rsidRDefault="00A76802">
            <w:pPr>
              <w:jc w:val="center"/>
              <w:textAlignment w:val="bottom"/>
            </w:pPr>
            <w:r>
              <w:rPr>
                <w:rFonts w:ascii="sans-serif" w:eastAsia="sans-serif" w:hAnsi="sans-serif" w:cs="sans-serif"/>
                <w:b/>
                <w:bCs/>
                <w:color w:val="000000"/>
                <w:sz w:val="20"/>
                <w:szCs w:val="20"/>
              </w:rPr>
              <w:t>2021</w:t>
            </w:r>
          </w:p>
        </w:tc>
      </w:tr>
      <w:tr w:rsidR="00BF3A3A" w14:paraId="19503700" w14:textId="77777777">
        <w:trPr>
          <w:trHeight w:val="60"/>
        </w:trPr>
        <w:tc>
          <w:tcPr>
            <w:tcW w:w="0" w:type="auto"/>
            <w:gridSpan w:val="3"/>
            <w:shd w:val="clear" w:color="auto" w:fill="auto"/>
            <w:tcMar>
              <w:top w:w="0" w:type="dxa"/>
              <w:left w:w="20" w:type="dxa"/>
              <w:bottom w:w="0" w:type="dxa"/>
              <w:right w:w="20" w:type="dxa"/>
            </w:tcMar>
            <w:vAlign w:val="bottom"/>
          </w:tcPr>
          <w:p w14:paraId="195036F8"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6F9"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6FA"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6FB"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6FC"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6FD"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6FE"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6FF" w14:textId="77777777" w:rsidR="00BF3A3A" w:rsidRDefault="00BF3A3A">
            <w:pPr>
              <w:rPr>
                <w:rFonts w:ascii="宋体"/>
              </w:rPr>
            </w:pPr>
          </w:p>
        </w:tc>
      </w:tr>
      <w:tr w:rsidR="00BF3A3A" w14:paraId="19503703" w14:textId="77777777">
        <w:tc>
          <w:tcPr>
            <w:tcW w:w="0" w:type="auto"/>
            <w:gridSpan w:val="3"/>
            <w:shd w:val="clear" w:color="auto" w:fill="auto"/>
            <w:tcMar>
              <w:top w:w="40" w:type="dxa"/>
              <w:left w:w="20" w:type="dxa"/>
              <w:bottom w:w="40" w:type="dxa"/>
              <w:right w:w="20" w:type="dxa"/>
            </w:tcMar>
            <w:vAlign w:val="bottom"/>
          </w:tcPr>
          <w:p w14:paraId="19503701" w14:textId="77777777" w:rsidR="00BF3A3A" w:rsidRDefault="00A76802">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19503702" w14:textId="77777777" w:rsidR="00BF3A3A" w:rsidRDefault="00A76802">
            <w:pPr>
              <w:jc w:val="center"/>
              <w:textAlignment w:val="bottom"/>
            </w:pPr>
            <w:r>
              <w:rPr>
                <w:rFonts w:ascii="sans-serif" w:eastAsia="sans-serif" w:hAnsi="sans-serif" w:cs="sans-serif"/>
                <w:i/>
                <w:iCs/>
                <w:color w:val="000000"/>
                <w:sz w:val="20"/>
                <w:szCs w:val="20"/>
              </w:rPr>
              <w:t>(In millions)</w:t>
            </w:r>
          </w:p>
        </w:tc>
      </w:tr>
      <w:tr w:rsidR="00BF3A3A" w14:paraId="1950370C" w14:textId="77777777">
        <w:tc>
          <w:tcPr>
            <w:tcW w:w="0" w:type="auto"/>
            <w:gridSpan w:val="3"/>
            <w:shd w:val="clear" w:color="auto" w:fill="auto"/>
            <w:tcMar>
              <w:top w:w="40" w:type="dxa"/>
              <w:left w:w="20" w:type="dxa"/>
              <w:bottom w:w="40" w:type="dxa"/>
              <w:right w:w="20" w:type="dxa"/>
            </w:tcMar>
            <w:vAlign w:val="bottom"/>
          </w:tcPr>
          <w:p w14:paraId="19503704" w14:textId="77777777" w:rsidR="00BF3A3A" w:rsidRDefault="00A76802">
            <w:pPr>
              <w:textAlignment w:val="bottom"/>
            </w:pPr>
            <w:r>
              <w:rPr>
                <w:rFonts w:ascii="sans-serif" w:eastAsia="sans-serif" w:hAnsi="sans-serif" w:cs="sans-serif"/>
                <w:b/>
                <w:bCs/>
                <w:color w:val="000000"/>
                <w:sz w:val="20"/>
                <w:szCs w:val="20"/>
              </w:rPr>
              <w:t>Revenue:</w:t>
            </w:r>
          </w:p>
        </w:tc>
        <w:tc>
          <w:tcPr>
            <w:tcW w:w="0" w:type="auto"/>
            <w:gridSpan w:val="3"/>
            <w:shd w:val="clear" w:color="auto" w:fill="auto"/>
            <w:tcMar>
              <w:top w:w="40" w:type="dxa"/>
              <w:left w:w="20" w:type="dxa"/>
              <w:bottom w:w="40" w:type="dxa"/>
              <w:right w:w="20" w:type="dxa"/>
            </w:tcMar>
            <w:vAlign w:val="bottom"/>
          </w:tcPr>
          <w:p w14:paraId="19503705"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9503706"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707"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9503708"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709"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70A"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70B" w14:textId="77777777" w:rsidR="00BF3A3A" w:rsidRDefault="00BF3A3A">
            <w:pPr>
              <w:rPr>
                <w:rFonts w:ascii="宋体"/>
              </w:rPr>
            </w:pPr>
          </w:p>
        </w:tc>
      </w:tr>
      <w:tr w:rsidR="00BF3A3A" w14:paraId="1950371D" w14:textId="77777777">
        <w:tc>
          <w:tcPr>
            <w:tcW w:w="0" w:type="auto"/>
            <w:gridSpan w:val="3"/>
            <w:shd w:val="clear" w:color="auto" w:fill="E2EFD9"/>
            <w:tcMar>
              <w:top w:w="40" w:type="dxa"/>
              <w:left w:w="260" w:type="dxa"/>
              <w:bottom w:w="40" w:type="dxa"/>
              <w:right w:w="20" w:type="dxa"/>
            </w:tcMar>
            <w:vAlign w:val="bottom"/>
          </w:tcPr>
          <w:p w14:paraId="1950370D" w14:textId="77777777" w:rsidR="00BF3A3A" w:rsidRDefault="00A76802">
            <w:pPr>
              <w:textAlignment w:val="bottom"/>
            </w:pPr>
            <w:r>
              <w:rPr>
                <w:rFonts w:ascii="sans-serif" w:eastAsia="sans-serif" w:hAnsi="sans-serif" w:cs="sans-serif"/>
                <w:color w:val="000000"/>
                <w:sz w:val="20"/>
                <w:szCs w:val="20"/>
              </w:rPr>
              <w:t>United States</w:t>
            </w:r>
          </w:p>
        </w:tc>
        <w:tc>
          <w:tcPr>
            <w:tcW w:w="0" w:type="auto"/>
            <w:shd w:val="clear" w:color="auto" w:fill="E2EFD9"/>
            <w:tcMar>
              <w:top w:w="40" w:type="dxa"/>
              <w:left w:w="20" w:type="dxa"/>
              <w:bottom w:w="40" w:type="dxa"/>
              <w:right w:w="0" w:type="dxa"/>
            </w:tcMar>
            <w:vAlign w:val="bottom"/>
          </w:tcPr>
          <w:p w14:paraId="1950370E"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70F" w14:textId="77777777" w:rsidR="00BF3A3A" w:rsidRDefault="00A76802">
            <w:pPr>
              <w:jc w:val="right"/>
              <w:textAlignment w:val="bottom"/>
            </w:pPr>
            <w:r>
              <w:rPr>
                <w:rFonts w:ascii="sans-serif" w:eastAsia="sans-serif" w:hAnsi="sans-serif" w:cs="sans-serif"/>
                <w:color w:val="000000"/>
                <w:sz w:val="20"/>
                <w:szCs w:val="20"/>
              </w:rPr>
              <w:t>1,988 </w:t>
            </w:r>
          </w:p>
        </w:tc>
        <w:tc>
          <w:tcPr>
            <w:tcW w:w="0" w:type="auto"/>
            <w:shd w:val="clear" w:color="auto" w:fill="E2EFD9"/>
            <w:tcMar>
              <w:top w:w="40" w:type="dxa"/>
              <w:left w:w="0" w:type="dxa"/>
              <w:bottom w:w="40" w:type="dxa"/>
              <w:right w:w="20" w:type="dxa"/>
            </w:tcMar>
            <w:vAlign w:val="bottom"/>
          </w:tcPr>
          <w:p w14:paraId="1950371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711"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712"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713" w14:textId="77777777" w:rsidR="00BF3A3A" w:rsidRDefault="00A76802">
            <w:pPr>
              <w:jc w:val="right"/>
              <w:textAlignment w:val="bottom"/>
            </w:pPr>
            <w:r>
              <w:rPr>
                <w:rFonts w:ascii="sans-serif" w:eastAsia="sans-serif" w:hAnsi="sans-serif" w:cs="sans-serif"/>
                <w:color w:val="000000"/>
                <w:sz w:val="20"/>
                <w:szCs w:val="20"/>
              </w:rPr>
              <w:t>996 </w:t>
            </w:r>
          </w:p>
        </w:tc>
        <w:tc>
          <w:tcPr>
            <w:tcW w:w="0" w:type="auto"/>
            <w:shd w:val="clear" w:color="auto" w:fill="E2EFD9"/>
            <w:tcMar>
              <w:top w:w="40" w:type="dxa"/>
              <w:left w:w="0" w:type="dxa"/>
              <w:bottom w:w="40" w:type="dxa"/>
              <w:right w:w="20" w:type="dxa"/>
            </w:tcMar>
            <w:vAlign w:val="bottom"/>
          </w:tcPr>
          <w:p w14:paraId="1950371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715"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716"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717" w14:textId="77777777" w:rsidR="00BF3A3A" w:rsidRDefault="00A76802">
            <w:pPr>
              <w:jc w:val="right"/>
              <w:textAlignment w:val="bottom"/>
            </w:pPr>
            <w:r>
              <w:rPr>
                <w:rFonts w:ascii="sans-serif" w:eastAsia="sans-serif" w:hAnsi="sans-serif" w:cs="sans-serif"/>
                <w:color w:val="000000"/>
                <w:sz w:val="20"/>
                <w:szCs w:val="20"/>
              </w:rPr>
              <w:t>3,921 </w:t>
            </w:r>
          </w:p>
        </w:tc>
        <w:tc>
          <w:tcPr>
            <w:tcW w:w="0" w:type="auto"/>
            <w:shd w:val="clear" w:color="auto" w:fill="E2EFD9"/>
            <w:tcMar>
              <w:top w:w="40" w:type="dxa"/>
              <w:left w:w="0" w:type="dxa"/>
              <w:bottom w:w="40" w:type="dxa"/>
              <w:right w:w="20" w:type="dxa"/>
            </w:tcMar>
            <w:vAlign w:val="bottom"/>
          </w:tcPr>
          <w:p w14:paraId="1950371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719"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71A"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71B" w14:textId="77777777" w:rsidR="00BF3A3A" w:rsidRDefault="00A76802">
            <w:pPr>
              <w:jc w:val="right"/>
              <w:textAlignment w:val="bottom"/>
            </w:pPr>
            <w:r>
              <w:rPr>
                <w:rFonts w:ascii="sans-serif" w:eastAsia="sans-serif" w:hAnsi="sans-serif" w:cs="sans-serif"/>
                <w:color w:val="000000"/>
                <w:sz w:val="20"/>
                <w:szCs w:val="20"/>
              </w:rPr>
              <w:t>1,764 </w:t>
            </w:r>
          </w:p>
        </w:tc>
        <w:tc>
          <w:tcPr>
            <w:tcW w:w="0" w:type="auto"/>
            <w:shd w:val="clear" w:color="auto" w:fill="E2EFD9"/>
            <w:tcMar>
              <w:top w:w="40" w:type="dxa"/>
              <w:left w:w="0" w:type="dxa"/>
              <w:bottom w:w="40" w:type="dxa"/>
              <w:right w:w="20" w:type="dxa"/>
            </w:tcMar>
            <w:vAlign w:val="bottom"/>
          </w:tcPr>
          <w:p w14:paraId="1950371C" w14:textId="77777777" w:rsidR="00BF3A3A" w:rsidRDefault="00BF3A3A">
            <w:pPr>
              <w:jc w:val="right"/>
              <w:rPr>
                <w:rFonts w:ascii="宋体"/>
              </w:rPr>
            </w:pPr>
          </w:p>
        </w:tc>
      </w:tr>
      <w:tr w:rsidR="00BF3A3A" w14:paraId="1950372A" w14:textId="77777777">
        <w:tc>
          <w:tcPr>
            <w:tcW w:w="0" w:type="auto"/>
            <w:gridSpan w:val="3"/>
            <w:shd w:val="clear" w:color="auto" w:fill="FFFFFF"/>
            <w:tcMar>
              <w:top w:w="40" w:type="dxa"/>
              <w:left w:w="260" w:type="dxa"/>
              <w:bottom w:w="40" w:type="dxa"/>
              <w:right w:w="20" w:type="dxa"/>
            </w:tcMar>
            <w:vAlign w:val="bottom"/>
          </w:tcPr>
          <w:p w14:paraId="1950371E" w14:textId="77777777" w:rsidR="00BF3A3A" w:rsidRDefault="00A76802">
            <w:pPr>
              <w:textAlignment w:val="bottom"/>
            </w:pPr>
            <w:r>
              <w:rPr>
                <w:rFonts w:ascii="sans-serif" w:eastAsia="sans-serif" w:hAnsi="sans-serif" w:cs="sans-serif"/>
                <w:color w:val="000000"/>
                <w:sz w:val="20"/>
                <w:szCs w:val="20"/>
              </w:rPr>
              <w:t>China (including Hong Kong)</w:t>
            </w:r>
          </w:p>
        </w:tc>
        <w:tc>
          <w:tcPr>
            <w:tcW w:w="0" w:type="auto"/>
            <w:gridSpan w:val="2"/>
            <w:shd w:val="clear" w:color="auto" w:fill="FFFFFF"/>
            <w:tcMar>
              <w:top w:w="40" w:type="dxa"/>
              <w:left w:w="20" w:type="dxa"/>
              <w:bottom w:w="40" w:type="dxa"/>
              <w:right w:w="0" w:type="dxa"/>
            </w:tcMar>
            <w:vAlign w:val="bottom"/>
          </w:tcPr>
          <w:p w14:paraId="1950371F" w14:textId="77777777" w:rsidR="00BF3A3A" w:rsidRDefault="00A76802">
            <w:pPr>
              <w:jc w:val="right"/>
              <w:textAlignment w:val="bottom"/>
            </w:pPr>
            <w:r>
              <w:rPr>
                <w:rFonts w:ascii="sans-serif" w:eastAsia="sans-serif" w:hAnsi="sans-serif" w:cs="sans-serif"/>
                <w:color w:val="000000"/>
                <w:sz w:val="20"/>
                <w:szCs w:val="20"/>
              </w:rPr>
              <w:t>1,602 </w:t>
            </w:r>
          </w:p>
        </w:tc>
        <w:tc>
          <w:tcPr>
            <w:tcW w:w="0" w:type="auto"/>
            <w:shd w:val="clear" w:color="auto" w:fill="FFFFFF"/>
            <w:tcMar>
              <w:top w:w="40" w:type="dxa"/>
              <w:left w:w="0" w:type="dxa"/>
              <w:bottom w:w="40" w:type="dxa"/>
              <w:right w:w="20" w:type="dxa"/>
            </w:tcMar>
            <w:vAlign w:val="bottom"/>
          </w:tcPr>
          <w:p w14:paraId="1950372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721"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722" w14:textId="77777777" w:rsidR="00BF3A3A" w:rsidRDefault="00A76802">
            <w:pPr>
              <w:jc w:val="right"/>
              <w:textAlignment w:val="bottom"/>
            </w:pPr>
            <w:r>
              <w:rPr>
                <w:rFonts w:ascii="sans-serif" w:eastAsia="sans-serif" w:hAnsi="sans-serif" w:cs="sans-serif"/>
                <w:color w:val="000000"/>
                <w:sz w:val="20"/>
                <w:szCs w:val="20"/>
              </w:rPr>
              <w:t>1,720 </w:t>
            </w:r>
          </w:p>
        </w:tc>
        <w:tc>
          <w:tcPr>
            <w:tcW w:w="0" w:type="auto"/>
            <w:shd w:val="clear" w:color="auto" w:fill="FFFFFF"/>
            <w:tcMar>
              <w:top w:w="40" w:type="dxa"/>
              <w:left w:w="0" w:type="dxa"/>
              <w:bottom w:w="40" w:type="dxa"/>
              <w:right w:w="20" w:type="dxa"/>
            </w:tcMar>
            <w:vAlign w:val="bottom"/>
          </w:tcPr>
          <w:p w14:paraId="1950372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724"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725" w14:textId="77777777" w:rsidR="00BF3A3A" w:rsidRDefault="00A76802">
            <w:pPr>
              <w:jc w:val="right"/>
              <w:textAlignment w:val="bottom"/>
            </w:pPr>
            <w:r>
              <w:rPr>
                <w:rFonts w:ascii="sans-serif" w:eastAsia="sans-serif" w:hAnsi="sans-serif" w:cs="sans-serif"/>
                <w:color w:val="000000"/>
                <w:sz w:val="20"/>
                <w:szCs w:val="20"/>
              </w:rPr>
              <w:t>3,683 </w:t>
            </w:r>
          </w:p>
        </w:tc>
        <w:tc>
          <w:tcPr>
            <w:tcW w:w="0" w:type="auto"/>
            <w:shd w:val="clear" w:color="auto" w:fill="FFFFFF"/>
            <w:tcMar>
              <w:top w:w="40" w:type="dxa"/>
              <w:left w:w="0" w:type="dxa"/>
              <w:bottom w:w="40" w:type="dxa"/>
              <w:right w:w="20" w:type="dxa"/>
            </w:tcMar>
            <w:vAlign w:val="bottom"/>
          </w:tcPr>
          <w:p w14:paraId="1950372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727"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728" w14:textId="77777777" w:rsidR="00BF3A3A" w:rsidRDefault="00A76802">
            <w:pPr>
              <w:jc w:val="right"/>
              <w:textAlignment w:val="bottom"/>
            </w:pPr>
            <w:r>
              <w:rPr>
                <w:rFonts w:ascii="sans-serif" w:eastAsia="sans-serif" w:hAnsi="sans-serif" w:cs="sans-serif"/>
                <w:color w:val="000000"/>
                <w:sz w:val="20"/>
                <w:szCs w:val="20"/>
              </w:rPr>
              <w:t>3,111 </w:t>
            </w:r>
          </w:p>
        </w:tc>
        <w:tc>
          <w:tcPr>
            <w:tcW w:w="0" w:type="auto"/>
            <w:shd w:val="clear" w:color="auto" w:fill="FFFFFF"/>
            <w:tcMar>
              <w:top w:w="40" w:type="dxa"/>
              <w:left w:w="0" w:type="dxa"/>
              <w:bottom w:w="40" w:type="dxa"/>
              <w:right w:w="20" w:type="dxa"/>
            </w:tcMar>
            <w:vAlign w:val="bottom"/>
          </w:tcPr>
          <w:p w14:paraId="19503729" w14:textId="77777777" w:rsidR="00BF3A3A" w:rsidRDefault="00BF3A3A">
            <w:pPr>
              <w:jc w:val="right"/>
              <w:rPr>
                <w:rFonts w:ascii="宋体"/>
              </w:rPr>
            </w:pPr>
          </w:p>
        </w:tc>
      </w:tr>
      <w:tr w:rsidR="00BF3A3A" w14:paraId="19503737" w14:textId="77777777">
        <w:tc>
          <w:tcPr>
            <w:tcW w:w="0" w:type="auto"/>
            <w:gridSpan w:val="3"/>
            <w:shd w:val="clear" w:color="auto" w:fill="E2EFD9"/>
            <w:tcMar>
              <w:top w:w="40" w:type="dxa"/>
              <w:left w:w="260" w:type="dxa"/>
              <w:bottom w:w="40" w:type="dxa"/>
              <w:right w:w="20" w:type="dxa"/>
            </w:tcMar>
            <w:vAlign w:val="bottom"/>
          </w:tcPr>
          <w:p w14:paraId="1950372B" w14:textId="77777777" w:rsidR="00BF3A3A" w:rsidRDefault="00A76802">
            <w:pPr>
              <w:textAlignment w:val="bottom"/>
            </w:pPr>
            <w:r>
              <w:rPr>
                <w:rFonts w:ascii="sans-serif" w:eastAsia="sans-serif" w:hAnsi="sans-serif" w:cs="sans-serif"/>
                <w:color w:val="000000"/>
                <w:sz w:val="20"/>
                <w:szCs w:val="20"/>
              </w:rPr>
              <w:t>Taiwan</w:t>
            </w:r>
          </w:p>
        </w:tc>
        <w:tc>
          <w:tcPr>
            <w:tcW w:w="0" w:type="auto"/>
            <w:gridSpan w:val="2"/>
            <w:shd w:val="clear" w:color="auto" w:fill="E2EFD9"/>
            <w:tcMar>
              <w:top w:w="40" w:type="dxa"/>
              <w:left w:w="20" w:type="dxa"/>
              <w:bottom w:w="40" w:type="dxa"/>
              <w:right w:w="0" w:type="dxa"/>
            </w:tcMar>
            <w:vAlign w:val="bottom"/>
          </w:tcPr>
          <w:p w14:paraId="1950372C" w14:textId="77777777" w:rsidR="00BF3A3A" w:rsidRDefault="00A76802">
            <w:pPr>
              <w:jc w:val="right"/>
              <w:textAlignment w:val="bottom"/>
            </w:pPr>
            <w:r>
              <w:rPr>
                <w:rFonts w:ascii="sans-serif" w:eastAsia="sans-serif" w:hAnsi="sans-serif" w:cs="sans-serif"/>
                <w:color w:val="000000"/>
                <w:sz w:val="20"/>
                <w:szCs w:val="20"/>
              </w:rPr>
              <w:t>1,204 </w:t>
            </w:r>
          </w:p>
        </w:tc>
        <w:tc>
          <w:tcPr>
            <w:tcW w:w="0" w:type="auto"/>
            <w:shd w:val="clear" w:color="auto" w:fill="E2EFD9"/>
            <w:tcMar>
              <w:top w:w="40" w:type="dxa"/>
              <w:left w:w="0" w:type="dxa"/>
              <w:bottom w:w="40" w:type="dxa"/>
              <w:right w:w="20" w:type="dxa"/>
            </w:tcMar>
            <w:vAlign w:val="bottom"/>
          </w:tcPr>
          <w:p w14:paraId="1950372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72E"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72F" w14:textId="77777777" w:rsidR="00BF3A3A" w:rsidRDefault="00A76802">
            <w:pPr>
              <w:jc w:val="right"/>
              <w:textAlignment w:val="bottom"/>
            </w:pPr>
            <w:r>
              <w:rPr>
                <w:rFonts w:ascii="sans-serif" w:eastAsia="sans-serif" w:hAnsi="sans-serif" w:cs="sans-serif"/>
                <w:color w:val="000000"/>
                <w:sz w:val="20"/>
                <w:szCs w:val="20"/>
              </w:rPr>
              <w:t>1,961 </w:t>
            </w:r>
          </w:p>
        </w:tc>
        <w:tc>
          <w:tcPr>
            <w:tcW w:w="0" w:type="auto"/>
            <w:shd w:val="clear" w:color="auto" w:fill="E2EFD9"/>
            <w:tcMar>
              <w:top w:w="40" w:type="dxa"/>
              <w:left w:w="0" w:type="dxa"/>
              <w:bottom w:w="40" w:type="dxa"/>
              <w:right w:w="20" w:type="dxa"/>
            </w:tcMar>
            <w:vAlign w:val="bottom"/>
          </w:tcPr>
          <w:p w14:paraId="1950373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731"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732" w14:textId="77777777" w:rsidR="00BF3A3A" w:rsidRDefault="00A76802">
            <w:pPr>
              <w:jc w:val="right"/>
              <w:textAlignment w:val="bottom"/>
            </w:pPr>
            <w:r>
              <w:rPr>
                <w:rFonts w:ascii="sans-serif" w:eastAsia="sans-serif" w:hAnsi="sans-serif" w:cs="sans-serif"/>
                <w:color w:val="000000"/>
                <w:sz w:val="20"/>
                <w:szCs w:val="20"/>
              </w:rPr>
              <w:t>3,981 </w:t>
            </w:r>
          </w:p>
        </w:tc>
        <w:tc>
          <w:tcPr>
            <w:tcW w:w="0" w:type="auto"/>
            <w:shd w:val="clear" w:color="auto" w:fill="E2EFD9"/>
            <w:tcMar>
              <w:top w:w="40" w:type="dxa"/>
              <w:left w:w="0" w:type="dxa"/>
              <w:bottom w:w="40" w:type="dxa"/>
              <w:right w:w="20" w:type="dxa"/>
            </w:tcMar>
            <w:vAlign w:val="bottom"/>
          </w:tcPr>
          <w:p w14:paraId="1950373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734"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735" w14:textId="77777777" w:rsidR="00BF3A3A" w:rsidRDefault="00A76802">
            <w:pPr>
              <w:jc w:val="right"/>
              <w:textAlignment w:val="bottom"/>
            </w:pPr>
            <w:r>
              <w:rPr>
                <w:rFonts w:ascii="sans-serif" w:eastAsia="sans-serif" w:hAnsi="sans-serif" w:cs="sans-serif"/>
                <w:color w:val="000000"/>
                <w:sz w:val="20"/>
                <w:szCs w:val="20"/>
              </w:rPr>
              <w:t>3,745 </w:t>
            </w:r>
          </w:p>
        </w:tc>
        <w:tc>
          <w:tcPr>
            <w:tcW w:w="0" w:type="auto"/>
            <w:shd w:val="clear" w:color="auto" w:fill="E2EFD9"/>
            <w:tcMar>
              <w:top w:w="40" w:type="dxa"/>
              <w:left w:w="0" w:type="dxa"/>
              <w:bottom w:w="40" w:type="dxa"/>
              <w:right w:w="20" w:type="dxa"/>
            </w:tcMar>
            <w:vAlign w:val="bottom"/>
          </w:tcPr>
          <w:p w14:paraId="19503736" w14:textId="77777777" w:rsidR="00BF3A3A" w:rsidRDefault="00BF3A3A">
            <w:pPr>
              <w:jc w:val="right"/>
              <w:rPr>
                <w:rFonts w:ascii="宋体"/>
              </w:rPr>
            </w:pPr>
          </w:p>
        </w:tc>
      </w:tr>
      <w:tr w:rsidR="00BF3A3A" w14:paraId="19503740" w14:textId="77777777">
        <w:trPr>
          <w:hidden/>
        </w:trPr>
        <w:tc>
          <w:tcPr>
            <w:tcW w:w="0" w:type="auto"/>
            <w:gridSpan w:val="3"/>
            <w:shd w:val="clear" w:color="auto" w:fill="auto"/>
            <w:vAlign w:val="bottom"/>
          </w:tcPr>
          <w:p w14:paraId="19503738" w14:textId="77777777" w:rsidR="00BF3A3A" w:rsidRDefault="00BF3A3A">
            <w:pPr>
              <w:rPr>
                <w:rFonts w:ascii="宋体"/>
                <w:vanish/>
              </w:rPr>
            </w:pPr>
          </w:p>
        </w:tc>
        <w:tc>
          <w:tcPr>
            <w:tcW w:w="0" w:type="auto"/>
            <w:gridSpan w:val="3"/>
            <w:shd w:val="clear" w:color="auto" w:fill="auto"/>
            <w:vAlign w:val="bottom"/>
          </w:tcPr>
          <w:p w14:paraId="19503739" w14:textId="77777777" w:rsidR="00BF3A3A" w:rsidRDefault="00BF3A3A">
            <w:pPr>
              <w:rPr>
                <w:rFonts w:ascii="宋体"/>
                <w:vanish/>
              </w:rPr>
            </w:pPr>
          </w:p>
        </w:tc>
        <w:tc>
          <w:tcPr>
            <w:tcW w:w="0" w:type="auto"/>
            <w:gridSpan w:val="3"/>
            <w:shd w:val="clear" w:color="auto" w:fill="auto"/>
            <w:vAlign w:val="bottom"/>
          </w:tcPr>
          <w:p w14:paraId="1950373A" w14:textId="77777777" w:rsidR="00BF3A3A" w:rsidRDefault="00BF3A3A">
            <w:pPr>
              <w:rPr>
                <w:rFonts w:ascii="宋体"/>
                <w:vanish/>
              </w:rPr>
            </w:pPr>
          </w:p>
        </w:tc>
        <w:tc>
          <w:tcPr>
            <w:tcW w:w="0" w:type="auto"/>
            <w:gridSpan w:val="3"/>
            <w:shd w:val="clear" w:color="auto" w:fill="auto"/>
            <w:vAlign w:val="bottom"/>
          </w:tcPr>
          <w:p w14:paraId="1950373B" w14:textId="77777777" w:rsidR="00BF3A3A" w:rsidRDefault="00BF3A3A">
            <w:pPr>
              <w:rPr>
                <w:rFonts w:ascii="宋体"/>
                <w:vanish/>
              </w:rPr>
            </w:pPr>
          </w:p>
        </w:tc>
        <w:tc>
          <w:tcPr>
            <w:tcW w:w="0" w:type="auto"/>
            <w:gridSpan w:val="3"/>
            <w:shd w:val="clear" w:color="auto" w:fill="auto"/>
            <w:vAlign w:val="bottom"/>
          </w:tcPr>
          <w:p w14:paraId="1950373C" w14:textId="77777777" w:rsidR="00BF3A3A" w:rsidRDefault="00BF3A3A">
            <w:pPr>
              <w:rPr>
                <w:rFonts w:ascii="宋体"/>
                <w:vanish/>
              </w:rPr>
            </w:pPr>
          </w:p>
        </w:tc>
        <w:tc>
          <w:tcPr>
            <w:tcW w:w="0" w:type="auto"/>
            <w:gridSpan w:val="3"/>
            <w:shd w:val="clear" w:color="auto" w:fill="auto"/>
            <w:vAlign w:val="bottom"/>
          </w:tcPr>
          <w:p w14:paraId="1950373D" w14:textId="77777777" w:rsidR="00BF3A3A" w:rsidRDefault="00BF3A3A">
            <w:pPr>
              <w:rPr>
                <w:rFonts w:ascii="宋体"/>
                <w:vanish/>
              </w:rPr>
            </w:pPr>
          </w:p>
        </w:tc>
        <w:tc>
          <w:tcPr>
            <w:tcW w:w="0" w:type="auto"/>
            <w:gridSpan w:val="3"/>
            <w:shd w:val="clear" w:color="auto" w:fill="auto"/>
            <w:vAlign w:val="bottom"/>
          </w:tcPr>
          <w:p w14:paraId="1950373E" w14:textId="77777777" w:rsidR="00BF3A3A" w:rsidRDefault="00BF3A3A">
            <w:pPr>
              <w:rPr>
                <w:rFonts w:ascii="宋体"/>
                <w:vanish/>
              </w:rPr>
            </w:pPr>
          </w:p>
        </w:tc>
        <w:tc>
          <w:tcPr>
            <w:tcW w:w="0" w:type="auto"/>
            <w:gridSpan w:val="3"/>
            <w:shd w:val="clear" w:color="auto" w:fill="auto"/>
            <w:vAlign w:val="bottom"/>
          </w:tcPr>
          <w:p w14:paraId="1950373F" w14:textId="77777777" w:rsidR="00BF3A3A" w:rsidRDefault="00BF3A3A">
            <w:pPr>
              <w:rPr>
                <w:rFonts w:ascii="宋体"/>
                <w:vanish/>
              </w:rPr>
            </w:pPr>
          </w:p>
        </w:tc>
      </w:tr>
      <w:tr w:rsidR="00BF3A3A" w14:paraId="19503749" w14:textId="77777777">
        <w:trPr>
          <w:hidden/>
        </w:trPr>
        <w:tc>
          <w:tcPr>
            <w:tcW w:w="0" w:type="auto"/>
            <w:gridSpan w:val="3"/>
            <w:shd w:val="clear" w:color="auto" w:fill="auto"/>
            <w:vAlign w:val="bottom"/>
          </w:tcPr>
          <w:p w14:paraId="19503741" w14:textId="77777777" w:rsidR="00BF3A3A" w:rsidRDefault="00BF3A3A">
            <w:pPr>
              <w:rPr>
                <w:rFonts w:ascii="宋体"/>
                <w:vanish/>
              </w:rPr>
            </w:pPr>
          </w:p>
        </w:tc>
        <w:tc>
          <w:tcPr>
            <w:tcW w:w="0" w:type="auto"/>
            <w:gridSpan w:val="3"/>
            <w:shd w:val="clear" w:color="auto" w:fill="auto"/>
            <w:vAlign w:val="bottom"/>
          </w:tcPr>
          <w:p w14:paraId="19503742" w14:textId="77777777" w:rsidR="00BF3A3A" w:rsidRDefault="00BF3A3A">
            <w:pPr>
              <w:rPr>
                <w:rFonts w:ascii="宋体"/>
                <w:vanish/>
              </w:rPr>
            </w:pPr>
          </w:p>
        </w:tc>
        <w:tc>
          <w:tcPr>
            <w:tcW w:w="0" w:type="auto"/>
            <w:gridSpan w:val="3"/>
            <w:shd w:val="clear" w:color="auto" w:fill="auto"/>
            <w:vAlign w:val="bottom"/>
          </w:tcPr>
          <w:p w14:paraId="19503743" w14:textId="77777777" w:rsidR="00BF3A3A" w:rsidRDefault="00BF3A3A">
            <w:pPr>
              <w:rPr>
                <w:rFonts w:ascii="宋体"/>
                <w:vanish/>
              </w:rPr>
            </w:pPr>
          </w:p>
        </w:tc>
        <w:tc>
          <w:tcPr>
            <w:tcW w:w="0" w:type="auto"/>
            <w:gridSpan w:val="3"/>
            <w:shd w:val="clear" w:color="auto" w:fill="auto"/>
            <w:vAlign w:val="bottom"/>
          </w:tcPr>
          <w:p w14:paraId="19503744" w14:textId="77777777" w:rsidR="00BF3A3A" w:rsidRDefault="00BF3A3A">
            <w:pPr>
              <w:rPr>
                <w:rFonts w:ascii="宋体"/>
                <w:vanish/>
              </w:rPr>
            </w:pPr>
          </w:p>
        </w:tc>
        <w:tc>
          <w:tcPr>
            <w:tcW w:w="0" w:type="auto"/>
            <w:gridSpan w:val="3"/>
            <w:shd w:val="clear" w:color="auto" w:fill="auto"/>
            <w:vAlign w:val="bottom"/>
          </w:tcPr>
          <w:p w14:paraId="19503745" w14:textId="77777777" w:rsidR="00BF3A3A" w:rsidRDefault="00BF3A3A">
            <w:pPr>
              <w:rPr>
                <w:rFonts w:ascii="宋体"/>
                <w:vanish/>
              </w:rPr>
            </w:pPr>
          </w:p>
        </w:tc>
        <w:tc>
          <w:tcPr>
            <w:tcW w:w="0" w:type="auto"/>
            <w:gridSpan w:val="3"/>
            <w:shd w:val="clear" w:color="auto" w:fill="auto"/>
            <w:vAlign w:val="bottom"/>
          </w:tcPr>
          <w:p w14:paraId="19503746" w14:textId="77777777" w:rsidR="00BF3A3A" w:rsidRDefault="00BF3A3A">
            <w:pPr>
              <w:rPr>
                <w:rFonts w:ascii="宋体"/>
                <w:vanish/>
              </w:rPr>
            </w:pPr>
          </w:p>
        </w:tc>
        <w:tc>
          <w:tcPr>
            <w:tcW w:w="0" w:type="auto"/>
            <w:gridSpan w:val="3"/>
            <w:shd w:val="clear" w:color="auto" w:fill="auto"/>
            <w:vAlign w:val="bottom"/>
          </w:tcPr>
          <w:p w14:paraId="19503747" w14:textId="77777777" w:rsidR="00BF3A3A" w:rsidRDefault="00BF3A3A">
            <w:pPr>
              <w:rPr>
                <w:rFonts w:ascii="宋体"/>
                <w:vanish/>
              </w:rPr>
            </w:pPr>
          </w:p>
        </w:tc>
        <w:tc>
          <w:tcPr>
            <w:tcW w:w="0" w:type="auto"/>
            <w:gridSpan w:val="3"/>
            <w:shd w:val="clear" w:color="auto" w:fill="auto"/>
            <w:vAlign w:val="bottom"/>
          </w:tcPr>
          <w:p w14:paraId="19503748" w14:textId="77777777" w:rsidR="00BF3A3A" w:rsidRDefault="00BF3A3A">
            <w:pPr>
              <w:rPr>
                <w:rFonts w:ascii="宋体"/>
                <w:vanish/>
              </w:rPr>
            </w:pPr>
          </w:p>
        </w:tc>
      </w:tr>
      <w:tr w:rsidR="00BF3A3A" w14:paraId="19503752" w14:textId="77777777">
        <w:trPr>
          <w:hidden/>
        </w:trPr>
        <w:tc>
          <w:tcPr>
            <w:tcW w:w="0" w:type="auto"/>
            <w:gridSpan w:val="3"/>
            <w:shd w:val="clear" w:color="auto" w:fill="auto"/>
            <w:vAlign w:val="bottom"/>
          </w:tcPr>
          <w:p w14:paraId="1950374A" w14:textId="77777777" w:rsidR="00BF3A3A" w:rsidRDefault="00BF3A3A">
            <w:pPr>
              <w:rPr>
                <w:rFonts w:ascii="宋体"/>
                <w:vanish/>
              </w:rPr>
            </w:pPr>
          </w:p>
        </w:tc>
        <w:tc>
          <w:tcPr>
            <w:tcW w:w="0" w:type="auto"/>
            <w:gridSpan w:val="3"/>
            <w:shd w:val="clear" w:color="auto" w:fill="auto"/>
            <w:vAlign w:val="bottom"/>
          </w:tcPr>
          <w:p w14:paraId="1950374B" w14:textId="77777777" w:rsidR="00BF3A3A" w:rsidRDefault="00BF3A3A">
            <w:pPr>
              <w:rPr>
                <w:rFonts w:ascii="宋体"/>
                <w:vanish/>
              </w:rPr>
            </w:pPr>
          </w:p>
        </w:tc>
        <w:tc>
          <w:tcPr>
            <w:tcW w:w="0" w:type="auto"/>
            <w:gridSpan w:val="3"/>
            <w:shd w:val="clear" w:color="auto" w:fill="auto"/>
            <w:vAlign w:val="bottom"/>
          </w:tcPr>
          <w:p w14:paraId="1950374C" w14:textId="77777777" w:rsidR="00BF3A3A" w:rsidRDefault="00BF3A3A">
            <w:pPr>
              <w:rPr>
                <w:rFonts w:ascii="宋体"/>
                <w:vanish/>
              </w:rPr>
            </w:pPr>
          </w:p>
        </w:tc>
        <w:tc>
          <w:tcPr>
            <w:tcW w:w="0" w:type="auto"/>
            <w:gridSpan w:val="3"/>
            <w:shd w:val="clear" w:color="auto" w:fill="auto"/>
            <w:vAlign w:val="bottom"/>
          </w:tcPr>
          <w:p w14:paraId="1950374D" w14:textId="77777777" w:rsidR="00BF3A3A" w:rsidRDefault="00BF3A3A">
            <w:pPr>
              <w:rPr>
                <w:rFonts w:ascii="宋体"/>
                <w:vanish/>
              </w:rPr>
            </w:pPr>
          </w:p>
        </w:tc>
        <w:tc>
          <w:tcPr>
            <w:tcW w:w="0" w:type="auto"/>
            <w:gridSpan w:val="3"/>
            <w:shd w:val="clear" w:color="auto" w:fill="auto"/>
            <w:vAlign w:val="bottom"/>
          </w:tcPr>
          <w:p w14:paraId="1950374E" w14:textId="77777777" w:rsidR="00BF3A3A" w:rsidRDefault="00BF3A3A">
            <w:pPr>
              <w:rPr>
                <w:rFonts w:ascii="宋体"/>
                <w:vanish/>
              </w:rPr>
            </w:pPr>
          </w:p>
        </w:tc>
        <w:tc>
          <w:tcPr>
            <w:tcW w:w="0" w:type="auto"/>
            <w:gridSpan w:val="3"/>
            <w:shd w:val="clear" w:color="auto" w:fill="auto"/>
            <w:vAlign w:val="bottom"/>
          </w:tcPr>
          <w:p w14:paraId="1950374F" w14:textId="77777777" w:rsidR="00BF3A3A" w:rsidRDefault="00BF3A3A">
            <w:pPr>
              <w:rPr>
                <w:rFonts w:ascii="宋体"/>
                <w:vanish/>
              </w:rPr>
            </w:pPr>
          </w:p>
        </w:tc>
        <w:tc>
          <w:tcPr>
            <w:tcW w:w="0" w:type="auto"/>
            <w:gridSpan w:val="3"/>
            <w:shd w:val="clear" w:color="auto" w:fill="auto"/>
            <w:vAlign w:val="bottom"/>
          </w:tcPr>
          <w:p w14:paraId="19503750" w14:textId="77777777" w:rsidR="00BF3A3A" w:rsidRDefault="00BF3A3A">
            <w:pPr>
              <w:rPr>
                <w:rFonts w:ascii="宋体"/>
                <w:vanish/>
              </w:rPr>
            </w:pPr>
          </w:p>
        </w:tc>
        <w:tc>
          <w:tcPr>
            <w:tcW w:w="0" w:type="auto"/>
            <w:gridSpan w:val="3"/>
            <w:shd w:val="clear" w:color="auto" w:fill="auto"/>
            <w:vAlign w:val="bottom"/>
          </w:tcPr>
          <w:p w14:paraId="19503751" w14:textId="77777777" w:rsidR="00BF3A3A" w:rsidRDefault="00BF3A3A">
            <w:pPr>
              <w:rPr>
                <w:rFonts w:ascii="宋体"/>
                <w:vanish/>
              </w:rPr>
            </w:pPr>
          </w:p>
        </w:tc>
      </w:tr>
      <w:tr w:rsidR="00BF3A3A" w14:paraId="1950375B" w14:textId="77777777">
        <w:trPr>
          <w:hidden/>
        </w:trPr>
        <w:tc>
          <w:tcPr>
            <w:tcW w:w="0" w:type="auto"/>
            <w:gridSpan w:val="3"/>
            <w:shd w:val="clear" w:color="auto" w:fill="auto"/>
            <w:vAlign w:val="bottom"/>
          </w:tcPr>
          <w:p w14:paraId="19503753" w14:textId="77777777" w:rsidR="00BF3A3A" w:rsidRDefault="00BF3A3A">
            <w:pPr>
              <w:rPr>
                <w:rFonts w:ascii="宋体"/>
                <w:vanish/>
              </w:rPr>
            </w:pPr>
          </w:p>
        </w:tc>
        <w:tc>
          <w:tcPr>
            <w:tcW w:w="0" w:type="auto"/>
            <w:gridSpan w:val="3"/>
            <w:shd w:val="clear" w:color="auto" w:fill="auto"/>
            <w:vAlign w:val="bottom"/>
          </w:tcPr>
          <w:p w14:paraId="19503754" w14:textId="77777777" w:rsidR="00BF3A3A" w:rsidRDefault="00BF3A3A">
            <w:pPr>
              <w:rPr>
                <w:rFonts w:ascii="宋体"/>
                <w:vanish/>
              </w:rPr>
            </w:pPr>
          </w:p>
        </w:tc>
        <w:tc>
          <w:tcPr>
            <w:tcW w:w="0" w:type="auto"/>
            <w:gridSpan w:val="3"/>
            <w:shd w:val="clear" w:color="auto" w:fill="auto"/>
            <w:vAlign w:val="bottom"/>
          </w:tcPr>
          <w:p w14:paraId="19503755" w14:textId="77777777" w:rsidR="00BF3A3A" w:rsidRDefault="00BF3A3A">
            <w:pPr>
              <w:rPr>
                <w:rFonts w:ascii="宋体"/>
                <w:vanish/>
              </w:rPr>
            </w:pPr>
          </w:p>
        </w:tc>
        <w:tc>
          <w:tcPr>
            <w:tcW w:w="0" w:type="auto"/>
            <w:gridSpan w:val="3"/>
            <w:shd w:val="clear" w:color="auto" w:fill="auto"/>
            <w:vAlign w:val="bottom"/>
          </w:tcPr>
          <w:p w14:paraId="19503756" w14:textId="77777777" w:rsidR="00BF3A3A" w:rsidRDefault="00BF3A3A">
            <w:pPr>
              <w:rPr>
                <w:rFonts w:ascii="宋体"/>
                <w:vanish/>
              </w:rPr>
            </w:pPr>
          </w:p>
        </w:tc>
        <w:tc>
          <w:tcPr>
            <w:tcW w:w="0" w:type="auto"/>
            <w:gridSpan w:val="3"/>
            <w:shd w:val="clear" w:color="auto" w:fill="auto"/>
            <w:vAlign w:val="bottom"/>
          </w:tcPr>
          <w:p w14:paraId="19503757" w14:textId="77777777" w:rsidR="00BF3A3A" w:rsidRDefault="00BF3A3A">
            <w:pPr>
              <w:rPr>
                <w:rFonts w:ascii="宋体"/>
                <w:vanish/>
              </w:rPr>
            </w:pPr>
          </w:p>
        </w:tc>
        <w:tc>
          <w:tcPr>
            <w:tcW w:w="0" w:type="auto"/>
            <w:gridSpan w:val="3"/>
            <w:shd w:val="clear" w:color="auto" w:fill="auto"/>
            <w:vAlign w:val="bottom"/>
          </w:tcPr>
          <w:p w14:paraId="19503758" w14:textId="77777777" w:rsidR="00BF3A3A" w:rsidRDefault="00BF3A3A">
            <w:pPr>
              <w:rPr>
                <w:rFonts w:ascii="宋体"/>
                <w:vanish/>
              </w:rPr>
            </w:pPr>
          </w:p>
        </w:tc>
        <w:tc>
          <w:tcPr>
            <w:tcW w:w="0" w:type="auto"/>
            <w:gridSpan w:val="3"/>
            <w:shd w:val="clear" w:color="auto" w:fill="auto"/>
            <w:vAlign w:val="bottom"/>
          </w:tcPr>
          <w:p w14:paraId="19503759" w14:textId="77777777" w:rsidR="00BF3A3A" w:rsidRDefault="00BF3A3A">
            <w:pPr>
              <w:rPr>
                <w:rFonts w:ascii="宋体"/>
                <w:vanish/>
              </w:rPr>
            </w:pPr>
          </w:p>
        </w:tc>
        <w:tc>
          <w:tcPr>
            <w:tcW w:w="0" w:type="auto"/>
            <w:gridSpan w:val="3"/>
            <w:shd w:val="clear" w:color="auto" w:fill="auto"/>
            <w:vAlign w:val="bottom"/>
          </w:tcPr>
          <w:p w14:paraId="1950375A" w14:textId="77777777" w:rsidR="00BF3A3A" w:rsidRDefault="00BF3A3A">
            <w:pPr>
              <w:rPr>
                <w:rFonts w:ascii="宋体"/>
                <w:vanish/>
              </w:rPr>
            </w:pPr>
          </w:p>
        </w:tc>
      </w:tr>
      <w:tr w:rsidR="00BF3A3A" w14:paraId="19503768" w14:textId="77777777">
        <w:tc>
          <w:tcPr>
            <w:tcW w:w="0" w:type="auto"/>
            <w:gridSpan w:val="3"/>
            <w:shd w:val="clear" w:color="auto" w:fill="FFFFFF"/>
            <w:tcMar>
              <w:top w:w="40" w:type="dxa"/>
              <w:left w:w="260" w:type="dxa"/>
              <w:bottom w:w="40" w:type="dxa"/>
              <w:right w:w="20" w:type="dxa"/>
            </w:tcMar>
            <w:vAlign w:val="bottom"/>
          </w:tcPr>
          <w:p w14:paraId="1950375C" w14:textId="77777777" w:rsidR="00BF3A3A" w:rsidRDefault="00A76802">
            <w:pPr>
              <w:textAlignment w:val="bottom"/>
            </w:pPr>
            <w:r>
              <w:rPr>
                <w:rFonts w:ascii="sans-serif" w:eastAsia="sans-serif" w:hAnsi="sans-serif" w:cs="sans-serif"/>
                <w:color w:val="000000"/>
                <w:sz w:val="20"/>
                <w:szCs w:val="20"/>
              </w:rPr>
              <w:t>Other countries</w:t>
            </w:r>
          </w:p>
        </w:tc>
        <w:tc>
          <w:tcPr>
            <w:tcW w:w="0" w:type="auto"/>
            <w:gridSpan w:val="2"/>
            <w:shd w:val="clear" w:color="auto" w:fill="FFFFFF"/>
            <w:tcMar>
              <w:top w:w="40" w:type="dxa"/>
              <w:left w:w="20" w:type="dxa"/>
              <w:bottom w:w="40" w:type="dxa"/>
              <w:right w:w="0" w:type="dxa"/>
            </w:tcMar>
            <w:vAlign w:val="bottom"/>
          </w:tcPr>
          <w:p w14:paraId="1950375D" w14:textId="77777777" w:rsidR="00BF3A3A" w:rsidRDefault="00A76802">
            <w:pPr>
              <w:jc w:val="right"/>
              <w:textAlignment w:val="bottom"/>
            </w:pPr>
            <w:r>
              <w:rPr>
                <w:rFonts w:ascii="sans-serif" w:eastAsia="sans-serif" w:hAnsi="sans-serif" w:cs="sans-serif"/>
                <w:color w:val="000000"/>
                <w:sz w:val="20"/>
                <w:szCs w:val="20"/>
              </w:rPr>
              <w:t>1,910 </w:t>
            </w:r>
          </w:p>
        </w:tc>
        <w:tc>
          <w:tcPr>
            <w:tcW w:w="0" w:type="auto"/>
            <w:shd w:val="clear" w:color="auto" w:fill="FFFFFF"/>
            <w:tcMar>
              <w:top w:w="40" w:type="dxa"/>
              <w:left w:w="0" w:type="dxa"/>
              <w:bottom w:w="40" w:type="dxa"/>
              <w:right w:w="20" w:type="dxa"/>
            </w:tcMar>
            <w:vAlign w:val="bottom"/>
          </w:tcPr>
          <w:p w14:paraId="1950375E"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75F"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760" w14:textId="77777777" w:rsidR="00BF3A3A" w:rsidRDefault="00A76802">
            <w:pPr>
              <w:jc w:val="right"/>
              <w:textAlignment w:val="bottom"/>
            </w:pPr>
            <w:r>
              <w:rPr>
                <w:rFonts w:ascii="sans-serif" w:eastAsia="sans-serif" w:hAnsi="sans-serif" w:cs="sans-serif"/>
                <w:color w:val="000000"/>
                <w:sz w:val="20"/>
                <w:szCs w:val="20"/>
              </w:rPr>
              <w:t>1,830 </w:t>
            </w:r>
          </w:p>
        </w:tc>
        <w:tc>
          <w:tcPr>
            <w:tcW w:w="0" w:type="auto"/>
            <w:shd w:val="clear" w:color="auto" w:fill="FFFFFF"/>
            <w:tcMar>
              <w:top w:w="40" w:type="dxa"/>
              <w:left w:w="0" w:type="dxa"/>
              <w:bottom w:w="40" w:type="dxa"/>
              <w:right w:w="20" w:type="dxa"/>
            </w:tcMar>
            <w:vAlign w:val="bottom"/>
          </w:tcPr>
          <w:p w14:paraId="19503761"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762"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763" w14:textId="77777777" w:rsidR="00BF3A3A" w:rsidRDefault="00A76802">
            <w:pPr>
              <w:jc w:val="right"/>
              <w:textAlignment w:val="bottom"/>
            </w:pPr>
            <w:r>
              <w:rPr>
                <w:rFonts w:ascii="sans-serif" w:eastAsia="sans-serif" w:hAnsi="sans-serif" w:cs="sans-serif"/>
                <w:color w:val="000000"/>
                <w:sz w:val="20"/>
                <w:szCs w:val="20"/>
              </w:rPr>
              <w:t>3,407 </w:t>
            </w:r>
          </w:p>
        </w:tc>
        <w:tc>
          <w:tcPr>
            <w:tcW w:w="0" w:type="auto"/>
            <w:shd w:val="clear" w:color="auto" w:fill="FFFFFF"/>
            <w:tcMar>
              <w:top w:w="40" w:type="dxa"/>
              <w:left w:w="0" w:type="dxa"/>
              <w:bottom w:w="40" w:type="dxa"/>
              <w:right w:w="20" w:type="dxa"/>
            </w:tcMar>
            <w:vAlign w:val="bottom"/>
          </w:tcPr>
          <w:p w14:paraId="19503764"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765"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766" w14:textId="77777777" w:rsidR="00BF3A3A" w:rsidRDefault="00A76802">
            <w:pPr>
              <w:jc w:val="right"/>
              <w:textAlignment w:val="bottom"/>
            </w:pPr>
            <w:r>
              <w:rPr>
                <w:rFonts w:ascii="sans-serif" w:eastAsia="sans-serif" w:hAnsi="sans-serif" w:cs="sans-serif"/>
                <w:color w:val="000000"/>
                <w:sz w:val="20"/>
                <w:szCs w:val="20"/>
              </w:rPr>
              <w:t>3,548 </w:t>
            </w:r>
          </w:p>
        </w:tc>
        <w:tc>
          <w:tcPr>
            <w:tcW w:w="0" w:type="auto"/>
            <w:shd w:val="clear" w:color="auto" w:fill="FFFFFF"/>
            <w:tcMar>
              <w:top w:w="40" w:type="dxa"/>
              <w:left w:w="0" w:type="dxa"/>
              <w:bottom w:w="40" w:type="dxa"/>
              <w:right w:w="20" w:type="dxa"/>
            </w:tcMar>
            <w:vAlign w:val="bottom"/>
          </w:tcPr>
          <w:p w14:paraId="19503767" w14:textId="77777777" w:rsidR="00BF3A3A" w:rsidRDefault="00BF3A3A">
            <w:pPr>
              <w:jc w:val="right"/>
              <w:rPr>
                <w:rFonts w:ascii="宋体"/>
              </w:rPr>
            </w:pPr>
          </w:p>
        </w:tc>
      </w:tr>
      <w:tr w:rsidR="00BF3A3A" w14:paraId="19503779" w14:textId="77777777">
        <w:tc>
          <w:tcPr>
            <w:tcW w:w="0" w:type="auto"/>
            <w:gridSpan w:val="3"/>
            <w:shd w:val="clear" w:color="auto" w:fill="E2EFD9"/>
            <w:tcMar>
              <w:top w:w="40" w:type="dxa"/>
              <w:left w:w="20" w:type="dxa"/>
              <w:bottom w:w="40" w:type="dxa"/>
              <w:right w:w="20" w:type="dxa"/>
            </w:tcMar>
            <w:vAlign w:val="bottom"/>
          </w:tcPr>
          <w:p w14:paraId="19503769" w14:textId="77777777" w:rsidR="00BF3A3A" w:rsidRDefault="00A76802">
            <w:pPr>
              <w:textAlignment w:val="bottom"/>
            </w:pPr>
            <w:r>
              <w:rPr>
                <w:rFonts w:ascii="sans-serif" w:eastAsia="sans-serif" w:hAnsi="sans-serif" w:cs="sans-serif"/>
                <w:color w:val="000000"/>
                <w:sz w:val="20"/>
                <w:szCs w:val="20"/>
              </w:rPr>
              <w:t>Total revenue</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76A"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76B" w14:textId="77777777" w:rsidR="00BF3A3A" w:rsidRDefault="00A76802">
            <w:pPr>
              <w:jc w:val="right"/>
              <w:textAlignment w:val="bottom"/>
            </w:pPr>
            <w:r>
              <w:rPr>
                <w:rFonts w:ascii="sans-serif" w:eastAsia="sans-serif" w:hAnsi="sans-serif" w:cs="sans-serif"/>
                <w:color w:val="000000"/>
                <w:sz w:val="20"/>
                <w:szCs w:val="20"/>
              </w:rPr>
              <w:t>6,704 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76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76D"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76E"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76F" w14:textId="77777777" w:rsidR="00BF3A3A" w:rsidRDefault="00A76802">
            <w:pPr>
              <w:jc w:val="right"/>
              <w:textAlignment w:val="bottom"/>
            </w:pPr>
            <w:r>
              <w:rPr>
                <w:rFonts w:ascii="sans-serif" w:eastAsia="sans-serif" w:hAnsi="sans-serif" w:cs="sans-serif"/>
                <w:color w:val="000000"/>
                <w:sz w:val="20"/>
                <w:szCs w:val="20"/>
              </w:rPr>
              <w:t>6,507 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77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771"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772"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773" w14:textId="77777777" w:rsidR="00BF3A3A" w:rsidRDefault="00A76802">
            <w:pPr>
              <w:jc w:val="right"/>
              <w:textAlignment w:val="bottom"/>
            </w:pPr>
            <w:r>
              <w:rPr>
                <w:rFonts w:ascii="sans-serif" w:eastAsia="sans-serif" w:hAnsi="sans-serif" w:cs="sans-serif"/>
                <w:color w:val="000000"/>
                <w:sz w:val="20"/>
                <w:szCs w:val="20"/>
              </w:rPr>
              <w:t>14,992 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77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775"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776"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777" w14:textId="77777777" w:rsidR="00BF3A3A" w:rsidRDefault="00A76802">
            <w:pPr>
              <w:jc w:val="right"/>
              <w:textAlignment w:val="bottom"/>
            </w:pPr>
            <w:r>
              <w:rPr>
                <w:rFonts w:ascii="sans-serif" w:eastAsia="sans-serif" w:hAnsi="sans-serif" w:cs="sans-serif"/>
                <w:color w:val="000000"/>
                <w:sz w:val="20"/>
                <w:szCs w:val="20"/>
              </w:rPr>
              <w:t>12,168 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778" w14:textId="77777777" w:rsidR="00BF3A3A" w:rsidRDefault="00BF3A3A">
            <w:pPr>
              <w:jc w:val="right"/>
              <w:rPr>
                <w:rFonts w:ascii="宋体"/>
              </w:rPr>
            </w:pPr>
          </w:p>
        </w:tc>
      </w:tr>
    </w:tbl>
    <w:p w14:paraId="1950377A" w14:textId="77777777" w:rsidR="00BF3A3A" w:rsidRDefault="00A76802">
      <w:pPr>
        <w:jc w:val="both"/>
      </w:pPr>
      <w:r>
        <w:rPr>
          <w:rFonts w:ascii="sans-serif" w:eastAsia="sans-serif" w:hAnsi="sans-serif" w:cs="sans-serif"/>
          <w:color w:val="000000"/>
          <w:sz w:val="20"/>
          <w:szCs w:val="20"/>
        </w:rPr>
        <w:t>The following table summarizes information pertaining to our revenue by each of the specialized markets we serv</w:t>
      </w:r>
      <w:r>
        <w:rPr>
          <w:rFonts w:ascii="sans-serif" w:eastAsia="sans-serif" w:hAnsi="sans-serif" w:cs="sans-serif"/>
          <w:color w:val="000000"/>
          <w:sz w:val="20"/>
          <w:szCs w:val="20"/>
        </w:rPr>
        <w:t>e:</w:t>
      </w:r>
    </w:p>
    <w:tbl>
      <w:tblPr>
        <w:tblW w:w="5000" w:type="pct"/>
        <w:tblCellMar>
          <w:top w:w="15" w:type="dxa"/>
          <w:left w:w="15" w:type="dxa"/>
          <w:bottom w:w="15" w:type="dxa"/>
          <w:right w:w="15" w:type="dxa"/>
        </w:tblCellMar>
        <w:tblLook w:val="04A0" w:firstRow="1" w:lastRow="0" w:firstColumn="1" w:lastColumn="0" w:noHBand="0" w:noVBand="1"/>
      </w:tblPr>
      <w:tblGrid>
        <w:gridCol w:w="39"/>
        <w:gridCol w:w="3568"/>
        <w:gridCol w:w="36"/>
        <w:gridCol w:w="122"/>
        <w:gridCol w:w="966"/>
        <w:gridCol w:w="36"/>
        <w:gridCol w:w="36"/>
        <w:gridCol w:w="36"/>
        <w:gridCol w:w="36"/>
        <w:gridCol w:w="122"/>
        <w:gridCol w:w="923"/>
        <w:gridCol w:w="36"/>
        <w:gridCol w:w="36"/>
        <w:gridCol w:w="36"/>
        <w:gridCol w:w="36"/>
        <w:gridCol w:w="122"/>
        <w:gridCol w:w="924"/>
        <w:gridCol w:w="36"/>
        <w:gridCol w:w="36"/>
        <w:gridCol w:w="36"/>
        <w:gridCol w:w="36"/>
        <w:gridCol w:w="122"/>
        <w:gridCol w:w="924"/>
        <w:gridCol w:w="36"/>
      </w:tblGrid>
      <w:tr w:rsidR="00BF3A3A" w14:paraId="19503793" w14:textId="77777777">
        <w:tc>
          <w:tcPr>
            <w:tcW w:w="50" w:type="pct"/>
            <w:shd w:val="clear" w:color="auto" w:fill="auto"/>
            <w:vAlign w:val="bottom"/>
          </w:tcPr>
          <w:p w14:paraId="1950377B" w14:textId="77777777" w:rsidR="00BF3A3A" w:rsidRDefault="00BF3A3A">
            <w:pPr>
              <w:rPr>
                <w:rFonts w:ascii="宋体"/>
              </w:rPr>
            </w:pPr>
          </w:p>
        </w:tc>
        <w:tc>
          <w:tcPr>
            <w:tcW w:w="2174" w:type="pct"/>
            <w:shd w:val="clear" w:color="auto" w:fill="auto"/>
            <w:vAlign w:val="bottom"/>
          </w:tcPr>
          <w:p w14:paraId="1950377C" w14:textId="77777777" w:rsidR="00BF3A3A" w:rsidRDefault="00BF3A3A">
            <w:pPr>
              <w:rPr>
                <w:rFonts w:ascii="宋体"/>
              </w:rPr>
            </w:pPr>
          </w:p>
        </w:tc>
        <w:tc>
          <w:tcPr>
            <w:tcW w:w="5" w:type="pct"/>
            <w:shd w:val="clear" w:color="auto" w:fill="auto"/>
            <w:vAlign w:val="bottom"/>
          </w:tcPr>
          <w:p w14:paraId="1950377D" w14:textId="77777777" w:rsidR="00BF3A3A" w:rsidRDefault="00BF3A3A">
            <w:pPr>
              <w:rPr>
                <w:rFonts w:ascii="宋体"/>
              </w:rPr>
            </w:pPr>
          </w:p>
        </w:tc>
        <w:tc>
          <w:tcPr>
            <w:tcW w:w="50" w:type="pct"/>
            <w:shd w:val="clear" w:color="auto" w:fill="auto"/>
            <w:vAlign w:val="bottom"/>
          </w:tcPr>
          <w:p w14:paraId="1950377E" w14:textId="77777777" w:rsidR="00BF3A3A" w:rsidRDefault="00BF3A3A">
            <w:pPr>
              <w:rPr>
                <w:rFonts w:ascii="宋体"/>
              </w:rPr>
            </w:pPr>
          </w:p>
        </w:tc>
        <w:tc>
          <w:tcPr>
            <w:tcW w:w="610" w:type="pct"/>
            <w:shd w:val="clear" w:color="auto" w:fill="auto"/>
            <w:vAlign w:val="bottom"/>
          </w:tcPr>
          <w:p w14:paraId="1950377F" w14:textId="77777777" w:rsidR="00BF3A3A" w:rsidRDefault="00BF3A3A">
            <w:pPr>
              <w:rPr>
                <w:rFonts w:ascii="宋体"/>
              </w:rPr>
            </w:pPr>
          </w:p>
        </w:tc>
        <w:tc>
          <w:tcPr>
            <w:tcW w:w="5" w:type="pct"/>
            <w:shd w:val="clear" w:color="auto" w:fill="auto"/>
            <w:vAlign w:val="bottom"/>
          </w:tcPr>
          <w:p w14:paraId="19503780" w14:textId="77777777" w:rsidR="00BF3A3A" w:rsidRDefault="00BF3A3A">
            <w:pPr>
              <w:rPr>
                <w:rFonts w:ascii="宋体"/>
              </w:rPr>
            </w:pPr>
          </w:p>
        </w:tc>
        <w:tc>
          <w:tcPr>
            <w:tcW w:w="5" w:type="pct"/>
            <w:shd w:val="clear" w:color="auto" w:fill="auto"/>
            <w:vAlign w:val="bottom"/>
          </w:tcPr>
          <w:p w14:paraId="19503781" w14:textId="77777777" w:rsidR="00BF3A3A" w:rsidRDefault="00BF3A3A">
            <w:pPr>
              <w:rPr>
                <w:rFonts w:ascii="宋体"/>
              </w:rPr>
            </w:pPr>
          </w:p>
        </w:tc>
        <w:tc>
          <w:tcPr>
            <w:tcW w:w="26" w:type="pct"/>
            <w:shd w:val="clear" w:color="auto" w:fill="auto"/>
            <w:vAlign w:val="bottom"/>
          </w:tcPr>
          <w:p w14:paraId="19503782" w14:textId="77777777" w:rsidR="00BF3A3A" w:rsidRDefault="00BF3A3A">
            <w:pPr>
              <w:rPr>
                <w:rFonts w:ascii="宋体"/>
              </w:rPr>
            </w:pPr>
          </w:p>
        </w:tc>
        <w:tc>
          <w:tcPr>
            <w:tcW w:w="5" w:type="pct"/>
            <w:shd w:val="clear" w:color="auto" w:fill="auto"/>
            <w:vAlign w:val="bottom"/>
          </w:tcPr>
          <w:p w14:paraId="19503783" w14:textId="77777777" w:rsidR="00BF3A3A" w:rsidRDefault="00BF3A3A">
            <w:pPr>
              <w:rPr>
                <w:rFonts w:ascii="宋体"/>
              </w:rPr>
            </w:pPr>
          </w:p>
        </w:tc>
        <w:tc>
          <w:tcPr>
            <w:tcW w:w="50" w:type="pct"/>
            <w:shd w:val="clear" w:color="auto" w:fill="auto"/>
            <w:vAlign w:val="bottom"/>
          </w:tcPr>
          <w:p w14:paraId="19503784" w14:textId="77777777" w:rsidR="00BF3A3A" w:rsidRDefault="00BF3A3A">
            <w:pPr>
              <w:rPr>
                <w:rFonts w:ascii="宋体"/>
              </w:rPr>
            </w:pPr>
          </w:p>
        </w:tc>
        <w:tc>
          <w:tcPr>
            <w:tcW w:w="610" w:type="pct"/>
            <w:shd w:val="clear" w:color="auto" w:fill="auto"/>
            <w:vAlign w:val="bottom"/>
          </w:tcPr>
          <w:p w14:paraId="19503785" w14:textId="77777777" w:rsidR="00BF3A3A" w:rsidRDefault="00BF3A3A">
            <w:pPr>
              <w:rPr>
                <w:rFonts w:ascii="宋体"/>
              </w:rPr>
            </w:pPr>
          </w:p>
        </w:tc>
        <w:tc>
          <w:tcPr>
            <w:tcW w:w="5" w:type="pct"/>
            <w:shd w:val="clear" w:color="auto" w:fill="auto"/>
            <w:vAlign w:val="bottom"/>
          </w:tcPr>
          <w:p w14:paraId="19503786" w14:textId="77777777" w:rsidR="00BF3A3A" w:rsidRDefault="00BF3A3A">
            <w:pPr>
              <w:rPr>
                <w:rFonts w:ascii="宋体"/>
              </w:rPr>
            </w:pPr>
          </w:p>
        </w:tc>
        <w:tc>
          <w:tcPr>
            <w:tcW w:w="5" w:type="pct"/>
            <w:shd w:val="clear" w:color="auto" w:fill="auto"/>
            <w:vAlign w:val="bottom"/>
          </w:tcPr>
          <w:p w14:paraId="19503787" w14:textId="77777777" w:rsidR="00BF3A3A" w:rsidRDefault="00BF3A3A">
            <w:pPr>
              <w:rPr>
                <w:rFonts w:ascii="宋体"/>
              </w:rPr>
            </w:pPr>
          </w:p>
        </w:tc>
        <w:tc>
          <w:tcPr>
            <w:tcW w:w="26" w:type="pct"/>
            <w:shd w:val="clear" w:color="auto" w:fill="auto"/>
            <w:vAlign w:val="bottom"/>
          </w:tcPr>
          <w:p w14:paraId="19503788" w14:textId="77777777" w:rsidR="00BF3A3A" w:rsidRDefault="00BF3A3A">
            <w:pPr>
              <w:rPr>
                <w:rFonts w:ascii="宋体"/>
              </w:rPr>
            </w:pPr>
          </w:p>
        </w:tc>
        <w:tc>
          <w:tcPr>
            <w:tcW w:w="5" w:type="pct"/>
            <w:shd w:val="clear" w:color="auto" w:fill="auto"/>
            <w:vAlign w:val="bottom"/>
          </w:tcPr>
          <w:p w14:paraId="19503789" w14:textId="77777777" w:rsidR="00BF3A3A" w:rsidRDefault="00BF3A3A">
            <w:pPr>
              <w:rPr>
                <w:rFonts w:ascii="宋体"/>
              </w:rPr>
            </w:pPr>
          </w:p>
        </w:tc>
        <w:tc>
          <w:tcPr>
            <w:tcW w:w="50" w:type="pct"/>
            <w:shd w:val="clear" w:color="auto" w:fill="auto"/>
            <w:vAlign w:val="bottom"/>
          </w:tcPr>
          <w:p w14:paraId="1950378A" w14:textId="77777777" w:rsidR="00BF3A3A" w:rsidRDefault="00BF3A3A">
            <w:pPr>
              <w:rPr>
                <w:rFonts w:ascii="宋体"/>
              </w:rPr>
            </w:pPr>
          </w:p>
        </w:tc>
        <w:tc>
          <w:tcPr>
            <w:tcW w:w="610" w:type="pct"/>
            <w:shd w:val="clear" w:color="auto" w:fill="auto"/>
            <w:vAlign w:val="bottom"/>
          </w:tcPr>
          <w:p w14:paraId="1950378B" w14:textId="77777777" w:rsidR="00BF3A3A" w:rsidRDefault="00BF3A3A">
            <w:pPr>
              <w:rPr>
                <w:rFonts w:ascii="宋体"/>
              </w:rPr>
            </w:pPr>
          </w:p>
        </w:tc>
        <w:tc>
          <w:tcPr>
            <w:tcW w:w="5" w:type="pct"/>
            <w:shd w:val="clear" w:color="auto" w:fill="auto"/>
            <w:vAlign w:val="bottom"/>
          </w:tcPr>
          <w:p w14:paraId="1950378C" w14:textId="77777777" w:rsidR="00BF3A3A" w:rsidRDefault="00BF3A3A">
            <w:pPr>
              <w:rPr>
                <w:rFonts w:ascii="宋体"/>
              </w:rPr>
            </w:pPr>
          </w:p>
        </w:tc>
        <w:tc>
          <w:tcPr>
            <w:tcW w:w="5" w:type="pct"/>
            <w:shd w:val="clear" w:color="auto" w:fill="auto"/>
            <w:vAlign w:val="bottom"/>
          </w:tcPr>
          <w:p w14:paraId="1950378D" w14:textId="77777777" w:rsidR="00BF3A3A" w:rsidRDefault="00BF3A3A">
            <w:pPr>
              <w:rPr>
                <w:rFonts w:ascii="宋体"/>
              </w:rPr>
            </w:pPr>
          </w:p>
        </w:tc>
        <w:tc>
          <w:tcPr>
            <w:tcW w:w="26" w:type="pct"/>
            <w:shd w:val="clear" w:color="auto" w:fill="auto"/>
            <w:vAlign w:val="bottom"/>
          </w:tcPr>
          <w:p w14:paraId="1950378E" w14:textId="77777777" w:rsidR="00BF3A3A" w:rsidRDefault="00BF3A3A">
            <w:pPr>
              <w:rPr>
                <w:rFonts w:ascii="宋体"/>
              </w:rPr>
            </w:pPr>
          </w:p>
        </w:tc>
        <w:tc>
          <w:tcPr>
            <w:tcW w:w="5" w:type="pct"/>
            <w:shd w:val="clear" w:color="auto" w:fill="auto"/>
            <w:vAlign w:val="bottom"/>
          </w:tcPr>
          <w:p w14:paraId="1950378F" w14:textId="77777777" w:rsidR="00BF3A3A" w:rsidRDefault="00BF3A3A">
            <w:pPr>
              <w:rPr>
                <w:rFonts w:ascii="宋体"/>
              </w:rPr>
            </w:pPr>
          </w:p>
        </w:tc>
        <w:tc>
          <w:tcPr>
            <w:tcW w:w="50" w:type="pct"/>
            <w:shd w:val="clear" w:color="auto" w:fill="auto"/>
            <w:vAlign w:val="bottom"/>
          </w:tcPr>
          <w:p w14:paraId="19503790" w14:textId="77777777" w:rsidR="00BF3A3A" w:rsidRDefault="00BF3A3A">
            <w:pPr>
              <w:rPr>
                <w:rFonts w:ascii="宋体"/>
              </w:rPr>
            </w:pPr>
          </w:p>
        </w:tc>
        <w:tc>
          <w:tcPr>
            <w:tcW w:w="610" w:type="pct"/>
            <w:shd w:val="clear" w:color="auto" w:fill="auto"/>
            <w:vAlign w:val="bottom"/>
          </w:tcPr>
          <w:p w14:paraId="19503791" w14:textId="77777777" w:rsidR="00BF3A3A" w:rsidRDefault="00BF3A3A">
            <w:pPr>
              <w:rPr>
                <w:rFonts w:ascii="宋体"/>
              </w:rPr>
            </w:pPr>
          </w:p>
        </w:tc>
        <w:tc>
          <w:tcPr>
            <w:tcW w:w="5" w:type="pct"/>
            <w:shd w:val="clear" w:color="auto" w:fill="auto"/>
            <w:vAlign w:val="bottom"/>
          </w:tcPr>
          <w:p w14:paraId="19503792" w14:textId="77777777" w:rsidR="00BF3A3A" w:rsidRDefault="00BF3A3A">
            <w:pPr>
              <w:rPr>
                <w:rFonts w:ascii="宋体"/>
              </w:rPr>
            </w:pPr>
          </w:p>
        </w:tc>
      </w:tr>
      <w:tr w:rsidR="00BF3A3A" w14:paraId="19503798" w14:textId="77777777">
        <w:tc>
          <w:tcPr>
            <w:tcW w:w="0" w:type="auto"/>
            <w:gridSpan w:val="3"/>
            <w:shd w:val="clear" w:color="auto" w:fill="auto"/>
            <w:tcMar>
              <w:top w:w="40" w:type="dxa"/>
              <w:left w:w="20" w:type="dxa"/>
              <w:bottom w:w="40" w:type="dxa"/>
              <w:right w:w="20" w:type="dxa"/>
            </w:tcMar>
            <w:vAlign w:val="bottom"/>
          </w:tcPr>
          <w:p w14:paraId="19503794" w14:textId="77777777" w:rsidR="00BF3A3A" w:rsidRDefault="00A76802">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9503795" w14:textId="77777777" w:rsidR="00BF3A3A" w:rsidRDefault="00A76802">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19503796" w14:textId="77777777" w:rsidR="00BF3A3A" w:rsidRDefault="00BF3A3A">
            <w:pPr>
              <w:rPr>
                <w:rFonts w:ascii="宋体"/>
              </w:rPr>
            </w:pPr>
          </w:p>
        </w:tc>
        <w:tc>
          <w:tcPr>
            <w:tcW w:w="0" w:type="auto"/>
            <w:gridSpan w:val="9"/>
            <w:shd w:val="clear" w:color="auto" w:fill="auto"/>
            <w:tcMar>
              <w:top w:w="40" w:type="dxa"/>
              <w:left w:w="20" w:type="dxa"/>
              <w:bottom w:w="40" w:type="dxa"/>
              <w:right w:w="20" w:type="dxa"/>
            </w:tcMar>
            <w:vAlign w:val="bottom"/>
          </w:tcPr>
          <w:p w14:paraId="19503797" w14:textId="77777777" w:rsidR="00BF3A3A" w:rsidRDefault="00A76802">
            <w:pPr>
              <w:jc w:val="center"/>
              <w:textAlignment w:val="bottom"/>
            </w:pPr>
            <w:r>
              <w:rPr>
                <w:rFonts w:ascii="sans-serif" w:eastAsia="sans-serif" w:hAnsi="sans-serif" w:cs="sans-serif"/>
                <w:b/>
                <w:bCs/>
                <w:color w:val="000000"/>
                <w:sz w:val="20"/>
                <w:szCs w:val="20"/>
              </w:rPr>
              <w:t>Six Months Ended</w:t>
            </w:r>
          </w:p>
        </w:tc>
      </w:tr>
      <w:tr w:rsidR="00BF3A3A" w14:paraId="195037A1" w14:textId="77777777">
        <w:tc>
          <w:tcPr>
            <w:tcW w:w="0" w:type="auto"/>
            <w:gridSpan w:val="3"/>
            <w:shd w:val="clear" w:color="auto" w:fill="auto"/>
            <w:tcMar>
              <w:top w:w="0" w:type="dxa"/>
              <w:left w:w="20" w:type="dxa"/>
              <w:bottom w:w="0" w:type="dxa"/>
              <w:right w:w="20" w:type="dxa"/>
            </w:tcMar>
            <w:vAlign w:val="bottom"/>
          </w:tcPr>
          <w:p w14:paraId="19503799"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79A" w14:textId="77777777" w:rsidR="00BF3A3A" w:rsidRDefault="00A76802">
            <w:pPr>
              <w:jc w:val="center"/>
              <w:textAlignment w:val="bottom"/>
            </w:pPr>
            <w:r>
              <w:rPr>
                <w:rFonts w:ascii="sans-serif" w:eastAsia="sans-serif" w:hAnsi="sans-serif" w:cs="sans-serif"/>
                <w:b/>
                <w:bCs/>
                <w:color w:val="000000"/>
                <w:sz w:val="20"/>
                <w:szCs w:val="20"/>
              </w:rPr>
              <w:t>July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79B"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79C" w14:textId="77777777" w:rsidR="00BF3A3A" w:rsidRDefault="00A76802">
            <w:pPr>
              <w:jc w:val="center"/>
              <w:textAlignment w:val="bottom"/>
            </w:pPr>
            <w:r>
              <w:rPr>
                <w:rFonts w:ascii="sans-serif" w:eastAsia="sans-serif" w:hAnsi="sans-serif" w:cs="sans-serif"/>
                <w:b/>
                <w:bCs/>
                <w:color w:val="000000"/>
                <w:sz w:val="20"/>
                <w:szCs w:val="20"/>
              </w:rPr>
              <w:t>August 1,</w:t>
            </w:r>
          </w:p>
        </w:tc>
        <w:tc>
          <w:tcPr>
            <w:tcW w:w="0" w:type="auto"/>
            <w:gridSpan w:val="3"/>
            <w:shd w:val="clear" w:color="auto" w:fill="auto"/>
            <w:tcMar>
              <w:top w:w="0" w:type="dxa"/>
              <w:left w:w="20" w:type="dxa"/>
              <w:bottom w:w="0" w:type="dxa"/>
              <w:right w:w="20" w:type="dxa"/>
            </w:tcMar>
            <w:vAlign w:val="bottom"/>
          </w:tcPr>
          <w:p w14:paraId="1950379D"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79E" w14:textId="77777777" w:rsidR="00BF3A3A" w:rsidRDefault="00A76802">
            <w:pPr>
              <w:jc w:val="center"/>
              <w:textAlignment w:val="bottom"/>
            </w:pPr>
            <w:r>
              <w:rPr>
                <w:rFonts w:ascii="sans-serif" w:eastAsia="sans-serif" w:hAnsi="sans-serif" w:cs="sans-serif"/>
                <w:b/>
                <w:bCs/>
                <w:color w:val="000000"/>
                <w:sz w:val="20"/>
                <w:szCs w:val="20"/>
              </w:rPr>
              <w:t>July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79F"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7A0" w14:textId="77777777" w:rsidR="00BF3A3A" w:rsidRDefault="00A76802">
            <w:pPr>
              <w:jc w:val="center"/>
              <w:textAlignment w:val="bottom"/>
            </w:pPr>
            <w:r>
              <w:rPr>
                <w:rFonts w:ascii="sans-serif" w:eastAsia="sans-serif" w:hAnsi="sans-serif" w:cs="sans-serif"/>
                <w:b/>
                <w:bCs/>
                <w:color w:val="000000"/>
                <w:sz w:val="20"/>
                <w:szCs w:val="20"/>
              </w:rPr>
              <w:t>August 1,</w:t>
            </w:r>
          </w:p>
        </w:tc>
      </w:tr>
      <w:tr w:rsidR="00BF3A3A" w14:paraId="195037AA" w14:textId="77777777">
        <w:tc>
          <w:tcPr>
            <w:tcW w:w="0" w:type="auto"/>
            <w:gridSpan w:val="3"/>
            <w:shd w:val="clear" w:color="auto" w:fill="auto"/>
            <w:tcMar>
              <w:top w:w="40" w:type="dxa"/>
              <w:left w:w="20" w:type="dxa"/>
              <w:bottom w:w="40" w:type="dxa"/>
              <w:right w:w="20" w:type="dxa"/>
            </w:tcMar>
            <w:vAlign w:val="bottom"/>
          </w:tcPr>
          <w:p w14:paraId="195037A2"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auto"/>
            <w:tcMar>
              <w:top w:w="40" w:type="dxa"/>
              <w:left w:w="20" w:type="dxa"/>
              <w:bottom w:w="40" w:type="dxa"/>
              <w:right w:w="20" w:type="dxa"/>
            </w:tcMar>
            <w:vAlign w:val="bottom"/>
          </w:tcPr>
          <w:p w14:paraId="195037A3" w14:textId="77777777" w:rsidR="00BF3A3A" w:rsidRDefault="00A76802">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195037A4"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7A5" w14:textId="77777777" w:rsidR="00BF3A3A" w:rsidRDefault="00A76802">
            <w:pPr>
              <w:jc w:val="center"/>
              <w:textAlignment w:val="bottom"/>
            </w:pPr>
            <w:r>
              <w:rPr>
                <w:rFonts w:ascii="sans-serif" w:eastAsia="sans-serif" w:hAnsi="sans-serif" w:cs="sans-serif"/>
                <w:b/>
                <w:bCs/>
                <w:color w:val="000000"/>
                <w:sz w:val="20"/>
                <w:szCs w:val="20"/>
              </w:rPr>
              <w:t>2021</w:t>
            </w:r>
          </w:p>
        </w:tc>
        <w:tc>
          <w:tcPr>
            <w:tcW w:w="0" w:type="auto"/>
            <w:gridSpan w:val="3"/>
            <w:shd w:val="clear" w:color="auto" w:fill="auto"/>
            <w:tcMar>
              <w:top w:w="0" w:type="dxa"/>
              <w:left w:w="20" w:type="dxa"/>
              <w:bottom w:w="0" w:type="dxa"/>
              <w:right w:w="20" w:type="dxa"/>
            </w:tcMar>
            <w:vAlign w:val="bottom"/>
          </w:tcPr>
          <w:p w14:paraId="195037A6"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7A7" w14:textId="77777777" w:rsidR="00BF3A3A" w:rsidRDefault="00A76802">
            <w:pPr>
              <w:jc w:val="center"/>
              <w:textAlignment w:val="bottom"/>
            </w:pPr>
            <w:r>
              <w:rPr>
                <w:rFonts w:ascii="sans-serif" w:eastAsia="sans-serif" w:hAnsi="sans-serif" w:cs="sans-serif"/>
                <w:b/>
                <w:bCs/>
                <w:color w:val="000000"/>
                <w:sz w:val="20"/>
                <w:szCs w:val="20"/>
              </w:rPr>
              <w:t>2022</w:t>
            </w:r>
          </w:p>
        </w:tc>
        <w:tc>
          <w:tcPr>
            <w:tcW w:w="0" w:type="auto"/>
            <w:gridSpan w:val="3"/>
            <w:shd w:val="clear" w:color="auto" w:fill="auto"/>
            <w:tcMar>
              <w:top w:w="0" w:type="dxa"/>
              <w:left w:w="20" w:type="dxa"/>
              <w:bottom w:w="0" w:type="dxa"/>
              <w:right w:w="20" w:type="dxa"/>
            </w:tcMar>
            <w:vAlign w:val="bottom"/>
          </w:tcPr>
          <w:p w14:paraId="195037A8"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7A9" w14:textId="77777777" w:rsidR="00BF3A3A" w:rsidRDefault="00A76802">
            <w:pPr>
              <w:jc w:val="center"/>
              <w:textAlignment w:val="bottom"/>
            </w:pPr>
            <w:r>
              <w:rPr>
                <w:rFonts w:ascii="sans-serif" w:eastAsia="sans-serif" w:hAnsi="sans-serif" w:cs="sans-serif"/>
                <w:b/>
                <w:bCs/>
                <w:color w:val="000000"/>
                <w:sz w:val="20"/>
                <w:szCs w:val="20"/>
              </w:rPr>
              <w:t>2021</w:t>
            </w:r>
          </w:p>
        </w:tc>
      </w:tr>
      <w:tr w:rsidR="00BF3A3A" w14:paraId="195037B3" w14:textId="77777777">
        <w:trPr>
          <w:trHeight w:val="60"/>
        </w:trPr>
        <w:tc>
          <w:tcPr>
            <w:tcW w:w="0" w:type="auto"/>
            <w:gridSpan w:val="3"/>
            <w:shd w:val="clear" w:color="auto" w:fill="auto"/>
            <w:tcMar>
              <w:top w:w="0" w:type="dxa"/>
              <w:left w:w="20" w:type="dxa"/>
              <w:bottom w:w="0" w:type="dxa"/>
              <w:right w:w="20" w:type="dxa"/>
            </w:tcMar>
            <w:vAlign w:val="bottom"/>
          </w:tcPr>
          <w:p w14:paraId="195037AB"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7AC"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7AD"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7AE"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7AF"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7B0"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7B1"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7B2" w14:textId="77777777" w:rsidR="00BF3A3A" w:rsidRDefault="00BF3A3A">
            <w:pPr>
              <w:rPr>
                <w:rFonts w:ascii="宋体"/>
              </w:rPr>
            </w:pPr>
          </w:p>
        </w:tc>
      </w:tr>
      <w:tr w:rsidR="00BF3A3A" w14:paraId="195037B6" w14:textId="77777777">
        <w:tc>
          <w:tcPr>
            <w:tcW w:w="0" w:type="auto"/>
            <w:gridSpan w:val="3"/>
            <w:shd w:val="clear" w:color="auto" w:fill="auto"/>
            <w:tcMar>
              <w:top w:w="40" w:type="dxa"/>
              <w:left w:w="20" w:type="dxa"/>
              <w:bottom w:w="40" w:type="dxa"/>
              <w:right w:w="20" w:type="dxa"/>
            </w:tcMar>
            <w:vAlign w:val="bottom"/>
          </w:tcPr>
          <w:p w14:paraId="195037B4" w14:textId="77777777" w:rsidR="00BF3A3A" w:rsidRDefault="00A76802">
            <w:pPr>
              <w:textAlignment w:val="bottom"/>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bottom"/>
          </w:tcPr>
          <w:p w14:paraId="195037B5" w14:textId="77777777" w:rsidR="00BF3A3A" w:rsidRDefault="00A76802">
            <w:pPr>
              <w:jc w:val="center"/>
              <w:textAlignment w:val="bottom"/>
            </w:pPr>
            <w:r>
              <w:rPr>
                <w:rFonts w:ascii="sans-serif" w:eastAsia="sans-serif" w:hAnsi="sans-serif" w:cs="sans-serif"/>
                <w:i/>
                <w:iCs/>
                <w:color w:val="000000"/>
                <w:sz w:val="20"/>
                <w:szCs w:val="20"/>
              </w:rPr>
              <w:t>(In millions)</w:t>
            </w:r>
          </w:p>
        </w:tc>
      </w:tr>
      <w:tr w:rsidR="00BF3A3A" w14:paraId="195037BF" w14:textId="77777777">
        <w:tc>
          <w:tcPr>
            <w:tcW w:w="0" w:type="auto"/>
            <w:gridSpan w:val="3"/>
            <w:shd w:val="clear" w:color="auto" w:fill="auto"/>
            <w:tcMar>
              <w:top w:w="40" w:type="dxa"/>
              <w:left w:w="20" w:type="dxa"/>
              <w:bottom w:w="40" w:type="dxa"/>
              <w:right w:w="20" w:type="dxa"/>
            </w:tcMar>
            <w:vAlign w:val="bottom"/>
          </w:tcPr>
          <w:p w14:paraId="195037B7" w14:textId="77777777" w:rsidR="00BF3A3A" w:rsidRDefault="00A76802">
            <w:pPr>
              <w:textAlignment w:val="bottom"/>
            </w:pPr>
            <w:r>
              <w:rPr>
                <w:rFonts w:ascii="sans-serif" w:eastAsia="sans-serif" w:hAnsi="sans-serif" w:cs="sans-serif"/>
                <w:b/>
                <w:bCs/>
                <w:color w:val="000000"/>
                <w:sz w:val="20"/>
                <w:szCs w:val="20"/>
              </w:rPr>
              <w:t>Revenue:</w:t>
            </w:r>
          </w:p>
        </w:tc>
        <w:tc>
          <w:tcPr>
            <w:tcW w:w="0" w:type="auto"/>
            <w:gridSpan w:val="3"/>
            <w:shd w:val="clear" w:color="auto" w:fill="auto"/>
            <w:tcMar>
              <w:top w:w="40" w:type="dxa"/>
              <w:left w:w="20" w:type="dxa"/>
              <w:bottom w:w="40" w:type="dxa"/>
              <w:right w:w="20" w:type="dxa"/>
            </w:tcMar>
            <w:vAlign w:val="bottom"/>
          </w:tcPr>
          <w:p w14:paraId="195037B8"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95037B9"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7BA"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shd w:val="clear" w:color="auto" w:fill="auto"/>
            <w:tcMar>
              <w:top w:w="0" w:type="dxa"/>
              <w:left w:w="20" w:type="dxa"/>
              <w:bottom w:w="0" w:type="dxa"/>
              <w:right w:w="20" w:type="dxa"/>
            </w:tcMar>
            <w:vAlign w:val="bottom"/>
          </w:tcPr>
          <w:p w14:paraId="195037BB"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7BC"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7BD"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7BE" w14:textId="77777777" w:rsidR="00BF3A3A" w:rsidRDefault="00BF3A3A">
            <w:pPr>
              <w:rPr>
                <w:rFonts w:ascii="宋体"/>
              </w:rPr>
            </w:pPr>
          </w:p>
        </w:tc>
      </w:tr>
      <w:tr w:rsidR="00BF3A3A" w14:paraId="195037D0" w14:textId="77777777">
        <w:tc>
          <w:tcPr>
            <w:tcW w:w="0" w:type="auto"/>
            <w:gridSpan w:val="3"/>
            <w:shd w:val="clear" w:color="auto" w:fill="E2EFD9"/>
            <w:tcMar>
              <w:top w:w="40" w:type="dxa"/>
              <w:left w:w="245" w:type="dxa"/>
              <w:bottom w:w="40" w:type="dxa"/>
              <w:right w:w="20" w:type="dxa"/>
            </w:tcMar>
            <w:vAlign w:val="bottom"/>
          </w:tcPr>
          <w:p w14:paraId="195037C0" w14:textId="77777777" w:rsidR="00BF3A3A" w:rsidRDefault="00A76802">
            <w:pPr>
              <w:textAlignment w:val="bottom"/>
            </w:pPr>
            <w:r>
              <w:rPr>
                <w:rFonts w:ascii="sans-serif" w:eastAsia="sans-serif" w:hAnsi="sans-serif" w:cs="sans-serif"/>
                <w:color w:val="000000"/>
                <w:sz w:val="20"/>
                <w:szCs w:val="20"/>
              </w:rPr>
              <w:t>Gaming</w:t>
            </w:r>
          </w:p>
        </w:tc>
        <w:tc>
          <w:tcPr>
            <w:tcW w:w="0" w:type="auto"/>
            <w:shd w:val="clear" w:color="auto" w:fill="E2EFD9"/>
            <w:tcMar>
              <w:top w:w="40" w:type="dxa"/>
              <w:left w:w="20" w:type="dxa"/>
              <w:bottom w:w="40" w:type="dxa"/>
              <w:right w:w="0" w:type="dxa"/>
            </w:tcMar>
            <w:vAlign w:val="bottom"/>
          </w:tcPr>
          <w:p w14:paraId="195037C1"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7C2" w14:textId="77777777" w:rsidR="00BF3A3A" w:rsidRDefault="00A76802">
            <w:pPr>
              <w:jc w:val="right"/>
              <w:textAlignment w:val="bottom"/>
            </w:pPr>
            <w:r>
              <w:rPr>
                <w:rFonts w:ascii="sans-serif" w:eastAsia="sans-serif" w:hAnsi="sans-serif" w:cs="sans-serif"/>
                <w:color w:val="000000"/>
                <w:sz w:val="20"/>
                <w:szCs w:val="20"/>
              </w:rPr>
              <w:t>2,042 </w:t>
            </w:r>
          </w:p>
        </w:tc>
        <w:tc>
          <w:tcPr>
            <w:tcW w:w="0" w:type="auto"/>
            <w:shd w:val="clear" w:color="auto" w:fill="E2EFD9"/>
            <w:tcMar>
              <w:top w:w="40" w:type="dxa"/>
              <w:left w:w="0" w:type="dxa"/>
              <w:bottom w:w="40" w:type="dxa"/>
              <w:right w:w="20" w:type="dxa"/>
            </w:tcMar>
            <w:vAlign w:val="bottom"/>
          </w:tcPr>
          <w:p w14:paraId="195037C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7C4"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7C5"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7C6" w14:textId="77777777" w:rsidR="00BF3A3A" w:rsidRDefault="00A76802">
            <w:pPr>
              <w:jc w:val="right"/>
              <w:textAlignment w:val="bottom"/>
            </w:pPr>
            <w:r>
              <w:rPr>
                <w:rFonts w:ascii="sans-serif" w:eastAsia="sans-serif" w:hAnsi="sans-serif" w:cs="sans-serif"/>
                <w:color w:val="000000"/>
                <w:sz w:val="20"/>
                <w:szCs w:val="20"/>
              </w:rPr>
              <w:t>3,061 </w:t>
            </w:r>
          </w:p>
        </w:tc>
        <w:tc>
          <w:tcPr>
            <w:tcW w:w="0" w:type="auto"/>
            <w:shd w:val="clear" w:color="auto" w:fill="E2EFD9"/>
            <w:tcMar>
              <w:top w:w="40" w:type="dxa"/>
              <w:left w:w="0" w:type="dxa"/>
              <w:bottom w:w="40" w:type="dxa"/>
              <w:right w:w="20" w:type="dxa"/>
            </w:tcMar>
            <w:vAlign w:val="bottom"/>
          </w:tcPr>
          <w:p w14:paraId="195037C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7C8"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7C9"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7CA" w14:textId="77777777" w:rsidR="00BF3A3A" w:rsidRDefault="00A76802">
            <w:pPr>
              <w:jc w:val="right"/>
              <w:textAlignment w:val="bottom"/>
            </w:pPr>
            <w:r>
              <w:rPr>
                <w:rFonts w:ascii="sans-serif" w:eastAsia="sans-serif" w:hAnsi="sans-serif" w:cs="sans-serif"/>
                <w:color w:val="000000"/>
                <w:sz w:val="20"/>
                <w:szCs w:val="20"/>
              </w:rPr>
              <w:t>5,662 </w:t>
            </w:r>
          </w:p>
        </w:tc>
        <w:tc>
          <w:tcPr>
            <w:tcW w:w="0" w:type="auto"/>
            <w:shd w:val="clear" w:color="auto" w:fill="E2EFD9"/>
            <w:tcMar>
              <w:top w:w="40" w:type="dxa"/>
              <w:left w:w="0" w:type="dxa"/>
              <w:bottom w:w="40" w:type="dxa"/>
              <w:right w:w="20" w:type="dxa"/>
            </w:tcMar>
            <w:vAlign w:val="bottom"/>
          </w:tcPr>
          <w:p w14:paraId="195037CB"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7CC"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7CD"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7CE" w14:textId="77777777" w:rsidR="00BF3A3A" w:rsidRDefault="00A76802">
            <w:pPr>
              <w:jc w:val="right"/>
              <w:textAlignment w:val="bottom"/>
            </w:pPr>
            <w:r>
              <w:rPr>
                <w:rFonts w:ascii="sans-serif" w:eastAsia="sans-serif" w:hAnsi="sans-serif" w:cs="sans-serif"/>
                <w:color w:val="000000"/>
                <w:sz w:val="20"/>
                <w:szCs w:val="20"/>
              </w:rPr>
              <w:t>5,821 </w:t>
            </w:r>
          </w:p>
        </w:tc>
        <w:tc>
          <w:tcPr>
            <w:tcW w:w="0" w:type="auto"/>
            <w:shd w:val="clear" w:color="auto" w:fill="E2EFD9"/>
            <w:tcMar>
              <w:top w:w="40" w:type="dxa"/>
              <w:left w:w="0" w:type="dxa"/>
              <w:bottom w:w="40" w:type="dxa"/>
              <w:right w:w="20" w:type="dxa"/>
            </w:tcMar>
            <w:vAlign w:val="bottom"/>
          </w:tcPr>
          <w:p w14:paraId="195037CF" w14:textId="77777777" w:rsidR="00BF3A3A" w:rsidRDefault="00BF3A3A">
            <w:pPr>
              <w:jc w:val="right"/>
              <w:rPr>
                <w:rFonts w:ascii="宋体"/>
              </w:rPr>
            </w:pPr>
          </w:p>
        </w:tc>
      </w:tr>
      <w:tr w:rsidR="00BF3A3A" w14:paraId="195037DD" w14:textId="77777777">
        <w:tc>
          <w:tcPr>
            <w:tcW w:w="0" w:type="auto"/>
            <w:gridSpan w:val="3"/>
            <w:shd w:val="clear" w:color="auto" w:fill="FFFFFF"/>
            <w:tcMar>
              <w:top w:w="40" w:type="dxa"/>
              <w:left w:w="245" w:type="dxa"/>
              <w:bottom w:w="40" w:type="dxa"/>
              <w:right w:w="20" w:type="dxa"/>
            </w:tcMar>
            <w:vAlign w:val="bottom"/>
          </w:tcPr>
          <w:p w14:paraId="195037D1" w14:textId="77777777" w:rsidR="00BF3A3A" w:rsidRDefault="00A76802">
            <w:pPr>
              <w:textAlignment w:val="bottom"/>
            </w:pPr>
            <w:r>
              <w:rPr>
                <w:rFonts w:ascii="sans-serif" w:eastAsia="sans-serif" w:hAnsi="sans-serif" w:cs="sans-serif"/>
                <w:color w:val="000000"/>
                <w:sz w:val="20"/>
                <w:szCs w:val="20"/>
              </w:rPr>
              <w:t>Data Center</w:t>
            </w:r>
          </w:p>
        </w:tc>
        <w:tc>
          <w:tcPr>
            <w:tcW w:w="0" w:type="auto"/>
            <w:gridSpan w:val="2"/>
            <w:shd w:val="clear" w:color="auto" w:fill="FFFFFF"/>
            <w:tcMar>
              <w:top w:w="40" w:type="dxa"/>
              <w:left w:w="20" w:type="dxa"/>
              <w:bottom w:w="40" w:type="dxa"/>
              <w:right w:w="0" w:type="dxa"/>
            </w:tcMar>
            <w:vAlign w:val="bottom"/>
          </w:tcPr>
          <w:p w14:paraId="195037D2" w14:textId="77777777" w:rsidR="00BF3A3A" w:rsidRDefault="00A76802">
            <w:pPr>
              <w:jc w:val="right"/>
              <w:textAlignment w:val="bottom"/>
            </w:pPr>
            <w:r>
              <w:rPr>
                <w:rFonts w:ascii="sans-serif" w:eastAsia="sans-serif" w:hAnsi="sans-serif" w:cs="sans-serif"/>
                <w:color w:val="000000"/>
                <w:sz w:val="20"/>
                <w:szCs w:val="20"/>
              </w:rPr>
              <w:t>3,806 </w:t>
            </w:r>
          </w:p>
        </w:tc>
        <w:tc>
          <w:tcPr>
            <w:tcW w:w="0" w:type="auto"/>
            <w:shd w:val="clear" w:color="auto" w:fill="FFFFFF"/>
            <w:tcMar>
              <w:top w:w="40" w:type="dxa"/>
              <w:left w:w="0" w:type="dxa"/>
              <w:bottom w:w="40" w:type="dxa"/>
              <w:right w:w="20" w:type="dxa"/>
            </w:tcMar>
            <w:vAlign w:val="bottom"/>
          </w:tcPr>
          <w:p w14:paraId="195037D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7D4"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7D5" w14:textId="77777777" w:rsidR="00BF3A3A" w:rsidRDefault="00A76802">
            <w:pPr>
              <w:jc w:val="right"/>
              <w:textAlignment w:val="bottom"/>
            </w:pPr>
            <w:r>
              <w:rPr>
                <w:rFonts w:ascii="sans-serif" w:eastAsia="sans-serif" w:hAnsi="sans-serif" w:cs="sans-serif"/>
                <w:color w:val="000000"/>
                <w:sz w:val="20"/>
                <w:szCs w:val="20"/>
              </w:rPr>
              <w:t>2,366 </w:t>
            </w:r>
          </w:p>
        </w:tc>
        <w:tc>
          <w:tcPr>
            <w:tcW w:w="0" w:type="auto"/>
            <w:shd w:val="clear" w:color="auto" w:fill="FFFFFF"/>
            <w:tcMar>
              <w:top w:w="40" w:type="dxa"/>
              <w:left w:w="0" w:type="dxa"/>
              <w:bottom w:w="40" w:type="dxa"/>
              <w:right w:w="20" w:type="dxa"/>
            </w:tcMar>
            <w:vAlign w:val="bottom"/>
          </w:tcPr>
          <w:p w14:paraId="195037D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7D7"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7D8" w14:textId="77777777" w:rsidR="00BF3A3A" w:rsidRDefault="00A76802">
            <w:pPr>
              <w:jc w:val="right"/>
              <w:textAlignment w:val="bottom"/>
            </w:pPr>
            <w:r>
              <w:rPr>
                <w:rFonts w:ascii="sans-serif" w:eastAsia="sans-serif" w:hAnsi="sans-serif" w:cs="sans-serif"/>
                <w:color w:val="000000"/>
                <w:sz w:val="20"/>
                <w:szCs w:val="20"/>
              </w:rPr>
              <w:t>7,556 </w:t>
            </w:r>
          </w:p>
        </w:tc>
        <w:tc>
          <w:tcPr>
            <w:tcW w:w="0" w:type="auto"/>
            <w:shd w:val="clear" w:color="auto" w:fill="FFFFFF"/>
            <w:tcMar>
              <w:top w:w="40" w:type="dxa"/>
              <w:left w:w="0" w:type="dxa"/>
              <w:bottom w:w="40" w:type="dxa"/>
              <w:right w:w="20" w:type="dxa"/>
            </w:tcMar>
            <w:vAlign w:val="bottom"/>
          </w:tcPr>
          <w:p w14:paraId="195037D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7DA"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7DB" w14:textId="77777777" w:rsidR="00BF3A3A" w:rsidRDefault="00A76802">
            <w:pPr>
              <w:jc w:val="right"/>
              <w:textAlignment w:val="bottom"/>
            </w:pPr>
            <w:r>
              <w:rPr>
                <w:rFonts w:ascii="sans-serif" w:eastAsia="sans-serif" w:hAnsi="sans-serif" w:cs="sans-serif"/>
                <w:color w:val="000000"/>
                <w:sz w:val="20"/>
                <w:szCs w:val="20"/>
              </w:rPr>
              <w:t>4,414 </w:t>
            </w:r>
          </w:p>
        </w:tc>
        <w:tc>
          <w:tcPr>
            <w:tcW w:w="0" w:type="auto"/>
            <w:shd w:val="clear" w:color="auto" w:fill="FFFFFF"/>
            <w:tcMar>
              <w:top w:w="40" w:type="dxa"/>
              <w:left w:w="0" w:type="dxa"/>
              <w:bottom w:w="40" w:type="dxa"/>
              <w:right w:w="20" w:type="dxa"/>
            </w:tcMar>
            <w:vAlign w:val="bottom"/>
          </w:tcPr>
          <w:p w14:paraId="195037DC" w14:textId="77777777" w:rsidR="00BF3A3A" w:rsidRDefault="00BF3A3A">
            <w:pPr>
              <w:jc w:val="right"/>
              <w:rPr>
                <w:rFonts w:ascii="宋体"/>
              </w:rPr>
            </w:pPr>
          </w:p>
        </w:tc>
      </w:tr>
      <w:tr w:rsidR="00BF3A3A" w14:paraId="195037EA" w14:textId="77777777">
        <w:tc>
          <w:tcPr>
            <w:tcW w:w="0" w:type="auto"/>
            <w:gridSpan w:val="3"/>
            <w:shd w:val="clear" w:color="auto" w:fill="E2EFD9"/>
            <w:tcMar>
              <w:top w:w="40" w:type="dxa"/>
              <w:left w:w="245" w:type="dxa"/>
              <w:bottom w:w="40" w:type="dxa"/>
              <w:right w:w="20" w:type="dxa"/>
            </w:tcMar>
            <w:vAlign w:val="bottom"/>
          </w:tcPr>
          <w:p w14:paraId="195037DE" w14:textId="77777777" w:rsidR="00BF3A3A" w:rsidRDefault="00A76802">
            <w:pPr>
              <w:textAlignment w:val="bottom"/>
            </w:pPr>
            <w:r>
              <w:rPr>
                <w:rFonts w:ascii="sans-serif" w:eastAsia="sans-serif" w:hAnsi="sans-serif" w:cs="sans-serif"/>
                <w:color w:val="000000"/>
                <w:sz w:val="20"/>
                <w:szCs w:val="20"/>
              </w:rPr>
              <w:t>Professional Visualization</w:t>
            </w:r>
          </w:p>
        </w:tc>
        <w:tc>
          <w:tcPr>
            <w:tcW w:w="0" w:type="auto"/>
            <w:gridSpan w:val="2"/>
            <w:shd w:val="clear" w:color="auto" w:fill="E2EFD9"/>
            <w:tcMar>
              <w:top w:w="40" w:type="dxa"/>
              <w:left w:w="20" w:type="dxa"/>
              <w:bottom w:w="40" w:type="dxa"/>
              <w:right w:w="0" w:type="dxa"/>
            </w:tcMar>
            <w:vAlign w:val="bottom"/>
          </w:tcPr>
          <w:p w14:paraId="195037DF" w14:textId="77777777" w:rsidR="00BF3A3A" w:rsidRDefault="00A76802">
            <w:pPr>
              <w:jc w:val="right"/>
              <w:textAlignment w:val="bottom"/>
            </w:pPr>
            <w:r>
              <w:rPr>
                <w:rFonts w:ascii="sans-serif" w:eastAsia="sans-serif" w:hAnsi="sans-serif" w:cs="sans-serif"/>
                <w:color w:val="000000"/>
                <w:sz w:val="20"/>
                <w:szCs w:val="20"/>
              </w:rPr>
              <w:t>496 </w:t>
            </w:r>
          </w:p>
        </w:tc>
        <w:tc>
          <w:tcPr>
            <w:tcW w:w="0" w:type="auto"/>
            <w:shd w:val="clear" w:color="auto" w:fill="E2EFD9"/>
            <w:tcMar>
              <w:top w:w="40" w:type="dxa"/>
              <w:left w:w="0" w:type="dxa"/>
              <w:bottom w:w="40" w:type="dxa"/>
              <w:right w:w="20" w:type="dxa"/>
            </w:tcMar>
            <w:vAlign w:val="bottom"/>
          </w:tcPr>
          <w:p w14:paraId="195037E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7E1"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7E2" w14:textId="77777777" w:rsidR="00BF3A3A" w:rsidRDefault="00A76802">
            <w:pPr>
              <w:jc w:val="right"/>
              <w:textAlignment w:val="bottom"/>
            </w:pPr>
            <w:r>
              <w:rPr>
                <w:rFonts w:ascii="sans-serif" w:eastAsia="sans-serif" w:hAnsi="sans-serif" w:cs="sans-serif"/>
                <w:color w:val="000000"/>
                <w:sz w:val="20"/>
                <w:szCs w:val="20"/>
              </w:rPr>
              <w:t>519 </w:t>
            </w:r>
          </w:p>
        </w:tc>
        <w:tc>
          <w:tcPr>
            <w:tcW w:w="0" w:type="auto"/>
            <w:shd w:val="clear" w:color="auto" w:fill="E2EFD9"/>
            <w:tcMar>
              <w:top w:w="40" w:type="dxa"/>
              <w:left w:w="0" w:type="dxa"/>
              <w:bottom w:w="40" w:type="dxa"/>
              <w:right w:w="20" w:type="dxa"/>
            </w:tcMar>
            <w:vAlign w:val="bottom"/>
          </w:tcPr>
          <w:p w14:paraId="195037E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7E4"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7E5" w14:textId="77777777" w:rsidR="00BF3A3A" w:rsidRDefault="00A76802">
            <w:pPr>
              <w:jc w:val="right"/>
              <w:textAlignment w:val="bottom"/>
            </w:pPr>
            <w:r>
              <w:rPr>
                <w:rFonts w:ascii="sans-serif" w:eastAsia="sans-serif" w:hAnsi="sans-serif" w:cs="sans-serif"/>
                <w:color w:val="000000"/>
                <w:sz w:val="20"/>
                <w:szCs w:val="20"/>
              </w:rPr>
              <w:t>1,118 </w:t>
            </w:r>
          </w:p>
        </w:tc>
        <w:tc>
          <w:tcPr>
            <w:tcW w:w="0" w:type="auto"/>
            <w:shd w:val="clear" w:color="auto" w:fill="E2EFD9"/>
            <w:tcMar>
              <w:top w:w="40" w:type="dxa"/>
              <w:left w:w="0" w:type="dxa"/>
              <w:bottom w:w="40" w:type="dxa"/>
              <w:right w:w="20" w:type="dxa"/>
            </w:tcMar>
            <w:vAlign w:val="bottom"/>
          </w:tcPr>
          <w:p w14:paraId="195037E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7E7"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7E8" w14:textId="77777777" w:rsidR="00BF3A3A" w:rsidRDefault="00A76802">
            <w:pPr>
              <w:jc w:val="right"/>
              <w:textAlignment w:val="bottom"/>
            </w:pPr>
            <w:r>
              <w:rPr>
                <w:rFonts w:ascii="sans-serif" w:eastAsia="sans-serif" w:hAnsi="sans-serif" w:cs="sans-serif"/>
                <w:color w:val="000000"/>
                <w:sz w:val="20"/>
                <w:szCs w:val="20"/>
              </w:rPr>
              <w:t>891 </w:t>
            </w:r>
          </w:p>
        </w:tc>
        <w:tc>
          <w:tcPr>
            <w:tcW w:w="0" w:type="auto"/>
            <w:shd w:val="clear" w:color="auto" w:fill="E2EFD9"/>
            <w:tcMar>
              <w:top w:w="40" w:type="dxa"/>
              <w:left w:w="0" w:type="dxa"/>
              <w:bottom w:w="40" w:type="dxa"/>
              <w:right w:w="20" w:type="dxa"/>
            </w:tcMar>
            <w:vAlign w:val="bottom"/>
          </w:tcPr>
          <w:p w14:paraId="195037E9" w14:textId="77777777" w:rsidR="00BF3A3A" w:rsidRDefault="00BF3A3A">
            <w:pPr>
              <w:jc w:val="right"/>
              <w:rPr>
                <w:rFonts w:ascii="宋体"/>
              </w:rPr>
            </w:pPr>
          </w:p>
        </w:tc>
      </w:tr>
      <w:tr w:rsidR="00BF3A3A" w14:paraId="195037F7" w14:textId="77777777">
        <w:tc>
          <w:tcPr>
            <w:tcW w:w="0" w:type="auto"/>
            <w:gridSpan w:val="3"/>
            <w:shd w:val="clear" w:color="auto" w:fill="FFFFFF"/>
            <w:tcMar>
              <w:top w:w="40" w:type="dxa"/>
              <w:left w:w="245" w:type="dxa"/>
              <w:bottom w:w="40" w:type="dxa"/>
              <w:right w:w="20" w:type="dxa"/>
            </w:tcMar>
            <w:vAlign w:val="bottom"/>
          </w:tcPr>
          <w:p w14:paraId="195037EB" w14:textId="77777777" w:rsidR="00BF3A3A" w:rsidRDefault="00A76802">
            <w:pPr>
              <w:textAlignment w:val="bottom"/>
            </w:pPr>
            <w:r>
              <w:rPr>
                <w:rFonts w:ascii="sans-serif" w:eastAsia="sans-serif" w:hAnsi="sans-serif" w:cs="sans-serif"/>
                <w:color w:val="000000"/>
                <w:sz w:val="20"/>
                <w:szCs w:val="20"/>
              </w:rPr>
              <w:t>Automotive</w:t>
            </w:r>
          </w:p>
        </w:tc>
        <w:tc>
          <w:tcPr>
            <w:tcW w:w="0" w:type="auto"/>
            <w:gridSpan w:val="2"/>
            <w:shd w:val="clear" w:color="auto" w:fill="FFFFFF"/>
            <w:tcMar>
              <w:top w:w="40" w:type="dxa"/>
              <w:left w:w="20" w:type="dxa"/>
              <w:bottom w:w="40" w:type="dxa"/>
              <w:right w:w="0" w:type="dxa"/>
            </w:tcMar>
            <w:vAlign w:val="bottom"/>
          </w:tcPr>
          <w:p w14:paraId="195037EC" w14:textId="77777777" w:rsidR="00BF3A3A" w:rsidRDefault="00A76802">
            <w:pPr>
              <w:jc w:val="right"/>
              <w:textAlignment w:val="bottom"/>
            </w:pPr>
            <w:r>
              <w:rPr>
                <w:rFonts w:ascii="sans-serif" w:eastAsia="sans-serif" w:hAnsi="sans-serif" w:cs="sans-serif"/>
                <w:color w:val="000000"/>
                <w:sz w:val="20"/>
                <w:szCs w:val="20"/>
              </w:rPr>
              <w:t>220 </w:t>
            </w:r>
          </w:p>
        </w:tc>
        <w:tc>
          <w:tcPr>
            <w:tcW w:w="0" w:type="auto"/>
            <w:shd w:val="clear" w:color="auto" w:fill="FFFFFF"/>
            <w:tcMar>
              <w:top w:w="40" w:type="dxa"/>
              <w:left w:w="0" w:type="dxa"/>
              <w:bottom w:w="40" w:type="dxa"/>
              <w:right w:w="20" w:type="dxa"/>
            </w:tcMar>
            <w:vAlign w:val="bottom"/>
          </w:tcPr>
          <w:p w14:paraId="195037E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7E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7EF" w14:textId="77777777" w:rsidR="00BF3A3A" w:rsidRDefault="00A76802">
            <w:pPr>
              <w:jc w:val="right"/>
              <w:textAlignment w:val="bottom"/>
            </w:pPr>
            <w:r>
              <w:rPr>
                <w:rFonts w:ascii="sans-serif" w:eastAsia="sans-serif" w:hAnsi="sans-serif" w:cs="sans-serif"/>
                <w:color w:val="000000"/>
                <w:sz w:val="20"/>
                <w:szCs w:val="20"/>
              </w:rPr>
              <w:t>152 </w:t>
            </w:r>
          </w:p>
        </w:tc>
        <w:tc>
          <w:tcPr>
            <w:tcW w:w="0" w:type="auto"/>
            <w:shd w:val="clear" w:color="auto" w:fill="FFFFFF"/>
            <w:tcMar>
              <w:top w:w="40" w:type="dxa"/>
              <w:left w:w="0" w:type="dxa"/>
              <w:bottom w:w="40" w:type="dxa"/>
              <w:right w:w="20" w:type="dxa"/>
            </w:tcMar>
            <w:vAlign w:val="bottom"/>
          </w:tcPr>
          <w:p w14:paraId="195037F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7F1"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7F2" w14:textId="77777777" w:rsidR="00BF3A3A" w:rsidRDefault="00A76802">
            <w:pPr>
              <w:jc w:val="right"/>
              <w:textAlignment w:val="bottom"/>
            </w:pPr>
            <w:r>
              <w:rPr>
                <w:rFonts w:ascii="sans-serif" w:eastAsia="sans-serif" w:hAnsi="sans-serif" w:cs="sans-serif"/>
                <w:color w:val="000000"/>
                <w:sz w:val="20"/>
                <w:szCs w:val="20"/>
              </w:rPr>
              <w:t>358 </w:t>
            </w:r>
          </w:p>
        </w:tc>
        <w:tc>
          <w:tcPr>
            <w:tcW w:w="0" w:type="auto"/>
            <w:shd w:val="clear" w:color="auto" w:fill="FFFFFF"/>
            <w:tcMar>
              <w:top w:w="40" w:type="dxa"/>
              <w:left w:w="0" w:type="dxa"/>
              <w:bottom w:w="40" w:type="dxa"/>
              <w:right w:w="20" w:type="dxa"/>
            </w:tcMar>
            <w:vAlign w:val="bottom"/>
          </w:tcPr>
          <w:p w14:paraId="195037F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7F4"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7F5" w14:textId="77777777" w:rsidR="00BF3A3A" w:rsidRDefault="00A76802">
            <w:pPr>
              <w:jc w:val="right"/>
              <w:textAlignment w:val="bottom"/>
            </w:pPr>
            <w:r>
              <w:rPr>
                <w:rFonts w:ascii="sans-serif" w:eastAsia="sans-serif" w:hAnsi="sans-serif" w:cs="sans-serif"/>
                <w:color w:val="000000"/>
                <w:sz w:val="20"/>
                <w:szCs w:val="20"/>
              </w:rPr>
              <w:t>306 </w:t>
            </w:r>
          </w:p>
        </w:tc>
        <w:tc>
          <w:tcPr>
            <w:tcW w:w="0" w:type="auto"/>
            <w:shd w:val="clear" w:color="auto" w:fill="FFFFFF"/>
            <w:tcMar>
              <w:top w:w="40" w:type="dxa"/>
              <w:left w:w="0" w:type="dxa"/>
              <w:bottom w:w="40" w:type="dxa"/>
              <w:right w:w="20" w:type="dxa"/>
            </w:tcMar>
            <w:vAlign w:val="bottom"/>
          </w:tcPr>
          <w:p w14:paraId="195037F6" w14:textId="77777777" w:rsidR="00BF3A3A" w:rsidRDefault="00BF3A3A">
            <w:pPr>
              <w:jc w:val="right"/>
              <w:rPr>
                <w:rFonts w:ascii="宋体"/>
              </w:rPr>
            </w:pPr>
          </w:p>
        </w:tc>
      </w:tr>
      <w:tr w:rsidR="00BF3A3A" w14:paraId="19503804" w14:textId="77777777">
        <w:tc>
          <w:tcPr>
            <w:tcW w:w="0" w:type="auto"/>
            <w:gridSpan w:val="3"/>
            <w:shd w:val="clear" w:color="auto" w:fill="E2EFD9"/>
            <w:tcMar>
              <w:top w:w="40" w:type="dxa"/>
              <w:left w:w="245" w:type="dxa"/>
              <w:bottom w:w="40" w:type="dxa"/>
              <w:right w:w="20" w:type="dxa"/>
            </w:tcMar>
            <w:vAlign w:val="bottom"/>
          </w:tcPr>
          <w:p w14:paraId="195037F8" w14:textId="77777777" w:rsidR="00BF3A3A" w:rsidRDefault="00A76802">
            <w:pPr>
              <w:textAlignment w:val="bottom"/>
            </w:pPr>
            <w:r>
              <w:rPr>
                <w:rFonts w:ascii="sans-serif" w:eastAsia="sans-serif" w:hAnsi="sans-serif" w:cs="sans-serif"/>
                <w:color w:val="000000"/>
                <w:sz w:val="20"/>
                <w:szCs w:val="20"/>
              </w:rPr>
              <w:t>OEM and Other</w:t>
            </w:r>
          </w:p>
        </w:tc>
        <w:tc>
          <w:tcPr>
            <w:tcW w:w="0" w:type="auto"/>
            <w:gridSpan w:val="2"/>
            <w:shd w:val="clear" w:color="auto" w:fill="E2EFD9"/>
            <w:tcMar>
              <w:top w:w="40" w:type="dxa"/>
              <w:left w:w="20" w:type="dxa"/>
              <w:bottom w:w="40" w:type="dxa"/>
              <w:right w:w="0" w:type="dxa"/>
            </w:tcMar>
            <w:vAlign w:val="bottom"/>
          </w:tcPr>
          <w:p w14:paraId="195037F9" w14:textId="77777777" w:rsidR="00BF3A3A" w:rsidRDefault="00A76802">
            <w:pPr>
              <w:jc w:val="right"/>
              <w:textAlignment w:val="bottom"/>
            </w:pPr>
            <w:r>
              <w:rPr>
                <w:rFonts w:ascii="sans-serif" w:eastAsia="sans-serif" w:hAnsi="sans-serif" w:cs="sans-serif"/>
                <w:color w:val="000000"/>
                <w:sz w:val="20"/>
                <w:szCs w:val="20"/>
              </w:rPr>
              <w:t>140 </w:t>
            </w:r>
          </w:p>
        </w:tc>
        <w:tc>
          <w:tcPr>
            <w:tcW w:w="0" w:type="auto"/>
            <w:shd w:val="clear" w:color="auto" w:fill="E2EFD9"/>
            <w:tcMar>
              <w:top w:w="40" w:type="dxa"/>
              <w:left w:w="0" w:type="dxa"/>
              <w:bottom w:w="40" w:type="dxa"/>
              <w:right w:w="20" w:type="dxa"/>
            </w:tcMar>
            <w:vAlign w:val="bottom"/>
          </w:tcPr>
          <w:p w14:paraId="195037F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7FB"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7FC" w14:textId="77777777" w:rsidR="00BF3A3A" w:rsidRDefault="00A76802">
            <w:pPr>
              <w:jc w:val="right"/>
              <w:textAlignment w:val="bottom"/>
            </w:pPr>
            <w:r>
              <w:rPr>
                <w:rFonts w:ascii="sans-serif" w:eastAsia="sans-serif" w:hAnsi="sans-serif" w:cs="sans-serif"/>
                <w:color w:val="000000"/>
                <w:sz w:val="20"/>
                <w:szCs w:val="20"/>
              </w:rPr>
              <w:t>409 </w:t>
            </w:r>
          </w:p>
        </w:tc>
        <w:tc>
          <w:tcPr>
            <w:tcW w:w="0" w:type="auto"/>
            <w:shd w:val="clear" w:color="auto" w:fill="E2EFD9"/>
            <w:tcMar>
              <w:top w:w="40" w:type="dxa"/>
              <w:left w:w="0" w:type="dxa"/>
              <w:bottom w:w="40" w:type="dxa"/>
              <w:right w:w="20" w:type="dxa"/>
            </w:tcMar>
            <w:vAlign w:val="bottom"/>
          </w:tcPr>
          <w:p w14:paraId="195037F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7FE"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7FF" w14:textId="77777777" w:rsidR="00BF3A3A" w:rsidRDefault="00A76802">
            <w:pPr>
              <w:jc w:val="right"/>
              <w:textAlignment w:val="bottom"/>
            </w:pPr>
            <w:r>
              <w:rPr>
                <w:rFonts w:ascii="sans-serif" w:eastAsia="sans-serif" w:hAnsi="sans-serif" w:cs="sans-serif"/>
                <w:color w:val="000000"/>
                <w:sz w:val="20"/>
                <w:szCs w:val="20"/>
              </w:rPr>
              <w:t>298 </w:t>
            </w:r>
          </w:p>
        </w:tc>
        <w:tc>
          <w:tcPr>
            <w:tcW w:w="0" w:type="auto"/>
            <w:shd w:val="clear" w:color="auto" w:fill="E2EFD9"/>
            <w:tcMar>
              <w:top w:w="40" w:type="dxa"/>
              <w:left w:w="0" w:type="dxa"/>
              <w:bottom w:w="40" w:type="dxa"/>
              <w:right w:w="20" w:type="dxa"/>
            </w:tcMar>
            <w:vAlign w:val="bottom"/>
          </w:tcPr>
          <w:p w14:paraId="1950380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801"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802" w14:textId="77777777" w:rsidR="00BF3A3A" w:rsidRDefault="00A76802">
            <w:pPr>
              <w:jc w:val="right"/>
              <w:textAlignment w:val="bottom"/>
            </w:pPr>
            <w:r>
              <w:rPr>
                <w:rFonts w:ascii="sans-serif" w:eastAsia="sans-serif" w:hAnsi="sans-serif" w:cs="sans-serif"/>
                <w:color w:val="000000"/>
                <w:sz w:val="20"/>
                <w:szCs w:val="20"/>
              </w:rPr>
              <w:t>736 </w:t>
            </w:r>
          </w:p>
        </w:tc>
        <w:tc>
          <w:tcPr>
            <w:tcW w:w="0" w:type="auto"/>
            <w:shd w:val="clear" w:color="auto" w:fill="E2EFD9"/>
            <w:tcMar>
              <w:top w:w="40" w:type="dxa"/>
              <w:left w:w="0" w:type="dxa"/>
              <w:bottom w:w="40" w:type="dxa"/>
              <w:right w:w="20" w:type="dxa"/>
            </w:tcMar>
            <w:vAlign w:val="bottom"/>
          </w:tcPr>
          <w:p w14:paraId="19503803" w14:textId="77777777" w:rsidR="00BF3A3A" w:rsidRDefault="00BF3A3A">
            <w:pPr>
              <w:jc w:val="right"/>
              <w:rPr>
                <w:rFonts w:ascii="宋体"/>
              </w:rPr>
            </w:pPr>
          </w:p>
        </w:tc>
      </w:tr>
      <w:tr w:rsidR="00BF3A3A" w14:paraId="19503815" w14:textId="77777777">
        <w:tc>
          <w:tcPr>
            <w:tcW w:w="0" w:type="auto"/>
            <w:gridSpan w:val="3"/>
            <w:shd w:val="clear" w:color="auto" w:fill="FFFFFF"/>
            <w:tcMar>
              <w:top w:w="40" w:type="dxa"/>
              <w:left w:w="20" w:type="dxa"/>
              <w:bottom w:w="40" w:type="dxa"/>
              <w:right w:w="20" w:type="dxa"/>
            </w:tcMar>
            <w:vAlign w:val="bottom"/>
          </w:tcPr>
          <w:p w14:paraId="19503805" w14:textId="77777777" w:rsidR="00BF3A3A" w:rsidRDefault="00A76802">
            <w:pPr>
              <w:textAlignment w:val="bottom"/>
            </w:pPr>
            <w:r>
              <w:rPr>
                <w:rFonts w:ascii="sans-serif" w:eastAsia="sans-serif" w:hAnsi="sans-serif" w:cs="sans-serif"/>
                <w:color w:val="000000"/>
                <w:sz w:val="20"/>
                <w:szCs w:val="20"/>
              </w:rPr>
              <w:t>Total revenue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806"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3807" w14:textId="77777777" w:rsidR="00BF3A3A" w:rsidRDefault="00A76802">
            <w:pPr>
              <w:jc w:val="right"/>
              <w:textAlignment w:val="bottom"/>
            </w:pPr>
            <w:r>
              <w:rPr>
                <w:rFonts w:ascii="sans-serif" w:eastAsia="sans-serif" w:hAnsi="sans-serif" w:cs="sans-serif"/>
                <w:color w:val="000000"/>
                <w:sz w:val="20"/>
                <w:szCs w:val="20"/>
              </w:rPr>
              <w:t>6,704 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808"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809"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80A"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380B" w14:textId="77777777" w:rsidR="00BF3A3A" w:rsidRDefault="00A76802">
            <w:pPr>
              <w:jc w:val="right"/>
              <w:textAlignment w:val="bottom"/>
            </w:pPr>
            <w:r>
              <w:rPr>
                <w:rFonts w:ascii="sans-serif" w:eastAsia="sans-serif" w:hAnsi="sans-serif" w:cs="sans-serif"/>
                <w:color w:val="000000"/>
                <w:sz w:val="20"/>
                <w:szCs w:val="20"/>
              </w:rPr>
              <w:t>6,507 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80C"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80D"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80E"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380F" w14:textId="77777777" w:rsidR="00BF3A3A" w:rsidRDefault="00A76802">
            <w:pPr>
              <w:jc w:val="right"/>
              <w:textAlignment w:val="bottom"/>
            </w:pPr>
            <w:r>
              <w:rPr>
                <w:rFonts w:ascii="sans-serif" w:eastAsia="sans-serif" w:hAnsi="sans-serif" w:cs="sans-serif"/>
                <w:color w:val="000000"/>
                <w:sz w:val="20"/>
                <w:szCs w:val="20"/>
              </w:rPr>
              <w:t>14,992 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81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811"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812"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3813" w14:textId="77777777" w:rsidR="00BF3A3A" w:rsidRDefault="00A76802">
            <w:pPr>
              <w:jc w:val="right"/>
              <w:textAlignment w:val="bottom"/>
            </w:pPr>
            <w:r>
              <w:rPr>
                <w:rFonts w:ascii="sans-serif" w:eastAsia="sans-serif" w:hAnsi="sans-serif" w:cs="sans-serif"/>
                <w:color w:val="000000"/>
                <w:sz w:val="20"/>
                <w:szCs w:val="20"/>
              </w:rPr>
              <w:t>12,168 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814" w14:textId="77777777" w:rsidR="00BF3A3A" w:rsidRDefault="00BF3A3A">
            <w:pPr>
              <w:jc w:val="right"/>
              <w:rPr>
                <w:rFonts w:ascii="宋体"/>
              </w:rPr>
            </w:pPr>
          </w:p>
        </w:tc>
      </w:tr>
    </w:tbl>
    <w:p w14:paraId="19503816" w14:textId="77777777" w:rsidR="00BF3A3A" w:rsidRDefault="00A76802">
      <w:pPr>
        <w:spacing w:before="180" w:after="180"/>
        <w:jc w:val="both"/>
      </w:pPr>
      <w:r>
        <w:rPr>
          <w:rFonts w:ascii="sans-serif" w:eastAsia="sans-serif" w:hAnsi="sans-serif" w:cs="sans-serif"/>
          <w:color w:val="000000"/>
          <w:sz w:val="20"/>
          <w:szCs w:val="20"/>
        </w:rPr>
        <w:t>No customer represented 10% or more of total revenue for the second quarter and first half of fiscal years 2023</w:t>
      </w:r>
      <w:r>
        <w:rPr>
          <w:rFonts w:ascii="sans-serif" w:eastAsia="sans-serif" w:hAnsi="sans-serif" w:cs="sans-serif"/>
          <w:color w:val="000000"/>
          <w:sz w:val="20"/>
          <w:szCs w:val="20"/>
        </w:rPr>
        <w:t xml:space="preserve"> or 2022.</w:t>
      </w:r>
    </w:p>
    <w:p w14:paraId="19503817" w14:textId="77777777" w:rsidR="00BF3A3A" w:rsidRDefault="00A76802">
      <w:pPr>
        <w:spacing w:after="180"/>
        <w:jc w:val="both"/>
      </w:pPr>
      <w:r>
        <w:rPr>
          <w:rFonts w:ascii="sans-serif" w:eastAsia="sans-serif" w:hAnsi="sans-serif" w:cs="sans-serif"/>
          <w:color w:val="000000"/>
          <w:sz w:val="20"/>
          <w:szCs w:val="20"/>
        </w:rPr>
        <w:t>Two customers each represented 10% or more of accounts receivable for a total of 21% of our accounts receivable balance as of July 31, 2022. Two customers each represented 10% or more of accounts receivable for a total of 22% as of January 30, 20</w:t>
      </w:r>
      <w:r>
        <w:rPr>
          <w:rFonts w:ascii="sans-serif" w:eastAsia="sans-serif" w:hAnsi="sans-serif" w:cs="sans-serif"/>
          <w:color w:val="000000"/>
          <w:sz w:val="20"/>
          <w:szCs w:val="20"/>
        </w:rPr>
        <w:t>22.</w:t>
      </w:r>
    </w:p>
    <w:p w14:paraId="19503818" w14:textId="77777777" w:rsidR="00BF3A3A" w:rsidRDefault="00A76802">
      <w:pPr>
        <w:spacing w:after="180"/>
        <w:jc w:val="center"/>
      </w:pPr>
      <w:r>
        <w:rPr>
          <w:rFonts w:ascii="sans-serif" w:eastAsia="sans-serif" w:hAnsi="sans-serif" w:cs="sans-serif"/>
          <w:color w:val="000000"/>
          <w:sz w:val="20"/>
          <w:szCs w:val="20"/>
        </w:rPr>
        <w:t>22</w:t>
      </w:r>
    </w:p>
    <w:p w14:paraId="19503819" w14:textId="77777777" w:rsidR="00BF3A3A" w:rsidRDefault="00A76802">
      <w:r>
        <w:pict w14:anchorId="19503FDB">
          <v:rect id="_x0000_i1046" style="width:415.3pt;height:1.5pt" o:hralign="center" o:hrstd="t" o:hr="t" fillcolor="#a0a0a0" stroked="f"/>
        </w:pict>
      </w:r>
    </w:p>
    <w:p w14:paraId="1950381A" w14:textId="77777777" w:rsidR="00BF3A3A" w:rsidRDefault="00BF3A3A">
      <w:pPr>
        <w:spacing w:after="180"/>
        <w:jc w:val="both"/>
      </w:pPr>
    </w:p>
    <w:p w14:paraId="1950381B" w14:textId="77777777" w:rsidR="00BF3A3A" w:rsidRDefault="00BF3A3A">
      <w:pPr>
        <w:spacing w:after="180"/>
        <w:jc w:val="both"/>
      </w:pPr>
    </w:p>
    <w:p w14:paraId="1950381C" w14:textId="77777777" w:rsidR="00BF3A3A" w:rsidRDefault="00BF3A3A">
      <w:pPr>
        <w:spacing w:after="180"/>
        <w:jc w:val="both"/>
      </w:pPr>
    </w:p>
    <w:p w14:paraId="1950381D" w14:textId="77777777" w:rsidR="00BF3A3A" w:rsidRDefault="00A76802">
      <w:pPr>
        <w:spacing w:before="240" w:after="120"/>
        <w:jc w:val="both"/>
      </w:pPr>
      <w:r>
        <w:rPr>
          <w:rFonts w:ascii="sans-serif" w:eastAsia="sans-serif" w:hAnsi="sans-serif" w:cs="sans-serif"/>
          <w:b/>
          <w:bCs/>
          <w:color w:val="76B900"/>
          <w:sz w:val="22"/>
          <w:szCs w:val="22"/>
        </w:rPr>
        <w:t>ITEM 2. MANAGEMENT’S DISCUSSION AND ANALYSIS OF FINANCIAL CONDITION AND RESULTS OF OPERATIONS</w:t>
      </w:r>
    </w:p>
    <w:p w14:paraId="1950381E" w14:textId="77777777" w:rsidR="00BF3A3A" w:rsidRDefault="00A76802">
      <w:pPr>
        <w:spacing w:before="120" w:after="60"/>
        <w:jc w:val="both"/>
      </w:pPr>
      <w:r>
        <w:rPr>
          <w:rFonts w:ascii="sans-serif" w:eastAsia="sans-serif" w:hAnsi="sans-serif" w:cs="sans-serif"/>
          <w:b/>
          <w:bCs/>
          <w:color w:val="76B900"/>
          <w:sz w:val="20"/>
          <w:szCs w:val="20"/>
        </w:rPr>
        <w:t>Forward-Looking Statements</w:t>
      </w:r>
      <w:r>
        <w:rPr>
          <w:rFonts w:ascii="sans-serif" w:eastAsia="sans-serif" w:hAnsi="sans-serif" w:cs="sans-serif"/>
          <w:i/>
          <w:iCs/>
          <w:color w:val="000000"/>
          <w:sz w:val="20"/>
          <w:szCs w:val="20"/>
        </w:rPr>
        <w:t> </w:t>
      </w:r>
    </w:p>
    <w:p w14:paraId="1950381F" w14:textId="77777777" w:rsidR="00BF3A3A" w:rsidRDefault="00A76802">
      <w:pPr>
        <w:spacing w:after="180"/>
        <w:jc w:val="both"/>
      </w:pPr>
      <w:r>
        <w:rPr>
          <w:rFonts w:ascii="sans-serif" w:eastAsia="sans-serif" w:hAnsi="sans-serif" w:cs="sans-serif"/>
          <w:i/>
          <w:iCs/>
          <w:color w:val="000000"/>
          <w:sz w:val="20"/>
          <w:szCs w:val="20"/>
        </w:rPr>
        <w:t xml:space="preserve">This Quarterly Report on Form 10-Q contains forward-looking statements which are based on our management’s beliefs and </w:t>
      </w:r>
      <w:r>
        <w:rPr>
          <w:rFonts w:ascii="sans-serif" w:eastAsia="sans-serif" w:hAnsi="sans-serif" w:cs="sans-serif"/>
          <w:i/>
          <w:iCs/>
          <w:color w:val="000000"/>
          <w:sz w:val="20"/>
          <w:szCs w:val="20"/>
        </w:rPr>
        <w:t>assumptions and on information currently available to our management. In some cases, you can identify forward-looking statements by terms such as “may,” “will,” “should,” “could,” “goal,” “would,” “expect,” “plan,” “anticipate,” “believe,” “estimate,” “pro</w:t>
      </w:r>
      <w:r>
        <w:rPr>
          <w:rFonts w:ascii="sans-serif" w:eastAsia="sans-serif" w:hAnsi="sans-serif" w:cs="sans-serif"/>
          <w:i/>
          <w:iCs/>
          <w:color w:val="000000"/>
          <w:sz w:val="20"/>
          <w:szCs w:val="20"/>
        </w:rPr>
        <w:t>ject,” “predict,” “potential” and similar expressions intended to identify forward-looking statements. These statements involve known and unknown risks, uncertainties and other factors, which may cause our actual results, performance, time frames or achiev</w:t>
      </w:r>
      <w:r>
        <w:rPr>
          <w:rFonts w:ascii="sans-serif" w:eastAsia="sans-serif" w:hAnsi="sans-serif" w:cs="sans-serif"/>
          <w:i/>
          <w:iCs/>
          <w:color w:val="000000"/>
          <w:sz w:val="20"/>
          <w:szCs w:val="20"/>
        </w:rPr>
        <w:t>ements to be materially different from any future results, performance, time frames or achievements expressed or implied by the forward-looking statements. We discuss many of these risks, uncertainties and other factors in this Quarterly Report on Form 10-</w:t>
      </w:r>
      <w:r>
        <w:rPr>
          <w:rFonts w:ascii="sans-serif" w:eastAsia="sans-serif" w:hAnsi="sans-serif" w:cs="sans-serif"/>
          <w:i/>
          <w:iCs/>
          <w:color w:val="000000"/>
          <w:sz w:val="20"/>
          <w:szCs w:val="20"/>
        </w:rPr>
        <w:t>Q and in our Annual Report on Form 10-K for the fiscal year ended January 30, 2022 in greater detail under the heading “Risk Factors” of such reports. Given these risks, uncertainties and other factors, you should not place undue reliance on these forward-</w:t>
      </w:r>
      <w:r>
        <w:rPr>
          <w:rFonts w:ascii="sans-serif" w:eastAsia="sans-serif" w:hAnsi="sans-serif" w:cs="sans-serif"/>
          <w:i/>
          <w:iCs/>
          <w:color w:val="000000"/>
          <w:sz w:val="20"/>
          <w:szCs w:val="20"/>
        </w:rPr>
        <w:t>looking statements. Also, these forward-looking statements represent our estimates and assumptions only as of the date of this filing. You should read this Quarterly Report on Form 10-Q completely and with the understanding that our actual future results m</w:t>
      </w:r>
      <w:r>
        <w:rPr>
          <w:rFonts w:ascii="sans-serif" w:eastAsia="sans-serif" w:hAnsi="sans-serif" w:cs="sans-serif"/>
          <w:i/>
          <w:iCs/>
          <w:color w:val="000000"/>
          <w:sz w:val="20"/>
          <w:szCs w:val="20"/>
        </w:rPr>
        <w:t>ay be materially different from what we expect. We hereby qualify our forward-looking statements by these cautionary statements. Except as required by law, we assume no obligation to update these forward-looking statements publicly, or to update the reason</w:t>
      </w:r>
      <w:r>
        <w:rPr>
          <w:rFonts w:ascii="sans-serif" w:eastAsia="sans-serif" w:hAnsi="sans-serif" w:cs="sans-serif"/>
          <w:i/>
          <w:iCs/>
          <w:color w:val="000000"/>
          <w:sz w:val="20"/>
          <w:szCs w:val="20"/>
        </w:rPr>
        <w:t>s actual results could differ materially from those anticipated in these forward-looking statements, even if new information becomes available in the future.</w:t>
      </w:r>
    </w:p>
    <w:p w14:paraId="19503820" w14:textId="77777777" w:rsidR="00BF3A3A" w:rsidRDefault="00A76802">
      <w:pPr>
        <w:spacing w:after="180"/>
        <w:jc w:val="both"/>
      </w:pPr>
      <w:r>
        <w:rPr>
          <w:rFonts w:ascii="sans-serif" w:eastAsia="sans-serif" w:hAnsi="sans-serif" w:cs="sans-serif"/>
          <w:color w:val="000000"/>
          <w:sz w:val="20"/>
          <w:szCs w:val="20"/>
        </w:rPr>
        <w:t>All references to “NVIDIA,” “we,” “us,” “our” or the “Company” mean NVIDIA Corporation and its sub</w:t>
      </w:r>
      <w:r>
        <w:rPr>
          <w:rFonts w:ascii="sans-serif" w:eastAsia="sans-serif" w:hAnsi="sans-serif" w:cs="sans-serif"/>
          <w:color w:val="000000"/>
          <w:sz w:val="20"/>
          <w:szCs w:val="20"/>
        </w:rPr>
        <w:t>sidiaries.</w:t>
      </w:r>
    </w:p>
    <w:p w14:paraId="19503821" w14:textId="77777777" w:rsidR="00BF3A3A" w:rsidRDefault="00A76802">
      <w:pPr>
        <w:spacing w:after="180"/>
        <w:jc w:val="both"/>
      </w:pPr>
      <w:r>
        <w:rPr>
          <w:rFonts w:ascii="sans-serif" w:eastAsia="sans-serif" w:hAnsi="sans-serif" w:cs="sans-serif"/>
          <w:color w:val="000000"/>
          <w:sz w:val="20"/>
          <w:szCs w:val="20"/>
        </w:rPr>
        <w:t>NVIDIA, the NVIDIA logo, GeForce, GeForce NOW, GeForce RTX, Mellanox, NVIDIA AI Enterprise, NVIDIA DGX, NVIDIA DRIVE, NVIDIA DRIVE Orin, NVIDIA Grace, NVIDIA HGX, NVIDIA Jetson, NVIDIA NeMO, NVIDIA Omniverse, NVIDIA QODA, NVIDIA RTX, NVIDIA Stud</w:t>
      </w:r>
      <w:r>
        <w:rPr>
          <w:rFonts w:ascii="sans-serif" w:eastAsia="sans-serif" w:hAnsi="sans-serif" w:cs="sans-serif"/>
          <w:color w:val="000000"/>
          <w:sz w:val="20"/>
          <w:szCs w:val="20"/>
        </w:rPr>
        <w:t>io and Quadro, are trademarks and/or registered trademarks of NVIDIA Corporation in the United States and/or other countries. Other company and product names may be trademarks of the respective companies with which they are associated. Features, pricing, a</w:t>
      </w:r>
      <w:r>
        <w:rPr>
          <w:rFonts w:ascii="sans-serif" w:eastAsia="sans-serif" w:hAnsi="sans-serif" w:cs="sans-serif"/>
          <w:color w:val="000000"/>
          <w:sz w:val="20"/>
          <w:szCs w:val="20"/>
        </w:rPr>
        <w:t>vailability, and specifications are subject to change without notice.</w:t>
      </w:r>
    </w:p>
    <w:p w14:paraId="19503822" w14:textId="77777777" w:rsidR="00BF3A3A" w:rsidRDefault="00A76802">
      <w:pPr>
        <w:spacing w:after="180"/>
        <w:jc w:val="both"/>
      </w:pPr>
      <w:r>
        <w:rPr>
          <w:rFonts w:ascii="sans-serif" w:eastAsia="sans-serif" w:hAnsi="sans-serif" w:cs="sans-serif"/>
          <w:color w:val="000000"/>
          <w:sz w:val="20"/>
          <w:szCs w:val="20"/>
        </w:rPr>
        <w:t>The following discussion and analysis of our financial condition and results of operations should be read in conjunction with the risk factors set forth in Item 1A. “Risk Factors” of our</w:t>
      </w:r>
      <w:r>
        <w:rPr>
          <w:rFonts w:ascii="sans-serif" w:eastAsia="sans-serif" w:hAnsi="sans-serif" w:cs="sans-serif"/>
          <w:color w:val="000000"/>
          <w:sz w:val="20"/>
          <w:szCs w:val="20"/>
        </w:rPr>
        <w:t xml:space="preserve"> Annual Report on Form 10-K for the fiscal year ended January 30, 2022 and Part II, Item 1A. “Risk Factors” of this Quarterly Report on Form 10-Q and our Condensed Consolidated Financial Statements and related Notes thereto, as well as other cautionary sta</w:t>
      </w:r>
      <w:r>
        <w:rPr>
          <w:rFonts w:ascii="sans-serif" w:eastAsia="sans-serif" w:hAnsi="sans-serif" w:cs="sans-serif"/>
          <w:color w:val="000000"/>
          <w:sz w:val="20"/>
          <w:szCs w:val="20"/>
        </w:rPr>
        <w:t>tements and risks described elsewhere in this Quarterly Report on Form 10-Q and our other filings with the SEC, before deciding to purchase or sell shares of our common stock.</w:t>
      </w:r>
    </w:p>
    <w:p w14:paraId="19503823" w14:textId="77777777" w:rsidR="00BF3A3A" w:rsidRDefault="00A76802">
      <w:pPr>
        <w:spacing w:before="60" w:after="60"/>
        <w:jc w:val="both"/>
      </w:pPr>
      <w:r>
        <w:rPr>
          <w:rFonts w:ascii="sans-serif" w:eastAsia="sans-serif" w:hAnsi="sans-serif" w:cs="sans-serif"/>
          <w:b/>
          <w:bCs/>
          <w:color w:val="76B900"/>
          <w:sz w:val="20"/>
          <w:szCs w:val="20"/>
        </w:rPr>
        <w:t>Overview</w:t>
      </w:r>
    </w:p>
    <w:p w14:paraId="19503824" w14:textId="77777777" w:rsidR="00BF3A3A" w:rsidRDefault="00A76802">
      <w:pPr>
        <w:spacing w:before="120" w:after="120"/>
        <w:jc w:val="both"/>
      </w:pPr>
      <w:r>
        <w:rPr>
          <w:rFonts w:ascii="sans-serif" w:eastAsia="sans-serif" w:hAnsi="sans-serif" w:cs="sans-serif"/>
          <w:b/>
          <w:bCs/>
          <w:color w:val="000000"/>
          <w:sz w:val="20"/>
          <w:szCs w:val="20"/>
        </w:rPr>
        <w:t>Our Company and Our Businesses</w:t>
      </w:r>
    </w:p>
    <w:p w14:paraId="19503825" w14:textId="77777777" w:rsidR="00BF3A3A" w:rsidRDefault="00A76802">
      <w:pPr>
        <w:spacing w:after="180"/>
        <w:jc w:val="both"/>
      </w:pPr>
      <w:r>
        <w:rPr>
          <w:rFonts w:ascii="sans-serif" w:eastAsia="sans-serif" w:hAnsi="sans-serif" w:cs="sans-serif"/>
          <w:color w:val="000000"/>
          <w:sz w:val="20"/>
          <w:szCs w:val="20"/>
        </w:rPr>
        <w:t>NVIDIA pioneered accelerated computing t</w:t>
      </w:r>
      <w:r>
        <w:rPr>
          <w:rFonts w:ascii="sans-serif" w:eastAsia="sans-serif" w:hAnsi="sans-serif" w:cs="sans-serif"/>
          <w:color w:val="000000"/>
          <w:sz w:val="20"/>
          <w:szCs w:val="20"/>
        </w:rPr>
        <w:t>o help solve the most challenging computational problems. Since our original focus on PC graphics, we have expanded to several other large and important computationally intensive fields. Fueled by the sustained demand for exceptional 3D graphics and the sc</w:t>
      </w:r>
      <w:r>
        <w:rPr>
          <w:rFonts w:ascii="sans-serif" w:eastAsia="sans-serif" w:hAnsi="sans-serif" w:cs="sans-serif"/>
          <w:color w:val="000000"/>
          <w:sz w:val="20"/>
          <w:szCs w:val="20"/>
        </w:rPr>
        <w:t>ale of the gaming market, NVIDIA has leveraged its GPU architecture to create platforms for scientific computing, AI, data science, autonomous vehicles, robotics, and augmented and virtual reality.</w:t>
      </w:r>
    </w:p>
    <w:p w14:paraId="19503826" w14:textId="77777777" w:rsidR="00BF3A3A" w:rsidRDefault="00A76802">
      <w:pPr>
        <w:spacing w:after="180"/>
        <w:jc w:val="both"/>
      </w:pPr>
      <w:r>
        <w:rPr>
          <w:rFonts w:ascii="sans-serif" w:eastAsia="sans-serif" w:hAnsi="sans-serif" w:cs="sans-serif"/>
          <w:color w:val="000000"/>
          <w:sz w:val="20"/>
          <w:szCs w:val="20"/>
        </w:rPr>
        <w:t>Our two operating segments are "Graphics" and "Compute &amp; N</w:t>
      </w:r>
      <w:r>
        <w:rPr>
          <w:rFonts w:ascii="sans-serif" w:eastAsia="sans-serif" w:hAnsi="sans-serif" w:cs="sans-serif"/>
          <w:color w:val="000000"/>
          <w:sz w:val="20"/>
          <w:szCs w:val="20"/>
        </w:rPr>
        <w:t xml:space="preserve">etworking," as described in Note 15 of the Notes to Condensed Consolidated Financial Statements. </w:t>
      </w:r>
    </w:p>
    <w:p w14:paraId="19503827" w14:textId="77777777" w:rsidR="00BF3A3A" w:rsidRDefault="00A76802">
      <w:pPr>
        <w:spacing w:after="180"/>
        <w:jc w:val="both"/>
      </w:pPr>
      <w:r>
        <w:rPr>
          <w:rFonts w:ascii="sans-serif" w:eastAsia="sans-serif" w:hAnsi="sans-serif" w:cs="sans-serif"/>
          <w:color w:val="000000"/>
          <w:sz w:val="20"/>
          <w:szCs w:val="20"/>
        </w:rPr>
        <w:t>Headquartered in Santa Clara, California, NVIDIA was incorporated in California in April 1993 and reincorporated in Delaware in April 1998.</w:t>
      </w:r>
    </w:p>
    <w:p w14:paraId="19503828" w14:textId="77777777" w:rsidR="00BF3A3A" w:rsidRDefault="00A76802">
      <w:pPr>
        <w:spacing w:before="240" w:after="120"/>
        <w:jc w:val="both"/>
      </w:pPr>
      <w:r>
        <w:rPr>
          <w:rFonts w:ascii="sans-serif" w:eastAsia="sans-serif" w:hAnsi="sans-serif" w:cs="sans-serif"/>
          <w:b/>
          <w:bCs/>
          <w:color w:val="76B900"/>
          <w:sz w:val="22"/>
          <w:szCs w:val="22"/>
        </w:rPr>
        <w:t>Recent Development</w:t>
      </w:r>
      <w:r>
        <w:rPr>
          <w:rFonts w:ascii="sans-serif" w:eastAsia="sans-serif" w:hAnsi="sans-serif" w:cs="sans-serif"/>
          <w:b/>
          <w:bCs/>
          <w:color w:val="76B900"/>
          <w:sz w:val="22"/>
          <w:szCs w:val="22"/>
        </w:rPr>
        <w:t>s, Future Objectives and Challenges</w:t>
      </w:r>
    </w:p>
    <w:p w14:paraId="19503829" w14:textId="77777777" w:rsidR="00BF3A3A" w:rsidRDefault="00A76802">
      <w:pPr>
        <w:spacing w:before="240" w:after="60"/>
        <w:jc w:val="both"/>
      </w:pPr>
      <w:r>
        <w:rPr>
          <w:rFonts w:ascii="sans-serif" w:eastAsia="sans-serif" w:hAnsi="sans-serif" w:cs="sans-serif"/>
          <w:b/>
          <w:bCs/>
          <w:color w:val="76B900"/>
          <w:sz w:val="20"/>
          <w:szCs w:val="20"/>
        </w:rPr>
        <w:t>Termination of the Arm Share Purchase Agreement</w:t>
      </w:r>
    </w:p>
    <w:p w14:paraId="1950382A" w14:textId="77777777" w:rsidR="00BF3A3A" w:rsidRDefault="00A76802">
      <w:pPr>
        <w:jc w:val="both"/>
      </w:pPr>
      <w:r>
        <w:rPr>
          <w:rFonts w:ascii="sans-serif" w:eastAsia="sans-serif" w:hAnsi="sans-serif" w:cs="sans-serif"/>
          <w:color w:val="000000"/>
          <w:sz w:val="20"/>
          <w:szCs w:val="20"/>
        </w:rPr>
        <w:t xml:space="preserve">On February 8, 2022, NVIDIA and SoftBank announced the termination of the Share Purchase Agreement whereby NVIDIA would have acquired Arm from SoftBank. The parties agreed </w:t>
      </w:r>
      <w:r>
        <w:rPr>
          <w:rFonts w:ascii="sans-serif" w:eastAsia="sans-serif" w:hAnsi="sans-serif" w:cs="sans-serif"/>
          <w:color w:val="000000"/>
          <w:sz w:val="20"/>
          <w:szCs w:val="20"/>
        </w:rPr>
        <w:t>to terminate because of significant regulatory challenges preventing the completion of the transaction. We recorded an acquisition termination cost of $1.35 billion in the first quarter of fiscal year 2023 reflecting the write-off of the prepayment provide</w:t>
      </w:r>
      <w:r>
        <w:rPr>
          <w:rFonts w:ascii="sans-serif" w:eastAsia="sans-serif" w:hAnsi="sans-serif" w:cs="sans-serif"/>
          <w:color w:val="000000"/>
          <w:sz w:val="20"/>
          <w:szCs w:val="20"/>
        </w:rPr>
        <w:t>d at signing in September 2020.</w:t>
      </w:r>
    </w:p>
    <w:p w14:paraId="1950382B" w14:textId="77777777" w:rsidR="00BF3A3A" w:rsidRDefault="00BF3A3A">
      <w:pPr>
        <w:spacing w:before="120" w:after="120"/>
        <w:jc w:val="both"/>
      </w:pPr>
    </w:p>
    <w:p w14:paraId="1950382C" w14:textId="77777777" w:rsidR="00BF3A3A" w:rsidRDefault="00A76802">
      <w:pPr>
        <w:spacing w:after="180"/>
        <w:jc w:val="center"/>
      </w:pPr>
      <w:r>
        <w:rPr>
          <w:rFonts w:ascii="sans-serif" w:eastAsia="sans-serif" w:hAnsi="sans-serif" w:cs="sans-serif"/>
          <w:color w:val="000000"/>
          <w:sz w:val="20"/>
          <w:szCs w:val="20"/>
        </w:rPr>
        <w:t>23</w:t>
      </w:r>
    </w:p>
    <w:p w14:paraId="1950382D" w14:textId="77777777" w:rsidR="00BF3A3A" w:rsidRDefault="00A76802">
      <w:r>
        <w:pict w14:anchorId="19503FDC">
          <v:rect id="_x0000_i1047" style="width:415.3pt;height:1.5pt" o:hralign="center" o:hrstd="t" o:hr="t" fillcolor="#a0a0a0" stroked="f"/>
        </w:pict>
      </w:r>
    </w:p>
    <w:p w14:paraId="1950382E" w14:textId="77777777" w:rsidR="00BF3A3A" w:rsidRDefault="00BF3A3A">
      <w:pPr>
        <w:spacing w:after="180"/>
        <w:jc w:val="both"/>
      </w:pPr>
    </w:p>
    <w:p w14:paraId="1950382F" w14:textId="77777777" w:rsidR="00BF3A3A" w:rsidRDefault="00BF3A3A">
      <w:pPr>
        <w:spacing w:after="180"/>
        <w:jc w:val="both"/>
      </w:pPr>
    </w:p>
    <w:p w14:paraId="19503830" w14:textId="77777777" w:rsidR="00BF3A3A" w:rsidRDefault="00BF3A3A">
      <w:pPr>
        <w:spacing w:after="180"/>
        <w:jc w:val="both"/>
      </w:pPr>
    </w:p>
    <w:p w14:paraId="19503831" w14:textId="77777777" w:rsidR="00BF3A3A" w:rsidRDefault="00A76802">
      <w:pPr>
        <w:spacing w:before="120" w:after="120"/>
        <w:jc w:val="both"/>
      </w:pPr>
      <w:r>
        <w:rPr>
          <w:rFonts w:ascii="sans-serif" w:eastAsia="sans-serif" w:hAnsi="sans-serif" w:cs="sans-serif"/>
          <w:b/>
          <w:bCs/>
          <w:color w:val="000000"/>
          <w:sz w:val="20"/>
          <w:szCs w:val="20"/>
        </w:rPr>
        <w:t>Demand and Supply</w:t>
      </w:r>
    </w:p>
    <w:p w14:paraId="19503832" w14:textId="77777777" w:rsidR="00BF3A3A" w:rsidRDefault="00A76802">
      <w:pPr>
        <w:spacing w:after="180"/>
        <w:jc w:val="both"/>
      </w:pPr>
      <w:r>
        <w:rPr>
          <w:rFonts w:ascii="sans-serif" w:eastAsia="sans-serif" w:hAnsi="sans-serif" w:cs="sans-serif"/>
          <w:color w:val="000000"/>
          <w:sz w:val="20"/>
          <w:szCs w:val="20"/>
        </w:rPr>
        <w:t>Because we do not manufacture the semiconductors used for our products, we are dependent on third parties to manufacture and assemble our products. Our manufacturing lead times are very long, which requires us to make estimates of customers’ future demand.</w:t>
      </w:r>
      <w:r>
        <w:rPr>
          <w:rFonts w:ascii="sans-serif" w:eastAsia="sans-serif" w:hAnsi="sans-serif" w:cs="sans-serif"/>
          <w:color w:val="000000"/>
          <w:sz w:val="20"/>
          <w:szCs w:val="20"/>
        </w:rPr>
        <w:t xml:space="preserve"> At the same time, we do not have a guaranteed supply of wafers, components and capacity, and our supply deliveries and production may be non-linear within a quarter or year, which has previously caused changes to expected revenue and cash flows, and which</w:t>
      </w:r>
      <w:r>
        <w:rPr>
          <w:rFonts w:ascii="sans-serif" w:eastAsia="sans-serif" w:hAnsi="sans-serif" w:cs="sans-serif"/>
          <w:color w:val="000000"/>
          <w:sz w:val="20"/>
          <w:szCs w:val="20"/>
        </w:rPr>
        <w:t xml:space="preserve"> may reoccur in the future. If our estimates of customer demand are ultimately inaccurate, as we have experienced from time to time, these conditions could lead to a significant mismatch between supply and demand. This mismatch has resulted in product shor</w:t>
      </w:r>
      <w:r>
        <w:rPr>
          <w:rFonts w:ascii="sans-serif" w:eastAsia="sans-serif" w:hAnsi="sans-serif" w:cs="sans-serif"/>
          <w:color w:val="000000"/>
          <w:sz w:val="20"/>
          <w:szCs w:val="20"/>
        </w:rPr>
        <w:t xml:space="preserve">tages and excess inventory, has varied across our market platforms, and significantly harmed our financial results. </w:t>
      </w:r>
    </w:p>
    <w:p w14:paraId="19503833" w14:textId="77777777" w:rsidR="00BF3A3A" w:rsidRDefault="00A76802">
      <w:pPr>
        <w:jc w:val="both"/>
      </w:pPr>
      <w:r>
        <w:rPr>
          <w:rFonts w:ascii="sans-serif" w:eastAsia="sans-serif" w:hAnsi="sans-serif" w:cs="sans-serif"/>
          <w:color w:val="000000"/>
          <w:sz w:val="20"/>
          <w:szCs w:val="20"/>
        </w:rPr>
        <w:t>We build finished products and maintain inventory in advance of anticipated demand. In periods of shortages impacting the semiconductor ind</w:t>
      </w:r>
      <w:r>
        <w:rPr>
          <w:rFonts w:ascii="sans-serif" w:eastAsia="sans-serif" w:hAnsi="sans-serif" w:cs="sans-serif"/>
          <w:color w:val="000000"/>
          <w:sz w:val="20"/>
          <w:szCs w:val="20"/>
        </w:rPr>
        <w:t>ustry and/or limited supply or capacity in our supply chain, as we have experienced in the past, the lead time on our orders for certain supply has extended to more than twelve months, compared to a historical lead time of approximately six months. Extende</w:t>
      </w:r>
      <w:r>
        <w:rPr>
          <w:rFonts w:ascii="sans-serif" w:eastAsia="sans-serif" w:hAnsi="sans-serif" w:cs="sans-serif"/>
          <w:color w:val="000000"/>
          <w:sz w:val="20"/>
          <w:szCs w:val="20"/>
        </w:rPr>
        <w:t xml:space="preserve">d lead times may continue if we experience other supply constraints caused by natural disasters or other events. As a result, we have paid premiums and provided deposits to secure future supply and capacity, which have increased our product costs, and may </w:t>
      </w:r>
      <w:r>
        <w:rPr>
          <w:rFonts w:ascii="sans-serif" w:eastAsia="sans-serif" w:hAnsi="sans-serif" w:cs="sans-serif"/>
          <w:color w:val="000000"/>
          <w:sz w:val="20"/>
          <w:szCs w:val="20"/>
        </w:rPr>
        <w:t>need to continue to do so in the future. Our supply, which includes inventory on hand, purchase obligations and prepaid supply agreements, has grown significantly due to current supply chain conditions and complexity of our products. Purchase obligations a</w:t>
      </w:r>
      <w:r>
        <w:rPr>
          <w:rFonts w:ascii="sans-serif" w:eastAsia="sans-serif" w:hAnsi="sans-serif" w:cs="sans-serif"/>
          <w:color w:val="000000"/>
          <w:sz w:val="20"/>
          <w:szCs w:val="20"/>
        </w:rPr>
        <w:t xml:space="preserve">nd prepaid supply agreements represent approximately three quarters of our total supply. </w:t>
      </w:r>
    </w:p>
    <w:p w14:paraId="19503834" w14:textId="77777777" w:rsidR="00BF3A3A" w:rsidRDefault="00BF3A3A"/>
    <w:p w14:paraId="19503835" w14:textId="77777777" w:rsidR="00BF3A3A" w:rsidRDefault="00A76802">
      <w:pPr>
        <w:spacing w:after="180"/>
        <w:jc w:val="both"/>
      </w:pPr>
      <w:r>
        <w:rPr>
          <w:rFonts w:ascii="sans-serif" w:eastAsia="sans-serif" w:hAnsi="sans-serif" w:cs="sans-serif"/>
          <w:color w:val="000000"/>
          <w:sz w:val="20"/>
          <w:szCs w:val="20"/>
        </w:rPr>
        <w:t>Demand for our products is based on many factors, including our product introductions and transitions, time to market, competitor product releases and announcements,</w:t>
      </w:r>
      <w:r>
        <w:rPr>
          <w:rFonts w:ascii="sans-serif" w:eastAsia="sans-serif" w:hAnsi="sans-serif" w:cs="sans-serif"/>
          <w:color w:val="000000"/>
          <w:sz w:val="20"/>
          <w:szCs w:val="20"/>
        </w:rPr>
        <w:t xml:space="preserve"> competing technologies, and changes in macroeconomic conditions, including rising inflation. Each of these factors has previously impacted, and can in the future impact, the timing and volume of our revenue. Our demand predictions may not be correct, as w</w:t>
      </w:r>
      <w:r>
        <w:rPr>
          <w:rFonts w:ascii="sans-serif" w:eastAsia="sans-serif" w:hAnsi="sans-serif" w:cs="sans-serif"/>
          <w:color w:val="000000"/>
          <w:sz w:val="20"/>
          <w:szCs w:val="20"/>
        </w:rPr>
        <w:t>e have experienced from time to time. Product transitions are complex and frequently negatively impact our revenue as we manage shipments of legacy prior architecture products and channel partners prepare and adjust to support new products. We are entering</w:t>
      </w:r>
      <w:r>
        <w:rPr>
          <w:rFonts w:ascii="sans-serif" w:eastAsia="sans-serif" w:hAnsi="sans-serif" w:cs="sans-serif"/>
          <w:color w:val="000000"/>
          <w:sz w:val="20"/>
          <w:szCs w:val="20"/>
        </w:rPr>
        <w:t xml:space="preserve"> a timeframe when we will transition architectures for both our Gaming and Data Center products, which may impair our ability to predict demand and impact our supply mix. We may experience, and have in the past experienced, reduced demand for current gener</w:t>
      </w:r>
      <w:r>
        <w:rPr>
          <w:rFonts w:ascii="sans-serif" w:eastAsia="sans-serif" w:hAnsi="sans-serif" w:cs="sans-serif"/>
          <w:color w:val="000000"/>
          <w:sz w:val="20"/>
          <w:szCs w:val="20"/>
        </w:rPr>
        <w:t xml:space="preserve">ation architectures when customers anticipate transitions. If we are unable to execute our architectural transitions as planned for any reason, our financial results may be negatively impacted. Our ability to sell certain products has in the past been and </w:t>
      </w:r>
      <w:r>
        <w:rPr>
          <w:rFonts w:ascii="sans-serif" w:eastAsia="sans-serif" w:hAnsi="sans-serif" w:cs="sans-serif"/>
          <w:color w:val="000000"/>
          <w:sz w:val="20"/>
          <w:szCs w:val="20"/>
        </w:rPr>
        <w:t xml:space="preserve">can in the future be impeded if components from third parties that are necessary for the finished product are not available. Additionally, we sell most of our products through channel partners, who sell to retailers, distributors, and/or end customers. As </w:t>
      </w:r>
      <w:r>
        <w:rPr>
          <w:rFonts w:ascii="sans-serif" w:eastAsia="sans-serif" w:hAnsi="sans-serif" w:cs="sans-serif"/>
          <w:color w:val="000000"/>
          <w:sz w:val="20"/>
          <w:szCs w:val="20"/>
        </w:rPr>
        <w:t>a result, the decisions made by our channel partners, retailers and distributors in response to changing market conditions and changes in end user demand for our products have impacted and could in the future continue to impact our ability to properly fore</w:t>
      </w:r>
      <w:r>
        <w:rPr>
          <w:rFonts w:ascii="sans-serif" w:eastAsia="sans-serif" w:hAnsi="sans-serif" w:cs="sans-serif"/>
          <w:color w:val="000000"/>
          <w:sz w:val="20"/>
          <w:szCs w:val="20"/>
        </w:rPr>
        <w:t>cast demand, particularly as they are based on estimates provided by various downstream parties.</w:t>
      </w:r>
    </w:p>
    <w:p w14:paraId="19503836" w14:textId="77777777" w:rsidR="00BF3A3A" w:rsidRDefault="00A76802">
      <w:pPr>
        <w:spacing w:after="180"/>
        <w:jc w:val="both"/>
      </w:pPr>
      <w:r>
        <w:rPr>
          <w:rFonts w:ascii="sans-serif" w:eastAsia="sans-serif" w:hAnsi="sans-serif" w:cs="sans-serif"/>
          <w:color w:val="000000"/>
          <w:sz w:val="20"/>
          <w:szCs w:val="20"/>
        </w:rPr>
        <w:t>In recent periods, COVID-19-related disruptions and lockdowns in China have created and may continue to create supply and logistics constraints. The war in Ukr</w:t>
      </w:r>
      <w:r>
        <w:rPr>
          <w:rFonts w:ascii="sans-serif" w:eastAsia="sans-serif" w:hAnsi="sans-serif" w:cs="sans-serif"/>
          <w:color w:val="000000"/>
          <w:sz w:val="20"/>
          <w:szCs w:val="20"/>
        </w:rPr>
        <w:t xml:space="preserve">aine has further strained global supply chains and may in the future result in a shortage of key materials that our suppliers, including our foundry partners, require to satisfy our needs. </w:t>
      </w:r>
    </w:p>
    <w:p w14:paraId="19503837" w14:textId="77777777" w:rsidR="00BF3A3A" w:rsidRDefault="00A76802">
      <w:pPr>
        <w:spacing w:after="180"/>
        <w:jc w:val="both"/>
      </w:pPr>
      <w:r>
        <w:rPr>
          <w:rFonts w:ascii="sans-serif" w:eastAsia="sans-serif" w:hAnsi="sans-serif" w:cs="sans-serif"/>
          <w:color w:val="000000"/>
          <w:sz w:val="20"/>
          <w:szCs w:val="20"/>
        </w:rPr>
        <w:t>Our GPUs are designed for the Gaming, Data Center, Professional Vi</w:t>
      </w:r>
      <w:r>
        <w:rPr>
          <w:rFonts w:ascii="sans-serif" w:eastAsia="sans-serif" w:hAnsi="sans-serif" w:cs="sans-serif"/>
          <w:color w:val="000000"/>
          <w:sz w:val="20"/>
          <w:szCs w:val="20"/>
        </w:rPr>
        <w:t>sualization and Automotive markets. The use of our GPUs for use cases other than that for which they were designed and marketed, including new and unexpected use cases, has impacted and can in the future impact demand for our products, including by leading</w:t>
      </w:r>
      <w:r>
        <w:rPr>
          <w:rFonts w:ascii="sans-serif" w:eastAsia="sans-serif" w:hAnsi="sans-serif" w:cs="sans-serif"/>
          <w:color w:val="000000"/>
          <w:sz w:val="20"/>
          <w:szCs w:val="20"/>
        </w:rPr>
        <w:t xml:space="preserve"> to inconsistent spikes and drops in demand. For example, many years ago, our Gaming GPUs began to be used for digital currency mining, including blockchain-based platforms such as Ethereum. It is difficult for us to estimate with any reasonable degree of </w:t>
      </w:r>
      <w:r>
        <w:rPr>
          <w:rFonts w:ascii="sans-serif" w:eastAsia="sans-serif" w:hAnsi="sans-serif" w:cs="sans-serif"/>
          <w:color w:val="000000"/>
          <w:sz w:val="20"/>
          <w:szCs w:val="20"/>
        </w:rPr>
        <w:t>precision the past or current impact of cryptocurrency mining, or forecast the future impact of cryptocurrency mining, on demand for our products. Volatility in the cryptocurrency market, including new compute technologies, price changes in cryptocurrencie</w:t>
      </w:r>
      <w:r>
        <w:rPr>
          <w:rFonts w:ascii="sans-serif" w:eastAsia="sans-serif" w:hAnsi="sans-serif" w:cs="sans-serif"/>
          <w:color w:val="000000"/>
          <w:sz w:val="20"/>
          <w:szCs w:val="20"/>
        </w:rPr>
        <w:t>s, government cryptocurrency policies and regulations, new cryptocurrency standards, and changes in the method of verifying blockchain transactions, has impacted and can in the future impact cryptocurrency mining and demand for our products and can further</w:t>
      </w:r>
      <w:r>
        <w:rPr>
          <w:rFonts w:ascii="sans-serif" w:eastAsia="sans-serif" w:hAnsi="sans-serif" w:cs="sans-serif"/>
          <w:color w:val="000000"/>
          <w:sz w:val="20"/>
          <w:szCs w:val="20"/>
        </w:rPr>
        <w:t xml:space="preserve"> impact our ability to estimate demand for our products. Changes to cryptocurrency standards and processes including, but not limited to, the pending Ethereum 2.0 merge may decrease the usage of GPUs for Ethereum mining as well as create increased aftermar</w:t>
      </w:r>
      <w:r>
        <w:rPr>
          <w:rFonts w:ascii="sans-serif" w:eastAsia="sans-serif" w:hAnsi="sans-serif" w:cs="sans-serif"/>
          <w:color w:val="000000"/>
          <w:sz w:val="20"/>
          <w:szCs w:val="20"/>
        </w:rPr>
        <w:t>ket resales of our GPUs, which could negatively impact retail prices for our GPUs, increase returns of our products in the distribution channel, and reduce demand for our new GPUs. We have introduced Lite Hash Rate, or LHR, GeForce GPUs with limited Ethere</w:t>
      </w:r>
      <w:r>
        <w:rPr>
          <w:rFonts w:ascii="sans-serif" w:eastAsia="sans-serif" w:hAnsi="sans-serif" w:cs="sans-serif"/>
          <w:color w:val="000000"/>
          <w:sz w:val="20"/>
          <w:szCs w:val="20"/>
        </w:rPr>
        <w:t>um mining capability and provided CMP products in an effort to address demand from gamers and direct miners to CMP. Beginning in the second quarter of fiscal year 2022, most desktop NVIDIA Ampere architecture GeForce GPU shipments were LHR to help direct G</w:t>
      </w:r>
      <w:r>
        <w:rPr>
          <w:rFonts w:ascii="sans-serif" w:eastAsia="sans-serif" w:hAnsi="sans-serif" w:cs="sans-serif"/>
          <w:color w:val="000000"/>
          <w:sz w:val="20"/>
          <w:szCs w:val="20"/>
        </w:rPr>
        <w:t xml:space="preserve">eForce GPUs to gamers. Attempts in the aftermarket to improve the hash rate capabilities of our LHR cards have been successful and our gaming cards may become more attractive to miners, increasing demand for our </w:t>
      </w:r>
    </w:p>
    <w:p w14:paraId="19503838" w14:textId="77777777" w:rsidR="00BF3A3A" w:rsidRDefault="00A76802">
      <w:pPr>
        <w:spacing w:after="180"/>
        <w:jc w:val="center"/>
      </w:pPr>
      <w:r>
        <w:rPr>
          <w:rFonts w:ascii="sans-serif" w:eastAsia="sans-serif" w:hAnsi="sans-serif" w:cs="sans-serif"/>
          <w:color w:val="000000"/>
          <w:sz w:val="20"/>
          <w:szCs w:val="20"/>
        </w:rPr>
        <w:t>24</w:t>
      </w:r>
    </w:p>
    <w:p w14:paraId="19503839" w14:textId="77777777" w:rsidR="00BF3A3A" w:rsidRDefault="00A76802">
      <w:r>
        <w:pict w14:anchorId="19503FDD">
          <v:rect id="_x0000_i1048" style="width:415.3pt;height:1.5pt" o:hralign="center" o:hrstd="t" o:hr="t" fillcolor="#a0a0a0" stroked="f"/>
        </w:pict>
      </w:r>
    </w:p>
    <w:p w14:paraId="1950383A" w14:textId="77777777" w:rsidR="00BF3A3A" w:rsidRDefault="00BF3A3A">
      <w:pPr>
        <w:spacing w:after="180"/>
        <w:jc w:val="both"/>
      </w:pPr>
    </w:p>
    <w:p w14:paraId="1950383B" w14:textId="77777777" w:rsidR="00BF3A3A" w:rsidRDefault="00BF3A3A">
      <w:pPr>
        <w:spacing w:after="180"/>
        <w:jc w:val="both"/>
      </w:pPr>
    </w:p>
    <w:p w14:paraId="1950383C" w14:textId="77777777" w:rsidR="00BF3A3A" w:rsidRDefault="00BF3A3A">
      <w:pPr>
        <w:spacing w:after="180"/>
        <w:jc w:val="both"/>
      </w:pPr>
    </w:p>
    <w:p w14:paraId="1950383D" w14:textId="77777777" w:rsidR="00BF3A3A" w:rsidRDefault="00A76802">
      <w:pPr>
        <w:spacing w:after="180"/>
        <w:jc w:val="both"/>
      </w:pPr>
      <w:r>
        <w:rPr>
          <w:rFonts w:ascii="sans-serif" w:eastAsia="sans-serif" w:hAnsi="sans-serif" w:cs="sans-serif"/>
          <w:color w:val="000000"/>
          <w:sz w:val="20"/>
          <w:szCs w:val="20"/>
        </w:rPr>
        <w:t>gaming GPUs and limiting our abilit</w:t>
      </w:r>
      <w:r>
        <w:rPr>
          <w:rFonts w:ascii="sans-serif" w:eastAsia="sans-serif" w:hAnsi="sans-serif" w:cs="sans-serif"/>
          <w:color w:val="000000"/>
          <w:sz w:val="20"/>
          <w:szCs w:val="20"/>
        </w:rPr>
        <w:t xml:space="preserve">y to supply our gaming cards to non-mining customers. We cannot predict whether our strategy of using LHR cards and CMP will achieve our desired outcome. In addition, our new products or previously sold products may be resold online or on the unauthorized </w:t>
      </w:r>
      <w:r>
        <w:rPr>
          <w:rFonts w:ascii="sans-serif" w:eastAsia="sans-serif" w:hAnsi="sans-serif" w:cs="sans-serif"/>
          <w:color w:val="000000"/>
          <w:sz w:val="20"/>
          <w:szCs w:val="20"/>
        </w:rPr>
        <w:t>“gray market,” which also makes demand forecasting difficult. Gray market products or reseller marketplaces compete with our distribution channels.</w:t>
      </w:r>
    </w:p>
    <w:p w14:paraId="1950383E" w14:textId="77777777" w:rsidR="00BF3A3A" w:rsidRDefault="00A76802">
      <w:pPr>
        <w:spacing w:after="180"/>
        <w:jc w:val="both"/>
      </w:pPr>
      <w:r>
        <w:rPr>
          <w:rFonts w:ascii="sans-serif" w:eastAsia="sans-serif" w:hAnsi="sans-serif" w:cs="sans-serif"/>
          <w:color w:val="000000"/>
          <w:sz w:val="20"/>
          <w:szCs w:val="20"/>
        </w:rPr>
        <w:t>In the second quarter of fiscal year 2023, Gaming revenue experienced lower sell-in of our Gaming GPUs, refl</w:t>
      </w:r>
      <w:r>
        <w:rPr>
          <w:rFonts w:ascii="sans-serif" w:eastAsia="sans-serif" w:hAnsi="sans-serif" w:cs="sans-serif"/>
          <w:color w:val="000000"/>
          <w:sz w:val="20"/>
          <w:szCs w:val="20"/>
        </w:rPr>
        <w:t>ecting reduced channel partner sales due to macroeconomic headwinds, including the negative impact of high inflation on consumer spending and weaker consumer purchasing power in markets whose currencies weakened relative to the U.S. dollar, as our sales ar</w:t>
      </w:r>
      <w:r>
        <w:rPr>
          <w:rFonts w:ascii="sans-serif" w:eastAsia="sans-serif" w:hAnsi="sans-serif" w:cs="sans-serif"/>
          <w:color w:val="000000"/>
          <w:sz w:val="20"/>
          <w:szCs w:val="20"/>
        </w:rPr>
        <w:t>e in U.S. dollars. Our channel partners reduced their inventory and are transitioning to a lower value mix of inventory to better align with demand as well as an architectural transition, and we implemented pricing programs with them to address challenging</w:t>
      </w:r>
      <w:r>
        <w:rPr>
          <w:rFonts w:ascii="sans-serif" w:eastAsia="sans-serif" w:hAnsi="sans-serif" w:cs="sans-serif"/>
          <w:color w:val="000000"/>
          <w:sz w:val="20"/>
          <w:szCs w:val="20"/>
        </w:rPr>
        <w:t xml:space="preserve"> market conditions that we expect to persist into the third quarter of fiscal year 2023. The sequential decline in Gaming revenue also resulted from the war in Ukraine impacting sales in Europe and lockdowns in China due to COVID-19. The extent to which re</w:t>
      </w:r>
      <w:r>
        <w:rPr>
          <w:rFonts w:ascii="sans-serif" w:eastAsia="sans-serif" w:hAnsi="sans-serif" w:cs="sans-serif"/>
          <w:color w:val="000000"/>
          <w:sz w:val="20"/>
          <w:szCs w:val="20"/>
        </w:rPr>
        <w:t>duced cryptocurrency mining contributed to the decline in Gaming demand is difficult for us to reasonably quantify. Economic conditions in China drove lower sales to China hyperscale customers, impacting our Data Center revenue, and drove lower sales of Ga</w:t>
      </w:r>
      <w:r>
        <w:rPr>
          <w:rFonts w:ascii="sans-serif" w:eastAsia="sans-serif" w:hAnsi="sans-serif" w:cs="sans-serif"/>
          <w:color w:val="000000"/>
          <w:sz w:val="20"/>
          <w:szCs w:val="20"/>
        </w:rPr>
        <w:t>ming products. We and our customers are also experiencing Data Center supply chain disruptions as our customers delay purchases pending the availability of other third party components. These recent reductions in demand and our reduced expectations of futu</w:t>
      </w:r>
      <w:r>
        <w:rPr>
          <w:rFonts w:ascii="sans-serif" w:eastAsia="sans-serif" w:hAnsi="sans-serif" w:cs="sans-serif"/>
          <w:color w:val="000000"/>
          <w:sz w:val="20"/>
          <w:szCs w:val="20"/>
        </w:rPr>
        <w:t>re demand have required us to record charges for excess inventory on hand and on order, and cancellation and underutilization penalties. Potential future demand reductions could require additional reserves. Mismatches between our supply and demand may occu</w:t>
      </w:r>
      <w:r>
        <w:rPr>
          <w:rFonts w:ascii="sans-serif" w:eastAsia="sans-serif" w:hAnsi="sans-serif" w:cs="sans-serif"/>
          <w:color w:val="000000"/>
          <w:sz w:val="20"/>
          <w:szCs w:val="20"/>
        </w:rPr>
        <w:t>r in future quarters.</w:t>
      </w:r>
    </w:p>
    <w:p w14:paraId="1950383F" w14:textId="77777777" w:rsidR="00BF3A3A" w:rsidRDefault="00A76802">
      <w:pPr>
        <w:spacing w:after="180"/>
        <w:jc w:val="both"/>
      </w:pPr>
      <w:r>
        <w:rPr>
          <w:rFonts w:ascii="sans-serif" w:eastAsia="sans-serif" w:hAnsi="sans-serif" w:cs="sans-serif"/>
          <w:color w:val="000000"/>
          <w:sz w:val="20"/>
          <w:szCs w:val="20"/>
        </w:rPr>
        <w:t xml:space="preserve">On August 26, 2022, the U.S. government, or USG, informed us that it has imposed a new license requirement, effective immediately, for any future export to China (including Hong Kong) and Russia of our A100 and forthcoming H100 integrated circuits. DGX or </w:t>
      </w:r>
      <w:r>
        <w:rPr>
          <w:rFonts w:ascii="sans-serif" w:eastAsia="sans-serif" w:hAnsi="sans-serif" w:cs="sans-serif"/>
          <w:color w:val="000000"/>
          <w:sz w:val="20"/>
          <w:szCs w:val="20"/>
        </w:rPr>
        <w:t xml:space="preserve">any other systems which incorporate A100 or H100 integrated circuits and our A100X are also covered by the new license requirement. The license requirement also includes any future NVIDIA integrated circuit achieving both peak performance and chip-to-chip </w:t>
      </w:r>
      <w:r>
        <w:rPr>
          <w:rFonts w:ascii="sans-serif" w:eastAsia="sans-serif" w:hAnsi="sans-serif" w:cs="sans-serif"/>
          <w:color w:val="000000"/>
          <w:sz w:val="20"/>
          <w:szCs w:val="20"/>
        </w:rPr>
        <w:t>I/O performance equal to or greater than thresholds that are roughly equivalent to the A100, as well as any system that includes those circuits. A license is required to export technology to support or develop covered products. The USG indicated that the n</w:t>
      </w:r>
      <w:r>
        <w:rPr>
          <w:rFonts w:ascii="sans-serif" w:eastAsia="sans-serif" w:hAnsi="sans-serif" w:cs="sans-serif"/>
          <w:color w:val="000000"/>
          <w:sz w:val="20"/>
          <w:szCs w:val="20"/>
        </w:rPr>
        <w:t xml:space="preserve">ew license requirement will address the risk that the covered products may be used in, or diverted to, a ‘military end use’ or ‘military end user’ in China and Russia. We do not sell products to customers in Russia. </w:t>
      </w:r>
    </w:p>
    <w:p w14:paraId="19503840" w14:textId="77777777" w:rsidR="00BF3A3A" w:rsidRDefault="00A76802">
      <w:pPr>
        <w:spacing w:after="180"/>
        <w:jc w:val="both"/>
      </w:pPr>
      <w:r>
        <w:rPr>
          <w:rFonts w:ascii="sans-serif" w:eastAsia="sans-serif" w:hAnsi="sans-serif" w:cs="sans-serif"/>
          <w:color w:val="000000"/>
          <w:sz w:val="20"/>
          <w:szCs w:val="20"/>
        </w:rPr>
        <w:t xml:space="preserve">The new license requirement may impact </w:t>
      </w:r>
      <w:r>
        <w:rPr>
          <w:rFonts w:ascii="sans-serif" w:eastAsia="sans-serif" w:hAnsi="sans-serif" w:cs="sans-serif"/>
          <w:color w:val="000000"/>
          <w:sz w:val="20"/>
          <w:szCs w:val="20"/>
        </w:rPr>
        <w:t>our ability to complete our development of H100 in a timely manner or support existing customers of A100 and may require us to transition certain operations out of China, which could be costly and time consuming, and adversely affect our research and devel</w:t>
      </w:r>
      <w:r>
        <w:rPr>
          <w:rFonts w:ascii="sans-serif" w:eastAsia="sans-serif" w:hAnsi="sans-serif" w:cs="sans-serif"/>
          <w:color w:val="000000"/>
          <w:sz w:val="20"/>
          <w:szCs w:val="20"/>
        </w:rPr>
        <w:t xml:space="preserve">opment and supply and distribution operations, as well as our revenue, during any such transition period. We are engaged with the USG and are seeking exemptions for our internal development and support activities. </w:t>
      </w:r>
    </w:p>
    <w:p w14:paraId="19503841" w14:textId="77777777" w:rsidR="00BF3A3A" w:rsidRDefault="00A76802">
      <w:pPr>
        <w:spacing w:after="180"/>
        <w:jc w:val="both"/>
      </w:pPr>
      <w:r>
        <w:rPr>
          <w:rFonts w:ascii="sans-serif" w:eastAsia="sans-serif" w:hAnsi="sans-serif" w:cs="sans-serif"/>
          <w:color w:val="000000"/>
          <w:sz w:val="20"/>
          <w:szCs w:val="20"/>
        </w:rPr>
        <w:t>We are engaging with customers in China a</w:t>
      </w:r>
      <w:r>
        <w:rPr>
          <w:rFonts w:ascii="sans-serif" w:eastAsia="sans-serif" w:hAnsi="sans-serif" w:cs="sans-serif"/>
          <w:color w:val="000000"/>
          <w:sz w:val="20"/>
          <w:szCs w:val="20"/>
        </w:rPr>
        <w:t xml:space="preserve">nd are seeking to satisfy their planned or future purchases of our Data Center products with products not subject to the new license requirement. To the extent that a customer requires products covered by the new license requirement, we may seek a license </w:t>
      </w:r>
      <w:r>
        <w:rPr>
          <w:rFonts w:ascii="sans-serif" w:eastAsia="sans-serif" w:hAnsi="sans-serif" w:cs="sans-serif"/>
          <w:color w:val="000000"/>
          <w:sz w:val="20"/>
          <w:szCs w:val="20"/>
        </w:rPr>
        <w:t>for the customer but have no assurance that the USG will grant any exemptions or licenses for any customer, or that the USG will act on them in a timely manner. The new requirement may have a disproportionate impact on NVIDIA and may disadvantage NVIDIA ag</w:t>
      </w:r>
      <w:r>
        <w:rPr>
          <w:rFonts w:ascii="sans-serif" w:eastAsia="sans-serif" w:hAnsi="sans-serif" w:cs="sans-serif"/>
          <w:color w:val="000000"/>
          <w:sz w:val="20"/>
          <w:szCs w:val="20"/>
        </w:rPr>
        <w:t xml:space="preserve">ainst our competitors, who are not subject to the same restrictions. </w:t>
      </w:r>
    </w:p>
    <w:p w14:paraId="19503842" w14:textId="77777777" w:rsidR="00BF3A3A" w:rsidRDefault="00A76802">
      <w:pPr>
        <w:spacing w:after="180"/>
        <w:jc w:val="both"/>
      </w:pPr>
      <w:r>
        <w:rPr>
          <w:rFonts w:ascii="sans-serif" w:eastAsia="sans-serif" w:hAnsi="sans-serif" w:cs="sans-serif"/>
          <w:color w:val="000000"/>
          <w:sz w:val="20"/>
          <w:szCs w:val="20"/>
        </w:rPr>
        <w:t xml:space="preserve">Our outlook for our third fiscal quarter provided on August 24, 2022 included approximately $400 million in potential sales to China which may be subject to the new license requirement. </w:t>
      </w:r>
      <w:r>
        <w:rPr>
          <w:rFonts w:ascii="sans-serif" w:eastAsia="sans-serif" w:hAnsi="sans-serif" w:cs="sans-serif"/>
          <w:color w:val="000000"/>
          <w:sz w:val="20"/>
          <w:szCs w:val="20"/>
        </w:rPr>
        <w:t>Our future revenue and profitability may be substantially reduced relative to this outlook, and our competitive position may be harmed, if customers do not want to purchase our alternative product offerings or if the USG does not grant licenses in a timely</w:t>
      </w:r>
      <w:r>
        <w:rPr>
          <w:rFonts w:ascii="sans-serif" w:eastAsia="sans-serif" w:hAnsi="sans-serif" w:cs="sans-serif"/>
          <w:color w:val="000000"/>
          <w:sz w:val="20"/>
          <w:szCs w:val="20"/>
        </w:rPr>
        <w:t xml:space="preserve"> manner or denies licenses to significant customers. Even if the USG grants the requested licenses, the new requirement may benefit our competitors, as the licensing process will make our sales and support efforts more cumbersome, less certain, and encoura</w:t>
      </w:r>
      <w:r>
        <w:rPr>
          <w:rFonts w:ascii="sans-serif" w:eastAsia="sans-serif" w:hAnsi="sans-serif" w:cs="sans-serif"/>
          <w:color w:val="000000"/>
          <w:sz w:val="20"/>
          <w:szCs w:val="20"/>
        </w:rPr>
        <w:t>ge customers in China to pursue alternatives to our products, including semiconductor suppliers based in China, Europe, and Israel.</w:t>
      </w:r>
    </w:p>
    <w:p w14:paraId="19503843" w14:textId="77777777" w:rsidR="00BF3A3A" w:rsidRDefault="00A76802">
      <w:pPr>
        <w:spacing w:before="120" w:after="120"/>
        <w:jc w:val="both"/>
      </w:pPr>
      <w:r>
        <w:rPr>
          <w:rFonts w:ascii="sans-serif" w:eastAsia="sans-serif" w:hAnsi="sans-serif" w:cs="sans-serif"/>
          <w:b/>
          <w:bCs/>
          <w:color w:val="000000"/>
          <w:sz w:val="20"/>
          <w:szCs w:val="20"/>
        </w:rPr>
        <w:t>COVID-19</w:t>
      </w:r>
    </w:p>
    <w:p w14:paraId="19503844" w14:textId="77777777" w:rsidR="00BF3A3A" w:rsidRDefault="00A76802">
      <w:pPr>
        <w:spacing w:after="180"/>
        <w:jc w:val="both"/>
      </w:pPr>
      <w:r>
        <w:rPr>
          <w:rFonts w:ascii="sans-serif" w:eastAsia="sans-serif" w:hAnsi="sans-serif" w:cs="sans-serif"/>
          <w:color w:val="000000"/>
          <w:sz w:val="20"/>
          <w:szCs w:val="20"/>
        </w:rPr>
        <w:t>As the COVID-19 pandemic continues, most of our employees continue to work remotely and we have paused most busines</w:t>
      </w:r>
      <w:r>
        <w:rPr>
          <w:rFonts w:ascii="sans-serif" w:eastAsia="sans-serif" w:hAnsi="sans-serif" w:cs="sans-serif"/>
          <w:color w:val="000000"/>
          <w:sz w:val="20"/>
          <w:szCs w:val="20"/>
        </w:rPr>
        <w:t xml:space="preserve">s travel. When our offices begin to reopen, we expect to incur incremental expenses and related in-office costs as we resume onsite services. </w:t>
      </w:r>
    </w:p>
    <w:p w14:paraId="19503845" w14:textId="77777777" w:rsidR="00BF3A3A" w:rsidRDefault="00A76802">
      <w:pPr>
        <w:spacing w:after="180"/>
        <w:jc w:val="center"/>
      </w:pPr>
      <w:r>
        <w:rPr>
          <w:rFonts w:ascii="sans-serif" w:eastAsia="sans-serif" w:hAnsi="sans-serif" w:cs="sans-serif"/>
          <w:color w:val="000000"/>
          <w:sz w:val="20"/>
          <w:szCs w:val="20"/>
        </w:rPr>
        <w:t>25</w:t>
      </w:r>
    </w:p>
    <w:p w14:paraId="19503846" w14:textId="77777777" w:rsidR="00BF3A3A" w:rsidRDefault="00A76802">
      <w:r>
        <w:pict w14:anchorId="19503FDE">
          <v:rect id="_x0000_i1049" style="width:415.3pt;height:1.5pt" o:hralign="center" o:hrstd="t" o:hr="t" fillcolor="#a0a0a0" stroked="f"/>
        </w:pict>
      </w:r>
    </w:p>
    <w:p w14:paraId="19503847" w14:textId="77777777" w:rsidR="00BF3A3A" w:rsidRDefault="00BF3A3A">
      <w:pPr>
        <w:spacing w:after="180"/>
        <w:jc w:val="both"/>
      </w:pPr>
    </w:p>
    <w:p w14:paraId="19503848" w14:textId="77777777" w:rsidR="00BF3A3A" w:rsidRDefault="00BF3A3A">
      <w:pPr>
        <w:spacing w:after="180"/>
        <w:jc w:val="both"/>
      </w:pPr>
    </w:p>
    <w:p w14:paraId="19503849" w14:textId="77777777" w:rsidR="00BF3A3A" w:rsidRDefault="00BF3A3A">
      <w:pPr>
        <w:spacing w:after="180"/>
        <w:jc w:val="both"/>
      </w:pPr>
    </w:p>
    <w:p w14:paraId="1950384A" w14:textId="77777777" w:rsidR="00BF3A3A" w:rsidRDefault="00A76802">
      <w:pPr>
        <w:spacing w:after="180"/>
        <w:jc w:val="both"/>
      </w:pPr>
      <w:r>
        <w:rPr>
          <w:rFonts w:ascii="sans-serif" w:eastAsia="sans-serif" w:hAnsi="sans-serif" w:cs="sans-serif"/>
          <w:color w:val="000000"/>
          <w:sz w:val="20"/>
          <w:szCs w:val="20"/>
        </w:rPr>
        <w:t>Consumer and enterprise behavior during the COVID-19 pandemic, such as fluctuating demand for our Gaming,</w:t>
      </w:r>
      <w:r>
        <w:rPr>
          <w:rFonts w:ascii="sans-serif" w:eastAsia="sans-serif" w:hAnsi="sans-serif" w:cs="sans-serif"/>
          <w:color w:val="000000"/>
          <w:sz w:val="20"/>
          <w:szCs w:val="20"/>
        </w:rPr>
        <w:t xml:space="preserve"> Data Center, and workstation products, has made it more difficult for us to estimate future demand and may have changed pre-pandemic behaviors. At the same time, restrictions that may be imposed or reinstated as the pandemic continues, such as recent lock</w:t>
      </w:r>
      <w:r>
        <w:rPr>
          <w:rFonts w:ascii="sans-serif" w:eastAsia="sans-serif" w:hAnsi="sans-serif" w:cs="sans-serif"/>
          <w:color w:val="000000"/>
          <w:sz w:val="20"/>
          <w:szCs w:val="20"/>
        </w:rPr>
        <w:t>down measures due to COVID-19 containment efforts in China, have negatively impacted end customer sales for our products in China and this impact may continue if future lockdowns are imposed. These challenges in estimating demand are expected to be more pr</w:t>
      </w:r>
      <w:r>
        <w:rPr>
          <w:rFonts w:ascii="sans-serif" w:eastAsia="sans-serif" w:hAnsi="sans-serif" w:cs="sans-serif"/>
          <w:color w:val="000000"/>
          <w:sz w:val="20"/>
          <w:szCs w:val="20"/>
        </w:rPr>
        <w:t>onounced or volatile in the future on both a global and regional basis and may continue in the future when the effects of the pandemic subside. Additionally, recent COVID-19-related disruptions and lockdowns in China have created and may continue to create</w:t>
      </w:r>
      <w:r>
        <w:rPr>
          <w:rFonts w:ascii="sans-serif" w:eastAsia="sans-serif" w:hAnsi="sans-serif" w:cs="sans-serif"/>
          <w:color w:val="000000"/>
          <w:sz w:val="20"/>
          <w:szCs w:val="20"/>
        </w:rPr>
        <w:t xml:space="preserve"> supply chain and logistics constraints.</w:t>
      </w:r>
    </w:p>
    <w:p w14:paraId="1950384B" w14:textId="77777777" w:rsidR="00BF3A3A" w:rsidRDefault="00A76802">
      <w:pPr>
        <w:spacing w:after="180"/>
        <w:jc w:val="both"/>
      </w:pPr>
      <w:r>
        <w:rPr>
          <w:rFonts w:ascii="sans-serif" w:eastAsia="sans-serif" w:hAnsi="sans-serif" w:cs="sans-serif"/>
          <w:color w:val="000000"/>
          <w:sz w:val="20"/>
          <w:szCs w:val="20"/>
        </w:rPr>
        <w:t>The timing and overall demand from customers, and the limited availability of supply chain, logistical services and component supply, as a result of COVID-19, has had and may continue to have a material net negative impact on our business and financial res</w:t>
      </w:r>
      <w:r>
        <w:rPr>
          <w:rFonts w:ascii="sans-serif" w:eastAsia="sans-serif" w:hAnsi="sans-serif" w:cs="sans-serif"/>
          <w:color w:val="000000"/>
          <w:sz w:val="20"/>
          <w:szCs w:val="20"/>
        </w:rPr>
        <w:t xml:space="preserve">ults. </w:t>
      </w:r>
    </w:p>
    <w:p w14:paraId="1950384C" w14:textId="77777777" w:rsidR="00BF3A3A" w:rsidRDefault="00A76802">
      <w:pPr>
        <w:spacing w:after="180"/>
        <w:jc w:val="both"/>
      </w:pPr>
      <w:r>
        <w:rPr>
          <w:rFonts w:ascii="sans-serif" w:eastAsia="sans-serif" w:hAnsi="sans-serif" w:cs="sans-serif"/>
          <w:b/>
          <w:bCs/>
          <w:color w:val="000000"/>
          <w:sz w:val="20"/>
          <w:szCs w:val="20"/>
        </w:rPr>
        <w:t>Russia</w:t>
      </w:r>
    </w:p>
    <w:p w14:paraId="1950384D" w14:textId="77777777" w:rsidR="00BF3A3A" w:rsidRDefault="00A76802">
      <w:pPr>
        <w:spacing w:after="180"/>
        <w:jc w:val="both"/>
      </w:pPr>
      <w:r>
        <w:rPr>
          <w:rFonts w:ascii="sans-serif" w:eastAsia="sans-serif" w:hAnsi="sans-serif" w:cs="sans-serif"/>
          <w:color w:val="000000"/>
          <w:sz w:val="20"/>
          <w:szCs w:val="20"/>
        </w:rPr>
        <w:t>During the first quarter of fiscal year 2023, we paused direct sales to Russia. Direct sales to Russia in fiscal year 2022 were immaterial. Our revenue to partners that sell into Russia may be negatively impacted due to the war in Ukraine and</w:t>
      </w:r>
      <w:r>
        <w:rPr>
          <w:rFonts w:ascii="sans-serif" w:eastAsia="sans-serif" w:hAnsi="sans-serif" w:cs="sans-serif"/>
          <w:color w:val="000000"/>
          <w:sz w:val="20"/>
          <w:szCs w:val="20"/>
        </w:rPr>
        <w:t xml:space="preserve"> we estimate that in fiscal year 2022, Russia accounted for approximately 2% of total end customer sales and 4% of Gaming end customer sales. Long lived assets in Russia are immaterial.</w:t>
      </w:r>
    </w:p>
    <w:p w14:paraId="1950384E" w14:textId="77777777" w:rsidR="00BF3A3A" w:rsidRDefault="00A76802">
      <w:pPr>
        <w:spacing w:before="120"/>
        <w:jc w:val="both"/>
      </w:pPr>
      <w:r>
        <w:rPr>
          <w:rFonts w:ascii="sans-serif" w:eastAsia="sans-serif" w:hAnsi="sans-serif" w:cs="sans-serif"/>
          <w:b/>
          <w:bCs/>
          <w:color w:val="000000"/>
          <w:sz w:val="20"/>
          <w:szCs w:val="20"/>
        </w:rPr>
        <w:t>Second Quarter of Fiscal Year 2023 Summary</w:t>
      </w:r>
    </w:p>
    <w:tbl>
      <w:tblPr>
        <w:tblW w:w="4985" w:type="pct"/>
        <w:tblCellMar>
          <w:top w:w="15" w:type="dxa"/>
          <w:left w:w="15" w:type="dxa"/>
          <w:bottom w:w="15" w:type="dxa"/>
          <w:right w:w="15" w:type="dxa"/>
        </w:tblCellMar>
        <w:tblLook w:val="04A0" w:firstRow="1" w:lastRow="0" w:firstColumn="1" w:lastColumn="0" w:noHBand="0" w:noVBand="1"/>
      </w:tblPr>
      <w:tblGrid>
        <w:gridCol w:w="39"/>
        <w:gridCol w:w="2004"/>
        <w:gridCol w:w="38"/>
        <w:gridCol w:w="122"/>
        <w:gridCol w:w="501"/>
        <w:gridCol w:w="163"/>
        <w:gridCol w:w="36"/>
        <w:gridCol w:w="36"/>
        <w:gridCol w:w="36"/>
        <w:gridCol w:w="122"/>
        <w:gridCol w:w="501"/>
        <w:gridCol w:w="163"/>
        <w:gridCol w:w="36"/>
        <w:gridCol w:w="36"/>
        <w:gridCol w:w="36"/>
        <w:gridCol w:w="122"/>
        <w:gridCol w:w="501"/>
        <w:gridCol w:w="163"/>
        <w:gridCol w:w="36"/>
        <w:gridCol w:w="36"/>
        <w:gridCol w:w="36"/>
        <w:gridCol w:w="123"/>
        <w:gridCol w:w="1713"/>
        <w:gridCol w:w="163"/>
        <w:gridCol w:w="36"/>
        <w:gridCol w:w="36"/>
        <w:gridCol w:w="36"/>
        <w:gridCol w:w="86"/>
        <w:gridCol w:w="1192"/>
        <w:gridCol w:w="163"/>
      </w:tblGrid>
      <w:tr w:rsidR="00BF3A3A" w14:paraId="1950386D" w14:textId="77777777">
        <w:tc>
          <w:tcPr>
            <w:tcW w:w="50" w:type="pct"/>
            <w:shd w:val="clear" w:color="auto" w:fill="auto"/>
            <w:vAlign w:val="bottom"/>
          </w:tcPr>
          <w:p w14:paraId="1950384F" w14:textId="77777777" w:rsidR="00BF3A3A" w:rsidRDefault="00BF3A3A">
            <w:pPr>
              <w:rPr>
                <w:rFonts w:ascii="宋体"/>
              </w:rPr>
            </w:pPr>
          </w:p>
        </w:tc>
        <w:tc>
          <w:tcPr>
            <w:tcW w:w="1609" w:type="pct"/>
            <w:shd w:val="clear" w:color="auto" w:fill="auto"/>
            <w:vAlign w:val="bottom"/>
          </w:tcPr>
          <w:p w14:paraId="19503850" w14:textId="77777777" w:rsidR="00BF3A3A" w:rsidRDefault="00BF3A3A">
            <w:pPr>
              <w:rPr>
                <w:rFonts w:ascii="宋体"/>
              </w:rPr>
            </w:pPr>
          </w:p>
        </w:tc>
        <w:tc>
          <w:tcPr>
            <w:tcW w:w="5" w:type="pct"/>
            <w:shd w:val="clear" w:color="auto" w:fill="auto"/>
            <w:vAlign w:val="bottom"/>
          </w:tcPr>
          <w:p w14:paraId="19503851" w14:textId="77777777" w:rsidR="00BF3A3A" w:rsidRDefault="00BF3A3A">
            <w:pPr>
              <w:rPr>
                <w:rFonts w:ascii="宋体"/>
              </w:rPr>
            </w:pPr>
          </w:p>
        </w:tc>
        <w:tc>
          <w:tcPr>
            <w:tcW w:w="50" w:type="pct"/>
            <w:shd w:val="clear" w:color="auto" w:fill="auto"/>
            <w:vAlign w:val="bottom"/>
          </w:tcPr>
          <w:p w14:paraId="19503852" w14:textId="77777777" w:rsidR="00BF3A3A" w:rsidRDefault="00BF3A3A">
            <w:pPr>
              <w:rPr>
                <w:rFonts w:ascii="宋体"/>
              </w:rPr>
            </w:pPr>
          </w:p>
        </w:tc>
        <w:tc>
          <w:tcPr>
            <w:tcW w:w="502" w:type="pct"/>
            <w:shd w:val="clear" w:color="auto" w:fill="auto"/>
            <w:vAlign w:val="bottom"/>
          </w:tcPr>
          <w:p w14:paraId="19503853" w14:textId="77777777" w:rsidR="00BF3A3A" w:rsidRDefault="00BF3A3A">
            <w:pPr>
              <w:rPr>
                <w:rFonts w:ascii="宋体"/>
              </w:rPr>
            </w:pPr>
          </w:p>
        </w:tc>
        <w:tc>
          <w:tcPr>
            <w:tcW w:w="5" w:type="pct"/>
            <w:shd w:val="clear" w:color="auto" w:fill="auto"/>
            <w:vAlign w:val="bottom"/>
          </w:tcPr>
          <w:p w14:paraId="19503854" w14:textId="77777777" w:rsidR="00BF3A3A" w:rsidRDefault="00BF3A3A">
            <w:pPr>
              <w:rPr>
                <w:rFonts w:ascii="宋体"/>
              </w:rPr>
            </w:pPr>
          </w:p>
        </w:tc>
        <w:tc>
          <w:tcPr>
            <w:tcW w:w="5" w:type="pct"/>
            <w:shd w:val="clear" w:color="auto" w:fill="auto"/>
            <w:vAlign w:val="bottom"/>
          </w:tcPr>
          <w:p w14:paraId="19503855" w14:textId="77777777" w:rsidR="00BF3A3A" w:rsidRDefault="00BF3A3A">
            <w:pPr>
              <w:rPr>
                <w:rFonts w:ascii="宋体"/>
              </w:rPr>
            </w:pPr>
          </w:p>
        </w:tc>
        <w:tc>
          <w:tcPr>
            <w:tcW w:w="26" w:type="pct"/>
            <w:shd w:val="clear" w:color="auto" w:fill="auto"/>
            <w:vAlign w:val="bottom"/>
          </w:tcPr>
          <w:p w14:paraId="19503856" w14:textId="77777777" w:rsidR="00BF3A3A" w:rsidRDefault="00BF3A3A">
            <w:pPr>
              <w:rPr>
                <w:rFonts w:ascii="宋体"/>
              </w:rPr>
            </w:pPr>
          </w:p>
        </w:tc>
        <w:tc>
          <w:tcPr>
            <w:tcW w:w="5" w:type="pct"/>
            <w:shd w:val="clear" w:color="auto" w:fill="auto"/>
            <w:vAlign w:val="bottom"/>
          </w:tcPr>
          <w:p w14:paraId="19503857" w14:textId="77777777" w:rsidR="00BF3A3A" w:rsidRDefault="00BF3A3A">
            <w:pPr>
              <w:rPr>
                <w:rFonts w:ascii="宋体"/>
              </w:rPr>
            </w:pPr>
          </w:p>
        </w:tc>
        <w:tc>
          <w:tcPr>
            <w:tcW w:w="50" w:type="pct"/>
            <w:shd w:val="clear" w:color="auto" w:fill="auto"/>
            <w:vAlign w:val="bottom"/>
          </w:tcPr>
          <w:p w14:paraId="19503858" w14:textId="77777777" w:rsidR="00BF3A3A" w:rsidRDefault="00BF3A3A">
            <w:pPr>
              <w:rPr>
                <w:rFonts w:ascii="宋体"/>
              </w:rPr>
            </w:pPr>
          </w:p>
        </w:tc>
        <w:tc>
          <w:tcPr>
            <w:tcW w:w="509" w:type="pct"/>
            <w:shd w:val="clear" w:color="auto" w:fill="auto"/>
            <w:vAlign w:val="bottom"/>
          </w:tcPr>
          <w:p w14:paraId="19503859" w14:textId="77777777" w:rsidR="00BF3A3A" w:rsidRDefault="00BF3A3A">
            <w:pPr>
              <w:rPr>
                <w:rFonts w:ascii="宋体"/>
              </w:rPr>
            </w:pPr>
          </w:p>
        </w:tc>
        <w:tc>
          <w:tcPr>
            <w:tcW w:w="5" w:type="pct"/>
            <w:shd w:val="clear" w:color="auto" w:fill="auto"/>
            <w:vAlign w:val="bottom"/>
          </w:tcPr>
          <w:p w14:paraId="1950385A" w14:textId="77777777" w:rsidR="00BF3A3A" w:rsidRDefault="00BF3A3A">
            <w:pPr>
              <w:rPr>
                <w:rFonts w:ascii="宋体"/>
              </w:rPr>
            </w:pPr>
          </w:p>
        </w:tc>
        <w:tc>
          <w:tcPr>
            <w:tcW w:w="5" w:type="pct"/>
            <w:shd w:val="clear" w:color="auto" w:fill="auto"/>
            <w:vAlign w:val="bottom"/>
          </w:tcPr>
          <w:p w14:paraId="1950385B" w14:textId="77777777" w:rsidR="00BF3A3A" w:rsidRDefault="00BF3A3A">
            <w:pPr>
              <w:rPr>
                <w:rFonts w:ascii="宋体"/>
              </w:rPr>
            </w:pPr>
          </w:p>
        </w:tc>
        <w:tc>
          <w:tcPr>
            <w:tcW w:w="26" w:type="pct"/>
            <w:shd w:val="clear" w:color="auto" w:fill="auto"/>
            <w:vAlign w:val="bottom"/>
          </w:tcPr>
          <w:p w14:paraId="1950385C" w14:textId="77777777" w:rsidR="00BF3A3A" w:rsidRDefault="00BF3A3A">
            <w:pPr>
              <w:rPr>
                <w:rFonts w:ascii="宋体"/>
              </w:rPr>
            </w:pPr>
          </w:p>
        </w:tc>
        <w:tc>
          <w:tcPr>
            <w:tcW w:w="5" w:type="pct"/>
            <w:shd w:val="clear" w:color="auto" w:fill="auto"/>
            <w:vAlign w:val="bottom"/>
          </w:tcPr>
          <w:p w14:paraId="1950385D" w14:textId="77777777" w:rsidR="00BF3A3A" w:rsidRDefault="00BF3A3A">
            <w:pPr>
              <w:rPr>
                <w:rFonts w:ascii="宋体"/>
              </w:rPr>
            </w:pPr>
          </w:p>
        </w:tc>
        <w:tc>
          <w:tcPr>
            <w:tcW w:w="50" w:type="pct"/>
            <w:shd w:val="clear" w:color="auto" w:fill="auto"/>
            <w:vAlign w:val="bottom"/>
          </w:tcPr>
          <w:p w14:paraId="1950385E" w14:textId="77777777" w:rsidR="00BF3A3A" w:rsidRDefault="00BF3A3A">
            <w:pPr>
              <w:rPr>
                <w:rFonts w:ascii="宋体"/>
              </w:rPr>
            </w:pPr>
          </w:p>
        </w:tc>
        <w:tc>
          <w:tcPr>
            <w:tcW w:w="502" w:type="pct"/>
            <w:shd w:val="clear" w:color="auto" w:fill="auto"/>
            <w:vAlign w:val="bottom"/>
          </w:tcPr>
          <w:p w14:paraId="1950385F" w14:textId="77777777" w:rsidR="00BF3A3A" w:rsidRDefault="00BF3A3A">
            <w:pPr>
              <w:rPr>
                <w:rFonts w:ascii="宋体"/>
              </w:rPr>
            </w:pPr>
          </w:p>
        </w:tc>
        <w:tc>
          <w:tcPr>
            <w:tcW w:w="5" w:type="pct"/>
            <w:shd w:val="clear" w:color="auto" w:fill="auto"/>
            <w:vAlign w:val="bottom"/>
          </w:tcPr>
          <w:p w14:paraId="19503860" w14:textId="77777777" w:rsidR="00BF3A3A" w:rsidRDefault="00BF3A3A">
            <w:pPr>
              <w:rPr>
                <w:rFonts w:ascii="宋体"/>
              </w:rPr>
            </w:pPr>
          </w:p>
        </w:tc>
        <w:tc>
          <w:tcPr>
            <w:tcW w:w="5" w:type="pct"/>
            <w:shd w:val="clear" w:color="auto" w:fill="auto"/>
            <w:vAlign w:val="bottom"/>
          </w:tcPr>
          <w:p w14:paraId="19503861" w14:textId="77777777" w:rsidR="00BF3A3A" w:rsidRDefault="00BF3A3A">
            <w:pPr>
              <w:rPr>
                <w:rFonts w:ascii="宋体"/>
              </w:rPr>
            </w:pPr>
          </w:p>
        </w:tc>
        <w:tc>
          <w:tcPr>
            <w:tcW w:w="26" w:type="pct"/>
            <w:shd w:val="clear" w:color="auto" w:fill="auto"/>
            <w:vAlign w:val="bottom"/>
          </w:tcPr>
          <w:p w14:paraId="19503862" w14:textId="77777777" w:rsidR="00BF3A3A" w:rsidRDefault="00BF3A3A">
            <w:pPr>
              <w:rPr>
                <w:rFonts w:ascii="宋体"/>
              </w:rPr>
            </w:pPr>
          </w:p>
        </w:tc>
        <w:tc>
          <w:tcPr>
            <w:tcW w:w="5" w:type="pct"/>
            <w:shd w:val="clear" w:color="auto" w:fill="auto"/>
            <w:vAlign w:val="bottom"/>
          </w:tcPr>
          <w:p w14:paraId="19503863" w14:textId="77777777" w:rsidR="00BF3A3A" w:rsidRDefault="00BF3A3A">
            <w:pPr>
              <w:rPr>
                <w:rFonts w:ascii="宋体"/>
              </w:rPr>
            </w:pPr>
          </w:p>
        </w:tc>
        <w:tc>
          <w:tcPr>
            <w:tcW w:w="50" w:type="pct"/>
            <w:shd w:val="clear" w:color="auto" w:fill="auto"/>
            <w:vAlign w:val="bottom"/>
          </w:tcPr>
          <w:p w14:paraId="19503864" w14:textId="77777777" w:rsidR="00BF3A3A" w:rsidRDefault="00BF3A3A">
            <w:pPr>
              <w:rPr>
                <w:rFonts w:ascii="宋体"/>
              </w:rPr>
            </w:pPr>
          </w:p>
        </w:tc>
        <w:tc>
          <w:tcPr>
            <w:tcW w:w="700" w:type="pct"/>
            <w:shd w:val="clear" w:color="auto" w:fill="auto"/>
            <w:vAlign w:val="bottom"/>
          </w:tcPr>
          <w:p w14:paraId="19503865" w14:textId="77777777" w:rsidR="00BF3A3A" w:rsidRDefault="00BF3A3A">
            <w:pPr>
              <w:rPr>
                <w:rFonts w:ascii="宋体"/>
              </w:rPr>
            </w:pPr>
          </w:p>
        </w:tc>
        <w:tc>
          <w:tcPr>
            <w:tcW w:w="5" w:type="pct"/>
            <w:shd w:val="clear" w:color="auto" w:fill="auto"/>
            <w:vAlign w:val="bottom"/>
          </w:tcPr>
          <w:p w14:paraId="19503866" w14:textId="77777777" w:rsidR="00BF3A3A" w:rsidRDefault="00BF3A3A">
            <w:pPr>
              <w:rPr>
                <w:rFonts w:ascii="宋体"/>
              </w:rPr>
            </w:pPr>
          </w:p>
        </w:tc>
        <w:tc>
          <w:tcPr>
            <w:tcW w:w="5" w:type="pct"/>
            <w:shd w:val="clear" w:color="auto" w:fill="auto"/>
            <w:vAlign w:val="bottom"/>
          </w:tcPr>
          <w:p w14:paraId="19503867" w14:textId="77777777" w:rsidR="00BF3A3A" w:rsidRDefault="00BF3A3A">
            <w:pPr>
              <w:rPr>
                <w:rFonts w:ascii="宋体"/>
              </w:rPr>
            </w:pPr>
          </w:p>
        </w:tc>
        <w:tc>
          <w:tcPr>
            <w:tcW w:w="26" w:type="pct"/>
            <w:shd w:val="clear" w:color="auto" w:fill="auto"/>
            <w:vAlign w:val="bottom"/>
          </w:tcPr>
          <w:p w14:paraId="19503868" w14:textId="77777777" w:rsidR="00BF3A3A" w:rsidRDefault="00BF3A3A">
            <w:pPr>
              <w:rPr>
                <w:rFonts w:ascii="宋体"/>
              </w:rPr>
            </w:pPr>
          </w:p>
        </w:tc>
        <w:tc>
          <w:tcPr>
            <w:tcW w:w="5" w:type="pct"/>
            <w:shd w:val="clear" w:color="auto" w:fill="auto"/>
            <w:vAlign w:val="bottom"/>
          </w:tcPr>
          <w:p w14:paraId="19503869" w14:textId="77777777" w:rsidR="00BF3A3A" w:rsidRDefault="00BF3A3A">
            <w:pPr>
              <w:rPr>
                <w:rFonts w:ascii="宋体"/>
              </w:rPr>
            </w:pPr>
          </w:p>
        </w:tc>
        <w:tc>
          <w:tcPr>
            <w:tcW w:w="50" w:type="pct"/>
            <w:shd w:val="clear" w:color="auto" w:fill="auto"/>
            <w:vAlign w:val="bottom"/>
          </w:tcPr>
          <w:p w14:paraId="1950386A" w14:textId="77777777" w:rsidR="00BF3A3A" w:rsidRDefault="00BF3A3A">
            <w:pPr>
              <w:rPr>
                <w:rFonts w:ascii="宋体"/>
              </w:rPr>
            </w:pPr>
          </w:p>
        </w:tc>
        <w:tc>
          <w:tcPr>
            <w:tcW w:w="700" w:type="pct"/>
            <w:shd w:val="clear" w:color="auto" w:fill="auto"/>
            <w:vAlign w:val="bottom"/>
          </w:tcPr>
          <w:p w14:paraId="1950386B" w14:textId="77777777" w:rsidR="00BF3A3A" w:rsidRDefault="00BF3A3A">
            <w:pPr>
              <w:rPr>
                <w:rFonts w:ascii="宋体"/>
              </w:rPr>
            </w:pPr>
          </w:p>
        </w:tc>
        <w:tc>
          <w:tcPr>
            <w:tcW w:w="5" w:type="pct"/>
            <w:shd w:val="clear" w:color="auto" w:fill="auto"/>
            <w:vAlign w:val="bottom"/>
          </w:tcPr>
          <w:p w14:paraId="1950386C" w14:textId="77777777" w:rsidR="00BF3A3A" w:rsidRDefault="00BF3A3A">
            <w:pPr>
              <w:rPr>
                <w:rFonts w:ascii="宋体"/>
              </w:rPr>
            </w:pPr>
          </w:p>
        </w:tc>
      </w:tr>
      <w:tr w:rsidR="00BF3A3A" w14:paraId="19503874" w14:textId="77777777">
        <w:tc>
          <w:tcPr>
            <w:tcW w:w="0" w:type="auto"/>
            <w:gridSpan w:val="3"/>
            <w:shd w:val="clear" w:color="auto" w:fill="auto"/>
            <w:tcMar>
              <w:top w:w="0" w:type="dxa"/>
              <w:left w:w="20" w:type="dxa"/>
              <w:bottom w:w="0" w:type="dxa"/>
              <w:right w:w="20" w:type="dxa"/>
            </w:tcMar>
            <w:vAlign w:val="bottom"/>
          </w:tcPr>
          <w:p w14:paraId="1950386E" w14:textId="77777777" w:rsidR="00BF3A3A" w:rsidRDefault="00BF3A3A">
            <w:pPr>
              <w:rPr>
                <w:rFonts w:ascii="宋体"/>
              </w:rPr>
            </w:pPr>
          </w:p>
        </w:tc>
        <w:tc>
          <w:tcPr>
            <w:tcW w:w="0" w:type="auto"/>
            <w:gridSpan w:val="15"/>
            <w:shd w:val="clear" w:color="auto" w:fill="auto"/>
            <w:tcMar>
              <w:top w:w="40" w:type="dxa"/>
              <w:left w:w="20" w:type="dxa"/>
              <w:bottom w:w="40" w:type="dxa"/>
              <w:right w:w="20" w:type="dxa"/>
            </w:tcMar>
            <w:vAlign w:val="bottom"/>
          </w:tcPr>
          <w:p w14:paraId="1950386F" w14:textId="77777777" w:rsidR="00BF3A3A" w:rsidRDefault="00A76802">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19503870"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871"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872"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873" w14:textId="77777777" w:rsidR="00BF3A3A" w:rsidRDefault="00BF3A3A">
            <w:pPr>
              <w:rPr>
                <w:rFonts w:ascii="宋体"/>
              </w:rPr>
            </w:pPr>
          </w:p>
        </w:tc>
      </w:tr>
      <w:tr w:rsidR="00BF3A3A" w14:paraId="1950387F" w14:textId="77777777">
        <w:tc>
          <w:tcPr>
            <w:tcW w:w="0" w:type="auto"/>
            <w:gridSpan w:val="3"/>
            <w:shd w:val="clear" w:color="auto" w:fill="auto"/>
            <w:tcMar>
              <w:top w:w="40" w:type="dxa"/>
              <w:left w:w="20" w:type="dxa"/>
              <w:bottom w:w="40" w:type="dxa"/>
              <w:right w:w="20" w:type="dxa"/>
            </w:tcMar>
            <w:vAlign w:val="bottom"/>
          </w:tcPr>
          <w:p w14:paraId="19503875"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876" w14:textId="77777777" w:rsidR="00BF3A3A" w:rsidRDefault="00A76802">
            <w:pPr>
              <w:jc w:val="center"/>
              <w:textAlignment w:val="bottom"/>
            </w:pPr>
            <w:r>
              <w:rPr>
                <w:rFonts w:ascii="sans-serif" w:eastAsia="sans-serif" w:hAnsi="sans-serif" w:cs="sans-serif"/>
                <w:b/>
                <w:bCs/>
                <w:color w:val="000000"/>
                <w:sz w:val="20"/>
                <w:szCs w:val="20"/>
              </w:rPr>
              <w:t>July 31,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877"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878" w14:textId="77777777" w:rsidR="00BF3A3A" w:rsidRDefault="00A76802">
            <w:pPr>
              <w:jc w:val="center"/>
              <w:textAlignment w:val="bottom"/>
            </w:pPr>
            <w:r>
              <w:rPr>
                <w:rFonts w:ascii="sans-serif" w:eastAsia="sans-serif" w:hAnsi="sans-serif" w:cs="sans-serif"/>
                <w:b/>
                <w:bCs/>
                <w:color w:val="000000"/>
                <w:sz w:val="20"/>
                <w:szCs w:val="20"/>
              </w:rPr>
              <w:t>May 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879"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87A" w14:textId="77777777" w:rsidR="00BF3A3A" w:rsidRDefault="00A76802">
            <w:pPr>
              <w:jc w:val="center"/>
              <w:textAlignment w:val="bottom"/>
            </w:pPr>
            <w:r>
              <w:rPr>
                <w:rFonts w:ascii="sans-serif" w:eastAsia="sans-serif" w:hAnsi="sans-serif" w:cs="sans-serif"/>
                <w:b/>
                <w:bCs/>
                <w:color w:val="000000"/>
                <w:sz w:val="20"/>
                <w:szCs w:val="20"/>
              </w:rPr>
              <w:t>August 1, 2021</w:t>
            </w:r>
          </w:p>
        </w:tc>
        <w:tc>
          <w:tcPr>
            <w:tcW w:w="0" w:type="auto"/>
            <w:gridSpan w:val="3"/>
            <w:shd w:val="clear" w:color="auto" w:fill="auto"/>
            <w:tcMar>
              <w:top w:w="0" w:type="dxa"/>
              <w:left w:w="20" w:type="dxa"/>
              <w:bottom w:w="0" w:type="dxa"/>
              <w:right w:w="20" w:type="dxa"/>
            </w:tcMar>
            <w:vAlign w:val="bottom"/>
          </w:tcPr>
          <w:p w14:paraId="1950387B"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87C" w14:textId="77777777" w:rsidR="00BF3A3A" w:rsidRDefault="00A76802">
            <w:pPr>
              <w:jc w:val="center"/>
              <w:textAlignment w:val="bottom"/>
            </w:pPr>
            <w:r>
              <w:rPr>
                <w:rFonts w:ascii="sans-serif" w:eastAsia="sans-serif" w:hAnsi="sans-serif" w:cs="sans-serif"/>
                <w:b/>
                <w:bCs/>
                <w:color w:val="000000"/>
                <w:sz w:val="20"/>
                <w:szCs w:val="20"/>
              </w:rPr>
              <w:t>Quarter-over-Quarter Change</w:t>
            </w:r>
          </w:p>
        </w:tc>
        <w:tc>
          <w:tcPr>
            <w:tcW w:w="0" w:type="auto"/>
            <w:gridSpan w:val="3"/>
            <w:shd w:val="clear" w:color="auto" w:fill="auto"/>
            <w:tcMar>
              <w:top w:w="0" w:type="dxa"/>
              <w:left w:w="20" w:type="dxa"/>
              <w:bottom w:w="0" w:type="dxa"/>
              <w:right w:w="20" w:type="dxa"/>
            </w:tcMar>
            <w:vAlign w:val="bottom"/>
          </w:tcPr>
          <w:p w14:paraId="1950387D"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87E" w14:textId="77777777" w:rsidR="00BF3A3A" w:rsidRDefault="00A76802">
            <w:pPr>
              <w:jc w:val="center"/>
              <w:textAlignment w:val="bottom"/>
            </w:pPr>
            <w:r>
              <w:rPr>
                <w:rFonts w:ascii="sans-serif" w:eastAsia="sans-serif" w:hAnsi="sans-serif" w:cs="sans-serif"/>
                <w:b/>
                <w:bCs/>
                <w:color w:val="000000"/>
                <w:sz w:val="20"/>
                <w:szCs w:val="20"/>
              </w:rPr>
              <w:t>Year-over-Year Change</w:t>
            </w:r>
          </w:p>
        </w:tc>
      </w:tr>
      <w:tr w:rsidR="00BF3A3A" w14:paraId="1950388A" w14:textId="77777777">
        <w:trPr>
          <w:trHeight w:val="60"/>
        </w:trPr>
        <w:tc>
          <w:tcPr>
            <w:tcW w:w="0" w:type="auto"/>
            <w:gridSpan w:val="3"/>
            <w:shd w:val="clear" w:color="auto" w:fill="auto"/>
            <w:tcMar>
              <w:top w:w="0" w:type="dxa"/>
              <w:left w:w="20" w:type="dxa"/>
              <w:bottom w:w="0" w:type="dxa"/>
              <w:right w:w="20" w:type="dxa"/>
            </w:tcMar>
            <w:vAlign w:val="bottom"/>
          </w:tcPr>
          <w:p w14:paraId="19503880"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881"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882"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883"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884"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885"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886"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887"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888"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889" w14:textId="77777777" w:rsidR="00BF3A3A" w:rsidRDefault="00BF3A3A">
            <w:pPr>
              <w:rPr>
                <w:rFonts w:ascii="宋体"/>
              </w:rPr>
            </w:pPr>
          </w:p>
        </w:tc>
      </w:tr>
      <w:tr w:rsidR="00BF3A3A" w14:paraId="19503891" w14:textId="77777777">
        <w:tc>
          <w:tcPr>
            <w:tcW w:w="0" w:type="auto"/>
            <w:gridSpan w:val="3"/>
            <w:shd w:val="clear" w:color="auto" w:fill="auto"/>
            <w:tcMar>
              <w:top w:w="0" w:type="dxa"/>
              <w:left w:w="20" w:type="dxa"/>
              <w:bottom w:w="0" w:type="dxa"/>
              <w:right w:w="20" w:type="dxa"/>
            </w:tcMar>
            <w:vAlign w:val="bottom"/>
          </w:tcPr>
          <w:p w14:paraId="1950388B" w14:textId="77777777" w:rsidR="00BF3A3A" w:rsidRDefault="00BF3A3A">
            <w:pPr>
              <w:rPr>
                <w:rFonts w:ascii="宋体"/>
              </w:rPr>
            </w:pPr>
          </w:p>
        </w:tc>
        <w:tc>
          <w:tcPr>
            <w:tcW w:w="0" w:type="auto"/>
            <w:gridSpan w:val="15"/>
            <w:shd w:val="clear" w:color="auto" w:fill="auto"/>
            <w:tcMar>
              <w:top w:w="40" w:type="dxa"/>
              <w:left w:w="20" w:type="dxa"/>
              <w:bottom w:w="40" w:type="dxa"/>
              <w:right w:w="20" w:type="dxa"/>
            </w:tcMar>
            <w:vAlign w:val="bottom"/>
          </w:tcPr>
          <w:p w14:paraId="1950388C" w14:textId="77777777" w:rsidR="00BF3A3A" w:rsidRDefault="00A76802">
            <w:pPr>
              <w:jc w:val="center"/>
              <w:textAlignment w:val="bottom"/>
            </w:pPr>
            <w:r>
              <w:rPr>
                <w:rFonts w:ascii="sans-serif" w:eastAsia="sans-serif" w:hAnsi="sans-serif" w:cs="sans-serif"/>
                <w:i/>
                <w:iCs/>
                <w:color w:val="000000"/>
                <w:sz w:val="20"/>
                <w:szCs w:val="20"/>
              </w:rPr>
              <w:t xml:space="preserve">($ in </w:t>
            </w:r>
            <w:r>
              <w:rPr>
                <w:rFonts w:ascii="sans-serif" w:eastAsia="sans-serif" w:hAnsi="sans-serif" w:cs="sans-serif"/>
                <w:i/>
                <w:iCs/>
                <w:color w:val="000000"/>
                <w:sz w:val="20"/>
                <w:szCs w:val="20"/>
              </w:rPr>
              <w:t>millions, except per share data)</w:t>
            </w:r>
          </w:p>
        </w:tc>
        <w:tc>
          <w:tcPr>
            <w:tcW w:w="0" w:type="auto"/>
            <w:gridSpan w:val="3"/>
            <w:shd w:val="clear" w:color="auto" w:fill="auto"/>
            <w:tcMar>
              <w:top w:w="0" w:type="dxa"/>
              <w:left w:w="20" w:type="dxa"/>
              <w:bottom w:w="0" w:type="dxa"/>
              <w:right w:w="20" w:type="dxa"/>
            </w:tcMar>
            <w:vAlign w:val="bottom"/>
          </w:tcPr>
          <w:p w14:paraId="1950388D"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88E"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88F"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890" w14:textId="77777777" w:rsidR="00BF3A3A" w:rsidRDefault="00BF3A3A">
            <w:pPr>
              <w:rPr>
                <w:rFonts w:ascii="宋体"/>
              </w:rPr>
            </w:pPr>
          </w:p>
        </w:tc>
      </w:tr>
      <w:tr w:rsidR="00BF3A3A" w14:paraId="195038A4" w14:textId="77777777">
        <w:tc>
          <w:tcPr>
            <w:tcW w:w="0" w:type="auto"/>
            <w:gridSpan w:val="3"/>
            <w:shd w:val="clear" w:color="auto" w:fill="E2EFD9"/>
            <w:tcMar>
              <w:top w:w="40" w:type="dxa"/>
              <w:left w:w="20" w:type="dxa"/>
              <w:bottom w:w="40" w:type="dxa"/>
              <w:right w:w="20" w:type="dxa"/>
            </w:tcMar>
            <w:vAlign w:val="bottom"/>
          </w:tcPr>
          <w:p w14:paraId="19503892" w14:textId="77777777" w:rsidR="00BF3A3A" w:rsidRDefault="00A76802">
            <w:pPr>
              <w:textAlignment w:val="bottom"/>
            </w:pPr>
            <w:r>
              <w:rPr>
                <w:rFonts w:ascii="sans-serif" w:eastAsia="sans-serif" w:hAnsi="sans-serif" w:cs="sans-serif"/>
                <w:color w:val="000000"/>
                <w:sz w:val="20"/>
                <w:szCs w:val="20"/>
              </w:rPr>
              <w:t>Revenue</w:t>
            </w:r>
          </w:p>
        </w:tc>
        <w:tc>
          <w:tcPr>
            <w:tcW w:w="0" w:type="auto"/>
            <w:shd w:val="clear" w:color="auto" w:fill="E2EFD9"/>
            <w:tcMar>
              <w:top w:w="40" w:type="dxa"/>
              <w:left w:w="20" w:type="dxa"/>
              <w:bottom w:w="40" w:type="dxa"/>
              <w:right w:w="0" w:type="dxa"/>
            </w:tcMar>
            <w:vAlign w:val="bottom"/>
          </w:tcPr>
          <w:p w14:paraId="19503893"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894" w14:textId="77777777" w:rsidR="00BF3A3A" w:rsidRDefault="00A76802">
            <w:pPr>
              <w:jc w:val="right"/>
              <w:textAlignment w:val="bottom"/>
            </w:pPr>
            <w:r>
              <w:rPr>
                <w:rFonts w:ascii="sans-serif" w:eastAsia="sans-serif" w:hAnsi="sans-serif" w:cs="sans-serif"/>
                <w:color w:val="000000"/>
                <w:sz w:val="20"/>
                <w:szCs w:val="20"/>
              </w:rPr>
              <w:t>6,704 </w:t>
            </w:r>
          </w:p>
        </w:tc>
        <w:tc>
          <w:tcPr>
            <w:tcW w:w="0" w:type="auto"/>
            <w:shd w:val="clear" w:color="auto" w:fill="E2EFD9"/>
            <w:tcMar>
              <w:top w:w="40" w:type="dxa"/>
              <w:left w:w="0" w:type="dxa"/>
              <w:bottom w:w="40" w:type="dxa"/>
              <w:right w:w="20" w:type="dxa"/>
            </w:tcMar>
            <w:vAlign w:val="bottom"/>
          </w:tcPr>
          <w:p w14:paraId="1950389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896"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897"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898" w14:textId="77777777" w:rsidR="00BF3A3A" w:rsidRDefault="00A76802">
            <w:pPr>
              <w:jc w:val="right"/>
              <w:textAlignment w:val="bottom"/>
            </w:pPr>
            <w:r>
              <w:rPr>
                <w:rFonts w:ascii="sans-serif" w:eastAsia="sans-serif" w:hAnsi="sans-serif" w:cs="sans-serif"/>
                <w:color w:val="000000"/>
                <w:sz w:val="20"/>
                <w:szCs w:val="20"/>
              </w:rPr>
              <w:t>8,288 </w:t>
            </w:r>
          </w:p>
        </w:tc>
        <w:tc>
          <w:tcPr>
            <w:tcW w:w="0" w:type="auto"/>
            <w:shd w:val="clear" w:color="auto" w:fill="E2EFD9"/>
            <w:tcMar>
              <w:top w:w="40" w:type="dxa"/>
              <w:left w:w="0" w:type="dxa"/>
              <w:bottom w:w="40" w:type="dxa"/>
              <w:right w:w="20" w:type="dxa"/>
            </w:tcMar>
            <w:vAlign w:val="bottom"/>
          </w:tcPr>
          <w:p w14:paraId="1950389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89A"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89B"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89C" w14:textId="77777777" w:rsidR="00BF3A3A" w:rsidRDefault="00A76802">
            <w:pPr>
              <w:jc w:val="right"/>
              <w:textAlignment w:val="bottom"/>
            </w:pPr>
            <w:r>
              <w:rPr>
                <w:rFonts w:ascii="sans-serif" w:eastAsia="sans-serif" w:hAnsi="sans-serif" w:cs="sans-serif"/>
                <w:color w:val="000000"/>
                <w:sz w:val="20"/>
                <w:szCs w:val="20"/>
              </w:rPr>
              <w:t>6,507 </w:t>
            </w:r>
          </w:p>
        </w:tc>
        <w:tc>
          <w:tcPr>
            <w:tcW w:w="0" w:type="auto"/>
            <w:shd w:val="clear" w:color="auto" w:fill="E2EFD9"/>
            <w:tcMar>
              <w:top w:w="40" w:type="dxa"/>
              <w:left w:w="0" w:type="dxa"/>
              <w:bottom w:w="40" w:type="dxa"/>
              <w:right w:w="20" w:type="dxa"/>
            </w:tcMar>
            <w:vAlign w:val="bottom"/>
          </w:tcPr>
          <w:p w14:paraId="1950389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89E"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89F" w14:textId="77777777" w:rsidR="00BF3A3A" w:rsidRDefault="00A76802">
            <w:pPr>
              <w:jc w:val="right"/>
              <w:textAlignment w:val="bottom"/>
            </w:pPr>
            <w:r>
              <w:rPr>
                <w:rFonts w:ascii="sans-serif" w:eastAsia="sans-serif" w:hAnsi="sans-serif" w:cs="sans-serif"/>
                <w:color w:val="000000"/>
                <w:sz w:val="20"/>
                <w:szCs w:val="20"/>
              </w:rPr>
              <w:t>(19)</w:t>
            </w:r>
          </w:p>
        </w:tc>
        <w:tc>
          <w:tcPr>
            <w:tcW w:w="0" w:type="auto"/>
            <w:shd w:val="clear" w:color="auto" w:fill="E2EFD9"/>
            <w:tcMar>
              <w:top w:w="40" w:type="dxa"/>
              <w:left w:w="0" w:type="dxa"/>
              <w:bottom w:w="40" w:type="dxa"/>
              <w:right w:w="20" w:type="dxa"/>
            </w:tcMar>
            <w:vAlign w:val="bottom"/>
          </w:tcPr>
          <w:p w14:paraId="195038A0"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195038A1"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8A2" w14:textId="77777777" w:rsidR="00BF3A3A" w:rsidRDefault="00A76802">
            <w:pPr>
              <w:jc w:val="right"/>
              <w:textAlignment w:val="bottom"/>
            </w:pPr>
            <w:r>
              <w:rPr>
                <w:rFonts w:ascii="sans-serif" w:eastAsia="sans-serif" w:hAnsi="sans-serif" w:cs="sans-serif"/>
                <w:color w:val="000000"/>
                <w:sz w:val="20"/>
                <w:szCs w:val="20"/>
              </w:rPr>
              <w:t>3 </w:t>
            </w:r>
          </w:p>
        </w:tc>
        <w:tc>
          <w:tcPr>
            <w:tcW w:w="0" w:type="auto"/>
            <w:shd w:val="clear" w:color="auto" w:fill="E2EFD9"/>
            <w:tcMar>
              <w:top w:w="40" w:type="dxa"/>
              <w:left w:w="0" w:type="dxa"/>
              <w:bottom w:w="40" w:type="dxa"/>
              <w:right w:w="20" w:type="dxa"/>
            </w:tcMar>
            <w:vAlign w:val="bottom"/>
          </w:tcPr>
          <w:p w14:paraId="195038A3" w14:textId="77777777" w:rsidR="00BF3A3A" w:rsidRDefault="00A76802">
            <w:pPr>
              <w:jc w:val="right"/>
              <w:textAlignment w:val="bottom"/>
            </w:pPr>
            <w:r>
              <w:rPr>
                <w:rFonts w:ascii="sans-serif" w:eastAsia="sans-serif" w:hAnsi="sans-serif" w:cs="sans-serif"/>
                <w:color w:val="000000"/>
                <w:sz w:val="20"/>
                <w:szCs w:val="20"/>
              </w:rPr>
              <w:t>%</w:t>
            </w:r>
          </w:p>
        </w:tc>
      </w:tr>
      <w:tr w:rsidR="00BF3A3A" w14:paraId="195038B2" w14:textId="77777777">
        <w:tc>
          <w:tcPr>
            <w:tcW w:w="0" w:type="auto"/>
            <w:gridSpan w:val="3"/>
            <w:shd w:val="clear" w:color="auto" w:fill="FFFFFF"/>
            <w:tcMar>
              <w:top w:w="40" w:type="dxa"/>
              <w:left w:w="20" w:type="dxa"/>
              <w:bottom w:w="40" w:type="dxa"/>
              <w:right w:w="20" w:type="dxa"/>
            </w:tcMar>
            <w:vAlign w:val="bottom"/>
          </w:tcPr>
          <w:p w14:paraId="195038A5" w14:textId="77777777" w:rsidR="00BF3A3A" w:rsidRDefault="00A76802">
            <w:pPr>
              <w:textAlignment w:val="bottom"/>
            </w:pPr>
            <w:r>
              <w:rPr>
                <w:rFonts w:ascii="sans-serif" w:eastAsia="sans-serif" w:hAnsi="sans-serif" w:cs="sans-serif"/>
                <w:color w:val="000000"/>
                <w:sz w:val="20"/>
                <w:szCs w:val="20"/>
              </w:rPr>
              <w:t>Gross margin</w:t>
            </w:r>
          </w:p>
        </w:tc>
        <w:tc>
          <w:tcPr>
            <w:tcW w:w="0" w:type="auto"/>
            <w:gridSpan w:val="2"/>
            <w:shd w:val="clear" w:color="auto" w:fill="FFFFFF"/>
            <w:tcMar>
              <w:top w:w="40" w:type="dxa"/>
              <w:left w:w="20" w:type="dxa"/>
              <w:bottom w:w="40" w:type="dxa"/>
              <w:right w:w="0" w:type="dxa"/>
            </w:tcMar>
            <w:vAlign w:val="bottom"/>
          </w:tcPr>
          <w:p w14:paraId="195038A6" w14:textId="77777777" w:rsidR="00BF3A3A" w:rsidRDefault="00A76802">
            <w:pPr>
              <w:jc w:val="right"/>
              <w:textAlignment w:val="bottom"/>
            </w:pPr>
            <w:r>
              <w:rPr>
                <w:rFonts w:ascii="sans-serif" w:eastAsia="sans-serif" w:hAnsi="sans-serif" w:cs="sans-serif"/>
                <w:color w:val="000000"/>
                <w:sz w:val="20"/>
                <w:szCs w:val="20"/>
              </w:rPr>
              <w:t>43.5 </w:t>
            </w:r>
          </w:p>
        </w:tc>
        <w:tc>
          <w:tcPr>
            <w:tcW w:w="0" w:type="auto"/>
            <w:shd w:val="clear" w:color="auto" w:fill="FFFFFF"/>
            <w:tcMar>
              <w:top w:w="40" w:type="dxa"/>
              <w:left w:w="0" w:type="dxa"/>
              <w:bottom w:w="40" w:type="dxa"/>
              <w:right w:w="20" w:type="dxa"/>
            </w:tcMar>
            <w:vAlign w:val="bottom"/>
          </w:tcPr>
          <w:p w14:paraId="195038A7"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195038A8"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center"/>
          </w:tcPr>
          <w:p w14:paraId="195038A9" w14:textId="77777777" w:rsidR="00BF3A3A" w:rsidRDefault="00A76802">
            <w:pPr>
              <w:jc w:val="right"/>
              <w:textAlignment w:val="center"/>
            </w:pPr>
            <w:r>
              <w:rPr>
                <w:rFonts w:ascii="sans-serif" w:eastAsia="sans-serif" w:hAnsi="sans-serif" w:cs="sans-serif"/>
                <w:color w:val="000000"/>
                <w:sz w:val="20"/>
                <w:szCs w:val="20"/>
              </w:rPr>
              <w:t>65.5 </w:t>
            </w:r>
          </w:p>
        </w:tc>
        <w:tc>
          <w:tcPr>
            <w:tcW w:w="0" w:type="auto"/>
            <w:shd w:val="clear" w:color="auto" w:fill="FFFFFF"/>
            <w:tcMar>
              <w:top w:w="40" w:type="dxa"/>
              <w:left w:w="0" w:type="dxa"/>
              <w:bottom w:w="40" w:type="dxa"/>
              <w:right w:w="20" w:type="dxa"/>
            </w:tcMar>
            <w:vAlign w:val="center"/>
          </w:tcPr>
          <w:p w14:paraId="195038AA" w14:textId="77777777" w:rsidR="00BF3A3A" w:rsidRDefault="00A76802">
            <w:pPr>
              <w:jc w:val="right"/>
              <w:textAlignment w:val="center"/>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195038AB"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center"/>
          </w:tcPr>
          <w:p w14:paraId="195038AC" w14:textId="77777777" w:rsidR="00BF3A3A" w:rsidRDefault="00A76802">
            <w:pPr>
              <w:jc w:val="right"/>
              <w:textAlignment w:val="center"/>
            </w:pPr>
            <w:r>
              <w:rPr>
                <w:rFonts w:ascii="sans-serif" w:eastAsia="sans-serif" w:hAnsi="sans-serif" w:cs="sans-serif"/>
                <w:color w:val="000000"/>
                <w:sz w:val="20"/>
                <w:szCs w:val="20"/>
              </w:rPr>
              <w:t>64.8 </w:t>
            </w:r>
          </w:p>
        </w:tc>
        <w:tc>
          <w:tcPr>
            <w:tcW w:w="0" w:type="auto"/>
            <w:shd w:val="clear" w:color="auto" w:fill="FFFFFF"/>
            <w:tcMar>
              <w:top w:w="40" w:type="dxa"/>
              <w:left w:w="0" w:type="dxa"/>
              <w:bottom w:w="40" w:type="dxa"/>
              <w:right w:w="20" w:type="dxa"/>
            </w:tcMar>
            <w:vAlign w:val="center"/>
          </w:tcPr>
          <w:p w14:paraId="195038AD" w14:textId="77777777" w:rsidR="00BF3A3A" w:rsidRDefault="00A76802">
            <w:pPr>
              <w:jc w:val="right"/>
              <w:textAlignment w:val="center"/>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195038AE" w14:textId="77777777" w:rsidR="00BF3A3A" w:rsidRDefault="00BF3A3A">
            <w:pPr>
              <w:rPr>
                <w:rFonts w:ascii="宋体"/>
              </w:rPr>
            </w:pPr>
          </w:p>
        </w:tc>
        <w:tc>
          <w:tcPr>
            <w:tcW w:w="0" w:type="auto"/>
            <w:gridSpan w:val="3"/>
            <w:shd w:val="clear" w:color="auto" w:fill="FFFFFF"/>
            <w:tcMar>
              <w:top w:w="40" w:type="dxa"/>
              <w:left w:w="20" w:type="dxa"/>
              <w:bottom w:w="40" w:type="dxa"/>
              <w:right w:w="20" w:type="dxa"/>
            </w:tcMar>
            <w:vAlign w:val="bottom"/>
          </w:tcPr>
          <w:p w14:paraId="195038AF" w14:textId="77777777" w:rsidR="00BF3A3A" w:rsidRDefault="00A76802">
            <w:pPr>
              <w:jc w:val="right"/>
              <w:textAlignment w:val="bottom"/>
            </w:pPr>
            <w:r>
              <w:rPr>
                <w:rFonts w:ascii="sans-serif" w:eastAsia="sans-serif" w:hAnsi="sans-serif" w:cs="sans-serif"/>
                <w:color w:val="000000"/>
                <w:sz w:val="20"/>
                <w:szCs w:val="20"/>
              </w:rPr>
              <w:t>(22.0) pts</w:t>
            </w:r>
          </w:p>
        </w:tc>
        <w:tc>
          <w:tcPr>
            <w:tcW w:w="0" w:type="auto"/>
            <w:gridSpan w:val="3"/>
            <w:shd w:val="clear" w:color="auto" w:fill="FFFFFF"/>
            <w:tcMar>
              <w:top w:w="0" w:type="dxa"/>
              <w:left w:w="20" w:type="dxa"/>
              <w:bottom w:w="0" w:type="dxa"/>
              <w:right w:w="20" w:type="dxa"/>
            </w:tcMar>
            <w:vAlign w:val="bottom"/>
          </w:tcPr>
          <w:p w14:paraId="195038B0" w14:textId="77777777" w:rsidR="00BF3A3A" w:rsidRDefault="00BF3A3A">
            <w:pPr>
              <w:rPr>
                <w:rFonts w:ascii="宋体"/>
              </w:rPr>
            </w:pPr>
          </w:p>
        </w:tc>
        <w:tc>
          <w:tcPr>
            <w:tcW w:w="0" w:type="auto"/>
            <w:gridSpan w:val="3"/>
            <w:shd w:val="clear" w:color="auto" w:fill="FFFFFF"/>
            <w:tcMar>
              <w:top w:w="40" w:type="dxa"/>
              <w:left w:w="20" w:type="dxa"/>
              <w:bottom w:w="40" w:type="dxa"/>
              <w:right w:w="20" w:type="dxa"/>
            </w:tcMar>
            <w:vAlign w:val="bottom"/>
          </w:tcPr>
          <w:p w14:paraId="195038B1" w14:textId="77777777" w:rsidR="00BF3A3A" w:rsidRDefault="00A76802">
            <w:pPr>
              <w:jc w:val="right"/>
              <w:textAlignment w:val="bottom"/>
            </w:pPr>
            <w:r>
              <w:rPr>
                <w:rFonts w:ascii="sans-serif" w:eastAsia="sans-serif" w:hAnsi="sans-serif" w:cs="sans-serif"/>
                <w:color w:val="000000"/>
                <w:sz w:val="20"/>
                <w:szCs w:val="20"/>
              </w:rPr>
              <w:t>(21.3) pts</w:t>
            </w:r>
          </w:p>
        </w:tc>
      </w:tr>
      <w:tr w:rsidR="00BF3A3A" w14:paraId="195038C5" w14:textId="77777777">
        <w:tc>
          <w:tcPr>
            <w:tcW w:w="0" w:type="auto"/>
            <w:gridSpan w:val="3"/>
            <w:shd w:val="clear" w:color="auto" w:fill="E2EFD9"/>
            <w:tcMar>
              <w:top w:w="40" w:type="dxa"/>
              <w:left w:w="20" w:type="dxa"/>
              <w:bottom w:w="40" w:type="dxa"/>
              <w:right w:w="20" w:type="dxa"/>
            </w:tcMar>
            <w:vAlign w:val="bottom"/>
          </w:tcPr>
          <w:p w14:paraId="195038B3" w14:textId="77777777" w:rsidR="00BF3A3A" w:rsidRDefault="00A76802">
            <w:pPr>
              <w:textAlignment w:val="bottom"/>
            </w:pPr>
            <w:r>
              <w:rPr>
                <w:rFonts w:ascii="sans-serif" w:eastAsia="sans-serif" w:hAnsi="sans-serif" w:cs="sans-serif"/>
                <w:color w:val="000000"/>
                <w:sz w:val="20"/>
                <w:szCs w:val="20"/>
              </w:rPr>
              <w:t>Operating expenses</w:t>
            </w:r>
          </w:p>
        </w:tc>
        <w:tc>
          <w:tcPr>
            <w:tcW w:w="0" w:type="auto"/>
            <w:shd w:val="clear" w:color="auto" w:fill="E2EFD9"/>
            <w:tcMar>
              <w:top w:w="40" w:type="dxa"/>
              <w:left w:w="20" w:type="dxa"/>
              <w:bottom w:w="40" w:type="dxa"/>
              <w:right w:w="0" w:type="dxa"/>
            </w:tcMar>
            <w:vAlign w:val="bottom"/>
          </w:tcPr>
          <w:p w14:paraId="195038B4"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8B5" w14:textId="77777777" w:rsidR="00BF3A3A" w:rsidRDefault="00A76802">
            <w:pPr>
              <w:jc w:val="right"/>
              <w:textAlignment w:val="bottom"/>
            </w:pPr>
            <w:r>
              <w:rPr>
                <w:rFonts w:ascii="sans-serif" w:eastAsia="sans-serif" w:hAnsi="sans-serif" w:cs="sans-serif"/>
                <w:color w:val="000000"/>
                <w:sz w:val="20"/>
                <w:szCs w:val="20"/>
              </w:rPr>
              <w:t>2,416 </w:t>
            </w:r>
          </w:p>
        </w:tc>
        <w:tc>
          <w:tcPr>
            <w:tcW w:w="0" w:type="auto"/>
            <w:shd w:val="clear" w:color="auto" w:fill="E2EFD9"/>
            <w:tcMar>
              <w:top w:w="40" w:type="dxa"/>
              <w:left w:w="0" w:type="dxa"/>
              <w:bottom w:w="40" w:type="dxa"/>
              <w:right w:w="20" w:type="dxa"/>
            </w:tcMar>
            <w:vAlign w:val="bottom"/>
          </w:tcPr>
          <w:p w14:paraId="195038B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8B7"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8B8"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8B9" w14:textId="77777777" w:rsidR="00BF3A3A" w:rsidRDefault="00A76802">
            <w:pPr>
              <w:jc w:val="right"/>
              <w:textAlignment w:val="bottom"/>
            </w:pPr>
            <w:r>
              <w:rPr>
                <w:rFonts w:ascii="sans-serif" w:eastAsia="sans-serif" w:hAnsi="sans-serif" w:cs="sans-serif"/>
                <w:color w:val="000000"/>
                <w:sz w:val="20"/>
                <w:szCs w:val="20"/>
              </w:rPr>
              <w:t>3,563 </w:t>
            </w:r>
          </w:p>
        </w:tc>
        <w:tc>
          <w:tcPr>
            <w:tcW w:w="0" w:type="auto"/>
            <w:shd w:val="clear" w:color="auto" w:fill="E2EFD9"/>
            <w:tcMar>
              <w:top w:w="40" w:type="dxa"/>
              <w:left w:w="0" w:type="dxa"/>
              <w:bottom w:w="40" w:type="dxa"/>
              <w:right w:w="20" w:type="dxa"/>
            </w:tcMar>
            <w:vAlign w:val="bottom"/>
          </w:tcPr>
          <w:p w14:paraId="195038B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8BB"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8BC"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8BD" w14:textId="77777777" w:rsidR="00BF3A3A" w:rsidRDefault="00A76802">
            <w:pPr>
              <w:jc w:val="right"/>
              <w:textAlignment w:val="bottom"/>
            </w:pPr>
            <w:r>
              <w:rPr>
                <w:rFonts w:ascii="sans-serif" w:eastAsia="sans-serif" w:hAnsi="sans-serif" w:cs="sans-serif"/>
                <w:color w:val="000000"/>
                <w:sz w:val="20"/>
                <w:szCs w:val="20"/>
              </w:rPr>
              <w:t>1,771 </w:t>
            </w:r>
          </w:p>
        </w:tc>
        <w:tc>
          <w:tcPr>
            <w:tcW w:w="0" w:type="auto"/>
            <w:shd w:val="clear" w:color="auto" w:fill="E2EFD9"/>
            <w:tcMar>
              <w:top w:w="40" w:type="dxa"/>
              <w:left w:w="0" w:type="dxa"/>
              <w:bottom w:w="40" w:type="dxa"/>
              <w:right w:w="20" w:type="dxa"/>
            </w:tcMar>
            <w:vAlign w:val="bottom"/>
          </w:tcPr>
          <w:p w14:paraId="195038B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8BF"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8C0" w14:textId="77777777" w:rsidR="00BF3A3A" w:rsidRDefault="00A76802">
            <w:pPr>
              <w:jc w:val="right"/>
              <w:textAlignment w:val="bottom"/>
            </w:pPr>
            <w:r>
              <w:rPr>
                <w:rFonts w:ascii="sans-serif" w:eastAsia="sans-serif" w:hAnsi="sans-serif" w:cs="sans-serif"/>
                <w:color w:val="000000"/>
                <w:sz w:val="20"/>
                <w:szCs w:val="20"/>
              </w:rPr>
              <w:t>(32)</w:t>
            </w:r>
          </w:p>
        </w:tc>
        <w:tc>
          <w:tcPr>
            <w:tcW w:w="0" w:type="auto"/>
            <w:shd w:val="clear" w:color="auto" w:fill="E2EFD9"/>
            <w:tcMar>
              <w:top w:w="40" w:type="dxa"/>
              <w:left w:w="0" w:type="dxa"/>
              <w:bottom w:w="40" w:type="dxa"/>
              <w:right w:w="20" w:type="dxa"/>
            </w:tcMar>
            <w:vAlign w:val="bottom"/>
          </w:tcPr>
          <w:p w14:paraId="195038C1"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195038C2"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8C3" w14:textId="77777777" w:rsidR="00BF3A3A" w:rsidRDefault="00A76802">
            <w:pPr>
              <w:jc w:val="right"/>
              <w:textAlignment w:val="bottom"/>
            </w:pPr>
            <w:r>
              <w:rPr>
                <w:rFonts w:ascii="sans-serif" w:eastAsia="sans-serif" w:hAnsi="sans-serif" w:cs="sans-serif"/>
                <w:color w:val="000000"/>
                <w:sz w:val="20"/>
                <w:szCs w:val="20"/>
              </w:rPr>
              <w:t>36 </w:t>
            </w:r>
          </w:p>
        </w:tc>
        <w:tc>
          <w:tcPr>
            <w:tcW w:w="0" w:type="auto"/>
            <w:shd w:val="clear" w:color="auto" w:fill="E2EFD9"/>
            <w:tcMar>
              <w:top w:w="40" w:type="dxa"/>
              <w:left w:w="0" w:type="dxa"/>
              <w:bottom w:w="40" w:type="dxa"/>
              <w:right w:w="20" w:type="dxa"/>
            </w:tcMar>
            <w:vAlign w:val="bottom"/>
          </w:tcPr>
          <w:p w14:paraId="195038C4" w14:textId="77777777" w:rsidR="00BF3A3A" w:rsidRDefault="00A76802">
            <w:pPr>
              <w:jc w:val="right"/>
              <w:textAlignment w:val="bottom"/>
            </w:pPr>
            <w:r>
              <w:rPr>
                <w:rFonts w:ascii="sans-serif" w:eastAsia="sans-serif" w:hAnsi="sans-serif" w:cs="sans-serif"/>
                <w:color w:val="000000"/>
                <w:sz w:val="20"/>
                <w:szCs w:val="20"/>
              </w:rPr>
              <w:t>%</w:t>
            </w:r>
          </w:p>
        </w:tc>
      </w:tr>
      <w:tr w:rsidR="00BF3A3A" w14:paraId="195038D8" w14:textId="77777777">
        <w:tc>
          <w:tcPr>
            <w:tcW w:w="0" w:type="auto"/>
            <w:gridSpan w:val="3"/>
            <w:shd w:val="clear" w:color="auto" w:fill="FFFFFF"/>
            <w:tcMar>
              <w:top w:w="40" w:type="dxa"/>
              <w:left w:w="20" w:type="dxa"/>
              <w:bottom w:w="40" w:type="dxa"/>
              <w:right w:w="20" w:type="dxa"/>
            </w:tcMar>
            <w:vAlign w:val="bottom"/>
          </w:tcPr>
          <w:p w14:paraId="195038C6" w14:textId="77777777" w:rsidR="00BF3A3A" w:rsidRDefault="00A76802">
            <w:pPr>
              <w:textAlignment w:val="bottom"/>
            </w:pPr>
            <w:r>
              <w:rPr>
                <w:rFonts w:ascii="sans-serif" w:eastAsia="sans-serif" w:hAnsi="sans-serif" w:cs="sans-serif"/>
                <w:color w:val="000000"/>
                <w:sz w:val="20"/>
                <w:szCs w:val="20"/>
              </w:rPr>
              <w:t>Income from operations</w:t>
            </w:r>
          </w:p>
        </w:tc>
        <w:tc>
          <w:tcPr>
            <w:tcW w:w="0" w:type="auto"/>
            <w:shd w:val="clear" w:color="auto" w:fill="FFFFFF"/>
            <w:tcMar>
              <w:top w:w="40" w:type="dxa"/>
              <w:left w:w="20" w:type="dxa"/>
              <w:bottom w:w="40" w:type="dxa"/>
              <w:right w:w="0" w:type="dxa"/>
            </w:tcMar>
            <w:vAlign w:val="bottom"/>
          </w:tcPr>
          <w:p w14:paraId="195038C7"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8C8" w14:textId="77777777" w:rsidR="00BF3A3A" w:rsidRDefault="00A76802">
            <w:pPr>
              <w:jc w:val="right"/>
              <w:textAlignment w:val="bottom"/>
            </w:pPr>
            <w:r>
              <w:rPr>
                <w:rFonts w:ascii="sans-serif" w:eastAsia="sans-serif" w:hAnsi="sans-serif" w:cs="sans-serif"/>
                <w:color w:val="000000"/>
                <w:sz w:val="20"/>
                <w:szCs w:val="20"/>
              </w:rPr>
              <w:t>499 </w:t>
            </w:r>
          </w:p>
        </w:tc>
        <w:tc>
          <w:tcPr>
            <w:tcW w:w="0" w:type="auto"/>
            <w:shd w:val="clear" w:color="auto" w:fill="FFFFFF"/>
            <w:tcMar>
              <w:top w:w="40" w:type="dxa"/>
              <w:left w:w="0" w:type="dxa"/>
              <w:bottom w:w="40" w:type="dxa"/>
              <w:right w:w="20" w:type="dxa"/>
            </w:tcMar>
            <w:vAlign w:val="bottom"/>
          </w:tcPr>
          <w:p w14:paraId="195038C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8CA"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8CB"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8CC" w14:textId="77777777" w:rsidR="00BF3A3A" w:rsidRDefault="00A76802">
            <w:pPr>
              <w:jc w:val="right"/>
              <w:textAlignment w:val="bottom"/>
            </w:pPr>
            <w:r>
              <w:rPr>
                <w:rFonts w:ascii="sans-serif" w:eastAsia="sans-serif" w:hAnsi="sans-serif" w:cs="sans-serif"/>
                <w:color w:val="000000"/>
                <w:sz w:val="20"/>
                <w:szCs w:val="20"/>
              </w:rPr>
              <w:t>1,868 </w:t>
            </w:r>
          </w:p>
        </w:tc>
        <w:tc>
          <w:tcPr>
            <w:tcW w:w="0" w:type="auto"/>
            <w:shd w:val="clear" w:color="auto" w:fill="FFFFFF"/>
            <w:tcMar>
              <w:top w:w="40" w:type="dxa"/>
              <w:left w:w="0" w:type="dxa"/>
              <w:bottom w:w="40" w:type="dxa"/>
              <w:right w:w="20" w:type="dxa"/>
            </w:tcMar>
            <w:vAlign w:val="bottom"/>
          </w:tcPr>
          <w:p w14:paraId="195038C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8CE"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8CF"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8D0" w14:textId="77777777" w:rsidR="00BF3A3A" w:rsidRDefault="00A76802">
            <w:pPr>
              <w:jc w:val="right"/>
              <w:textAlignment w:val="bottom"/>
            </w:pPr>
            <w:r>
              <w:rPr>
                <w:rFonts w:ascii="sans-serif" w:eastAsia="sans-serif" w:hAnsi="sans-serif" w:cs="sans-serif"/>
                <w:color w:val="000000"/>
                <w:sz w:val="20"/>
                <w:szCs w:val="20"/>
              </w:rPr>
              <w:t>2,444 </w:t>
            </w:r>
          </w:p>
        </w:tc>
        <w:tc>
          <w:tcPr>
            <w:tcW w:w="0" w:type="auto"/>
            <w:shd w:val="clear" w:color="auto" w:fill="FFFFFF"/>
            <w:tcMar>
              <w:top w:w="40" w:type="dxa"/>
              <w:left w:w="0" w:type="dxa"/>
              <w:bottom w:w="40" w:type="dxa"/>
              <w:right w:w="20" w:type="dxa"/>
            </w:tcMar>
            <w:vAlign w:val="bottom"/>
          </w:tcPr>
          <w:p w14:paraId="195038D1"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8D2"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8D3" w14:textId="77777777" w:rsidR="00BF3A3A" w:rsidRDefault="00A76802">
            <w:pPr>
              <w:jc w:val="right"/>
              <w:textAlignment w:val="bottom"/>
            </w:pPr>
            <w:r>
              <w:rPr>
                <w:rFonts w:ascii="sans-serif" w:eastAsia="sans-serif" w:hAnsi="sans-serif" w:cs="sans-serif"/>
                <w:color w:val="000000"/>
                <w:sz w:val="20"/>
                <w:szCs w:val="20"/>
              </w:rPr>
              <w:t>(73)</w:t>
            </w:r>
          </w:p>
        </w:tc>
        <w:tc>
          <w:tcPr>
            <w:tcW w:w="0" w:type="auto"/>
            <w:shd w:val="clear" w:color="auto" w:fill="FFFFFF"/>
            <w:tcMar>
              <w:top w:w="40" w:type="dxa"/>
              <w:left w:w="0" w:type="dxa"/>
              <w:bottom w:w="40" w:type="dxa"/>
              <w:right w:w="20" w:type="dxa"/>
            </w:tcMar>
            <w:vAlign w:val="bottom"/>
          </w:tcPr>
          <w:p w14:paraId="195038D4"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195038D5"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8D6" w14:textId="77777777" w:rsidR="00BF3A3A" w:rsidRDefault="00A76802">
            <w:pPr>
              <w:jc w:val="right"/>
              <w:textAlignment w:val="bottom"/>
            </w:pPr>
            <w:r>
              <w:rPr>
                <w:rFonts w:ascii="sans-serif" w:eastAsia="sans-serif" w:hAnsi="sans-serif" w:cs="sans-serif"/>
                <w:color w:val="000000"/>
                <w:sz w:val="20"/>
                <w:szCs w:val="20"/>
              </w:rPr>
              <w:t>(80)</w:t>
            </w:r>
          </w:p>
        </w:tc>
        <w:tc>
          <w:tcPr>
            <w:tcW w:w="0" w:type="auto"/>
            <w:shd w:val="clear" w:color="auto" w:fill="FFFFFF"/>
            <w:tcMar>
              <w:top w:w="40" w:type="dxa"/>
              <w:left w:w="0" w:type="dxa"/>
              <w:bottom w:w="40" w:type="dxa"/>
              <w:right w:w="20" w:type="dxa"/>
            </w:tcMar>
            <w:vAlign w:val="bottom"/>
          </w:tcPr>
          <w:p w14:paraId="195038D7" w14:textId="77777777" w:rsidR="00BF3A3A" w:rsidRDefault="00A76802">
            <w:pPr>
              <w:jc w:val="right"/>
              <w:textAlignment w:val="bottom"/>
            </w:pPr>
            <w:r>
              <w:rPr>
                <w:rFonts w:ascii="sans-serif" w:eastAsia="sans-serif" w:hAnsi="sans-serif" w:cs="sans-serif"/>
                <w:color w:val="000000"/>
                <w:sz w:val="20"/>
                <w:szCs w:val="20"/>
              </w:rPr>
              <w:t>%</w:t>
            </w:r>
          </w:p>
        </w:tc>
      </w:tr>
      <w:tr w:rsidR="00BF3A3A" w14:paraId="195038EB" w14:textId="77777777">
        <w:tc>
          <w:tcPr>
            <w:tcW w:w="0" w:type="auto"/>
            <w:gridSpan w:val="3"/>
            <w:shd w:val="clear" w:color="auto" w:fill="E2EFD9"/>
            <w:tcMar>
              <w:top w:w="40" w:type="dxa"/>
              <w:left w:w="20" w:type="dxa"/>
              <w:bottom w:w="40" w:type="dxa"/>
              <w:right w:w="20" w:type="dxa"/>
            </w:tcMar>
            <w:vAlign w:val="bottom"/>
          </w:tcPr>
          <w:p w14:paraId="195038D9" w14:textId="77777777" w:rsidR="00BF3A3A" w:rsidRDefault="00A76802">
            <w:pPr>
              <w:textAlignment w:val="bottom"/>
            </w:pPr>
            <w:r>
              <w:rPr>
                <w:rFonts w:ascii="sans-serif" w:eastAsia="sans-serif" w:hAnsi="sans-serif" w:cs="sans-serif"/>
                <w:color w:val="000000"/>
                <w:sz w:val="20"/>
                <w:szCs w:val="20"/>
              </w:rPr>
              <w:t>Net income</w:t>
            </w:r>
          </w:p>
        </w:tc>
        <w:tc>
          <w:tcPr>
            <w:tcW w:w="0" w:type="auto"/>
            <w:shd w:val="clear" w:color="auto" w:fill="E2EFD9"/>
            <w:tcMar>
              <w:top w:w="40" w:type="dxa"/>
              <w:left w:w="20" w:type="dxa"/>
              <w:bottom w:w="40" w:type="dxa"/>
              <w:right w:w="0" w:type="dxa"/>
            </w:tcMar>
            <w:vAlign w:val="bottom"/>
          </w:tcPr>
          <w:p w14:paraId="195038DA"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8DB" w14:textId="77777777" w:rsidR="00BF3A3A" w:rsidRDefault="00A76802">
            <w:pPr>
              <w:jc w:val="right"/>
              <w:textAlignment w:val="bottom"/>
            </w:pPr>
            <w:r>
              <w:rPr>
                <w:rFonts w:ascii="sans-serif" w:eastAsia="sans-serif" w:hAnsi="sans-serif" w:cs="sans-serif"/>
                <w:color w:val="000000"/>
                <w:sz w:val="20"/>
                <w:szCs w:val="20"/>
              </w:rPr>
              <w:t>656 </w:t>
            </w:r>
          </w:p>
        </w:tc>
        <w:tc>
          <w:tcPr>
            <w:tcW w:w="0" w:type="auto"/>
            <w:shd w:val="clear" w:color="auto" w:fill="E2EFD9"/>
            <w:tcMar>
              <w:top w:w="40" w:type="dxa"/>
              <w:left w:w="0" w:type="dxa"/>
              <w:bottom w:w="40" w:type="dxa"/>
              <w:right w:w="20" w:type="dxa"/>
            </w:tcMar>
            <w:vAlign w:val="bottom"/>
          </w:tcPr>
          <w:p w14:paraId="195038D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8DD"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8DE"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8DF" w14:textId="77777777" w:rsidR="00BF3A3A" w:rsidRDefault="00A76802">
            <w:pPr>
              <w:jc w:val="right"/>
              <w:textAlignment w:val="bottom"/>
            </w:pPr>
            <w:r>
              <w:rPr>
                <w:rFonts w:ascii="sans-serif" w:eastAsia="sans-serif" w:hAnsi="sans-serif" w:cs="sans-serif"/>
                <w:color w:val="000000"/>
                <w:sz w:val="20"/>
                <w:szCs w:val="20"/>
              </w:rPr>
              <w:t>1,618 </w:t>
            </w:r>
          </w:p>
        </w:tc>
        <w:tc>
          <w:tcPr>
            <w:tcW w:w="0" w:type="auto"/>
            <w:shd w:val="clear" w:color="auto" w:fill="E2EFD9"/>
            <w:tcMar>
              <w:top w:w="40" w:type="dxa"/>
              <w:left w:w="0" w:type="dxa"/>
              <w:bottom w:w="40" w:type="dxa"/>
              <w:right w:w="20" w:type="dxa"/>
            </w:tcMar>
            <w:vAlign w:val="bottom"/>
          </w:tcPr>
          <w:p w14:paraId="195038E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8E1"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8E2"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8E3" w14:textId="77777777" w:rsidR="00BF3A3A" w:rsidRDefault="00A76802">
            <w:pPr>
              <w:jc w:val="right"/>
              <w:textAlignment w:val="bottom"/>
            </w:pPr>
            <w:r>
              <w:rPr>
                <w:rFonts w:ascii="sans-serif" w:eastAsia="sans-serif" w:hAnsi="sans-serif" w:cs="sans-serif"/>
                <w:color w:val="000000"/>
                <w:sz w:val="20"/>
                <w:szCs w:val="20"/>
              </w:rPr>
              <w:t>2,374 </w:t>
            </w:r>
          </w:p>
        </w:tc>
        <w:tc>
          <w:tcPr>
            <w:tcW w:w="0" w:type="auto"/>
            <w:shd w:val="clear" w:color="auto" w:fill="E2EFD9"/>
            <w:tcMar>
              <w:top w:w="40" w:type="dxa"/>
              <w:left w:w="0" w:type="dxa"/>
              <w:bottom w:w="40" w:type="dxa"/>
              <w:right w:w="20" w:type="dxa"/>
            </w:tcMar>
            <w:vAlign w:val="bottom"/>
          </w:tcPr>
          <w:p w14:paraId="195038E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8E5"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8E6" w14:textId="77777777" w:rsidR="00BF3A3A" w:rsidRDefault="00A76802">
            <w:pPr>
              <w:jc w:val="right"/>
              <w:textAlignment w:val="bottom"/>
            </w:pPr>
            <w:r>
              <w:rPr>
                <w:rFonts w:ascii="sans-serif" w:eastAsia="sans-serif" w:hAnsi="sans-serif" w:cs="sans-serif"/>
                <w:color w:val="000000"/>
                <w:sz w:val="20"/>
                <w:szCs w:val="20"/>
              </w:rPr>
              <w:t>(59)</w:t>
            </w:r>
          </w:p>
        </w:tc>
        <w:tc>
          <w:tcPr>
            <w:tcW w:w="0" w:type="auto"/>
            <w:shd w:val="clear" w:color="auto" w:fill="E2EFD9"/>
            <w:tcMar>
              <w:top w:w="40" w:type="dxa"/>
              <w:left w:w="0" w:type="dxa"/>
              <w:bottom w:w="40" w:type="dxa"/>
              <w:right w:w="20" w:type="dxa"/>
            </w:tcMar>
            <w:vAlign w:val="bottom"/>
          </w:tcPr>
          <w:p w14:paraId="195038E7"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195038E8"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8E9" w14:textId="77777777" w:rsidR="00BF3A3A" w:rsidRDefault="00A76802">
            <w:pPr>
              <w:jc w:val="right"/>
              <w:textAlignment w:val="bottom"/>
            </w:pPr>
            <w:r>
              <w:rPr>
                <w:rFonts w:ascii="sans-serif" w:eastAsia="sans-serif" w:hAnsi="sans-serif" w:cs="sans-serif"/>
                <w:color w:val="000000"/>
                <w:sz w:val="20"/>
                <w:szCs w:val="20"/>
              </w:rPr>
              <w:t>(72)</w:t>
            </w:r>
          </w:p>
        </w:tc>
        <w:tc>
          <w:tcPr>
            <w:tcW w:w="0" w:type="auto"/>
            <w:shd w:val="clear" w:color="auto" w:fill="E2EFD9"/>
            <w:tcMar>
              <w:top w:w="40" w:type="dxa"/>
              <w:left w:w="0" w:type="dxa"/>
              <w:bottom w:w="40" w:type="dxa"/>
              <w:right w:w="20" w:type="dxa"/>
            </w:tcMar>
            <w:vAlign w:val="bottom"/>
          </w:tcPr>
          <w:p w14:paraId="195038EA" w14:textId="77777777" w:rsidR="00BF3A3A" w:rsidRDefault="00A76802">
            <w:pPr>
              <w:jc w:val="right"/>
              <w:textAlignment w:val="bottom"/>
            </w:pPr>
            <w:r>
              <w:rPr>
                <w:rFonts w:ascii="sans-serif" w:eastAsia="sans-serif" w:hAnsi="sans-serif" w:cs="sans-serif"/>
                <w:color w:val="000000"/>
                <w:sz w:val="20"/>
                <w:szCs w:val="20"/>
              </w:rPr>
              <w:t>%</w:t>
            </w:r>
          </w:p>
        </w:tc>
      </w:tr>
      <w:tr w:rsidR="00BF3A3A" w14:paraId="195038FE" w14:textId="77777777">
        <w:tc>
          <w:tcPr>
            <w:tcW w:w="0" w:type="auto"/>
            <w:gridSpan w:val="3"/>
            <w:shd w:val="clear" w:color="auto" w:fill="FFFFFF"/>
            <w:tcMar>
              <w:top w:w="40" w:type="dxa"/>
              <w:left w:w="20" w:type="dxa"/>
              <w:bottom w:w="40" w:type="dxa"/>
              <w:right w:w="20" w:type="dxa"/>
            </w:tcMar>
            <w:vAlign w:val="bottom"/>
          </w:tcPr>
          <w:p w14:paraId="195038EC" w14:textId="77777777" w:rsidR="00BF3A3A" w:rsidRDefault="00A76802">
            <w:pPr>
              <w:textAlignment w:val="bottom"/>
            </w:pPr>
            <w:r>
              <w:rPr>
                <w:rFonts w:ascii="sans-serif" w:eastAsia="sans-serif" w:hAnsi="sans-serif" w:cs="sans-serif"/>
                <w:color w:val="000000"/>
                <w:sz w:val="20"/>
                <w:szCs w:val="20"/>
              </w:rPr>
              <w:t>Net income per diluted share</w:t>
            </w:r>
          </w:p>
        </w:tc>
        <w:tc>
          <w:tcPr>
            <w:tcW w:w="0" w:type="auto"/>
            <w:shd w:val="clear" w:color="auto" w:fill="FFFFFF"/>
            <w:tcMar>
              <w:top w:w="40" w:type="dxa"/>
              <w:left w:w="20" w:type="dxa"/>
              <w:bottom w:w="40" w:type="dxa"/>
              <w:right w:w="0" w:type="dxa"/>
            </w:tcMar>
            <w:vAlign w:val="bottom"/>
          </w:tcPr>
          <w:p w14:paraId="195038ED"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8EE" w14:textId="77777777" w:rsidR="00BF3A3A" w:rsidRDefault="00A76802">
            <w:pPr>
              <w:jc w:val="right"/>
              <w:textAlignment w:val="bottom"/>
            </w:pPr>
            <w:r>
              <w:rPr>
                <w:rFonts w:ascii="sans-serif" w:eastAsia="sans-serif" w:hAnsi="sans-serif" w:cs="sans-serif"/>
                <w:color w:val="000000"/>
                <w:sz w:val="20"/>
                <w:szCs w:val="20"/>
              </w:rPr>
              <w:t>0.26 </w:t>
            </w:r>
          </w:p>
        </w:tc>
        <w:tc>
          <w:tcPr>
            <w:tcW w:w="0" w:type="auto"/>
            <w:shd w:val="clear" w:color="auto" w:fill="FFFFFF"/>
            <w:tcMar>
              <w:top w:w="40" w:type="dxa"/>
              <w:left w:w="0" w:type="dxa"/>
              <w:bottom w:w="40" w:type="dxa"/>
              <w:right w:w="20" w:type="dxa"/>
            </w:tcMar>
            <w:vAlign w:val="bottom"/>
          </w:tcPr>
          <w:p w14:paraId="195038EF"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8F0"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8F1"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8F2" w14:textId="77777777" w:rsidR="00BF3A3A" w:rsidRDefault="00A76802">
            <w:pPr>
              <w:jc w:val="right"/>
              <w:textAlignment w:val="bottom"/>
            </w:pPr>
            <w:r>
              <w:rPr>
                <w:rFonts w:ascii="sans-serif" w:eastAsia="sans-serif" w:hAnsi="sans-serif" w:cs="sans-serif"/>
                <w:color w:val="000000"/>
                <w:sz w:val="20"/>
                <w:szCs w:val="20"/>
              </w:rPr>
              <w:t>0.64 </w:t>
            </w:r>
          </w:p>
        </w:tc>
        <w:tc>
          <w:tcPr>
            <w:tcW w:w="0" w:type="auto"/>
            <w:shd w:val="clear" w:color="auto" w:fill="FFFFFF"/>
            <w:tcMar>
              <w:top w:w="40" w:type="dxa"/>
              <w:left w:w="0" w:type="dxa"/>
              <w:bottom w:w="40" w:type="dxa"/>
              <w:right w:w="20" w:type="dxa"/>
            </w:tcMar>
            <w:vAlign w:val="bottom"/>
          </w:tcPr>
          <w:p w14:paraId="195038F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8F4"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8F5"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8F6" w14:textId="77777777" w:rsidR="00BF3A3A" w:rsidRDefault="00A76802">
            <w:pPr>
              <w:jc w:val="right"/>
              <w:textAlignment w:val="bottom"/>
            </w:pPr>
            <w:r>
              <w:rPr>
                <w:rFonts w:ascii="sans-serif" w:eastAsia="sans-serif" w:hAnsi="sans-serif" w:cs="sans-serif"/>
                <w:color w:val="000000"/>
                <w:sz w:val="20"/>
                <w:szCs w:val="20"/>
              </w:rPr>
              <w:t>0.94 </w:t>
            </w:r>
          </w:p>
        </w:tc>
        <w:tc>
          <w:tcPr>
            <w:tcW w:w="0" w:type="auto"/>
            <w:shd w:val="clear" w:color="auto" w:fill="FFFFFF"/>
            <w:tcMar>
              <w:top w:w="40" w:type="dxa"/>
              <w:left w:w="0" w:type="dxa"/>
              <w:bottom w:w="40" w:type="dxa"/>
              <w:right w:w="20" w:type="dxa"/>
            </w:tcMar>
            <w:vAlign w:val="bottom"/>
          </w:tcPr>
          <w:p w14:paraId="195038F7"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8F8"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8F9" w14:textId="77777777" w:rsidR="00BF3A3A" w:rsidRDefault="00A76802">
            <w:pPr>
              <w:jc w:val="right"/>
              <w:textAlignment w:val="bottom"/>
            </w:pPr>
            <w:r>
              <w:rPr>
                <w:rFonts w:ascii="sans-serif" w:eastAsia="sans-serif" w:hAnsi="sans-serif" w:cs="sans-serif"/>
                <w:color w:val="000000"/>
                <w:sz w:val="20"/>
                <w:szCs w:val="20"/>
              </w:rPr>
              <w:t>(59)</w:t>
            </w:r>
          </w:p>
        </w:tc>
        <w:tc>
          <w:tcPr>
            <w:tcW w:w="0" w:type="auto"/>
            <w:shd w:val="clear" w:color="auto" w:fill="FFFFFF"/>
            <w:tcMar>
              <w:top w:w="40" w:type="dxa"/>
              <w:left w:w="0" w:type="dxa"/>
              <w:bottom w:w="40" w:type="dxa"/>
              <w:right w:w="20" w:type="dxa"/>
            </w:tcMar>
            <w:vAlign w:val="bottom"/>
          </w:tcPr>
          <w:p w14:paraId="195038FA"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195038FB"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8FC" w14:textId="77777777" w:rsidR="00BF3A3A" w:rsidRDefault="00A76802">
            <w:pPr>
              <w:jc w:val="right"/>
              <w:textAlignment w:val="bottom"/>
            </w:pPr>
            <w:r>
              <w:rPr>
                <w:rFonts w:ascii="sans-serif" w:eastAsia="sans-serif" w:hAnsi="sans-serif" w:cs="sans-serif"/>
                <w:color w:val="000000"/>
                <w:sz w:val="20"/>
                <w:szCs w:val="20"/>
              </w:rPr>
              <w:t>(72)</w:t>
            </w:r>
          </w:p>
        </w:tc>
        <w:tc>
          <w:tcPr>
            <w:tcW w:w="0" w:type="auto"/>
            <w:shd w:val="clear" w:color="auto" w:fill="FFFFFF"/>
            <w:tcMar>
              <w:top w:w="40" w:type="dxa"/>
              <w:left w:w="0" w:type="dxa"/>
              <w:bottom w:w="40" w:type="dxa"/>
              <w:right w:w="20" w:type="dxa"/>
            </w:tcMar>
            <w:vAlign w:val="bottom"/>
          </w:tcPr>
          <w:p w14:paraId="195038FD" w14:textId="77777777" w:rsidR="00BF3A3A" w:rsidRDefault="00A76802">
            <w:pPr>
              <w:jc w:val="right"/>
              <w:textAlignment w:val="bottom"/>
            </w:pPr>
            <w:r>
              <w:rPr>
                <w:rFonts w:ascii="sans-serif" w:eastAsia="sans-serif" w:hAnsi="sans-serif" w:cs="sans-serif"/>
                <w:color w:val="000000"/>
                <w:sz w:val="20"/>
                <w:szCs w:val="20"/>
              </w:rPr>
              <w:t>%</w:t>
            </w:r>
          </w:p>
        </w:tc>
      </w:tr>
    </w:tbl>
    <w:p w14:paraId="195038FF" w14:textId="77777777" w:rsidR="00BF3A3A" w:rsidRDefault="00A76802">
      <w:pPr>
        <w:spacing w:after="180"/>
        <w:jc w:val="both"/>
      </w:pPr>
      <w:r>
        <w:rPr>
          <w:rFonts w:ascii="sans-serif" w:eastAsia="sans-serif" w:hAnsi="sans-serif" w:cs="sans-serif"/>
          <w:color w:val="000000"/>
          <w:sz w:val="20"/>
          <w:szCs w:val="20"/>
        </w:rPr>
        <w:t xml:space="preserve">We specialize in markets where our computing platforms can provide tremendous acceleration for applications. These platforms incorporate processors, </w:t>
      </w:r>
      <w:r>
        <w:rPr>
          <w:rFonts w:ascii="sans-serif" w:eastAsia="sans-serif" w:hAnsi="sans-serif" w:cs="sans-serif"/>
          <w:color w:val="000000"/>
          <w:sz w:val="20"/>
          <w:szCs w:val="20"/>
        </w:rPr>
        <w:t>interconnects, software, algorithms, systems, and services to deliver unique value. Our platforms address four large markets where our expertise is critical: Gaming, Data Center, Professional Visualization, and Automotive.</w:t>
      </w:r>
    </w:p>
    <w:p w14:paraId="19503900" w14:textId="77777777" w:rsidR="00BF3A3A" w:rsidRDefault="00A76802">
      <w:pPr>
        <w:spacing w:after="180"/>
        <w:jc w:val="both"/>
      </w:pPr>
      <w:r>
        <w:rPr>
          <w:rFonts w:ascii="sans-serif" w:eastAsia="sans-serif" w:hAnsi="sans-serif" w:cs="sans-serif"/>
          <w:color w:val="000000"/>
          <w:sz w:val="20"/>
          <w:szCs w:val="20"/>
        </w:rPr>
        <w:t>Revenue for the second quarter of</w:t>
      </w:r>
      <w:r>
        <w:rPr>
          <w:rFonts w:ascii="sans-serif" w:eastAsia="sans-serif" w:hAnsi="sans-serif" w:cs="sans-serif"/>
          <w:color w:val="000000"/>
          <w:sz w:val="20"/>
          <w:szCs w:val="20"/>
        </w:rPr>
        <w:t xml:space="preserve"> fiscal year 2023 was $6.70 billion, up 3% from a year ago and down 19% sequentially.</w:t>
      </w:r>
    </w:p>
    <w:p w14:paraId="19503901" w14:textId="77777777" w:rsidR="00BF3A3A" w:rsidRDefault="00A76802">
      <w:pPr>
        <w:spacing w:after="180"/>
        <w:jc w:val="both"/>
      </w:pPr>
      <w:r>
        <w:rPr>
          <w:rFonts w:ascii="sans-serif" w:eastAsia="sans-serif" w:hAnsi="sans-serif" w:cs="sans-serif"/>
          <w:color w:val="000000"/>
          <w:sz w:val="20"/>
          <w:szCs w:val="20"/>
        </w:rPr>
        <w:t>Gaming revenue was down 33% from a year ago and down 44% sequentially. These decreases were primarily attributable to lower sell-in of Gaming products, reflecting reduced</w:t>
      </w:r>
      <w:r>
        <w:rPr>
          <w:rFonts w:ascii="sans-serif" w:eastAsia="sans-serif" w:hAnsi="sans-serif" w:cs="sans-serif"/>
          <w:color w:val="000000"/>
          <w:sz w:val="20"/>
          <w:szCs w:val="20"/>
        </w:rPr>
        <w:t xml:space="preserve"> channel partner sales due to macroeconomic headwinds. In addition to reducing sell-in, we implemented pricing programs with channel partners to address challenging market conditions that are expected to persist into the third quarter of fiscal year 2023.</w:t>
      </w:r>
    </w:p>
    <w:p w14:paraId="19503902" w14:textId="77777777" w:rsidR="00BF3A3A" w:rsidRDefault="00A76802">
      <w:pPr>
        <w:spacing w:after="180"/>
        <w:jc w:val="both"/>
      </w:pPr>
      <w:r>
        <w:rPr>
          <w:rFonts w:ascii="sans-serif" w:eastAsia="sans-serif" w:hAnsi="sans-serif" w:cs="sans-serif"/>
          <w:color w:val="000000"/>
          <w:sz w:val="20"/>
          <w:szCs w:val="20"/>
        </w:rPr>
        <w:t>Our GPUs are capable of cryptocurrency mining, though we have limited visibility into how much this impacts our overall GPU demand. Volatility in the cryptocurrency market – such as declines in cryptocurrency prices or changes in method of verifying transa</w:t>
      </w:r>
      <w:r>
        <w:rPr>
          <w:rFonts w:ascii="sans-serif" w:eastAsia="sans-serif" w:hAnsi="sans-serif" w:cs="sans-serif"/>
          <w:color w:val="000000"/>
          <w:sz w:val="20"/>
          <w:szCs w:val="20"/>
        </w:rPr>
        <w:t>ctions, including proof of work or proof of stake – has in the past impacted, and can in the future impact, demand for our products and our ability to accurately estimate it. As noted last quarter, we had expected cryptocurrency mining to make a diminishin</w:t>
      </w:r>
      <w:r>
        <w:rPr>
          <w:rFonts w:ascii="sans-serif" w:eastAsia="sans-serif" w:hAnsi="sans-serif" w:cs="sans-serif"/>
          <w:color w:val="000000"/>
          <w:sz w:val="20"/>
          <w:szCs w:val="20"/>
        </w:rPr>
        <w:t>g contribution to Gaming demand. We are unable to accurately quantify the extent to which reduced cryptocurrency mining contributed to the decline in Gaming demand.</w:t>
      </w:r>
    </w:p>
    <w:p w14:paraId="19503903" w14:textId="77777777" w:rsidR="00BF3A3A" w:rsidRDefault="00A76802">
      <w:pPr>
        <w:spacing w:after="180"/>
        <w:jc w:val="both"/>
      </w:pPr>
      <w:r>
        <w:rPr>
          <w:rFonts w:ascii="sans-serif" w:eastAsia="sans-serif" w:hAnsi="sans-serif" w:cs="sans-serif"/>
          <w:color w:val="000000"/>
          <w:sz w:val="20"/>
          <w:szCs w:val="20"/>
        </w:rPr>
        <w:t>Data Center revenue was up 61% from a year ago and up 1% sequentially. The year-on-year inc</w:t>
      </w:r>
      <w:r>
        <w:rPr>
          <w:rFonts w:ascii="sans-serif" w:eastAsia="sans-serif" w:hAnsi="sans-serif" w:cs="sans-serif"/>
          <w:color w:val="000000"/>
          <w:sz w:val="20"/>
          <w:szCs w:val="20"/>
        </w:rPr>
        <w:t>rease was primarily driven by hyperscale customer revenue, which nearly doubled. Sequentially, sales to North America hyperscale and cloud computing customers increased, but were more than offset by lower sales to China hyperscale customers affected by eco</w:t>
      </w:r>
      <w:r>
        <w:rPr>
          <w:rFonts w:ascii="sans-serif" w:eastAsia="sans-serif" w:hAnsi="sans-serif" w:cs="sans-serif"/>
          <w:color w:val="000000"/>
          <w:sz w:val="20"/>
          <w:szCs w:val="20"/>
        </w:rPr>
        <w:t xml:space="preserve">nomic conditions in China. Vertical industries grew both sequentially and year-on-year. Key workloads driving </w:t>
      </w:r>
    </w:p>
    <w:p w14:paraId="19503904" w14:textId="77777777" w:rsidR="00BF3A3A" w:rsidRDefault="00A76802">
      <w:pPr>
        <w:spacing w:after="180"/>
        <w:jc w:val="center"/>
      </w:pPr>
      <w:r>
        <w:rPr>
          <w:rFonts w:ascii="sans-serif" w:eastAsia="sans-serif" w:hAnsi="sans-serif" w:cs="sans-serif"/>
          <w:color w:val="000000"/>
          <w:sz w:val="20"/>
          <w:szCs w:val="20"/>
        </w:rPr>
        <w:t>26</w:t>
      </w:r>
    </w:p>
    <w:p w14:paraId="19503905" w14:textId="77777777" w:rsidR="00BF3A3A" w:rsidRDefault="00A76802">
      <w:r>
        <w:pict w14:anchorId="19503FDF">
          <v:rect id="_x0000_i1050" style="width:415.3pt;height:1.5pt" o:hralign="center" o:hrstd="t" o:hr="t" fillcolor="#a0a0a0" stroked="f"/>
        </w:pict>
      </w:r>
    </w:p>
    <w:p w14:paraId="19503906" w14:textId="77777777" w:rsidR="00BF3A3A" w:rsidRDefault="00BF3A3A">
      <w:pPr>
        <w:spacing w:after="180"/>
        <w:jc w:val="both"/>
      </w:pPr>
    </w:p>
    <w:p w14:paraId="19503907" w14:textId="77777777" w:rsidR="00BF3A3A" w:rsidRDefault="00BF3A3A">
      <w:pPr>
        <w:spacing w:after="180"/>
        <w:jc w:val="both"/>
      </w:pPr>
    </w:p>
    <w:p w14:paraId="19503908" w14:textId="77777777" w:rsidR="00BF3A3A" w:rsidRDefault="00BF3A3A">
      <w:pPr>
        <w:spacing w:after="180"/>
        <w:jc w:val="both"/>
      </w:pPr>
    </w:p>
    <w:p w14:paraId="19503909" w14:textId="77777777" w:rsidR="00BF3A3A" w:rsidRDefault="00A76802">
      <w:pPr>
        <w:spacing w:after="180"/>
        <w:jc w:val="both"/>
      </w:pPr>
      <w:r>
        <w:rPr>
          <w:rFonts w:ascii="sans-serif" w:eastAsia="sans-serif" w:hAnsi="sans-serif" w:cs="sans-serif"/>
          <w:color w:val="000000"/>
          <w:sz w:val="20"/>
          <w:szCs w:val="20"/>
        </w:rPr>
        <w:t>growth included natural language processing, deep recommenders, autonomous vehicle fleet data processing and training, and cloud graphics</w:t>
      </w:r>
      <w:r>
        <w:rPr>
          <w:rFonts w:ascii="sans-serif" w:eastAsia="sans-serif" w:hAnsi="sans-serif" w:cs="sans-serif"/>
          <w:color w:val="000000"/>
          <w:sz w:val="20"/>
          <w:szCs w:val="20"/>
        </w:rPr>
        <w:t xml:space="preserve">. </w:t>
      </w:r>
    </w:p>
    <w:p w14:paraId="1950390A" w14:textId="77777777" w:rsidR="00BF3A3A" w:rsidRDefault="00A76802">
      <w:pPr>
        <w:spacing w:after="180"/>
        <w:jc w:val="both"/>
      </w:pPr>
      <w:r>
        <w:rPr>
          <w:rFonts w:ascii="sans-serif" w:eastAsia="sans-serif" w:hAnsi="sans-serif" w:cs="sans-serif"/>
          <w:color w:val="000000"/>
          <w:sz w:val="20"/>
          <w:szCs w:val="20"/>
        </w:rPr>
        <w:t xml:space="preserve">Professional Visualization revenue was down 4% from a year ago and down 20% sequentially. The sequential increase in mobile revenue was more than offset by lower desktop revenue, particularly at the high end. </w:t>
      </w:r>
    </w:p>
    <w:p w14:paraId="1950390B" w14:textId="77777777" w:rsidR="00BF3A3A" w:rsidRDefault="00A76802">
      <w:pPr>
        <w:spacing w:after="180"/>
        <w:jc w:val="both"/>
      </w:pPr>
      <w:r>
        <w:rPr>
          <w:rFonts w:ascii="sans-serif" w:eastAsia="sans-serif" w:hAnsi="sans-serif" w:cs="sans-serif"/>
          <w:color w:val="000000"/>
          <w:sz w:val="20"/>
          <w:szCs w:val="20"/>
        </w:rPr>
        <w:t>Automotive revenue was up 45% from a year a</w:t>
      </w:r>
      <w:r>
        <w:rPr>
          <w:rFonts w:ascii="sans-serif" w:eastAsia="sans-serif" w:hAnsi="sans-serif" w:cs="sans-serif"/>
          <w:color w:val="000000"/>
          <w:sz w:val="20"/>
          <w:szCs w:val="20"/>
        </w:rPr>
        <w:t xml:space="preserve">go and up 59% sequentially. These increases were driven by revenue from self-driving and AI cockpit solutions, partially offset by a decline of legacy cockpit revenue. </w:t>
      </w:r>
    </w:p>
    <w:p w14:paraId="1950390C" w14:textId="77777777" w:rsidR="00BF3A3A" w:rsidRDefault="00A76802">
      <w:pPr>
        <w:spacing w:after="180"/>
        <w:jc w:val="both"/>
      </w:pPr>
      <w:r>
        <w:rPr>
          <w:rFonts w:ascii="sans-serif" w:eastAsia="sans-serif" w:hAnsi="sans-serif" w:cs="sans-serif"/>
          <w:color w:val="000000"/>
          <w:sz w:val="20"/>
          <w:szCs w:val="20"/>
        </w:rPr>
        <w:t>OEM and Other revenue was down 66% from a year ago and down 11% sequentially. The seque</w:t>
      </w:r>
      <w:r>
        <w:rPr>
          <w:rFonts w:ascii="sans-serif" w:eastAsia="sans-serif" w:hAnsi="sans-serif" w:cs="sans-serif"/>
          <w:color w:val="000000"/>
          <w:sz w:val="20"/>
          <w:szCs w:val="20"/>
        </w:rPr>
        <w:t>ntial decline was driven by lower notebook OEM sales, partially offset by higher Jetson sales. CMP revenue was nominal in the current and prior quarter, and $266 million a year ago.</w:t>
      </w:r>
    </w:p>
    <w:p w14:paraId="1950390D" w14:textId="77777777" w:rsidR="00BF3A3A" w:rsidRDefault="00A76802">
      <w:pPr>
        <w:spacing w:after="180"/>
        <w:jc w:val="both"/>
      </w:pPr>
      <w:r>
        <w:rPr>
          <w:rFonts w:ascii="sans-serif" w:eastAsia="sans-serif" w:hAnsi="sans-serif" w:cs="sans-serif"/>
          <w:color w:val="000000"/>
          <w:sz w:val="20"/>
          <w:szCs w:val="20"/>
        </w:rPr>
        <w:t>Gross margin decreases were primarily due to a $1.34 billion charge, compr</w:t>
      </w:r>
      <w:r>
        <w:rPr>
          <w:rFonts w:ascii="sans-serif" w:eastAsia="sans-serif" w:hAnsi="sans-serif" w:cs="sans-serif"/>
          <w:color w:val="000000"/>
          <w:sz w:val="20"/>
          <w:szCs w:val="20"/>
        </w:rPr>
        <w:t xml:space="preserve">ised of $1.22 billion for inventory and related reserves and $122 million for warranty reserves. </w:t>
      </w:r>
    </w:p>
    <w:p w14:paraId="1950390E" w14:textId="77777777" w:rsidR="00BF3A3A" w:rsidRDefault="00A76802">
      <w:pPr>
        <w:spacing w:after="180"/>
        <w:jc w:val="both"/>
      </w:pPr>
      <w:r>
        <w:rPr>
          <w:rFonts w:ascii="sans-serif" w:eastAsia="sans-serif" w:hAnsi="sans-serif" w:cs="sans-serif"/>
          <w:color w:val="000000"/>
          <w:sz w:val="20"/>
          <w:szCs w:val="20"/>
        </w:rPr>
        <w:t>The $1.22 billion charge for inventory and related reserves is based on revised expectations of future demand, primarily relating to Data Center and Gaming. T</w:t>
      </w:r>
      <w:r>
        <w:rPr>
          <w:rFonts w:ascii="sans-serif" w:eastAsia="sans-serif" w:hAnsi="sans-serif" w:cs="sans-serif"/>
          <w:color w:val="000000"/>
          <w:sz w:val="20"/>
          <w:szCs w:val="20"/>
        </w:rPr>
        <w:t xml:space="preserve">he charge consists of approximately $570 million for inventory on hand and approximately $650 million for inventory purchase obligations in excess of our current demand projections, and cancellation and underutilization penalties. </w:t>
      </w:r>
    </w:p>
    <w:p w14:paraId="1950390F" w14:textId="77777777" w:rsidR="00BF3A3A" w:rsidRDefault="00A76802">
      <w:pPr>
        <w:spacing w:after="180"/>
        <w:jc w:val="both"/>
      </w:pPr>
      <w:r>
        <w:rPr>
          <w:rFonts w:ascii="sans-serif" w:eastAsia="sans-serif" w:hAnsi="sans-serif" w:cs="sans-serif"/>
          <w:color w:val="000000"/>
          <w:sz w:val="20"/>
          <w:szCs w:val="20"/>
        </w:rPr>
        <w:t>Operating expense includ</w:t>
      </w:r>
      <w:r>
        <w:rPr>
          <w:rFonts w:ascii="sans-serif" w:eastAsia="sans-serif" w:hAnsi="sans-serif" w:cs="sans-serif"/>
          <w:color w:val="000000"/>
          <w:sz w:val="20"/>
          <w:szCs w:val="20"/>
        </w:rPr>
        <w:t>es a $1.35 billion acquisition termination charge related to the Arm transaction in the prior quarter. Operating expenses were influenced primarily by employee growth costs, as well as increases in salaries to support our employees during this high inflati</w:t>
      </w:r>
      <w:r>
        <w:rPr>
          <w:rFonts w:ascii="sans-serif" w:eastAsia="sans-serif" w:hAnsi="sans-serif" w:cs="sans-serif"/>
          <w:color w:val="000000"/>
          <w:sz w:val="20"/>
          <w:szCs w:val="20"/>
        </w:rPr>
        <w:t xml:space="preserve">onary environment, and engineering development of new products coming to market. </w:t>
      </w:r>
    </w:p>
    <w:p w14:paraId="19503910" w14:textId="77777777" w:rsidR="00BF3A3A" w:rsidRDefault="00A76802">
      <w:pPr>
        <w:spacing w:after="180"/>
        <w:jc w:val="both"/>
      </w:pPr>
      <w:r>
        <w:rPr>
          <w:rFonts w:ascii="sans-serif" w:eastAsia="sans-serif" w:hAnsi="sans-serif" w:cs="sans-serif"/>
          <w:color w:val="000000"/>
          <w:sz w:val="20"/>
          <w:szCs w:val="20"/>
        </w:rPr>
        <w:t>Cash, cash equivalents and marketable securities were $17.04 billion, down from $19.65 billion a year ago and down from $20.34 billion a quarter ago. The year-on-year and seq</w:t>
      </w:r>
      <w:r>
        <w:rPr>
          <w:rFonts w:ascii="sans-serif" w:eastAsia="sans-serif" w:hAnsi="sans-serif" w:cs="sans-serif"/>
          <w:color w:val="000000"/>
          <w:sz w:val="20"/>
          <w:szCs w:val="20"/>
        </w:rPr>
        <w:t>uential decreases reflect share repurchases offset by operating cash flow generation.</w:t>
      </w:r>
    </w:p>
    <w:p w14:paraId="19503911" w14:textId="77777777" w:rsidR="00BF3A3A" w:rsidRDefault="00A76802">
      <w:pPr>
        <w:spacing w:after="180"/>
        <w:jc w:val="both"/>
      </w:pPr>
      <w:r>
        <w:rPr>
          <w:rFonts w:ascii="sans-serif" w:eastAsia="sans-serif" w:hAnsi="sans-serif" w:cs="sans-serif"/>
          <w:color w:val="000000"/>
          <w:sz w:val="20"/>
          <w:szCs w:val="20"/>
        </w:rPr>
        <w:t>During the second quarter of fiscal year 2023, we returned $3.44 billion to shareholders in the form of share repurchases and cash dividends. During the first half of fis</w:t>
      </w:r>
      <w:r>
        <w:rPr>
          <w:rFonts w:ascii="sans-serif" w:eastAsia="sans-serif" w:hAnsi="sans-serif" w:cs="sans-serif"/>
          <w:color w:val="000000"/>
          <w:sz w:val="20"/>
          <w:szCs w:val="20"/>
        </w:rPr>
        <w:t>cal year 2023, we returned $5.54 billion to shareholders in the form of share repurchases and cash dividends. We have $11.93 billion remaining under our share repurchase authorization through December 2023. We plan to continue share repurchases this fiscal</w:t>
      </w:r>
      <w:r>
        <w:rPr>
          <w:rFonts w:ascii="sans-serif" w:eastAsia="sans-serif" w:hAnsi="sans-serif" w:cs="sans-serif"/>
          <w:color w:val="000000"/>
          <w:sz w:val="20"/>
          <w:szCs w:val="20"/>
        </w:rPr>
        <w:t xml:space="preserve"> year.</w:t>
      </w:r>
    </w:p>
    <w:p w14:paraId="19503912" w14:textId="77777777" w:rsidR="00BF3A3A" w:rsidRDefault="00A76802">
      <w:pPr>
        <w:spacing w:before="120" w:after="120"/>
        <w:jc w:val="both"/>
      </w:pPr>
      <w:r>
        <w:rPr>
          <w:rFonts w:ascii="sans-serif" w:eastAsia="sans-serif" w:hAnsi="sans-serif" w:cs="sans-serif"/>
          <w:b/>
          <w:bCs/>
          <w:color w:val="000000"/>
          <w:sz w:val="20"/>
          <w:szCs w:val="20"/>
        </w:rPr>
        <w:t>Market Platform Highlights</w:t>
      </w:r>
    </w:p>
    <w:p w14:paraId="19503913" w14:textId="77777777" w:rsidR="00BF3A3A" w:rsidRDefault="00A76802">
      <w:pPr>
        <w:spacing w:after="180"/>
        <w:jc w:val="both"/>
      </w:pPr>
      <w:r>
        <w:rPr>
          <w:rFonts w:ascii="sans-serif" w:eastAsia="sans-serif" w:hAnsi="sans-serif" w:cs="sans-serif"/>
          <w:color w:val="000000"/>
          <w:sz w:val="20"/>
          <w:szCs w:val="20"/>
        </w:rPr>
        <w:t xml:space="preserve">In our Data Center market platform, we announced that NVIDIA Grace superchips are being used to create HGX systems by some of the world’s leading computer makers; unveiled the NVIDIA Quantum Optimized Device </w:t>
      </w:r>
      <w:r>
        <w:rPr>
          <w:rFonts w:ascii="sans-serif" w:eastAsia="sans-serif" w:hAnsi="sans-serif" w:cs="sans-serif"/>
          <w:color w:val="000000"/>
          <w:sz w:val="20"/>
          <w:szCs w:val="20"/>
        </w:rPr>
        <w:t>Architecture; and provided updates for the NeMo Megatron large language model framework.</w:t>
      </w:r>
    </w:p>
    <w:p w14:paraId="19503914" w14:textId="77777777" w:rsidR="00BF3A3A" w:rsidRDefault="00A76802">
      <w:pPr>
        <w:spacing w:after="180"/>
        <w:jc w:val="both"/>
      </w:pPr>
      <w:r>
        <w:rPr>
          <w:rFonts w:ascii="sans-serif" w:eastAsia="sans-serif" w:hAnsi="sans-serif" w:cs="sans-serif"/>
          <w:color w:val="000000"/>
          <w:sz w:val="20"/>
          <w:szCs w:val="20"/>
        </w:rPr>
        <w:t>In our Gaming market platform, we increased the number of GeForce RTX and NVIDIA Studio laptops to 180+ and expanded the GeForce NOW library with 80 additional games b</w:t>
      </w:r>
      <w:r>
        <w:rPr>
          <w:rFonts w:ascii="sans-serif" w:eastAsia="sans-serif" w:hAnsi="sans-serif" w:cs="sans-serif"/>
          <w:color w:val="000000"/>
          <w:sz w:val="20"/>
          <w:szCs w:val="20"/>
        </w:rPr>
        <w:t>ringing the total to over 1,350.</w:t>
      </w:r>
    </w:p>
    <w:p w14:paraId="19503915" w14:textId="77777777" w:rsidR="00BF3A3A" w:rsidRDefault="00A76802">
      <w:pPr>
        <w:spacing w:after="180"/>
        <w:jc w:val="both"/>
      </w:pPr>
      <w:r>
        <w:rPr>
          <w:rFonts w:ascii="sans-serif" w:eastAsia="sans-serif" w:hAnsi="sans-serif" w:cs="sans-serif"/>
          <w:color w:val="000000"/>
          <w:sz w:val="20"/>
          <w:szCs w:val="20"/>
        </w:rPr>
        <w:t>In our Professional Visualization market platform, we expanded our partnership with Siemens to enable the industrial metaverse and increase use of AI-driven digital twin technology and announced Omniverse Avatar Cloud Engin</w:t>
      </w:r>
      <w:r>
        <w:rPr>
          <w:rFonts w:ascii="sans-serif" w:eastAsia="sans-serif" w:hAnsi="sans-serif" w:cs="sans-serif"/>
          <w:color w:val="000000"/>
          <w:sz w:val="20"/>
          <w:szCs w:val="20"/>
        </w:rPr>
        <w:t>e.</w:t>
      </w:r>
    </w:p>
    <w:p w14:paraId="19503916" w14:textId="77777777" w:rsidR="00BF3A3A" w:rsidRDefault="00A76802">
      <w:pPr>
        <w:spacing w:after="180"/>
        <w:jc w:val="both"/>
      </w:pPr>
      <w:r>
        <w:rPr>
          <w:rFonts w:ascii="sans-serif" w:eastAsia="sans-serif" w:hAnsi="sans-serif" w:cs="sans-serif"/>
          <w:color w:val="000000"/>
          <w:sz w:val="20"/>
          <w:szCs w:val="20"/>
        </w:rPr>
        <w:t>In our Automotive market platform, we announced rollout plans of new model vehicles using the DRIVE Orin compute platform by partners NIO, Li Auto, JIDU, and Human Horizons, as well as Pony.ai’s use of DRIVE Orin across its line of self-driving trucks a</w:t>
      </w:r>
      <w:r>
        <w:rPr>
          <w:rFonts w:ascii="sans-serif" w:eastAsia="sans-serif" w:hAnsi="sans-serif" w:cs="sans-serif"/>
          <w:color w:val="000000"/>
          <w:sz w:val="20"/>
          <w:szCs w:val="20"/>
        </w:rPr>
        <w:t>nd robotaxis.</w:t>
      </w:r>
    </w:p>
    <w:p w14:paraId="19503917" w14:textId="77777777" w:rsidR="00BF3A3A" w:rsidRDefault="00A76802">
      <w:pPr>
        <w:spacing w:before="120" w:after="120"/>
        <w:jc w:val="both"/>
      </w:pPr>
      <w:r>
        <w:rPr>
          <w:rFonts w:ascii="sans-serif" w:eastAsia="sans-serif" w:hAnsi="sans-serif" w:cs="sans-serif"/>
          <w:b/>
          <w:bCs/>
          <w:color w:val="000000"/>
          <w:sz w:val="20"/>
          <w:szCs w:val="20"/>
        </w:rPr>
        <w:t>Financial Information by Business Segment and Geographic Data</w:t>
      </w:r>
    </w:p>
    <w:p w14:paraId="19503918" w14:textId="77777777" w:rsidR="00BF3A3A" w:rsidRDefault="00A76802">
      <w:pPr>
        <w:spacing w:after="180"/>
        <w:jc w:val="both"/>
      </w:pPr>
      <w:r>
        <w:rPr>
          <w:rFonts w:ascii="sans-serif" w:eastAsia="sans-serif" w:hAnsi="sans-serif" w:cs="sans-serif"/>
          <w:color w:val="000000"/>
          <w:sz w:val="20"/>
          <w:szCs w:val="20"/>
        </w:rPr>
        <w:t>Refer to Note 15 of the Notes to Condensed Consolidated Financial Statements for disclosure regarding segment information.</w:t>
      </w:r>
    </w:p>
    <w:p w14:paraId="19503919" w14:textId="77777777" w:rsidR="00BF3A3A" w:rsidRDefault="00A76802">
      <w:pPr>
        <w:spacing w:before="240" w:after="120"/>
        <w:jc w:val="both"/>
      </w:pPr>
      <w:r>
        <w:rPr>
          <w:rFonts w:ascii="sans-serif" w:eastAsia="sans-serif" w:hAnsi="sans-serif" w:cs="sans-serif"/>
          <w:b/>
          <w:bCs/>
          <w:color w:val="76B900"/>
          <w:sz w:val="22"/>
          <w:szCs w:val="22"/>
        </w:rPr>
        <w:t>Critical Accounting Policies and Estimates</w:t>
      </w:r>
    </w:p>
    <w:p w14:paraId="1950391A" w14:textId="77777777" w:rsidR="00BF3A3A" w:rsidRDefault="00A76802">
      <w:pPr>
        <w:spacing w:after="180"/>
        <w:jc w:val="both"/>
      </w:pPr>
      <w:r>
        <w:rPr>
          <w:rFonts w:ascii="sans-serif" w:eastAsia="sans-serif" w:hAnsi="sans-serif" w:cs="sans-serif"/>
          <w:color w:val="000000"/>
          <w:sz w:val="20"/>
          <w:szCs w:val="20"/>
        </w:rPr>
        <w:t xml:space="preserve">Refer to Part II, Item 7, "Critical Accounting Policies and Estimates" of our Annual Report on Form 10-K for the fiscal year ended January 30, 2022. There have been no material changes to our Critical Accounting Policies and Estimates. </w:t>
      </w:r>
    </w:p>
    <w:p w14:paraId="1950391B" w14:textId="77777777" w:rsidR="00BF3A3A" w:rsidRDefault="00BF3A3A">
      <w:pPr>
        <w:spacing w:before="240" w:after="120"/>
        <w:jc w:val="both"/>
      </w:pPr>
    </w:p>
    <w:p w14:paraId="1950391C" w14:textId="77777777" w:rsidR="00BF3A3A" w:rsidRDefault="00A76802">
      <w:pPr>
        <w:spacing w:after="180"/>
        <w:jc w:val="center"/>
      </w:pPr>
      <w:r>
        <w:rPr>
          <w:rFonts w:ascii="sans-serif" w:eastAsia="sans-serif" w:hAnsi="sans-serif" w:cs="sans-serif"/>
          <w:color w:val="000000"/>
          <w:sz w:val="20"/>
          <w:szCs w:val="20"/>
        </w:rPr>
        <w:t>27</w:t>
      </w:r>
    </w:p>
    <w:p w14:paraId="1950391D" w14:textId="77777777" w:rsidR="00BF3A3A" w:rsidRDefault="00A76802">
      <w:r>
        <w:pict w14:anchorId="19503FE0">
          <v:rect id="_x0000_i1051" style="width:415.3pt;height:1.5pt" o:hralign="center" o:hrstd="t" o:hr="t" fillcolor="#a0a0a0" stroked="f"/>
        </w:pict>
      </w:r>
    </w:p>
    <w:p w14:paraId="1950391E" w14:textId="77777777" w:rsidR="00BF3A3A" w:rsidRDefault="00BF3A3A">
      <w:pPr>
        <w:spacing w:after="180"/>
        <w:jc w:val="both"/>
      </w:pPr>
    </w:p>
    <w:p w14:paraId="1950391F" w14:textId="77777777" w:rsidR="00BF3A3A" w:rsidRDefault="00BF3A3A">
      <w:pPr>
        <w:spacing w:after="180"/>
        <w:jc w:val="both"/>
      </w:pPr>
    </w:p>
    <w:p w14:paraId="19503920" w14:textId="77777777" w:rsidR="00BF3A3A" w:rsidRDefault="00BF3A3A">
      <w:pPr>
        <w:spacing w:after="180"/>
        <w:jc w:val="both"/>
      </w:pPr>
    </w:p>
    <w:p w14:paraId="19503921" w14:textId="77777777" w:rsidR="00BF3A3A" w:rsidRDefault="00A76802">
      <w:pPr>
        <w:spacing w:before="240" w:after="120"/>
        <w:jc w:val="both"/>
      </w:pPr>
      <w:r>
        <w:rPr>
          <w:rFonts w:ascii="sans-serif" w:eastAsia="sans-serif" w:hAnsi="sans-serif" w:cs="sans-serif"/>
          <w:b/>
          <w:bCs/>
          <w:color w:val="76B900"/>
          <w:sz w:val="22"/>
          <w:szCs w:val="22"/>
        </w:rPr>
        <w:t>Results of</w:t>
      </w:r>
      <w:r>
        <w:rPr>
          <w:rFonts w:ascii="sans-serif" w:eastAsia="sans-serif" w:hAnsi="sans-serif" w:cs="sans-serif"/>
          <w:b/>
          <w:bCs/>
          <w:color w:val="76B900"/>
          <w:sz w:val="22"/>
          <w:szCs w:val="22"/>
        </w:rPr>
        <w:t xml:space="preserve"> Operations</w:t>
      </w:r>
    </w:p>
    <w:p w14:paraId="19503922" w14:textId="77777777" w:rsidR="00BF3A3A" w:rsidRDefault="00A76802">
      <w:pPr>
        <w:spacing w:after="180"/>
        <w:jc w:val="both"/>
      </w:pPr>
      <w:r>
        <w:rPr>
          <w:rFonts w:ascii="sans-serif" w:eastAsia="sans-serif" w:hAnsi="sans-serif" w:cs="sans-serif"/>
          <w:color w:val="000000"/>
          <w:sz w:val="20"/>
          <w:szCs w:val="20"/>
        </w:rPr>
        <w:t>The following table sets forth, for the periods indicated, certain items in our Condensed Consolidated Statements of Income expressed as a percentage of revenue.</w:t>
      </w:r>
    </w:p>
    <w:tbl>
      <w:tblPr>
        <w:tblW w:w="5000" w:type="pct"/>
        <w:tblCellMar>
          <w:top w:w="15" w:type="dxa"/>
          <w:left w:w="15" w:type="dxa"/>
          <w:bottom w:w="15" w:type="dxa"/>
          <w:right w:w="15" w:type="dxa"/>
        </w:tblCellMar>
        <w:tblLook w:val="04A0" w:firstRow="1" w:lastRow="0" w:firstColumn="1" w:lastColumn="0" w:noHBand="0" w:noVBand="1"/>
      </w:tblPr>
      <w:tblGrid>
        <w:gridCol w:w="40"/>
        <w:gridCol w:w="3543"/>
        <w:gridCol w:w="39"/>
        <w:gridCol w:w="40"/>
        <w:gridCol w:w="934"/>
        <w:gridCol w:w="164"/>
        <w:gridCol w:w="37"/>
        <w:gridCol w:w="36"/>
        <w:gridCol w:w="36"/>
        <w:gridCol w:w="47"/>
        <w:gridCol w:w="871"/>
        <w:gridCol w:w="164"/>
        <w:gridCol w:w="36"/>
        <w:gridCol w:w="36"/>
        <w:gridCol w:w="36"/>
        <w:gridCol w:w="40"/>
        <w:gridCol w:w="879"/>
        <w:gridCol w:w="164"/>
        <w:gridCol w:w="37"/>
        <w:gridCol w:w="36"/>
        <w:gridCol w:w="36"/>
        <w:gridCol w:w="47"/>
        <w:gridCol w:w="874"/>
        <w:gridCol w:w="164"/>
      </w:tblGrid>
      <w:tr w:rsidR="00BF3A3A" w14:paraId="1950393B" w14:textId="77777777">
        <w:tc>
          <w:tcPr>
            <w:tcW w:w="50" w:type="pct"/>
            <w:shd w:val="clear" w:color="auto" w:fill="auto"/>
            <w:vAlign w:val="bottom"/>
          </w:tcPr>
          <w:p w14:paraId="19503923" w14:textId="77777777" w:rsidR="00BF3A3A" w:rsidRDefault="00BF3A3A">
            <w:pPr>
              <w:rPr>
                <w:rFonts w:ascii="宋体"/>
              </w:rPr>
            </w:pPr>
          </w:p>
        </w:tc>
        <w:tc>
          <w:tcPr>
            <w:tcW w:w="2174" w:type="pct"/>
            <w:shd w:val="clear" w:color="auto" w:fill="auto"/>
            <w:vAlign w:val="bottom"/>
          </w:tcPr>
          <w:p w14:paraId="19503924" w14:textId="77777777" w:rsidR="00BF3A3A" w:rsidRDefault="00BF3A3A">
            <w:pPr>
              <w:rPr>
                <w:rFonts w:ascii="宋体"/>
              </w:rPr>
            </w:pPr>
          </w:p>
        </w:tc>
        <w:tc>
          <w:tcPr>
            <w:tcW w:w="5" w:type="pct"/>
            <w:shd w:val="clear" w:color="auto" w:fill="auto"/>
            <w:vAlign w:val="bottom"/>
          </w:tcPr>
          <w:p w14:paraId="19503925" w14:textId="77777777" w:rsidR="00BF3A3A" w:rsidRDefault="00BF3A3A">
            <w:pPr>
              <w:rPr>
                <w:rFonts w:ascii="宋体"/>
              </w:rPr>
            </w:pPr>
          </w:p>
        </w:tc>
        <w:tc>
          <w:tcPr>
            <w:tcW w:w="50" w:type="pct"/>
            <w:shd w:val="clear" w:color="auto" w:fill="auto"/>
            <w:vAlign w:val="bottom"/>
          </w:tcPr>
          <w:p w14:paraId="19503926" w14:textId="77777777" w:rsidR="00BF3A3A" w:rsidRDefault="00BF3A3A">
            <w:pPr>
              <w:rPr>
                <w:rFonts w:ascii="宋体"/>
              </w:rPr>
            </w:pPr>
          </w:p>
        </w:tc>
        <w:tc>
          <w:tcPr>
            <w:tcW w:w="610" w:type="pct"/>
            <w:shd w:val="clear" w:color="auto" w:fill="auto"/>
            <w:vAlign w:val="bottom"/>
          </w:tcPr>
          <w:p w14:paraId="19503927" w14:textId="77777777" w:rsidR="00BF3A3A" w:rsidRDefault="00BF3A3A">
            <w:pPr>
              <w:rPr>
                <w:rFonts w:ascii="宋体"/>
              </w:rPr>
            </w:pPr>
          </w:p>
        </w:tc>
        <w:tc>
          <w:tcPr>
            <w:tcW w:w="5" w:type="pct"/>
            <w:shd w:val="clear" w:color="auto" w:fill="auto"/>
            <w:vAlign w:val="bottom"/>
          </w:tcPr>
          <w:p w14:paraId="19503928" w14:textId="77777777" w:rsidR="00BF3A3A" w:rsidRDefault="00BF3A3A">
            <w:pPr>
              <w:rPr>
                <w:rFonts w:ascii="宋体"/>
              </w:rPr>
            </w:pPr>
          </w:p>
        </w:tc>
        <w:tc>
          <w:tcPr>
            <w:tcW w:w="5" w:type="pct"/>
            <w:shd w:val="clear" w:color="auto" w:fill="auto"/>
            <w:vAlign w:val="bottom"/>
          </w:tcPr>
          <w:p w14:paraId="19503929" w14:textId="77777777" w:rsidR="00BF3A3A" w:rsidRDefault="00BF3A3A">
            <w:pPr>
              <w:rPr>
                <w:rFonts w:ascii="宋体"/>
              </w:rPr>
            </w:pPr>
          </w:p>
        </w:tc>
        <w:tc>
          <w:tcPr>
            <w:tcW w:w="26" w:type="pct"/>
            <w:shd w:val="clear" w:color="auto" w:fill="auto"/>
            <w:vAlign w:val="bottom"/>
          </w:tcPr>
          <w:p w14:paraId="1950392A" w14:textId="77777777" w:rsidR="00BF3A3A" w:rsidRDefault="00BF3A3A">
            <w:pPr>
              <w:rPr>
                <w:rFonts w:ascii="宋体"/>
              </w:rPr>
            </w:pPr>
          </w:p>
        </w:tc>
        <w:tc>
          <w:tcPr>
            <w:tcW w:w="5" w:type="pct"/>
            <w:shd w:val="clear" w:color="auto" w:fill="auto"/>
            <w:vAlign w:val="bottom"/>
          </w:tcPr>
          <w:p w14:paraId="1950392B" w14:textId="77777777" w:rsidR="00BF3A3A" w:rsidRDefault="00BF3A3A">
            <w:pPr>
              <w:rPr>
                <w:rFonts w:ascii="宋体"/>
              </w:rPr>
            </w:pPr>
          </w:p>
        </w:tc>
        <w:tc>
          <w:tcPr>
            <w:tcW w:w="50" w:type="pct"/>
            <w:shd w:val="clear" w:color="auto" w:fill="auto"/>
            <w:vAlign w:val="bottom"/>
          </w:tcPr>
          <w:p w14:paraId="1950392C" w14:textId="77777777" w:rsidR="00BF3A3A" w:rsidRDefault="00BF3A3A">
            <w:pPr>
              <w:rPr>
                <w:rFonts w:ascii="宋体"/>
              </w:rPr>
            </w:pPr>
          </w:p>
        </w:tc>
        <w:tc>
          <w:tcPr>
            <w:tcW w:w="610" w:type="pct"/>
            <w:shd w:val="clear" w:color="auto" w:fill="auto"/>
            <w:vAlign w:val="bottom"/>
          </w:tcPr>
          <w:p w14:paraId="1950392D" w14:textId="77777777" w:rsidR="00BF3A3A" w:rsidRDefault="00BF3A3A">
            <w:pPr>
              <w:rPr>
                <w:rFonts w:ascii="宋体"/>
              </w:rPr>
            </w:pPr>
          </w:p>
        </w:tc>
        <w:tc>
          <w:tcPr>
            <w:tcW w:w="5" w:type="pct"/>
            <w:shd w:val="clear" w:color="auto" w:fill="auto"/>
            <w:vAlign w:val="bottom"/>
          </w:tcPr>
          <w:p w14:paraId="1950392E" w14:textId="77777777" w:rsidR="00BF3A3A" w:rsidRDefault="00BF3A3A">
            <w:pPr>
              <w:rPr>
                <w:rFonts w:ascii="宋体"/>
              </w:rPr>
            </w:pPr>
          </w:p>
        </w:tc>
        <w:tc>
          <w:tcPr>
            <w:tcW w:w="5" w:type="pct"/>
            <w:shd w:val="clear" w:color="auto" w:fill="auto"/>
            <w:vAlign w:val="bottom"/>
          </w:tcPr>
          <w:p w14:paraId="1950392F" w14:textId="77777777" w:rsidR="00BF3A3A" w:rsidRDefault="00BF3A3A">
            <w:pPr>
              <w:rPr>
                <w:rFonts w:ascii="宋体"/>
              </w:rPr>
            </w:pPr>
          </w:p>
        </w:tc>
        <w:tc>
          <w:tcPr>
            <w:tcW w:w="26" w:type="pct"/>
            <w:shd w:val="clear" w:color="auto" w:fill="auto"/>
            <w:vAlign w:val="bottom"/>
          </w:tcPr>
          <w:p w14:paraId="19503930" w14:textId="77777777" w:rsidR="00BF3A3A" w:rsidRDefault="00BF3A3A">
            <w:pPr>
              <w:rPr>
                <w:rFonts w:ascii="宋体"/>
              </w:rPr>
            </w:pPr>
          </w:p>
        </w:tc>
        <w:tc>
          <w:tcPr>
            <w:tcW w:w="5" w:type="pct"/>
            <w:shd w:val="clear" w:color="auto" w:fill="auto"/>
            <w:vAlign w:val="bottom"/>
          </w:tcPr>
          <w:p w14:paraId="19503931" w14:textId="77777777" w:rsidR="00BF3A3A" w:rsidRDefault="00BF3A3A">
            <w:pPr>
              <w:rPr>
                <w:rFonts w:ascii="宋体"/>
              </w:rPr>
            </w:pPr>
          </w:p>
        </w:tc>
        <w:tc>
          <w:tcPr>
            <w:tcW w:w="50" w:type="pct"/>
            <w:shd w:val="clear" w:color="auto" w:fill="auto"/>
            <w:vAlign w:val="bottom"/>
          </w:tcPr>
          <w:p w14:paraId="19503932" w14:textId="77777777" w:rsidR="00BF3A3A" w:rsidRDefault="00BF3A3A">
            <w:pPr>
              <w:rPr>
                <w:rFonts w:ascii="宋体"/>
              </w:rPr>
            </w:pPr>
          </w:p>
        </w:tc>
        <w:tc>
          <w:tcPr>
            <w:tcW w:w="610" w:type="pct"/>
            <w:shd w:val="clear" w:color="auto" w:fill="auto"/>
            <w:vAlign w:val="bottom"/>
          </w:tcPr>
          <w:p w14:paraId="19503933" w14:textId="77777777" w:rsidR="00BF3A3A" w:rsidRDefault="00BF3A3A">
            <w:pPr>
              <w:rPr>
                <w:rFonts w:ascii="宋体"/>
              </w:rPr>
            </w:pPr>
          </w:p>
        </w:tc>
        <w:tc>
          <w:tcPr>
            <w:tcW w:w="5" w:type="pct"/>
            <w:shd w:val="clear" w:color="auto" w:fill="auto"/>
            <w:vAlign w:val="bottom"/>
          </w:tcPr>
          <w:p w14:paraId="19503934" w14:textId="77777777" w:rsidR="00BF3A3A" w:rsidRDefault="00BF3A3A">
            <w:pPr>
              <w:rPr>
                <w:rFonts w:ascii="宋体"/>
              </w:rPr>
            </w:pPr>
          </w:p>
        </w:tc>
        <w:tc>
          <w:tcPr>
            <w:tcW w:w="5" w:type="pct"/>
            <w:shd w:val="clear" w:color="auto" w:fill="auto"/>
            <w:vAlign w:val="bottom"/>
          </w:tcPr>
          <w:p w14:paraId="19503935" w14:textId="77777777" w:rsidR="00BF3A3A" w:rsidRDefault="00BF3A3A">
            <w:pPr>
              <w:rPr>
                <w:rFonts w:ascii="宋体"/>
              </w:rPr>
            </w:pPr>
          </w:p>
        </w:tc>
        <w:tc>
          <w:tcPr>
            <w:tcW w:w="26" w:type="pct"/>
            <w:shd w:val="clear" w:color="auto" w:fill="auto"/>
            <w:vAlign w:val="bottom"/>
          </w:tcPr>
          <w:p w14:paraId="19503936" w14:textId="77777777" w:rsidR="00BF3A3A" w:rsidRDefault="00BF3A3A">
            <w:pPr>
              <w:rPr>
                <w:rFonts w:ascii="宋体"/>
              </w:rPr>
            </w:pPr>
          </w:p>
        </w:tc>
        <w:tc>
          <w:tcPr>
            <w:tcW w:w="5" w:type="pct"/>
            <w:shd w:val="clear" w:color="auto" w:fill="auto"/>
            <w:vAlign w:val="bottom"/>
          </w:tcPr>
          <w:p w14:paraId="19503937" w14:textId="77777777" w:rsidR="00BF3A3A" w:rsidRDefault="00BF3A3A">
            <w:pPr>
              <w:rPr>
                <w:rFonts w:ascii="宋体"/>
              </w:rPr>
            </w:pPr>
          </w:p>
        </w:tc>
        <w:tc>
          <w:tcPr>
            <w:tcW w:w="50" w:type="pct"/>
            <w:shd w:val="clear" w:color="auto" w:fill="auto"/>
            <w:vAlign w:val="bottom"/>
          </w:tcPr>
          <w:p w14:paraId="19503938" w14:textId="77777777" w:rsidR="00BF3A3A" w:rsidRDefault="00BF3A3A">
            <w:pPr>
              <w:rPr>
                <w:rFonts w:ascii="宋体"/>
              </w:rPr>
            </w:pPr>
          </w:p>
        </w:tc>
        <w:tc>
          <w:tcPr>
            <w:tcW w:w="610" w:type="pct"/>
            <w:shd w:val="clear" w:color="auto" w:fill="auto"/>
            <w:vAlign w:val="bottom"/>
          </w:tcPr>
          <w:p w14:paraId="19503939" w14:textId="77777777" w:rsidR="00BF3A3A" w:rsidRDefault="00BF3A3A">
            <w:pPr>
              <w:rPr>
                <w:rFonts w:ascii="宋体"/>
              </w:rPr>
            </w:pPr>
          </w:p>
        </w:tc>
        <w:tc>
          <w:tcPr>
            <w:tcW w:w="5" w:type="pct"/>
            <w:shd w:val="clear" w:color="auto" w:fill="auto"/>
            <w:vAlign w:val="bottom"/>
          </w:tcPr>
          <w:p w14:paraId="1950393A" w14:textId="77777777" w:rsidR="00BF3A3A" w:rsidRDefault="00BF3A3A">
            <w:pPr>
              <w:rPr>
                <w:rFonts w:ascii="宋体"/>
              </w:rPr>
            </w:pPr>
          </w:p>
        </w:tc>
      </w:tr>
      <w:tr w:rsidR="00BF3A3A" w14:paraId="19503940" w14:textId="77777777">
        <w:tc>
          <w:tcPr>
            <w:tcW w:w="0" w:type="auto"/>
            <w:gridSpan w:val="3"/>
            <w:shd w:val="clear" w:color="auto" w:fill="auto"/>
            <w:tcMar>
              <w:top w:w="40" w:type="dxa"/>
              <w:left w:w="20" w:type="dxa"/>
              <w:bottom w:w="40" w:type="dxa"/>
              <w:right w:w="20" w:type="dxa"/>
            </w:tcMar>
            <w:vAlign w:val="bottom"/>
          </w:tcPr>
          <w:p w14:paraId="1950393C" w14:textId="77777777" w:rsidR="00BF3A3A" w:rsidRDefault="00A76802">
            <w:pPr>
              <w:textAlignment w:val="bottom"/>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950393D" w14:textId="77777777" w:rsidR="00BF3A3A" w:rsidRDefault="00A76802">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1950393E" w14:textId="77777777" w:rsidR="00BF3A3A" w:rsidRDefault="00BF3A3A">
            <w:pPr>
              <w:rPr>
                <w:rFonts w:ascii="宋体"/>
              </w:rPr>
            </w:pPr>
          </w:p>
        </w:tc>
        <w:tc>
          <w:tcPr>
            <w:tcW w:w="0" w:type="auto"/>
            <w:gridSpan w:val="9"/>
            <w:shd w:val="clear" w:color="auto" w:fill="auto"/>
            <w:tcMar>
              <w:top w:w="40" w:type="dxa"/>
              <w:left w:w="20" w:type="dxa"/>
              <w:bottom w:w="40" w:type="dxa"/>
              <w:right w:w="20" w:type="dxa"/>
            </w:tcMar>
            <w:vAlign w:val="bottom"/>
          </w:tcPr>
          <w:p w14:paraId="1950393F" w14:textId="77777777" w:rsidR="00BF3A3A" w:rsidRDefault="00A76802">
            <w:pPr>
              <w:jc w:val="center"/>
              <w:textAlignment w:val="bottom"/>
            </w:pPr>
            <w:r>
              <w:rPr>
                <w:rFonts w:ascii="sans-serif" w:eastAsia="sans-serif" w:hAnsi="sans-serif" w:cs="sans-serif"/>
                <w:b/>
                <w:bCs/>
                <w:color w:val="000000"/>
                <w:sz w:val="20"/>
                <w:szCs w:val="20"/>
              </w:rPr>
              <w:t>Six Months Ended</w:t>
            </w:r>
          </w:p>
        </w:tc>
      </w:tr>
      <w:tr w:rsidR="00BF3A3A" w14:paraId="19503949" w14:textId="77777777">
        <w:tc>
          <w:tcPr>
            <w:tcW w:w="0" w:type="auto"/>
            <w:gridSpan w:val="3"/>
            <w:shd w:val="clear" w:color="auto" w:fill="auto"/>
            <w:tcMar>
              <w:top w:w="40" w:type="dxa"/>
              <w:left w:w="20" w:type="dxa"/>
              <w:bottom w:w="40" w:type="dxa"/>
              <w:right w:w="20" w:type="dxa"/>
            </w:tcMar>
            <w:vAlign w:val="bottom"/>
          </w:tcPr>
          <w:p w14:paraId="19503941" w14:textId="77777777" w:rsidR="00BF3A3A" w:rsidRDefault="00A76802">
            <w:pPr>
              <w:textAlignment w:val="bottom"/>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942" w14:textId="77777777" w:rsidR="00BF3A3A" w:rsidRDefault="00A76802">
            <w:pPr>
              <w:jc w:val="center"/>
              <w:textAlignment w:val="bottom"/>
            </w:pPr>
            <w:r>
              <w:rPr>
                <w:rFonts w:ascii="sans-serif" w:eastAsia="sans-serif" w:hAnsi="sans-serif" w:cs="sans-serif"/>
                <w:b/>
                <w:bCs/>
                <w:color w:val="000000"/>
                <w:sz w:val="20"/>
                <w:szCs w:val="20"/>
              </w:rPr>
              <w:t>July 31,</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943"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944" w14:textId="77777777" w:rsidR="00BF3A3A" w:rsidRDefault="00A76802">
            <w:pPr>
              <w:jc w:val="center"/>
              <w:textAlignment w:val="bottom"/>
            </w:pPr>
            <w:r>
              <w:rPr>
                <w:rFonts w:ascii="sans-serif" w:eastAsia="sans-serif" w:hAnsi="sans-serif" w:cs="sans-serif"/>
                <w:b/>
                <w:bCs/>
                <w:color w:val="000000"/>
                <w:sz w:val="20"/>
                <w:szCs w:val="20"/>
              </w:rPr>
              <w:t>August 1,</w:t>
            </w:r>
            <w:r>
              <w:rPr>
                <w:rFonts w:ascii="sans-serif" w:eastAsia="sans-serif" w:hAnsi="sans-serif" w:cs="sans-serif"/>
                <w:b/>
                <w:bCs/>
                <w:color w:val="000000"/>
                <w:sz w:val="20"/>
                <w:szCs w:val="20"/>
              </w:rPr>
              <w:br/>
              <w:t>2021</w:t>
            </w:r>
          </w:p>
        </w:tc>
        <w:tc>
          <w:tcPr>
            <w:tcW w:w="0" w:type="auto"/>
            <w:gridSpan w:val="3"/>
            <w:shd w:val="clear" w:color="auto" w:fill="auto"/>
            <w:tcMar>
              <w:top w:w="0" w:type="dxa"/>
              <w:left w:w="20" w:type="dxa"/>
              <w:bottom w:w="0" w:type="dxa"/>
              <w:right w:w="20" w:type="dxa"/>
            </w:tcMar>
            <w:vAlign w:val="bottom"/>
          </w:tcPr>
          <w:p w14:paraId="19503945"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946" w14:textId="77777777" w:rsidR="00BF3A3A" w:rsidRDefault="00A76802">
            <w:pPr>
              <w:jc w:val="center"/>
              <w:textAlignment w:val="bottom"/>
            </w:pPr>
            <w:r>
              <w:rPr>
                <w:rFonts w:ascii="sans-serif" w:eastAsia="sans-serif" w:hAnsi="sans-serif" w:cs="sans-serif"/>
                <w:b/>
                <w:bCs/>
                <w:color w:val="000000"/>
                <w:sz w:val="20"/>
                <w:szCs w:val="20"/>
              </w:rPr>
              <w:t>July 31,</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947"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948" w14:textId="77777777" w:rsidR="00BF3A3A" w:rsidRDefault="00A76802">
            <w:pPr>
              <w:jc w:val="center"/>
              <w:textAlignment w:val="bottom"/>
            </w:pPr>
            <w:r>
              <w:rPr>
                <w:rFonts w:ascii="sans-serif" w:eastAsia="sans-serif" w:hAnsi="sans-serif" w:cs="sans-serif"/>
                <w:b/>
                <w:bCs/>
                <w:color w:val="000000"/>
                <w:sz w:val="20"/>
                <w:szCs w:val="20"/>
              </w:rPr>
              <w:t>August 1,</w:t>
            </w:r>
            <w:r>
              <w:rPr>
                <w:rFonts w:ascii="sans-serif" w:eastAsia="sans-serif" w:hAnsi="sans-serif" w:cs="sans-serif"/>
                <w:b/>
                <w:bCs/>
                <w:color w:val="000000"/>
                <w:sz w:val="20"/>
                <w:szCs w:val="20"/>
              </w:rPr>
              <w:br/>
              <w:t>2021</w:t>
            </w:r>
          </w:p>
        </w:tc>
      </w:tr>
      <w:tr w:rsidR="00BF3A3A" w14:paraId="19503956" w14:textId="77777777">
        <w:tc>
          <w:tcPr>
            <w:tcW w:w="0" w:type="auto"/>
            <w:gridSpan w:val="3"/>
            <w:shd w:val="clear" w:color="auto" w:fill="E2EFD9"/>
            <w:tcMar>
              <w:top w:w="40" w:type="dxa"/>
              <w:left w:w="20" w:type="dxa"/>
              <w:bottom w:w="40" w:type="dxa"/>
              <w:right w:w="20" w:type="dxa"/>
            </w:tcMar>
            <w:vAlign w:val="bottom"/>
          </w:tcPr>
          <w:p w14:paraId="1950394A" w14:textId="77777777" w:rsidR="00BF3A3A" w:rsidRDefault="00A76802">
            <w:pPr>
              <w:textAlignment w:val="bottom"/>
            </w:pPr>
            <w:r>
              <w:rPr>
                <w:rFonts w:ascii="sans-serif" w:eastAsia="sans-serif" w:hAnsi="sans-serif" w:cs="sans-serif"/>
                <w:color w:val="000000"/>
                <w:sz w:val="20"/>
                <w:szCs w:val="20"/>
              </w:rPr>
              <w:t>Revenue</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394B" w14:textId="77777777" w:rsidR="00BF3A3A" w:rsidRDefault="00A76802">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394C"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1950394D"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394E" w14:textId="77777777" w:rsidR="00BF3A3A" w:rsidRDefault="00A76802">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394F"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19503950"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3951" w14:textId="77777777" w:rsidR="00BF3A3A" w:rsidRDefault="00A76802">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3952"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19503953"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3954" w14:textId="77777777" w:rsidR="00BF3A3A" w:rsidRDefault="00A76802">
            <w:pPr>
              <w:jc w:val="right"/>
              <w:textAlignment w:val="bottom"/>
            </w:pPr>
            <w:r>
              <w:rPr>
                <w:rFonts w:ascii="sans-serif" w:eastAsia="sans-serif" w:hAnsi="sans-serif" w:cs="sans-serif"/>
                <w:color w:val="000000"/>
                <w:sz w:val="20"/>
                <w:szCs w:val="20"/>
              </w:rPr>
              <w:t>100.0 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3955" w14:textId="77777777" w:rsidR="00BF3A3A" w:rsidRDefault="00A76802">
            <w:pPr>
              <w:jc w:val="right"/>
              <w:textAlignment w:val="bottom"/>
            </w:pPr>
            <w:r>
              <w:rPr>
                <w:rFonts w:ascii="sans-serif" w:eastAsia="sans-serif" w:hAnsi="sans-serif" w:cs="sans-serif"/>
                <w:color w:val="000000"/>
                <w:sz w:val="20"/>
                <w:szCs w:val="20"/>
              </w:rPr>
              <w:t>%</w:t>
            </w:r>
          </w:p>
        </w:tc>
      </w:tr>
      <w:tr w:rsidR="00BF3A3A" w14:paraId="19503963" w14:textId="77777777">
        <w:tc>
          <w:tcPr>
            <w:tcW w:w="0" w:type="auto"/>
            <w:gridSpan w:val="3"/>
            <w:shd w:val="clear" w:color="auto" w:fill="FFFFFF"/>
            <w:tcMar>
              <w:top w:w="40" w:type="dxa"/>
              <w:left w:w="20" w:type="dxa"/>
              <w:bottom w:w="40" w:type="dxa"/>
              <w:right w:w="20" w:type="dxa"/>
            </w:tcMar>
            <w:vAlign w:val="bottom"/>
          </w:tcPr>
          <w:p w14:paraId="19503957" w14:textId="77777777" w:rsidR="00BF3A3A" w:rsidRDefault="00A76802">
            <w:pPr>
              <w:textAlignment w:val="bottom"/>
            </w:pPr>
            <w:r>
              <w:rPr>
                <w:rFonts w:ascii="sans-serif" w:eastAsia="sans-serif" w:hAnsi="sans-serif" w:cs="sans-serif"/>
                <w:color w:val="000000"/>
                <w:sz w:val="20"/>
                <w:szCs w:val="20"/>
              </w:rPr>
              <w:t>     Cost of revenue</w:t>
            </w:r>
          </w:p>
        </w:tc>
        <w:tc>
          <w:tcPr>
            <w:tcW w:w="0" w:type="auto"/>
            <w:gridSpan w:val="2"/>
            <w:shd w:val="clear" w:color="auto" w:fill="FFFFFF"/>
            <w:tcMar>
              <w:top w:w="40" w:type="dxa"/>
              <w:left w:w="20" w:type="dxa"/>
              <w:bottom w:w="40" w:type="dxa"/>
              <w:right w:w="0" w:type="dxa"/>
            </w:tcMar>
            <w:vAlign w:val="bottom"/>
          </w:tcPr>
          <w:p w14:paraId="19503958" w14:textId="77777777" w:rsidR="00BF3A3A" w:rsidRDefault="00A76802">
            <w:pPr>
              <w:jc w:val="right"/>
              <w:textAlignment w:val="bottom"/>
            </w:pPr>
            <w:r>
              <w:rPr>
                <w:rFonts w:ascii="sans-serif" w:eastAsia="sans-serif" w:hAnsi="sans-serif" w:cs="sans-serif"/>
                <w:color w:val="000000"/>
                <w:sz w:val="20"/>
                <w:szCs w:val="20"/>
              </w:rPr>
              <w:t>56.5 </w:t>
            </w:r>
          </w:p>
        </w:tc>
        <w:tc>
          <w:tcPr>
            <w:tcW w:w="0" w:type="auto"/>
            <w:shd w:val="clear" w:color="auto" w:fill="FFFFFF"/>
            <w:tcMar>
              <w:top w:w="40" w:type="dxa"/>
              <w:left w:w="0" w:type="dxa"/>
              <w:bottom w:w="40" w:type="dxa"/>
              <w:right w:w="20" w:type="dxa"/>
            </w:tcMar>
            <w:vAlign w:val="bottom"/>
          </w:tcPr>
          <w:p w14:paraId="1950395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95A"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95B" w14:textId="77777777" w:rsidR="00BF3A3A" w:rsidRDefault="00A76802">
            <w:pPr>
              <w:jc w:val="right"/>
              <w:textAlignment w:val="bottom"/>
            </w:pPr>
            <w:r>
              <w:rPr>
                <w:rFonts w:ascii="sans-serif" w:eastAsia="sans-serif" w:hAnsi="sans-serif" w:cs="sans-serif"/>
                <w:color w:val="000000"/>
                <w:sz w:val="20"/>
                <w:szCs w:val="20"/>
              </w:rPr>
              <w:t>35.2 </w:t>
            </w:r>
          </w:p>
        </w:tc>
        <w:tc>
          <w:tcPr>
            <w:tcW w:w="0" w:type="auto"/>
            <w:shd w:val="clear" w:color="auto" w:fill="FFFFFF"/>
            <w:tcMar>
              <w:top w:w="40" w:type="dxa"/>
              <w:left w:w="0" w:type="dxa"/>
              <w:bottom w:w="40" w:type="dxa"/>
              <w:right w:w="20" w:type="dxa"/>
            </w:tcMar>
            <w:vAlign w:val="bottom"/>
          </w:tcPr>
          <w:p w14:paraId="1950395C"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95D"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95E" w14:textId="77777777" w:rsidR="00BF3A3A" w:rsidRDefault="00A76802">
            <w:pPr>
              <w:jc w:val="right"/>
              <w:textAlignment w:val="bottom"/>
            </w:pPr>
            <w:r>
              <w:rPr>
                <w:rFonts w:ascii="sans-serif" w:eastAsia="sans-serif" w:hAnsi="sans-serif" w:cs="sans-serif"/>
                <w:color w:val="000000"/>
                <w:sz w:val="20"/>
                <w:szCs w:val="20"/>
              </w:rPr>
              <w:t>44.3 </w:t>
            </w:r>
          </w:p>
        </w:tc>
        <w:tc>
          <w:tcPr>
            <w:tcW w:w="0" w:type="auto"/>
            <w:shd w:val="clear" w:color="auto" w:fill="FFFFFF"/>
            <w:tcMar>
              <w:top w:w="40" w:type="dxa"/>
              <w:left w:w="0" w:type="dxa"/>
              <w:bottom w:w="40" w:type="dxa"/>
              <w:right w:w="20" w:type="dxa"/>
            </w:tcMar>
            <w:vAlign w:val="bottom"/>
          </w:tcPr>
          <w:p w14:paraId="1950395F"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960"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961" w14:textId="77777777" w:rsidR="00BF3A3A" w:rsidRDefault="00A76802">
            <w:pPr>
              <w:jc w:val="right"/>
              <w:textAlignment w:val="bottom"/>
            </w:pPr>
            <w:r>
              <w:rPr>
                <w:rFonts w:ascii="sans-serif" w:eastAsia="sans-serif" w:hAnsi="sans-serif" w:cs="sans-serif"/>
                <w:color w:val="000000"/>
                <w:sz w:val="20"/>
                <w:szCs w:val="20"/>
              </w:rPr>
              <w:t>35.5 </w:t>
            </w:r>
          </w:p>
        </w:tc>
        <w:tc>
          <w:tcPr>
            <w:tcW w:w="0" w:type="auto"/>
            <w:shd w:val="clear" w:color="auto" w:fill="FFFFFF"/>
            <w:tcMar>
              <w:top w:w="40" w:type="dxa"/>
              <w:left w:w="0" w:type="dxa"/>
              <w:bottom w:w="40" w:type="dxa"/>
              <w:right w:w="20" w:type="dxa"/>
            </w:tcMar>
            <w:vAlign w:val="bottom"/>
          </w:tcPr>
          <w:p w14:paraId="19503962" w14:textId="77777777" w:rsidR="00BF3A3A" w:rsidRDefault="00BF3A3A">
            <w:pPr>
              <w:jc w:val="right"/>
              <w:rPr>
                <w:rFonts w:ascii="宋体"/>
              </w:rPr>
            </w:pPr>
          </w:p>
        </w:tc>
      </w:tr>
      <w:tr w:rsidR="00BF3A3A" w14:paraId="19503970" w14:textId="77777777">
        <w:tc>
          <w:tcPr>
            <w:tcW w:w="0" w:type="auto"/>
            <w:gridSpan w:val="3"/>
            <w:shd w:val="clear" w:color="auto" w:fill="E2EFD9"/>
            <w:tcMar>
              <w:top w:w="40" w:type="dxa"/>
              <w:left w:w="20" w:type="dxa"/>
              <w:bottom w:w="40" w:type="dxa"/>
              <w:right w:w="20" w:type="dxa"/>
            </w:tcMar>
            <w:vAlign w:val="bottom"/>
          </w:tcPr>
          <w:p w14:paraId="19503964" w14:textId="77777777" w:rsidR="00BF3A3A" w:rsidRDefault="00A76802">
            <w:pPr>
              <w:textAlignment w:val="bottom"/>
            </w:pPr>
            <w:r>
              <w:rPr>
                <w:rFonts w:ascii="sans-serif" w:eastAsia="sans-serif" w:hAnsi="sans-serif" w:cs="sans-serif"/>
                <w:color w:val="000000"/>
                <w:sz w:val="20"/>
                <w:szCs w:val="20"/>
              </w:rPr>
              <w:t>Gross profit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3965" w14:textId="77777777" w:rsidR="00BF3A3A" w:rsidRDefault="00A76802">
            <w:pPr>
              <w:jc w:val="right"/>
              <w:textAlignment w:val="bottom"/>
            </w:pPr>
            <w:r>
              <w:rPr>
                <w:rFonts w:ascii="sans-serif" w:eastAsia="sans-serif" w:hAnsi="sans-serif" w:cs="sans-serif"/>
                <w:color w:val="000000"/>
                <w:sz w:val="20"/>
                <w:szCs w:val="20"/>
              </w:rPr>
              <w:t>43.5 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396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967"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3968" w14:textId="77777777" w:rsidR="00BF3A3A" w:rsidRDefault="00A76802">
            <w:pPr>
              <w:jc w:val="right"/>
              <w:textAlignment w:val="bottom"/>
            </w:pPr>
            <w:r>
              <w:rPr>
                <w:rFonts w:ascii="sans-serif" w:eastAsia="sans-serif" w:hAnsi="sans-serif" w:cs="sans-serif"/>
                <w:color w:val="000000"/>
                <w:sz w:val="20"/>
                <w:szCs w:val="20"/>
              </w:rPr>
              <w:t>64.8 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396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96A"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396B" w14:textId="77777777" w:rsidR="00BF3A3A" w:rsidRDefault="00A76802">
            <w:pPr>
              <w:jc w:val="right"/>
              <w:textAlignment w:val="bottom"/>
            </w:pPr>
            <w:r>
              <w:rPr>
                <w:rFonts w:ascii="sans-serif" w:eastAsia="sans-serif" w:hAnsi="sans-serif" w:cs="sans-serif"/>
                <w:color w:val="000000"/>
                <w:sz w:val="20"/>
                <w:szCs w:val="20"/>
              </w:rPr>
              <w:t>55.7 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396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96D"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396E" w14:textId="77777777" w:rsidR="00BF3A3A" w:rsidRDefault="00A76802">
            <w:pPr>
              <w:jc w:val="right"/>
              <w:textAlignment w:val="bottom"/>
            </w:pPr>
            <w:r>
              <w:rPr>
                <w:rFonts w:ascii="sans-serif" w:eastAsia="sans-serif" w:hAnsi="sans-serif" w:cs="sans-serif"/>
                <w:color w:val="000000"/>
                <w:sz w:val="20"/>
                <w:szCs w:val="20"/>
              </w:rPr>
              <w:t>64.5 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396F" w14:textId="77777777" w:rsidR="00BF3A3A" w:rsidRDefault="00BF3A3A">
            <w:pPr>
              <w:jc w:val="right"/>
              <w:rPr>
                <w:rFonts w:ascii="宋体"/>
              </w:rPr>
            </w:pPr>
          </w:p>
        </w:tc>
      </w:tr>
      <w:tr w:rsidR="00BF3A3A" w14:paraId="19503979" w14:textId="77777777">
        <w:tc>
          <w:tcPr>
            <w:tcW w:w="0" w:type="auto"/>
            <w:gridSpan w:val="3"/>
            <w:shd w:val="clear" w:color="auto" w:fill="FFFFFF"/>
            <w:tcMar>
              <w:top w:w="40" w:type="dxa"/>
              <w:left w:w="20" w:type="dxa"/>
              <w:bottom w:w="40" w:type="dxa"/>
              <w:right w:w="20" w:type="dxa"/>
            </w:tcMar>
            <w:vAlign w:val="bottom"/>
          </w:tcPr>
          <w:p w14:paraId="19503971" w14:textId="77777777" w:rsidR="00BF3A3A" w:rsidRDefault="00A76802">
            <w:pPr>
              <w:textAlignment w:val="bottom"/>
            </w:pPr>
            <w:r>
              <w:rPr>
                <w:rFonts w:ascii="sans-serif" w:eastAsia="sans-serif" w:hAnsi="sans-serif" w:cs="sans-serif"/>
                <w:color w:val="000000"/>
                <w:sz w:val="20"/>
                <w:szCs w:val="20"/>
              </w:rPr>
              <w:t>Operating expenses</w:t>
            </w:r>
          </w:p>
        </w:tc>
        <w:tc>
          <w:tcPr>
            <w:tcW w:w="0" w:type="auto"/>
            <w:gridSpan w:val="3"/>
            <w:shd w:val="clear" w:color="auto" w:fill="FFFFFF"/>
            <w:tcMar>
              <w:top w:w="40" w:type="dxa"/>
              <w:left w:w="20" w:type="dxa"/>
              <w:bottom w:w="40" w:type="dxa"/>
              <w:right w:w="20" w:type="dxa"/>
            </w:tcMar>
            <w:vAlign w:val="bottom"/>
          </w:tcPr>
          <w:p w14:paraId="19503972" w14:textId="77777777" w:rsidR="00BF3A3A" w:rsidRDefault="00A76802">
            <w:pPr>
              <w:jc w:val="right"/>
              <w:textAlignment w:val="bottom"/>
            </w:pPr>
            <w:r>
              <w:rPr>
                <w:rFonts w:ascii="sans-serif" w:eastAsia="sans-serif" w:hAnsi="sans-serif" w:cs="sans-serif"/>
                <w:color w:val="EE2724"/>
                <w:sz w:val="20"/>
                <w:szCs w:val="20"/>
              </w:rPr>
              <w:t> </w:t>
            </w:r>
          </w:p>
        </w:tc>
        <w:tc>
          <w:tcPr>
            <w:tcW w:w="0" w:type="auto"/>
            <w:gridSpan w:val="3"/>
            <w:shd w:val="clear" w:color="auto" w:fill="FFFFFF"/>
            <w:tcMar>
              <w:top w:w="0" w:type="dxa"/>
              <w:left w:w="20" w:type="dxa"/>
              <w:bottom w:w="0" w:type="dxa"/>
              <w:right w:w="20" w:type="dxa"/>
            </w:tcMar>
            <w:vAlign w:val="bottom"/>
          </w:tcPr>
          <w:p w14:paraId="19503973"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974"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975" w14:textId="77777777" w:rsidR="00BF3A3A" w:rsidRDefault="00BF3A3A">
            <w:pPr>
              <w:rPr>
                <w:rFonts w:ascii="宋体"/>
              </w:rPr>
            </w:pPr>
          </w:p>
        </w:tc>
        <w:tc>
          <w:tcPr>
            <w:tcW w:w="0" w:type="auto"/>
            <w:gridSpan w:val="3"/>
            <w:shd w:val="clear" w:color="auto" w:fill="FFFFFF"/>
            <w:tcMar>
              <w:top w:w="40" w:type="dxa"/>
              <w:left w:w="20" w:type="dxa"/>
              <w:bottom w:w="40" w:type="dxa"/>
              <w:right w:w="20" w:type="dxa"/>
            </w:tcMar>
            <w:vAlign w:val="bottom"/>
          </w:tcPr>
          <w:p w14:paraId="19503976" w14:textId="77777777" w:rsidR="00BF3A3A" w:rsidRDefault="00A76802">
            <w:pPr>
              <w:textAlignment w:val="bottom"/>
            </w:pPr>
            <w:r>
              <w:rPr>
                <w:rFonts w:ascii="sans-serif" w:eastAsia="sans-serif" w:hAnsi="sans-serif" w:cs="sans-serif"/>
                <w:color w:val="EE2724"/>
                <w:sz w:val="20"/>
                <w:szCs w:val="20"/>
              </w:rPr>
              <w:t> </w:t>
            </w:r>
          </w:p>
        </w:tc>
        <w:tc>
          <w:tcPr>
            <w:tcW w:w="0" w:type="auto"/>
            <w:gridSpan w:val="3"/>
            <w:shd w:val="clear" w:color="auto" w:fill="FFFFFF"/>
            <w:tcMar>
              <w:top w:w="0" w:type="dxa"/>
              <w:left w:w="20" w:type="dxa"/>
              <w:bottom w:w="0" w:type="dxa"/>
              <w:right w:w="20" w:type="dxa"/>
            </w:tcMar>
            <w:vAlign w:val="bottom"/>
          </w:tcPr>
          <w:p w14:paraId="19503977" w14:textId="77777777" w:rsidR="00BF3A3A" w:rsidRDefault="00BF3A3A">
            <w:pPr>
              <w:rPr>
                <w:rFonts w:ascii="宋体"/>
              </w:rPr>
            </w:pPr>
          </w:p>
        </w:tc>
        <w:tc>
          <w:tcPr>
            <w:tcW w:w="0" w:type="auto"/>
            <w:gridSpan w:val="3"/>
            <w:shd w:val="clear" w:color="auto" w:fill="FFFFFF"/>
            <w:tcMar>
              <w:top w:w="40" w:type="dxa"/>
              <w:left w:w="20" w:type="dxa"/>
              <w:bottom w:w="40" w:type="dxa"/>
              <w:right w:w="20" w:type="dxa"/>
            </w:tcMar>
            <w:vAlign w:val="bottom"/>
          </w:tcPr>
          <w:p w14:paraId="19503978" w14:textId="77777777" w:rsidR="00BF3A3A" w:rsidRDefault="00A76802">
            <w:pPr>
              <w:textAlignment w:val="bottom"/>
            </w:pPr>
            <w:r>
              <w:rPr>
                <w:rFonts w:ascii="sans-serif" w:eastAsia="sans-serif" w:hAnsi="sans-serif" w:cs="sans-serif"/>
                <w:color w:val="000000"/>
                <w:sz w:val="20"/>
                <w:szCs w:val="20"/>
              </w:rPr>
              <w:t> </w:t>
            </w:r>
          </w:p>
        </w:tc>
      </w:tr>
      <w:tr w:rsidR="00BF3A3A" w14:paraId="19503986" w14:textId="77777777">
        <w:tc>
          <w:tcPr>
            <w:tcW w:w="0" w:type="auto"/>
            <w:gridSpan w:val="3"/>
            <w:shd w:val="clear" w:color="auto" w:fill="E2EFD9"/>
            <w:tcMar>
              <w:top w:w="40" w:type="dxa"/>
              <w:left w:w="20" w:type="dxa"/>
              <w:bottom w:w="40" w:type="dxa"/>
              <w:right w:w="20" w:type="dxa"/>
            </w:tcMar>
            <w:vAlign w:val="bottom"/>
          </w:tcPr>
          <w:p w14:paraId="1950397A" w14:textId="77777777" w:rsidR="00BF3A3A" w:rsidRDefault="00A76802">
            <w:pPr>
              <w:textAlignment w:val="bottom"/>
            </w:pPr>
            <w:r>
              <w:rPr>
                <w:rFonts w:ascii="sans-serif" w:eastAsia="sans-serif" w:hAnsi="sans-serif" w:cs="sans-serif"/>
                <w:color w:val="000000"/>
                <w:sz w:val="20"/>
                <w:szCs w:val="20"/>
              </w:rPr>
              <w:t>     Research and development</w:t>
            </w:r>
          </w:p>
        </w:tc>
        <w:tc>
          <w:tcPr>
            <w:tcW w:w="0" w:type="auto"/>
            <w:gridSpan w:val="2"/>
            <w:shd w:val="clear" w:color="auto" w:fill="E2EFD9"/>
            <w:tcMar>
              <w:top w:w="40" w:type="dxa"/>
              <w:left w:w="20" w:type="dxa"/>
              <w:bottom w:w="40" w:type="dxa"/>
              <w:right w:w="0" w:type="dxa"/>
            </w:tcMar>
            <w:vAlign w:val="bottom"/>
          </w:tcPr>
          <w:p w14:paraId="1950397B" w14:textId="77777777" w:rsidR="00BF3A3A" w:rsidRDefault="00A76802">
            <w:pPr>
              <w:jc w:val="right"/>
              <w:textAlignment w:val="bottom"/>
            </w:pPr>
            <w:r>
              <w:rPr>
                <w:rFonts w:ascii="sans-serif" w:eastAsia="sans-serif" w:hAnsi="sans-serif" w:cs="sans-serif"/>
                <w:color w:val="000000"/>
                <w:sz w:val="20"/>
                <w:szCs w:val="20"/>
              </w:rPr>
              <w:t>27.2 </w:t>
            </w:r>
          </w:p>
        </w:tc>
        <w:tc>
          <w:tcPr>
            <w:tcW w:w="0" w:type="auto"/>
            <w:shd w:val="clear" w:color="auto" w:fill="E2EFD9"/>
            <w:tcMar>
              <w:top w:w="40" w:type="dxa"/>
              <w:left w:w="0" w:type="dxa"/>
              <w:bottom w:w="40" w:type="dxa"/>
              <w:right w:w="20" w:type="dxa"/>
            </w:tcMar>
            <w:vAlign w:val="bottom"/>
          </w:tcPr>
          <w:p w14:paraId="1950397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97D"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97E" w14:textId="77777777" w:rsidR="00BF3A3A" w:rsidRDefault="00A76802">
            <w:pPr>
              <w:jc w:val="right"/>
              <w:textAlignment w:val="bottom"/>
            </w:pPr>
            <w:r>
              <w:rPr>
                <w:rFonts w:ascii="sans-serif" w:eastAsia="sans-serif" w:hAnsi="sans-serif" w:cs="sans-serif"/>
                <w:color w:val="000000"/>
                <w:sz w:val="20"/>
                <w:szCs w:val="20"/>
              </w:rPr>
              <w:t>19.1 </w:t>
            </w:r>
          </w:p>
        </w:tc>
        <w:tc>
          <w:tcPr>
            <w:tcW w:w="0" w:type="auto"/>
            <w:shd w:val="clear" w:color="auto" w:fill="E2EFD9"/>
            <w:tcMar>
              <w:top w:w="40" w:type="dxa"/>
              <w:left w:w="0" w:type="dxa"/>
              <w:bottom w:w="40" w:type="dxa"/>
              <w:right w:w="20" w:type="dxa"/>
            </w:tcMar>
            <w:vAlign w:val="bottom"/>
          </w:tcPr>
          <w:p w14:paraId="1950397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980"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981" w14:textId="77777777" w:rsidR="00BF3A3A" w:rsidRDefault="00A76802">
            <w:pPr>
              <w:jc w:val="right"/>
              <w:textAlignment w:val="bottom"/>
            </w:pPr>
            <w:r>
              <w:rPr>
                <w:rFonts w:ascii="sans-serif" w:eastAsia="sans-serif" w:hAnsi="sans-serif" w:cs="sans-serif"/>
                <w:color w:val="000000"/>
                <w:sz w:val="20"/>
                <w:szCs w:val="20"/>
              </w:rPr>
              <w:t>23.0 </w:t>
            </w:r>
          </w:p>
        </w:tc>
        <w:tc>
          <w:tcPr>
            <w:tcW w:w="0" w:type="auto"/>
            <w:shd w:val="clear" w:color="auto" w:fill="E2EFD9"/>
            <w:tcMar>
              <w:top w:w="40" w:type="dxa"/>
              <w:left w:w="0" w:type="dxa"/>
              <w:bottom w:w="40" w:type="dxa"/>
              <w:right w:w="20" w:type="dxa"/>
            </w:tcMar>
            <w:vAlign w:val="bottom"/>
          </w:tcPr>
          <w:p w14:paraId="1950398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983"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984" w14:textId="77777777" w:rsidR="00BF3A3A" w:rsidRDefault="00A76802">
            <w:pPr>
              <w:jc w:val="right"/>
              <w:textAlignment w:val="bottom"/>
            </w:pPr>
            <w:r>
              <w:rPr>
                <w:rFonts w:ascii="sans-serif" w:eastAsia="sans-serif" w:hAnsi="sans-serif" w:cs="sans-serif"/>
                <w:color w:val="000000"/>
                <w:sz w:val="20"/>
                <w:szCs w:val="20"/>
              </w:rPr>
              <w:t>19.7 </w:t>
            </w:r>
          </w:p>
        </w:tc>
        <w:tc>
          <w:tcPr>
            <w:tcW w:w="0" w:type="auto"/>
            <w:shd w:val="clear" w:color="auto" w:fill="E2EFD9"/>
            <w:tcMar>
              <w:top w:w="40" w:type="dxa"/>
              <w:left w:w="0" w:type="dxa"/>
              <w:bottom w:w="40" w:type="dxa"/>
              <w:right w:w="20" w:type="dxa"/>
            </w:tcMar>
            <w:vAlign w:val="bottom"/>
          </w:tcPr>
          <w:p w14:paraId="19503985" w14:textId="77777777" w:rsidR="00BF3A3A" w:rsidRDefault="00BF3A3A">
            <w:pPr>
              <w:jc w:val="right"/>
              <w:rPr>
                <w:rFonts w:ascii="宋体"/>
              </w:rPr>
            </w:pPr>
          </w:p>
        </w:tc>
      </w:tr>
      <w:tr w:rsidR="00BF3A3A" w14:paraId="19503993" w14:textId="77777777">
        <w:tc>
          <w:tcPr>
            <w:tcW w:w="0" w:type="auto"/>
            <w:gridSpan w:val="3"/>
            <w:shd w:val="clear" w:color="auto" w:fill="FFFFFF"/>
            <w:tcMar>
              <w:top w:w="40" w:type="dxa"/>
              <w:left w:w="20" w:type="dxa"/>
              <w:bottom w:w="40" w:type="dxa"/>
              <w:right w:w="20" w:type="dxa"/>
            </w:tcMar>
            <w:vAlign w:val="bottom"/>
          </w:tcPr>
          <w:p w14:paraId="19503987" w14:textId="77777777" w:rsidR="00BF3A3A" w:rsidRDefault="00A76802">
            <w:pPr>
              <w:textAlignment w:val="bottom"/>
            </w:pPr>
            <w:r>
              <w:rPr>
                <w:rFonts w:ascii="sans-serif" w:eastAsia="sans-serif" w:hAnsi="sans-serif" w:cs="sans-serif"/>
                <w:color w:val="000000"/>
                <w:sz w:val="20"/>
                <w:szCs w:val="20"/>
              </w:rPr>
              <w:t>     Sales, general and administrative</w:t>
            </w:r>
          </w:p>
        </w:tc>
        <w:tc>
          <w:tcPr>
            <w:tcW w:w="0" w:type="auto"/>
            <w:gridSpan w:val="2"/>
            <w:shd w:val="clear" w:color="auto" w:fill="FFFFFF"/>
            <w:tcMar>
              <w:top w:w="40" w:type="dxa"/>
              <w:left w:w="20" w:type="dxa"/>
              <w:bottom w:w="40" w:type="dxa"/>
              <w:right w:w="0" w:type="dxa"/>
            </w:tcMar>
            <w:vAlign w:val="bottom"/>
          </w:tcPr>
          <w:p w14:paraId="19503988" w14:textId="77777777" w:rsidR="00BF3A3A" w:rsidRDefault="00A76802">
            <w:pPr>
              <w:jc w:val="right"/>
              <w:textAlignment w:val="bottom"/>
            </w:pPr>
            <w:r>
              <w:rPr>
                <w:rFonts w:ascii="sans-serif" w:eastAsia="sans-serif" w:hAnsi="sans-serif" w:cs="sans-serif"/>
                <w:color w:val="000000"/>
                <w:sz w:val="20"/>
                <w:szCs w:val="20"/>
              </w:rPr>
              <w:t>8.8 </w:t>
            </w:r>
          </w:p>
        </w:tc>
        <w:tc>
          <w:tcPr>
            <w:tcW w:w="0" w:type="auto"/>
            <w:shd w:val="clear" w:color="auto" w:fill="FFFFFF"/>
            <w:tcMar>
              <w:top w:w="40" w:type="dxa"/>
              <w:left w:w="0" w:type="dxa"/>
              <w:bottom w:w="40" w:type="dxa"/>
              <w:right w:w="20" w:type="dxa"/>
            </w:tcMar>
            <w:vAlign w:val="bottom"/>
          </w:tcPr>
          <w:p w14:paraId="1950398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98A"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98B" w14:textId="77777777" w:rsidR="00BF3A3A" w:rsidRDefault="00A76802">
            <w:pPr>
              <w:jc w:val="right"/>
              <w:textAlignment w:val="bottom"/>
            </w:pPr>
            <w:r>
              <w:rPr>
                <w:rFonts w:ascii="sans-serif" w:eastAsia="sans-serif" w:hAnsi="sans-serif" w:cs="sans-serif"/>
                <w:color w:val="000000"/>
                <w:sz w:val="20"/>
                <w:szCs w:val="20"/>
              </w:rPr>
              <w:t>8.1 </w:t>
            </w:r>
          </w:p>
        </w:tc>
        <w:tc>
          <w:tcPr>
            <w:tcW w:w="0" w:type="auto"/>
            <w:shd w:val="clear" w:color="auto" w:fill="FFFFFF"/>
            <w:tcMar>
              <w:top w:w="40" w:type="dxa"/>
              <w:left w:w="0" w:type="dxa"/>
              <w:bottom w:w="40" w:type="dxa"/>
              <w:right w:w="20" w:type="dxa"/>
            </w:tcMar>
            <w:vAlign w:val="bottom"/>
          </w:tcPr>
          <w:p w14:paraId="1950398C"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98D"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98E" w14:textId="77777777" w:rsidR="00BF3A3A" w:rsidRDefault="00A76802">
            <w:pPr>
              <w:jc w:val="right"/>
              <w:textAlignment w:val="bottom"/>
            </w:pPr>
            <w:r>
              <w:rPr>
                <w:rFonts w:ascii="sans-serif" w:eastAsia="sans-serif" w:hAnsi="sans-serif" w:cs="sans-serif"/>
                <w:color w:val="000000"/>
                <w:sz w:val="20"/>
                <w:szCs w:val="20"/>
              </w:rPr>
              <w:t>7.9 </w:t>
            </w:r>
          </w:p>
        </w:tc>
        <w:tc>
          <w:tcPr>
            <w:tcW w:w="0" w:type="auto"/>
            <w:shd w:val="clear" w:color="auto" w:fill="FFFFFF"/>
            <w:tcMar>
              <w:top w:w="40" w:type="dxa"/>
              <w:left w:w="0" w:type="dxa"/>
              <w:bottom w:w="40" w:type="dxa"/>
              <w:right w:w="20" w:type="dxa"/>
            </w:tcMar>
            <w:vAlign w:val="bottom"/>
          </w:tcPr>
          <w:p w14:paraId="1950398F"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990"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991" w14:textId="77777777" w:rsidR="00BF3A3A" w:rsidRDefault="00A76802">
            <w:pPr>
              <w:jc w:val="right"/>
              <w:textAlignment w:val="bottom"/>
            </w:pPr>
            <w:r>
              <w:rPr>
                <w:rFonts w:ascii="sans-serif" w:eastAsia="sans-serif" w:hAnsi="sans-serif" w:cs="sans-serif"/>
                <w:color w:val="000000"/>
                <w:sz w:val="20"/>
                <w:szCs w:val="20"/>
              </w:rPr>
              <w:t>8.6 </w:t>
            </w:r>
          </w:p>
        </w:tc>
        <w:tc>
          <w:tcPr>
            <w:tcW w:w="0" w:type="auto"/>
            <w:shd w:val="clear" w:color="auto" w:fill="FFFFFF"/>
            <w:tcMar>
              <w:top w:w="40" w:type="dxa"/>
              <w:left w:w="0" w:type="dxa"/>
              <w:bottom w:w="40" w:type="dxa"/>
              <w:right w:w="20" w:type="dxa"/>
            </w:tcMar>
            <w:vAlign w:val="bottom"/>
          </w:tcPr>
          <w:p w14:paraId="19503992" w14:textId="77777777" w:rsidR="00BF3A3A" w:rsidRDefault="00BF3A3A">
            <w:pPr>
              <w:jc w:val="right"/>
              <w:rPr>
                <w:rFonts w:ascii="宋体"/>
              </w:rPr>
            </w:pPr>
          </w:p>
        </w:tc>
      </w:tr>
      <w:tr w:rsidR="00BF3A3A" w14:paraId="195039A0" w14:textId="77777777">
        <w:tc>
          <w:tcPr>
            <w:tcW w:w="0" w:type="auto"/>
            <w:gridSpan w:val="3"/>
            <w:shd w:val="clear" w:color="auto" w:fill="E2EFD9"/>
            <w:tcMar>
              <w:top w:w="40" w:type="dxa"/>
              <w:left w:w="260" w:type="dxa"/>
              <w:bottom w:w="40" w:type="dxa"/>
              <w:right w:w="20" w:type="dxa"/>
            </w:tcMar>
            <w:vAlign w:val="bottom"/>
          </w:tcPr>
          <w:p w14:paraId="19503994" w14:textId="77777777" w:rsidR="00BF3A3A" w:rsidRDefault="00A76802">
            <w:pPr>
              <w:textAlignment w:val="bottom"/>
            </w:pPr>
            <w:r>
              <w:rPr>
                <w:rFonts w:ascii="sans-serif" w:eastAsia="sans-serif" w:hAnsi="sans-serif" w:cs="sans-serif"/>
                <w:color w:val="000000"/>
                <w:sz w:val="20"/>
                <w:szCs w:val="20"/>
              </w:rPr>
              <w:t>Acquisition termination cost</w:t>
            </w:r>
          </w:p>
        </w:tc>
        <w:tc>
          <w:tcPr>
            <w:tcW w:w="0" w:type="auto"/>
            <w:gridSpan w:val="2"/>
            <w:shd w:val="clear" w:color="auto" w:fill="E2EFD9"/>
            <w:tcMar>
              <w:top w:w="40" w:type="dxa"/>
              <w:left w:w="20" w:type="dxa"/>
              <w:bottom w:w="40" w:type="dxa"/>
              <w:right w:w="0" w:type="dxa"/>
            </w:tcMar>
            <w:vAlign w:val="bottom"/>
          </w:tcPr>
          <w:p w14:paraId="19503995"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399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997"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998"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399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99A"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99B" w14:textId="77777777" w:rsidR="00BF3A3A" w:rsidRDefault="00A76802">
            <w:pPr>
              <w:jc w:val="right"/>
              <w:textAlignment w:val="bottom"/>
            </w:pPr>
            <w:r>
              <w:rPr>
                <w:rFonts w:ascii="sans-serif" w:eastAsia="sans-serif" w:hAnsi="sans-serif" w:cs="sans-serif"/>
                <w:color w:val="000000"/>
                <w:sz w:val="20"/>
                <w:szCs w:val="20"/>
              </w:rPr>
              <w:t>9.0 </w:t>
            </w:r>
          </w:p>
        </w:tc>
        <w:tc>
          <w:tcPr>
            <w:tcW w:w="0" w:type="auto"/>
            <w:shd w:val="clear" w:color="auto" w:fill="E2EFD9"/>
            <w:tcMar>
              <w:top w:w="40" w:type="dxa"/>
              <w:left w:w="0" w:type="dxa"/>
              <w:bottom w:w="40" w:type="dxa"/>
              <w:right w:w="20" w:type="dxa"/>
            </w:tcMar>
            <w:vAlign w:val="bottom"/>
          </w:tcPr>
          <w:p w14:paraId="1950399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99D"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99E"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399F" w14:textId="77777777" w:rsidR="00BF3A3A" w:rsidRDefault="00BF3A3A">
            <w:pPr>
              <w:jc w:val="right"/>
              <w:rPr>
                <w:rFonts w:ascii="宋体"/>
              </w:rPr>
            </w:pPr>
          </w:p>
        </w:tc>
      </w:tr>
      <w:tr w:rsidR="00BF3A3A" w14:paraId="195039AD" w14:textId="77777777">
        <w:tc>
          <w:tcPr>
            <w:tcW w:w="0" w:type="auto"/>
            <w:gridSpan w:val="3"/>
            <w:shd w:val="clear" w:color="auto" w:fill="FFFFFF"/>
            <w:tcMar>
              <w:top w:w="40" w:type="dxa"/>
              <w:left w:w="20" w:type="dxa"/>
              <w:bottom w:w="40" w:type="dxa"/>
              <w:right w:w="20" w:type="dxa"/>
            </w:tcMar>
            <w:vAlign w:val="bottom"/>
          </w:tcPr>
          <w:p w14:paraId="195039A1" w14:textId="77777777" w:rsidR="00BF3A3A" w:rsidRDefault="00A76802">
            <w:pPr>
              <w:textAlignment w:val="bottom"/>
            </w:pPr>
            <w:r>
              <w:rPr>
                <w:rFonts w:ascii="sans-serif" w:eastAsia="sans-serif" w:hAnsi="sans-serif" w:cs="sans-serif"/>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39A2" w14:textId="77777777" w:rsidR="00BF3A3A" w:rsidRDefault="00A76802">
            <w:pPr>
              <w:jc w:val="right"/>
              <w:textAlignment w:val="bottom"/>
            </w:pPr>
            <w:r>
              <w:rPr>
                <w:rFonts w:ascii="sans-serif" w:eastAsia="sans-serif" w:hAnsi="sans-serif" w:cs="sans-serif"/>
                <w:color w:val="000000"/>
                <w:sz w:val="20"/>
                <w:szCs w:val="20"/>
              </w:rPr>
              <w:t>36.0 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39A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9A4"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39A5" w14:textId="77777777" w:rsidR="00BF3A3A" w:rsidRDefault="00A76802">
            <w:pPr>
              <w:jc w:val="right"/>
              <w:textAlignment w:val="bottom"/>
            </w:pPr>
            <w:r>
              <w:rPr>
                <w:rFonts w:ascii="sans-serif" w:eastAsia="sans-serif" w:hAnsi="sans-serif" w:cs="sans-serif"/>
                <w:color w:val="000000"/>
                <w:sz w:val="20"/>
                <w:szCs w:val="20"/>
              </w:rPr>
              <w:t>27.2 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39A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9A7"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39A8" w14:textId="77777777" w:rsidR="00BF3A3A" w:rsidRDefault="00A76802">
            <w:pPr>
              <w:jc w:val="right"/>
              <w:textAlignment w:val="bottom"/>
            </w:pPr>
            <w:r>
              <w:rPr>
                <w:rFonts w:ascii="sans-serif" w:eastAsia="sans-serif" w:hAnsi="sans-serif" w:cs="sans-serif"/>
                <w:color w:val="000000"/>
                <w:sz w:val="20"/>
                <w:szCs w:val="20"/>
              </w:rPr>
              <w:t>39.9 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39A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9AA"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39AB" w14:textId="77777777" w:rsidR="00BF3A3A" w:rsidRDefault="00A76802">
            <w:pPr>
              <w:jc w:val="right"/>
              <w:textAlignment w:val="bottom"/>
            </w:pPr>
            <w:r>
              <w:rPr>
                <w:rFonts w:ascii="sans-serif" w:eastAsia="sans-serif" w:hAnsi="sans-serif" w:cs="sans-serif"/>
                <w:color w:val="000000"/>
                <w:sz w:val="20"/>
                <w:szCs w:val="20"/>
              </w:rPr>
              <w:t>28.3 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39AC" w14:textId="77777777" w:rsidR="00BF3A3A" w:rsidRDefault="00BF3A3A">
            <w:pPr>
              <w:jc w:val="right"/>
              <w:rPr>
                <w:rFonts w:ascii="宋体"/>
              </w:rPr>
            </w:pPr>
          </w:p>
        </w:tc>
      </w:tr>
      <w:tr w:rsidR="00BF3A3A" w14:paraId="195039BA" w14:textId="77777777">
        <w:tc>
          <w:tcPr>
            <w:tcW w:w="0" w:type="auto"/>
            <w:gridSpan w:val="3"/>
            <w:shd w:val="clear" w:color="auto" w:fill="E2EFD9"/>
            <w:tcMar>
              <w:top w:w="40" w:type="dxa"/>
              <w:left w:w="20" w:type="dxa"/>
              <w:bottom w:w="40" w:type="dxa"/>
              <w:right w:w="20" w:type="dxa"/>
            </w:tcMar>
            <w:vAlign w:val="bottom"/>
          </w:tcPr>
          <w:p w14:paraId="195039AE" w14:textId="77777777" w:rsidR="00BF3A3A" w:rsidRDefault="00A76802">
            <w:pPr>
              <w:textAlignment w:val="bottom"/>
            </w:pPr>
            <w:r>
              <w:rPr>
                <w:rFonts w:ascii="sans-serif" w:eastAsia="sans-serif" w:hAnsi="sans-serif" w:cs="sans-serif"/>
                <w:color w:val="000000"/>
                <w:sz w:val="20"/>
                <w:szCs w:val="20"/>
              </w:rPr>
              <w:t>Income from operations</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39AF" w14:textId="77777777" w:rsidR="00BF3A3A" w:rsidRDefault="00A76802">
            <w:pPr>
              <w:jc w:val="right"/>
              <w:textAlignment w:val="bottom"/>
            </w:pPr>
            <w:r>
              <w:rPr>
                <w:rFonts w:ascii="sans-serif" w:eastAsia="sans-serif" w:hAnsi="sans-serif" w:cs="sans-serif"/>
                <w:color w:val="000000"/>
                <w:sz w:val="20"/>
                <w:szCs w:val="20"/>
              </w:rPr>
              <w:t>7.5 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39B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9B1"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39B2" w14:textId="77777777" w:rsidR="00BF3A3A" w:rsidRDefault="00A76802">
            <w:pPr>
              <w:jc w:val="right"/>
              <w:textAlignment w:val="bottom"/>
            </w:pPr>
            <w:r>
              <w:rPr>
                <w:rFonts w:ascii="sans-serif" w:eastAsia="sans-serif" w:hAnsi="sans-serif" w:cs="sans-serif"/>
                <w:color w:val="000000"/>
                <w:sz w:val="20"/>
                <w:szCs w:val="20"/>
              </w:rPr>
              <w:t>37.6 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39B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9B4"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39B5" w14:textId="77777777" w:rsidR="00BF3A3A" w:rsidRDefault="00A76802">
            <w:pPr>
              <w:jc w:val="right"/>
              <w:textAlignment w:val="bottom"/>
            </w:pPr>
            <w:r>
              <w:rPr>
                <w:rFonts w:ascii="sans-serif" w:eastAsia="sans-serif" w:hAnsi="sans-serif" w:cs="sans-serif"/>
                <w:color w:val="000000"/>
                <w:sz w:val="20"/>
                <w:szCs w:val="20"/>
              </w:rPr>
              <w:t>15.8 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39B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9B7"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39B8" w14:textId="77777777" w:rsidR="00BF3A3A" w:rsidRDefault="00A76802">
            <w:pPr>
              <w:jc w:val="right"/>
              <w:textAlignment w:val="bottom"/>
            </w:pPr>
            <w:r>
              <w:rPr>
                <w:rFonts w:ascii="sans-serif" w:eastAsia="sans-serif" w:hAnsi="sans-serif" w:cs="sans-serif"/>
                <w:color w:val="000000"/>
                <w:sz w:val="20"/>
                <w:szCs w:val="20"/>
              </w:rPr>
              <w:t>36.2 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39B9" w14:textId="77777777" w:rsidR="00BF3A3A" w:rsidRDefault="00BF3A3A">
            <w:pPr>
              <w:jc w:val="right"/>
              <w:rPr>
                <w:rFonts w:ascii="宋体"/>
              </w:rPr>
            </w:pPr>
          </w:p>
        </w:tc>
      </w:tr>
      <w:tr w:rsidR="00BF3A3A" w14:paraId="195039C7" w14:textId="77777777">
        <w:tc>
          <w:tcPr>
            <w:tcW w:w="0" w:type="auto"/>
            <w:gridSpan w:val="3"/>
            <w:shd w:val="clear" w:color="auto" w:fill="FFFFFF"/>
            <w:tcMar>
              <w:top w:w="40" w:type="dxa"/>
              <w:left w:w="20" w:type="dxa"/>
              <w:bottom w:w="40" w:type="dxa"/>
              <w:right w:w="20" w:type="dxa"/>
            </w:tcMar>
            <w:vAlign w:val="bottom"/>
          </w:tcPr>
          <w:p w14:paraId="195039BB" w14:textId="77777777" w:rsidR="00BF3A3A" w:rsidRDefault="00A76802">
            <w:pPr>
              <w:textAlignment w:val="bottom"/>
            </w:pPr>
            <w:r>
              <w:rPr>
                <w:rFonts w:ascii="sans-serif" w:eastAsia="sans-serif" w:hAnsi="sans-serif" w:cs="sans-serif"/>
                <w:color w:val="000000"/>
                <w:sz w:val="20"/>
                <w:szCs w:val="20"/>
              </w:rPr>
              <w:t>     Interest income</w:t>
            </w:r>
          </w:p>
        </w:tc>
        <w:tc>
          <w:tcPr>
            <w:tcW w:w="0" w:type="auto"/>
            <w:gridSpan w:val="2"/>
            <w:shd w:val="clear" w:color="auto" w:fill="FFFFFF"/>
            <w:tcMar>
              <w:top w:w="40" w:type="dxa"/>
              <w:left w:w="20" w:type="dxa"/>
              <w:bottom w:w="40" w:type="dxa"/>
              <w:right w:w="0" w:type="dxa"/>
            </w:tcMar>
            <w:vAlign w:val="bottom"/>
          </w:tcPr>
          <w:p w14:paraId="195039BC" w14:textId="77777777" w:rsidR="00BF3A3A" w:rsidRDefault="00A76802">
            <w:pPr>
              <w:jc w:val="right"/>
              <w:textAlignment w:val="bottom"/>
            </w:pPr>
            <w:r>
              <w:rPr>
                <w:rFonts w:ascii="sans-serif" w:eastAsia="sans-serif" w:hAnsi="sans-serif" w:cs="sans-serif"/>
                <w:color w:val="000000"/>
                <w:sz w:val="20"/>
                <w:szCs w:val="20"/>
              </w:rPr>
              <w:t>0.7 </w:t>
            </w:r>
          </w:p>
        </w:tc>
        <w:tc>
          <w:tcPr>
            <w:tcW w:w="0" w:type="auto"/>
            <w:shd w:val="clear" w:color="auto" w:fill="FFFFFF"/>
            <w:tcMar>
              <w:top w:w="40" w:type="dxa"/>
              <w:left w:w="0" w:type="dxa"/>
              <w:bottom w:w="40" w:type="dxa"/>
              <w:right w:w="20" w:type="dxa"/>
            </w:tcMar>
            <w:vAlign w:val="bottom"/>
          </w:tcPr>
          <w:p w14:paraId="195039B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9B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9BF" w14:textId="77777777" w:rsidR="00BF3A3A" w:rsidRDefault="00A76802">
            <w:pPr>
              <w:jc w:val="right"/>
              <w:textAlignment w:val="bottom"/>
            </w:pPr>
            <w:r>
              <w:rPr>
                <w:rFonts w:ascii="sans-serif" w:eastAsia="sans-serif" w:hAnsi="sans-serif" w:cs="sans-serif"/>
                <w:color w:val="000000"/>
                <w:sz w:val="20"/>
                <w:szCs w:val="20"/>
              </w:rPr>
              <w:t>0.1 </w:t>
            </w:r>
          </w:p>
        </w:tc>
        <w:tc>
          <w:tcPr>
            <w:tcW w:w="0" w:type="auto"/>
            <w:shd w:val="clear" w:color="auto" w:fill="FFFFFF"/>
            <w:tcMar>
              <w:top w:w="40" w:type="dxa"/>
              <w:left w:w="0" w:type="dxa"/>
              <w:bottom w:w="40" w:type="dxa"/>
              <w:right w:w="20" w:type="dxa"/>
            </w:tcMar>
            <w:vAlign w:val="bottom"/>
          </w:tcPr>
          <w:p w14:paraId="195039C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9C1"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9C2" w14:textId="77777777" w:rsidR="00BF3A3A" w:rsidRDefault="00A76802">
            <w:pPr>
              <w:jc w:val="right"/>
              <w:textAlignment w:val="bottom"/>
            </w:pPr>
            <w:r>
              <w:rPr>
                <w:rFonts w:ascii="sans-serif" w:eastAsia="sans-serif" w:hAnsi="sans-serif" w:cs="sans-serif"/>
                <w:color w:val="000000"/>
                <w:sz w:val="20"/>
                <w:szCs w:val="20"/>
              </w:rPr>
              <w:t>0.4 </w:t>
            </w:r>
          </w:p>
        </w:tc>
        <w:tc>
          <w:tcPr>
            <w:tcW w:w="0" w:type="auto"/>
            <w:shd w:val="clear" w:color="auto" w:fill="FFFFFF"/>
            <w:tcMar>
              <w:top w:w="40" w:type="dxa"/>
              <w:left w:w="0" w:type="dxa"/>
              <w:bottom w:w="40" w:type="dxa"/>
              <w:right w:w="20" w:type="dxa"/>
            </w:tcMar>
            <w:vAlign w:val="bottom"/>
          </w:tcPr>
          <w:p w14:paraId="195039C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9C4"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9C5" w14:textId="77777777" w:rsidR="00BF3A3A" w:rsidRDefault="00A76802">
            <w:pPr>
              <w:jc w:val="right"/>
              <w:textAlignment w:val="bottom"/>
            </w:pPr>
            <w:r>
              <w:rPr>
                <w:rFonts w:ascii="sans-serif" w:eastAsia="sans-serif" w:hAnsi="sans-serif" w:cs="sans-serif"/>
                <w:color w:val="000000"/>
                <w:sz w:val="20"/>
                <w:szCs w:val="20"/>
              </w:rPr>
              <w:t>0.1 </w:t>
            </w:r>
          </w:p>
        </w:tc>
        <w:tc>
          <w:tcPr>
            <w:tcW w:w="0" w:type="auto"/>
            <w:shd w:val="clear" w:color="auto" w:fill="FFFFFF"/>
            <w:tcMar>
              <w:top w:w="40" w:type="dxa"/>
              <w:left w:w="0" w:type="dxa"/>
              <w:bottom w:w="40" w:type="dxa"/>
              <w:right w:w="20" w:type="dxa"/>
            </w:tcMar>
            <w:vAlign w:val="bottom"/>
          </w:tcPr>
          <w:p w14:paraId="195039C6" w14:textId="77777777" w:rsidR="00BF3A3A" w:rsidRDefault="00BF3A3A">
            <w:pPr>
              <w:jc w:val="right"/>
              <w:rPr>
                <w:rFonts w:ascii="宋体"/>
              </w:rPr>
            </w:pPr>
          </w:p>
        </w:tc>
      </w:tr>
      <w:tr w:rsidR="00BF3A3A" w14:paraId="195039D4" w14:textId="77777777">
        <w:tc>
          <w:tcPr>
            <w:tcW w:w="0" w:type="auto"/>
            <w:gridSpan w:val="3"/>
            <w:shd w:val="clear" w:color="auto" w:fill="E2EFD9"/>
            <w:tcMar>
              <w:top w:w="40" w:type="dxa"/>
              <w:left w:w="20" w:type="dxa"/>
              <w:bottom w:w="40" w:type="dxa"/>
              <w:right w:w="20" w:type="dxa"/>
            </w:tcMar>
            <w:vAlign w:val="bottom"/>
          </w:tcPr>
          <w:p w14:paraId="195039C8" w14:textId="77777777" w:rsidR="00BF3A3A" w:rsidRDefault="00A76802">
            <w:pPr>
              <w:textAlignment w:val="bottom"/>
            </w:pPr>
            <w:r>
              <w:rPr>
                <w:rFonts w:ascii="sans-serif" w:eastAsia="sans-serif" w:hAnsi="sans-serif" w:cs="sans-serif"/>
                <w:color w:val="000000"/>
                <w:sz w:val="20"/>
                <w:szCs w:val="20"/>
              </w:rPr>
              <w:t>     Interest expense</w:t>
            </w:r>
          </w:p>
        </w:tc>
        <w:tc>
          <w:tcPr>
            <w:tcW w:w="0" w:type="auto"/>
            <w:gridSpan w:val="2"/>
            <w:shd w:val="clear" w:color="auto" w:fill="E2EFD9"/>
            <w:tcMar>
              <w:top w:w="40" w:type="dxa"/>
              <w:left w:w="20" w:type="dxa"/>
              <w:bottom w:w="40" w:type="dxa"/>
              <w:right w:w="0" w:type="dxa"/>
            </w:tcMar>
            <w:vAlign w:val="bottom"/>
          </w:tcPr>
          <w:p w14:paraId="195039C9" w14:textId="77777777" w:rsidR="00BF3A3A" w:rsidRDefault="00A76802">
            <w:pPr>
              <w:jc w:val="right"/>
              <w:textAlignment w:val="bottom"/>
            </w:pPr>
            <w:r>
              <w:rPr>
                <w:rFonts w:ascii="sans-serif" w:eastAsia="sans-serif" w:hAnsi="sans-serif" w:cs="sans-serif"/>
                <w:color w:val="000000"/>
                <w:sz w:val="20"/>
                <w:szCs w:val="20"/>
              </w:rPr>
              <w:t>(1.0)</w:t>
            </w:r>
          </w:p>
        </w:tc>
        <w:tc>
          <w:tcPr>
            <w:tcW w:w="0" w:type="auto"/>
            <w:shd w:val="clear" w:color="auto" w:fill="E2EFD9"/>
            <w:tcMar>
              <w:top w:w="40" w:type="dxa"/>
              <w:left w:w="0" w:type="dxa"/>
              <w:bottom w:w="40" w:type="dxa"/>
              <w:right w:w="20" w:type="dxa"/>
            </w:tcMar>
            <w:vAlign w:val="bottom"/>
          </w:tcPr>
          <w:p w14:paraId="195039C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9CB"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9CC" w14:textId="77777777" w:rsidR="00BF3A3A" w:rsidRDefault="00A76802">
            <w:pPr>
              <w:jc w:val="right"/>
              <w:textAlignment w:val="bottom"/>
            </w:pPr>
            <w:r>
              <w:rPr>
                <w:rFonts w:ascii="sans-serif" w:eastAsia="sans-serif" w:hAnsi="sans-serif" w:cs="sans-serif"/>
                <w:color w:val="000000"/>
                <w:sz w:val="20"/>
                <w:szCs w:val="20"/>
              </w:rPr>
              <w:t>(0.9)</w:t>
            </w:r>
          </w:p>
        </w:tc>
        <w:tc>
          <w:tcPr>
            <w:tcW w:w="0" w:type="auto"/>
            <w:shd w:val="clear" w:color="auto" w:fill="E2EFD9"/>
            <w:tcMar>
              <w:top w:w="40" w:type="dxa"/>
              <w:left w:w="0" w:type="dxa"/>
              <w:bottom w:w="40" w:type="dxa"/>
              <w:right w:w="20" w:type="dxa"/>
            </w:tcMar>
            <w:vAlign w:val="bottom"/>
          </w:tcPr>
          <w:p w14:paraId="195039C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9CE"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9CF" w14:textId="77777777" w:rsidR="00BF3A3A" w:rsidRDefault="00A76802">
            <w:pPr>
              <w:jc w:val="right"/>
              <w:textAlignment w:val="bottom"/>
            </w:pPr>
            <w:r>
              <w:rPr>
                <w:rFonts w:ascii="sans-serif" w:eastAsia="sans-serif" w:hAnsi="sans-serif" w:cs="sans-serif"/>
                <w:color w:val="000000"/>
                <w:sz w:val="20"/>
                <w:szCs w:val="20"/>
              </w:rPr>
              <w:t>(0.9)</w:t>
            </w:r>
          </w:p>
        </w:tc>
        <w:tc>
          <w:tcPr>
            <w:tcW w:w="0" w:type="auto"/>
            <w:shd w:val="clear" w:color="auto" w:fill="E2EFD9"/>
            <w:tcMar>
              <w:top w:w="40" w:type="dxa"/>
              <w:left w:w="0" w:type="dxa"/>
              <w:bottom w:w="40" w:type="dxa"/>
              <w:right w:w="20" w:type="dxa"/>
            </w:tcMar>
            <w:vAlign w:val="bottom"/>
          </w:tcPr>
          <w:p w14:paraId="195039D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9D1"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9D2" w14:textId="77777777" w:rsidR="00BF3A3A" w:rsidRDefault="00A76802">
            <w:pPr>
              <w:jc w:val="right"/>
              <w:textAlignment w:val="bottom"/>
            </w:pPr>
            <w:r>
              <w:rPr>
                <w:rFonts w:ascii="sans-serif" w:eastAsia="sans-serif" w:hAnsi="sans-serif" w:cs="sans-serif"/>
                <w:color w:val="000000"/>
                <w:sz w:val="20"/>
                <w:szCs w:val="20"/>
              </w:rPr>
              <w:t>(0.9)</w:t>
            </w:r>
          </w:p>
        </w:tc>
        <w:tc>
          <w:tcPr>
            <w:tcW w:w="0" w:type="auto"/>
            <w:shd w:val="clear" w:color="auto" w:fill="E2EFD9"/>
            <w:tcMar>
              <w:top w:w="40" w:type="dxa"/>
              <w:left w:w="0" w:type="dxa"/>
              <w:bottom w:w="40" w:type="dxa"/>
              <w:right w:w="20" w:type="dxa"/>
            </w:tcMar>
            <w:vAlign w:val="bottom"/>
          </w:tcPr>
          <w:p w14:paraId="195039D3" w14:textId="77777777" w:rsidR="00BF3A3A" w:rsidRDefault="00BF3A3A">
            <w:pPr>
              <w:jc w:val="right"/>
              <w:rPr>
                <w:rFonts w:ascii="宋体"/>
              </w:rPr>
            </w:pPr>
          </w:p>
        </w:tc>
      </w:tr>
      <w:tr w:rsidR="00BF3A3A" w14:paraId="195039E1" w14:textId="77777777">
        <w:tc>
          <w:tcPr>
            <w:tcW w:w="0" w:type="auto"/>
            <w:gridSpan w:val="3"/>
            <w:shd w:val="clear" w:color="auto" w:fill="FFFFFF"/>
            <w:tcMar>
              <w:top w:w="40" w:type="dxa"/>
              <w:left w:w="20" w:type="dxa"/>
              <w:bottom w:w="40" w:type="dxa"/>
              <w:right w:w="20" w:type="dxa"/>
            </w:tcMar>
            <w:vAlign w:val="bottom"/>
          </w:tcPr>
          <w:p w14:paraId="195039D5" w14:textId="77777777" w:rsidR="00BF3A3A" w:rsidRDefault="00A76802">
            <w:pPr>
              <w:textAlignment w:val="bottom"/>
            </w:pPr>
            <w:r>
              <w:rPr>
                <w:rFonts w:ascii="sans-serif" w:eastAsia="sans-serif" w:hAnsi="sans-serif" w:cs="sans-serif"/>
                <w:color w:val="000000"/>
                <w:sz w:val="20"/>
                <w:szCs w:val="20"/>
              </w:rPr>
              <w:t>     Other, net</w:t>
            </w:r>
          </w:p>
        </w:tc>
        <w:tc>
          <w:tcPr>
            <w:tcW w:w="0" w:type="auto"/>
            <w:gridSpan w:val="2"/>
            <w:shd w:val="clear" w:color="auto" w:fill="FFFFFF"/>
            <w:tcMar>
              <w:top w:w="40" w:type="dxa"/>
              <w:left w:w="20" w:type="dxa"/>
              <w:bottom w:w="40" w:type="dxa"/>
              <w:right w:w="0" w:type="dxa"/>
            </w:tcMar>
            <w:vAlign w:val="bottom"/>
          </w:tcPr>
          <w:p w14:paraId="195039D6" w14:textId="77777777" w:rsidR="00BF3A3A" w:rsidRDefault="00A76802">
            <w:pPr>
              <w:jc w:val="right"/>
              <w:textAlignment w:val="bottom"/>
            </w:pPr>
            <w:r>
              <w:rPr>
                <w:rFonts w:ascii="sans-serif" w:eastAsia="sans-serif" w:hAnsi="sans-serif" w:cs="sans-serif"/>
                <w:color w:val="000000"/>
                <w:sz w:val="20"/>
                <w:szCs w:val="20"/>
              </w:rPr>
              <w:t>(0.1)</w:t>
            </w:r>
          </w:p>
        </w:tc>
        <w:tc>
          <w:tcPr>
            <w:tcW w:w="0" w:type="auto"/>
            <w:shd w:val="clear" w:color="auto" w:fill="FFFFFF"/>
            <w:tcMar>
              <w:top w:w="40" w:type="dxa"/>
              <w:left w:w="0" w:type="dxa"/>
              <w:bottom w:w="40" w:type="dxa"/>
              <w:right w:w="20" w:type="dxa"/>
            </w:tcMar>
            <w:vAlign w:val="bottom"/>
          </w:tcPr>
          <w:p w14:paraId="195039D7"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9D8"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9D9" w14:textId="77777777" w:rsidR="00BF3A3A" w:rsidRDefault="00A76802">
            <w:pPr>
              <w:jc w:val="right"/>
              <w:textAlignment w:val="bottom"/>
            </w:pPr>
            <w:r>
              <w:rPr>
                <w:rFonts w:ascii="sans-serif" w:eastAsia="sans-serif" w:hAnsi="sans-serif" w:cs="sans-serif"/>
                <w:color w:val="000000"/>
                <w:sz w:val="20"/>
                <w:szCs w:val="20"/>
              </w:rPr>
              <w:t>0.1 </w:t>
            </w:r>
          </w:p>
        </w:tc>
        <w:tc>
          <w:tcPr>
            <w:tcW w:w="0" w:type="auto"/>
            <w:shd w:val="clear" w:color="auto" w:fill="FFFFFF"/>
            <w:tcMar>
              <w:top w:w="40" w:type="dxa"/>
              <w:left w:w="0" w:type="dxa"/>
              <w:bottom w:w="40" w:type="dxa"/>
              <w:right w:w="20" w:type="dxa"/>
            </w:tcMar>
            <w:vAlign w:val="bottom"/>
          </w:tcPr>
          <w:p w14:paraId="195039DA"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9DB"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9DC" w14:textId="77777777" w:rsidR="00BF3A3A" w:rsidRDefault="00A76802">
            <w:pPr>
              <w:jc w:val="right"/>
              <w:textAlignment w:val="bottom"/>
            </w:pPr>
            <w:r>
              <w:rPr>
                <w:rFonts w:ascii="sans-serif" w:eastAsia="sans-serif" w:hAnsi="sans-serif" w:cs="sans-serif"/>
                <w:color w:val="000000"/>
                <w:sz w:val="20"/>
                <w:szCs w:val="20"/>
              </w:rPr>
              <w:t>(0.1)</w:t>
            </w:r>
          </w:p>
        </w:tc>
        <w:tc>
          <w:tcPr>
            <w:tcW w:w="0" w:type="auto"/>
            <w:shd w:val="clear" w:color="auto" w:fill="FFFFFF"/>
            <w:tcMar>
              <w:top w:w="40" w:type="dxa"/>
              <w:left w:w="0" w:type="dxa"/>
              <w:bottom w:w="40" w:type="dxa"/>
              <w:right w:w="20" w:type="dxa"/>
            </w:tcMar>
            <w:vAlign w:val="bottom"/>
          </w:tcPr>
          <w:p w14:paraId="195039D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9D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9DF" w14:textId="77777777" w:rsidR="00BF3A3A" w:rsidRDefault="00A76802">
            <w:pPr>
              <w:jc w:val="right"/>
              <w:textAlignment w:val="bottom"/>
            </w:pPr>
            <w:r>
              <w:rPr>
                <w:rFonts w:ascii="sans-serif" w:eastAsia="sans-serif" w:hAnsi="sans-serif" w:cs="sans-serif"/>
                <w:color w:val="000000"/>
                <w:sz w:val="20"/>
                <w:szCs w:val="20"/>
              </w:rPr>
              <w:t>1.1 </w:t>
            </w:r>
          </w:p>
        </w:tc>
        <w:tc>
          <w:tcPr>
            <w:tcW w:w="0" w:type="auto"/>
            <w:shd w:val="clear" w:color="auto" w:fill="FFFFFF"/>
            <w:tcMar>
              <w:top w:w="40" w:type="dxa"/>
              <w:left w:w="0" w:type="dxa"/>
              <w:bottom w:w="40" w:type="dxa"/>
              <w:right w:w="20" w:type="dxa"/>
            </w:tcMar>
            <w:vAlign w:val="bottom"/>
          </w:tcPr>
          <w:p w14:paraId="195039E0" w14:textId="77777777" w:rsidR="00BF3A3A" w:rsidRDefault="00BF3A3A">
            <w:pPr>
              <w:jc w:val="right"/>
              <w:rPr>
                <w:rFonts w:ascii="宋体"/>
              </w:rPr>
            </w:pPr>
          </w:p>
        </w:tc>
      </w:tr>
      <w:tr w:rsidR="00BF3A3A" w14:paraId="195039EE" w14:textId="77777777">
        <w:tc>
          <w:tcPr>
            <w:tcW w:w="0" w:type="auto"/>
            <w:gridSpan w:val="3"/>
            <w:shd w:val="clear" w:color="auto" w:fill="E2EFD9"/>
            <w:tcMar>
              <w:top w:w="40" w:type="dxa"/>
              <w:left w:w="20" w:type="dxa"/>
              <w:bottom w:w="40" w:type="dxa"/>
              <w:right w:w="20" w:type="dxa"/>
            </w:tcMar>
            <w:vAlign w:val="bottom"/>
          </w:tcPr>
          <w:p w14:paraId="195039E2" w14:textId="77777777" w:rsidR="00BF3A3A" w:rsidRDefault="00A76802">
            <w:pPr>
              <w:textAlignment w:val="bottom"/>
            </w:pPr>
            <w:r>
              <w:rPr>
                <w:rFonts w:ascii="sans-serif" w:eastAsia="sans-serif" w:hAnsi="sans-serif" w:cs="sans-serif"/>
                <w:color w:val="000000"/>
                <w:sz w:val="20"/>
                <w:szCs w:val="20"/>
              </w:rPr>
              <w:t>Other income (expense), net</w:t>
            </w: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39E3" w14:textId="77777777" w:rsidR="00BF3A3A" w:rsidRDefault="00A76802">
            <w:pPr>
              <w:jc w:val="right"/>
              <w:textAlignment w:val="bottom"/>
            </w:pPr>
            <w:r>
              <w:rPr>
                <w:rFonts w:ascii="sans-serif" w:eastAsia="sans-serif" w:hAnsi="sans-serif" w:cs="sans-serif"/>
                <w:color w:val="000000"/>
                <w:sz w:val="20"/>
                <w:szCs w:val="20"/>
              </w:rPr>
              <w:t>(0.4)</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39E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9E5"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39E6" w14:textId="77777777" w:rsidR="00BF3A3A" w:rsidRDefault="00A76802">
            <w:pPr>
              <w:jc w:val="right"/>
              <w:textAlignment w:val="bottom"/>
            </w:pPr>
            <w:r>
              <w:rPr>
                <w:rFonts w:ascii="sans-serif" w:eastAsia="sans-serif" w:hAnsi="sans-serif" w:cs="sans-serif"/>
                <w:color w:val="000000"/>
                <w:sz w:val="20"/>
                <w:szCs w:val="20"/>
              </w:rPr>
              <w:t>(0.7)</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39E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9E8"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39E9" w14:textId="77777777" w:rsidR="00BF3A3A" w:rsidRDefault="00A76802">
            <w:pPr>
              <w:jc w:val="right"/>
              <w:textAlignment w:val="bottom"/>
            </w:pPr>
            <w:r>
              <w:rPr>
                <w:rFonts w:ascii="sans-serif" w:eastAsia="sans-serif" w:hAnsi="sans-serif" w:cs="sans-serif"/>
                <w:color w:val="000000"/>
                <w:sz w:val="20"/>
                <w:szCs w:val="20"/>
              </w:rPr>
              <w:t>(0.6)</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39E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9EB"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39EC" w14:textId="77777777" w:rsidR="00BF3A3A" w:rsidRDefault="00A76802">
            <w:pPr>
              <w:jc w:val="right"/>
              <w:textAlignment w:val="bottom"/>
            </w:pPr>
            <w:r>
              <w:rPr>
                <w:rFonts w:ascii="sans-serif" w:eastAsia="sans-serif" w:hAnsi="sans-serif" w:cs="sans-serif"/>
                <w:color w:val="000000"/>
                <w:sz w:val="20"/>
                <w:szCs w:val="20"/>
              </w:rPr>
              <w:t>0.3 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39ED" w14:textId="77777777" w:rsidR="00BF3A3A" w:rsidRDefault="00BF3A3A">
            <w:pPr>
              <w:jc w:val="right"/>
              <w:rPr>
                <w:rFonts w:ascii="宋体"/>
              </w:rPr>
            </w:pPr>
          </w:p>
        </w:tc>
      </w:tr>
      <w:tr w:rsidR="00BF3A3A" w14:paraId="195039FB" w14:textId="77777777">
        <w:tc>
          <w:tcPr>
            <w:tcW w:w="0" w:type="auto"/>
            <w:gridSpan w:val="3"/>
            <w:shd w:val="clear" w:color="auto" w:fill="FFFFFF"/>
            <w:tcMar>
              <w:top w:w="40" w:type="dxa"/>
              <w:left w:w="20" w:type="dxa"/>
              <w:bottom w:w="40" w:type="dxa"/>
              <w:right w:w="20" w:type="dxa"/>
            </w:tcMar>
            <w:vAlign w:val="bottom"/>
          </w:tcPr>
          <w:p w14:paraId="195039EF" w14:textId="77777777" w:rsidR="00BF3A3A" w:rsidRDefault="00A76802">
            <w:pPr>
              <w:textAlignment w:val="bottom"/>
            </w:pPr>
            <w:r>
              <w:rPr>
                <w:rFonts w:ascii="sans-serif" w:eastAsia="sans-serif" w:hAnsi="sans-serif" w:cs="sans-serif"/>
                <w:color w:val="000000"/>
                <w:sz w:val="20"/>
                <w:szCs w:val="20"/>
              </w:rPr>
              <w:t>Income before income tax</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39F0" w14:textId="77777777" w:rsidR="00BF3A3A" w:rsidRDefault="00A76802">
            <w:pPr>
              <w:jc w:val="right"/>
              <w:textAlignment w:val="bottom"/>
            </w:pPr>
            <w:r>
              <w:rPr>
                <w:rFonts w:ascii="sans-serif" w:eastAsia="sans-serif" w:hAnsi="sans-serif" w:cs="sans-serif"/>
                <w:color w:val="000000"/>
                <w:sz w:val="20"/>
                <w:szCs w:val="20"/>
              </w:rPr>
              <w:t>7.1 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39F1"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9F2"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39F3" w14:textId="77777777" w:rsidR="00BF3A3A" w:rsidRDefault="00A76802">
            <w:pPr>
              <w:jc w:val="right"/>
              <w:textAlignment w:val="bottom"/>
            </w:pPr>
            <w:r>
              <w:rPr>
                <w:rFonts w:ascii="sans-serif" w:eastAsia="sans-serif" w:hAnsi="sans-serif" w:cs="sans-serif"/>
                <w:color w:val="000000"/>
                <w:sz w:val="20"/>
                <w:szCs w:val="20"/>
              </w:rPr>
              <w:t>36.9 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39F4"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9F5"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39F6" w14:textId="77777777" w:rsidR="00BF3A3A" w:rsidRDefault="00A76802">
            <w:pPr>
              <w:jc w:val="right"/>
              <w:textAlignment w:val="bottom"/>
            </w:pPr>
            <w:r>
              <w:rPr>
                <w:rFonts w:ascii="sans-serif" w:eastAsia="sans-serif" w:hAnsi="sans-serif" w:cs="sans-serif"/>
                <w:color w:val="000000"/>
                <w:sz w:val="20"/>
                <w:szCs w:val="20"/>
              </w:rPr>
              <w:t>15.2 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39F7"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9F8" w14:textId="77777777" w:rsidR="00BF3A3A" w:rsidRDefault="00BF3A3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95039F9" w14:textId="77777777" w:rsidR="00BF3A3A" w:rsidRDefault="00A76802">
            <w:pPr>
              <w:jc w:val="right"/>
              <w:textAlignment w:val="bottom"/>
            </w:pPr>
            <w:r>
              <w:rPr>
                <w:rFonts w:ascii="sans-serif" w:eastAsia="sans-serif" w:hAnsi="sans-serif" w:cs="sans-serif"/>
                <w:color w:val="000000"/>
                <w:sz w:val="20"/>
                <w:szCs w:val="20"/>
              </w:rPr>
              <w:t>36.5 </w:t>
            </w:r>
          </w:p>
        </w:tc>
        <w:tc>
          <w:tcPr>
            <w:tcW w:w="0" w:type="auto"/>
            <w:tcBorders>
              <w:top w:val="single" w:sz="8" w:space="0" w:color="000000"/>
            </w:tcBorders>
            <w:shd w:val="clear" w:color="auto" w:fill="FFFFFF"/>
            <w:tcMar>
              <w:top w:w="40" w:type="dxa"/>
              <w:left w:w="0" w:type="dxa"/>
              <w:bottom w:w="40" w:type="dxa"/>
              <w:right w:w="20" w:type="dxa"/>
            </w:tcMar>
            <w:vAlign w:val="bottom"/>
          </w:tcPr>
          <w:p w14:paraId="195039FA" w14:textId="77777777" w:rsidR="00BF3A3A" w:rsidRDefault="00BF3A3A">
            <w:pPr>
              <w:jc w:val="right"/>
              <w:rPr>
                <w:rFonts w:ascii="宋体"/>
              </w:rPr>
            </w:pPr>
          </w:p>
        </w:tc>
      </w:tr>
      <w:tr w:rsidR="00BF3A3A" w14:paraId="19503A08" w14:textId="77777777">
        <w:tc>
          <w:tcPr>
            <w:tcW w:w="0" w:type="auto"/>
            <w:gridSpan w:val="3"/>
            <w:shd w:val="clear" w:color="auto" w:fill="E2EFD9"/>
            <w:tcMar>
              <w:top w:w="40" w:type="dxa"/>
              <w:left w:w="20" w:type="dxa"/>
              <w:bottom w:w="40" w:type="dxa"/>
              <w:right w:w="20" w:type="dxa"/>
            </w:tcMar>
            <w:vAlign w:val="bottom"/>
          </w:tcPr>
          <w:p w14:paraId="195039FC" w14:textId="77777777" w:rsidR="00BF3A3A" w:rsidRDefault="00A76802">
            <w:pPr>
              <w:textAlignment w:val="bottom"/>
            </w:pPr>
            <w:r>
              <w:rPr>
                <w:rFonts w:ascii="sans-serif" w:eastAsia="sans-serif" w:hAnsi="sans-serif" w:cs="sans-serif"/>
                <w:color w:val="000000"/>
                <w:sz w:val="20"/>
                <w:szCs w:val="20"/>
              </w:rPr>
              <w:t>Income tax expense (benefit)</w:t>
            </w:r>
          </w:p>
        </w:tc>
        <w:tc>
          <w:tcPr>
            <w:tcW w:w="0" w:type="auto"/>
            <w:gridSpan w:val="2"/>
            <w:shd w:val="clear" w:color="auto" w:fill="E2EFD9"/>
            <w:tcMar>
              <w:top w:w="40" w:type="dxa"/>
              <w:left w:w="20" w:type="dxa"/>
              <w:bottom w:w="40" w:type="dxa"/>
              <w:right w:w="0" w:type="dxa"/>
            </w:tcMar>
            <w:vAlign w:val="bottom"/>
          </w:tcPr>
          <w:p w14:paraId="195039FD" w14:textId="77777777" w:rsidR="00BF3A3A" w:rsidRDefault="00A76802">
            <w:pPr>
              <w:jc w:val="right"/>
              <w:textAlignment w:val="bottom"/>
            </w:pPr>
            <w:r>
              <w:rPr>
                <w:rFonts w:ascii="sans-serif" w:eastAsia="sans-serif" w:hAnsi="sans-serif" w:cs="sans-serif"/>
                <w:color w:val="000000"/>
                <w:sz w:val="20"/>
                <w:szCs w:val="20"/>
              </w:rPr>
              <w:t>(2.7)</w:t>
            </w:r>
          </w:p>
        </w:tc>
        <w:tc>
          <w:tcPr>
            <w:tcW w:w="0" w:type="auto"/>
            <w:shd w:val="clear" w:color="auto" w:fill="E2EFD9"/>
            <w:tcMar>
              <w:top w:w="40" w:type="dxa"/>
              <w:left w:w="0" w:type="dxa"/>
              <w:bottom w:w="40" w:type="dxa"/>
              <w:right w:w="20" w:type="dxa"/>
            </w:tcMar>
            <w:vAlign w:val="bottom"/>
          </w:tcPr>
          <w:p w14:paraId="195039F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9FF"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A00" w14:textId="77777777" w:rsidR="00BF3A3A" w:rsidRDefault="00A76802">
            <w:pPr>
              <w:jc w:val="right"/>
              <w:textAlignment w:val="bottom"/>
            </w:pPr>
            <w:r>
              <w:rPr>
                <w:rFonts w:ascii="sans-serif" w:eastAsia="sans-serif" w:hAnsi="sans-serif" w:cs="sans-serif"/>
                <w:color w:val="000000"/>
                <w:sz w:val="20"/>
                <w:szCs w:val="20"/>
              </w:rPr>
              <w:t>0.3 </w:t>
            </w:r>
          </w:p>
        </w:tc>
        <w:tc>
          <w:tcPr>
            <w:tcW w:w="0" w:type="auto"/>
            <w:shd w:val="clear" w:color="auto" w:fill="E2EFD9"/>
            <w:tcMar>
              <w:top w:w="40" w:type="dxa"/>
              <w:left w:w="0" w:type="dxa"/>
              <w:bottom w:w="40" w:type="dxa"/>
              <w:right w:w="20" w:type="dxa"/>
            </w:tcMar>
            <w:vAlign w:val="bottom"/>
          </w:tcPr>
          <w:p w14:paraId="19503A01"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A02"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A03"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3A0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A05"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A06" w14:textId="77777777" w:rsidR="00BF3A3A" w:rsidRDefault="00A76802">
            <w:pPr>
              <w:jc w:val="right"/>
              <w:textAlignment w:val="bottom"/>
            </w:pPr>
            <w:r>
              <w:rPr>
                <w:rFonts w:ascii="sans-serif" w:eastAsia="sans-serif" w:hAnsi="sans-serif" w:cs="sans-serif"/>
                <w:color w:val="000000"/>
                <w:sz w:val="20"/>
                <w:szCs w:val="20"/>
              </w:rPr>
              <w:t>1.3 </w:t>
            </w:r>
          </w:p>
        </w:tc>
        <w:tc>
          <w:tcPr>
            <w:tcW w:w="0" w:type="auto"/>
            <w:shd w:val="clear" w:color="auto" w:fill="E2EFD9"/>
            <w:tcMar>
              <w:top w:w="40" w:type="dxa"/>
              <w:left w:w="0" w:type="dxa"/>
              <w:bottom w:w="40" w:type="dxa"/>
              <w:right w:w="20" w:type="dxa"/>
            </w:tcMar>
            <w:vAlign w:val="bottom"/>
          </w:tcPr>
          <w:p w14:paraId="19503A07" w14:textId="77777777" w:rsidR="00BF3A3A" w:rsidRDefault="00BF3A3A">
            <w:pPr>
              <w:jc w:val="right"/>
              <w:rPr>
                <w:rFonts w:ascii="宋体"/>
              </w:rPr>
            </w:pPr>
          </w:p>
        </w:tc>
      </w:tr>
      <w:tr w:rsidR="00BF3A3A" w14:paraId="19503A15" w14:textId="77777777">
        <w:tc>
          <w:tcPr>
            <w:tcW w:w="0" w:type="auto"/>
            <w:gridSpan w:val="3"/>
            <w:shd w:val="clear" w:color="auto" w:fill="FFFFFF"/>
            <w:tcMar>
              <w:top w:w="40" w:type="dxa"/>
              <w:left w:w="20" w:type="dxa"/>
              <w:bottom w:w="40" w:type="dxa"/>
              <w:right w:w="20" w:type="dxa"/>
            </w:tcMar>
            <w:vAlign w:val="bottom"/>
          </w:tcPr>
          <w:p w14:paraId="19503A09" w14:textId="77777777" w:rsidR="00BF3A3A" w:rsidRDefault="00A76802">
            <w:pPr>
              <w:textAlignment w:val="bottom"/>
            </w:pPr>
            <w:r>
              <w:rPr>
                <w:rFonts w:ascii="sans-serif" w:eastAsia="sans-serif" w:hAnsi="sans-serif" w:cs="sans-serif"/>
                <w:color w:val="000000"/>
                <w:sz w:val="20"/>
                <w:szCs w:val="20"/>
              </w:rPr>
              <w:t>Net income</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A0A" w14:textId="77777777" w:rsidR="00BF3A3A" w:rsidRDefault="00A76802">
            <w:pPr>
              <w:jc w:val="right"/>
              <w:textAlignment w:val="bottom"/>
            </w:pPr>
            <w:r>
              <w:rPr>
                <w:rFonts w:ascii="sans-serif" w:eastAsia="sans-serif" w:hAnsi="sans-serif" w:cs="sans-serif"/>
                <w:color w:val="000000"/>
                <w:sz w:val="20"/>
                <w:szCs w:val="20"/>
              </w:rPr>
              <w:t>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A0B"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19503A0C" w14:textId="77777777" w:rsidR="00BF3A3A" w:rsidRDefault="00BF3A3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A0D" w14:textId="77777777" w:rsidR="00BF3A3A" w:rsidRDefault="00A76802">
            <w:pPr>
              <w:jc w:val="right"/>
              <w:textAlignment w:val="bottom"/>
            </w:pPr>
            <w:r>
              <w:rPr>
                <w:rFonts w:ascii="sans-serif" w:eastAsia="sans-serif" w:hAnsi="sans-serif" w:cs="sans-serif"/>
                <w:color w:val="000000"/>
                <w:sz w:val="20"/>
                <w:szCs w:val="20"/>
              </w:rPr>
              <w:t>36.6 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A0E"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19503A0F" w14:textId="77777777" w:rsidR="00BF3A3A" w:rsidRDefault="00BF3A3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A10" w14:textId="77777777" w:rsidR="00BF3A3A" w:rsidRDefault="00A76802">
            <w:pPr>
              <w:jc w:val="right"/>
              <w:textAlignment w:val="bottom"/>
            </w:pPr>
            <w:r>
              <w:rPr>
                <w:rFonts w:ascii="sans-serif" w:eastAsia="sans-serif" w:hAnsi="sans-serif" w:cs="sans-serif"/>
                <w:color w:val="000000"/>
                <w:sz w:val="20"/>
                <w:szCs w:val="20"/>
              </w:rPr>
              <w:t>15.2 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A11"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19503A12" w14:textId="77777777" w:rsidR="00BF3A3A" w:rsidRDefault="00BF3A3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A13" w14:textId="77777777" w:rsidR="00BF3A3A" w:rsidRDefault="00A76802">
            <w:pPr>
              <w:jc w:val="right"/>
              <w:textAlignment w:val="bottom"/>
            </w:pPr>
            <w:r>
              <w:rPr>
                <w:rFonts w:ascii="sans-serif" w:eastAsia="sans-serif" w:hAnsi="sans-serif" w:cs="sans-serif"/>
                <w:color w:val="000000"/>
                <w:sz w:val="20"/>
                <w:szCs w:val="20"/>
              </w:rPr>
              <w:t>35.2 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A14" w14:textId="77777777" w:rsidR="00BF3A3A" w:rsidRDefault="00A76802">
            <w:pPr>
              <w:jc w:val="right"/>
              <w:textAlignment w:val="bottom"/>
            </w:pPr>
            <w:r>
              <w:rPr>
                <w:rFonts w:ascii="sans-serif" w:eastAsia="sans-serif" w:hAnsi="sans-serif" w:cs="sans-serif"/>
                <w:color w:val="000000"/>
                <w:sz w:val="20"/>
                <w:szCs w:val="20"/>
              </w:rPr>
              <w:t>%</w:t>
            </w:r>
          </w:p>
        </w:tc>
      </w:tr>
    </w:tbl>
    <w:p w14:paraId="19503A16" w14:textId="77777777" w:rsidR="00BF3A3A" w:rsidRDefault="00A76802">
      <w:pPr>
        <w:spacing w:before="240" w:after="60"/>
        <w:jc w:val="both"/>
      </w:pPr>
      <w:r>
        <w:rPr>
          <w:rFonts w:ascii="sans-serif" w:eastAsia="sans-serif" w:hAnsi="sans-serif" w:cs="sans-serif"/>
          <w:b/>
          <w:bCs/>
          <w:color w:val="76B900"/>
          <w:sz w:val="20"/>
          <w:szCs w:val="20"/>
        </w:rPr>
        <w:t>Revenue</w:t>
      </w:r>
    </w:p>
    <w:p w14:paraId="19503A17" w14:textId="77777777" w:rsidR="00BF3A3A" w:rsidRDefault="00A76802">
      <w:pPr>
        <w:spacing w:before="120" w:after="120"/>
        <w:jc w:val="both"/>
      </w:pPr>
      <w:r>
        <w:rPr>
          <w:rFonts w:ascii="sans-serif" w:eastAsia="sans-serif" w:hAnsi="sans-serif" w:cs="sans-serif"/>
          <w:b/>
          <w:bCs/>
          <w:color w:val="000000"/>
          <w:sz w:val="20"/>
          <w:szCs w:val="20"/>
        </w:rPr>
        <w:t>Revenue by Reportable Segments</w:t>
      </w:r>
    </w:p>
    <w:tbl>
      <w:tblPr>
        <w:tblW w:w="5000" w:type="pct"/>
        <w:tblCellMar>
          <w:top w:w="15" w:type="dxa"/>
          <w:left w:w="15" w:type="dxa"/>
          <w:bottom w:w="15" w:type="dxa"/>
          <w:right w:w="15" w:type="dxa"/>
        </w:tblCellMar>
        <w:tblLook w:val="04A0" w:firstRow="1" w:lastRow="0" w:firstColumn="1" w:lastColumn="0" w:noHBand="0" w:noVBand="1"/>
      </w:tblPr>
      <w:tblGrid>
        <w:gridCol w:w="63"/>
        <w:gridCol w:w="1118"/>
        <w:gridCol w:w="36"/>
        <w:gridCol w:w="122"/>
        <w:gridCol w:w="746"/>
        <w:gridCol w:w="36"/>
        <w:gridCol w:w="36"/>
        <w:gridCol w:w="36"/>
        <w:gridCol w:w="36"/>
        <w:gridCol w:w="122"/>
        <w:gridCol w:w="694"/>
        <w:gridCol w:w="36"/>
        <w:gridCol w:w="36"/>
        <w:gridCol w:w="36"/>
        <w:gridCol w:w="36"/>
        <w:gridCol w:w="122"/>
        <w:gridCol w:w="577"/>
        <w:gridCol w:w="36"/>
        <w:gridCol w:w="36"/>
        <w:gridCol w:w="36"/>
        <w:gridCol w:w="36"/>
        <w:gridCol w:w="75"/>
        <w:gridCol w:w="573"/>
        <w:gridCol w:w="163"/>
        <w:gridCol w:w="36"/>
        <w:gridCol w:w="36"/>
        <w:gridCol w:w="36"/>
        <w:gridCol w:w="122"/>
        <w:gridCol w:w="602"/>
        <w:gridCol w:w="36"/>
        <w:gridCol w:w="36"/>
        <w:gridCol w:w="36"/>
        <w:gridCol w:w="36"/>
        <w:gridCol w:w="122"/>
        <w:gridCol w:w="663"/>
        <w:gridCol w:w="36"/>
        <w:gridCol w:w="36"/>
        <w:gridCol w:w="36"/>
        <w:gridCol w:w="36"/>
        <w:gridCol w:w="122"/>
        <w:gridCol w:w="511"/>
        <w:gridCol w:w="36"/>
        <w:gridCol w:w="36"/>
        <w:gridCol w:w="36"/>
        <w:gridCol w:w="36"/>
        <w:gridCol w:w="75"/>
        <w:gridCol w:w="573"/>
        <w:gridCol w:w="163"/>
      </w:tblGrid>
      <w:tr w:rsidR="00BF3A3A" w14:paraId="19503A48" w14:textId="77777777">
        <w:tc>
          <w:tcPr>
            <w:tcW w:w="50" w:type="pct"/>
            <w:shd w:val="clear" w:color="auto" w:fill="auto"/>
            <w:vAlign w:val="bottom"/>
          </w:tcPr>
          <w:p w14:paraId="19503A18" w14:textId="77777777" w:rsidR="00BF3A3A" w:rsidRDefault="00BF3A3A">
            <w:pPr>
              <w:rPr>
                <w:rFonts w:ascii="宋体"/>
              </w:rPr>
            </w:pPr>
          </w:p>
        </w:tc>
        <w:tc>
          <w:tcPr>
            <w:tcW w:w="741" w:type="pct"/>
            <w:shd w:val="clear" w:color="auto" w:fill="auto"/>
            <w:vAlign w:val="bottom"/>
          </w:tcPr>
          <w:p w14:paraId="19503A19" w14:textId="77777777" w:rsidR="00BF3A3A" w:rsidRDefault="00BF3A3A">
            <w:pPr>
              <w:rPr>
                <w:rFonts w:ascii="宋体"/>
              </w:rPr>
            </w:pPr>
          </w:p>
        </w:tc>
        <w:tc>
          <w:tcPr>
            <w:tcW w:w="5" w:type="pct"/>
            <w:shd w:val="clear" w:color="auto" w:fill="auto"/>
            <w:vAlign w:val="bottom"/>
          </w:tcPr>
          <w:p w14:paraId="19503A1A" w14:textId="77777777" w:rsidR="00BF3A3A" w:rsidRDefault="00BF3A3A">
            <w:pPr>
              <w:rPr>
                <w:rFonts w:ascii="宋体"/>
              </w:rPr>
            </w:pPr>
          </w:p>
        </w:tc>
        <w:tc>
          <w:tcPr>
            <w:tcW w:w="50" w:type="pct"/>
            <w:shd w:val="clear" w:color="auto" w:fill="auto"/>
            <w:vAlign w:val="bottom"/>
          </w:tcPr>
          <w:p w14:paraId="19503A1B" w14:textId="77777777" w:rsidR="00BF3A3A" w:rsidRDefault="00BF3A3A">
            <w:pPr>
              <w:rPr>
                <w:rFonts w:ascii="宋体"/>
              </w:rPr>
            </w:pPr>
          </w:p>
        </w:tc>
        <w:tc>
          <w:tcPr>
            <w:tcW w:w="493" w:type="pct"/>
            <w:shd w:val="clear" w:color="auto" w:fill="auto"/>
            <w:vAlign w:val="bottom"/>
          </w:tcPr>
          <w:p w14:paraId="19503A1C" w14:textId="77777777" w:rsidR="00BF3A3A" w:rsidRDefault="00BF3A3A">
            <w:pPr>
              <w:rPr>
                <w:rFonts w:ascii="宋体"/>
              </w:rPr>
            </w:pPr>
          </w:p>
        </w:tc>
        <w:tc>
          <w:tcPr>
            <w:tcW w:w="5" w:type="pct"/>
            <w:shd w:val="clear" w:color="auto" w:fill="auto"/>
            <w:vAlign w:val="bottom"/>
          </w:tcPr>
          <w:p w14:paraId="19503A1D" w14:textId="77777777" w:rsidR="00BF3A3A" w:rsidRDefault="00BF3A3A">
            <w:pPr>
              <w:rPr>
                <w:rFonts w:ascii="宋体"/>
              </w:rPr>
            </w:pPr>
          </w:p>
        </w:tc>
        <w:tc>
          <w:tcPr>
            <w:tcW w:w="5" w:type="pct"/>
            <w:shd w:val="clear" w:color="auto" w:fill="auto"/>
            <w:vAlign w:val="bottom"/>
          </w:tcPr>
          <w:p w14:paraId="19503A1E" w14:textId="77777777" w:rsidR="00BF3A3A" w:rsidRDefault="00BF3A3A">
            <w:pPr>
              <w:rPr>
                <w:rFonts w:ascii="宋体"/>
              </w:rPr>
            </w:pPr>
          </w:p>
        </w:tc>
        <w:tc>
          <w:tcPr>
            <w:tcW w:w="26" w:type="pct"/>
            <w:shd w:val="clear" w:color="auto" w:fill="auto"/>
            <w:vAlign w:val="bottom"/>
          </w:tcPr>
          <w:p w14:paraId="19503A1F" w14:textId="77777777" w:rsidR="00BF3A3A" w:rsidRDefault="00BF3A3A">
            <w:pPr>
              <w:rPr>
                <w:rFonts w:ascii="宋体"/>
              </w:rPr>
            </w:pPr>
          </w:p>
        </w:tc>
        <w:tc>
          <w:tcPr>
            <w:tcW w:w="5" w:type="pct"/>
            <w:shd w:val="clear" w:color="auto" w:fill="auto"/>
            <w:vAlign w:val="bottom"/>
          </w:tcPr>
          <w:p w14:paraId="19503A20" w14:textId="77777777" w:rsidR="00BF3A3A" w:rsidRDefault="00BF3A3A">
            <w:pPr>
              <w:rPr>
                <w:rFonts w:ascii="宋体"/>
              </w:rPr>
            </w:pPr>
          </w:p>
        </w:tc>
        <w:tc>
          <w:tcPr>
            <w:tcW w:w="50" w:type="pct"/>
            <w:shd w:val="clear" w:color="auto" w:fill="auto"/>
            <w:vAlign w:val="bottom"/>
          </w:tcPr>
          <w:p w14:paraId="19503A21" w14:textId="77777777" w:rsidR="00BF3A3A" w:rsidRDefault="00BF3A3A">
            <w:pPr>
              <w:rPr>
                <w:rFonts w:ascii="宋体"/>
              </w:rPr>
            </w:pPr>
          </w:p>
        </w:tc>
        <w:tc>
          <w:tcPr>
            <w:tcW w:w="493" w:type="pct"/>
            <w:shd w:val="clear" w:color="auto" w:fill="auto"/>
            <w:vAlign w:val="bottom"/>
          </w:tcPr>
          <w:p w14:paraId="19503A22" w14:textId="77777777" w:rsidR="00BF3A3A" w:rsidRDefault="00BF3A3A">
            <w:pPr>
              <w:rPr>
                <w:rFonts w:ascii="宋体"/>
              </w:rPr>
            </w:pPr>
          </w:p>
        </w:tc>
        <w:tc>
          <w:tcPr>
            <w:tcW w:w="5" w:type="pct"/>
            <w:shd w:val="clear" w:color="auto" w:fill="auto"/>
            <w:vAlign w:val="bottom"/>
          </w:tcPr>
          <w:p w14:paraId="19503A23" w14:textId="77777777" w:rsidR="00BF3A3A" w:rsidRDefault="00BF3A3A">
            <w:pPr>
              <w:rPr>
                <w:rFonts w:ascii="宋体"/>
              </w:rPr>
            </w:pPr>
          </w:p>
        </w:tc>
        <w:tc>
          <w:tcPr>
            <w:tcW w:w="5" w:type="pct"/>
            <w:shd w:val="clear" w:color="auto" w:fill="auto"/>
            <w:vAlign w:val="bottom"/>
          </w:tcPr>
          <w:p w14:paraId="19503A24" w14:textId="77777777" w:rsidR="00BF3A3A" w:rsidRDefault="00BF3A3A">
            <w:pPr>
              <w:rPr>
                <w:rFonts w:ascii="宋体"/>
              </w:rPr>
            </w:pPr>
          </w:p>
        </w:tc>
        <w:tc>
          <w:tcPr>
            <w:tcW w:w="26" w:type="pct"/>
            <w:shd w:val="clear" w:color="auto" w:fill="auto"/>
            <w:vAlign w:val="bottom"/>
          </w:tcPr>
          <w:p w14:paraId="19503A25" w14:textId="77777777" w:rsidR="00BF3A3A" w:rsidRDefault="00BF3A3A">
            <w:pPr>
              <w:rPr>
                <w:rFonts w:ascii="宋体"/>
              </w:rPr>
            </w:pPr>
          </w:p>
        </w:tc>
        <w:tc>
          <w:tcPr>
            <w:tcW w:w="5" w:type="pct"/>
            <w:shd w:val="clear" w:color="auto" w:fill="auto"/>
            <w:vAlign w:val="bottom"/>
          </w:tcPr>
          <w:p w14:paraId="19503A26" w14:textId="77777777" w:rsidR="00BF3A3A" w:rsidRDefault="00BF3A3A">
            <w:pPr>
              <w:rPr>
                <w:rFonts w:ascii="宋体"/>
              </w:rPr>
            </w:pPr>
          </w:p>
        </w:tc>
        <w:tc>
          <w:tcPr>
            <w:tcW w:w="50" w:type="pct"/>
            <w:shd w:val="clear" w:color="auto" w:fill="auto"/>
            <w:vAlign w:val="bottom"/>
          </w:tcPr>
          <w:p w14:paraId="19503A27" w14:textId="77777777" w:rsidR="00BF3A3A" w:rsidRDefault="00BF3A3A">
            <w:pPr>
              <w:rPr>
                <w:rFonts w:ascii="宋体"/>
              </w:rPr>
            </w:pPr>
          </w:p>
        </w:tc>
        <w:tc>
          <w:tcPr>
            <w:tcW w:w="383" w:type="pct"/>
            <w:shd w:val="clear" w:color="auto" w:fill="auto"/>
            <w:vAlign w:val="bottom"/>
          </w:tcPr>
          <w:p w14:paraId="19503A28" w14:textId="77777777" w:rsidR="00BF3A3A" w:rsidRDefault="00BF3A3A">
            <w:pPr>
              <w:rPr>
                <w:rFonts w:ascii="宋体"/>
              </w:rPr>
            </w:pPr>
          </w:p>
        </w:tc>
        <w:tc>
          <w:tcPr>
            <w:tcW w:w="5" w:type="pct"/>
            <w:shd w:val="clear" w:color="auto" w:fill="auto"/>
            <w:vAlign w:val="bottom"/>
          </w:tcPr>
          <w:p w14:paraId="19503A29" w14:textId="77777777" w:rsidR="00BF3A3A" w:rsidRDefault="00BF3A3A">
            <w:pPr>
              <w:rPr>
                <w:rFonts w:ascii="宋体"/>
              </w:rPr>
            </w:pPr>
          </w:p>
        </w:tc>
        <w:tc>
          <w:tcPr>
            <w:tcW w:w="5" w:type="pct"/>
            <w:shd w:val="clear" w:color="auto" w:fill="auto"/>
            <w:vAlign w:val="bottom"/>
          </w:tcPr>
          <w:p w14:paraId="19503A2A" w14:textId="77777777" w:rsidR="00BF3A3A" w:rsidRDefault="00BF3A3A">
            <w:pPr>
              <w:rPr>
                <w:rFonts w:ascii="宋体"/>
              </w:rPr>
            </w:pPr>
          </w:p>
        </w:tc>
        <w:tc>
          <w:tcPr>
            <w:tcW w:w="26" w:type="pct"/>
            <w:shd w:val="clear" w:color="auto" w:fill="auto"/>
            <w:vAlign w:val="bottom"/>
          </w:tcPr>
          <w:p w14:paraId="19503A2B" w14:textId="77777777" w:rsidR="00BF3A3A" w:rsidRDefault="00BF3A3A">
            <w:pPr>
              <w:rPr>
                <w:rFonts w:ascii="宋体"/>
              </w:rPr>
            </w:pPr>
          </w:p>
        </w:tc>
        <w:tc>
          <w:tcPr>
            <w:tcW w:w="5" w:type="pct"/>
            <w:shd w:val="clear" w:color="auto" w:fill="auto"/>
            <w:vAlign w:val="bottom"/>
          </w:tcPr>
          <w:p w14:paraId="19503A2C" w14:textId="77777777" w:rsidR="00BF3A3A" w:rsidRDefault="00BF3A3A">
            <w:pPr>
              <w:rPr>
                <w:rFonts w:ascii="宋体"/>
              </w:rPr>
            </w:pPr>
          </w:p>
        </w:tc>
        <w:tc>
          <w:tcPr>
            <w:tcW w:w="50" w:type="pct"/>
            <w:shd w:val="clear" w:color="auto" w:fill="auto"/>
            <w:vAlign w:val="bottom"/>
          </w:tcPr>
          <w:p w14:paraId="19503A2D" w14:textId="77777777" w:rsidR="00BF3A3A" w:rsidRDefault="00BF3A3A">
            <w:pPr>
              <w:rPr>
                <w:rFonts w:ascii="宋体"/>
              </w:rPr>
            </w:pPr>
          </w:p>
        </w:tc>
        <w:tc>
          <w:tcPr>
            <w:tcW w:w="383" w:type="pct"/>
            <w:shd w:val="clear" w:color="auto" w:fill="auto"/>
            <w:vAlign w:val="bottom"/>
          </w:tcPr>
          <w:p w14:paraId="19503A2E" w14:textId="77777777" w:rsidR="00BF3A3A" w:rsidRDefault="00BF3A3A">
            <w:pPr>
              <w:rPr>
                <w:rFonts w:ascii="宋体"/>
              </w:rPr>
            </w:pPr>
          </w:p>
        </w:tc>
        <w:tc>
          <w:tcPr>
            <w:tcW w:w="5" w:type="pct"/>
            <w:shd w:val="clear" w:color="auto" w:fill="auto"/>
            <w:vAlign w:val="bottom"/>
          </w:tcPr>
          <w:p w14:paraId="19503A2F" w14:textId="77777777" w:rsidR="00BF3A3A" w:rsidRDefault="00BF3A3A">
            <w:pPr>
              <w:rPr>
                <w:rFonts w:ascii="宋体"/>
              </w:rPr>
            </w:pPr>
          </w:p>
        </w:tc>
        <w:tc>
          <w:tcPr>
            <w:tcW w:w="5" w:type="pct"/>
            <w:shd w:val="clear" w:color="auto" w:fill="auto"/>
            <w:vAlign w:val="bottom"/>
          </w:tcPr>
          <w:p w14:paraId="19503A30" w14:textId="77777777" w:rsidR="00BF3A3A" w:rsidRDefault="00BF3A3A">
            <w:pPr>
              <w:rPr>
                <w:rFonts w:ascii="宋体"/>
              </w:rPr>
            </w:pPr>
          </w:p>
        </w:tc>
        <w:tc>
          <w:tcPr>
            <w:tcW w:w="26" w:type="pct"/>
            <w:shd w:val="clear" w:color="auto" w:fill="auto"/>
            <w:vAlign w:val="bottom"/>
          </w:tcPr>
          <w:p w14:paraId="19503A31" w14:textId="77777777" w:rsidR="00BF3A3A" w:rsidRDefault="00BF3A3A">
            <w:pPr>
              <w:rPr>
                <w:rFonts w:ascii="宋体"/>
              </w:rPr>
            </w:pPr>
          </w:p>
        </w:tc>
        <w:tc>
          <w:tcPr>
            <w:tcW w:w="5" w:type="pct"/>
            <w:shd w:val="clear" w:color="auto" w:fill="auto"/>
            <w:vAlign w:val="bottom"/>
          </w:tcPr>
          <w:p w14:paraId="19503A32" w14:textId="77777777" w:rsidR="00BF3A3A" w:rsidRDefault="00BF3A3A">
            <w:pPr>
              <w:rPr>
                <w:rFonts w:ascii="宋体"/>
              </w:rPr>
            </w:pPr>
          </w:p>
        </w:tc>
        <w:tc>
          <w:tcPr>
            <w:tcW w:w="50" w:type="pct"/>
            <w:shd w:val="clear" w:color="auto" w:fill="auto"/>
            <w:vAlign w:val="bottom"/>
          </w:tcPr>
          <w:p w14:paraId="19503A33" w14:textId="77777777" w:rsidR="00BF3A3A" w:rsidRDefault="00BF3A3A">
            <w:pPr>
              <w:rPr>
                <w:rFonts w:ascii="宋体"/>
              </w:rPr>
            </w:pPr>
          </w:p>
        </w:tc>
        <w:tc>
          <w:tcPr>
            <w:tcW w:w="493" w:type="pct"/>
            <w:shd w:val="clear" w:color="auto" w:fill="auto"/>
            <w:vAlign w:val="bottom"/>
          </w:tcPr>
          <w:p w14:paraId="19503A34" w14:textId="77777777" w:rsidR="00BF3A3A" w:rsidRDefault="00BF3A3A">
            <w:pPr>
              <w:rPr>
                <w:rFonts w:ascii="宋体"/>
              </w:rPr>
            </w:pPr>
          </w:p>
        </w:tc>
        <w:tc>
          <w:tcPr>
            <w:tcW w:w="5" w:type="pct"/>
            <w:shd w:val="clear" w:color="auto" w:fill="auto"/>
            <w:vAlign w:val="bottom"/>
          </w:tcPr>
          <w:p w14:paraId="19503A35" w14:textId="77777777" w:rsidR="00BF3A3A" w:rsidRDefault="00BF3A3A">
            <w:pPr>
              <w:rPr>
                <w:rFonts w:ascii="宋体"/>
              </w:rPr>
            </w:pPr>
          </w:p>
        </w:tc>
        <w:tc>
          <w:tcPr>
            <w:tcW w:w="5" w:type="pct"/>
            <w:shd w:val="clear" w:color="auto" w:fill="auto"/>
            <w:vAlign w:val="bottom"/>
          </w:tcPr>
          <w:p w14:paraId="19503A36" w14:textId="77777777" w:rsidR="00BF3A3A" w:rsidRDefault="00BF3A3A">
            <w:pPr>
              <w:rPr>
                <w:rFonts w:ascii="宋体"/>
              </w:rPr>
            </w:pPr>
          </w:p>
        </w:tc>
        <w:tc>
          <w:tcPr>
            <w:tcW w:w="26" w:type="pct"/>
            <w:shd w:val="clear" w:color="auto" w:fill="auto"/>
            <w:vAlign w:val="bottom"/>
          </w:tcPr>
          <w:p w14:paraId="19503A37" w14:textId="77777777" w:rsidR="00BF3A3A" w:rsidRDefault="00BF3A3A">
            <w:pPr>
              <w:rPr>
                <w:rFonts w:ascii="宋体"/>
              </w:rPr>
            </w:pPr>
          </w:p>
        </w:tc>
        <w:tc>
          <w:tcPr>
            <w:tcW w:w="5" w:type="pct"/>
            <w:shd w:val="clear" w:color="auto" w:fill="auto"/>
            <w:vAlign w:val="bottom"/>
          </w:tcPr>
          <w:p w14:paraId="19503A38" w14:textId="77777777" w:rsidR="00BF3A3A" w:rsidRDefault="00BF3A3A">
            <w:pPr>
              <w:rPr>
                <w:rFonts w:ascii="宋体"/>
              </w:rPr>
            </w:pPr>
          </w:p>
        </w:tc>
        <w:tc>
          <w:tcPr>
            <w:tcW w:w="50" w:type="pct"/>
            <w:shd w:val="clear" w:color="auto" w:fill="auto"/>
            <w:vAlign w:val="bottom"/>
          </w:tcPr>
          <w:p w14:paraId="19503A39" w14:textId="77777777" w:rsidR="00BF3A3A" w:rsidRDefault="00BF3A3A">
            <w:pPr>
              <w:rPr>
                <w:rFonts w:ascii="宋体"/>
              </w:rPr>
            </w:pPr>
          </w:p>
        </w:tc>
        <w:tc>
          <w:tcPr>
            <w:tcW w:w="493" w:type="pct"/>
            <w:shd w:val="clear" w:color="auto" w:fill="auto"/>
            <w:vAlign w:val="bottom"/>
          </w:tcPr>
          <w:p w14:paraId="19503A3A" w14:textId="77777777" w:rsidR="00BF3A3A" w:rsidRDefault="00BF3A3A">
            <w:pPr>
              <w:rPr>
                <w:rFonts w:ascii="宋体"/>
              </w:rPr>
            </w:pPr>
          </w:p>
        </w:tc>
        <w:tc>
          <w:tcPr>
            <w:tcW w:w="5" w:type="pct"/>
            <w:shd w:val="clear" w:color="auto" w:fill="auto"/>
            <w:vAlign w:val="bottom"/>
          </w:tcPr>
          <w:p w14:paraId="19503A3B" w14:textId="77777777" w:rsidR="00BF3A3A" w:rsidRDefault="00BF3A3A">
            <w:pPr>
              <w:rPr>
                <w:rFonts w:ascii="宋体"/>
              </w:rPr>
            </w:pPr>
          </w:p>
        </w:tc>
        <w:tc>
          <w:tcPr>
            <w:tcW w:w="5" w:type="pct"/>
            <w:shd w:val="clear" w:color="auto" w:fill="auto"/>
            <w:vAlign w:val="bottom"/>
          </w:tcPr>
          <w:p w14:paraId="19503A3C" w14:textId="77777777" w:rsidR="00BF3A3A" w:rsidRDefault="00BF3A3A">
            <w:pPr>
              <w:rPr>
                <w:rFonts w:ascii="宋体"/>
              </w:rPr>
            </w:pPr>
          </w:p>
        </w:tc>
        <w:tc>
          <w:tcPr>
            <w:tcW w:w="26" w:type="pct"/>
            <w:shd w:val="clear" w:color="auto" w:fill="auto"/>
            <w:vAlign w:val="bottom"/>
          </w:tcPr>
          <w:p w14:paraId="19503A3D" w14:textId="77777777" w:rsidR="00BF3A3A" w:rsidRDefault="00BF3A3A">
            <w:pPr>
              <w:rPr>
                <w:rFonts w:ascii="宋体"/>
              </w:rPr>
            </w:pPr>
          </w:p>
        </w:tc>
        <w:tc>
          <w:tcPr>
            <w:tcW w:w="5" w:type="pct"/>
            <w:shd w:val="clear" w:color="auto" w:fill="auto"/>
            <w:vAlign w:val="bottom"/>
          </w:tcPr>
          <w:p w14:paraId="19503A3E" w14:textId="77777777" w:rsidR="00BF3A3A" w:rsidRDefault="00BF3A3A">
            <w:pPr>
              <w:rPr>
                <w:rFonts w:ascii="宋体"/>
              </w:rPr>
            </w:pPr>
          </w:p>
        </w:tc>
        <w:tc>
          <w:tcPr>
            <w:tcW w:w="50" w:type="pct"/>
            <w:shd w:val="clear" w:color="auto" w:fill="auto"/>
            <w:vAlign w:val="bottom"/>
          </w:tcPr>
          <w:p w14:paraId="19503A3F" w14:textId="77777777" w:rsidR="00BF3A3A" w:rsidRDefault="00BF3A3A">
            <w:pPr>
              <w:rPr>
                <w:rFonts w:ascii="宋体"/>
              </w:rPr>
            </w:pPr>
          </w:p>
        </w:tc>
        <w:tc>
          <w:tcPr>
            <w:tcW w:w="383" w:type="pct"/>
            <w:shd w:val="clear" w:color="auto" w:fill="auto"/>
            <w:vAlign w:val="bottom"/>
          </w:tcPr>
          <w:p w14:paraId="19503A40" w14:textId="77777777" w:rsidR="00BF3A3A" w:rsidRDefault="00BF3A3A">
            <w:pPr>
              <w:rPr>
                <w:rFonts w:ascii="宋体"/>
              </w:rPr>
            </w:pPr>
          </w:p>
        </w:tc>
        <w:tc>
          <w:tcPr>
            <w:tcW w:w="5" w:type="pct"/>
            <w:shd w:val="clear" w:color="auto" w:fill="auto"/>
            <w:vAlign w:val="bottom"/>
          </w:tcPr>
          <w:p w14:paraId="19503A41" w14:textId="77777777" w:rsidR="00BF3A3A" w:rsidRDefault="00BF3A3A">
            <w:pPr>
              <w:rPr>
                <w:rFonts w:ascii="宋体"/>
              </w:rPr>
            </w:pPr>
          </w:p>
        </w:tc>
        <w:tc>
          <w:tcPr>
            <w:tcW w:w="5" w:type="pct"/>
            <w:shd w:val="clear" w:color="auto" w:fill="auto"/>
            <w:vAlign w:val="bottom"/>
          </w:tcPr>
          <w:p w14:paraId="19503A42" w14:textId="77777777" w:rsidR="00BF3A3A" w:rsidRDefault="00BF3A3A">
            <w:pPr>
              <w:rPr>
                <w:rFonts w:ascii="宋体"/>
              </w:rPr>
            </w:pPr>
          </w:p>
        </w:tc>
        <w:tc>
          <w:tcPr>
            <w:tcW w:w="26" w:type="pct"/>
            <w:shd w:val="clear" w:color="auto" w:fill="auto"/>
            <w:vAlign w:val="bottom"/>
          </w:tcPr>
          <w:p w14:paraId="19503A43" w14:textId="77777777" w:rsidR="00BF3A3A" w:rsidRDefault="00BF3A3A">
            <w:pPr>
              <w:rPr>
                <w:rFonts w:ascii="宋体"/>
              </w:rPr>
            </w:pPr>
          </w:p>
        </w:tc>
        <w:tc>
          <w:tcPr>
            <w:tcW w:w="5" w:type="pct"/>
            <w:shd w:val="clear" w:color="auto" w:fill="auto"/>
            <w:vAlign w:val="bottom"/>
          </w:tcPr>
          <w:p w14:paraId="19503A44" w14:textId="77777777" w:rsidR="00BF3A3A" w:rsidRDefault="00BF3A3A">
            <w:pPr>
              <w:rPr>
                <w:rFonts w:ascii="宋体"/>
              </w:rPr>
            </w:pPr>
          </w:p>
        </w:tc>
        <w:tc>
          <w:tcPr>
            <w:tcW w:w="50" w:type="pct"/>
            <w:shd w:val="clear" w:color="auto" w:fill="auto"/>
            <w:vAlign w:val="bottom"/>
          </w:tcPr>
          <w:p w14:paraId="19503A45" w14:textId="77777777" w:rsidR="00BF3A3A" w:rsidRDefault="00BF3A3A">
            <w:pPr>
              <w:rPr>
                <w:rFonts w:ascii="宋体"/>
              </w:rPr>
            </w:pPr>
          </w:p>
        </w:tc>
        <w:tc>
          <w:tcPr>
            <w:tcW w:w="384" w:type="pct"/>
            <w:shd w:val="clear" w:color="auto" w:fill="auto"/>
            <w:vAlign w:val="bottom"/>
          </w:tcPr>
          <w:p w14:paraId="19503A46" w14:textId="77777777" w:rsidR="00BF3A3A" w:rsidRDefault="00BF3A3A">
            <w:pPr>
              <w:rPr>
                <w:rFonts w:ascii="宋体"/>
              </w:rPr>
            </w:pPr>
          </w:p>
        </w:tc>
        <w:tc>
          <w:tcPr>
            <w:tcW w:w="5" w:type="pct"/>
            <w:shd w:val="clear" w:color="auto" w:fill="auto"/>
            <w:vAlign w:val="bottom"/>
          </w:tcPr>
          <w:p w14:paraId="19503A47" w14:textId="77777777" w:rsidR="00BF3A3A" w:rsidRDefault="00BF3A3A">
            <w:pPr>
              <w:rPr>
                <w:rFonts w:ascii="宋体"/>
              </w:rPr>
            </w:pPr>
          </w:p>
        </w:tc>
      </w:tr>
      <w:tr w:rsidR="00BF3A3A" w14:paraId="19503A4D" w14:textId="77777777">
        <w:tc>
          <w:tcPr>
            <w:tcW w:w="0" w:type="auto"/>
            <w:gridSpan w:val="3"/>
            <w:shd w:val="clear" w:color="auto" w:fill="auto"/>
            <w:tcMar>
              <w:top w:w="0" w:type="dxa"/>
              <w:left w:w="20" w:type="dxa"/>
              <w:bottom w:w="0" w:type="dxa"/>
              <w:right w:w="20" w:type="dxa"/>
            </w:tcMar>
            <w:vAlign w:val="bottom"/>
          </w:tcPr>
          <w:p w14:paraId="19503A49" w14:textId="77777777" w:rsidR="00BF3A3A" w:rsidRDefault="00BF3A3A">
            <w:pPr>
              <w:rPr>
                <w:rFonts w:ascii="宋体"/>
              </w:rPr>
            </w:pPr>
          </w:p>
        </w:tc>
        <w:tc>
          <w:tcPr>
            <w:tcW w:w="0" w:type="auto"/>
            <w:gridSpan w:val="21"/>
            <w:shd w:val="clear" w:color="auto" w:fill="auto"/>
            <w:tcMar>
              <w:top w:w="40" w:type="dxa"/>
              <w:left w:w="20" w:type="dxa"/>
              <w:bottom w:w="40" w:type="dxa"/>
              <w:right w:w="20" w:type="dxa"/>
            </w:tcMar>
            <w:vAlign w:val="bottom"/>
          </w:tcPr>
          <w:p w14:paraId="19503A4A" w14:textId="77777777" w:rsidR="00BF3A3A" w:rsidRDefault="00A76802">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19503A4B" w14:textId="77777777" w:rsidR="00BF3A3A" w:rsidRDefault="00BF3A3A">
            <w:pPr>
              <w:rPr>
                <w:rFonts w:ascii="宋体"/>
              </w:rPr>
            </w:pPr>
          </w:p>
        </w:tc>
        <w:tc>
          <w:tcPr>
            <w:tcW w:w="0" w:type="auto"/>
            <w:gridSpan w:val="21"/>
            <w:shd w:val="clear" w:color="auto" w:fill="auto"/>
            <w:tcMar>
              <w:top w:w="40" w:type="dxa"/>
              <w:left w:w="20" w:type="dxa"/>
              <w:bottom w:w="40" w:type="dxa"/>
              <w:right w:w="20" w:type="dxa"/>
            </w:tcMar>
            <w:vAlign w:val="bottom"/>
          </w:tcPr>
          <w:p w14:paraId="19503A4C" w14:textId="77777777" w:rsidR="00BF3A3A" w:rsidRDefault="00A76802">
            <w:pPr>
              <w:jc w:val="center"/>
              <w:textAlignment w:val="bottom"/>
            </w:pPr>
            <w:r>
              <w:rPr>
                <w:rFonts w:ascii="sans-serif" w:eastAsia="sans-serif" w:hAnsi="sans-serif" w:cs="sans-serif"/>
                <w:b/>
                <w:bCs/>
                <w:color w:val="000000"/>
                <w:sz w:val="20"/>
                <w:szCs w:val="20"/>
              </w:rPr>
              <w:t>Six Months Ended</w:t>
            </w:r>
          </w:p>
        </w:tc>
      </w:tr>
      <w:tr w:rsidR="00BF3A3A" w14:paraId="19503A5E" w14:textId="77777777">
        <w:tc>
          <w:tcPr>
            <w:tcW w:w="0" w:type="auto"/>
            <w:gridSpan w:val="3"/>
            <w:shd w:val="clear" w:color="auto" w:fill="auto"/>
            <w:tcMar>
              <w:top w:w="40" w:type="dxa"/>
              <w:left w:w="20" w:type="dxa"/>
              <w:bottom w:w="40" w:type="dxa"/>
              <w:right w:w="20" w:type="dxa"/>
            </w:tcMar>
            <w:vAlign w:val="center"/>
          </w:tcPr>
          <w:p w14:paraId="19503A4E" w14:textId="77777777" w:rsidR="00BF3A3A" w:rsidRDefault="00A76802">
            <w:pPr>
              <w:textAlignment w:val="center"/>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A4F" w14:textId="77777777" w:rsidR="00BF3A3A" w:rsidRDefault="00A76802">
            <w:pPr>
              <w:jc w:val="center"/>
              <w:textAlignment w:val="center"/>
            </w:pPr>
            <w:r>
              <w:rPr>
                <w:rFonts w:ascii="sans-serif" w:eastAsia="sans-serif" w:hAnsi="sans-serif" w:cs="sans-serif"/>
                <w:b/>
                <w:bCs/>
                <w:color w:val="000000"/>
                <w:sz w:val="20"/>
                <w:szCs w:val="20"/>
              </w:rPr>
              <w:t>July 31,</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A50"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A51" w14:textId="77777777" w:rsidR="00BF3A3A" w:rsidRDefault="00A76802">
            <w:pPr>
              <w:jc w:val="center"/>
              <w:textAlignment w:val="center"/>
            </w:pPr>
            <w:r>
              <w:rPr>
                <w:rFonts w:ascii="sans-serif" w:eastAsia="sans-serif" w:hAnsi="sans-serif" w:cs="sans-serif"/>
                <w:b/>
                <w:bCs/>
                <w:color w:val="000000"/>
                <w:sz w:val="20"/>
                <w:szCs w:val="20"/>
              </w:rPr>
              <w:t>August 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A52"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A53" w14:textId="77777777" w:rsidR="00BF3A3A" w:rsidRDefault="00A76802">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A54"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A55" w14:textId="77777777" w:rsidR="00BF3A3A" w:rsidRDefault="00A76802">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shd w:val="clear" w:color="auto" w:fill="auto"/>
            <w:tcMar>
              <w:top w:w="0" w:type="dxa"/>
              <w:left w:w="20" w:type="dxa"/>
              <w:bottom w:w="0" w:type="dxa"/>
              <w:right w:w="20" w:type="dxa"/>
            </w:tcMar>
            <w:vAlign w:val="bottom"/>
          </w:tcPr>
          <w:p w14:paraId="19503A56"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A57" w14:textId="77777777" w:rsidR="00BF3A3A" w:rsidRDefault="00A76802">
            <w:pPr>
              <w:jc w:val="center"/>
              <w:textAlignment w:val="center"/>
            </w:pPr>
            <w:r>
              <w:rPr>
                <w:rFonts w:ascii="sans-serif" w:eastAsia="sans-serif" w:hAnsi="sans-serif" w:cs="sans-serif"/>
                <w:b/>
                <w:bCs/>
                <w:color w:val="000000"/>
                <w:sz w:val="20"/>
                <w:szCs w:val="20"/>
              </w:rPr>
              <w:t>July 31,</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A58"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A59" w14:textId="77777777" w:rsidR="00BF3A3A" w:rsidRDefault="00A76802">
            <w:pPr>
              <w:jc w:val="center"/>
              <w:textAlignment w:val="center"/>
            </w:pPr>
            <w:r>
              <w:rPr>
                <w:rFonts w:ascii="sans-serif" w:eastAsia="sans-serif" w:hAnsi="sans-serif" w:cs="sans-serif"/>
                <w:b/>
                <w:bCs/>
                <w:color w:val="000000"/>
                <w:sz w:val="20"/>
                <w:szCs w:val="20"/>
              </w:rPr>
              <w:t>August 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A5A"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A5B" w14:textId="77777777" w:rsidR="00BF3A3A" w:rsidRDefault="00A76802">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A5C"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A5D" w14:textId="77777777" w:rsidR="00BF3A3A" w:rsidRDefault="00A76802">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r>
      <w:tr w:rsidR="00BF3A3A" w14:paraId="19503A6F" w14:textId="77777777">
        <w:trPr>
          <w:trHeight w:val="60"/>
        </w:trPr>
        <w:tc>
          <w:tcPr>
            <w:tcW w:w="0" w:type="auto"/>
            <w:gridSpan w:val="3"/>
            <w:shd w:val="clear" w:color="auto" w:fill="auto"/>
            <w:tcMar>
              <w:top w:w="0" w:type="dxa"/>
              <w:left w:w="20" w:type="dxa"/>
              <w:bottom w:w="0" w:type="dxa"/>
              <w:right w:w="20" w:type="dxa"/>
            </w:tcMar>
            <w:vAlign w:val="bottom"/>
          </w:tcPr>
          <w:p w14:paraId="19503A5F"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A60"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A61"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A62"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A63"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A64"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A65"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A66"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A67"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A68"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A69"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A6A"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A6B"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A6C"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A6D"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A6E" w14:textId="77777777" w:rsidR="00BF3A3A" w:rsidRDefault="00BF3A3A">
            <w:pPr>
              <w:rPr>
                <w:rFonts w:ascii="宋体"/>
              </w:rPr>
            </w:pPr>
          </w:p>
        </w:tc>
      </w:tr>
      <w:tr w:rsidR="00BF3A3A" w14:paraId="19503A72" w14:textId="77777777">
        <w:tc>
          <w:tcPr>
            <w:tcW w:w="0" w:type="auto"/>
            <w:gridSpan w:val="3"/>
            <w:shd w:val="clear" w:color="auto" w:fill="auto"/>
            <w:tcMar>
              <w:top w:w="40" w:type="dxa"/>
              <w:left w:w="20" w:type="dxa"/>
              <w:bottom w:w="40" w:type="dxa"/>
              <w:right w:w="20" w:type="dxa"/>
            </w:tcMar>
            <w:vAlign w:val="bottom"/>
          </w:tcPr>
          <w:p w14:paraId="19503A70" w14:textId="77777777" w:rsidR="00BF3A3A" w:rsidRDefault="00A76802">
            <w:pPr>
              <w:textAlignment w:val="bottom"/>
            </w:pPr>
            <w:r>
              <w:rPr>
                <w:rFonts w:ascii="sans-serif" w:eastAsia="sans-serif" w:hAnsi="sans-serif" w:cs="sans-serif"/>
                <w:color w:val="000000"/>
                <w:sz w:val="20"/>
                <w:szCs w:val="20"/>
              </w:rPr>
              <w:t> </w:t>
            </w:r>
          </w:p>
        </w:tc>
        <w:tc>
          <w:tcPr>
            <w:tcW w:w="0" w:type="auto"/>
            <w:gridSpan w:val="45"/>
            <w:shd w:val="clear" w:color="auto" w:fill="auto"/>
            <w:tcMar>
              <w:top w:w="40" w:type="dxa"/>
              <w:left w:w="20" w:type="dxa"/>
              <w:bottom w:w="40" w:type="dxa"/>
              <w:right w:w="20" w:type="dxa"/>
            </w:tcMar>
            <w:vAlign w:val="bottom"/>
          </w:tcPr>
          <w:p w14:paraId="19503A71" w14:textId="77777777" w:rsidR="00BF3A3A" w:rsidRDefault="00A76802">
            <w:pPr>
              <w:jc w:val="center"/>
              <w:textAlignment w:val="bottom"/>
            </w:pPr>
            <w:r>
              <w:rPr>
                <w:rFonts w:ascii="sans-serif" w:eastAsia="sans-serif" w:hAnsi="sans-serif" w:cs="sans-serif"/>
                <w:i/>
                <w:iCs/>
                <w:color w:val="000000"/>
                <w:sz w:val="20"/>
                <w:szCs w:val="20"/>
              </w:rPr>
              <w:t>($ in millions)</w:t>
            </w:r>
          </w:p>
        </w:tc>
      </w:tr>
      <w:tr w:rsidR="00A76802" w14:paraId="19503A91" w14:textId="77777777">
        <w:tc>
          <w:tcPr>
            <w:tcW w:w="0" w:type="auto"/>
            <w:gridSpan w:val="3"/>
            <w:shd w:val="clear" w:color="auto" w:fill="E2EFD9"/>
            <w:tcMar>
              <w:top w:w="40" w:type="dxa"/>
              <w:left w:w="20" w:type="dxa"/>
              <w:bottom w:w="40" w:type="dxa"/>
              <w:right w:w="20" w:type="dxa"/>
            </w:tcMar>
            <w:vAlign w:val="bottom"/>
          </w:tcPr>
          <w:p w14:paraId="19503A73" w14:textId="77777777" w:rsidR="00BF3A3A" w:rsidRDefault="00A76802">
            <w:pPr>
              <w:textAlignment w:val="bottom"/>
            </w:pPr>
            <w:r>
              <w:rPr>
                <w:rFonts w:ascii="sans-serif" w:eastAsia="sans-serif" w:hAnsi="sans-serif" w:cs="sans-serif"/>
                <w:color w:val="000000"/>
                <w:sz w:val="20"/>
                <w:szCs w:val="20"/>
              </w:rPr>
              <w:t>Graphics</w:t>
            </w:r>
          </w:p>
        </w:tc>
        <w:tc>
          <w:tcPr>
            <w:tcW w:w="0" w:type="auto"/>
            <w:shd w:val="clear" w:color="auto" w:fill="E2EFD9"/>
            <w:tcMar>
              <w:top w:w="40" w:type="dxa"/>
              <w:left w:w="20" w:type="dxa"/>
              <w:bottom w:w="40" w:type="dxa"/>
              <w:right w:w="0" w:type="dxa"/>
            </w:tcMar>
            <w:vAlign w:val="bottom"/>
          </w:tcPr>
          <w:p w14:paraId="19503A74"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A75" w14:textId="77777777" w:rsidR="00BF3A3A" w:rsidRDefault="00A76802">
            <w:pPr>
              <w:jc w:val="right"/>
              <w:textAlignment w:val="bottom"/>
            </w:pPr>
            <w:r>
              <w:rPr>
                <w:rFonts w:ascii="sans-serif" w:eastAsia="sans-serif" w:hAnsi="sans-serif" w:cs="sans-serif"/>
                <w:color w:val="000000"/>
                <w:sz w:val="20"/>
                <w:szCs w:val="20"/>
              </w:rPr>
              <w:t>2,797 </w:t>
            </w:r>
          </w:p>
        </w:tc>
        <w:tc>
          <w:tcPr>
            <w:tcW w:w="0" w:type="auto"/>
            <w:shd w:val="clear" w:color="auto" w:fill="E2EFD9"/>
            <w:tcMar>
              <w:top w:w="40" w:type="dxa"/>
              <w:left w:w="0" w:type="dxa"/>
              <w:bottom w:w="40" w:type="dxa"/>
              <w:right w:w="20" w:type="dxa"/>
            </w:tcMar>
            <w:vAlign w:val="bottom"/>
          </w:tcPr>
          <w:p w14:paraId="19503A7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A77"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A78"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A79" w14:textId="77777777" w:rsidR="00BF3A3A" w:rsidRDefault="00A76802">
            <w:pPr>
              <w:jc w:val="right"/>
              <w:textAlignment w:val="bottom"/>
            </w:pPr>
            <w:r>
              <w:rPr>
                <w:rFonts w:ascii="sans-serif" w:eastAsia="sans-serif" w:hAnsi="sans-serif" w:cs="sans-serif"/>
                <w:color w:val="000000"/>
                <w:sz w:val="20"/>
                <w:szCs w:val="20"/>
              </w:rPr>
              <w:t>3,907 </w:t>
            </w:r>
          </w:p>
        </w:tc>
        <w:tc>
          <w:tcPr>
            <w:tcW w:w="0" w:type="auto"/>
            <w:shd w:val="clear" w:color="auto" w:fill="E2EFD9"/>
            <w:tcMar>
              <w:top w:w="40" w:type="dxa"/>
              <w:left w:w="0" w:type="dxa"/>
              <w:bottom w:w="40" w:type="dxa"/>
              <w:right w:w="20" w:type="dxa"/>
            </w:tcMar>
            <w:vAlign w:val="bottom"/>
          </w:tcPr>
          <w:p w14:paraId="19503A7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A7B"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A7C"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A7D" w14:textId="77777777" w:rsidR="00BF3A3A" w:rsidRDefault="00A76802">
            <w:pPr>
              <w:jc w:val="right"/>
              <w:textAlignment w:val="bottom"/>
            </w:pPr>
            <w:r>
              <w:rPr>
                <w:rFonts w:ascii="sans-serif" w:eastAsia="sans-serif" w:hAnsi="sans-serif" w:cs="sans-serif"/>
                <w:color w:val="000000"/>
                <w:sz w:val="20"/>
                <w:szCs w:val="20"/>
              </w:rPr>
              <w:t>(1,110)</w:t>
            </w:r>
          </w:p>
        </w:tc>
        <w:tc>
          <w:tcPr>
            <w:tcW w:w="0" w:type="auto"/>
            <w:shd w:val="clear" w:color="auto" w:fill="E2EFD9"/>
            <w:tcMar>
              <w:top w:w="40" w:type="dxa"/>
              <w:left w:w="0" w:type="dxa"/>
              <w:bottom w:w="40" w:type="dxa"/>
              <w:right w:w="20" w:type="dxa"/>
            </w:tcMar>
            <w:vAlign w:val="bottom"/>
          </w:tcPr>
          <w:p w14:paraId="19503A7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A7F"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A80" w14:textId="77777777" w:rsidR="00BF3A3A" w:rsidRDefault="00A76802">
            <w:pPr>
              <w:jc w:val="right"/>
              <w:textAlignment w:val="bottom"/>
            </w:pPr>
            <w:r>
              <w:rPr>
                <w:rFonts w:ascii="sans-serif" w:eastAsia="sans-serif" w:hAnsi="sans-serif" w:cs="sans-serif"/>
                <w:color w:val="000000"/>
                <w:sz w:val="20"/>
                <w:szCs w:val="20"/>
              </w:rPr>
              <w:t>(28)</w:t>
            </w:r>
          </w:p>
        </w:tc>
        <w:tc>
          <w:tcPr>
            <w:tcW w:w="0" w:type="auto"/>
            <w:shd w:val="clear" w:color="auto" w:fill="E2EFD9"/>
            <w:tcMar>
              <w:top w:w="40" w:type="dxa"/>
              <w:left w:w="0" w:type="dxa"/>
              <w:bottom w:w="40" w:type="dxa"/>
              <w:right w:w="20" w:type="dxa"/>
            </w:tcMar>
            <w:vAlign w:val="bottom"/>
          </w:tcPr>
          <w:p w14:paraId="19503A81"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19503A82"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A83"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A84" w14:textId="77777777" w:rsidR="00BF3A3A" w:rsidRDefault="00A76802">
            <w:pPr>
              <w:jc w:val="right"/>
              <w:textAlignment w:val="bottom"/>
            </w:pPr>
            <w:r>
              <w:rPr>
                <w:rFonts w:ascii="sans-serif" w:eastAsia="sans-serif" w:hAnsi="sans-serif" w:cs="sans-serif"/>
                <w:color w:val="000000"/>
                <w:sz w:val="20"/>
                <w:szCs w:val="20"/>
              </w:rPr>
              <w:t>7,413 </w:t>
            </w:r>
          </w:p>
        </w:tc>
        <w:tc>
          <w:tcPr>
            <w:tcW w:w="0" w:type="auto"/>
            <w:shd w:val="clear" w:color="auto" w:fill="E2EFD9"/>
            <w:tcMar>
              <w:top w:w="40" w:type="dxa"/>
              <w:left w:w="0" w:type="dxa"/>
              <w:bottom w:w="40" w:type="dxa"/>
              <w:right w:w="20" w:type="dxa"/>
            </w:tcMar>
            <w:vAlign w:val="bottom"/>
          </w:tcPr>
          <w:p w14:paraId="19503A8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A86"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A87"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A88" w14:textId="77777777" w:rsidR="00BF3A3A" w:rsidRDefault="00A76802">
            <w:pPr>
              <w:jc w:val="right"/>
              <w:textAlignment w:val="bottom"/>
            </w:pPr>
            <w:r>
              <w:rPr>
                <w:rFonts w:ascii="sans-serif" w:eastAsia="sans-serif" w:hAnsi="sans-serif" w:cs="sans-serif"/>
                <w:color w:val="000000"/>
                <w:sz w:val="20"/>
                <w:szCs w:val="20"/>
              </w:rPr>
              <w:t>7,358 </w:t>
            </w:r>
          </w:p>
        </w:tc>
        <w:tc>
          <w:tcPr>
            <w:tcW w:w="0" w:type="auto"/>
            <w:shd w:val="clear" w:color="auto" w:fill="E2EFD9"/>
            <w:tcMar>
              <w:top w:w="40" w:type="dxa"/>
              <w:left w:w="0" w:type="dxa"/>
              <w:bottom w:w="40" w:type="dxa"/>
              <w:right w:w="20" w:type="dxa"/>
            </w:tcMar>
            <w:vAlign w:val="bottom"/>
          </w:tcPr>
          <w:p w14:paraId="19503A8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A8A"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A8B"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A8C" w14:textId="77777777" w:rsidR="00BF3A3A" w:rsidRDefault="00A76802">
            <w:pPr>
              <w:jc w:val="right"/>
              <w:textAlignment w:val="bottom"/>
            </w:pPr>
            <w:r>
              <w:rPr>
                <w:rFonts w:ascii="sans-serif" w:eastAsia="sans-serif" w:hAnsi="sans-serif" w:cs="sans-serif"/>
                <w:color w:val="000000"/>
                <w:sz w:val="20"/>
                <w:szCs w:val="20"/>
              </w:rPr>
              <w:t>55 </w:t>
            </w:r>
          </w:p>
        </w:tc>
        <w:tc>
          <w:tcPr>
            <w:tcW w:w="0" w:type="auto"/>
            <w:shd w:val="clear" w:color="auto" w:fill="E2EFD9"/>
            <w:tcMar>
              <w:top w:w="40" w:type="dxa"/>
              <w:left w:w="0" w:type="dxa"/>
              <w:bottom w:w="40" w:type="dxa"/>
              <w:right w:w="20" w:type="dxa"/>
            </w:tcMar>
            <w:vAlign w:val="bottom"/>
          </w:tcPr>
          <w:p w14:paraId="19503A8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A8E"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A8F" w14:textId="77777777" w:rsidR="00BF3A3A" w:rsidRDefault="00A76802">
            <w:pPr>
              <w:jc w:val="right"/>
              <w:textAlignment w:val="bottom"/>
            </w:pPr>
            <w:r>
              <w:rPr>
                <w:rFonts w:ascii="sans-serif" w:eastAsia="sans-serif" w:hAnsi="sans-serif" w:cs="sans-serif"/>
                <w:color w:val="000000"/>
                <w:sz w:val="20"/>
                <w:szCs w:val="20"/>
              </w:rPr>
              <w:t>1 </w:t>
            </w:r>
          </w:p>
        </w:tc>
        <w:tc>
          <w:tcPr>
            <w:tcW w:w="0" w:type="auto"/>
            <w:shd w:val="clear" w:color="auto" w:fill="E2EFD9"/>
            <w:tcMar>
              <w:top w:w="40" w:type="dxa"/>
              <w:left w:w="0" w:type="dxa"/>
              <w:bottom w:w="40" w:type="dxa"/>
              <w:right w:w="20" w:type="dxa"/>
            </w:tcMar>
            <w:vAlign w:val="bottom"/>
          </w:tcPr>
          <w:p w14:paraId="19503A90" w14:textId="77777777" w:rsidR="00BF3A3A" w:rsidRDefault="00A76802">
            <w:pPr>
              <w:jc w:val="right"/>
              <w:textAlignment w:val="bottom"/>
            </w:pPr>
            <w:r>
              <w:rPr>
                <w:rFonts w:ascii="sans-serif" w:eastAsia="sans-serif" w:hAnsi="sans-serif" w:cs="sans-serif"/>
                <w:color w:val="000000"/>
                <w:sz w:val="20"/>
                <w:szCs w:val="20"/>
              </w:rPr>
              <w:t>%</w:t>
            </w:r>
          </w:p>
        </w:tc>
      </w:tr>
      <w:tr w:rsidR="00BF3A3A" w14:paraId="19503AAA" w14:textId="77777777">
        <w:tc>
          <w:tcPr>
            <w:tcW w:w="0" w:type="auto"/>
            <w:gridSpan w:val="3"/>
            <w:shd w:val="clear" w:color="auto" w:fill="FFFFFF"/>
            <w:tcMar>
              <w:top w:w="40" w:type="dxa"/>
              <w:left w:w="20" w:type="dxa"/>
              <w:bottom w:w="40" w:type="dxa"/>
              <w:right w:w="20" w:type="dxa"/>
            </w:tcMar>
            <w:vAlign w:val="bottom"/>
          </w:tcPr>
          <w:p w14:paraId="19503A92" w14:textId="77777777" w:rsidR="00BF3A3A" w:rsidRDefault="00A76802">
            <w:pPr>
              <w:textAlignment w:val="bottom"/>
            </w:pPr>
            <w:r>
              <w:rPr>
                <w:rFonts w:ascii="sans-serif" w:eastAsia="sans-serif" w:hAnsi="sans-serif" w:cs="sans-serif"/>
                <w:color w:val="000000"/>
                <w:sz w:val="20"/>
                <w:szCs w:val="20"/>
              </w:rPr>
              <w:t>Compute &amp; Networking</w:t>
            </w:r>
          </w:p>
        </w:tc>
        <w:tc>
          <w:tcPr>
            <w:tcW w:w="0" w:type="auto"/>
            <w:gridSpan w:val="2"/>
            <w:shd w:val="clear" w:color="auto" w:fill="FFFFFF"/>
            <w:tcMar>
              <w:top w:w="40" w:type="dxa"/>
              <w:left w:w="20" w:type="dxa"/>
              <w:bottom w:w="40" w:type="dxa"/>
              <w:right w:w="0" w:type="dxa"/>
            </w:tcMar>
            <w:vAlign w:val="bottom"/>
          </w:tcPr>
          <w:p w14:paraId="19503A93" w14:textId="77777777" w:rsidR="00BF3A3A" w:rsidRDefault="00A76802">
            <w:pPr>
              <w:jc w:val="right"/>
              <w:textAlignment w:val="bottom"/>
            </w:pPr>
            <w:r>
              <w:rPr>
                <w:rFonts w:ascii="sans-serif" w:eastAsia="sans-serif" w:hAnsi="sans-serif" w:cs="sans-serif"/>
                <w:color w:val="000000"/>
                <w:sz w:val="20"/>
                <w:szCs w:val="20"/>
              </w:rPr>
              <w:t>3,907 </w:t>
            </w:r>
          </w:p>
        </w:tc>
        <w:tc>
          <w:tcPr>
            <w:tcW w:w="0" w:type="auto"/>
            <w:shd w:val="clear" w:color="auto" w:fill="FFFFFF"/>
            <w:tcMar>
              <w:top w:w="40" w:type="dxa"/>
              <w:left w:w="0" w:type="dxa"/>
              <w:bottom w:w="40" w:type="dxa"/>
              <w:right w:w="20" w:type="dxa"/>
            </w:tcMar>
            <w:vAlign w:val="bottom"/>
          </w:tcPr>
          <w:p w14:paraId="19503A94"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A95"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A96" w14:textId="77777777" w:rsidR="00BF3A3A" w:rsidRDefault="00A76802">
            <w:pPr>
              <w:jc w:val="right"/>
              <w:textAlignment w:val="bottom"/>
            </w:pPr>
            <w:r>
              <w:rPr>
                <w:rFonts w:ascii="sans-serif" w:eastAsia="sans-serif" w:hAnsi="sans-serif" w:cs="sans-serif"/>
                <w:color w:val="000000"/>
                <w:sz w:val="20"/>
                <w:szCs w:val="20"/>
              </w:rPr>
              <w:t>2,600 </w:t>
            </w:r>
          </w:p>
        </w:tc>
        <w:tc>
          <w:tcPr>
            <w:tcW w:w="0" w:type="auto"/>
            <w:shd w:val="clear" w:color="auto" w:fill="FFFFFF"/>
            <w:tcMar>
              <w:top w:w="40" w:type="dxa"/>
              <w:left w:w="0" w:type="dxa"/>
              <w:bottom w:w="40" w:type="dxa"/>
              <w:right w:w="20" w:type="dxa"/>
            </w:tcMar>
            <w:vAlign w:val="bottom"/>
          </w:tcPr>
          <w:p w14:paraId="19503A97"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A98"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A99" w14:textId="77777777" w:rsidR="00BF3A3A" w:rsidRDefault="00A76802">
            <w:pPr>
              <w:jc w:val="right"/>
              <w:textAlignment w:val="bottom"/>
            </w:pPr>
            <w:r>
              <w:rPr>
                <w:rFonts w:ascii="sans-serif" w:eastAsia="sans-serif" w:hAnsi="sans-serif" w:cs="sans-serif"/>
                <w:color w:val="000000"/>
                <w:sz w:val="20"/>
                <w:szCs w:val="20"/>
              </w:rPr>
              <w:t>1,307 </w:t>
            </w:r>
          </w:p>
        </w:tc>
        <w:tc>
          <w:tcPr>
            <w:tcW w:w="0" w:type="auto"/>
            <w:shd w:val="clear" w:color="auto" w:fill="FFFFFF"/>
            <w:tcMar>
              <w:top w:w="40" w:type="dxa"/>
              <w:left w:w="0" w:type="dxa"/>
              <w:bottom w:w="40" w:type="dxa"/>
              <w:right w:w="20" w:type="dxa"/>
            </w:tcMar>
            <w:vAlign w:val="bottom"/>
          </w:tcPr>
          <w:p w14:paraId="19503A9A"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A9B"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A9C" w14:textId="77777777" w:rsidR="00BF3A3A" w:rsidRDefault="00A76802">
            <w:pPr>
              <w:jc w:val="right"/>
              <w:textAlignment w:val="bottom"/>
            </w:pPr>
            <w:r>
              <w:rPr>
                <w:rFonts w:ascii="sans-serif" w:eastAsia="sans-serif" w:hAnsi="sans-serif" w:cs="sans-serif"/>
                <w:color w:val="000000"/>
                <w:sz w:val="20"/>
                <w:szCs w:val="20"/>
              </w:rPr>
              <w:t>50 </w:t>
            </w:r>
          </w:p>
        </w:tc>
        <w:tc>
          <w:tcPr>
            <w:tcW w:w="0" w:type="auto"/>
            <w:shd w:val="clear" w:color="auto" w:fill="FFFFFF"/>
            <w:tcMar>
              <w:top w:w="40" w:type="dxa"/>
              <w:left w:w="0" w:type="dxa"/>
              <w:bottom w:w="40" w:type="dxa"/>
              <w:right w:w="20" w:type="dxa"/>
            </w:tcMar>
            <w:vAlign w:val="bottom"/>
          </w:tcPr>
          <w:p w14:paraId="19503A9D"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19503A9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A9F" w14:textId="77777777" w:rsidR="00BF3A3A" w:rsidRDefault="00A76802">
            <w:pPr>
              <w:jc w:val="right"/>
              <w:textAlignment w:val="bottom"/>
            </w:pPr>
            <w:r>
              <w:rPr>
                <w:rFonts w:ascii="sans-serif" w:eastAsia="sans-serif" w:hAnsi="sans-serif" w:cs="sans-serif"/>
                <w:color w:val="000000"/>
                <w:sz w:val="20"/>
                <w:szCs w:val="20"/>
              </w:rPr>
              <w:t>7,579 </w:t>
            </w:r>
          </w:p>
        </w:tc>
        <w:tc>
          <w:tcPr>
            <w:tcW w:w="0" w:type="auto"/>
            <w:shd w:val="clear" w:color="auto" w:fill="FFFFFF"/>
            <w:tcMar>
              <w:top w:w="40" w:type="dxa"/>
              <w:left w:w="0" w:type="dxa"/>
              <w:bottom w:w="40" w:type="dxa"/>
              <w:right w:w="20" w:type="dxa"/>
            </w:tcMar>
            <w:vAlign w:val="bottom"/>
          </w:tcPr>
          <w:p w14:paraId="19503AA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AA1"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AA2" w14:textId="77777777" w:rsidR="00BF3A3A" w:rsidRDefault="00A76802">
            <w:pPr>
              <w:jc w:val="right"/>
              <w:textAlignment w:val="bottom"/>
            </w:pPr>
            <w:r>
              <w:rPr>
                <w:rFonts w:ascii="sans-serif" w:eastAsia="sans-serif" w:hAnsi="sans-serif" w:cs="sans-serif"/>
                <w:color w:val="000000"/>
                <w:sz w:val="20"/>
                <w:szCs w:val="20"/>
              </w:rPr>
              <w:t>4,810 </w:t>
            </w:r>
          </w:p>
        </w:tc>
        <w:tc>
          <w:tcPr>
            <w:tcW w:w="0" w:type="auto"/>
            <w:shd w:val="clear" w:color="auto" w:fill="FFFFFF"/>
            <w:tcMar>
              <w:top w:w="40" w:type="dxa"/>
              <w:left w:w="0" w:type="dxa"/>
              <w:bottom w:w="40" w:type="dxa"/>
              <w:right w:w="20" w:type="dxa"/>
            </w:tcMar>
            <w:vAlign w:val="bottom"/>
          </w:tcPr>
          <w:p w14:paraId="19503AA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AA4"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AA5" w14:textId="77777777" w:rsidR="00BF3A3A" w:rsidRDefault="00A76802">
            <w:pPr>
              <w:jc w:val="right"/>
              <w:textAlignment w:val="bottom"/>
            </w:pPr>
            <w:r>
              <w:rPr>
                <w:rFonts w:ascii="sans-serif" w:eastAsia="sans-serif" w:hAnsi="sans-serif" w:cs="sans-serif"/>
                <w:color w:val="000000"/>
                <w:sz w:val="20"/>
                <w:szCs w:val="20"/>
              </w:rPr>
              <w:t>2,769 </w:t>
            </w:r>
          </w:p>
        </w:tc>
        <w:tc>
          <w:tcPr>
            <w:tcW w:w="0" w:type="auto"/>
            <w:shd w:val="clear" w:color="auto" w:fill="FFFFFF"/>
            <w:tcMar>
              <w:top w:w="40" w:type="dxa"/>
              <w:left w:w="0" w:type="dxa"/>
              <w:bottom w:w="40" w:type="dxa"/>
              <w:right w:w="20" w:type="dxa"/>
            </w:tcMar>
            <w:vAlign w:val="bottom"/>
          </w:tcPr>
          <w:p w14:paraId="19503AA6"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AA7"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AA8" w14:textId="77777777" w:rsidR="00BF3A3A" w:rsidRDefault="00A76802">
            <w:pPr>
              <w:jc w:val="right"/>
              <w:textAlignment w:val="bottom"/>
            </w:pPr>
            <w:r>
              <w:rPr>
                <w:rFonts w:ascii="sans-serif" w:eastAsia="sans-serif" w:hAnsi="sans-serif" w:cs="sans-serif"/>
                <w:color w:val="000000"/>
                <w:sz w:val="20"/>
                <w:szCs w:val="20"/>
              </w:rPr>
              <w:t>58 </w:t>
            </w:r>
          </w:p>
        </w:tc>
        <w:tc>
          <w:tcPr>
            <w:tcW w:w="0" w:type="auto"/>
            <w:shd w:val="clear" w:color="auto" w:fill="FFFFFF"/>
            <w:tcMar>
              <w:top w:w="40" w:type="dxa"/>
              <w:left w:w="0" w:type="dxa"/>
              <w:bottom w:w="40" w:type="dxa"/>
              <w:right w:w="20" w:type="dxa"/>
            </w:tcMar>
            <w:vAlign w:val="bottom"/>
          </w:tcPr>
          <w:p w14:paraId="19503AA9" w14:textId="77777777" w:rsidR="00BF3A3A" w:rsidRDefault="00A76802">
            <w:pPr>
              <w:jc w:val="right"/>
              <w:textAlignment w:val="bottom"/>
            </w:pPr>
            <w:r>
              <w:rPr>
                <w:rFonts w:ascii="sans-serif" w:eastAsia="sans-serif" w:hAnsi="sans-serif" w:cs="sans-serif"/>
                <w:color w:val="000000"/>
                <w:sz w:val="20"/>
                <w:szCs w:val="20"/>
              </w:rPr>
              <w:t>%</w:t>
            </w:r>
          </w:p>
        </w:tc>
      </w:tr>
      <w:tr w:rsidR="00A76802" w14:paraId="19503AC9" w14:textId="77777777">
        <w:tc>
          <w:tcPr>
            <w:tcW w:w="0" w:type="auto"/>
            <w:gridSpan w:val="3"/>
            <w:shd w:val="clear" w:color="auto" w:fill="E2EFD9"/>
            <w:tcMar>
              <w:top w:w="40" w:type="dxa"/>
              <w:left w:w="20" w:type="dxa"/>
              <w:bottom w:w="40" w:type="dxa"/>
              <w:right w:w="20" w:type="dxa"/>
            </w:tcMar>
            <w:vAlign w:val="bottom"/>
          </w:tcPr>
          <w:p w14:paraId="19503AAB" w14:textId="77777777" w:rsidR="00BF3A3A" w:rsidRDefault="00A76802">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AAC"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AAD" w14:textId="77777777" w:rsidR="00BF3A3A" w:rsidRDefault="00A76802">
            <w:pPr>
              <w:jc w:val="right"/>
              <w:textAlignment w:val="bottom"/>
            </w:pPr>
            <w:r>
              <w:rPr>
                <w:rFonts w:ascii="sans-serif" w:eastAsia="sans-serif" w:hAnsi="sans-serif" w:cs="sans-serif"/>
                <w:color w:val="000000"/>
                <w:sz w:val="20"/>
                <w:szCs w:val="20"/>
              </w:rPr>
              <w:t>6,704 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AA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AAF"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AB0"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AB1" w14:textId="77777777" w:rsidR="00BF3A3A" w:rsidRDefault="00A76802">
            <w:pPr>
              <w:jc w:val="right"/>
              <w:textAlignment w:val="bottom"/>
            </w:pPr>
            <w:r>
              <w:rPr>
                <w:rFonts w:ascii="sans-serif" w:eastAsia="sans-serif" w:hAnsi="sans-serif" w:cs="sans-serif"/>
                <w:color w:val="000000"/>
                <w:sz w:val="20"/>
                <w:szCs w:val="20"/>
              </w:rPr>
              <w:t>6,507 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AB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AB3"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AB4"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AB5" w14:textId="77777777" w:rsidR="00BF3A3A" w:rsidRDefault="00A76802">
            <w:pPr>
              <w:jc w:val="right"/>
              <w:textAlignment w:val="bottom"/>
            </w:pPr>
            <w:r>
              <w:rPr>
                <w:rFonts w:ascii="sans-serif" w:eastAsia="sans-serif" w:hAnsi="sans-serif" w:cs="sans-serif"/>
                <w:color w:val="000000"/>
                <w:sz w:val="20"/>
                <w:szCs w:val="20"/>
              </w:rPr>
              <w:t>197 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AB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AB7" w14:textId="77777777" w:rsidR="00BF3A3A" w:rsidRDefault="00BF3A3A">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AB8" w14:textId="77777777" w:rsidR="00BF3A3A" w:rsidRDefault="00A76802">
            <w:pPr>
              <w:jc w:val="right"/>
              <w:textAlignment w:val="bottom"/>
            </w:pPr>
            <w:r>
              <w:rPr>
                <w:rFonts w:ascii="sans-serif" w:eastAsia="sans-serif" w:hAnsi="sans-serif" w:cs="sans-serif"/>
                <w:color w:val="000000"/>
                <w:sz w:val="20"/>
                <w:szCs w:val="20"/>
              </w:rPr>
              <w:t>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AB9"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19503ABA"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ABB"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ABC" w14:textId="77777777" w:rsidR="00BF3A3A" w:rsidRDefault="00A76802">
            <w:pPr>
              <w:jc w:val="right"/>
              <w:textAlignment w:val="bottom"/>
            </w:pPr>
            <w:r>
              <w:rPr>
                <w:rFonts w:ascii="sans-serif" w:eastAsia="sans-serif" w:hAnsi="sans-serif" w:cs="sans-serif"/>
                <w:color w:val="000000"/>
                <w:sz w:val="20"/>
                <w:szCs w:val="20"/>
              </w:rPr>
              <w:t>14,992 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AB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ABE"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ABF"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AC0" w14:textId="77777777" w:rsidR="00BF3A3A" w:rsidRDefault="00A76802">
            <w:pPr>
              <w:jc w:val="right"/>
              <w:textAlignment w:val="bottom"/>
            </w:pPr>
            <w:r>
              <w:rPr>
                <w:rFonts w:ascii="sans-serif" w:eastAsia="sans-serif" w:hAnsi="sans-serif" w:cs="sans-serif"/>
                <w:color w:val="000000"/>
                <w:sz w:val="20"/>
                <w:szCs w:val="20"/>
              </w:rPr>
              <w:t>12,168 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AC1"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AC2"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AC3"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AC4" w14:textId="77777777" w:rsidR="00BF3A3A" w:rsidRDefault="00A76802">
            <w:pPr>
              <w:jc w:val="right"/>
              <w:textAlignment w:val="bottom"/>
            </w:pPr>
            <w:r>
              <w:rPr>
                <w:rFonts w:ascii="sans-serif" w:eastAsia="sans-serif" w:hAnsi="sans-serif" w:cs="sans-serif"/>
                <w:color w:val="000000"/>
                <w:sz w:val="20"/>
                <w:szCs w:val="20"/>
              </w:rPr>
              <w:t>2,824 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AC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AC6" w14:textId="77777777" w:rsidR="00BF3A3A" w:rsidRDefault="00BF3A3A">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AC7" w14:textId="77777777" w:rsidR="00BF3A3A" w:rsidRDefault="00A76802">
            <w:pPr>
              <w:jc w:val="right"/>
              <w:textAlignment w:val="bottom"/>
            </w:pPr>
            <w:r>
              <w:rPr>
                <w:rFonts w:ascii="sans-serif" w:eastAsia="sans-serif" w:hAnsi="sans-serif" w:cs="sans-serif"/>
                <w:color w:val="000000"/>
                <w:sz w:val="20"/>
                <w:szCs w:val="20"/>
              </w:rPr>
              <w:t>23 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AC8" w14:textId="77777777" w:rsidR="00BF3A3A" w:rsidRDefault="00A76802">
            <w:pPr>
              <w:jc w:val="right"/>
              <w:textAlignment w:val="bottom"/>
            </w:pPr>
            <w:r>
              <w:rPr>
                <w:rFonts w:ascii="sans-serif" w:eastAsia="sans-serif" w:hAnsi="sans-serif" w:cs="sans-serif"/>
                <w:color w:val="000000"/>
                <w:sz w:val="20"/>
                <w:szCs w:val="20"/>
              </w:rPr>
              <w:t>%</w:t>
            </w:r>
          </w:p>
        </w:tc>
      </w:tr>
    </w:tbl>
    <w:p w14:paraId="19503ACA" w14:textId="77777777" w:rsidR="00BF3A3A" w:rsidRDefault="00A76802">
      <w:pPr>
        <w:jc w:val="both"/>
      </w:pPr>
      <w:r>
        <w:rPr>
          <w:rFonts w:ascii="sans-serif" w:eastAsia="sans-serif" w:hAnsi="sans-serif" w:cs="sans-serif"/>
          <w:b/>
          <w:bCs/>
          <w:color w:val="000000"/>
          <w:sz w:val="20"/>
          <w:szCs w:val="20"/>
        </w:rPr>
        <w:t>Graphics -</w:t>
      </w:r>
      <w:r>
        <w:rPr>
          <w:rFonts w:ascii="sans-serif" w:eastAsia="sans-serif" w:hAnsi="sans-serif" w:cs="sans-serif"/>
          <w:color w:val="000000"/>
          <w:sz w:val="20"/>
          <w:szCs w:val="20"/>
        </w:rPr>
        <w:t xml:space="preserve"> The year over year decre</w:t>
      </w:r>
      <w:r>
        <w:rPr>
          <w:rFonts w:ascii="sans-serif" w:eastAsia="sans-serif" w:hAnsi="sans-serif" w:cs="sans-serif"/>
          <w:color w:val="000000"/>
          <w:sz w:val="20"/>
          <w:szCs w:val="20"/>
        </w:rPr>
        <w:t>ase was primarily attributable to lower sell-in of desktop Gaming and Professional Visualization products in the second quarter of fiscal year 2023 reflecting reduced channel partner sales due to macroeconomic headwinds. In addition to reducing sell-in, we</w:t>
      </w:r>
      <w:r>
        <w:rPr>
          <w:rFonts w:ascii="sans-serif" w:eastAsia="sans-serif" w:hAnsi="sans-serif" w:cs="sans-serif"/>
          <w:color w:val="000000"/>
          <w:sz w:val="20"/>
          <w:szCs w:val="20"/>
        </w:rPr>
        <w:t xml:space="preserve"> implemented pricing programs in Gaming with channel partners to address challenging market conditions that are expected to persist into the third quarter of fiscal year 2023. Revenue on a year-to-date basis was essentially flat as the declines in sales of</w:t>
      </w:r>
      <w:r>
        <w:rPr>
          <w:rFonts w:ascii="sans-serif" w:eastAsia="sans-serif" w:hAnsi="sans-serif" w:cs="sans-serif"/>
          <w:color w:val="000000"/>
          <w:sz w:val="20"/>
          <w:szCs w:val="20"/>
        </w:rPr>
        <w:t xml:space="preserve"> GeForce GPUs for desktops and SOCs for game consoles were offset by increases in sales of GeForce GPUs for laptops and Professional Visualization products.</w:t>
      </w:r>
    </w:p>
    <w:p w14:paraId="19503ACB" w14:textId="77777777" w:rsidR="00BF3A3A" w:rsidRDefault="00BF3A3A">
      <w:pPr>
        <w:jc w:val="both"/>
      </w:pPr>
    </w:p>
    <w:p w14:paraId="19503ACC" w14:textId="77777777" w:rsidR="00BF3A3A" w:rsidRDefault="00A76802">
      <w:pPr>
        <w:jc w:val="both"/>
      </w:pPr>
      <w:r>
        <w:rPr>
          <w:rFonts w:ascii="sans-serif" w:eastAsia="sans-serif" w:hAnsi="sans-serif" w:cs="sans-serif"/>
          <w:b/>
          <w:bCs/>
          <w:color w:val="000000"/>
          <w:sz w:val="20"/>
          <w:szCs w:val="20"/>
        </w:rPr>
        <w:t>Compute &amp; Networking -</w:t>
      </w:r>
      <w:r>
        <w:rPr>
          <w:rFonts w:ascii="sans-serif" w:eastAsia="sans-serif" w:hAnsi="sans-serif" w:cs="sans-serif"/>
          <w:color w:val="000000"/>
          <w:sz w:val="20"/>
          <w:szCs w:val="20"/>
        </w:rPr>
        <w:t xml:space="preserve"> The year-on-year increases were primarily driven by hyperscale customer rev</w:t>
      </w:r>
      <w:r>
        <w:rPr>
          <w:rFonts w:ascii="sans-serif" w:eastAsia="sans-serif" w:hAnsi="sans-serif" w:cs="sans-serif"/>
          <w:color w:val="000000"/>
          <w:sz w:val="20"/>
          <w:szCs w:val="20"/>
        </w:rPr>
        <w:t>enue, which nearly doubled. Vertical industries grew year-on-year. Key workloads driving growth included natural language processing, deep recommenders, autonomous vehicle fleet data processing and training, and cloud graphics. CMP contributed an insignifi</w:t>
      </w:r>
      <w:r>
        <w:rPr>
          <w:rFonts w:ascii="sans-serif" w:eastAsia="sans-serif" w:hAnsi="sans-serif" w:cs="sans-serif"/>
          <w:color w:val="000000"/>
          <w:sz w:val="20"/>
          <w:szCs w:val="20"/>
        </w:rPr>
        <w:t>cant amount in the second quarter and first half of fiscal year 2023 compared to $266 million in second quarter and $421 million in the first half of fiscal year 2022.</w:t>
      </w:r>
    </w:p>
    <w:p w14:paraId="19503ACD" w14:textId="77777777" w:rsidR="00BF3A3A" w:rsidRDefault="00BF3A3A">
      <w:pPr>
        <w:jc w:val="both"/>
      </w:pPr>
    </w:p>
    <w:p w14:paraId="19503ACE" w14:textId="77777777" w:rsidR="00BF3A3A" w:rsidRDefault="00A76802">
      <w:pPr>
        <w:spacing w:after="180"/>
        <w:jc w:val="center"/>
      </w:pPr>
      <w:r>
        <w:rPr>
          <w:rFonts w:ascii="sans-serif" w:eastAsia="sans-serif" w:hAnsi="sans-serif" w:cs="sans-serif"/>
          <w:color w:val="000000"/>
          <w:sz w:val="20"/>
          <w:szCs w:val="20"/>
        </w:rPr>
        <w:t>28</w:t>
      </w:r>
    </w:p>
    <w:p w14:paraId="19503ACF" w14:textId="77777777" w:rsidR="00BF3A3A" w:rsidRDefault="00A76802">
      <w:r>
        <w:pict w14:anchorId="19503FE1">
          <v:rect id="_x0000_i1052" style="width:415.3pt;height:1.5pt" o:hralign="center" o:hrstd="t" o:hr="t" fillcolor="#a0a0a0" stroked="f"/>
        </w:pict>
      </w:r>
    </w:p>
    <w:p w14:paraId="19503AD0" w14:textId="77777777" w:rsidR="00BF3A3A" w:rsidRDefault="00BF3A3A">
      <w:pPr>
        <w:spacing w:after="180"/>
        <w:jc w:val="both"/>
      </w:pPr>
    </w:p>
    <w:p w14:paraId="19503AD1" w14:textId="77777777" w:rsidR="00BF3A3A" w:rsidRDefault="00BF3A3A">
      <w:pPr>
        <w:spacing w:after="180"/>
        <w:jc w:val="both"/>
      </w:pPr>
    </w:p>
    <w:p w14:paraId="19503AD2" w14:textId="77777777" w:rsidR="00BF3A3A" w:rsidRDefault="00BF3A3A">
      <w:pPr>
        <w:spacing w:after="180"/>
        <w:jc w:val="both"/>
      </w:pPr>
    </w:p>
    <w:p w14:paraId="19503AD3" w14:textId="77777777" w:rsidR="00BF3A3A" w:rsidRDefault="00A76802">
      <w:pPr>
        <w:spacing w:before="120" w:after="120"/>
      </w:pPr>
      <w:r>
        <w:rPr>
          <w:rFonts w:ascii="sans-serif" w:eastAsia="sans-serif" w:hAnsi="sans-serif" w:cs="sans-serif"/>
          <w:b/>
          <w:bCs/>
          <w:color w:val="000000"/>
          <w:sz w:val="20"/>
          <w:szCs w:val="20"/>
        </w:rPr>
        <w:t>Concentration of Revenue </w:t>
      </w:r>
    </w:p>
    <w:p w14:paraId="19503AD4" w14:textId="77777777" w:rsidR="00BF3A3A" w:rsidRDefault="00A76802">
      <w:pPr>
        <w:spacing w:before="120" w:after="120"/>
        <w:jc w:val="both"/>
      </w:pPr>
      <w:r>
        <w:rPr>
          <w:rFonts w:ascii="sans-serif" w:eastAsia="sans-serif" w:hAnsi="sans-serif" w:cs="sans-serif"/>
          <w:color w:val="000000"/>
          <w:sz w:val="20"/>
          <w:szCs w:val="20"/>
        </w:rPr>
        <w:t xml:space="preserve">Revenue from sales to customers outside of the </w:t>
      </w:r>
      <w:r>
        <w:rPr>
          <w:rFonts w:ascii="sans-serif" w:eastAsia="sans-serif" w:hAnsi="sans-serif" w:cs="sans-serif"/>
          <w:color w:val="000000"/>
          <w:sz w:val="20"/>
          <w:szCs w:val="20"/>
        </w:rPr>
        <w:t>United States accounted for 70% and 74% of total revenue for the second quarter and first half of fiscal year 2023, respectively, and 85% and 86% of total revenue for the second quarter and first half of fiscal year 2022, respectively. Revenue by geographi</w:t>
      </w:r>
      <w:r>
        <w:rPr>
          <w:rFonts w:ascii="sans-serif" w:eastAsia="sans-serif" w:hAnsi="sans-serif" w:cs="sans-serif"/>
          <w:color w:val="000000"/>
          <w:sz w:val="20"/>
          <w:szCs w:val="20"/>
        </w:rPr>
        <w:t>c region is allocated to individual countries based on the location to which the products are initially billed even if the revenue is attributable to end customers in a different location.</w:t>
      </w:r>
    </w:p>
    <w:p w14:paraId="19503AD5" w14:textId="77777777" w:rsidR="00BF3A3A" w:rsidRDefault="00A76802">
      <w:pPr>
        <w:spacing w:before="120" w:after="120"/>
        <w:jc w:val="both"/>
      </w:pPr>
      <w:r>
        <w:rPr>
          <w:rFonts w:ascii="sans-serif" w:eastAsia="sans-serif" w:hAnsi="sans-serif" w:cs="sans-serif"/>
          <w:color w:val="000000"/>
          <w:sz w:val="20"/>
          <w:szCs w:val="20"/>
        </w:rPr>
        <w:t>No customer represented 10% or more of total revenue for the second</w:t>
      </w:r>
      <w:r>
        <w:rPr>
          <w:rFonts w:ascii="sans-serif" w:eastAsia="sans-serif" w:hAnsi="sans-serif" w:cs="sans-serif"/>
          <w:color w:val="000000"/>
          <w:sz w:val="20"/>
          <w:szCs w:val="20"/>
        </w:rPr>
        <w:t xml:space="preserve"> quarter and first half of fiscal years 2023 or 2022.</w:t>
      </w:r>
    </w:p>
    <w:p w14:paraId="19503AD6" w14:textId="77777777" w:rsidR="00BF3A3A" w:rsidRDefault="00A76802">
      <w:pPr>
        <w:spacing w:before="120" w:after="120"/>
        <w:jc w:val="both"/>
      </w:pPr>
      <w:r>
        <w:rPr>
          <w:rFonts w:ascii="sans-serif" w:eastAsia="sans-serif" w:hAnsi="sans-serif" w:cs="sans-serif"/>
          <w:color w:val="000000"/>
          <w:sz w:val="20"/>
          <w:szCs w:val="20"/>
        </w:rPr>
        <w:t xml:space="preserve">Data Center revenue included $287 million for orders originally scheduled for delivery primarily in the third quarter that were converted to second-quarter delivery with extended payment terms, while a </w:t>
      </w:r>
      <w:r>
        <w:rPr>
          <w:rFonts w:ascii="sans-serif" w:eastAsia="sans-serif" w:hAnsi="sans-serif" w:cs="sans-serif"/>
          <w:color w:val="000000"/>
          <w:sz w:val="20"/>
          <w:szCs w:val="20"/>
        </w:rPr>
        <w:t>number of second-quarter orders will be fulfilled in the third quarter given supply chain disruptions. These second quarter of fiscal year 2023 revenue transactions were recognized under our pre-established revenue recognition policy that includes extended</w:t>
      </w:r>
      <w:r>
        <w:rPr>
          <w:rFonts w:ascii="sans-serif" w:eastAsia="sans-serif" w:hAnsi="sans-serif" w:cs="sans-serif"/>
          <w:color w:val="000000"/>
          <w:sz w:val="20"/>
          <w:szCs w:val="20"/>
        </w:rPr>
        <w:t xml:space="preserve"> payment terms conditions. </w:t>
      </w:r>
    </w:p>
    <w:p w14:paraId="19503AD7" w14:textId="77777777" w:rsidR="00BF3A3A" w:rsidRDefault="00A76802">
      <w:pPr>
        <w:spacing w:before="240" w:after="60"/>
        <w:jc w:val="both"/>
      </w:pPr>
      <w:r>
        <w:rPr>
          <w:rFonts w:ascii="sans-serif" w:eastAsia="sans-serif" w:hAnsi="sans-serif" w:cs="sans-serif"/>
          <w:b/>
          <w:bCs/>
          <w:color w:val="76B900"/>
          <w:sz w:val="20"/>
          <w:szCs w:val="20"/>
        </w:rPr>
        <w:t>Gross Margin</w:t>
      </w:r>
    </w:p>
    <w:p w14:paraId="19503AD8" w14:textId="77777777" w:rsidR="00BF3A3A" w:rsidRDefault="00A76802">
      <w:pPr>
        <w:spacing w:before="120" w:after="120"/>
        <w:jc w:val="both"/>
      </w:pPr>
      <w:r>
        <w:rPr>
          <w:rFonts w:ascii="sans-serif" w:eastAsia="sans-serif" w:hAnsi="sans-serif" w:cs="sans-serif"/>
          <w:color w:val="000000"/>
          <w:sz w:val="20"/>
          <w:szCs w:val="20"/>
        </w:rPr>
        <w:t xml:space="preserve">Our overall gross margin decreased to 43.5% and 55.7% for the second quarter and first half of fiscal year 2023, respectively, from 64.8% and 64.5% for the second quarter and first half of fiscal year 2022, respectively. These decreases were primarily due </w:t>
      </w:r>
      <w:r>
        <w:rPr>
          <w:rFonts w:ascii="sans-serif" w:eastAsia="sans-serif" w:hAnsi="sans-serif" w:cs="sans-serif"/>
          <w:color w:val="000000"/>
          <w:sz w:val="20"/>
          <w:szCs w:val="20"/>
        </w:rPr>
        <w:t>to a $1.34 billion charge in the second quarter of fiscal year 2023, comprised of $1.22 billion for inventory and related reserves, primarily relating to Data Center and Gaming, and $122 million for warranty reserves. The inventory and related reserves con</w:t>
      </w:r>
      <w:r>
        <w:rPr>
          <w:rFonts w:ascii="sans-serif" w:eastAsia="sans-serif" w:hAnsi="sans-serif" w:cs="sans-serif"/>
          <w:color w:val="000000"/>
          <w:sz w:val="20"/>
          <w:szCs w:val="20"/>
        </w:rPr>
        <w:t>sist of approximately $570 million for inventory on hand and approximately $650 million for inventory purchase obligations in excess of our current demand projections, and cancellation and underutilization penalties. The warranty reserve is primarily due t</w:t>
      </w:r>
      <w:r>
        <w:rPr>
          <w:rFonts w:ascii="sans-serif" w:eastAsia="sans-serif" w:hAnsi="sans-serif" w:cs="sans-serif"/>
          <w:color w:val="000000"/>
          <w:sz w:val="20"/>
          <w:szCs w:val="20"/>
        </w:rPr>
        <w:t xml:space="preserve">o a defect that was identified in a third-party component embedded in certain Data Center products. </w:t>
      </w:r>
    </w:p>
    <w:p w14:paraId="19503AD9" w14:textId="77777777" w:rsidR="00BF3A3A" w:rsidRDefault="00A76802">
      <w:pPr>
        <w:spacing w:after="180"/>
        <w:jc w:val="both"/>
      </w:pPr>
      <w:r>
        <w:rPr>
          <w:rFonts w:ascii="sans-serif" w:eastAsia="sans-serif" w:hAnsi="sans-serif" w:cs="sans-serif"/>
          <w:color w:val="000000"/>
          <w:sz w:val="20"/>
          <w:szCs w:val="20"/>
        </w:rPr>
        <w:t xml:space="preserve">Inventory provisions totaled $1.22 billion and $73 million for the second quarter of fiscal years 2023 and 2022, respectively. Sales of inventory that was </w:t>
      </w:r>
      <w:r>
        <w:rPr>
          <w:rFonts w:ascii="sans-serif" w:eastAsia="sans-serif" w:hAnsi="sans-serif" w:cs="sans-serif"/>
          <w:color w:val="000000"/>
          <w:sz w:val="20"/>
          <w:szCs w:val="20"/>
        </w:rPr>
        <w:t>previously written-off or down totaled $23 million and $20 million for the second quarter of fiscal years 2023 and 2022, respectively. As a result, the overall net effect on our gross margin was an unfavorable impact of 17.8% and 0.8% in the second quarter</w:t>
      </w:r>
      <w:r>
        <w:rPr>
          <w:rFonts w:ascii="sans-serif" w:eastAsia="sans-serif" w:hAnsi="sans-serif" w:cs="sans-serif"/>
          <w:color w:val="000000"/>
          <w:sz w:val="20"/>
          <w:szCs w:val="20"/>
        </w:rPr>
        <w:t xml:space="preserve"> of fiscal years 2023 and 2022, respectively.</w:t>
      </w:r>
    </w:p>
    <w:p w14:paraId="19503ADA" w14:textId="77777777" w:rsidR="00BF3A3A" w:rsidRDefault="00A76802">
      <w:pPr>
        <w:spacing w:after="180"/>
        <w:jc w:val="both"/>
      </w:pPr>
      <w:r>
        <w:rPr>
          <w:rFonts w:ascii="sans-serif" w:eastAsia="sans-serif" w:hAnsi="sans-serif" w:cs="sans-serif"/>
          <w:color w:val="000000"/>
          <w:sz w:val="20"/>
          <w:szCs w:val="20"/>
        </w:rPr>
        <w:t>Inventory provisions totaled $1.31 billion and $131 million for the first half of fiscal years 2023 and 2022, respectively. Sales of inventory that was previously written-off or down totaled $38 million and $41</w:t>
      </w:r>
      <w:r>
        <w:rPr>
          <w:rFonts w:ascii="sans-serif" w:eastAsia="sans-serif" w:hAnsi="sans-serif" w:cs="sans-serif"/>
          <w:color w:val="000000"/>
          <w:sz w:val="20"/>
          <w:szCs w:val="20"/>
        </w:rPr>
        <w:t xml:space="preserve"> million for the first half of fiscal years 2023 and 2022, respectively. As a result, the overall net effect on our gross margin was an unfavorable impact of 8.5% and 0.7% in the first half of fiscal years 2023 and 2022, respectively.</w:t>
      </w:r>
    </w:p>
    <w:p w14:paraId="19503ADB" w14:textId="77777777" w:rsidR="00BF3A3A" w:rsidRDefault="00A76802">
      <w:pPr>
        <w:spacing w:before="120" w:after="120"/>
        <w:jc w:val="both"/>
      </w:pPr>
      <w:r>
        <w:rPr>
          <w:rFonts w:ascii="sans-serif" w:eastAsia="sans-serif" w:hAnsi="sans-serif" w:cs="sans-serif"/>
          <w:b/>
          <w:bCs/>
          <w:color w:val="000000"/>
          <w:sz w:val="20"/>
          <w:szCs w:val="20"/>
        </w:rPr>
        <w:t>Graphics -</w:t>
      </w:r>
      <w:r>
        <w:rPr>
          <w:rFonts w:ascii="sans-serif" w:eastAsia="sans-serif" w:hAnsi="sans-serif" w:cs="sans-serif"/>
          <w:color w:val="000000"/>
          <w:sz w:val="20"/>
          <w:szCs w:val="20"/>
        </w:rPr>
        <w:t xml:space="preserve"> The gross </w:t>
      </w:r>
      <w:r>
        <w:rPr>
          <w:rFonts w:ascii="sans-serif" w:eastAsia="sans-serif" w:hAnsi="sans-serif" w:cs="sans-serif"/>
          <w:color w:val="000000"/>
          <w:sz w:val="20"/>
          <w:szCs w:val="20"/>
        </w:rPr>
        <w:t>margin of our Graphics segment decreased during the second quarter and first half of fiscal year 2023 compared to the second quarter and first half of fiscal year 2022, primarily due to inventory and related reserves. In addition, we implemented pricing pr</w:t>
      </w:r>
      <w:r>
        <w:rPr>
          <w:rFonts w:ascii="sans-serif" w:eastAsia="sans-serif" w:hAnsi="sans-serif" w:cs="sans-serif"/>
          <w:color w:val="000000"/>
          <w:sz w:val="20"/>
          <w:szCs w:val="20"/>
        </w:rPr>
        <w:t>ograms with Gaming channel partners to address challenging market conditions, which reduced gross margin.</w:t>
      </w:r>
    </w:p>
    <w:p w14:paraId="19503ADC" w14:textId="77777777" w:rsidR="00BF3A3A" w:rsidRDefault="00A76802">
      <w:pPr>
        <w:spacing w:before="120" w:after="120"/>
        <w:jc w:val="both"/>
      </w:pPr>
      <w:r>
        <w:rPr>
          <w:rFonts w:ascii="sans-serif" w:eastAsia="sans-serif" w:hAnsi="sans-serif" w:cs="sans-serif"/>
          <w:b/>
          <w:bCs/>
          <w:color w:val="000000"/>
          <w:sz w:val="20"/>
          <w:szCs w:val="20"/>
        </w:rPr>
        <w:t>Compute &amp; Networking -</w:t>
      </w:r>
      <w:r>
        <w:rPr>
          <w:rFonts w:ascii="sans-serif" w:eastAsia="sans-serif" w:hAnsi="sans-serif" w:cs="sans-serif"/>
          <w:color w:val="000000"/>
          <w:sz w:val="20"/>
          <w:szCs w:val="20"/>
        </w:rPr>
        <w:t> The gross margin of our Compute &amp; Networking segment decreased during the second quarter and first half of fiscal year 2023 com</w:t>
      </w:r>
      <w:r>
        <w:rPr>
          <w:rFonts w:ascii="sans-serif" w:eastAsia="sans-serif" w:hAnsi="sans-serif" w:cs="sans-serif"/>
          <w:color w:val="000000"/>
          <w:sz w:val="20"/>
          <w:szCs w:val="20"/>
        </w:rPr>
        <w:t>pared to the second quarter and first half of fiscal year 2022, primarily due to inventory related and warranty reserves.</w:t>
      </w:r>
    </w:p>
    <w:p w14:paraId="19503ADD" w14:textId="77777777" w:rsidR="00BF3A3A" w:rsidRDefault="00A76802">
      <w:pPr>
        <w:spacing w:after="180"/>
        <w:jc w:val="center"/>
      </w:pPr>
      <w:r>
        <w:rPr>
          <w:rFonts w:ascii="sans-serif" w:eastAsia="sans-serif" w:hAnsi="sans-serif" w:cs="sans-serif"/>
          <w:color w:val="000000"/>
          <w:sz w:val="20"/>
          <w:szCs w:val="20"/>
        </w:rPr>
        <w:t>29</w:t>
      </w:r>
    </w:p>
    <w:p w14:paraId="19503ADE" w14:textId="77777777" w:rsidR="00BF3A3A" w:rsidRDefault="00A76802">
      <w:r>
        <w:pict w14:anchorId="19503FE2">
          <v:rect id="_x0000_i1053" style="width:415.3pt;height:1.5pt" o:hralign="center" o:hrstd="t" o:hr="t" fillcolor="#a0a0a0" stroked="f"/>
        </w:pict>
      </w:r>
    </w:p>
    <w:p w14:paraId="19503ADF" w14:textId="77777777" w:rsidR="00BF3A3A" w:rsidRDefault="00BF3A3A">
      <w:pPr>
        <w:spacing w:after="180"/>
        <w:jc w:val="both"/>
      </w:pPr>
    </w:p>
    <w:p w14:paraId="19503AE0" w14:textId="77777777" w:rsidR="00BF3A3A" w:rsidRDefault="00BF3A3A">
      <w:pPr>
        <w:spacing w:after="180"/>
        <w:jc w:val="both"/>
      </w:pPr>
    </w:p>
    <w:p w14:paraId="19503AE1" w14:textId="77777777" w:rsidR="00BF3A3A" w:rsidRDefault="00BF3A3A">
      <w:pPr>
        <w:spacing w:after="180"/>
        <w:jc w:val="both"/>
      </w:pPr>
    </w:p>
    <w:p w14:paraId="19503AE2" w14:textId="77777777" w:rsidR="00BF3A3A" w:rsidRDefault="00A76802">
      <w:pPr>
        <w:spacing w:before="240" w:after="60"/>
        <w:jc w:val="both"/>
      </w:pPr>
      <w:r>
        <w:rPr>
          <w:rFonts w:ascii="sans-serif" w:eastAsia="sans-serif" w:hAnsi="sans-serif" w:cs="sans-serif"/>
          <w:b/>
          <w:bCs/>
          <w:color w:val="76B900"/>
          <w:sz w:val="20"/>
          <w:szCs w:val="20"/>
        </w:rPr>
        <w:t>Operating Expenses</w:t>
      </w:r>
    </w:p>
    <w:tbl>
      <w:tblPr>
        <w:tblW w:w="5000" w:type="pct"/>
        <w:tblCellMar>
          <w:top w:w="15" w:type="dxa"/>
          <w:left w:w="15" w:type="dxa"/>
          <w:bottom w:w="15" w:type="dxa"/>
          <w:right w:w="15" w:type="dxa"/>
        </w:tblCellMar>
        <w:tblLook w:val="04A0" w:firstRow="1" w:lastRow="0" w:firstColumn="1" w:lastColumn="0" w:noHBand="0" w:noVBand="1"/>
      </w:tblPr>
      <w:tblGrid>
        <w:gridCol w:w="62"/>
        <w:gridCol w:w="1235"/>
        <w:gridCol w:w="37"/>
        <w:gridCol w:w="122"/>
        <w:gridCol w:w="595"/>
        <w:gridCol w:w="163"/>
        <w:gridCol w:w="36"/>
        <w:gridCol w:w="36"/>
        <w:gridCol w:w="36"/>
        <w:gridCol w:w="122"/>
        <w:gridCol w:w="506"/>
        <w:gridCol w:w="163"/>
        <w:gridCol w:w="36"/>
        <w:gridCol w:w="36"/>
        <w:gridCol w:w="36"/>
        <w:gridCol w:w="123"/>
        <w:gridCol w:w="565"/>
        <w:gridCol w:w="36"/>
        <w:gridCol w:w="36"/>
        <w:gridCol w:w="36"/>
        <w:gridCol w:w="36"/>
        <w:gridCol w:w="82"/>
        <w:gridCol w:w="565"/>
        <w:gridCol w:w="163"/>
        <w:gridCol w:w="36"/>
        <w:gridCol w:w="36"/>
        <w:gridCol w:w="36"/>
        <w:gridCol w:w="122"/>
        <w:gridCol w:w="501"/>
        <w:gridCol w:w="163"/>
        <w:gridCol w:w="36"/>
        <w:gridCol w:w="36"/>
        <w:gridCol w:w="36"/>
        <w:gridCol w:w="122"/>
        <w:gridCol w:w="501"/>
        <w:gridCol w:w="163"/>
        <w:gridCol w:w="36"/>
        <w:gridCol w:w="36"/>
        <w:gridCol w:w="36"/>
        <w:gridCol w:w="122"/>
        <w:gridCol w:w="501"/>
        <w:gridCol w:w="36"/>
        <w:gridCol w:w="36"/>
        <w:gridCol w:w="36"/>
        <w:gridCol w:w="36"/>
        <w:gridCol w:w="87"/>
        <w:gridCol w:w="560"/>
        <w:gridCol w:w="163"/>
      </w:tblGrid>
      <w:tr w:rsidR="00BF3A3A" w14:paraId="19503B13" w14:textId="77777777">
        <w:tc>
          <w:tcPr>
            <w:tcW w:w="50" w:type="pct"/>
            <w:shd w:val="clear" w:color="auto" w:fill="auto"/>
            <w:vAlign w:val="bottom"/>
          </w:tcPr>
          <w:p w14:paraId="19503AE3" w14:textId="77777777" w:rsidR="00BF3A3A" w:rsidRDefault="00BF3A3A">
            <w:pPr>
              <w:rPr>
                <w:rFonts w:ascii="宋体"/>
              </w:rPr>
            </w:pPr>
          </w:p>
        </w:tc>
        <w:tc>
          <w:tcPr>
            <w:tcW w:w="924" w:type="pct"/>
            <w:shd w:val="clear" w:color="auto" w:fill="auto"/>
            <w:vAlign w:val="bottom"/>
          </w:tcPr>
          <w:p w14:paraId="19503AE4" w14:textId="77777777" w:rsidR="00BF3A3A" w:rsidRDefault="00BF3A3A">
            <w:pPr>
              <w:rPr>
                <w:rFonts w:ascii="宋体"/>
              </w:rPr>
            </w:pPr>
          </w:p>
        </w:tc>
        <w:tc>
          <w:tcPr>
            <w:tcW w:w="5" w:type="pct"/>
            <w:shd w:val="clear" w:color="auto" w:fill="auto"/>
            <w:vAlign w:val="bottom"/>
          </w:tcPr>
          <w:p w14:paraId="19503AE5" w14:textId="77777777" w:rsidR="00BF3A3A" w:rsidRDefault="00BF3A3A">
            <w:pPr>
              <w:rPr>
                <w:rFonts w:ascii="宋体"/>
              </w:rPr>
            </w:pPr>
          </w:p>
        </w:tc>
        <w:tc>
          <w:tcPr>
            <w:tcW w:w="50" w:type="pct"/>
            <w:shd w:val="clear" w:color="auto" w:fill="auto"/>
            <w:vAlign w:val="bottom"/>
          </w:tcPr>
          <w:p w14:paraId="19503AE6" w14:textId="77777777" w:rsidR="00BF3A3A" w:rsidRDefault="00BF3A3A">
            <w:pPr>
              <w:rPr>
                <w:rFonts w:ascii="宋体"/>
              </w:rPr>
            </w:pPr>
          </w:p>
        </w:tc>
        <w:tc>
          <w:tcPr>
            <w:tcW w:w="493" w:type="pct"/>
            <w:shd w:val="clear" w:color="auto" w:fill="auto"/>
            <w:vAlign w:val="bottom"/>
          </w:tcPr>
          <w:p w14:paraId="19503AE7" w14:textId="77777777" w:rsidR="00BF3A3A" w:rsidRDefault="00BF3A3A">
            <w:pPr>
              <w:rPr>
                <w:rFonts w:ascii="宋体"/>
              </w:rPr>
            </w:pPr>
          </w:p>
        </w:tc>
        <w:tc>
          <w:tcPr>
            <w:tcW w:w="5" w:type="pct"/>
            <w:shd w:val="clear" w:color="auto" w:fill="auto"/>
            <w:vAlign w:val="bottom"/>
          </w:tcPr>
          <w:p w14:paraId="19503AE8" w14:textId="77777777" w:rsidR="00BF3A3A" w:rsidRDefault="00BF3A3A">
            <w:pPr>
              <w:rPr>
                <w:rFonts w:ascii="宋体"/>
              </w:rPr>
            </w:pPr>
          </w:p>
        </w:tc>
        <w:tc>
          <w:tcPr>
            <w:tcW w:w="5" w:type="pct"/>
            <w:shd w:val="clear" w:color="auto" w:fill="auto"/>
            <w:vAlign w:val="bottom"/>
          </w:tcPr>
          <w:p w14:paraId="19503AE9" w14:textId="77777777" w:rsidR="00BF3A3A" w:rsidRDefault="00BF3A3A">
            <w:pPr>
              <w:rPr>
                <w:rFonts w:ascii="宋体"/>
              </w:rPr>
            </w:pPr>
          </w:p>
        </w:tc>
        <w:tc>
          <w:tcPr>
            <w:tcW w:w="26" w:type="pct"/>
            <w:shd w:val="clear" w:color="auto" w:fill="auto"/>
            <w:vAlign w:val="bottom"/>
          </w:tcPr>
          <w:p w14:paraId="19503AEA" w14:textId="77777777" w:rsidR="00BF3A3A" w:rsidRDefault="00BF3A3A">
            <w:pPr>
              <w:rPr>
                <w:rFonts w:ascii="宋体"/>
              </w:rPr>
            </w:pPr>
          </w:p>
        </w:tc>
        <w:tc>
          <w:tcPr>
            <w:tcW w:w="5" w:type="pct"/>
            <w:shd w:val="clear" w:color="auto" w:fill="auto"/>
            <w:vAlign w:val="bottom"/>
          </w:tcPr>
          <w:p w14:paraId="19503AEB" w14:textId="77777777" w:rsidR="00BF3A3A" w:rsidRDefault="00BF3A3A">
            <w:pPr>
              <w:rPr>
                <w:rFonts w:ascii="宋体"/>
              </w:rPr>
            </w:pPr>
          </w:p>
        </w:tc>
        <w:tc>
          <w:tcPr>
            <w:tcW w:w="50" w:type="pct"/>
            <w:shd w:val="clear" w:color="auto" w:fill="auto"/>
            <w:vAlign w:val="bottom"/>
          </w:tcPr>
          <w:p w14:paraId="19503AEC" w14:textId="77777777" w:rsidR="00BF3A3A" w:rsidRDefault="00BF3A3A">
            <w:pPr>
              <w:rPr>
                <w:rFonts w:ascii="宋体"/>
              </w:rPr>
            </w:pPr>
          </w:p>
        </w:tc>
        <w:tc>
          <w:tcPr>
            <w:tcW w:w="493" w:type="pct"/>
            <w:shd w:val="clear" w:color="auto" w:fill="auto"/>
            <w:vAlign w:val="bottom"/>
          </w:tcPr>
          <w:p w14:paraId="19503AED" w14:textId="77777777" w:rsidR="00BF3A3A" w:rsidRDefault="00BF3A3A">
            <w:pPr>
              <w:rPr>
                <w:rFonts w:ascii="宋体"/>
              </w:rPr>
            </w:pPr>
          </w:p>
        </w:tc>
        <w:tc>
          <w:tcPr>
            <w:tcW w:w="5" w:type="pct"/>
            <w:shd w:val="clear" w:color="auto" w:fill="auto"/>
            <w:vAlign w:val="bottom"/>
          </w:tcPr>
          <w:p w14:paraId="19503AEE" w14:textId="77777777" w:rsidR="00BF3A3A" w:rsidRDefault="00BF3A3A">
            <w:pPr>
              <w:rPr>
                <w:rFonts w:ascii="宋体"/>
              </w:rPr>
            </w:pPr>
          </w:p>
        </w:tc>
        <w:tc>
          <w:tcPr>
            <w:tcW w:w="5" w:type="pct"/>
            <w:shd w:val="clear" w:color="auto" w:fill="auto"/>
            <w:vAlign w:val="bottom"/>
          </w:tcPr>
          <w:p w14:paraId="19503AEF" w14:textId="77777777" w:rsidR="00BF3A3A" w:rsidRDefault="00BF3A3A">
            <w:pPr>
              <w:rPr>
                <w:rFonts w:ascii="宋体"/>
              </w:rPr>
            </w:pPr>
          </w:p>
        </w:tc>
        <w:tc>
          <w:tcPr>
            <w:tcW w:w="26" w:type="pct"/>
            <w:shd w:val="clear" w:color="auto" w:fill="auto"/>
            <w:vAlign w:val="bottom"/>
          </w:tcPr>
          <w:p w14:paraId="19503AF0" w14:textId="77777777" w:rsidR="00BF3A3A" w:rsidRDefault="00BF3A3A">
            <w:pPr>
              <w:rPr>
                <w:rFonts w:ascii="宋体"/>
              </w:rPr>
            </w:pPr>
          </w:p>
        </w:tc>
        <w:tc>
          <w:tcPr>
            <w:tcW w:w="5" w:type="pct"/>
            <w:shd w:val="clear" w:color="auto" w:fill="auto"/>
            <w:vAlign w:val="bottom"/>
          </w:tcPr>
          <w:p w14:paraId="19503AF1" w14:textId="77777777" w:rsidR="00BF3A3A" w:rsidRDefault="00BF3A3A">
            <w:pPr>
              <w:rPr>
                <w:rFonts w:ascii="宋体"/>
              </w:rPr>
            </w:pPr>
          </w:p>
        </w:tc>
        <w:tc>
          <w:tcPr>
            <w:tcW w:w="50" w:type="pct"/>
            <w:shd w:val="clear" w:color="auto" w:fill="auto"/>
            <w:vAlign w:val="bottom"/>
          </w:tcPr>
          <w:p w14:paraId="19503AF2" w14:textId="77777777" w:rsidR="00BF3A3A" w:rsidRDefault="00BF3A3A">
            <w:pPr>
              <w:rPr>
                <w:rFonts w:ascii="宋体"/>
              </w:rPr>
            </w:pPr>
          </w:p>
        </w:tc>
        <w:tc>
          <w:tcPr>
            <w:tcW w:w="347" w:type="pct"/>
            <w:shd w:val="clear" w:color="auto" w:fill="auto"/>
            <w:vAlign w:val="bottom"/>
          </w:tcPr>
          <w:p w14:paraId="19503AF3" w14:textId="77777777" w:rsidR="00BF3A3A" w:rsidRDefault="00BF3A3A">
            <w:pPr>
              <w:rPr>
                <w:rFonts w:ascii="宋体"/>
              </w:rPr>
            </w:pPr>
          </w:p>
        </w:tc>
        <w:tc>
          <w:tcPr>
            <w:tcW w:w="5" w:type="pct"/>
            <w:shd w:val="clear" w:color="auto" w:fill="auto"/>
            <w:vAlign w:val="bottom"/>
          </w:tcPr>
          <w:p w14:paraId="19503AF4" w14:textId="77777777" w:rsidR="00BF3A3A" w:rsidRDefault="00BF3A3A">
            <w:pPr>
              <w:rPr>
                <w:rFonts w:ascii="宋体"/>
              </w:rPr>
            </w:pPr>
          </w:p>
        </w:tc>
        <w:tc>
          <w:tcPr>
            <w:tcW w:w="5" w:type="pct"/>
            <w:shd w:val="clear" w:color="auto" w:fill="auto"/>
            <w:vAlign w:val="bottom"/>
          </w:tcPr>
          <w:p w14:paraId="19503AF5" w14:textId="77777777" w:rsidR="00BF3A3A" w:rsidRDefault="00BF3A3A">
            <w:pPr>
              <w:rPr>
                <w:rFonts w:ascii="宋体"/>
              </w:rPr>
            </w:pPr>
          </w:p>
        </w:tc>
        <w:tc>
          <w:tcPr>
            <w:tcW w:w="26" w:type="pct"/>
            <w:shd w:val="clear" w:color="auto" w:fill="auto"/>
            <w:vAlign w:val="bottom"/>
          </w:tcPr>
          <w:p w14:paraId="19503AF6" w14:textId="77777777" w:rsidR="00BF3A3A" w:rsidRDefault="00BF3A3A">
            <w:pPr>
              <w:rPr>
                <w:rFonts w:ascii="宋体"/>
              </w:rPr>
            </w:pPr>
          </w:p>
        </w:tc>
        <w:tc>
          <w:tcPr>
            <w:tcW w:w="5" w:type="pct"/>
            <w:shd w:val="clear" w:color="auto" w:fill="auto"/>
            <w:vAlign w:val="bottom"/>
          </w:tcPr>
          <w:p w14:paraId="19503AF7" w14:textId="77777777" w:rsidR="00BF3A3A" w:rsidRDefault="00BF3A3A">
            <w:pPr>
              <w:rPr>
                <w:rFonts w:ascii="宋体"/>
              </w:rPr>
            </w:pPr>
          </w:p>
        </w:tc>
        <w:tc>
          <w:tcPr>
            <w:tcW w:w="50" w:type="pct"/>
            <w:shd w:val="clear" w:color="auto" w:fill="auto"/>
            <w:vAlign w:val="bottom"/>
          </w:tcPr>
          <w:p w14:paraId="19503AF8" w14:textId="77777777" w:rsidR="00BF3A3A" w:rsidRDefault="00BF3A3A">
            <w:pPr>
              <w:rPr>
                <w:rFonts w:ascii="宋体"/>
              </w:rPr>
            </w:pPr>
          </w:p>
        </w:tc>
        <w:tc>
          <w:tcPr>
            <w:tcW w:w="347" w:type="pct"/>
            <w:shd w:val="clear" w:color="auto" w:fill="auto"/>
            <w:vAlign w:val="bottom"/>
          </w:tcPr>
          <w:p w14:paraId="19503AF9" w14:textId="77777777" w:rsidR="00BF3A3A" w:rsidRDefault="00BF3A3A">
            <w:pPr>
              <w:rPr>
                <w:rFonts w:ascii="宋体"/>
              </w:rPr>
            </w:pPr>
          </w:p>
        </w:tc>
        <w:tc>
          <w:tcPr>
            <w:tcW w:w="5" w:type="pct"/>
            <w:shd w:val="clear" w:color="auto" w:fill="auto"/>
            <w:vAlign w:val="bottom"/>
          </w:tcPr>
          <w:p w14:paraId="19503AFA" w14:textId="77777777" w:rsidR="00BF3A3A" w:rsidRDefault="00BF3A3A">
            <w:pPr>
              <w:rPr>
                <w:rFonts w:ascii="宋体"/>
              </w:rPr>
            </w:pPr>
          </w:p>
        </w:tc>
        <w:tc>
          <w:tcPr>
            <w:tcW w:w="5" w:type="pct"/>
            <w:shd w:val="clear" w:color="auto" w:fill="auto"/>
            <w:vAlign w:val="bottom"/>
          </w:tcPr>
          <w:p w14:paraId="19503AFB" w14:textId="77777777" w:rsidR="00BF3A3A" w:rsidRDefault="00BF3A3A">
            <w:pPr>
              <w:rPr>
                <w:rFonts w:ascii="宋体"/>
              </w:rPr>
            </w:pPr>
          </w:p>
        </w:tc>
        <w:tc>
          <w:tcPr>
            <w:tcW w:w="26" w:type="pct"/>
            <w:shd w:val="clear" w:color="auto" w:fill="auto"/>
            <w:vAlign w:val="bottom"/>
          </w:tcPr>
          <w:p w14:paraId="19503AFC" w14:textId="77777777" w:rsidR="00BF3A3A" w:rsidRDefault="00BF3A3A">
            <w:pPr>
              <w:rPr>
                <w:rFonts w:ascii="宋体"/>
              </w:rPr>
            </w:pPr>
          </w:p>
        </w:tc>
        <w:tc>
          <w:tcPr>
            <w:tcW w:w="5" w:type="pct"/>
            <w:shd w:val="clear" w:color="auto" w:fill="auto"/>
            <w:vAlign w:val="bottom"/>
          </w:tcPr>
          <w:p w14:paraId="19503AFD" w14:textId="77777777" w:rsidR="00BF3A3A" w:rsidRDefault="00BF3A3A">
            <w:pPr>
              <w:rPr>
                <w:rFonts w:ascii="宋体"/>
              </w:rPr>
            </w:pPr>
          </w:p>
        </w:tc>
        <w:tc>
          <w:tcPr>
            <w:tcW w:w="50" w:type="pct"/>
            <w:shd w:val="clear" w:color="auto" w:fill="auto"/>
            <w:vAlign w:val="bottom"/>
          </w:tcPr>
          <w:p w14:paraId="19503AFE" w14:textId="77777777" w:rsidR="00BF3A3A" w:rsidRDefault="00BF3A3A">
            <w:pPr>
              <w:rPr>
                <w:rFonts w:ascii="宋体"/>
              </w:rPr>
            </w:pPr>
          </w:p>
        </w:tc>
        <w:tc>
          <w:tcPr>
            <w:tcW w:w="500" w:type="pct"/>
            <w:shd w:val="clear" w:color="auto" w:fill="auto"/>
            <w:vAlign w:val="bottom"/>
          </w:tcPr>
          <w:p w14:paraId="19503AFF" w14:textId="77777777" w:rsidR="00BF3A3A" w:rsidRDefault="00BF3A3A">
            <w:pPr>
              <w:rPr>
                <w:rFonts w:ascii="宋体"/>
              </w:rPr>
            </w:pPr>
          </w:p>
        </w:tc>
        <w:tc>
          <w:tcPr>
            <w:tcW w:w="5" w:type="pct"/>
            <w:shd w:val="clear" w:color="auto" w:fill="auto"/>
            <w:vAlign w:val="bottom"/>
          </w:tcPr>
          <w:p w14:paraId="19503B00" w14:textId="77777777" w:rsidR="00BF3A3A" w:rsidRDefault="00BF3A3A">
            <w:pPr>
              <w:rPr>
                <w:rFonts w:ascii="宋体"/>
              </w:rPr>
            </w:pPr>
          </w:p>
        </w:tc>
        <w:tc>
          <w:tcPr>
            <w:tcW w:w="5" w:type="pct"/>
            <w:shd w:val="clear" w:color="auto" w:fill="auto"/>
            <w:vAlign w:val="bottom"/>
          </w:tcPr>
          <w:p w14:paraId="19503B01" w14:textId="77777777" w:rsidR="00BF3A3A" w:rsidRDefault="00BF3A3A">
            <w:pPr>
              <w:rPr>
                <w:rFonts w:ascii="宋体"/>
              </w:rPr>
            </w:pPr>
          </w:p>
        </w:tc>
        <w:tc>
          <w:tcPr>
            <w:tcW w:w="26" w:type="pct"/>
            <w:shd w:val="clear" w:color="auto" w:fill="auto"/>
            <w:vAlign w:val="bottom"/>
          </w:tcPr>
          <w:p w14:paraId="19503B02" w14:textId="77777777" w:rsidR="00BF3A3A" w:rsidRDefault="00BF3A3A">
            <w:pPr>
              <w:rPr>
                <w:rFonts w:ascii="宋体"/>
              </w:rPr>
            </w:pPr>
          </w:p>
        </w:tc>
        <w:tc>
          <w:tcPr>
            <w:tcW w:w="5" w:type="pct"/>
            <w:shd w:val="clear" w:color="auto" w:fill="auto"/>
            <w:vAlign w:val="bottom"/>
          </w:tcPr>
          <w:p w14:paraId="19503B03" w14:textId="77777777" w:rsidR="00BF3A3A" w:rsidRDefault="00BF3A3A">
            <w:pPr>
              <w:rPr>
                <w:rFonts w:ascii="宋体"/>
              </w:rPr>
            </w:pPr>
          </w:p>
        </w:tc>
        <w:tc>
          <w:tcPr>
            <w:tcW w:w="50" w:type="pct"/>
            <w:shd w:val="clear" w:color="auto" w:fill="auto"/>
            <w:vAlign w:val="bottom"/>
          </w:tcPr>
          <w:p w14:paraId="19503B04" w14:textId="77777777" w:rsidR="00BF3A3A" w:rsidRDefault="00BF3A3A">
            <w:pPr>
              <w:rPr>
                <w:rFonts w:ascii="宋体"/>
              </w:rPr>
            </w:pPr>
          </w:p>
        </w:tc>
        <w:tc>
          <w:tcPr>
            <w:tcW w:w="493" w:type="pct"/>
            <w:shd w:val="clear" w:color="auto" w:fill="auto"/>
            <w:vAlign w:val="bottom"/>
          </w:tcPr>
          <w:p w14:paraId="19503B05" w14:textId="77777777" w:rsidR="00BF3A3A" w:rsidRDefault="00BF3A3A">
            <w:pPr>
              <w:rPr>
                <w:rFonts w:ascii="宋体"/>
              </w:rPr>
            </w:pPr>
          </w:p>
        </w:tc>
        <w:tc>
          <w:tcPr>
            <w:tcW w:w="5" w:type="pct"/>
            <w:shd w:val="clear" w:color="auto" w:fill="auto"/>
            <w:vAlign w:val="bottom"/>
          </w:tcPr>
          <w:p w14:paraId="19503B06" w14:textId="77777777" w:rsidR="00BF3A3A" w:rsidRDefault="00BF3A3A">
            <w:pPr>
              <w:rPr>
                <w:rFonts w:ascii="宋体"/>
              </w:rPr>
            </w:pPr>
          </w:p>
        </w:tc>
        <w:tc>
          <w:tcPr>
            <w:tcW w:w="5" w:type="pct"/>
            <w:shd w:val="clear" w:color="auto" w:fill="auto"/>
            <w:vAlign w:val="bottom"/>
          </w:tcPr>
          <w:p w14:paraId="19503B07" w14:textId="77777777" w:rsidR="00BF3A3A" w:rsidRDefault="00BF3A3A">
            <w:pPr>
              <w:rPr>
                <w:rFonts w:ascii="宋体"/>
              </w:rPr>
            </w:pPr>
          </w:p>
        </w:tc>
        <w:tc>
          <w:tcPr>
            <w:tcW w:w="26" w:type="pct"/>
            <w:shd w:val="clear" w:color="auto" w:fill="auto"/>
            <w:vAlign w:val="bottom"/>
          </w:tcPr>
          <w:p w14:paraId="19503B08" w14:textId="77777777" w:rsidR="00BF3A3A" w:rsidRDefault="00BF3A3A">
            <w:pPr>
              <w:rPr>
                <w:rFonts w:ascii="宋体"/>
              </w:rPr>
            </w:pPr>
          </w:p>
        </w:tc>
        <w:tc>
          <w:tcPr>
            <w:tcW w:w="5" w:type="pct"/>
            <w:shd w:val="clear" w:color="auto" w:fill="auto"/>
            <w:vAlign w:val="bottom"/>
          </w:tcPr>
          <w:p w14:paraId="19503B09" w14:textId="77777777" w:rsidR="00BF3A3A" w:rsidRDefault="00BF3A3A">
            <w:pPr>
              <w:rPr>
                <w:rFonts w:ascii="宋体"/>
              </w:rPr>
            </w:pPr>
          </w:p>
        </w:tc>
        <w:tc>
          <w:tcPr>
            <w:tcW w:w="50" w:type="pct"/>
            <w:shd w:val="clear" w:color="auto" w:fill="auto"/>
            <w:vAlign w:val="bottom"/>
          </w:tcPr>
          <w:p w14:paraId="19503B0A" w14:textId="77777777" w:rsidR="00BF3A3A" w:rsidRDefault="00BF3A3A">
            <w:pPr>
              <w:rPr>
                <w:rFonts w:ascii="宋体"/>
              </w:rPr>
            </w:pPr>
          </w:p>
        </w:tc>
        <w:tc>
          <w:tcPr>
            <w:tcW w:w="325" w:type="pct"/>
            <w:shd w:val="clear" w:color="auto" w:fill="auto"/>
            <w:vAlign w:val="bottom"/>
          </w:tcPr>
          <w:p w14:paraId="19503B0B" w14:textId="77777777" w:rsidR="00BF3A3A" w:rsidRDefault="00BF3A3A">
            <w:pPr>
              <w:rPr>
                <w:rFonts w:ascii="宋体"/>
              </w:rPr>
            </w:pPr>
          </w:p>
        </w:tc>
        <w:tc>
          <w:tcPr>
            <w:tcW w:w="5" w:type="pct"/>
            <w:shd w:val="clear" w:color="auto" w:fill="auto"/>
            <w:vAlign w:val="bottom"/>
          </w:tcPr>
          <w:p w14:paraId="19503B0C" w14:textId="77777777" w:rsidR="00BF3A3A" w:rsidRDefault="00BF3A3A">
            <w:pPr>
              <w:rPr>
                <w:rFonts w:ascii="宋体"/>
              </w:rPr>
            </w:pPr>
          </w:p>
        </w:tc>
        <w:tc>
          <w:tcPr>
            <w:tcW w:w="5" w:type="pct"/>
            <w:shd w:val="clear" w:color="auto" w:fill="auto"/>
            <w:vAlign w:val="bottom"/>
          </w:tcPr>
          <w:p w14:paraId="19503B0D" w14:textId="77777777" w:rsidR="00BF3A3A" w:rsidRDefault="00BF3A3A">
            <w:pPr>
              <w:rPr>
                <w:rFonts w:ascii="宋体"/>
              </w:rPr>
            </w:pPr>
          </w:p>
        </w:tc>
        <w:tc>
          <w:tcPr>
            <w:tcW w:w="26" w:type="pct"/>
            <w:shd w:val="clear" w:color="auto" w:fill="auto"/>
            <w:vAlign w:val="bottom"/>
          </w:tcPr>
          <w:p w14:paraId="19503B0E" w14:textId="77777777" w:rsidR="00BF3A3A" w:rsidRDefault="00BF3A3A">
            <w:pPr>
              <w:rPr>
                <w:rFonts w:ascii="宋体"/>
              </w:rPr>
            </w:pPr>
          </w:p>
        </w:tc>
        <w:tc>
          <w:tcPr>
            <w:tcW w:w="5" w:type="pct"/>
            <w:shd w:val="clear" w:color="auto" w:fill="auto"/>
            <w:vAlign w:val="bottom"/>
          </w:tcPr>
          <w:p w14:paraId="19503B0F" w14:textId="77777777" w:rsidR="00BF3A3A" w:rsidRDefault="00BF3A3A">
            <w:pPr>
              <w:rPr>
                <w:rFonts w:ascii="宋体"/>
              </w:rPr>
            </w:pPr>
          </w:p>
        </w:tc>
        <w:tc>
          <w:tcPr>
            <w:tcW w:w="50" w:type="pct"/>
            <w:shd w:val="clear" w:color="auto" w:fill="auto"/>
            <w:vAlign w:val="bottom"/>
          </w:tcPr>
          <w:p w14:paraId="19503B10" w14:textId="77777777" w:rsidR="00BF3A3A" w:rsidRDefault="00BF3A3A">
            <w:pPr>
              <w:rPr>
                <w:rFonts w:ascii="宋体"/>
              </w:rPr>
            </w:pPr>
          </w:p>
        </w:tc>
        <w:tc>
          <w:tcPr>
            <w:tcW w:w="325" w:type="pct"/>
            <w:shd w:val="clear" w:color="auto" w:fill="auto"/>
            <w:vAlign w:val="bottom"/>
          </w:tcPr>
          <w:p w14:paraId="19503B11" w14:textId="77777777" w:rsidR="00BF3A3A" w:rsidRDefault="00BF3A3A">
            <w:pPr>
              <w:rPr>
                <w:rFonts w:ascii="宋体"/>
              </w:rPr>
            </w:pPr>
          </w:p>
        </w:tc>
        <w:tc>
          <w:tcPr>
            <w:tcW w:w="5" w:type="pct"/>
            <w:shd w:val="clear" w:color="auto" w:fill="auto"/>
            <w:vAlign w:val="bottom"/>
          </w:tcPr>
          <w:p w14:paraId="19503B12" w14:textId="77777777" w:rsidR="00BF3A3A" w:rsidRDefault="00BF3A3A">
            <w:pPr>
              <w:rPr>
                <w:rFonts w:ascii="宋体"/>
              </w:rPr>
            </w:pPr>
          </w:p>
        </w:tc>
      </w:tr>
      <w:tr w:rsidR="00BF3A3A" w14:paraId="19503B18" w14:textId="77777777">
        <w:tc>
          <w:tcPr>
            <w:tcW w:w="0" w:type="auto"/>
            <w:gridSpan w:val="3"/>
            <w:shd w:val="clear" w:color="auto" w:fill="auto"/>
            <w:tcMar>
              <w:top w:w="40" w:type="dxa"/>
              <w:left w:w="20" w:type="dxa"/>
              <w:bottom w:w="40" w:type="dxa"/>
              <w:right w:w="20" w:type="dxa"/>
            </w:tcMar>
            <w:vAlign w:val="center"/>
          </w:tcPr>
          <w:p w14:paraId="19503B14" w14:textId="77777777" w:rsidR="00BF3A3A" w:rsidRDefault="00A76802">
            <w:pPr>
              <w:textAlignment w:val="center"/>
            </w:pPr>
            <w:r>
              <w:rPr>
                <w:rFonts w:ascii="sans-serif" w:eastAsia="sans-serif" w:hAnsi="sans-serif" w:cs="sans-serif"/>
                <w:color w:val="000000"/>
                <w:sz w:val="20"/>
                <w:szCs w:val="20"/>
              </w:rPr>
              <w:t> </w:t>
            </w:r>
          </w:p>
        </w:tc>
        <w:tc>
          <w:tcPr>
            <w:tcW w:w="0" w:type="auto"/>
            <w:gridSpan w:val="21"/>
            <w:shd w:val="clear" w:color="auto" w:fill="auto"/>
            <w:tcMar>
              <w:top w:w="40" w:type="dxa"/>
              <w:left w:w="20" w:type="dxa"/>
              <w:bottom w:w="40" w:type="dxa"/>
              <w:right w:w="20" w:type="dxa"/>
            </w:tcMar>
            <w:vAlign w:val="center"/>
          </w:tcPr>
          <w:p w14:paraId="19503B15" w14:textId="77777777" w:rsidR="00BF3A3A" w:rsidRDefault="00A76802">
            <w:pPr>
              <w:jc w:val="center"/>
              <w:textAlignment w:val="center"/>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19503B16" w14:textId="77777777" w:rsidR="00BF3A3A" w:rsidRDefault="00BF3A3A">
            <w:pPr>
              <w:rPr>
                <w:rFonts w:ascii="宋体"/>
              </w:rPr>
            </w:pPr>
          </w:p>
        </w:tc>
        <w:tc>
          <w:tcPr>
            <w:tcW w:w="0" w:type="auto"/>
            <w:gridSpan w:val="21"/>
            <w:shd w:val="clear" w:color="auto" w:fill="auto"/>
            <w:tcMar>
              <w:top w:w="40" w:type="dxa"/>
              <w:left w:w="20" w:type="dxa"/>
              <w:bottom w:w="40" w:type="dxa"/>
              <w:right w:w="20" w:type="dxa"/>
            </w:tcMar>
            <w:vAlign w:val="center"/>
          </w:tcPr>
          <w:p w14:paraId="19503B17" w14:textId="77777777" w:rsidR="00BF3A3A" w:rsidRDefault="00A76802">
            <w:pPr>
              <w:jc w:val="center"/>
              <w:textAlignment w:val="center"/>
            </w:pPr>
            <w:r>
              <w:rPr>
                <w:rFonts w:ascii="sans-serif" w:eastAsia="sans-serif" w:hAnsi="sans-serif" w:cs="sans-serif"/>
                <w:b/>
                <w:bCs/>
                <w:color w:val="000000"/>
                <w:sz w:val="20"/>
                <w:szCs w:val="20"/>
              </w:rPr>
              <w:t>Six Months Ended</w:t>
            </w:r>
          </w:p>
        </w:tc>
      </w:tr>
      <w:tr w:rsidR="00BF3A3A" w14:paraId="19503B29" w14:textId="77777777">
        <w:tc>
          <w:tcPr>
            <w:tcW w:w="0" w:type="auto"/>
            <w:gridSpan w:val="3"/>
            <w:shd w:val="clear" w:color="auto" w:fill="auto"/>
            <w:tcMar>
              <w:top w:w="40" w:type="dxa"/>
              <w:left w:w="20" w:type="dxa"/>
              <w:bottom w:w="40" w:type="dxa"/>
              <w:right w:w="20" w:type="dxa"/>
            </w:tcMar>
            <w:vAlign w:val="center"/>
          </w:tcPr>
          <w:p w14:paraId="19503B19" w14:textId="77777777" w:rsidR="00BF3A3A" w:rsidRDefault="00A76802">
            <w:pPr>
              <w:textAlignment w:val="center"/>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B1A" w14:textId="77777777" w:rsidR="00BF3A3A" w:rsidRDefault="00A76802">
            <w:pPr>
              <w:jc w:val="center"/>
              <w:textAlignment w:val="center"/>
            </w:pPr>
            <w:r>
              <w:rPr>
                <w:rFonts w:ascii="sans-serif" w:eastAsia="sans-serif" w:hAnsi="sans-serif" w:cs="sans-serif"/>
                <w:b/>
                <w:bCs/>
                <w:color w:val="000000"/>
                <w:sz w:val="20"/>
                <w:szCs w:val="20"/>
              </w:rPr>
              <w:t>July 31,</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B1B"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B1C" w14:textId="77777777" w:rsidR="00BF3A3A" w:rsidRDefault="00A76802">
            <w:pPr>
              <w:jc w:val="center"/>
              <w:textAlignment w:val="center"/>
            </w:pPr>
            <w:r>
              <w:rPr>
                <w:rFonts w:ascii="sans-serif" w:eastAsia="sans-serif" w:hAnsi="sans-serif" w:cs="sans-serif"/>
                <w:b/>
                <w:bCs/>
                <w:color w:val="000000"/>
                <w:sz w:val="20"/>
                <w:szCs w:val="20"/>
              </w:rPr>
              <w:t>August 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B1D"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B1E" w14:textId="77777777" w:rsidR="00BF3A3A" w:rsidRDefault="00A76802">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B1F"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B20" w14:textId="77777777" w:rsidR="00BF3A3A" w:rsidRDefault="00A76802">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shd w:val="clear" w:color="auto" w:fill="auto"/>
            <w:tcMar>
              <w:top w:w="0" w:type="dxa"/>
              <w:left w:w="20" w:type="dxa"/>
              <w:bottom w:w="0" w:type="dxa"/>
              <w:right w:w="20" w:type="dxa"/>
            </w:tcMar>
            <w:vAlign w:val="bottom"/>
          </w:tcPr>
          <w:p w14:paraId="19503B21"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B22" w14:textId="77777777" w:rsidR="00BF3A3A" w:rsidRDefault="00A76802">
            <w:pPr>
              <w:jc w:val="center"/>
              <w:textAlignment w:val="center"/>
            </w:pPr>
            <w:r>
              <w:rPr>
                <w:rFonts w:ascii="sans-serif" w:eastAsia="sans-serif" w:hAnsi="sans-serif" w:cs="sans-serif"/>
                <w:b/>
                <w:bCs/>
                <w:color w:val="000000"/>
                <w:sz w:val="20"/>
                <w:szCs w:val="20"/>
              </w:rPr>
              <w:t>July 31,</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B23"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B24" w14:textId="77777777" w:rsidR="00BF3A3A" w:rsidRDefault="00A76802">
            <w:pPr>
              <w:jc w:val="center"/>
              <w:textAlignment w:val="center"/>
            </w:pPr>
            <w:r>
              <w:rPr>
                <w:rFonts w:ascii="sans-serif" w:eastAsia="sans-serif" w:hAnsi="sans-serif" w:cs="sans-serif"/>
                <w:b/>
                <w:bCs/>
                <w:color w:val="000000"/>
                <w:sz w:val="20"/>
                <w:szCs w:val="20"/>
              </w:rPr>
              <w:t>August 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B25"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B26" w14:textId="77777777" w:rsidR="00BF3A3A" w:rsidRDefault="00A76802">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B27"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B28" w14:textId="77777777" w:rsidR="00BF3A3A" w:rsidRDefault="00A76802">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r>
      <w:tr w:rsidR="00BF3A3A" w14:paraId="19503B3A" w14:textId="77777777">
        <w:trPr>
          <w:trHeight w:val="60"/>
        </w:trPr>
        <w:tc>
          <w:tcPr>
            <w:tcW w:w="0" w:type="auto"/>
            <w:gridSpan w:val="3"/>
            <w:shd w:val="clear" w:color="auto" w:fill="auto"/>
            <w:tcMar>
              <w:top w:w="0" w:type="dxa"/>
              <w:left w:w="20" w:type="dxa"/>
              <w:bottom w:w="0" w:type="dxa"/>
              <w:right w:w="20" w:type="dxa"/>
            </w:tcMar>
            <w:vAlign w:val="bottom"/>
          </w:tcPr>
          <w:p w14:paraId="19503B2A"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B2B"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B2C"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B2D"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B2E"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B2F"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B30"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B31"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B32"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B33"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B34"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B35"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B36"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B37"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B38"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B39" w14:textId="77777777" w:rsidR="00BF3A3A" w:rsidRDefault="00BF3A3A">
            <w:pPr>
              <w:rPr>
                <w:rFonts w:ascii="宋体"/>
              </w:rPr>
            </w:pPr>
          </w:p>
        </w:tc>
      </w:tr>
      <w:tr w:rsidR="00BF3A3A" w14:paraId="19503B3D" w14:textId="77777777">
        <w:tc>
          <w:tcPr>
            <w:tcW w:w="0" w:type="auto"/>
            <w:gridSpan w:val="3"/>
            <w:shd w:val="clear" w:color="auto" w:fill="auto"/>
            <w:tcMar>
              <w:top w:w="40" w:type="dxa"/>
              <w:left w:w="20" w:type="dxa"/>
              <w:bottom w:w="40" w:type="dxa"/>
              <w:right w:w="20" w:type="dxa"/>
            </w:tcMar>
            <w:vAlign w:val="bottom"/>
          </w:tcPr>
          <w:p w14:paraId="19503B3B" w14:textId="77777777" w:rsidR="00BF3A3A" w:rsidRDefault="00A76802">
            <w:pPr>
              <w:textAlignment w:val="bottom"/>
            </w:pPr>
            <w:r>
              <w:rPr>
                <w:rFonts w:ascii="sans-serif" w:eastAsia="sans-serif" w:hAnsi="sans-serif" w:cs="sans-serif"/>
                <w:color w:val="000000"/>
                <w:sz w:val="20"/>
                <w:szCs w:val="20"/>
              </w:rPr>
              <w:t> </w:t>
            </w:r>
          </w:p>
        </w:tc>
        <w:tc>
          <w:tcPr>
            <w:tcW w:w="0" w:type="auto"/>
            <w:gridSpan w:val="45"/>
            <w:shd w:val="clear" w:color="auto" w:fill="auto"/>
            <w:tcMar>
              <w:top w:w="40" w:type="dxa"/>
              <w:left w:w="20" w:type="dxa"/>
              <w:bottom w:w="40" w:type="dxa"/>
              <w:right w:w="20" w:type="dxa"/>
            </w:tcMar>
            <w:vAlign w:val="bottom"/>
          </w:tcPr>
          <w:p w14:paraId="19503B3C" w14:textId="77777777" w:rsidR="00BF3A3A" w:rsidRDefault="00A76802">
            <w:pPr>
              <w:jc w:val="center"/>
              <w:textAlignment w:val="bottom"/>
            </w:pPr>
            <w:r>
              <w:rPr>
                <w:rFonts w:ascii="sans-serif" w:eastAsia="sans-serif" w:hAnsi="sans-serif" w:cs="sans-serif"/>
                <w:i/>
                <w:iCs/>
                <w:color w:val="000000"/>
                <w:sz w:val="20"/>
                <w:szCs w:val="20"/>
              </w:rPr>
              <w:t>($ in millions)</w:t>
            </w:r>
          </w:p>
        </w:tc>
      </w:tr>
      <w:tr w:rsidR="00A76802" w14:paraId="19503B5C" w14:textId="77777777">
        <w:tc>
          <w:tcPr>
            <w:tcW w:w="0" w:type="auto"/>
            <w:gridSpan w:val="3"/>
            <w:shd w:val="clear" w:color="auto" w:fill="E2EFD9"/>
            <w:tcMar>
              <w:top w:w="40" w:type="dxa"/>
              <w:left w:w="20" w:type="dxa"/>
              <w:bottom w:w="40" w:type="dxa"/>
              <w:right w:w="20" w:type="dxa"/>
            </w:tcMar>
            <w:vAlign w:val="bottom"/>
          </w:tcPr>
          <w:p w14:paraId="19503B3E" w14:textId="77777777" w:rsidR="00BF3A3A" w:rsidRDefault="00A76802">
            <w:pPr>
              <w:textAlignment w:val="bottom"/>
            </w:pPr>
            <w:r>
              <w:rPr>
                <w:rFonts w:ascii="sans-serif" w:eastAsia="sans-serif" w:hAnsi="sans-serif" w:cs="sans-serif"/>
                <w:color w:val="000000"/>
                <w:sz w:val="20"/>
                <w:szCs w:val="20"/>
              </w:rPr>
              <w:t>Research and development expenses</w:t>
            </w:r>
          </w:p>
        </w:tc>
        <w:tc>
          <w:tcPr>
            <w:tcW w:w="0" w:type="auto"/>
            <w:shd w:val="clear" w:color="auto" w:fill="E2EFD9"/>
            <w:tcMar>
              <w:top w:w="40" w:type="dxa"/>
              <w:left w:w="20" w:type="dxa"/>
              <w:bottom w:w="40" w:type="dxa"/>
              <w:right w:w="0" w:type="dxa"/>
            </w:tcMar>
            <w:vAlign w:val="bottom"/>
          </w:tcPr>
          <w:p w14:paraId="19503B3F"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B40" w14:textId="77777777" w:rsidR="00BF3A3A" w:rsidRDefault="00A76802">
            <w:pPr>
              <w:jc w:val="right"/>
              <w:textAlignment w:val="bottom"/>
            </w:pPr>
            <w:r>
              <w:rPr>
                <w:rFonts w:ascii="sans-serif" w:eastAsia="sans-serif" w:hAnsi="sans-serif" w:cs="sans-serif"/>
                <w:color w:val="000000"/>
                <w:sz w:val="20"/>
                <w:szCs w:val="20"/>
              </w:rPr>
              <w:t>1,824 </w:t>
            </w:r>
          </w:p>
        </w:tc>
        <w:tc>
          <w:tcPr>
            <w:tcW w:w="0" w:type="auto"/>
            <w:shd w:val="clear" w:color="auto" w:fill="E2EFD9"/>
            <w:tcMar>
              <w:top w:w="40" w:type="dxa"/>
              <w:left w:w="0" w:type="dxa"/>
              <w:bottom w:w="40" w:type="dxa"/>
              <w:right w:w="20" w:type="dxa"/>
            </w:tcMar>
            <w:vAlign w:val="bottom"/>
          </w:tcPr>
          <w:p w14:paraId="19503B41"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42"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B43"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B44" w14:textId="77777777" w:rsidR="00BF3A3A" w:rsidRDefault="00A76802">
            <w:pPr>
              <w:jc w:val="right"/>
              <w:textAlignment w:val="bottom"/>
            </w:pPr>
            <w:r>
              <w:rPr>
                <w:rFonts w:ascii="sans-serif" w:eastAsia="sans-serif" w:hAnsi="sans-serif" w:cs="sans-serif"/>
                <w:color w:val="000000"/>
                <w:sz w:val="20"/>
                <w:szCs w:val="20"/>
              </w:rPr>
              <w:t>1,245 </w:t>
            </w:r>
          </w:p>
        </w:tc>
        <w:tc>
          <w:tcPr>
            <w:tcW w:w="0" w:type="auto"/>
            <w:shd w:val="clear" w:color="auto" w:fill="E2EFD9"/>
            <w:tcMar>
              <w:top w:w="40" w:type="dxa"/>
              <w:left w:w="0" w:type="dxa"/>
              <w:bottom w:w="40" w:type="dxa"/>
              <w:right w:w="20" w:type="dxa"/>
            </w:tcMar>
            <w:vAlign w:val="bottom"/>
          </w:tcPr>
          <w:p w14:paraId="19503B4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46"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B47"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B48" w14:textId="77777777" w:rsidR="00BF3A3A" w:rsidRDefault="00A76802">
            <w:pPr>
              <w:jc w:val="right"/>
              <w:textAlignment w:val="bottom"/>
            </w:pPr>
            <w:r>
              <w:rPr>
                <w:rFonts w:ascii="sans-serif" w:eastAsia="sans-serif" w:hAnsi="sans-serif" w:cs="sans-serif"/>
                <w:color w:val="000000"/>
                <w:sz w:val="20"/>
                <w:szCs w:val="20"/>
              </w:rPr>
              <w:t>579 </w:t>
            </w:r>
          </w:p>
        </w:tc>
        <w:tc>
          <w:tcPr>
            <w:tcW w:w="0" w:type="auto"/>
            <w:shd w:val="clear" w:color="auto" w:fill="E2EFD9"/>
            <w:tcMar>
              <w:top w:w="40" w:type="dxa"/>
              <w:left w:w="0" w:type="dxa"/>
              <w:bottom w:w="40" w:type="dxa"/>
              <w:right w:w="20" w:type="dxa"/>
            </w:tcMar>
            <w:vAlign w:val="bottom"/>
          </w:tcPr>
          <w:p w14:paraId="19503B4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4A"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B4B" w14:textId="77777777" w:rsidR="00BF3A3A" w:rsidRDefault="00A76802">
            <w:pPr>
              <w:jc w:val="right"/>
              <w:textAlignment w:val="bottom"/>
            </w:pPr>
            <w:r>
              <w:rPr>
                <w:rFonts w:ascii="sans-serif" w:eastAsia="sans-serif" w:hAnsi="sans-serif" w:cs="sans-serif"/>
                <w:color w:val="000000"/>
                <w:sz w:val="20"/>
                <w:szCs w:val="20"/>
              </w:rPr>
              <w:t>47 </w:t>
            </w:r>
          </w:p>
        </w:tc>
        <w:tc>
          <w:tcPr>
            <w:tcW w:w="0" w:type="auto"/>
            <w:shd w:val="clear" w:color="auto" w:fill="E2EFD9"/>
            <w:tcMar>
              <w:top w:w="40" w:type="dxa"/>
              <w:left w:w="0" w:type="dxa"/>
              <w:bottom w:w="40" w:type="dxa"/>
              <w:right w:w="20" w:type="dxa"/>
            </w:tcMar>
            <w:vAlign w:val="bottom"/>
          </w:tcPr>
          <w:p w14:paraId="19503B4C"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19503B4D"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B4E"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B4F" w14:textId="77777777" w:rsidR="00BF3A3A" w:rsidRDefault="00A76802">
            <w:pPr>
              <w:jc w:val="right"/>
              <w:textAlignment w:val="bottom"/>
            </w:pPr>
            <w:r>
              <w:rPr>
                <w:rFonts w:ascii="sans-serif" w:eastAsia="sans-serif" w:hAnsi="sans-serif" w:cs="sans-serif"/>
                <w:color w:val="000000"/>
                <w:sz w:val="20"/>
                <w:szCs w:val="20"/>
              </w:rPr>
              <w:t>3,443 </w:t>
            </w:r>
          </w:p>
        </w:tc>
        <w:tc>
          <w:tcPr>
            <w:tcW w:w="0" w:type="auto"/>
            <w:shd w:val="clear" w:color="auto" w:fill="E2EFD9"/>
            <w:tcMar>
              <w:top w:w="40" w:type="dxa"/>
              <w:left w:w="0" w:type="dxa"/>
              <w:bottom w:w="40" w:type="dxa"/>
              <w:right w:w="20" w:type="dxa"/>
            </w:tcMar>
            <w:vAlign w:val="bottom"/>
          </w:tcPr>
          <w:p w14:paraId="19503B5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51"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B52"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B53" w14:textId="77777777" w:rsidR="00BF3A3A" w:rsidRDefault="00A76802">
            <w:pPr>
              <w:jc w:val="right"/>
              <w:textAlignment w:val="bottom"/>
            </w:pPr>
            <w:r>
              <w:rPr>
                <w:rFonts w:ascii="sans-serif" w:eastAsia="sans-serif" w:hAnsi="sans-serif" w:cs="sans-serif"/>
                <w:color w:val="000000"/>
                <w:sz w:val="20"/>
                <w:szCs w:val="20"/>
              </w:rPr>
              <w:t>2,398 </w:t>
            </w:r>
          </w:p>
        </w:tc>
        <w:tc>
          <w:tcPr>
            <w:tcW w:w="0" w:type="auto"/>
            <w:shd w:val="clear" w:color="auto" w:fill="E2EFD9"/>
            <w:tcMar>
              <w:top w:w="40" w:type="dxa"/>
              <w:left w:w="0" w:type="dxa"/>
              <w:bottom w:w="40" w:type="dxa"/>
              <w:right w:w="20" w:type="dxa"/>
            </w:tcMar>
            <w:vAlign w:val="bottom"/>
          </w:tcPr>
          <w:p w14:paraId="19503B5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55"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B56"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B57" w14:textId="77777777" w:rsidR="00BF3A3A" w:rsidRDefault="00A76802">
            <w:pPr>
              <w:jc w:val="right"/>
              <w:textAlignment w:val="bottom"/>
            </w:pPr>
            <w:r>
              <w:rPr>
                <w:rFonts w:ascii="sans-serif" w:eastAsia="sans-serif" w:hAnsi="sans-serif" w:cs="sans-serif"/>
                <w:color w:val="000000"/>
                <w:sz w:val="20"/>
                <w:szCs w:val="20"/>
              </w:rPr>
              <w:t>1,045 </w:t>
            </w:r>
          </w:p>
        </w:tc>
        <w:tc>
          <w:tcPr>
            <w:tcW w:w="0" w:type="auto"/>
            <w:shd w:val="clear" w:color="auto" w:fill="E2EFD9"/>
            <w:tcMar>
              <w:top w:w="40" w:type="dxa"/>
              <w:left w:w="0" w:type="dxa"/>
              <w:bottom w:w="40" w:type="dxa"/>
              <w:right w:w="20" w:type="dxa"/>
            </w:tcMar>
            <w:vAlign w:val="bottom"/>
          </w:tcPr>
          <w:p w14:paraId="19503B5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59"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B5A" w14:textId="77777777" w:rsidR="00BF3A3A" w:rsidRDefault="00A76802">
            <w:pPr>
              <w:jc w:val="right"/>
              <w:textAlignment w:val="bottom"/>
            </w:pPr>
            <w:r>
              <w:rPr>
                <w:rFonts w:ascii="sans-serif" w:eastAsia="sans-serif" w:hAnsi="sans-serif" w:cs="sans-serif"/>
                <w:color w:val="000000"/>
                <w:sz w:val="20"/>
                <w:szCs w:val="20"/>
              </w:rPr>
              <w:t>44 </w:t>
            </w:r>
          </w:p>
        </w:tc>
        <w:tc>
          <w:tcPr>
            <w:tcW w:w="0" w:type="auto"/>
            <w:shd w:val="clear" w:color="auto" w:fill="E2EFD9"/>
            <w:tcMar>
              <w:top w:w="40" w:type="dxa"/>
              <w:left w:w="0" w:type="dxa"/>
              <w:bottom w:w="40" w:type="dxa"/>
              <w:right w:w="20" w:type="dxa"/>
            </w:tcMar>
            <w:vAlign w:val="bottom"/>
          </w:tcPr>
          <w:p w14:paraId="19503B5B" w14:textId="77777777" w:rsidR="00BF3A3A" w:rsidRDefault="00A76802">
            <w:pPr>
              <w:jc w:val="right"/>
              <w:textAlignment w:val="bottom"/>
            </w:pPr>
            <w:r>
              <w:rPr>
                <w:rFonts w:ascii="sans-serif" w:eastAsia="sans-serif" w:hAnsi="sans-serif" w:cs="sans-serif"/>
                <w:color w:val="000000"/>
                <w:sz w:val="20"/>
                <w:szCs w:val="20"/>
              </w:rPr>
              <w:t>%</w:t>
            </w:r>
          </w:p>
        </w:tc>
      </w:tr>
      <w:tr w:rsidR="00BF3A3A" w14:paraId="19503B71" w14:textId="77777777">
        <w:tc>
          <w:tcPr>
            <w:tcW w:w="0" w:type="auto"/>
            <w:gridSpan w:val="3"/>
            <w:shd w:val="clear" w:color="auto" w:fill="FFFFFF"/>
            <w:tcMar>
              <w:top w:w="40" w:type="dxa"/>
              <w:left w:w="20" w:type="dxa"/>
              <w:bottom w:w="40" w:type="dxa"/>
              <w:right w:w="20" w:type="dxa"/>
            </w:tcMar>
            <w:vAlign w:val="bottom"/>
          </w:tcPr>
          <w:p w14:paraId="19503B5D" w14:textId="77777777" w:rsidR="00BF3A3A" w:rsidRDefault="00A76802">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19503B5E" w14:textId="77777777" w:rsidR="00BF3A3A" w:rsidRDefault="00A76802">
            <w:pPr>
              <w:jc w:val="right"/>
              <w:textAlignment w:val="bottom"/>
            </w:pPr>
            <w:r>
              <w:rPr>
                <w:rFonts w:ascii="sans-serif" w:eastAsia="sans-serif" w:hAnsi="sans-serif" w:cs="sans-serif"/>
                <w:i/>
                <w:iCs/>
                <w:color w:val="000000"/>
                <w:sz w:val="20"/>
                <w:szCs w:val="20"/>
              </w:rPr>
              <w:t>27 </w:t>
            </w:r>
          </w:p>
        </w:tc>
        <w:tc>
          <w:tcPr>
            <w:tcW w:w="0" w:type="auto"/>
            <w:shd w:val="clear" w:color="auto" w:fill="FFFFFF"/>
            <w:tcMar>
              <w:top w:w="40" w:type="dxa"/>
              <w:left w:w="0" w:type="dxa"/>
              <w:bottom w:w="40" w:type="dxa"/>
              <w:right w:w="20" w:type="dxa"/>
            </w:tcMar>
            <w:vAlign w:val="bottom"/>
          </w:tcPr>
          <w:p w14:paraId="19503B5F" w14:textId="77777777" w:rsidR="00BF3A3A" w:rsidRDefault="00A76802">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19503B60"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B61" w14:textId="77777777" w:rsidR="00BF3A3A" w:rsidRDefault="00A76802">
            <w:pPr>
              <w:jc w:val="right"/>
              <w:textAlignment w:val="bottom"/>
            </w:pPr>
            <w:r>
              <w:rPr>
                <w:rFonts w:ascii="sans-serif" w:eastAsia="sans-serif" w:hAnsi="sans-serif" w:cs="sans-serif"/>
                <w:i/>
                <w:iCs/>
                <w:color w:val="000000"/>
                <w:sz w:val="20"/>
                <w:szCs w:val="20"/>
              </w:rPr>
              <w:t>19 </w:t>
            </w:r>
          </w:p>
        </w:tc>
        <w:tc>
          <w:tcPr>
            <w:tcW w:w="0" w:type="auto"/>
            <w:shd w:val="clear" w:color="auto" w:fill="FFFFFF"/>
            <w:tcMar>
              <w:top w:w="40" w:type="dxa"/>
              <w:left w:w="0" w:type="dxa"/>
              <w:bottom w:w="40" w:type="dxa"/>
              <w:right w:w="20" w:type="dxa"/>
            </w:tcMar>
            <w:vAlign w:val="bottom"/>
          </w:tcPr>
          <w:p w14:paraId="19503B62" w14:textId="77777777" w:rsidR="00BF3A3A" w:rsidRDefault="00A76802">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19503B63"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B64"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B65"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B66"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B67"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B68" w14:textId="77777777" w:rsidR="00BF3A3A" w:rsidRDefault="00A76802">
            <w:pPr>
              <w:jc w:val="right"/>
              <w:textAlignment w:val="bottom"/>
            </w:pPr>
            <w:r>
              <w:rPr>
                <w:rFonts w:ascii="sans-serif" w:eastAsia="sans-serif" w:hAnsi="sans-serif" w:cs="sans-serif"/>
                <w:i/>
                <w:iCs/>
                <w:color w:val="000000"/>
                <w:sz w:val="20"/>
                <w:szCs w:val="20"/>
              </w:rPr>
              <w:t>23 </w:t>
            </w:r>
          </w:p>
        </w:tc>
        <w:tc>
          <w:tcPr>
            <w:tcW w:w="0" w:type="auto"/>
            <w:shd w:val="clear" w:color="auto" w:fill="FFFFFF"/>
            <w:tcMar>
              <w:top w:w="40" w:type="dxa"/>
              <w:left w:w="0" w:type="dxa"/>
              <w:bottom w:w="40" w:type="dxa"/>
              <w:right w:w="20" w:type="dxa"/>
            </w:tcMar>
            <w:vAlign w:val="bottom"/>
          </w:tcPr>
          <w:p w14:paraId="19503B69" w14:textId="77777777" w:rsidR="00BF3A3A" w:rsidRDefault="00A76802">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19503B6A"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B6B" w14:textId="77777777" w:rsidR="00BF3A3A" w:rsidRDefault="00A76802">
            <w:pPr>
              <w:jc w:val="right"/>
              <w:textAlignment w:val="bottom"/>
            </w:pPr>
            <w:r>
              <w:rPr>
                <w:rFonts w:ascii="sans-serif" w:eastAsia="sans-serif" w:hAnsi="sans-serif" w:cs="sans-serif"/>
                <w:i/>
                <w:iCs/>
                <w:color w:val="000000"/>
                <w:sz w:val="20"/>
                <w:szCs w:val="20"/>
              </w:rPr>
              <w:t>20 </w:t>
            </w:r>
          </w:p>
        </w:tc>
        <w:tc>
          <w:tcPr>
            <w:tcW w:w="0" w:type="auto"/>
            <w:shd w:val="clear" w:color="auto" w:fill="FFFFFF"/>
            <w:tcMar>
              <w:top w:w="40" w:type="dxa"/>
              <w:left w:w="0" w:type="dxa"/>
              <w:bottom w:w="40" w:type="dxa"/>
              <w:right w:w="20" w:type="dxa"/>
            </w:tcMar>
            <w:vAlign w:val="bottom"/>
          </w:tcPr>
          <w:p w14:paraId="19503B6C" w14:textId="77777777" w:rsidR="00BF3A3A" w:rsidRDefault="00A76802">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19503B6D"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B6E"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B6F"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B70" w14:textId="77777777" w:rsidR="00BF3A3A" w:rsidRDefault="00BF3A3A">
            <w:pPr>
              <w:rPr>
                <w:rFonts w:ascii="宋体"/>
              </w:rPr>
            </w:pPr>
          </w:p>
        </w:tc>
      </w:tr>
      <w:tr w:rsidR="00BF3A3A" w14:paraId="19503B8A" w14:textId="77777777">
        <w:tc>
          <w:tcPr>
            <w:tcW w:w="0" w:type="auto"/>
            <w:gridSpan w:val="3"/>
            <w:shd w:val="clear" w:color="auto" w:fill="E2EFD9"/>
            <w:tcMar>
              <w:top w:w="40" w:type="dxa"/>
              <w:left w:w="20" w:type="dxa"/>
              <w:bottom w:w="40" w:type="dxa"/>
              <w:right w:w="20" w:type="dxa"/>
            </w:tcMar>
            <w:vAlign w:val="bottom"/>
          </w:tcPr>
          <w:p w14:paraId="19503B72" w14:textId="77777777" w:rsidR="00BF3A3A" w:rsidRDefault="00A76802">
            <w:pPr>
              <w:textAlignment w:val="bottom"/>
            </w:pPr>
            <w:r>
              <w:rPr>
                <w:rFonts w:ascii="sans-serif" w:eastAsia="sans-serif" w:hAnsi="sans-serif" w:cs="sans-serif"/>
                <w:color w:val="000000"/>
                <w:sz w:val="20"/>
                <w:szCs w:val="20"/>
              </w:rPr>
              <w:t>Sales, general and administrative expenses</w:t>
            </w:r>
          </w:p>
        </w:tc>
        <w:tc>
          <w:tcPr>
            <w:tcW w:w="0" w:type="auto"/>
            <w:gridSpan w:val="2"/>
            <w:shd w:val="clear" w:color="auto" w:fill="E2EFD9"/>
            <w:tcMar>
              <w:top w:w="40" w:type="dxa"/>
              <w:left w:w="20" w:type="dxa"/>
              <w:bottom w:w="40" w:type="dxa"/>
              <w:right w:w="0" w:type="dxa"/>
            </w:tcMar>
            <w:vAlign w:val="bottom"/>
          </w:tcPr>
          <w:p w14:paraId="19503B73" w14:textId="77777777" w:rsidR="00BF3A3A" w:rsidRDefault="00A76802">
            <w:pPr>
              <w:jc w:val="right"/>
              <w:textAlignment w:val="bottom"/>
            </w:pPr>
            <w:r>
              <w:rPr>
                <w:rFonts w:ascii="sans-serif" w:eastAsia="sans-serif" w:hAnsi="sans-serif" w:cs="sans-serif"/>
                <w:color w:val="000000"/>
                <w:sz w:val="20"/>
                <w:szCs w:val="20"/>
              </w:rPr>
              <w:t>592 </w:t>
            </w:r>
          </w:p>
        </w:tc>
        <w:tc>
          <w:tcPr>
            <w:tcW w:w="0" w:type="auto"/>
            <w:shd w:val="clear" w:color="auto" w:fill="E2EFD9"/>
            <w:tcMar>
              <w:top w:w="40" w:type="dxa"/>
              <w:left w:w="0" w:type="dxa"/>
              <w:bottom w:w="40" w:type="dxa"/>
              <w:right w:w="20" w:type="dxa"/>
            </w:tcMar>
            <w:vAlign w:val="bottom"/>
          </w:tcPr>
          <w:p w14:paraId="19503B7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75"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B76" w14:textId="77777777" w:rsidR="00BF3A3A" w:rsidRDefault="00A76802">
            <w:pPr>
              <w:jc w:val="right"/>
              <w:textAlignment w:val="bottom"/>
            </w:pPr>
            <w:r>
              <w:rPr>
                <w:rFonts w:ascii="sans-serif" w:eastAsia="sans-serif" w:hAnsi="sans-serif" w:cs="sans-serif"/>
                <w:color w:val="000000"/>
                <w:sz w:val="20"/>
                <w:szCs w:val="20"/>
              </w:rPr>
              <w:t>526 </w:t>
            </w:r>
          </w:p>
        </w:tc>
        <w:tc>
          <w:tcPr>
            <w:tcW w:w="0" w:type="auto"/>
            <w:shd w:val="clear" w:color="auto" w:fill="E2EFD9"/>
            <w:tcMar>
              <w:top w:w="40" w:type="dxa"/>
              <w:left w:w="0" w:type="dxa"/>
              <w:bottom w:w="40" w:type="dxa"/>
              <w:right w:w="20" w:type="dxa"/>
            </w:tcMar>
            <w:vAlign w:val="bottom"/>
          </w:tcPr>
          <w:p w14:paraId="19503B7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78"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B79" w14:textId="77777777" w:rsidR="00BF3A3A" w:rsidRDefault="00A76802">
            <w:pPr>
              <w:jc w:val="right"/>
              <w:textAlignment w:val="bottom"/>
            </w:pPr>
            <w:r>
              <w:rPr>
                <w:rFonts w:ascii="sans-serif" w:eastAsia="sans-serif" w:hAnsi="sans-serif" w:cs="sans-serif"/>
                <w:color w:val="000000"/>
                <w:sz w:val="20"/>
                <w:szCs w:val="20"/>
              </w:rPr>
              <w:t>66 </w:t>
            </w:r>
          </w:p>
        </w:tc>
        <w:tc>
          <w:tcPr>
            <w:tcW w:w="0" w:type="auto"/>
            <w:shd w:val="clear" w:color="auto" w:fill="E2EFD9"/>
            <w:tcMar>
              <w:top w:w="40" w:type="dxa"/>
              <w:left w:w="0" w:type="dxa"/>
              <w:bottom w:w="40" w:type="dxa"/>
              <w:right w:w="20" w:type="dxa"/>
            </w:tcMar>
            <w:vAlign w:val="bottom"/>
          </w:tcPr>
          <w:p w14:paraId="19503B7A"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7B"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B7C" w14:textId="77777777" w:rsidR="00BF3A3A" w:rsidRDefault="00A76802">
            <w:pPr>
              <w:jc w:val="right"/>
              <w:textAlignment w:val="bottom"/>
            </w:pPr>
            <w:r>
              <w:rPr>
                <w:rFonts w:ascii="sans-serif" w:eastAsia="sans-serif" w:hAnsi="sans-serif" w:cs="sans-serif"/>
                <w:color w:val="000000"/>
                <w:sz w:val="20"/>
                <w:szCs w:val="20"/>
              </w:rPr>
              <w:t>13 </w:t>
            </w:r>
          </w:p>
        </w:tc>
        <w:tc>
          <w:tcPr>
            <w:tcW w:w="0" w:type="auto"/>
            <w:shd w:val="clear" w:color="auto" w:fill="E2EFD9"/>
            <w:tcMar>
              <w:top w:w="40" w:type="dxa"/>
              <w:left w:w="0" w:type="dxa"/>
              <w:bottom w:w="40" w:type="dxa"/>
              <w:right w:w="20" w:type="dxa"/>
            </w:tcMar>
            <w:vAlign w:val="bottom"/>
          </w:tcPr>
          <w:p w14:paraId="19503B7D"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19503B7E"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B7F" w14:textId="77777777" w:rsidR="00BF3A3A" w:rsidRDefault="00A76802">
            <w:pPr>
              <w:jc w:val="right"/>
              <w:textAlignment w:val="bottom"/>
            </w:pPr>
            <w:r>
              <w:rPr>
                <w:rFonts w:ascii="sans-serif" w:eastAsia="sans-serif" w:hAnsi="sans-serif" w:cs="sans-serif"/>
                <w:color w:val="000000"/>
                <w:sz w:val="20"/>
                <w:szCs w:val="20"/>
              </w:rPr>
              <w:t>1,183 </w:t>
            </w:r>
          </w:p>
        </w:tc>
        <w:tc>
          <w:tcPr>
            <w:tcW w:w="0" w:type="auto"/>
            <w:shd w:val="clear" w:color="auto" w:fill="E2EFD9"/>
            <w:tcMar>
              <w:top w:w="40" w:type="dxa"/>
              <w:left w:w="0" w:type="dxa"/>
              <w:bottom w:w="40" w:type="dxa"/>
              <w:right w:w="20" w:type="dxa"/>
            </w:tcMar>
            <w:vAlign w:val="bottom"/>
          </w:tcPr>
          <w:p w14:paraId="19503B8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81"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B82" w14:textId="77777777" w:rsidR="00BF3A3A" w:rsidRDefault="00A76802">
            <w:pPr>
              <w:jc w:val="right"/>
              <w:textAlignment w:val="bottom"/>
            </w:pPr>
            <w:r>
              <w:rPr>
                <w:rFonts w:ascii="sans-serif" w:eastAsia="sans-serif" w:hAnsi="sans-serif" w:cs="sans-serif"/>
                <w:color w:val="000000"/>
                <w:sz w:val="20"/>
                <w:szCs w:val="20"/>
              </w:rPr>
              <w:t>1,046 </w:t>
            </w:r>
          </w:p>
        </w:tc>
        <w:tc>
          <w:tcPr>
            <w:tcW w:w="0" w:type="auto"/>
            <w:shd w:val="clear" w:color="auto" w:fill="E2EFD9"/>
            <w:tcMar>
              <w:top w:w="40" w:type="dxa"/>
              <w:left w:w="0" w:type="dxa"/>
              <w:bottom w:w="40" w:type="dxa"/>
              <w:right w:w="20" w:type="dxa"/>
            </w:tcMar>
            <w:vAlign w:val="bottom"/>
          </w:tcPr>
          <w:p w14:paraId="19503B8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84"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B85" w14:textId="77777777" w:rsidR="00BF3A3A" w:rsidRDefault="00A76802">
            <w:pPr>
              <w:jc w:val="right"/>
              <w:textAlignment w:val="bottom"/>
            </w:pPr>
            <w:r>
              <w:rPr>
                <w:rFonts w:ascii="sans-serif" w:eastAsia="sans-serif" w:hAnsi="sans-serif" w:cs="sans-serif"/>
                <w:color w:val="000000"/>
                <w:sz w:val="20"/>
                <w:szCs w:val="20"/>
              </w:rPr>
              <w:t>137 </w:t>
            </w:r>
          </w:p>
        </w:tc>
        <w:tc>
          <w:tcPr>
            <w:tcW w:w="0" w:type="auto"/>
            <w:shd w:val="clear" w:color="auto" w:fill="E2EFD9"/>
            <w:tcMar>
              <w:top w:w="40" w:type="dxa"/>
              <w:left w:w="0" w:type="dxa"/>
              <w:bottom w:w="40" w:type="dxa"/>
              <w:right w:w="20" w:type="dxa"/>
            </w:tcMar>
            <w:vAlign w:val="bottom"/>
          </w:tcPr>
          <w:p w14:paraId="19503B8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87"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B88" w14:textId="77777777" w:rsidR="00BF3A3A" w:rsidRDefault="00A76802">
            <w:pPr>
              <w:jc w:val="right"/>
              <w:textAlignment w:val="bottom"/>
            </w:pPr>
            <w:r>
              <w:rPr>
                <w:rFonts w:ascii="sans-serif" w:eastAsia="sans-serif" w:hAnsi="sans-serif" w:cs="sans-serif"/>
                <w:color w:val="000000"/>
                <w:sz w:val="20"/>
                <w:szCs w:val="20"/>
              </w:rPr>
              <w:t>13 </w:t>
            </w:r>
          </w:p>
        </w:tc>
        <w:tc>
          <w:tcPr>
            <w:tcW w:w="0" w:type="auto"/>
            <w:shd w:val="clear" w:color="auto" w:fill="E2EFD9"/>
            <w:tcMar>
              <w:top w:w="40" w:type="dxa"/>
              <w:left w:w="0" w:type="dxa"/>
              <w:bottom w:w="40" w:type="dxa"/>
              <w:right w:w="20" w:type="dxa"/>
            </w:tcMar>
            <w:vAlign w:val="bottom"/>
          </w:tcPr>
          <w:p w14:paraId="19503B89" w14:textId="77777777" w:rsidR="00BF3A3A" w:rsidRDefault="00A76802">
            <w:pPr>
              <w:jc w:val="right"/>
              <w:textAlignment w:val="bottom"/>
            </w:pPr>
            <w:r>
              <w:rPr>
                <w:rFonts w:ascii="sans-serif" w:eastAsia="sans-serif" w:hAnsi="sans-serif" w:cs="sans-serif"/>
                <w:color w:val="000000"/>
                <w:sz w:val="20"/>
                <w:szCs w:val="20"/>
              </w:rPr>
              <w:t>%</w:t>
            </w:r>
          </w:p>
        </w:tc>
      </w:tr>
      <w:tr w:rsidR="00BF3A3A" w14:paraId="19503B9F" w14:textId="77777777">
        <w:tc>
          <w:tcPr>
            <w:tcW w:w="0" w:type="auto"/>
            <w:gridSpan w:val="3"/>
            <w:shd w:val="clear" w:color="auto" w:fill="FFFFFF"/>
            <w:tcMar>
              <w:top w:w="40" w:type="dxa"/>
              <w:left w:w="20" w:type="dxa"/>
              <w:bottom w:w="40" w:type="dxa"/>
              <w:right w:w="20" w:type="dxa"/>
            </w:tcMar>
            <w:vAlign w:val="bottom"/>
          </w:tcPr>
          <w:p w14:paraId="19503B8B" w14:textId="77777777" w:rsidR="00BF3A3A" w:rsidRDefault="00A76802">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19503B8C" w14:textId="77777777" w:rsidR="00BF3A3A" w:rsidRDefault="00A76802">
            <w:pPr>
              <w:jc w:val="right"/>
              <w:textAlignment w:val="bottom"/>
            </w:pPr>
            <w:r>
              <w:rPr>
                <w:rFonts w:ascii="sans-serif" w:eastAsia="sans-serif" w:hAnsi="sans-serif" w:cs="sans-serif"/>
                <w:i/>
                <w:iCs/>
                <w:color w:val="000000"/>
                <w:sz w:val="20"/>
                <w:szCs w:val="20"/>
              </w:rPr>
              <w:t>9 </w:t>
            </w:r>
          </w:p>
        </w:tc>
        <w:tc>
          <w:tcPr>
            <w:tcW w:w="0" w:type="auto"/>
            <w:shd w:val="clear" w:color="auto" w:fill="FFFFFF"/>
            <w:tcMar>
              <w:top w:w="40" w:type="dxa"/>
              <w:left w:w="0" w:type="dxa"/>
              <w:bottom w:w="40" w:type="dxa"/>
              <w:right w:w="20" w:type="dxa"/>
            </w:tcMar>
            <w:vAlign w:val="bottom"/>
          </w:tcPr>
          <w:p w14:paraId="19503B8D" w14:textId="77777777" w:rsidR="00BF3A3A" w:rsidRDefault="00A76802">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19503B8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B8F" w14:textId="77777777" w:rsidR="00BF3A3A" w:rsidRDefault="00A76802">
            <w:pPr>
              <w:jc w:val="right"/>
              <w:textAlignment w:val="bottom"/>
            </w:pPr>
            <w:r>
              <w:rPr>
                <w:rFonts w:ascii="sans-serif" w:eastAsia="sans-serif" w:hAnsi="sans-serif" w:cs="sans-serif"/>
                <w:i/>
                <w:iCs/>
                <w:color w:val="000000"/>
                <w:sz w:val="20"/>
                <w:szCs w:val="20"/>
              </w:rPr>
              <w:t>8 </w:t>
            </w:r>
          </w:p>
        </w:tc>
        <w:tc>
          <w:tcPr>
            <w:tcW w:w="0" w:type="auto"/>
            <w:shd w:val="clear" w:color="auto" w:fill="FFFFFF"/>
            <w:tcMar>
              <w:top w:w="40" w:type="dxa"/>
              <w:left w:w="0" w:type="dxa"/>
              <w:bottom w:w="40" w:type="dxa"/>
              <w:right w:w="20" w:type="dxa"/>
            </w:tcMar>
            <w:vAlign w:val="bottom"/>
          </w:tcPr>
          <w:p w14:paraId="19503B90" w14:textId="77777777" w:rsidR="00BF3A3A" w:rsidRDefault="00A76802">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19503B91"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B92"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B93"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B94"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B95"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B96" w14:textId="77777777" w:rsidR="00BF3A3A" w:rsidRDefault="00A76802">
            <w:pPr>
              <w:jc w:val="right"/>
              <w:textAlignment w:val="bottom"/>
            </w:pPr>
            <w:r>
              <w:rPr>
                <w:rFonts w:ascii="sans-serif" w:eastAsia="sans-serif" w:hAnsi="sans-serif" w:cs="sans-serif"/>
                <w:i/>
                <w:iCs/>
                <w:color w:val="000000"/>
                <w:sz w:val="20"/>
                <w:szCs w:val="20"/>
              </w:rPr>
              <w:t>8 </w:t>
            </w:r>
          </w:p>
        </w:tc>
        <w:tc>
          <w:tcPr>
            <w:tcW w:w="0" w:type="auto"/>
            <w:shd w:val="clear" w:color="auto" w:fill="FFFFFF"/>
            <w:tcMar>
              <w:top w:w="40" w:type="dxa"/>
              <w:left w:w="0" w:type="dxa"/>
              <w:bottom w:w="40" w:type="dxa"/>
              <w:right w:w="20" w:type="dxa"/>
            </w:tcMar>
            <w:vAlign w:val="bottom"/>
          </w:tcPr>
          <w:p w14:paraId="19503B97" w14:textId="77777777" w:rsidR="00BF3A3A" w:rsidRDefault="00A76802">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19503B98"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B99" w14:textId="77777777" w:rsidR="00BF3A3A" w:rsidRDefault="00A76802">
            <w:pPr>
              <w:jc w:val="right"/>
              <w:textAlignment w:val="bottom"/>
            </w:pPr>
            <w:r>
              <w:rPr>
                <w:rFonts w:ascii="sans-serif" w:eastAsia="sans-serif" w:hAnsi="sans-serif" w:cs="sans-serif"/>
                <w:i/>
                <w:iCs/>
                <w:color w:val="000000"/>
                <w:sz w:val="20"/>
                <w:szCs w:val="20"/>
              </w:rPr>
              <w:t>9 </w:t>
            </w:r>
          </w:p>
        </w:tc>
        <w:tc>
          <w:tcPr>
            <w:tcW w:w="0" w:type="auto"/>
            <w:shd w:val="clear" w:color="auto" w:fill="FFFFFF"/>
            <w:tcMar>
              <w:top w:w="40" w:type="dxa"/>
              <w:left w:w="0" w:type="dxa"/>
              <w:bottom w:w="40" w:type="dxa"/>
              <w:right w:w="20" w:type="dxa"/>
            </w:tcMar>
            <w:vAlign w:val="bottom"/>
          </w:tcPr>
          <w:p w14:paraId="19503B9A" w14:textId="77777777" w:rsidR="00BF3A3A" w:rsidRDefault="00A76802">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19503B9B"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B9C"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B9D"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B9E" w14:textId="77777777" w:rsidR="00BF3A3A" w:rsidRDefault="00BF3A3A">
            <w:pPr>
              <w:rPr>
                <w:rFonts w:ascii="宋体"/>
              </w:rPr>
            </w:pPr>
          </w:p>
        </w:tc>
      </w:tr>
      <w:tr w:rsidR="00BF3A3A" w14:paraId="19503BB8" w14:textId="77777777">
        <w:tc>
          <w:tcPr>
            <w:tcW w:w="0" w:type="auto"/>
            <w:gridSpan w:val="3"/>
            <w:shd w:val="clear" w:color="auto" w:fill="E2EFD9"/>
            <w:tcMar>
              <w:top w:w="40" w:type="dxa"/>
              <w:left w:w="20" w:type="dxa"/>
              <w:bottom w:w="40" w:type="dxa"/>
              <w:right w:w="20" w:type="dxa"/>
            </w:tcMar>
            <w:vAlign w:val="bottom"/>
          </w:tcPr>
          <w:p w14:paraId="19503BA0" w14:textId="77777777" w:rsidR="00BF3A3A" w:rsidRDefault="00A76802">
            <w:pPr>
              <w:textAlignment w:val="bottom"/>
            </w:pPr>
            <w:r>
              <w:rPr>
                <w:rFonts w:ascii="sans-serif" w:eastAsia="sans-serif" w:hAnsi="sans-serif" w:cs="sans-serif"/>
                <w:color w:val="000000"/>
                <w:sz w:val="20"/>
                <w:szCs w:val="20"/>
              </w:rPr>
              <w:t>Acquisition termination cost</w:t>
            </w:r>
          </w:p>
        </w:tc>
        <w:tc>
          <w:tcPr>
            <w:tcW w:w="0" w:type="auto"/>
            <w:gridSpan w:val="2"/>
            <w:shd w:val="clear" w:color="auto" w:fill="E2EFD9"/>
            <w:tcMar>
              <w:top w:w="40" w:type="dxa"/>
              <w:left w:w="20" w:type="dxa"/>
              <w:bottom w:w="40" w:type="dxa"/>
              <w:right w:w="0" w:type="dxa"/>
            </w:tcMar>
            <w:vAlign w:val="bottom"/>
          </w:tcPr>
          <w:p w14:paraId="19503BA1"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3BA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A3"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BA4"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3BA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A6"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BA7"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3BA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A9"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BAA"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3BAB"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19503BAC"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BAD" w14:textId="77777777" w:rsidR="00BF3A3A" w:rsidRDefault="00A76802">
            <w:pPr>
              <w:jc w:val="right"/>
              <w:textAlignment w:val="bottom"/>
            </w:pPr>
            <w:r>
              <w:rPr>
                <w:rFonts w:ascii="sans-serif" w:eastAsia="sans-serif" w:hAnsi="sans-serif" w:cs="sans-serif"/>
                <w:color w:val="000000"/>
                <w:sz w:val="20"/>
                <w:szCs w:val="20"/>
              </w:rPr>
              <w:t>1,353 </w:t>
            </w:r>
          </w:p>
        </w:tc>
        <w:tc>
          <w:tcPr>
            <w:tcW w:w="0" w:type="auto"/>
            <w:shd w:val="clear" w:color="auto" w:fill="E2EFD9"/>
            <w:tcMar>
              <w:top w:w="40" w:type="dxa"/>
              <w:left w:w="0" w:type="dxa"/>
              <w:bottom w:w="40" w:type="dxa"/>
              <w:right w:w="20" w:type="dxa"/>
            </w:tcMar>
            <w:vAlign w:val="bottom"/>
          </w:tcPr>
          <w:p w14:paraId="19503BA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AF"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BB0"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3BB1"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B2"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BB3" w14:textId="77777777" w:rsidR="00BF3A3A" w:rsidRDefault="00A76802">
            <w:pPr>
              <w:jc w:val="right"/>
              <w:textAlignment w:val="bottom"/>
            </w:pPr>
            <w:r>
              <w:rPr>
                <w:rFonts w:ascii="sans-serif" w:eastAsia="sans-serif" w:hAnsi="sans-serif" w:cs="sans-serif"/>
                <w:color w:val="000000"/>
                <w:sz w:val="20"/>
                <w:szCs w:val="20"/>
              </w:rPr>
              <w:t>1,353 </w:t>
            </w:r>
          </w:p>
        </w:tc>
        <w:tc>
          <w:tcPr>
            <w:tcW w:w="0" w:type="auto"/>
            <w:shd w:val="clear" w:color="auto" w:fill="E2EFD9"/>
            <w:tcMar>
              <w:top w:w="40" w:type="dxa"/>
              <w:left w:w="0" w:type="dxa"/>
              <w:bottom w:w="40" w:type="dxa"/>
              <w:right w:w="20" w:type="dxa"/>
            </w:tcMar>
            <w:vAlign w:val="bottom"/>
          </w:tcPr>
          <w:p w14:paraId="19503BB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B5"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BB6" w14:textId="77777777" w:rsidR="00BF3A3A" w:rsidRDefault="00A76802">
            <w:pPr>
              <w:jc w:val="right"/>
              <w:textAlignment w:val="bottom"/>
            </w:pPr>
            <w:r>
              <w:rPr>
                <w:rFonts w:ascii="sans-serif" w:eastAsia="sans-serif" w:hAnsi="sans-serif" w:cs="sans-serif"/>
                <w:color w:val="000000"/>
                <w:sz w:val="20"/>
                <w:szCs w:val="20"/>
              </w:rPr>
              <w:t>(100)</w:t>
            </w:r>
          </w:p>
        </w:tc>
        <w:tc>
          <w:tcPr>
            <w:tcW w:w="0" w:type="auto"/>
            <w:shd w:val="clear" w:color="auto" w:fill="E2EFD9"/>
            <w:tcMar>
              <w:top w:w="40" w:type="dxa"/>
              <w:left w:w="0" w:type="dxa"/>
              <w:bottom w:w="40" w:type="dxa"/>
              <w:right w:w="20" w:type="dxa"/>
            </w:tcMar>
            <w:vAlign w:val="bottom"/>
          </w:tcPr>
          <w:p w14:paraId="19503BB7" w14:textId="77777777" w:rsidR="00BF3A3A" w:rsidRDefault="00A76802">
            <w:pPr>
              <w:jc w:val="right"/>
              <w:textAlignment w:val="bottom"/>
            </w:pPr>
            <w:r>
              <w:rPr>
                <w:rFonts w:ascii="sans-serif" w:eastAsia="sans-serif" w:hAnsi="sans-serif" w:cs="sans-serif"/>
                <w:color w:val="000000"/>
                <w:sz w:val="20"/>
                <w:szCs w:val="20"/>
              </w:rPr>
              <w:t>%</w:t>
            </w:r>
          </w:p>
        </w:tc>
      </w:tr>
      <w:tr w:rsidR="00BF3A3A" w14:paraId="19503BCD" w14:textId="77777777">
        <w:tc>
          <w:tcPr>
            <w:tcW w:w="0" w:type="auto"/>
            <w:gridSpan w:val="3"/>
            <w:shd w:val="clear" w:color="auto" w:fill="FFFFFF"/>
            <w:tcMar>
              <w:top w:w="40" w:type="dxa"/>
              <w:left w:w="20" w:type="dxa"/>
              <w:bottom w:w="40" w:type="dxa"/>
              <w:right w:w="20" w:type="dxa"/>
            </w:tcMar>
            <w:vAlign w:val="bottom"/>
          </w:tcPr>
          <w:p w14:paraId="19503BB9" w14:textId="77777777" w:rsidR="00BF3A3A" w:rsidRDefault="00A76802">
            <w:pPr>
              <w:textAlignment w:val="bottom"/>
            </w:pPr>
            <w:r>
              <w:rPr>
                <w:rFonts w:ascii="sans-serif" w:eastAsia="sans-serif" w:hAnsi="sans-serif" w:cs="sans-serif"/>
                <w:i/>
                <w:iCs/>
                <w:color w:val="000000"/>
                <w:sz w:val="20"/>
                <w:szCs w:val="20"/>
              </w:rPr>
              <w:t>% of net revenue</w:t>
            </w:r>
          </w:p>
        </w:tc>
        <w:tc>
          <w:tcPr>
            <w:tcW w:w="0" w:type="auto"/>
            <w:gridSpan w:val="2"/>
            <w:shd w:val="clear" w:color="auto" w:fill="FFFFFF"/>
            <w:tcMar>
              <w:top w:w="40" w:type="dxa"/>
              <w:left w:w="20" w:type="dxa"/>
              <w:bottom w:w="40" w:type="dxa"/>
              <w:right w:w="0" w:type="dxa"/>
            </w:tcMar>
            <w:vAlign w:val="bottom"/>
          </w:tcPr>
          <w:p w14:paraId="19503BBA" w14:textId="77777777" w:rsidR="00BF3A3A" w:rsidRDefault="00A76802">
            <w:pPr>
              <w:jc w:val="right"/>
              <w:textAlignment w:val="bottom"/>
            </w:pPr>
            <w:r>
              <w:rPr>
                <w:rFonts w:ascii="sans-serif" w:eastAsia="sans-serif" w:hAnsi="sans-serif" w:cs="sans-serif"/>
                <w:i/>
                <w:iCs/>
                <w:color w:val="000000"/>
                <w:sz w:val="20"/>
                <w:szCs w:val="20"/>
              </w:rPr>
              <w:t>— </w:t>
            </w:r>
          </w:p>
        </w:tc>
        <w:tc>
          <w:tcPr>
            <w:tcW w:w="0" w:type="auto"/>
            <w:shd w:val="clear" w:color="auto" w:fill="FFFFFF"/>
            <w:tcMar>
              <w:top w:w="40" w:type="dxa"/>
              <w:left w:w="0" w:type="dxa"/>
              <w:bottom w:w="40" w:type="dxa"/>
              <w:right w:w="20" w:type="dxa"/>
            </w:tcMar>
            <w:vAlign w:val="bottom"/>
          </w:tcPr>
          <w:p w14:paraId="19503BBB" w14:textId="77777777" w:rsidR="00BF3A3A" w:rsidRDefault="00A76802">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19503BBC"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BBD" w14:textId="77777777" w:rsidR="00BF3A3A" w:rsidRDefault="00A76802">
            <w:pPr>
              <w:jc w:val="right"/>
              <w:textAlignment w:val="bottom"/>
            </w:pPr>
            <w:r>
              <w:rPr>
                <w:rFonts w:ascii="sans-serif" w:eastAsia="sans-serif" w:hAnsi="sans-serif" w:cs="sans-serif"/>
                <w:i/>
                <w:iCs/>
                <w:color w:val="000000"/>
                <w:sz w:val="20"/>
                <w:szCs w:val="20"/>
              </w:rPr>
              <w:t>— </w:t>
            </w:r>
          </w:p>
        </w:tc>
        <w:tc>
          <w:tcPr>
            <w:tcW w:w="0" w:type="auto"/>
            <w:shd w:val="clear" w:color="auto" w:fill="FFFFFF"/>
            <w:tcMar>
              <w:top w:w="40" w:type="dxa"/>
              <w:left w:w="0" w:type="dxa"/>
              <w:bottom w:w="40" w:type="dxa"/>
              <w:right w:w="20" w:type="dxa"/>
            </w:tcMar>
            <w:vAlign w:val="bottom"/>
          </w:tcPr>
          <w:p w14:paraId="19503BBE" w14:textId="77777777" w:rsidR="00BF3A3A" w:rsidRDefault="00A76802">
            <w:pPr>
              <w:jc w:val="right"/>
              <w:textAlignment w:val="bottom"/>
            </w:pPr>
            <w:r>
              <w:rPr>
                <w:rFonts w:ascii="sans-serif" w:eastAsia="sans-serif" w:hAnsi="sans-serif" w:cs="sans-serif"/>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19503BBF"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BC0"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BC1"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BC2"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BC3"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BC4" w14:textId="77777777" w:rsidR="00BF3A3A" w:rsidRDefault="00A76802">
            <w:pPr>
              <w:jc w:val="right"/>
              <w:textAlignment w:val="bottom"/>
            </w:pPr>
            <w:r>
              <w:rPr>
                <w:rFonts w:ascii="sans-serif" w:eastAsia="sans-serif" w:hAnsi="sans-serif" w:cs="sans-serif"/>
                <w:color w:val="000000"/>
                <w:sz w:val="20"/>
                <w:szCs w:val="20"/>
              </w:rPr>
              <w:t>9 </w:t>
            </w:r>
          </w:p>
        </w:tc>
        <w:tc>
          <w:tcPr>
            <w:tcW w:w="0" w:type="auto"/>
            <w:shd w:val="clear" w:color="auto" w:fill="FFFFFF"/>
            <w:tcMar>
              <w:top w:w="40" w:type="dxa"/>
              <w:left w:w="0" w:type="dxa"/>
              <w:bottom w:w="40" w:type="dxa"/>
              <w:right w:w="20" w:type="dxa"/>
            </w:tcMar>
            <w:vAlign w:val="bottom"/>
          </w:tcPr>
          <w:p w14:paraId="19503BC5"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19503BC6"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BC7"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FFFFFF"/>
            <w:tcMar>
              <w:top w:w="40" w:type="dxa"/>
              <w:left w:w="0" w:type="dxa"/>
              <w:bottom w:w="40" w:type="dxa"/>
              <w:right w:w="20" w:type="dxa"/>
            </w:tcMar>
            <w:vAlign w:val="bottom"/>
          </w:tcPr>
          <w:p w14:paraId="19503BC8"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19503BC9"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BCA"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BCB"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BCC" w14:textId="77777777" w:rsidR="00BF3A3A" w:rsidRDefault="00BF3A3A">
            <w:pPr>
              <w:rPr>
                <w:rFonts w:ascii="宋体"/>
              </w:rPr>
            </w:pPr>
          </w:p>
        </w:tc>
      </w:tr>
      <w:tr w:rsidR="00A76802" w14:paraId="19503BEC" w14:textId="77777777">
        <w:tc>
          <w:tcPr>
            <w:tcW w:w="0" w:type="auto"/>
            <w:gridSpan w:val="3"/>
            <w:shd w:val="clear" w:color="auto" w:fill="E2EFD9"/>
            <w:tcMar>
              <w:top w:w="40" w:type="dxa"/>
              <w:left w:w="155" w:type="dxa"/>
              <w:bottom w:w="40" w:type="dxa"/>
              <w:right w:w="20" w:type="dxa"/>
            </w:tcMar>
            <w:vAlign w:val="bottom"/>
          </w:tcPr>
          <w:p w14:paraId="19503BCE" w14:textId="77777777" w:rsidR="00BF3A3A" w:rsidRDefault="00A76802">
            <w:pPr>
              <w:textAlignment w:val="bottom"/>
            </w:pPr>
            <w:r>
              <w:rPr>
                <w:rFonts w:ascii="sans-serif" w:eastAsia="sans-serif" w:hAnsi="sans-serif" w:cs="sans-serif"/>
                <w:color w:val="000000"/>
                <w:sz w:val="20"/>
                <w:szCs w:val="20"/>
              </w:rPr>
              <w:t>Total operating expenses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BCF"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BD0" w14:textId="77777777" w:rsidR="00BF3A3A" w:rsidRDefault="00A76802">
            <w:pPr>
              <w:jc w:val="right"/>
              <w:textAlignment w:val="bottom"/>
            </w:pPr>
            <w:r>
              <w:rPr>
                <w:rFonts w:ascii="sans-serif" w:eastAsia="sans-serif" w:hAnsi="sans-serif" w:cs="sans-serif"/>
                <w:color w:val="000000"/>
                <w:sz w:val="20"/>
                <w:szCs w:val="20"/>
              </w:rPr>
              <w:t>2,416 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BD1"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D2"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BD3"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BD4" w14:textId="77777777" w:rsidR="00BF3A3A" w:rsidRDefault="00A76802">
            <w:pPr>
              <w:jc w:val="right"/>
              <w:textAlignment w:val="bottom"/>
            </w:pPr>
            <w:r>
              <w:rPr>
                <w:rFonts w:ascii="sans-serif" w:eastAsia="sans-serif" w:hAnsi="sans-serif" w:cs="sans-serif"/>
                <w:color w:val="000000"/>
                <w:sz w:val="20"/>
                <w:szCs w:val="20"/>
              </w:rPr>
              <w:t>1,771 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BD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D6"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BD7"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BD8" w14:textId="77777777" w:rsidR="00BF3A3A" w:rsidRDefault="00A76802">
            <w:pPr>
              <w:jc w:val="right"/>
              <w:textAlignment w:val="bottom"/>
            </w:pPr>
            <w:r>
              <w:rPr>
                <w:rFonts w:ascii="sans-serif" w:eastAsia="sans-serif" w:hAnsi="sans-serif" w:cs="sans-serif"/>
                <w:color w:val="000000"/>
                <w:sz w:val="20"/>
                <w:szCs w:val="20"/>
              </w:rPr>
              <w:t>645 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BD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DA" w14:textId="77777777" w:rsidR="00BF3A3A" w:rsidRDefault="00BF3A3A">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BDB" w14:textId="77777777" w:rsidR="00BF3A3A" w:rsidRDefault="00A76802">
            <w:pPr>
              <w:jc w:val="right"/>
              <w:textAlignment w:val="bottom"/>
            </w:pPr>
            <w:r>
              <w:rPr>
                <w:rFonts w:ascii="sans-serif" w:eastAsia="sans-serif" w:hAnsi="sans-serif" w:cs="sans-serif"/>
                <w:color w:val="000000"/>
                <w:sz w:val="20"/>
                <w:szCs w:val="20"/>
              </w:rPr>
              <w:t>36 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BDC"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19503BDD"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BDE"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BDF" w14:textId="77777777" w:rsidR="00BF3A3A" w:rsidRDefault="00A76802">
            <w:pPr>
              <w:jc w:val="right"/>
              <w:textAlignment w:val="bottom"/>
            </w:pPr>
            <w:r>
              <w:rPr>
                <w:rFonts w:ascii="sans-serif" w:eastAsia="sans-serif" w:hAnsi="sans-serif" w:cs="sans-serif"/>
                <w:color w:val="000000"/>
                <w:sz w:val="20"/>
                <w:szCs w:val="20"/>
              </w:rPr>
              <w:t>5,979 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BE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E1"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BE2"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BE3" w14:textId="77777777" w:rsidR="00BF3A3A" w:rsidRDefault="00A76802">
            <w:pPr>
              <w:jc w:val="right"/>
              <w:textAlignment w:val="bottom"/>
            </w:pPr>
            <w:r>
              <w:rPr>
                <w:rFonts w:ascii="sans-serif" w:eastAsia="sans-serif" w:hAnsi="sans-serif" w:cs="sans-serif"/>
                <w:color w:val="000000"/>
                <w:sz w:val="20"/>
                <w:szCs w:val="20"/>
              </w:rPr>
              <w:t>3,444 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BE4"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E5"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BE6"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BE7" w14:textId="77777777" w:rsidR="00BF3A3A" w:rsidRDefault="00A76802">
            <w:pPr>
              <w:jc w:val="right"/>
              <w:textAlignment w:val="bottom"/>
            </w:pPr>
            <w:r>
              <w:rPr>
                <w:rFonts w:ascii="sans-serif" w:eastAsia="sans-serif" w:hAnsi="sans-serif" w:cs="sans-serif"/>
                <w:color w:val="000000"/>
                <w:sz w:val="20"/>
                <w:szCs w:val="20"/>
              </w:rPr>
              <w:t>2,535 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BE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BE9" w14:textId="77777777" w:rsidR="00BF3A3A" w:rsidRDefault="00BF3A3A">
            <w:pPr>
              <w:rPr>
                <w:rFonts w:ascii="宋体"/>
              </w:rPr>
            </w:pPr>
          </w:p>
        </w:tc>
        <w:tc>
          <w:tcPr>
            <w:tcW w:w="0" w:type="auto"/>
            <w:gridSpan w:val="2"/>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BEA" w14:textId="77777777" w:rsidR="00BF3A3A" w:rsidRDefault="00A76802">
            <w:pPr>
              <w:jc w:val="right"/>
              <w:textAlignment w:val="bottom"/>
            </w:pPr>
            <w:r>
              <w:rPr>
                <w:rFonts w:ascii="sans-serif" w:eastAsia="sans-serif" w:hAnsi="sans-serif" w:cs="sans-serif"/>
                <w:color w:val="000000"/>
                <w:sz w:val="20"/>
                <w:szCs w:val="20"/>
              </w:rPr>
              <w:t>74 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BEB" w14:textId="77777777" w:rsidR="00BF3A3A" w:rsidRDefault="00A76802">
            <w:pPr>
              <w:jc w:val="right"/>
              <w:textAlignment w:val="bottom"/>
            </w:pPr>
            <w:r>
              <w:rPr>
                <w:rFonts w:ascii="sans-serif" w:eastAsia="sans-serif" w:hAnsi="sans-serif" w:cs="sans-serif"/>
                <w:color w:val="000000"/>
                <w:sz w:val="20"/>
                <w:szCs w:val="20"/>
              </w:rPr>
              <w:t>%</w:t>
            </w:r>
          </w:p>
        </w:tc>
      </w:tr>
    </w:tbl>
    <w:p w14:paraId="19503BED" w14:textId="77777777" w:rsidR="00BF3A3A" w:rsidRDefault="00A76802">
      <w:pPr>
        <w:spacing w:before="120" w:after="120"/>
        <w:jc w:val="both"/>
      </w:pPr>
      <w:r>
        <w:rPr>
          <w:rFonts w:ascii="sans-serif" w:eastAsia="sans-serif" w:hAnsi="sans-serif" w:cs="sans-serif"/>
          <w:color w:val="000000"/>
          <w:sz w:val="20"/>
          <w:szCs w:val="20"/>
        </w:rPr>
        <w:t>Research and development expens</w:t>
      </w:r>
      <w:r>
        <w:rPr>
          <w:rFonts w:ascii="sans-serif" w:eastAsia="sans-serif" w:hAnsi="sans-serif" w:cs="sans-serif"/>
          <w:color w:val="000000"/>
          <w:sz w:val="20"/>
          <w:szCs w:val="20"/>
        </w:rPr>
        <w:t>es increases were primarily driven by compensation-related costs, including for employee growth as well as increases in salaries to support our employees during this high inflationary environment and stock-based compensation, and engineering development co</w:t>
      </w:r>
      <w:r>
        <w:rPr>
          <w:rFonts w:ascii="sans-serif" w:eastAsia="sans-serif" w:hAnsi="sans-serif" w:cs="sans-serif"/>
          <w:color w:val="000000"/>
          <w:sz w:val="20"/>
          <w:szCs w:val="20"/>
        </w:rPr>
        <w:t>sts of new products coming to market. </w:t>
      </w:r>
    </w:p>
    <w:p w14:paraId="19503BEE" w14:textId="77777777" w:rsidR="00BF3A3A" w:rsidRDefault="00A76802">
      <w:pPr>
        <w:spacing w:before="120" w:after="120"/>
        <w:jc w:val="both"/>
      </w:pPr>
      <w:r>
        <w:rPr>
          <w:rFonts w:ascii="sans-serif" w:eastAsia="sans-serif" w:hAnsi="sans-serif" w:cs="sans-serif"/>
          <w:color w:val="000000"/>
          <w:sz w:val="20"/>
          <w:szCs w:val="20"/>
        </w:rPr>
        <w:t>Sales, general and administrative expenses increases were primarily driven by compensation-related costs, including for employee growth as well as increases in salaries to support our employees during this high inflat</w:t>
      </w:r>
      <w:r>
        <w:rPr>
          <w:rFonts w:ascii="sans-serif" w:eastAsia="sans-serif" w:hAnsi="sans-serif" w:cs="sans-serif"/>
          <w:color w:val="000000"/>
          <w:sz w:val="20"/>
          <w:szCs w:val="20"/>
        </w:rPr>
        <w:t>ionary environment and stock-based compensation, and infrastructure costs partially offset by lower legal fees.</w:t>
      </w:r>
    </w:p>
    <w:p w14:paraId="19503BEF" w14:textId="77777777" w:rsidR="00BF3A3A" w:rsidRDefault="00A76802">
      <w:pPr>
        <w:spacing w:before="120"/>
      </w:pPr>
      <w:r>
        <w:rPr>
          <w:rFonts w:ascii="sans-serif" w:eastAsia="sans-serif" w:hAnsi="sans-serif" w:cs="sans-serif"/>
          <w:color w:val="000000"/>
          <w:sz w:val="20"/>
          <w:szCs w:val="20"/>
        </w:rPr>
        <w:t xml:space="preserve">We recorded an acquisition termination cost related to the Arm transaction of $1.35 billion in the first quarter of fiscal year 2023 reflecting </w:t>
      </w:r>
      <w:r>
        <w:rPr>
          <w:rFonts w:ascii="sans-serif" w:eastAsia="sans-serif" w:hAnsi="sans-serif" w:cs="sans-serif"/>
          <w:color w:val="000000"/>
          <w:sz w:val="20"/>
          <w:szCs w:val="20"/>
        </w:rPr>
        <w:t>the write-off of the prepayment provided at signing in September 2020.</w:t>
      </w:r>
    </w:p>
    <w:p w14:paraId="19503BF0" w14:textId="77777777" w:rsidR="00BF3A3A" w:rsidRDefault="00A76802">
      <w:pPr>
        <w:spacing w:before="240"/>
      </w:pPr>
      <w:r>
        <w:rPr>
          <w:rFonts w:ascii="sans-serif" w:eastAsia="sans-serif" w:hAnsi="sans-serif" w:cs="sans-serif"/>
          <w:b/>
          <w:bCs/>
          <w:color w:val="76B900"/>
          <w:sz w:val="20"/>
          <w:szCs w:val="20"/>
        </w:rPr>
        <w:t>Other Income (Expense), Net</w:t>
      </w:r>
    </w:p>
    <w:tbl>
      <w:tblPr>
        <w:tblW w:w="5000" w:type="pct"/>
        <w:tblCellMar>
          <w:top w:w="15" w:type="dxa"/>
          <w:left w:w="15" w:type="dxa"/>
          <w:bottom w:w="15" w:type="dxa"/>
          <w:right w:w="15" w:type="dxa"/>
        </w:tblCellMar>
        <w:tblLook w:val="04A0" w:firstRow="1" w:lastRow="0" w:firstColumn="1" w:lastColumn="0" w:noHBand="0" w:noVBand="1"/>
      </w:tblPr>
      <w:tblGrid>
        <w:gridCol w:w="45"/>
        <w:gridCol w:w="1124"/>
        <w:gridCol w:w="37"/>
        <w:gridCol w:w="132"/>
        <w:gridCol w:w="734"/>
        <w:gridCol w:w="36"/>
        <w:gridCol w:w="36"/>
        <w:gridCol w:w="36"/>
        <w:gridCol w:w="36"/>
        <w:gridCol w:w="123"/>
        <w:gridCol w:w="681"/>
        <w:gridCol w:w="36"/>
        <w:gridCol w:w="36"/>
        <w:gridCol w:w="36"/>
        <w:gridCol w:w="36"/>
        <w:gridCol w:w="123"/>
        <w:gridCol w:w="573"/>
        <w:gridCol w:w="36"/>
        <w:gridCol w:w="36"/>
        <w:gridCol w:w="36"/>
        <w:gridCol w:w="36"/>
        <w:gridCol w:w="75"/>
        <w:gridCol w:w="573"/>
        <w:gridCol w:w="163"/>
        <w:gridCol w:w="36"/>
        <w:gridCol w:w="36"/>
        <w:gridCol w:w="36"/>
        <w:gridCol w:w="122"/>
        <w:gridCol w:w="536"/>
        <w:gridCol w:w="36"/>
        <w:gridCol w:w="36"/>
        <w:gridCol w:w="36"/>
        <w:gridCol w:w="36"/>
        <w:gridCol w:w="133"/>
        <w:gridCol w:w="683"/>
        <w:gridCol w:w="36"/>
        <w:gridCol w:w="36"/>
        <w:gridCol w:w="36"/>
        <w:gridCol w:w="36"/>
        <w:gridCol w:w="123"/>
        <w:gridCol w:w="573"/>
        <w:gridCol w:w="36"/>
        <w:gridCol w:w="36"/>
        <w:gridCol w:w="36"/>
        <w:gridCol w:w="36"/>
        <w:gridCol w:w="75"/>
        <w:gridCol w:w="573"/>
        <w:gridCol w:w="163"/>
      </w:tblGrid>
      <w:tr w:rsidR="00BF3A3A" w14:paraId="19503C21" w14:textId="77777777">
        <w:tc>
          <w:tcPr>
            <w:tcW w:w="50" w:type="pct"/>
            <w:shd w:val="clear" w:color="auto" w:fill="auto"/>
            <w:vAlign w:val="bottom"/>
          </w:tcPr>
          <w:p w14:paraId="19503BF1" w14:textId="77777777" w:rsidR="00BF3A3A" w:rsidRDefault="00BF3A3A">
            <w:pPr>
              <w:rPr>
                <w:rFonts w:ascii="宋体"/>
              </w:rPr>
            </w:pPr>
          </w:p>
        </w:tc>
        <w:tc>
          <w:tcPr>
            <w:tcW w:w="741" w:type="pct"/>
            <w:shd w:val="clear" w:color="auto" w:fill="auto"/>
            <w:vAlign w:val="bottom"/>
          </w:tcPr>
          <w:p w14:paraId="19503BF2" w14:textId="77777777" w:rsidR="00BF3A3A" w:rsidRDefault="00BF3A3A">
            <w:pPr>
              <w:rPr>
                <w:rFonts w:ascii="宋体"/>
              </w:rPr>
            </w:pPr>
          </w:p>
        </w:tc>
        <w:tc>
          <w:tcPr>
            <w:tcW w:w="5" w:type="pct"/>
            <w:shd w:val="clear" w:color="auto" w:fill="auto"/>
            <w:vAlign w:val="bottom"/>
          </w:tcPr>
          <w:p w14:paraId="19503BF3" w14:textId="77777777" w:rsidR="00BF3A3A" w:rsidRDefault="00BF3A3A">
            <w:pPr>
              <w:rPr>
                <w:rFonts w:ascii="宋体"/>
              </w:rPr>
            </w:pPr>
          </w:p>
        </w:tc>
        <w:tc>
          <w:tcPr>
            <w:tcW w:w="50" w:type="pct"/>
            <w:shd w:val="clear" w:color="auto" w:fill="auto"/>
            <w:vAlign w:val="bottom"/>
          </w:tcPr>
          <w:p w14:paraId="19503BF4" w14:textId="77777777" w:rsidR="00BF3A3A" w:rsidRDefault="00BF3A3A">
            <w:pPr>
              <w:rPr>
                <w:rFonts w:ascii="宋体"/>
              </w:rPr>
            </w:pPr>
          </w:p>
        </w:tc>
        <w:tc>
          <w:tcPr>
            <w:tcW w:w="493" w:type="pct"/>
            <w:shd w:val="clear" w:color="auto" w:fill="auto"/>
            <w:vAlign w:val="bottom"/>
          </w:tcPr>
          <w:p w14:paraId="19503BF5" w14:textId="77777777" w:rsidR="00BF3A3A" w:rsidRDefault="00BF3A3A">
            <w:pPr>
              <w:rPr>
                <w:rFonts w:ascii="宋体"/>
              </w:rPr>
            </w:pPr>
          </w:p>
        </w:tc>
        <w:tc>
          <w:tcPr>
            <w:tcW w:w="5" w:type="pct"/>
            <w:shd w:val="clear" w:color="auto" w:fill="auto"/>
            <w:vAlign w:val="bottom"/>
          </w:tcPr>
          <w:p w14:paraId="19503BF6" w14:textId="77777777" w:rsidR="00BF3A3A" w:rsidRDefault="00BF3A3A">
            <w:pPr>
              <w:rPr>
                <w:rFonts w:ascii="宋体"/>
              </w:rPr>
            </w:pPr>
          </w:p>
        </w:tc>
        <w:tc>
          <w:tcPr>
            <w:tcW w:w="5" w:type="pct"/>
            <w:shd w:val="clear" w:color="auto" w:fill="auto"/>
            <w:vAlign w:val="bottom"/>
          </w:tcPr>
          <w:p w14:paraId="19503BF7" w14:textId="77777777" w:rsidR="00BF3A3A" w:rsidRDefault="00BF3A3A">
            <w:pPr>
              <w:rPr>
                <w:rFonts w:ascii="宋体"/>
              </w:rPr>
            </w:pPr>
          </w:p>
        </w:tc>
        <w:tc>
          <w:tcPr>
            <w:tcW w:w="26" w:type="pct"/>
            <w:shd w:val="clear" w:color="auto" w:fill="auto"/>
            <w:vAlign w:val="bottom"/>
          </w:tcPr>
          <w:p w14:paraId="19503BF8" w14:textId="77777777" w:rsidR="00BF3A3A" w:rsidRDefault="00BF3A3A">
            <w:pPr>
              <w:rPr>
                <w:rFonts w:ascii="宋体"/>
              </w:rPr>
            </w:pPr>
          </w:p>
        </w:tc>
        <w:tc>
          <w:tcPr>
            <w:tcW w:w="5" w:type="pct"/>
            <w:shd w:val="clear" w:color="auto" w:fill="auto"/>
            <w:vAlign w:val="bottom"/>
          </w:tcPr>
          <w:p w14:paraId="19503BF9" w14:textId="77777777" w:rsidR="00BF3A3A" w:rsidRDefault="00BF3A3A">
            <w:pPr>
              <w:rPr>
                <w:rFonts w:ascii="宋体"/>
              </w:rPr>
            </w:pPr>
          </w:p>
        </w:tc>
        <w:tc>
          <w:tcPr>
            <w:tcW w:w="50" w:type="pct"/>
            <w:shd w:val="clear" w:color="auto" w:fill="auto"/>
            <w:vAlign w:val="bottom"/>
          </w:tcPr>
          <w:p w14:paraId="19503BFA" w14:textId="77777777" w:rsidR="00BF3A3A" w:rsidRDefault="00BF3A3A">
            <w:pPr>
              <w:rPr>
                <w:rFonts w:ascii="宋体"/>
              </w:rPr>
            </w:pPr>
          </w:p>
        </w:tc>
        <w:tc>
          <w:tcPr>
            <w:tcW w:w="493" w:type="pct"/>
            <w:shd w:val="clear" w:color="auto" w:fill="auto"/>
            <w:vAlign w:val="bottom"/>
          </w:tcPr>
          <w:p w14:paraId="19503BFB" w14:textId="77777777" w:rsidR="00BF3A3A" w:rsidRDefault="00BF3A3A">
            <w:pPr>
              <w:rPr>
                <w:rFonts w:ascii="宋体"/>
              </w:rPr>
            </w:pPr>
          </w:p>
        </w:tc>
        <w:tc>
          <w:tcPr>
            <w:tcW w:w="5" w:type="pct"/>
            <w:shd w:val="clear" w:color="auto" w:fill="auto"/>
            <w:vAlign w:val="bottom"/>
          </w:tcPr>
          <w:p w14:paraId="19503BFC" w14:textId="77777777" w:rsidR="00BF3A3A" w:rsidRDefault="00BF3A3A">
            <w:pPr>
              <w:rPr>
                <w:rFonts w:ascii="宋体"/>
              </w:rPr>
            </w:pPr>
          </w:p>
        </w:tc>
        <w:tc>
          <w:tcPr>
            <w:tcW w:w="5" w:type="pct"/>
            <w:shd w:val="clear" w:color="auto" w:fill="auto"/>
            <w:vAlign w:val="bottom"/>
          </w:tcPr>
          <w:p w14:paraId="19503BFD" w14:textId="77777777" w:rsidR="00BF3A3A" w:rsidRDefault="00BF3A3A">
            <w:pPr>
              <w:rPr>
                <w:rFonts w:ascii="宋体"/>
              </w:rPr>
            </w:pPr>
          </w:p>
        </w:tc>
        <w:tc>
          <w:tcPr>
            <w:tcW w:w="26" w:type="pct"/>
            <w:shd w:val="clear" w:color="auto" w:fill="auto"/>
            <w:vAlign w:val="bottom"/>
          </w:tcPr>
          <w:p w14:paraId="19503BFE" w14:textId="77777777" w:rsidR="00BF3A3A" w:rsidRDefault="00BF3A3A">
            <w:pPr>
              <w:rPr>
                <w:rFonts w:ascii="宋体"/>
              </w:rPr>
            </w:pPr>
          </w:p>
        </w:tc>
        <w:tc>
          <w:tcPr>
            <w:tcW w:w="5" w:type="pct"/>
            <w:shd w:val="clear" w:color="auto" w:fill="auto"/>
            <w:vAlign w:val="bottom"/>
          </w:tcPr>
          <w:p w14:paraId="19503BFF" w14:textId="77777777" w:rsidR="00BF3A3A" w:rsidRDefault="00BF3A3A">
            <w:pPr>
              <w:rPr>
                <w:rFonts w:ascii="宋体"/>
              </w:rPr>
            </w:pPr>
          </w:p>
        </w:tc>
        <w:tc>
          <w:tcPr>
            <w:tcW w:w="50" w:type="pct"/>
            <w:shd w:val="clear" w:color="auto" w:fill="auto"/>
            <w:vAlign w:val="bottom"/>
          </w:tcPr>
          <w:p w14:paraId="19503C00" w14:textId="77777777" w:rsidR="00BF3A3A" w:rsidRDefault="00BF3A3A">
            <w:pPr>
              <w:rPr>
                <w:rFonts w:ascii="宋体"/>
              </w:rPr>
            </w:pPr>
          </w:p>
        </w:tc>
        <w:tc>
          <w:tcPr>
            <w:tcW w:w="383" w:type="pct"/>
            <w:shd w:val="clear" w:color="auto" w:fill="auto"/>
            <w:vAlign w:val="bottom"/>
          </w:tcPr>
          <w:p w14:paraId="19503C01" w14:textId="77777777" w:rsidR="00BF3A3A" w:rsidRDefault="00BF3A3A">
            <w:pPr>
              <w:rPr>
                <w:rFonts w:ascii="宋体"/>
              </w:rPr>
            </w:pPr>
          </w:p>
        </w:tc>
        <w:tc>
          <w:tcPr>
            <w:tcW w:w="5" w:type="pct"/>
            <w:shd w:val="clear" w:color="auto" w:fill="auto"/>
            <w:vAlign w:val="bottom"/>
          </w:tcPr>
          <w:p w14:paraId="19503C02" w14:textId="77777777" w:rsidR="00BF3A3A" w:rsidRDefault="00BF3A3A">
            <w:pPr>
              <w:rPr>
                <w:rFonts w:ascii="宋体"/>
              </w:rPr>
            </w:pPr>
          </w:p>
        </w:tc>
        <w:tc>
          <w:tcPr>
            <w:tcW w:w="5" w:type="pct"/>
            <w:shd w:val="clear" w:color="auto" w:fill="auto"/>
            <w:vAlign w:val="bottom"/>
          </w:tcPr>
          <w:p w14:paraId="19503C03" w14:textId="77777777" w:rsidR="00BF3A3A" w:rsidRDefault="00BF3A3A">
            <w:pPr>
              <w:rPr>
                <w:rFonts w:ascii="宋体"/>
              </w:rPr>
            </w:pPr>
          </w:p>
        </w:tc>
        <w:tc>
          <w:tcPr>
            <w:tcW w:w="26" w:type="pct"/>
            <w:shd w:val="clear" w:color="auto" w:fill="auto"/>
            <w:vAlign w:val="bottom"/>
          </w:tcPr>
          <w:p w14:paraId="19503C04" w14:textId="77777777" w:rsidR="00BF3A3A" w:rsidRDefault="00BF3A3A">
            <w:pPr>
              <w:rPr>
                <w:rFonts w:ascii="宋体"/>
              </w:rPr>
            </w:pPr>
          </w:p>
        </w:tc>
        <w:tc>
          <w:tcPr>
            <w:tcW w:w="5" w:type="pct"/>
            <w:shd w:val="clear" w:color="auto" w:fill="auto"/>
            <w:vAlign w:val="bottom"/>
          </w:tcPr>
          <w:p w14:paraId="19503C05" w14:textId="77777777" w:rsidR="00BF3A3A" w:rsidRDefault="00BF3A3A">
            <w:pPr>
              <w:rPr>
                <w:rFonts w:ascii="宋体"/>
              </w:rPr>
            </w:pPr>
          </w:p>
        </w:tc>
        <w:tc>
          <w:tcPr>
            <w:tcW w:w="50" w:type="pct"/>
            <w:shd w:val="clear" w:color="auto" w:fill="auto"/>
            <w:vAlign w:val="bottom"/>
          </w:tcPr>
          <w:p w14:paraId="19503C06" w14:textId="77777777" w:rsidR="00BF3A3A" w:rsidRDefault="00BF3A3A">
            <w:pPr>
              <w:rPr>
                <w:rFonts w:ascii="宋体"/>
              </w:rPr>
            </w:pPr>
          </w:p>
        </w:tc>
        <w:tc>
          <w:tcPr>
            <w:tcW w:w="383" w:type="pct"/>
            <w:shd w:val="clear" w:color="auto" w:fill="auto"/>
            <w:vAlign w:val="bottom"/>
          </w:tcPr>
          <w:p w14:paraId="19503C07" w14:textId="77777777" w:rsidR="00BF3A3A" w:rsidRDefault="00BF3A3A">
            <w:pPr>
              <w:rPr>
                <w:rFonts w:ascii="宋体"/>
              </w:rPr>
            </w:pPr>
          </w:p>
        </w:tc>
        <w:tc>
          <w:tcPr>
            <w:tcW w:w="5" w:type="pct"/>
            <w:shd w:val="clear" w:color="auto" w:fill="auto"/>
            <w:vAlign w:val="bottom"/>
          </w:tcPr>
          <w:p w14:paraId="19503C08" w14:textId="77777777" w:rsidR="00BF3A3A" w:rsidRDefault="00BF3A3A">
            <w:pPr>
              <w:rPr>
                <w:rFonts w:ascii="宋体"/>
              </w:rPr>
            </w:pPr>
          </w:p>
        </w:tc>
        <w:tc>
          <w:tcPr>
            <w:tcW w:w="5" w:type="pct"/>
            <w:shd w:val="clear" w:color="auto" w:fill="auto"/>
            <w:vAlign w:val="bottom"/>
          </w:tcPr>
          <w:p w14:paraId="19503C09" w14:textId="77777777" w:rsidR="00BF3A3A" w:rsidRDefault="00BF3A3A">
            <w:pPr>
              <w:rPr>
                <w:rFonts w:ascii="宋体"/>
              </w:rPr>
            </w:pPr>
          </w:p>
        </w:tc>
        <w:tc>
          <w:tcPr>
            <w:tcW w:w="26" w:type="pct"/>
            <w:shd w:val="clear" w:color="auto" w:fill="auto"/>
            <w:vAlign w:val="bottom"/>
          </w:tcPr>
          <w:p w14:paraId="19503C0A" w14:textId="77777777" w:rsidR="00BF3A3A" w:rsidRDefault="00BF3A3A">
            <w:pPr>
              <w:rPr>
                <w:rFonts w:ascii="宋体"/>
              </w:rPr>
            </w:pPr>
          </w:p>
        </w:tc>
        <w:tc>
          <w:tcPr>
            <w:tcW w:w="5" w:type="pct"/>
            <w:shd w:val="clear" w:color="auto" w:fill="auto"/>
            <w:vAlign w:val="bottom"/>
          </w:tcPr>
          <w:p w14:paraId="19503C0B" w14:textId="77777777" w:rsidR="00BF3A3A" w:rsidRDefault="00BF3A3A">
            <w:pPr>
              <w:rPr>
                <w:rFonts w:ascii="宋体"/>
              </w:rPr>
            </w:pPr>
          </w:p>
        </w:tc>
        <w:tc>
          <w:tcPr>
            <w:tcW w:w="50" w:type="pct"/>
            <w:shd w:val="clear" w:color="auto" w:fill="auto"/>
            <w:vAlign w:val="bottom"/>
          </w:tcPr>
          <w:p w14:paraId="19503C0C" w14:textId="77777777" w:rsidR="00BF3A3A" w:rsidRDefault="00BF3A3A">
            <w:pPr>
              <w:rPr>
                <w:rFonts w:ascii="宋体"/>
              </w:rPr>
            </w:pPr>
          </w:p>
        </w:tc>
        <w:tc>
          <w:tcPr>
            <w:tcW w:w="493" w:type="pct"/>
            <w:shd w:val="clear" w:color="auto" w:fill="auto"/>
            <w:vAlign w:val="bottom"/>
          </w:tcPr>
          <w:p w14:paraId="19503C0D" w14:textId="77777777" w:rsidR="00BF3A3A" w:rsidRDefault="00BF3A3A">
            <w:pPr>
              <w:rPr>
                <w:rFonts w:ascii="宋体"/>
              </w:rPr>
            </w:pPr>
          </w:p>
        </w:tc>
        <w:tc>
          <w:tcPr>
            <w:tcW w:w="5" w:type="pct"/>
            <w:shd w:val="clear" w:color="auto" w:fill="auto"/>
            <w:vAlign w:val="bottom"/>
          </w:tcPr>
          <w:p w14:paraId="19503C0E" w14:textId="77777777" w:rsidR="00BF3A3A" w:rsidRDefault="00BF3A3A">
            <w:pPr>
              <w:rPr>
                <w:rFonts w:ascii="宋体"/>
              </w:rPr>
            </w:pPr>
          </w:p>
        </w:tc>
        <w:tc>
          <w:tcPr>
            <w:tcW w:w="5" w:type="pct"/>
            <w:shd w:val="clear" w:color="auto" w:fill="auto"/>
            <w:vAlign w:val="bottom"/>
          </w:tcPr>
          <w:p w14:paraId="19503C0F" w14:textId="77777777" w:rsidR="00BF3A3A" w:rsidRDefault="00BF3A3A">
            <w:pPr>
              <w:rPr>
                <w:rFonts w:ascii="宋体"/>
              </w:rPr>
            </w:pPr>
          </w:p>
        </w:tc>
        <w:tc>
          <w:tcPr>
            <w:tcW w:w="26" w:type="pct"/>
            <w:shd w:val="clear" w:color="auto" w:fill="auto"/>
            <w:vAlign w:val="bottom"/>
          </w:tcPr>
          <w:p w14:paraId="19503C10" w14:textId="77777777" w:rsidR="00BF3A3A" w:rsidRDefault="00BF3A3A">
            <w:pPr>
              <w:rPr>
                <w:rFonts w:ascii="宋体"/>
              </w:rPr>
            </w:pPr>
          </w:p>
        </w:tc>
        <w:tc>
          <w:tcPr>
            <w:tcW w:w="5" w:type="pct"/>
            <w:shd w:val="clear" w:color="auto" w:fill="auto"/>
            <w:vAlign w:val="bottom"/>
          </w:tcPr>
          <w:p w14:paraId="19503C11" w14:textId="77777777" w:rsidR="00BF3A3A" w:rsidRDefault="00BF3A3A">
            <w:pPr>
              <w:rPr>
                <w:rFonts w:ascii="宋体"/>
              </w:rPr>
            </w:pPr>
          </w:p>
        </w:tc>
        <w:tc>
          <w:tcPr>
            <w:tcW w:w="50" w:type="pct"/>
            <w:shd w:val="clear" w:color="auto" w:fill="auto"/>
            <w:vAlign w:val="bottom"/>
          </w:tcPr>
          <w:p w14:paraId="19503C12" w14:textId="77777777" w:rsidR="00BF3A3A" w:rsidRDefault="00BF3A3A">
            <w:pPr>
              <w:rPr>
                <w:rFonts w:ascii="宋体"/>
              </w:rPr>
            </w:pPr>
          </w:p>
        </w:tc>
        <w:tc>
          <w:tcPr>
            <w:tcW w:w="493" w:type="pct"/>
            <w:shd w:val="clear" w:color="auto" w:fill="auto"/>
            <w:vAlign w:val="bottom"/>
          </w:tcPr>
          <w:p w14:paraId="19503C13" w14:textId="77777777" w:rsidR="00BF3A3A" w:rsidRDefault="00BF3A3A">
            <w:pPr>
              <w:rPr>
                <w:rFonts w:ascii="宋体"/>
              </w:rPr>
            </w:pPr>
          </w:p>
        </w:tc>
        <w:tc>
          <w:tcPr>
            <w:tcW w:w="5" w:type="pct"/>
            <w:shd w:val="clear" w:color="auto" w:fill="auto"/>
            <w:vAlign w:val="bottom"/>
          </w:tcPr>
          <w:p w14:paraId="19503C14" w14:textId="77777777" w:rsidR="00BF3A3A" w:rsidRDefault="00BF3A3A">
            <w:pPr>
              <w:rPr>
                <w:rFonts w:ascii="宋体"/>
              </w:rPr>
            </w:pPr>
          </w:p>
        </w:tc>
        <w:tc>
          <w:tcPr>
            <w:tcW w:w="5" w:type="pct"/>
            <w:shd w:val="clear" w:color="auto" w:fill="auto"/>
            <w:vAlign w:val="bottom"/>
          </w:tcPr>
          <w:p w14:paraId="19503C15" w14:textId="77777777" w:rsidR="00BF3A3A" w:rsidRDefault="00BF3A3A">
            <w:pPr>
              <w:rPr>
                <w:rFonts w:ascii="宋体"/>
              </w:rPr>
            </w:pPr>
          </w:p>
        </w:tc>
        <w:tc>
          <w:tcPr>
            <w:tcW w:w="26" w:type="pct"/>
            <w:shd w:val="clear" w:color="auto" w:fill="auto"/>
            <w:vAlign w:val="bottom"/>
          </w:tcPr>
          <w:p w14:paraId="19503C16" w14:textId="77777777" w:rsidR="00BF3A3A" w:rsidRDefault="00BF3A3A">
            <w:pPr>
              <w:rPr>
                <w:rFonts w:ascii="宋体"/>
              </w:rPr>
            </w:pPr>
          </w:p>
        </w:tc>
        <w:tc>
          <w:tcPr>
            <w:tcW w:w="5" w:type="pct"/>
            <w:shd w:val="clear" w:color="auto" w:fill="auto"/>
            <w:vAlign w:val="bottom"/>
          </w:tcPr>
          <w:p w14:paraId="19503C17" w14:textId="77777777" w:rsidR="00BF3A3A" w:rsidRDefault="00BF3A3A">
            <w:pPr>
              <w:rPr>
                <w:rFonts w:ascii="宋体"/>
              </w:rPr>
            </w:pPr>
          </w:p>
        </w:tc>
        <w:tc>
          <w:tcPr>
            <w:tcW w:w="50" w:type="pct"/>
            <w:shd w:val="clear" w:color="auto" w:fill="auto"/>
            <w:vAlign w:val="bottom"/>
          </w:tcPr>
          <w:p w14:paraId="19503C18" w14:textId="77777777" w:rsidR="00BF3A3A" w:rsidRDefault="00BF3A3A">
            <w:pPr>
              <w:rPr>
                <w:rFonts w:ascii="宋体"/>
              </w:rPr>
            </w:pPr>
          </w:p>
        </w:tc>
        <w:tc>
          <w:tcPr>
            <w:tcW w:w="383" w:type="pct"/>
            <w:shd w:val="clear" w:color="auto" w:fill="auto"/>
            <w:vAlign w:val="bottom"/>
          </w:tcPr>
          <w:p w14:paraId="19503C19" w14:textId="77777777" w:rsidR="00BF3A3A" w:rsidRDefault="00BF3A3A">
            <w:pPr>
              <w:rPr>
                <w:rFonts w:ascii="宋体"/>
              </w:rPr>
            </w:pPr>
          </w:p>
        </w:tc>
        <w:tc>
          <w:tcPr>
            <w:tcW w:w="5" w:type="pct"/>
            <w:shd w:val="clear" w:color="auto" w:fill="auto"/>
            <w:vAlign w:val="bottom"/>
          </w:tcPr>
          <w:p w14:paraId="19503C1A" w14:textId="77777777" w:rsidR="00BF3A3A" w:rsidRDefault="00BF3A3A">
            <w:pPr>
              <w:rPr>
                <w:rFonts w:ascii="宋体"/>
              </w:rPr>
            </w:pPr>
          </w:p>
        </w:tc>
        <w:tc>
          <w:tcPr>
            <w:tcW w:w="5" w:type="pct"/>
            <w:shd w:val="clear" w:color="auto" w:fill="auto"/>
            <w:vAlign w:val="bottom"/>
          </w:tcPr>
          <w:p w14:paraId="19503C1B" w14:textId="77777777" w:rsidR="00BF3A3A" w:rsidRDefault="00BF3A3A">
            <w:pPr>
              <w:rPr>
                <w:rFonts w:ascii="宋体"/>
              </w:rPr>
            </w:pPr>
          </w:p>
        </w:tc>
        <w:tc>
          <w:tcPr>
            <w:tcW w:w="26" w:type="pct"/>
            <w:shd w:val="clear" w:color="auto" w:fill="auto"/>
            <w:vAlign w:val="bottom"/>
          </w:tcPr>
          <w:p w14:paraId="19503C1C" w14:textId="77777777" w:rsidR="00BF3A3A" w:rsidRDefault="00BF3A3A">
            <w:pPr>
              <w:rPr>
                <w:rFonts w:ascii="宋体"/>
              </w:rPr>
            </w:pPr>
          </w:p>
        </w:tc>
        <w:tc>
          <w:tcPr>
            <w:tcW w:w="5" w:type="pct"/>
            <w:shd w:val="clear" w:color="auto" w:fill="auto"/>
            <w:vAlign w:val="bottom"/>
          </w:tcPr>
          <w:p w14:paraId="19503C1D" w14:textId="77777777" w:rsidR="00BF3A3A" w:rsidRDefault="00BF3A3A">
            <w:pPr>
              <w:rPr>
                <w:rFonts w:ascii="宋体"/>
              </w:rPr>
            </w:pPr>
          </w:p>
        </w:tc>
        <w:tc>
          <w:tcPr>
            <w:tcW w:w="50" w:type="pct"/>
            <w:shd w:val="clear" w:color="auto" w:fill="auto"/>
            <w:vAlign w:val="bottom"/>
          </w:tcPr>
          <w:p w14:paraId="19503C1E" w14:textId="77777777" w:rsidR="00BF3A3A" w:rsidRDefault="00BF3A3A">
            <w:pPr>
              <w:rPr>
                <w:rFonts w:ascii="宋体"/>
              </w:rPr>
            </w:pPr>
          </w:p>
        </w:tc>
        <w:tc>
          <w:tcPr>
            <w:tcW w:w="384" w:type="pct"/>
            <w:shd w:val="clear" w:color="auto" w:fill="auto"/>
            <w:vAlign w:val="bottom"/>
          </w:tcPr>
          <w:p w14:paraId="19503C1F" w14:textId="77777777" w:rsidR="00BF3A3A" w:rsidRDefault="00BF3A3A">
            <w:pPr>
              <w:rPr>
                <w:rFonts w:ascii="宋体"/>
              </w:rPr>
            </w:pPr>
          </w:p>
        </w:tc>
        <w:tc>
          <w:tcPr>
            <w:tcW w:w="5" w:type="pct"/>
            <w:shd w:val="clear" w:color="auto" w:fill="auto"/>
            <w:vAlign w:val="bottom"/>
          </w:tcPr>
          <w:p w14:paraId="19503C20" w14:textId="77777777" w:rsidR="00BF3A3A" w:rsidRDefault="00BF3A3A">
            <w:pPr>
              <w:rPr>
                <w:rFonts w:ascii="宋体"/>
              </w:rPr>
            </w:pPr>
          </w:p>
        </w:tc>
      </w:tr>
      <w:tr w:rsidR="00BF3A3A" w14:paraId="19503C26" w14:textId="77777777">
        <w:tc>
          <w:tcPr>
            <w:tcW w:w="0" w:type="auto"/>
            <w:gridSpan w:val="3"/>
            <w:shd w:val="clear" w:color="auto" w:fill="auto"/>
            <w:tcMar>
              <w:top w:w="0" w:type="dxa"/>
              <w:left w:w="20" w:type="dxa"/>
              <w:bottom w:w="0" w:type="dxa"/>
              <w:right w:w="20" w:type="dxa"/>
            </w:tcMar>
            <w:vAlign w:val="bottom"/>
          </w:tcPr>
          <w:p w14:paraId="19503C22" w14:textId="77777777" w:rsidR="00BF3A3A" w:rsidRDefault="00BF3A3A">
            <w:pPr>
              <w:rPr>
                <w:rFonts w:ascii="宋体"/>
              </w:rPr>
            </w:pPr>
          </w:p>
        </w:tc>
        <w:tc>
          <w:tcPr>
            <w:tcW w:w="0" w:type="auto"/>
            <w:gridSpan w:val="21"/>
            <w:shd w:val="clear" w:color="auto" w:fill="auto"/>
            <w:tcMar>
              <w:top w:w="40" w:type="dxa"/>
              <w:left w:w="20" w:type="dxa"/>
              <w:bottom w:w="40" w:type="dxa"/>
              <w:right w:w="20" w:type="dxa"/>
            </w:tcMar>
            <w:vAlign w:val="bottom"/>
          </w:tcPr>
          <w:p w14:paraId="19503C23" w14:textId="77777777" w:rsidR="00BF3A3A" w:rsidRDefault="00A76802">
            <w:pPr>
              <w:jc w:val="center"/>
              <w:textAlignment w:val="bottom"/>
            </w:pPr>
            <w:r>
              <w:rPr>
                <w:rFonts w:ascii="sans-serif" w:eastAsia="sans-serif" w:hAnsi="sans-serif" w:cs="sans-serif"/>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19503C24" w14:textId="77777777" w:rsidR="00BF3A3A" w:rsidRDefault="00BF3A3A">
            <w:pPr>
              <w:rPr>
                <w:rFonts w:ascii="宋体"/>
              </w:rPr>
            </w:pPr>
          </w:p>
        </w:tc>
        <w:tc>
          <w:tcPr>
            <w:tcW w:w="0" w:type="auto"/>
            <w:gridSpan w:val="21"/>
            <w:shd w:val="clear" w:color="auto" w:fill="auto"/>
            <w:tcMar>
              <w:top w:w="40" w:type="dxa"/>
              <w:left w:w="20" w:type="dxa"/>
              <w:bottom w:w="40" w:type="dxa"/>
              <w:right w:w="20" w:type="dxa"/>
            </w:tcMar>
            <w:vAlign w:val="bottom"/>
          </w:tcPr>
          <w:p w14:paraId="19503C25" w14:textId="77777777" w:rsidR="00BF3A3A" w:rsidRDefault="00A76802">
            <w:pPr>
              <w:jc w:val="center"/>
              <w:textAlignment w:val="bottom"/>
            </w:pPr>
            <w:r>
              <w:rPr>
                <w:rFonts w:ascii="sans-serif" w:eastAsia="sans-serif" w:hAnsi="sans-serif" w:cs="sans-serif"/>
                <w:b/>
                <w:bCs/>
                <w:color w:val="000000"/>
                <w:sz w:val="20"/>
                <w:szCs w:val="20"/>
              </w:rPr>
              <w:t>Six Months Ended</w:t>
            </w:r>
          </w:p>
        </w:tc>
      </w:tr>
      <w:tr w:rsidR="00BF3A3A" w14:paraId="19503C37" w14:textId="77777777">
        <w:tc>
          <w:tcPr>
            <w:tcW w:w="0" w:type="auto"/>
            <w:gridSpan w:val="3"/>
            <w:shd w:val="clear" w:color="auto" w:fill="auto"/>
            <w:tcMar>
              <w:top w:w="40" w:type="dxa"/>
              <w:left w:w="20" w:type="dxa"/>
              <w:bottom w:w="40" w:type="dxa"/>
              <w:right w:w="20" w:type="dxa"/>
            </w:tcMar>
            <w:vAlign w:val="center"/>
          </w:tcPr>
          <w:p w14:paraId="19503C27" w14:textId="77777777" w:rsidR="00BF3A3A" w:rsidRDefault="00A76802">
            <w:pPr>
              <w:textAlignment w:val="center"/>
            </w:pPr>
            <w:r>
              <w:rPr>
                <w:rFonts w:ascii="sans-serif" w:eastAsia="sans-serif" w:hAnsi="sans-serif" w:cs="sans-serif"/>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C28" w14:textId="77777777" w:rsidR="00BF3A3A" w:rsidRDefault="00A76802">
            <w:pPr>
              <w:jc w:val="center"/>
              <w:textAlignment w:val="center"/>
            </w:pPr>
            <w:r>
              <w:rPr>
                <w:rFonts w:ascii="sans-serif" w:eastAsia="sans-serif" w:hAnsi="sans-serif" w:cs="sans-serif"/>
                <w:b/>
                <w:bCs/>
                <w:color w:val="000000"/>
                <w:sz w:val="20"/>
                <w:szCs w:val="20"/>
              </w:rPr>
              <w:t>July 31,</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C29"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C2A" w14:textId="77777777" w:rsidR="00BF3A3A" w:rsidRDefault="00A76802">
            <w:pPr>
              <w:jc w:val="center"/>
              <w:textAlignment w:val="center"/>
            </w:pPr>
            <w:r>
              <w:rPr>
                <w:rFonts w:ascii="sans-serif" w:eastAsia="sans-serif" w:hAnsi="sans-serif" w:cs="sans-serif"/>
                <w:b/>
                <w:bCs/>
                <w:color w:val="000000"/>
                <w:sz w:val="20"/>
                <w:szCs w:val="20"/>
              </w:rPr>
              <w:t>August 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C2B"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C2C" w14:textId="77777777" w:rsidR="00BF3A3A" w:rsidRDefault="00A76802">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C2D"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C2E" w14:textId="77777777" w:rsidR="00BF3A3A" w:rsidRDefault="00A76802">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shd w:val="clear" w:color="auto" w:fill="auto"/>
            <w:tcMar>
              <w:top w:w="0" w:type="dxa"/>
              <w:left w:w="20" w:type="dxa"/>
              <w:bottom w:w="0" w:type="dxa"/>
              <w:right w:w="20" w:type="dxa"/>
            </w:tcMar>
            <w:vAlign w:val="bottom"/>
          </w:tcPr>
          <w:p w14:paraId="19503C2F"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C30" w14:textId="77777777" w:rsidR="00BF3A3A" w:rsidRDefault="00A76802">
            <w:pPr>
              <w:jc w:val="center"/>
              <w:textAlignment w:val="center"/>
            </w:pPr>
            <w:r>
              <w:rPr>
                <w:rFonts w:ascii="sans-serif" w:eastAsia="sans-serif" w:hAnsi="sans-serif" w:cs="sans-serif"/>
                <w:b/>
                <w:bCs/>
                <w:color w:val="000000"/>
                <w:sz w:val="20"/>
                <w:szCs w:val="20"/>
              </w:rPr>
              <w:t>July 31,</w:t>
            </w:r>
            <w:r>
              <w:rPr>
                <w:rFonts w:ascii="sans-serif" w:eastAsia="sans-serif" w:hAnsi="sans-serif" w:cs="sans-serif"/>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C31"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C32" w14:textId="77777777" w:rsidR="00BF3A3A" w:rsidRDefault="00A76802">
            <w:pPr>
              <w:jc w:val="center"/>
              <w:textAlignment w:val="center"/>
            </w:pPr>
            <w:r>
              <w:rPr>
                <w:rFonts w:ascii="sans-serif" w:eastAsia="sans-serif" w:hAnsi="sans-serif" w:cs="sans-serif"/>
                <w:b/>
                <w:bCs/>
                <w:color w:val="000000"/>
                <w:sz w:val="20"/>
                <w:szCs w:val="20"/>
              </w:rPr>
              <w:t>August 1,</w:t>
            </w:r>
            <w:r>
              <w:rPr>
                <w:rFonts w:ascii="sans-serif" w:eastAsia="sans-serif" w:hAnsi="sans-serif" w:cs="sans-serif"/>
                <w:b/>
                <w:bCs/>
                <w:color w:val="000000"/>
                <w:sz w:val="20"/>
                <w:szCs w:val="20"/>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C33"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C34" w14:textId="77777777" w:rsidR="00BF3A3A" w:rsidRDefault="00A76802">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C35"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9503C36" w14:textId="77777777" w:rsidR="00BF3A3A" w:rsidRDefault="00A76802">
            <w:pPr>
              <w:jc w:val="center"/>
              <w:textAlignment w:val="center"/>
            </w:pPr>
            <w:r>
              <w:rPr>
                <w:rFonts w:ascii="sans-serif" w:eastAsia="sans-serif" w:hAnsi="sans-serif" w:cs="sans-serif"/>
                <w:b/>
                <w:bCs/>
                <w:color w:val="000000"/>
                <w:sz w:val="20"/>
                <w:szCs w:val="20"/>
              </w:rPr>
              <w:t>%</w:t>
            </w:r>
            <w:r>
              <w:rPr>
                <w:rFonts w:ascii="sans-serif" w:eastAsia="sans-serif" w:hAnsi="sans-serif" w:cs="sans-serif"/>
                <w:b/>
                <w:bCs/>
                <w:color w:val="000000"/>
                <w:sz w:val="20"/>
                <w:szCs w:val="20"/>
              </w:rPr>
              <w:br/>
              <w:t>Change</w:t>
            </w:r>
          </w:p>
        </w:tc>
      </w:tr>
      <w:tr w:rsidR="00BF3A3A" w14:paraId="19503C48" w14:textId="77777777">
        <w:trPr>
          <w:trHeight w:val="60"/>
        </w:trPr>
        <w:tc>
          <w:tcPr>
            <w:tcW w:w="0" w:type="auto"/>
            <w:gridSpan w:val="3"/>
            <w:shd w:val="clear" w:color="auto" w:fill="auto"/>
            <w:tcMar>
              <w:top w:w="0" w:type="dxa"/>
              <w:left w:w="20" w:type="dxa"/>
              <w:bottom w:w="0" w:type="dxa"/>
              <w:right w:w="20" w:type="dxa"/>
            </w:tcMar>
            <w:vAlign w:val="bottom"/>
          </w:tcPr>
          <w:p w14:paraId="19503C38"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C39"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C3A"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C3B"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C3C"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C3D"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C3E"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C3F"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C40"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C41"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C42"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C43"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C44"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C45"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C46"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C47" w14:textId="77777777" w:rsidR="00BF3A3A" w:rsidRDefault="00BF3A3A">
            <w:pPr>
              <w:rPr>
                <w:rFonts w:ascii="宋体"/>
              </w:rPr>
            </w:pPr>
          </w:p>
        </w:tc>
      </w:tr>
      <w:tr w:rsidR="00BF3A3A" w14:paraId="19503C4B" w14:textId="77777777">
        <w:tc>
          <w:tcPr>
            <w:tcW w:w="0" w:type="auto"/>
            <w:gridSpan w:val="3"/>
            <w:shd w:val="clear" w:color="auto" w:fill="auto"/>
            <w:tcMar>
              <w:top w:w="40" w:type="dxa"/>
              <w:left w:w="20" w:type="dxa"/>
              <w:bottom w:w="40" w:type="dxa"/>
              <w:right w:w="20" w:type="dxa"/>
            </w:tcMar>
            <w:vAlign w:val="bottom"/>
          </w:tcPr>
          <w:p w14:paraId="19503C49" w14:textId="77777777" w:rsidR="00BF3A3A" w:rsidRDefault="00A76802">
            <w:pPr>
              <w:textAlignment w:val="bottom"/>
            </w:pPr>
            <w:r>
              <w:rPr>
                <w:rFonts w:ascii="sans-serif" w:eastAsia="sans-serif" w:hAnsi="sans-serif" w:cs="sans-serif"/>
                <w:color w:val="000000"/>
                <w:sz w:val="20"/>
                <w:szCs w:val="20"/>
              </w:rPr>
              <w:t> </w:t>
            </w:r>
          </w:p>
        </w:tc>
        <w:tc>
          <w:tcPr>
            <w:tcW w:w="0" w:type="auto"/>
            <w:gridSpan w:val="45"/>
            <w:shd w:val="clear" w:color="auto" w:fill="auto"/>
            <w:tcMar>
              <w:top w:w="40" w:type="dxa"/>
              <w:left w:w="20" w:type="dxa"/>
              <w:bottom w:w="40" w:type="dxa"/>
              <w:right w:w="20" w:type="dxa"/>
            </w:tcMar>
            <w:vAlign w:val="bottom"/>
          </w:tcPr>
          <w:p w14:paraId="19503C4A" w14:textId="77777777" w:rsidR="00BF3A3A" w:rsidRDefault="00A76802">
            <w:pPr>
              <w:jc w:val="center"/>
              <w:textAlignment w:val="bottom"/>
            </w:pPr>
            <w:r>
              <w:rPr>
                <w:rFonts w:ascii="sans-serif" w:eastAsia="sans-serif" w:hAnsi="sans-serif" w:cs="sans-serif"/>
                <w:i/>
                <w:iCs/>
                <w:color w:val="000000"/>
                <w:sz w:val="20"/>
                <w:szCs w:val="20"/>
              </w:rPr>
              <w:t>($ in millions)</w:t>
            </w:r>
          </w:p>
        </w:tc>
      </w:tr>
      <w:tr w:rsidR="00A76802" w14:paraId="19503C6A" w14:textId="77777777">
        <w:tc>
          <w:tcPr>
            <w:tcW w:w="0" w:type="auto"/>
            <w:gridSpan w:val="3"/>
            <w:shd w:val="clear" w:color="auto" w:fill="E2EFD9"/>
            <w:tcMar>
              <w:top w:w="40" w:type="dxa"/>
              <w:left w:w="20" w:type="dxa"/>
              <w:bottom w:w="40" w:type="dxa"/>
              <w:right w:w="20" w:type="dxa"/>
            </w:tcMar>
            <w:vAlign w:val="bottom"/>
          </w:tcPr>
          <w:p w14:paraId="19503C4C" w14:textId="77777777" w:rsidR="00BF3A3A" w:rsidRDefault="00A76802">
            <w:pPr>
              <w:textAlignment w:val="bottom"/>
            </w:pPr>
            <w:r>
              <w:rPr>
                <w:rFonts w:ascii="sans-serif" w:eastAsia="sans-serif" w:hAnsi="sans-serif" w:cs="sans-serif"/>
                <w:color w:val="000000"/>
                <w:sz w:val="20"/>
                <w:szCs w:val="20"/>
              </w:rPr>
              <w:t>Interest income</w:t>
            </w:r>
          </w:p>
        </w:tc>
        <w:tc>
          <w:tcPr>
            <w:tcW w:w="0" w:type="auto"/>
            <w:shd w:val="clear" w:color="auto" w:fill="E2EFD9"/>
            <w:tcMar>
              <w:top w:w="40" w:type="dxa"/>
              <w:left w:w="20" w:type="dxa"/>
              <w:bottom w:w="40" w:type="dxa"/>
              <w:right w:w="0" w:type="dxa"/>
            </w:tcMar>
            <w:vAlign w:val="bottom"/>
          </w:tcPr>
          <w:p w14:paraId="19503C4D" w14:textId="77777777" w:rsidR="00BF3A3A" w:rsidRDefault="00A76802">
            <w:pPr>
              <w:textAlignment w:val="bottom"/>
            </w:pPr>
            <w:r>
              <w:rPr>
                <w:rFonts w:ascii="sans-serif" w:eastAsia="sans-serif" w:hAnsi="sans-serif" w:cs="sans-serif"/>
                <w:color w:val="000000"/>
                <w:sz w:val="22"/>
                <w:szCs w:val="22"/>
              </w:rPr>
              <w:t>$</w:t>
            </w:r>
          </w:p>
        </w:tc>
        <w:tc>
          <w:tcPr>
            <w:tcW w:w="0" w:type="auto"/>
            <w:shd w:val="clear" w:color="auto" w:fill="E2EFD9"/>
            <w:tcMar>
              <w:top w:w="40" w:type="dxa"/>
              <w:left w:w="0" w:type="dxa"/>
              <w:bottom w:w="40" w:type="dxa"/>
              <w:right w:w="0" w:type="dxa"/>
            </w:tcMar>
            <w:vAlign w:val="bottom"/>
          </w:tcPr>
          <w:p w14:paraId="19503C4E" w14:textId="77777777" w:rsidR="00BF3A3A" w:rsidRDefault="00A76802">
            <w:pPr>
              <w:jc w:val="right"/>
              <w:textAlignment w:val="bottom"/>
            </w:pPr>
            <w:r>
              <w:rPr>
                <w:rFonts w:ascii="sans-serif" w:eastAsia="sans-serif" w:hAnsi="sans-serif" w:cs="sans-serif"/>
                <w:color w:val="000000"/>
                <w:sz w:val="22"/>
                <w:szCs w:val="22"/>
              </w:rPr>
              <w:t>46 </w:t>
            </w:r>
          </w:p>
        </w:tc>
        <w:tc>
          <w:tcPr>
            <w:tcW w:w="0" w:type="auto"/>
            <w:shd w:val="clear" w:color="auto" w:fill="E2EFD9"/>
            <w:tcMar>
              <w:top w:w="40" w:type="dxa"/>
              <w:left w:w="0" w:type="dxa"/>
              <w:bottom w:w="40" w:type="dxa"/>
              <w:right w:w="20" w:type="dxa"/>
            </w:tcMar>
            <w:vAlign w:val="bottom"/>
          </w:tcPr>
          <w:p w14:paraId="19503C4F"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C50"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C51"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C52" w14:textId="77777777" w:rsidR="00BF3A3A" w:rsidRDefault="00A76802">
            <w:pPr>
              <w:jc w:val="right"/>
              <w:textAlignment w:val="bottom"/>
            </w:pPr>
            <w:r>
              <w:rPr>
                <w:rFonts w:ascii="sans-serif" w:eastAsia="sans-serif" w:hAnsi="sans-serif" w:cs="sans-serif"/>
                <w:color w:val="000000"/>
                <w:sz w:val="20"/>
                <w:szCs w:val="20"/>
              </w:rPr>
              <w:t>6 </w:t>
            </w:r>
          </w:p>
        </w:tc>
        <w:tc>
          <w:tcPr>
            <w:tcW w:w="0" w:type="auto"/>
            <w:shd w:val="clear" w:color="auto" w:fill="E2EFD9"/>
            <w:tcMar>
              <w:top w:w="40" w:type="dxa"/>
              <w:left w:w="0" w:type="dxa"/>
              <w:bottom w:w="40" w:type="dxa"/>
              <w:right w:w="20" w:type="dxa"/>
            </w:tcMar>
            <w:vAlign w:val="bottom"/>
          </w:tcPr>
          <w:p w14:paraId="19503C53"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C54"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C55"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C56" w14:textId="77777777" w:rsidR="00BF3A3A" w:rsidRDefault="00A76802">
            <w:pPr>
              <w:jc w:val="right"/>
              <w:textAlignment w:val="bottom"/>
            </w:pPr>
            <w:r>
              <w:rPr>
                <w:rFonts w:ascii="sans-serif" w:eastAsia="sans-serif" w:hAnsi="sans-serif" w:cs="sans-serif"/>
                <w:color w:val="000000"/>
                <w:sz w:val="20"/>
                <w:szCs w:val="20"/>
              </w:rPr>
              <w:t>40 </w:t>
            </w:r>
          </w:p>
        </w:tc>
        <w:tc>
          <w:tcPr>
            <w:tcW w:w="0" w:type="auto"/>
            <w:shd w:val="clear" w:color="auto" w:fill="E2EFD9"/>
            <w:tcMar>
              <w:top w:w="40" w:type="dxa"/>
              <w:left w:w="0" w:type="dxa"/>
              <w:bottom w:w="40" w:type="dxa"/>
              <w:right w:w="20" w:type="dxa"/>
            </w:tcMar>
            <w:vAlign w:val="bottom"/>
          </w:tcPr>
          <w:p w14:paraId="19503C57"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C58"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C59" w14:textId="77777777" w:rsidR="00BF3A3A" w:rsidRDefault="00A76802">
            <w:pPr>
              <w:jc w:val="right"/>
              <w:textAlignment w:val="bottom"/>
            </w:pPr>
            <w:r>
              <w:rPr>
                <w:rFonts w:ascii="sans-serif" w:eastAsia="sans-serif" w:hAnsi="sans-serif" w:cs="sans-serif"/>
                <w:color w:val="000000"/>
                <w:sz w:val="20"/>
                <w:szCs w:val="20"/>
              </w:rPr>
              <w:t>667 </w:t>
            </w:r>
          </w:p>
        </w:tc>
        <w:tc>
          <w:tcPr>
            <w:tcW w:w="0" w:type="auto"/>
            <w:shd w:val="clear" w:color="auto" w:fill="E2EFD9"/>
            <w:tcMar>
              <w:top w:w="40" w:type="dxa"/>
              <w:left w:w="0" w:type="dxa"/>
              <w:bottom w:w="40" w:type="dxa"/>
              <w:right w:w="20" w:type="dxa"/>
            </w:tcMar>
            <w:vAlign w:val="bottom"/>
          </w:tcPr>
          <w:p w14:paraId="19503C5A"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19503C5B"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C5C"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C5D" w14:textId="77777777" w:rsidR="00BF3A3A" w:rsidRDefault="00A76802">
            <w:pPr>
              <w:jc w:val="right"/>
              <w:textAlignment w:val="bottom"/>
            </w:pPr>
            <w:r>
              <w:rPr>
                <w:rFonts w:ascii="sans-serif" w:eastAsia="sans-serif" w:hAnsi="sans-serif" w:cs="sans-serif"/>
                <w:color w:val="000000"/>
                <w:sz w:val="20"/>
                <w:szCs w:val="20"/>
              </w:rPr>
              <w:t>64 </w:t>
            </w:r>
          </w:p>
        </w:tc>
        <w:tc>
          <w:tcPr>
            <w:tcW w:w="0" w:type="auto"/>
            <w:shd w:val="clear" w:color="auto" w:fill="E2EFD9"/>
            <w:tcMar>
              <w:top w:w="40" w:type="dxa"/>
              <w:left w:w="0" w:type="dxa"/>
              <w:bottom w:w="40" w:type="dxa"/>
              <w:right w:w="20" w:type="dxa"/>
            </w:tcMar>
            <w:vAlign w:val="bottom"/>
          </w:tcPr>
          <w:p w14:paraId="19503C5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C5F"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C60" w14:textId="77777777" w:rsidR="00BF3A3A" w:rsidRDefault="00A76802">
            <w:pPr>
              <w:textAlignment w:val="bottom"/>
            </w:pPr>
            <w:r>
              <w:rPr>
                <w:rFonts w:ascii="sans-serif" w:eastAsia="sans-serif" w:hAnsi="sans-serif" w:cs="sans-serif"/>
                <w:color w:val="000000"/>
                <w:sz w:val="22"/>
                <w:szCs w:val="22"/>
              </w:rPr>
              <w:t>$</w:t>
            </w:r>
          </w:p>
        </w:tc>
        <w:tc>
          <w:tcPr>
            <w:tcW w:w="0" w:type="auto"/>
            <w:shd w:val="clear" w:color="auto" w:fill="E2EFD9"/>
            <w:tcMar>
              <w:top w:w="40" w:type="dxa"/>
              <w:left w:w="0" w:type="dxa"/>
              <w:bottom w:w="40" w:type="dxa"/>
              <w:right w:w="0" w:type="dxa"/>
            </w:tcMar>
            <w:vAlign w:val="bottom"/>
          </w:tcPr>
          <w:p w14:paraId="19503C61" w14:textId="77777777" w:rsidR="00BF3A3A" w:rsidRDefault="00A76802">
            <w:pPr>
              <w:jc w:val="right"/>
              <w:textAlignment w:val="bottom"/>
            </w:pPr>
            <w:r>
              <w:rPr>
                <w:rFonts w:ascii="sans-serif" w:eastAsia="sans-serif" w:hAnsi="sans-serif" w:cs="sans-serif"/>
                <w:color w:val="000000"/>
                <w:sz w:val="22"/>
                <w:szCs w:val="22"/>
              </w:rPr>
              <w:t>13 </w:t>
            </w:r>
          </w:p>
        </w:tc>
        <w:tc>
          <w:tcPr>
            <w:tcW w:w="0" w:type="auto"/>
            <w:shd w:val="clear" w:color="auto" w:fill="E2EFD9"/>
            <w:tcMar>
              <w:top w:w="40" w:type="dxa"/>
              <w:left w:w="0" w:type="dxa"/>
              <w:bottom w:w="40" w:type="dxa"/>
              <w:right w:w="20" w:type="dxa"/>
            </w:tcMar>
            <w:vAlign w:val="bottom"/>
          </w:tcPr>
          <w:p w14:paraId="19503C6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C63"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C64"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C65" w14:textId="77777777" w:rsidR="00BF3A3A" w:rsidRDefault="00A76802">
            <w:pPr>
              <w:jc w:val="right"/>
              <w:textAlignment w:val="bottom"/>
            </w:pPr>
            <w:r>
              <w:rPr>
                <w:rFonts w:ascii="sans-serif" w:eastAsia="sans-serif" w:hAnsi="sans-serif" w:cs="sans-serif"/>
                <w:color w:val="000000"/>
                <w:sz w:val="20"/>
                <w:szCs w:val="20"/>
              </w:rPr>
              <w:t>51 </w:t>
            </w:r>
          </w:p>
        </w:tc>
        <w:tc>
          <w:tcPr>
            <w:tcW w:w="0" w:type="auto"/>
            <w:shd w:val="clear" w:color="auto" w:fill="E2EFD9"/>
            <w:tcMar>
              <w:top w:w="40" w:type="dxa"/>
              <w:left w:w="0" w:type="dxa"/>
              <w:bottom w:w="40" w:type="dxa"/>
              <w:right w:w="20" w:type="dxa"/>
            </w:tcMar>
            <w:vAlign w:val="bottom"/>
          </w:tcPr>
          <w:p w14:paraId="19503C6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C67"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C68" w14:textId="77777777" w:rsidR="00BF3A3A" w:rsidRDefault="00A76802">
            <w:pPr>
              <w:jc w:val="right"/>
              <w:textAlignment w:val="bottom"/>
            </w:pPr>
            <w:r>
              <w:rPr>
                <w:rFonts w:ascii="sans-serif" w:eastAsia="sans-serif" w:hAnsi="sans-serif" w:cs="sans-serif"/>
                <w:color w:val="000000"/>
                <w:sz w:val="20"/>
                <w:szCs w:val="20"/>
              </w:rPr>
              <w:t>392 </w:t>
            </w:r>
          </w:p>
        </w:tc>
        <w:tc>
          <w:tcPr>
            <w:tcW w:w="0" w:type="auto"/>
            <w:shd w:val="clear" w:color="auto" w:fill="E2EFD9"/>
            <w:tcMar>
              <w:top w:w="40" w:type="dxa"/>
              <w:left w:w="0" w:type="dxa"/>
              <w:bottom w:w="40" w:type="dxa"/>
              <w:right w:w="20" w:type="dxa"/>
            </w:tcMar>
            <w:vAlign w:val="bottom"/>
          </w:tcPr>
          <w:p w14:paraId="19503C69" w14:textId="77777777" w:rsidR="00BF3A3A" w:rsidRDefault="00A76802">
            <w:pPr>
              <w:jc w:val="right"/>
              <w:textAlignment w:val="bottom"/>
            </w:pPr>
            <w:r>
              <w:rPr>
                <w:rFonts w:ascii="sans-serif" w:eastAsia="sans-serif" w:hAnsi="sans-serif" w:cs="sans-serif"/>
                <w:color w:val="000000"/>
                <w:sz w:val="20"/>
                <w:szCs w:val="20"/>
              </w:rPr>
              <w:t>%</w:t>
            </w:r>
          </w:p>
        </w:tc>
      </w:tr>
      <w:tr w:rsidR="00BF3A3A" w14:paraId="19503C83" w14:textId="77777777">
        <w:tc>
          <w:tcPr>
            <w:tcW w:w="0" w:type="auto"/>
            <w:gridSpan w:val="3"/>
            <w:shd w:val="clear" w:color="auto" w:fill="FFFFFF"/>
            <w:tcMar>
              <w:top w:w="40" w:type="dxa"/>
              <w:left w:w="20" w:type="dxa"/>
              <w:bottom w:w="40" w:type="dxa"/>
              <w:right w:w="20" w:type="dxa"/>
            </w:tcMar>
            <w:vAlign w:val="bottom"/>
          </w:tcPr>
          <w:p w14:paraId="19503C6B" w14:textId="77777777" w:rsidR="00BF3A3A" w:rsidRDefault="00A76802">
            <w:pPr>
              <w:textAlignment w:val="bottom"/>
            </w:pPr>
            <w:r>
              <w:rPr>
                <w:rFonts w:ascii="sans-serif" w:eastAsia="sans-serif" w:hAnsi="sans-serif" w:cs="sans-serif"/>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19503C6C" w14:textId="77777777" w:rsidR="00BF3A3A" w:rsidRDefault="00A76802">
            <w:pPr>
              <w:jc w:val="right"/>
              <w:textAlignment w:val="bottom"/>
            </w:pPr>
            <w:r>
              <w:rPr>
                <w:rFonts w:ascii="sans-serif" w:eastAsia="sans-serif" w:hAnsi="sans-serif" w:cs="sans-serif"/>
                <w:color w:val="000000"/>
                <w:sz w:val="22"/>
                <w:szCs w:val="22"/>
              </w:rPr>
              <w:t>(65)</w:t>
            </w:r>
          </w:p>
        </w:tc>
        <w:tc>
          <w:tcPr>
            <w:tcW w:w="0" w:type="auto"/>
            <w:shd w:val="clear" w:color="auto" w:fill="FFFFFF"/>
            <w:tcMar>
              <w:top w:w="40" w:type="dxa"/>
              <w:left w:w="0" w:type="dxa"/>
              <w:bottom w:w="40" w:type="dxa"/>
              <w:right w:w="20" w:type="dxa"/>
            </w:tcMar>
            <w:vAlign w:val="bottom"/>
          </w:tcPr>
          <w:p w14:paraId="19503C6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C6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C6F" w14:textId="77777777" w:rsidR="00BF3A3A" w:rsidRDefault="00A76802">
            <w:pPr>
              <w:jc w:val="right"/>
              <w:textAlignment w:val="bottom"/>
            </w:pPr>
            <w:r>
              <w:rPr>
                <w:rFonts w:ascii="sans-serif" w:eastAsia="sans-serif" w:hAnsi="sans-serif" w:cs="sans-serif"/>
                <w:color w:val="000000"/>
                <w:sz w:val="20"/>
                <w:szCs w:val="20"/>
              </w:rPr>
              <w:t>(60)</w:t>
            </w:r>
          </w:p>
        </w:tc>
        <w:tc>
          <w:tcPr>
            <w:tcW w:w="0" w:type="auto"/>
            <w:shd w:val="clear" w:color="auto" w:fill="FFFFFF"/>
            <w:tcMar>
              <w:top w:w="40" w:type="dxa"/>
              <w:left w:w="0" w:type="dxa"/>
              <w:bottom w:w="40" w:type="dxa"/>
              <w:right w:w="20" w:type="dxa"/>
            </w:tcMar>
            <w:vAlign w:val="bottom"/>
          </w:tcPr>
          <w:p w14:paraId="19503C7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C71"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C72" w14:textId="77777777" w:rsidR="00BF3A3A" w:rsidRDefault="00A76802">
            <w:pPr>
              <w:jc w:val="right"/>
              <w:textAlignment w:val="bottom"/>
            </w:pPr>
            <w:r>
              <w:rPr>
                <w:rFonts w:ascii="sans-serif" w:eastAsia="sans-serif" w:hAnsi="sans-serif" w:cs="sans-serif"/>
                <w:color w:val="000000"/>
                <w:sz w:val="20"/>
                <w:szCs w:val="20"/>
              </w:rPr>
              <w:t>(5)</w:t>
            </w:r>
          </w:p>
        </w:tc>
        <w:tc>
          <w:tcPr>
            <w:tcW w:w="0" w:type="auto"/>
            <w:shd w:val="clear" w:color="auto" w:fill="FFFFFF"/>
            <w:tcMar>
              <w:top w:w="40" w:type="dxa"/>
              <w:left w:w="0" w:type="dxa"/>
              <w:bottom w:w="40" w:type="dxa"/>
              <w:right w:w="20" w:type="dxa"/>
            </w:tcMar>
            <w:vAlign w:val="bottom"/>
          </w:tcPr>
          <w:p w14:paraId="19503C7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C74"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C75" w14:textId="77777777" w:rsidR="00BF3A3A" w:rsidRDefault="00A76802">
            <w:pPr>
              <w:jc w:val="right"/>
              <w:textAlignment w:val="bottom"/>
            </w:pPr>
            <w:r>
              <w:rPr>
                <w:rFonts w:ascii="sans-serif" w:eastAsia="sans-serif" w:hAnsi="sans-serif" w:cs="sans-serif"/>
                <w:color w:val="000000"/>
                <w:sz w:val="20"/>
                <w:szCs w:val="20"/>
              </w:rPr>
              <w:t>8 </w:t>
            </w:r>
          </w:p>
        </w:tc>
        <w:tc>
          <w:tcPr>
            <w:tcW w:w="0" w:type="auto"/>
            <w:shd w:val="clear" w:color="auto" w:fill="FFFFFF"/>
            <w:tcMar>
              <w:top w:w="40" w:type="dxa"/>
              <w:left w:w="0" w:type="dxa"/>
              <w:bottom w:w="40" w:type="dxa"/>
              <w:right w:w="20" w:type="dxa"/>
            </w:tcMar>
            <w:vAlign w:val="bottom"/>
          </w:tcPr>
          <w:p w14:paraId="19503C76"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19503C77"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C78" w14:textId="77777777" w:rsidR="00BF3A3A" w:rsidRDefault="00A76802">
            <w:pPr>
              <w:jc w:val="right"/>
              <w:textAlignment w:val="bottom"/>
            </w:pPr>
            <w:r>
              <w:rPr>
                <w:rFonts w:ascii="sans-serif" w:eastAsia="sans-serif" w:hAnsi="sans-serif" w:cs="sans-serif"/>
                <w:color w:val="000000"/>
                <w:sz w:val="20"/>
                <w:szCs w:val="20"/>
              </w:rPr>
              <w:t>(132)</w:t>
            </w:r>
          </w:p>
        </w:tc>
        <w:tc>
          <w:tcPr>
            <w:tcW w:w="0" w:type="auto"/>
            <w:shd w:val="clear" w:color="auto" w:fill="FFFFFF"/>
            <w:tcMar>
              <w:top w:w="40" w:type="dxa"/>
              <w:left w:w="0" w:type="dxa"/>
              <w:bottom w:w="40" w:type="dxa"/>
              <w:right w:w="20" w:type="dxa"/>
            </w:tcMar>
            <w:vAlign w:val="bottom"/>
          </w:tcPr>
          <w:p w14:paraId="19503C7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C7A"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C7B" w14:textId="77777777" w:rsidR="00BF3A3A" w:rsidRDefault="00A76802">
            <w:pPr>
              <w:jc w:val="right"/>
              <w:textAlignment w:val="bottom"/>
            </w:pPr>
            <w:r>
              <w:rPr>
                <w:rFonts w:ascii="sans-serif" w:eastAsia="sans-serif" w:hAnsi="sans-serif" w:cs="sans-serif"/>
                <w:color w:val="000000"/>
                <w:sz w:val="22"/>
                <w:szCs w:val="22"/>
              </w:rPr>
              <w:t>(113)</w:t>
            </w:r>
          </w:p>
        </w:tc>
        <w:tc>
          <w:tcPr>
            <w:tcW w:w="0" w:type="auto"/>
            <w:shd w:val="clear" w:color="auto" w:fill="FFFFFF"/>
            <w:tcMar>
              <w:top w:w="40" w:type="dxa"/>
              <w:left w:w="0" w:type="dxa"/>
              <w:bottom w:w="40" w:type="dxa"/>
              <w:right w:w="20" w:type="dxa"/>
            </w:tcMar>
            <w:vAlign w:val="bottom"/>
          </w:tcPr>
          <w:p w14:paraId="19503C7C"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C7D"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C7E" w14:textId="77777777" w:rsidR="00BF3A3A" w:rsidRDefault="00A76802">
            <w:pPr>
              <w:jc w:val="right"/>
              <w:textAlignment w:val="bottom"/>
            </w:pPr>
            <w:r>
              <w:rPr>
                <w:rFonts w:ascii="sans-serif" w:eastAsia="sans-serif" w:hAnsi="sans-serif" w:cs="sans-serif"/>
                <w:color w:val="000000"/>
                <w:sz w:val="20"/>
                <w:szCs w:val="20"/>
              </w:rPr>
              <w:t>(19)</w:t>
            </w:r>
          </w:p>
        </w:tc>
        <w:tc>
          <w:tcPr>
            <w:tcW w:w="0" w:type="auto"/>
            <w:shd w:val="clear" w:color="auto" w:fill="FFFFFF"/>
            <w:tcMar>
              <w:top w:w="40" w:type="dxa"/>
              <w:left w:w="0" w:type="dxa"/>
              <w:bottom w:w="40" w:type="dxa"/>
              <w:right w:w="20" w:type="dxa"/>
            </w:tcMar>
            <w:vAlign w:val="bottom"/>
          </w:tcPr>
          <w:p w14:paraId="19503C7F"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C80"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C81" w14:textId="77777777" w:rsidR="00BF3A3A" w:rsidRDefault="00A76802">
            <w:pPr>
              <w:jc w:val="right"/>
              <w:textAlignment w:val="bottom"/>
            </w:pPr>
            <w:r>
              <w:rPr>
                <w:rFonts w:ascii="sans-serif" w:eastAsia="sans-serif" w:hAnsi="sans-serif" w:cs="sans-serif"/>
                <w:color w:val="000000"/>
                <w:sz w:val="20"/>
                <w:szCs w:val="20"/>
              </w:rPr>
              <w:t>17 </w:t>
            </w:r>
          </w:p>
        </w:tc>
        <w:tc>
          <w:tcPr>
            <w:tcW w:w="0" w:type="auto"/>
            <w:shd w:val="clear" w:color="auto" w:fill="FFFFFF"/>
            <w:tcMar>
              <w:top w:w="40" w:type="dxa"/>
              <w:left w:w="0" w:type="dxa"/>
              <w:bottom w:w="40" w:type="dxa"/>
              <w:right w:w="20" w:type="dxa"/>
            </w:tcMar>
            <w:vAlign w:val="bottom"/>
          </w:tcPr>
          <w:p w14:paraId="19503C82" w14:textId="77777777" w:rsidR="00BF3A3A" w:rsidRDefault="00A76802">
            <w:pPr>
              <w:jc w:val="right"/>
              <w:textAlignment w:val="bottom"/>
            </w:pPr>
            <w:r>
              <w:rPr>
                <w:rFonts w:ascii="sans-serif" w:eastAsia="sans-serif" w:hAnsi="sans-serif" w:cs="sans-serif"/>
                <w:color w:val="000000"/>
                <w:sz w:val="20"/>
                <w:szCs w:val="20"/>
              </w:rPr>
              <w:t>%</w:t>
            </w:r>
          </w:p>
        </w:tc>
      </w:tr>
      <w:tr w:rsidR="00BF3A3A" w14:paraId="19503C9C" w14:textId="77777777">
        <w:tc>
          <w:tcPr>
            <w:tcW w:w="0" w:type="auto"/>
            <w:gridSpan w:val="3"/>
            <w:shd w:val="clear" w:color="auto" w:fill="E2EFD9"/>
            <w:tcMar>
              <w:top w:w="40" w:type="dxa"/>
              <w:left w:w="20" w:type="dxa"/>
              <w:bottom w:w="40" w:type="dxa"/>
              <w:right w:w="20" w:type="dxa"/>
            </w:tcMar>
            <w:vAlign w:val="bottom"/>
          </w:tcPr>
          <w:p w14:paraId="19503C84" w14:textId="77777777" w:rsidR="00BF3A3A" w:rsidRDefault="00A76802">
            <w:pPr>
              <w:textAlignment w:val="bottom"/>
            </w:pPr>
            <w:r>
              <w:rPr>
                <w:rFonts w:ascii="sans-serif" w:eastAsia="sans-serif" w:hAnsi="sans-serif" w:cs="sans-serif"/>
                <w:color w:val="000000"/>
                <w:sz w:val="20"/>
                <w:szCs w:val="20"/>
              </w:rPr>
              <w:t>Other, net</w:t>
            </w:r>
          </w:p>
        </w:tc>
        <w:tc>
          <w:tcPr>
            <w:tcW w:w="0" w:type="auto"/>
            <w:gridSpan w:val="2"/>
            <w:shd w:val="clear" w:color="auto" w:fill="E2EFD9"/>
            <w:tcMar>
              <w:top w:w="40" w:type="dxa"/>
              <w:left w:w="20" w:type="dxa"/>
              <w:bottom w:w="40" w:type="dxa"/>
              <w:right w:w="0" w:type="dxa"/>
            </w:tcMar>
            <w:vAlign w:val="bottom"/>
          </w:tcPr>
          <w:p w14:paraId="19503C85" w14:textId="77777777" w:rsidR="00BF3A3A" w:rsidRDefault="00A76802">
            <w:pPr>
              <w:jc w:val="right"/>
              <w:textAlignment w:val="bottom"/>
            </w:pPr>
            <w:r>
              <w:rPr>
                <w:rFonts w:ascii="sans-serif" w:eastAsia="sans-serif" w:hAnsi="sans-serif" w:cs="sans-serif"/>
                <w:color w:val="000000"/>
                <w:sz w:val="22"/>
                <w:szCs w:val="22"/>
              </w:rPr>
              <w:t>(5)</w:t>
            </w:r>
          </w:p>
        </w:tc>
        <w:tc>
          <w:tcPr>
            <w:tcW w:w="0" w:type="auto"/>
            <w:shd w:val="clear" w:color="auto" w:fill="E2EFD9"/>
            <w:tcMar>
              <w:top w:w="40" w:type="dxa"/>
              <w:left w:w="0" w:type="dxa"/>
              <w:bottom w:w="40" w:type="dxa"/>
              <w:right w:w="20" w:type="dxa"/>
            </w:tcMar>
            <w:vAlign w:val="bottom"/>
          </w:tcPr>
          <w:p w14:paraId="19503C86"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C87"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C88" w14:textId="77777777" w:rsidR="00BF3A3A" w:rsidRDefault="00A76802">
            <w:pPr>
              <w:jc w:val="right"/>
              <w:textAlignment w:val="bottom"/>
            </w:pPr>
            <w:r>
              <w:rPr>
                <w:rFonts w:ascii="sans-serif" w:eastAsia="sans-serif" w:hAnsi="sans-serif" w:cs="sans-serif"/>
                <w:color w:val="000000"/>
                <w:sz w:val="20"/>
                <w:szCs w:val="20"/>
              </w:rPr>
              <w:t>4 </w:t>
            </w:r>
          </w:p>
        </w:tc>
        <w:tc>
          <w:tcPr>
            <w:tcW w:w="0" w:type="auto"/>
            <w:shd w:val="clear" w:color="auto" w:fill="E2EFD9"/>
            <w:tcMar>
              <w:top w:w="40" w:type="dxa"/>
              <w:left w:w="0" w:type="dxa"/>
              <w:bottom w:w="40" w:type="dxa"/>
              <w:right w:w="20" w:type="dxa"/>
            </w:tcMar>
            <w:vAlign w:val="bottom"/>
          </w:tcPr>
          <w:p w14:paraId="19503C8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C8A"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C8B" w14:textId="77777777" w:rsidR="00BF3A3A" w:rsidRDefault="00A76802">
            <w:pPr>
              <w:jc w:val="right"/>
              <w:textAlignment w:val="bottom"/>
            </w:pPr>
            <w:r>
              <w:rPr>
                <w:rFonts w:ascii="sans-serif" w:eastAsia="sans-serif" w:hAnsi="sans-serif" w:cs="sans-serif"/>
                <w:color w:val="000000"/>
                <w:sz w:val="20"/>
                <w:szCs w:val="20"/>
              </w:rPr>
              <w:t>(9)</w:t>
            </w:r>
          </w:p>
        </w:tc>
        <w:tc>
          <w:tcPr>
            <w:tcW w:w="0" w:type="auto"/>
            <w:shd w:val="clear" w:color="auto" w:fill="E2EFD9"/>
            <w:tcMar>
              <w:top w:w="40" w:type="dxa"/>
              <w:left w:w="0" w:type="dxa"/>
              <w:bottom w:w="40" w:type="dxa"/>
              <w:right w:w="20" w:type="dxa"/>
            </w:tcMar>
            <w:vAlign w:val="bottom"/>
          </w:tcPr>
          <w:p w14:paraId="19503C8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C8D"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C8E" w14:textId="77777777" w:rsidR="00BF3A3A" w:rsidRDefault="00A76802">
            <w:pPr>
              <w:jc w:val="right"/>
              <w:textAlignment w:val="bottom"/>
            </w:pPr>
            <w:r>
              <w:rPr>
                <w:rFonts w:ascii="sans-serif" w:eastAsia="sans-serif" w:hAnsi="sans-serif" w:cs="sans-serif"/>
                <w:color w:val="000000"/>
                <w:sz w:val="20"/>
                <w:szCs w:val="20"/>
              </w:rPr>
              <w:t>(225)</w:t>
            </w:r>
          </w:p>
        </w:tc>
        <w:tc>
          <w:tcPr>
            <w:tcW w:w="0" w:type="auto"/>
            <w:shd w:val="clear" w:color="auto" w:fill="E2EFD9"/>
            <w:tcMar>
              <w:top w:w="40" w:type="dxa"/>
              <w:left w:w="0" w:type="dxa"/>
              <w:bottom w:w="40" w:type="dxa"/>
              <w:right w:w="20" w:type="dxa"/>
            </w:tcMar>
            <w:vAlign w:val="bottom"/>
          </w:tcPr>
          <w:p w14:paraId="19503C8F"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E2EFD9"/>
            <w:tcMar>
              <w:top w:w="0" w:type="dxa"/>
              <w:left w:w="20" w:type="dxa"/>
              <w:bottom w:w="0" w:type="dxa"/>
              <w:right w:w="20" w:type="dxa"/>
            </w:tcMar>
            <w:vAlign w:val="bottom"/>
          </w:tcPr>
          <w:p w14:paraId="19503C90"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C91" w14:textId="77777777" w:rsidR="00BF3A3A" w:rsidRDefault="00A76802">
            <w:pPr>
              <w:jc w:val="right"/>
              <w:textAlignment w:val="bottom"/>
            </w:pPr>
            <w:r>
              <w:rPr>
                <w:rFonts w:ascii="sans-serif" w:eastAsia="sans-serif" w:hAnsi="sans-serif" w:cs="sans-serif"/>
                <w:color w:val="000000"/>
                <w:sz w:val="20"/>
                <w:szCs w:val="20"/>
              </w:rPr>
              <w:t>(19)</w:t>
            </w:r>
          </w:p>
        </w:tc>
        <w:tc>
          <w:tcPr>
            <w:tcW w:w="0" w:type="auto"/>
            <w:shd w:val="clear" w:color="auto" w:fill="E2EFD9"/>
            <w:tcMar>
              <w:top w:w="40" w:type="dxa"/>
              <w:left w:w="0" w:type="dxa"/>
              <w:bottom w:w="40" w:type="dxa"/>
              <w:right w:w="20" w:type="dxa"/>
            </w:tcMar>
            <w:vAlign w:val="bottom"/>
          </w:tcPr>
          <w:p w14:paraId="19503C92"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C93"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C94" w14:textId="77777777" w:rsidR="00BF3A3A" w:rsidRDefault="00A76802">
            <w:pPr>
              <w:jc w:val="right"/>
              <w:textAlignment w:val="bottom"/>
            </w:pPr>
            <w:r>
              <w:rPr>
                <w:rFonts w:ascii="sans-serif" w:eastAsia="sans-serif" w:hAnsi="sans-serif" w:cs="sans-serif"/>
                <w:color w:val="000000"/>
                <w:sz w:val="22"/>
                <w:szCs w:val="22"/>
              </w:rPr>
              <w:t>138 </w:t>
            </w:r>
          </w:p>
        </w:tc>
        <w:tc>
          <w:tcPr>
            <w:tcW w:w="0" w:type="auto"/>
            <w:shd w:val="clear" w:color="auto" w:fill="E2EFD9"/>
            <w:tcMar>
              <w:top w:w="40" w:type="dxa"/>
              <w:left w:w="0" w:type="dxa"/>
              <w:bottom w:w="40" w:type="dxa"/>
              <w:right w:w="20" w:type="dxa"/>
            </w:tcMar>
            <w:vAlign w:val="bottom"/>
          </w:tcPr>
          <w:p w14:paraId="19503C9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C96"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C97" w14:textId="77777777" w:rsidR="00BF3A3A" w:rsidRDefault="00A76802">
            <w:pPr>
              <w:jc w:val="right"/>
              <w:textAlignment w:val="bottom"/>
            </w:pPr>
            <w:r>
              <w:rPr>
                <w:rFonts w:ascii="sans-serif" w:eastAsia="sans-serif" w:hAnsi="sans-serif" w:cs="sans-serif"/>
                <w:color w:val="000000"/>
                <w:sz w:val="20"/>
                <w:szCs w:val="20"/>
              </w:rPr>
              <w:t>(157)</w:t>
            </w:r>
          </w:p>
        </w:tc>
        <w:tc>
          <w:tcPr>
            <w:tcW w:w="0" w:type="auto"/>
            <w:shd w:val="clear" w:color="auto" w:fill="E2EFD9"/>
            <w:tcMar>
              <w:top w:w="40" w:type="dxa"/>
              <w:left w:w="0" w:type="dxa"/>
              <w:bottom w:w="40" w:type="dxa"/>
              <w:right w:w="20" w:type="dxa"/>
            </w:tcMar>
            <w:vAlign w:val="bottom"/>
          </w:tcPr>
          <w:p w14:paraId="19503C98"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C99"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C9A" w14:textId="77777777" w:rsidR="00BF3A3A" w:rsidRDefault="00A76802">
            <w:pPr>
              <w:jc w:val="right"/>
              <w:textAlignment w:val="bottom"/>
            </w:pPr>
            <w:r>
              <w:rPr>
                <w:rFonts w:ascii="sans-serif" w:eastAsia="sans-serif" w:hAnsi="sans-serif" w:cs="sans-serif"/>
                <w:color w:val="000000"/>
                <w:sz w:val="20"/>
                <w:szCs w:val="20"/>
              </w:rPr>
              <w:t>(114)</w:t>
            </w:r>
          </w:p>
        </w:tc>
        <w:tc>
          <w:tcPr>
            <w:tcW w:w="0" w:type="auto"/>
            <w:shd w:val="clear" w:color="auto" w:fill="E2EFD9"/>
            <w:tcMar>
              <w:top w:w="40" w:type="dxa"/>
              <w:left w:w="0" w:type="dxa"/>
              <w:bottom w:w="40" w:type="dxa"/>
              <w:right w:w="20" w:type="dxa"/>
            </w:tcMar>
            <w:vAlign w:val="bottom"/>
          </w:tcPr>
          <w:p w14:paraId="19503C9B" w14:textId="77777777" w:rsidR="00BF3A3A" w:rsidRDefault="00A76802">
            <w:pPr>
              <w:jc w:val="right"/>
              <w:textAlignment w:val="bottom"/>
            </w:pPr>
            <w:r>
              <w:rPr>
                <w:rFonts w:ascii="sans-serif" w:eastAsia="sans-serif" w:hAnsi="sans-serif" w:cs="sans-serif"/>
                <w:color w:val="000000"/>
                <w:sz w:val="20"/>
                <w:szCs w:val="20"/>
              </w:rPr>
              <w:t>%</w:t>
            </w:r>
          </w:p>
        </w:tc>
      </w:tr>
      <w:tr w:rsidR="00A76802" w14:paraId="19503CBB" w14:textId="77777777">
        <w:tc>
          <w:tcPr>
            <w:tcW w:w="0" w:type="auto"/>
            <w:gridSpan w:val="3"/>
            <w:shd w:val="clear" w:color="auto" w:fill="FFFFFF"/>
            <w:tcMar>
              <w:top w:w="40" w:type="dxa"/>
              <w:left w:w="20" w:type="dxa"/>
              <w:bottom w:w="40" w:type="dxa"/>
              <w:right w:w="20" w:type="dxa"/>
            </w:tcMar>
            <w:vAlign w:val="bottom"/>
          </w:tcPr>
          <w:p w14:paraId="19503C9D" w14:textId="77777777" w:rsidR="00BF3A3A" w:rsidRDefault="00A76802">
            <w:pPr>
              <w:textAlignment w:val="bottom"/>
            </w:pPr>
            <w:r>
              <w:rPr>
                <w:rFonts w:ascii="sans-serif" w:eastAsia="sans-serif" w:hAnsi="sans-serif" w:cs="sans-serif"/>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C9E" w14:textId="77777777" w:rsidR="00BF3A3A" w:rsidRDefault="00A76802">
            <w:pPr>
              <w:textAlignment w:val="bottom"/>
            </w:pPr>
            <w:r>
              <w:rPr>
                <w:rFonts w:ascii="sans-serif" w:eastAsia="sans-serif" w:hAnsi="sans-serif" w:cs="sans-serif"/>
                <w:color w:val="000000"/>
                <w:sz w:val="22"/>
                <w:szCs w:val="2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3C9F" w14:textId="77777777" w:rsidR="00BF3A3A" w:rsidRDefault="00A76802">
            <w:pPr>
              <w:jc w:val="right"/>
              <w:textAlignment w:val="bottom"/>
            </w:pPr>
            <w:r>
              <w:rPr>
                <w:rFonts w:ascii="sans-serif" w:eastAsia="sans-serif" w:hAnsi="sans-serif" w:cs="sans-serif"/>
                <w:color w:val="000000"/>
                <w:sz w:val="22"/>
                <w:szCs w:val="22"/>
              </w:rPr>
              <w:t>(24)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CA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CA1"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CA2"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3CA3" w14:textId="77777777" w:rsidR="00BF3A3A" w:rsidRDefault="00A76802">
            <w:pPr>
              <w:jc w:val="right"/>
              <w:textAlignment w:val="bottom"/>
            </w:pPr>
            <w:r>
              <w:rPr>
                <w:rFonts w:ascii="sans-serif" w:eastAsia="sans-serif" w:hAnsi="sans-serif" w:cs="sans-serif"/>
                <w:color w:val="000000"/>
                <w:sz w:val="20"/>
                <w:szCs w:val="20"/>
              </w:rPr>
              <w:t>(50)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CA4"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CA5"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CA6"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3CA7" w14:textId="77777777" w:rsidR="00BF3A3A" w:rsidRDefault="00A76802">
            <w:pPr>
              <w:jc w:val="right"/>
              <w:textAlignment w:val="bottom"/>
            </w:pPr>
            <w:r>
              <w:rPr>
                <w:rFonts w:ascii="sans-serif" w:eastAsia="sans-serif" w:hAnsi="sans-serif" w:cs="sans-serif"/>
                <w:color w:val="000000"/>
                <w:sz w:val="20"/>
                <w:szCs w:val="20"/>
              </w:rPr>
              <w:t>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CA8"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CA9" w14:textId="77777777" w:rsidR="00BF3A3A" w:rsidRDefault="00BF3A3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CAA" w14:textId="77777777" w:rsidR="00BF3A3A" w:rsidRDefault="00A76802">
            <w:pPr>
              <w:jc w:val="right"/>
              <w:textAlignment w:val="bottom"/>
            </w:pPr>
            <w:r>
              <w:rPr>
                <w:rFonts w:ascii="sans-serif" w:eastAsia="sans-serif" w:hAnsi="sans-serif" w:cs="sans-serif"/>
                <w:color w:val="000000"/>
                <w:sz w:val="20"/>
                <w:szCs w:val="20"/>
              </w:rPr>
              <w:t>(52)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CAB" w14:textId="77777777" w:rsidR="00BF3A3A" w:rsidRDefault="00A76802">
            <w:pPr>
              <w:jc w:val="right"/>
              <w:textAlignment w:val="bottom"/>
            </w:pPr>
            <w:r>
              <w:rPr>
                <w:rFonts w:ascii="sans-serif" w:eastAsia="sans-serif" w:hAnsi="sans-serif" w:cs="sans-serif"/>
                <w:color w:val="000000"/>
                <w:sz w:val="20"/>
                <w:szCs w:val="20"/>
              </w:rPr>
              <w:t>%</w:t>
            </w:r>
          </w:p>
        </w:tc>
        <w:tc>
          <w:tcPr>
            <w:tcW w:w="0" w:type="auto"/>
            <w:gridSpan w:val="3"/>
            <w:shd w:val="clear" w:color="auto" w:fill="FFFFFF"/>
            <w:tcMar>
              <w:top w:w="0" w:type="dxa"/>
              <w:left w:w="20" w:type="dxa"/>
              <w:bottom w:w="0" w:type="dxa"/>
              <w:right w:w="20" w:type="dxa"/>
            </w:tcMar>
            <w:vAlign w:val="bottom"/>
          </w:tcPr>
          <w:p w14:paraId="19503CAC"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CAD"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3CAE" w14:textId="77777777" w:rsidR="00BF3A3A" w:rsidRDefault="00A76802">
            <w:pPr>
              <w:jc w:val="right"/>
              <w:textAlignment w:val="bottom"/>
            </w:pPr>
            <w:r>
              <w:rPr>
                <w:rFonts w:ascii="sans-serif" w:eastAsia="sans-serif" w:hAnsi="sans-serif" w:cs="sans-serif"/>
                <w:color w:val="000000"/>
                <w:sz w:val="20"/>
                <w:szCs w:val="20"/>
              </w:rPr>
              <w:t>(87)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CAF"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CB0"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CB1"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3CB2" w14:textId="77777777" w:rsidR="00BF3A3A" w:rsidRDefault="00A76802">
            <w:pPr>
              <w:jc w:val="right"/>
              <w:textAlignment w:val="bottom"/>
            </w:pPr>
            <w:r>
              <w:rPr>
                <w:rFonts w:ascii="sans-serif" w:eastAsia="sans-serif" w:hAnsi="sans-serif" w:cs="sans-serif"/>
                <w:color w:val="000000"/>
                <w:sz w:val="20"/>
                <w:szCs w:val="20"/>
              </w:rPr>
              <w:t>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CB3"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CB4" w14:textId="77777777" w:rsidR="00BF3A3A" w:rsidRDefault="00BF3A3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CB5"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9503CB6" w14:textId="77777777" w:rsidR="00BF3A3A" w:rsidRDefault="00A76802">
            <w:pPr>
              <w:jc w:val="right"/>
              <w:textAlignment w:val="bottom"/>
            </w:pPr>
            <w:r>
              <w:rPr>
                <w:rFonts w:ascii="sans-serif" w:eastAsia="sans-serif" w:hAnsi="sans-serif" w:cs="sans-serif"/>
                <w:color w:val="000000"/>
                <w:sz w:val="20"/>
                <w:szCs w:val="20"/>
              </w:rPr>
              <w:t>(125)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CB7"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CB8" w14:textId="77777777" w:rsidR="00BF3A3A" w:rsidRDefault="00BF3A3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CB9" w14:textId="77777777" w:rsidR="00BF3A3A" w:rsidRDefault="00A76802">
            <w:pPr>
              <w:jc w:val="right"/>
              <w:textAlignment w:val="bottom"/>
            </w:pPr>
            <w:r>
              <w:rPr>
                <w:rFonts w:ascii="sans-serif" w:eastAsia="sans-serif" w:hAnsi="sans-serif" w:cs="sans-serif"/>
                <w:color w:val="000000"/>
                <w:sz w:val="20"/>
                <w:szCs w:val="20"/>
              </w:rPr>
              <w:t>(329)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CBA" w14:textId="77777777" w:rsidR="00BF3A3A" w:rsidRDefault="00A76802">
            <w:pPr>
              <w:jc w:val="right"/>
              <w:textAlignment w:val="bottom"/>
            </w:pPr>
            <w:r>
              <w:rPr>
                <w:rFonts w:ascii="sans-serif" w:eastAsia="sans-serif" w:hAnsi="sans-serif" w:cs="sans-serif"/>
                <w:color w:val="000000"/>
                <w:sz w:val="20"/>
                <w:szCs w:val="20"/>
              </w:rPr>
              <w:t>%</w:t>
            </w:r>
          </w:p>
        </w:tc>
      </w:tr>
    </w:tbl>
    <w:p w14:paraId="19503CBC" w14:textId="77777777" w:rsidR="00BF3A3A" w:rsidRDefault="00A76802">
      <w:pPr>
        <w:spacing w:before="120" w:after="120"/>
      </w:pPr>
      <w:r>
        <w:rPr>
          <w:rFonts w:ascii="sans-serif" w:eastAsia="sans-serif" w:hAnsi="sans-serif" w:cs="sans-serif"/>
          <w:color w:val="000000"/>
          <w:sz w:val="20"/>
          <w:szCs w:val="20"/>
        </w:rPr>
        <w:t>Interest income consists of interes</w:t>
      </w:r>
      <w:r>
        <w:rPr>
          <w:rFonts w:ascii="sans-serif" w:eastAsia="sans-serif" w:hAnsi="sans-serif" w:cs="sans-serif"/>
          <w:color w:val="000000"/>
          <w:sz w:val="20"/>
          <w:szCs w:val="20"/>
        </w:rPr>
        <w:t>t earned on cash, cash equivalents and marketable securities. The increase in interest income was primarily due to higher interest rates earned on our investments.</w:t>
      </w:r>
    </w:p>
    <w:p w14:paraId="19503CBD" w14:textId="77777777" w:rsidR="00BF3A3A" w:rsidRDefault="00A76802">
      <w:pPr>
        <w:spacing w:before="120" w:after="120"/>
        <w:jc w:val="both"/>
      </w:pPr>
      <w:r>
        <w:rPr>
          <w:rFonts w:ascii="sans-serif" w:eastAsia="sans-serif" w:hAnsi="sans-serif" w:cs="sans-serif"/>
          <w:color w:val="000000"/>
          <w:sz w:val="20"/>
          <w:szCs w:val="20"/>
        </w:rPr>
        <w:t>Interest expense is primarily comprised of coupon interest and debt discount amortization re</w:t>
      </w:r>
      <w:r>
        <w:rPr>
          <w:rFonts w:ascii="sans-serif" w:eastAsia="sans-serif" w:hAnsi="sans-serif" w:cs="sans-serif"/>
          <w:color w:val="000000"/>
          <w:sz w:val="20"/>
          <w:szCs w:val="20"/>
        </w:rPr>
        <w:t>lated to our notes. The increase in expense reflects interest on the $5.00 billion note issued in June 2021.</w:t>
      </w:r>
    </w:p>
    <w:p w14:paraId="19503CBE" w14:textId="77777777" w:rsidR="00BF3A3A" w:rsidRDefault="00A76802">
      <w:pPr>
        <w:spacing w:before="120" w:after="120"/>
        <w:jc w:val="both"/>
      </w:pPr>
      <w:r>
        <w:rPr>
          <w:rFonts w:ascii="sans-serif" w:eastAsia="sans-serif" w:hAnsi="sans-serif" w:cs="sans-serif"/>
          <w:color w:val="000000"/>
          <w:sz w:val="20"/>
          <w:szCs w:val="20"/>
        </w:rPr>
        <w:t xml:space="preserve">Other, net, consists primarily of realized or unrealized gains and losses from investments in non-affiliated entities and the impact of changes in </w:t>
      </w:r>
      <w:r>
        <w:rPr>
          <w:rFonts w:ascii="sans-serif" w:eastAsia="sans-serif" w:hAnsi="sans-serif" w:cs="sans-serif"/>
          <w:color w:val="000000"/>
          <w:sz w:val="20"/>
          <w:szCs w:val="20"/>
        </w:rPr>
        <w:t>foreign currency rates. Changes in other, net, compared to the second quarter and first half of fiscal year 2022 were primarily driven by mark-to-market impact from publicly traded equity investments and changes in value from our non-affiliated private inv</w:t>
      </w:r>
      <w:r>
        <w:rPr>
          <w:rFonts w:ascii="sans-serif" w:eastAsia="sans-serif" w:hAnsi="sans-serif" w:cs="sans-serif"/>
          <w:color w:val="000000"/>
          <w:sz w:val="20"/>
          <w:szCs w:val="20"/>
        </w:rPr>
        <w:t xml:space="preserve">estments. Refer to Note 8 of the Notes to Condensed Consolidated Financial Statements for additional information regarding our investments in non-affiliated entities. </w:t>
      </w:r>
    </w:p>
    <w:p w14:paraId="19503CBF" w14:textId="77777777" w:rsidR="00BF3A3A" w:rsidRDefault="00A76802">
      <w:pPr>
        <w:spacing w:after="180"/>
        <w:jc w:val="center"/>
      </w:pPr>
      <w:r>
        <w:rPr>
          <w:rFonts w:ascii="sans-serif" w:eastAsia="sans-serif" w:hAnsi="sans-serif" w:cs="sans-serif"/>
          <w:color w:val="000000"/>
          <w:sz w:val="20"/>
          <w:szCs w:val="20"/>
        </w:rPr>
        <w:t>30</w:t>
      </w:r>
    </w:p>
    <w:p w14:paraId="19503CC0" w14:textId="77777777" w:rsidR="00BF3A3A" w:rsidRDefault="00A76802">
      <w:r>
        <w:pict w14:anchorId="19503FE3">
          <v:rect id="_x0000_i1054" style="width:415.3pt;height:1.5pt" o:hralign="center" o:hrstd="t" o:hr="t" fillcolor="#a0a0a0" stroked="f"/>
        </w:pict>
      </w:r>
    </w:p>
    <w:p w14:paraId="19503CC1" w14:textId="77777777" w:rsidR="00BF3A3A" w:rsidRDefault="00BF3A3A">
      <w:pPr>
        <w:spacing w:after="180"/>
        <w:jc w:val="both"/>
      </w:pPr>
    </w:p>
    <w:p w14:paraId="19503CC2" w14:textId="77777777" w:rsidR="00BF3A3A" w:rsidRDefault="00BF3A3A">
      <w:pPr>
        <w:spacing w:after="180"/>
        <w:jc w:val="both"/>
      </w:pPr>
    </w:p>
    <w:p w14:paraId="19503CC3" w14:textId="77777777" w:rsidR="00BF3A3A" w:rsidRDefault="00BF3A3A">
      <w:pPr>
        <w:spacing w:after="180"/>
        <w:jc w:val="both"/>
      </w:pPr>
    </w:p>
    <w:p w14:paraId="19503CC4" w14:textId="77777777" w:rsidR="00BF3A3A" w:rsidRDefault="00A76802">
      <w:pPr>
        <w:spacing w:before="240" w:after="60"/>
        <w:jc w:val="both"/>
      </w:pPr>
      <w:r>
        <w:rPr>
          <w:rFonts w:ascii="sans-serif" w:eastAsia="sans-serif" w:hAnsi="sans-serif" w:cs="sans-serif"/>
          <w:b/>
          <w:bCs/>
          <w:color w:val="76B900"/>
          <w:sz w:val="20"/>
          <w:szCs w:val="20"/>
        </w:rPr>
        <w:t>Income Taxes</w:t>
      </w:r>
    </w:p>
    <w:p w14:paraId="19503CC5" w14:textId="77777777" w:rsidR="00BF3A3A" w:rsidRDefault="00A76802">
      <w:pPr>
        <w:spacing w:before="120" w:after="180"/>
        <w:jc w:val="both"/>
      </w:pPr>
      <w:r>
        <w:rPr>
          <w:rFonts w:ascii="sans-serif" w:eastAsia="sans-serif" w:hAnsi="sans-serif" w:cs="sans-serif"/>
          <w:color w:val="000000"/>
          <w:sz w:val="20"/>
          <w:szCs w:val="20"/>
        </w:rPr>
        <w:t xml:space="preserve">We recognized an income tax benefit of $181 million and an </w:t>
      </w:r>
      <w:r>
        <w:rPr>
          <w:rFonts w:ascii="sans-serif" w:eastAsia="sans-serif" w:hAnsi="sans-serif" w:cs="sans-serif"/>
          <w:color w:val="000000"/>
          <w:sz w:val="20"/>
          <w:szCs w:val="20"/>
        </w:rPr>
        <w:t>income tax expense of $6 million for the second quarter and first half of fiscal year 2023, respectively, and an income tax expense of $20 million and $153 million for the second quarter and first half of fiscal year 2022, respectively. Income tax as a per</w:t>
      </w:r>
      <w:r>
        <w:rPr>
          <w:rFonts w:ascii="sans-serif" w:eastAsia="sans-serif" w:hAnsi="sans-serif" w:cs="sans-serif"/>
          <w:color w:val="000000"/>
          <w:sz w:val="20"/>
          <w:szCs w:val="20"/>
        </w:rPr>
        <w:t>centage of income before income tax was a benefit of 38.0% for the second quarter of fiscal year 2023, and an expense of 0.3% for the first half of fiscal year 2023, and an expense of 0.9% and 3.4% for the second quarter and first half of fiscal year 2022,</w:t>
      </w:r>
      <w:r>
        <w:rPr>
          <w:rFonts w:ascii="sans-serif" w:eastAsia="sans-serif" w:hAnsi="sans-serif" w:cs="sans-serif"/>
          <w:color w:val="000000"/>
          <w:sz w:val="20"/>
          <w:szCs w:val="20"/>
        </w:rPr>
        <w:t xml:space="preserve"> respectively.</w:t>
      </w:r>
    </w:p>
    <w:p w14:paraId="19503CC6" w14:textId="77777777" w:rsidR="00BF3A3A" w:rsidRDefault="00A76802">
      <w:pPr>
        <w:spacing w:after="180"/>
        <w:jc w:val="both"/>
      </w:pPr>
      <w:r>
        <w:rPr>
          <w:rFonts w:ascii="sans-serif" w:eastAsia="sans-serif" w:hAnsi="sans-serif" w:cs="sans-serif"/>
          <w:color w:val="000000"/>
          <w:sz w:val="20"/>
          <w:szCs w:val="20"/>
        </w:rPr>
        <w:t>The decrease in our effective tax rate for the second quarter and first half of fiscal year 2023 as compared to the same periods of fiscal year 2022 was primarily due to the increased tax benefit of stock-based compensation, the foreign-deri</w:t>
      </w:r>
      <w:r>
        <w:rPr>
          <w:rFonts w:ascii="sans-serif" w:eastAsia="sans-serif" w:hAnsi="sans-serif" w:cs="sans-serif"/>
          <w:color w:val="000000"/>
          <w:sz w:val="20"/>
          <w:szCs w:val="20"/>
        </w:rPr>
        <w:t>ved intangible income deduction, and the U.S. federal research tax credit, relative to a reduction in expected profitability. This is partially offset by the impact of an increase in the proportion of earnings subject to U.S. tax in fiscal year 2023 and th</w:t>
      </w:r>
      <w:r>
        <w:rPr>
          <w:rFonts w:ascii="sans-serif" w:eastAsia="sans-serif" w:hAnsi="sans-serif" w:cs="sans-serif"/>
          <w:color w:val="000000"/>
          <w:sz w:val="20"/>
          <w:szCs w:val="20"/>
        </w:rPr>
        <w:t>e one-time discrete benefit from re-valuing certain deferred tax assets in connection with the Domestication in fiscal year 2022.</w:t>
      </w:r>
    </w:p>
    <w:p w14:paraId="19503CC7" w14:textId="77777777" w:rsidR="00BF3A3A" w:rsidRDefault="00A76802">
      <w:pPr>
        <w:spacing w:before="240" w:after="120"/>
        <w:jc w:val="both"/>
      </w:pPr>
      <w:r>
        <w:rPr>
          <w:rFonts w:ascii="sans-serif" w:eastAsia="sans-serif" w:hAnsi="sans-serif" w:cs="sans-serif"/>
          <w:b/>
          <w:bCs/>
          <w:color w:val="76B900"/>
          <w:sz w:val="22"/>
          <w:szCs w:val="22"/>
        </w:rPr>
        <w:t>Liquidity and Capital Resources </w:t>
      </w:r>
    </w:p>
    <w:tbl>
      <w:tblPr>
        <w:tblW w:w="4985" w:type="pct"/>
        <w:tblCellMar>
          <w:top w:w="15" w:type="dxa"/>
          <w:left w:w="15" w:type="dxa"/>
          <w:bottom w:w="15" w:type="dxa"/>
          <w:right w:w="15" w:type="dxa"/>
        </w:tblCellMar>
        <w:tblLook w:val="04A0" w:firstRow="1" w:lastRow="0" w:firstColumn="1" w:lastColumn="0" w:noHBand="0" w:noVBand="1"/>
      </w:tblPr>
      <w:tblGrid>
        <w:gridCol w:w="40"/>
        <w:gridCol w:w="5266"/>
        <w:gridCol w:w="36"/>
        <w:gridCol w:w="122"/>
        <w:gridCol w:w="1290"/>
        <w:gridCol w:w="36"/>
        <w:gridCol w:w="36"/>
        <w:gridCol w:w="36"/>
        <w:gridCol w:w="36"/>
        <w:gridCol w:w="122"/>
        <w:gridCol w:w="1255"/>
        <w:gridCol w:w="36"/>
      </w:tblGrid>
      <w:tr w:rsidR="00BF3A3A" w14:paraId="19503CD4" w14:textId="77777777">
        <w:tc>
          <w:tcPr>
            <w:tcW w:w="50" w:type="pct"/>
            <w:shd w:val="clear" w:color="auto" w:fill="auto"/>
            <w:vAlign w:val="bottom"/>
          </w:tcPr>
          <w:p w14:paraId="19503CC8" w14:textId="77777777" w:rsidR="00BF3A3A" w:rsidRDefault="00BF3A3A">
            <w:pPr>
              <w:rPr>
                <w:rFonts w:ascii="宋体"/>
              </w:rPr>
            </w:pPr>
          </w:p>
        </w:tc>
        <w:tc>
          <w:tcPr>
            <w:tcW w:w="3192" w:type="pct"/>
            <w:shd w:val="clear" w:color="auto" w:fill="auto"/>
            <w:vAlign w:val="bottom"/>
          </w:tcPr>
          <w:p w14:paraId="19503CC9" w14:textId="77777777" w:rsidR="00BF3A3A" w:rsidRDefault="00BF3A3A">
            <w:pPr>
              <w:rPr>
                <w:rFonts w:ascii="宋体"/>
              </w:rPr>
            </w:pPr>
          </w:p>
        </w:tc>
        <w:tc>
          <w:tcPr>
            <w:tcW w:w="5" w:type="pct"/>
            <w:shd w:val="clear" w:color="auto" w:fill="auto"/>
            <w:vAlign w:val="bottom"/>
          </w:tcPr>
          <w:p w14:paraId="19503CCA" w14:textId="77777777" w:rsidR="00BF3A3A" w:rsidRDefault="00BF3A3A">
            <w:pPr>
              <w:rPr>
                <w:rFonts w:ascii="宋体"/>
              </w:rPr>
            </w:pPr>
          </w:p>
        </w:tc>
        <w:tc>
          <w:tcPr>
            <w:tcW w:w="50" w:type="pct"/>
            <w:shd w:val="clear" w:color="auto" w:fill="auto"/>
            <w:vAlign w:val="bottom"/>
          </w:tcPr>
          <w:p w14:paraId="19503CCB" w14:textId="77777777" w:rsidR="00BF3A3A" w:rsidRDefault="00BF3A3A">
            <w:pPr>
              <w:rPr>
                <w:rFonts w:ascii="宋体"/>
              </w:rPr>
            </w:pPr>
          </w:p>
        </w:tc>
        <w:tc>
          <w:tcPr>
            <w:tcW w:w="802" w:type="pct"/>
            <w:shd w:val="clear" w:color="auto" w:fill="auto"/>
            <w:vAlign w:val="bottom"/>
          </w:tcPr>
          <w:p w14:paraId="19503CCC" w14:textId="77777777" w:rsidR="00BF3A3A" w:rsidRDefault="00BF3A3A">
            <w:pPr>
              <w:rPr>
                <w:rFonts w:ascii="宋体"/>
              </w:rPr>
            </w:pPr>
          </w:p>
        </w:tc>
        <w:tc>
          <w:tcPr>
            <w:tcW w:w="5" w:type="pct"/>
            <w:shd w:val="clear" w:color="auto" w:fill="auto"/>
            <w:vAlign w:val="bottom"/>
          </w:tcPr>
          <w:p w14:paraId="19503CCD" w14:textId="77777777" w:rsidR="00BF3A3A" w:rsidRDefault="00BF3A3A">
            <w:pPr>
              <w:rPr>
                <w:rFonts w:ascii="宋体"/>
              </w:rPr>
            </w:pPr>
          </w:p>
        </w:tc>
        <w:tc>
          <w:tcPr>
            <w:tcW w:w="5" w:type="pct"/>
            <w:shd w:val="clear" w:color="auto" w:fill="auto"/>
            <w:vAlign w:val="bottom"/>
          </w:tcPr>
          <w:p w14:paraId="19503CCE" w14:textId="77777777" w:rsidR="00BF3A3A" w:rsidRDefault="00BF3A3A">
            <w:pPr>
              <w:rPr>
                <w:rFonts w:ascii="宋体"/>
              </w:rPr>
            </w:pPr>
          </w:p>
        </w:tc>
        <w:tc>
          <w:tcPr>
            <w:tcW w:w="26" w:type="pct"/>
            <w:shd w:val="clear" w:color="auto" w:fill="auto"/>
            <w:vAlign w:val="bottom"/>
          </w:tcPr>
          <w:p w14:paraId="19503CCF" w14:textId="77777777" w:rsidR="00BF3A3A" w:rsidRDefault="00BF3A3A">
            <w:pPr>
              <w:rPr>
                <w:rFonts w:ascii="宋体"/>
              </w:rPr>
            </w:pPr>
          </w:p>
        </w:tc>
        <w:tc>
          <w:tcPr>
            <w:tcW w:w="5" w:type="pct"/>
            <w:shd w:val="clear" w:color="auto" w:fill="auto"/>
            <w:vAlign w:val="bottom"/>
          </w:tcPr>
          <w:p w14:paraId="19503CD0" w14:textId="77777777" w:rsidR="00BF3A3A" w:rsidRDefault="00BF3A3A">
            <w:pPr>
              <w:rPr>
                <w:rFonts w:ascii="宋体"/>
              </w:rPr>
            </w:pPr>
          </w:p>
        </w:tc>
        <w:tc>
          <w:tcPr>
            <w:tcW w:w="50" w:type="pct"/>
            <w:shd w:val="clear" w:color="auto" w:fill="auto"/>
            <w:vAlign w:val="bottom"/>
          </w:tcPr>
          <w:p w14:paraId="19503CD1" w14:textId="77777777" w:rsidR="00BF3A3A" w:rsidRDefault="00BF3A3A">
            <w:pPr>
              <w:rPr>
                <w:rFonts w:ascii="宋体"/>
              </w:rPr>
            </w:pPr>
          </w:p>
        </w:tc>
        <w:tc>
          <w:tcPr>
            <w:tcW w:w="802" w:type="pct"/>
            <w:shd w:val="clear" w:color="auto" w:fill="auto"/>
            <w:vAlign w:val="bottom"/>
          </w:tcPr>
          <w:p w14:paraId="19503CD2" w14:textId="77777777" w:rsidR="00BF3A3A" w:rsidRDefault="00BF3A3A">
            <w:pPr>
              <w:rPr>
                <w:rFonts w:ascii="宋体"/>
              </w:rPr>
            </w:pPr>
          </w:p>
        </w:tc>
        <w:tc>
          <w:tcPr>
            <w:tcW w:w="5" w:type="pct"/>
            <w:shd w:val="clear" w:color="auto" w:fill="auto"/>
            <w:vAlign w:val="bottom"/>
          </w:tcPr>
          <w:p w14:paraId="19503CD3" w14:textId="77777777" w:rsidR="00BF3A3A" w:rsidRDefault="00BF3A3A">
            <w:pPr>
              <w:rPr>
                <w:rFonts w:ascii="宋体"/>
              </w:rPr>
            </w:pPr>
          </w:p>
        </w:tc>
      </w:tr>
      <w:tr w:rsidR="00BF3A3A" w14:paraId="19503CD9" w14:textId="77777777">
        <w:tc>
          <w:tcPr>
            <w:tcW w:w="0" w:type="auto"/>
            <w:gridSpan w:val="3"/>
            <w:shd w:val="clear" w:color="auto" w:fill="auto"/>
            <w:tcMar>
              <w:top w:w="40" w:type="dxa"/>
              <w:left w:w="20" w:type="dxa"/>
              <w:bottom w:w="40" w:type="dxa"/>
              <w:right w:w="20" w:type="dxa"/>
            </w:tcMar>
            <w:vAlign w:val="bottom"/>
          </w:tcPr>
          <w:p w14:paraId="19503CD5" w14:textId="77777777" w:rsidR="00BF3A3A" w:rsidRDefault="00A76802">
            <w:pPr>
              <w:textAlignment w:val="bottom"/>
            </w:pPr>
            <w:r>
              <w:rPr>
                <w:rFonts w:ascii="sans-serif" w:eastAsia="sans-serif" w:hAnsi="sans-serif" w:cs="sans-serif"/>
                <w:color w:val="000000"/>
                <w:sz w:val="18"/>
                <w:szCs w:val="18"/>
              </w:rPr>
              <w:t> </w:t>
            </w:r>
          </w:p>
        </w:tc>
        <w:tc>
          <w:tcPr>
            <w:tcW w:w="0" w:type="auto"/>
            <w:gridSpan w:val="3"/>
            <w:shd w:val="clear" w:color="auto" w:fill="auto"/>
            <w:tcMar>
              <w:top w:w="40" w:type="dxa"/>
              <w:left w:w="20" w:type="dxa"/>
              <w:bottom w:w="40" w:type="dxa"/>
              <w:right w:w="20" w:type="dxa"/>
            </w:tcMar>
            <w:vAlign w:val="bottom"/>
          </w:tcPr>
          <w:p w14:paraId="19503CD6" w14:textId="77777777" w:rsidR="00BF3A3A" w:rsidRDefault="00A76802">
            <w:pPr>
              <w:jc w:val="center"/>
              <w:textAlignment w:val="bottom"/>
            </w:pPr>
            <w:r>
              <w:rPr>
                <w:rFonts w:ascii="sans-serif" w:eastAsia="sans-serif" w:hAnsi="sans-serif" w:cs="sans-serif"/>
                <w:b/>
                <w:bCs/>
                <w:color w:val="000000"/>
                <w:sz w:val="20"/>
                <w:szCs w:val="20"/>
              </w:rPr>
              <w:t>July 31, 2022</w:t>
            </w:r>
          </w:p>
        </w:tc>
        <w:tc>
          <w:tcPr>
            <w:tcW w:w="0" w:type="auto"/>
            <w:gridSpan w:val="3"/>
            <w:shd w:val="clear" w:color="auto" w:fill="auto"/>
            <w:tcMar>
              <w:top w:w="0" w:type="dxa"/>
              <w:left w:w="20" w:type="dxa"/>
              <w:bottom w:w="0" w:type="dxa"/>
              <w:right w:w="20" w:type="dxa"/>
            </w:tcMar>
            <w:vAlign w:val="bottom"/>
          </w:tcPr>
          <w:p w14:paraId="19503CD7"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CD8" w14:textId="77777777" w:rsidR="00BF3A3A" w:rsidRDefault="00A76802">
            <w:pPr>
              <w:jc w:val="center"/>
              <w:textAlignment w:val="bottom"/>
            </w:pPr>
            <w:r>
              <w:rPr>
                <w:rFonts w:ascii="sans-serif" w:eastAsia="sans-serif" w:hAnsi="sans-serif" w:cs="sans-serif"/>
                <w:b/>
                <w:bCs/>
                <w:color w:val="000000"/>
                <w:sz w:val="20"/>
                <w:szCs w:val="20"/>
              </w:rPr>
              <w:t>January 30, 2022</w:t>
            </w:r>
          </w:p>
        </w:tc>
      </w:tr>
      <w:tr w:rsidR="00BF3A3A" w14:paraId="19503CDE" w14:textId="77777777">
        <w:trPr>
          <w:trHeight w:val="60"/>
        </w:trPr>
        <w:tc>
          <w:tcPr>
            <w:tcW w:w="0" w:type="auto"/>
            <w:gridSpan w:val="3"/>
            <w:shd w:val="clear" w:color="auto" w:fill="auto"/>
            <w:tcMar>
              <w:top w:w="0" w:type="dxa"/>
              <w:left w:w="20" w:type="dxa"/>
              <w:bottom w:w="0" w:type="dxa"/>
              <w:right w:w="20" w:type="dxa"/>
            </w:tcMar>
            <w:vAlign w:val="bottom"/>
          </w:tcPr>
          <w:p w14:paraId="19503CDA"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CDB"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CDC"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CDD" w14:textId="77777777" w:rsidR="00BF3A3A" w:rsidRDefault="00BF3A3A">
            <w:pPr>
              <w:rPr>
                <w:rFonts w:ascii="宋体"/>
              </w:rPr>
            </w:pPr>
          </w:p>
        </w:tc>
      </w:tr>
      <w:tr w:rsidR="00BF3A3A" w14:paraId="19503CE1" w14:textId="77777777">
        <w:tc>
          <w:tcPr>
            <w:tcW w:w="0" w:type="auto"/>
            <w:gridSpan w:val="3"/>
            <w:shd w:val="clear" w:color="auto" w:fill="auto"/>
            <w:tcMar>
              <w:top w:w="40" w:type="dxa"/>
              <w:left w:w="20" w:type="dxa"/>
              <w:bottom w:w="40" w:type="dxa"/>
              <w:right w:w="20" w:type="dxa"/>
            </w:tcMar>
            <w:vAlign w:val="bottom"/>
          </w:tcPr>
          <w:p w14:paraId="19503CDF" w14:textId="77777777" w:rsidR="00BF3A3A" w:rsidRDefault="00A76802">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19503CE0" w14:textId="77777777" w:rsidR="00BF3A3A" w:rsidRDefault="00A76802">
            <w:pPr>
              <w:jc w:val="center"/>
              <w:textAlignment w:val="bottom"/>
            </w:pPr>
            <w:r>
              <w:rPr>
                <w:rFonts w:ascii="sans-serif" w:eastAsia="sans-serif" w:hAnsi="sans-serif" w:cs="sans-serif"/>
                <w:i/>
                <w:iCs/>
                <w:color w:val="000000"/>
                <w:sz w:val="20"/>
                <w:szCs w:val="20"/>
              </w:rPr>
              <w:t>(In millions)</w:t>
            </w:r>
          </w:p>
        </w:tc>
      </w:tr>
      <w:tr w:rsidR="00BF3A3A" w14:paraId="19503CEA" w14:textId="77777777">
        <w:tc>
          <w:tcPr>
            <w:tcW w:w="0" w:type="auto"/>
            <w:gridSpan w:val="3"/>
            <w:shd w:val="clear" w:color="auto" w:fill="E2EFD9"/>
            <w:tcMar>
              <w:top w:w="40" w:type="dxa"/>
              <w:left w:w="20" w:type="dxa"/>
              <w:bottom w:w="40" w:type="dxa"/>
              <w:right w:w="20" w:type="dxa"/>
            </w:tcMar>
            <w:vAlign w:val="bottom"/>
          </w:tcPr>
          <w:p w14:paraId="19503CE2" w14:textId="77777777" w:rsidR="00BF3A3A" w:rsidRDefault="00A76802">
            <w:pPr>
              <w:textAlignment w:val="bottom"/>
            </w:pPr>
            <w:r>
              <w:rPr>
                <w:rFonts w:ascii="sans-serif" w:eastAsia="sans-serif" w:hAnsi="sans-serif" w:cs="sans-serif"/>
                <w:color w:val="000000"/>
                <w:sz w:val="20"/>
                <w:szCs w:val="20"/>
              </w:rPr>
              <w:t xml:space="preserve">Cash and cash </w:t>
            </w:r>
            <w:r>
              <w:rPr>
                <w:rFonts w:ascii="sans-serif" w:eastAsia="sans-serif" w:hAnsi="sans-serif" w:cs="sans-serif"/>
                <w:color w:val="000000"/>
                <w:sz w:val="20"/>
                <w:szCs w:val="20"/>
              </w:rPr>
              <w:t>equivalents</w:t>
            </w:r>
          </w:p>
        </w:tc>
        <w:tc>
          <w:tcPr>
            <w:tcW w:w="0" w:type="auto"/>
            <w:shd w:val="clear" w:color="auto" w:fill="E2EFD9"/>
            <w:tcMar>
              <w:top w:w="40" w:type="dxa"/>
              <w:left w:w="20" w:type="dxa"/>
              <w:bottom w:w="40" w:type="dxa"/>
              <w:right w:w="0" w:type="dxa"/>
            </w:tcMar>
            <w:vAlign w:val="bottom"/>
          </w:tcPr>
          <w:p w14:paraId="19503CE3"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CE4" w14:textId="77777777" w:rsidR="00BF3A3A" w:rsidRDefault="00A76802">
            <w:pPr>
              <w:jc w:val="right"/>
              <w:textAlignment w:val="bottom"/>
            </w:pPr>
            <w:r>
              <w:rPr>
                <w:rFonts w:ascii="sans-serif" w:eastAsia="sans-serif" w:hAnsi="sans-serif" w:cs="sans-serif"/>
                <w:color w:val="000000"/>
                <w:sz w:val="20"/>
                <w:szCs w:val="20"/>
              </w:rPr>
              <w:t>3,013 </w:t>
            </w:r>
          </w:p>
        </w:tc>
        <w:tc>
          <w:tcPr>
            <w:tcW w:w="0" w:type="auto"/>
            <w:shd w:val="clear" w:color="auto" w:fill="E2EFD9"/>
            <w:tcMar>
              <w:top w:w="40" w:type="dxa"/>
              <w:left w:w="0" w:type="dxa"/>
              <w:bottom w:w="40" w:type="dxa"/>
              <w:right w:w="20" w:type="dxa"/>
            </w:tcMar>
            <w:vAlign w:val="bottom"/>
          </w:tcPr>
          <w:p w14:paraId="19503CE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CE6"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CE7"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CE8" w14:textId="77777777" w:rsidR="00BF3A3A" w:rsidRDefault="00A76802">
            <w:pPr>
              <w:jc w:val="right"/>
              <w:textAlignment w:val="bottom"/>
            </w:pPr>
            <w:r>
              <w:rPr>
                <w:rFonts w:ascii="sans-serif" w:eastAsia="sans-serif" w:hAnsi="sans-serif" w:cs="sans-serif"/>
                <w:color w:val="000000"/>
                <w:sz w:val="20"/>
                <w:szCs w:val="20"/>
              </w:rPr>
              <w:t>1,990 </w:t>
            </w:r>
          </w:p>
        </w:tc>
        <w:tc>
          <w:tcPr>
            <w:tcW w:w="0" w:type="auto"/>
            <w:shd w:val="clear" w:color="auto" w:fill="E2EFD9"/>
            <w:tcMar>
              <w:top w:w="40" w:type="dxa"/>
              <w:left w:w="0" w:type="dxa"/>
              <w:bottom w:w="40" w:type="dxa"/>
              <w:right w:w="20" w:type="dxa"/>
            </w:tcMar>
            <w:vAlign w:val="bottom"/>
          </w:tcPr>
          <w:p w14:paraId="19503CE9" w14:textId="77777777" w:rsidR="00BF3A3A" w:rsidRDefault="00BF3A3A">
            <w:pPr>
              <w:jc w:val="right"/>
              <w:rPr>
                <w:rFonts w:ascii="宋体"/>
              </w:rPr>
            </w:pPr>
          </w:p>
        </w:tc>
      </w:tr>
      <w:tr w:rsidR="00BF3A3A" w14:paraId="19503CF1" w14:textId="77777777">
        <w:tc>
          <w:tcPr>
            <w:tcW w:w="0" w:type="auto"/>
            <w:gridSpan w:val="3"/>
            <w:shd w:val="clear" w:color="auto" w:fill="FFFFFF"/>
            <w:tcMar>
              <w:top w:w="40" w:type="dxa"/>
              <w:left w:w="20" w:type="dxa"/>
              <w:bottom w:w="40" w:type="dxa"/>
              <w:right w:w="20" w:type="dxa"/>
            </w:tcMar>
            <w:vAlign w:val="bottom"/>
          </w:tcPr>
          <w:p w14:paraId="19503CEB" w14:textId="77777777" w:rsidR="00BF3A3A" w:rsidRDefault="00A76802">
            <w:pPr>
              <w:textAlignment w:val="bottom"/>
            </w:pPr>
            <w:r>
              <w:rPr>
                <w:rFonts w:ascii="sans-serif" w:eastAsia="sans-serif" w:hAnsi="sans-serif" w:cs="sans-serif"/>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19503CEC" w14:textId="77777777" w:rsidR="00BF3A3A" w:rsidRDefault="00A76802">
            <w:pPr>
              <w:jc w:val="right"/>
              <w:textAlignment w:val="bottom"/>
            </w:pPr>
            <w:r>
              <w:rPr>
                <w:rFonts w:ascii="sans-serif" w:eastAsia="sans-serif" w:hAnsi="sans-serif" w:cs="sans-serif"/>
                <w:color w:val="000000"/>
                <w:sz w:val="20"/>
                <w:szCs w:val="20"/>
              </w:rPr>
              <w:t>14,024 </w:t>
            </w:r>
          </w:p>
        </w:tc>
        <w:tc>
          <w:tcPr>
            <w:tcW w:w="0" w:type="auto"/>
            <w:shd w:val="clear" w:color="auto" w:fill="FFFFFF"/>
            <w:tcMar>
              <w:top w:w="40" w:type="dxa"/>
              <w:left w:w="0" w:type="dxa"/>
              <w:bottom w:w="40" w:type="dxa"/>
              <w:right w:w="20" w:type="dxa"/>
            </w:tcMar>
            <w:vAlign w:val="bottom"/>
          </w:tcPr>
          <w:p w14:paraId="19503CE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CE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CEF" w14:textId="77777777" w:rsidR="00BF3A3A" w:rsidRDefault="00A76802">
            <w:pPr>
              <w:jc w:val="right"/>
              <w:textAlignment w:val="bottom"/>
            </w:pPr>
            <w:r>
              <w:rPr>
                <w:rFonts w:ascii="sans-serif" w:eastAsia="sans-serif" w:hAnsi="sans-serif" w:cs="sans-serif"/>
                <w:color w:val="000000"/>
                <w:sz w:val="20"/>
                <w:szCs w:val="20"/>
              </w:rPr>
              <w:t>19,218 </w:t>
            </w:r>
          </w:p>
        </w:tc>
        <w:tc>
          <w:tcPr>
            <w:tcW w:w="0" w:type="auto"/>
            <w:shd w:val="clear" w:color="auto" w:fill="FFFFFF"/>
            <w:tcMar>
              <w:top w:w="40" w:type="dxa"/>
              <w:left w:w="0" w:type="dxa"/>
              <w:bottom w:w="40" w:type="dxa"/>
              <w:right w:w="20" w:type="dxa"/>
            </w:tcMar>
            <w:vAlign w:val="bottom"/>
          </w:tcPr>
          <w:p w14:paraId="19503CF0" w14:textId="77777777" w:rsidR="00BF3A3A" w:rsidRDefault="00BF3A3A">
            <w:pPr>
              <w:jc w:val="right"/>
              <w:rPr>
                <w:rFonts w:ascii="宋体"/>
              </w:rPr>
            </w:pPr>
          </w:p>
        </w:tc>
      </w:tr>
      <w:tr w:rsidR="00BF3A3A" w14:paraId="19503CFA" w14:textId="77777777">
        <w:tc>
          <w:tcPr>
            <w:tcW w:w="0" w:type="auto"/>
            <w:gridSpan w:val="3"/>
            <w:shd w:val="clear" w:color="auto" w:fill="E2EFD9"/>
            <w:tcMar>
              <w:top w:w="40" w:type="dxa"/>
              <w:left w:w="20" w:type="dxa"/>
              <w:bottom w:w="40" w:type="dxa"/>
              <w:right w:w="20" w:type="dxa"/>
            </w:tcMar>
            <w:vAlign w:val="bottom"/>
          </w:tcPr>
          <w:p w14:paraId="19503CF2" w14:textId="77777777" w:rsidR="00BF3A3A" w:rsidRDefault="00A76802">
            <w:pPr>
              <w:textAlignment w:val="bottom"/>
            </w:pPr>
            <w:r>
              <w:rPr>
                <w:rFonts w:ascii="sans-serif" w:eastAsia="sans-serif" w:hAnsi="sans-serif" w:cs="sans-serif"/>
                <w:color w:val="000000"/>
                <w:sz w:val="20"/>
                <w:szCs w:val="20"/>
              </w:rPr>
              <w:t>Cash, cash equivalents and marketable securities</w:t>
            </w: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CF3"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CF4" w14:textId="77777777" w:rsidR="00BF3A3A" w:rsidRDefault="00A76802">
            <w:pPr>
              <w:jc w:val="right"/>
              <w:textAlignment w:val="bottom"/>
            </w:pPr>
            <w:r>
              <w:rPr>
                <w:rFonts w:ascii="sans-serif" w:eastAsia="sans-serif" w:hAnsi="sans-serif" w:cs="sans-serif"/>
                <w:color w:val="000000"/>
                <w:sz w:val="20"/>
                <w:szCs w:val="20"/>
              </w:rPr>
              <w:t>17,037 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CF5"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CF6" w14:textId="77777777" w:rsidR="00BF3A3A" w:rsidRDefault="00BF3A3A">
            <w:pPr>
              <w:rPr>
                <w:rFonts w:ascii="宋体"/>
              </w:rPr>
            </w:pPr>
          </w:p>
        </w:tc>
        <w:tc>
          <w:tcPr>
            <w:tcW w:w="0" w:type="auto"/>
            <w:tcBorders>
              <w:top w:val="single" w:sz="8" w:space="0" w:color="000000"/>
              <w:bottom w:val="double" w:sz="6" w:space="0" w:color="000000"/>
            </w:tcBorders>
            <w:shd w:val="clear" w:color="auto" w:fill="E2EFD9"/>
            <w:tcMar>
              <w:top w:w="40" w:type="dxa"/>
              <w:left w:w="20" w:type="dxa"/>
              <w:bottom w:w="40" w:type="dxa"/>
              <w:right w:w="0" w:type="dxa"/>
            </w:tcMar>
            <w:vAlign w:val="bottom"/>
          </w:tcPr>
          <w:p w14:paraId="19503CF7"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bottom w:val="double" w:sz="6" w:space="0" w:color="000000"/>
            </w:tcBorders>
            <w:shd w:val="clear" w:color="auto" w:fill="E2EFD9"/>
            <w:tcMar>
              <w:top w:w="40" w:type="dxa"/>
              <w:left w:w="0" w:type="dxa"/>
              <w:bottom w:w="40" w:type="dxa"/>
              <w:right w:w="0" w:type="dxa"/>
            </w:tcMar>
            <w:vAlign w:val="bottom"/>
          </w:tcPr>
          <w:p w14:paraId="19503CF8" w14:textId="77777777" w:rsidR="00BF3A3A" w:rsidRDefault="00A76802">
            <w:pPr>
              <w:jc w:val="right"/>
              <w:textAlignment w:val="bottom"/>
            </w:pPr>
            <w:r>
              <w:rPr>
                <w:rFonts w:ascii="sans-serif" w:eastAsia="sans-serif" w:hAnsi="sans-serif" w:cs="sans-serif"/>
                <w:color w:val="000000"/>
                <w:sz w:val="20"/>
                <w:szCs w:val="20"/>
              </w:rPr>
              <w:t>21,208 </w:t>
            </w:r>
          </w:p>
        </w:tc>
        <w:tc>
          <w:tcPr>
            <w:tcW w:w="0" w:type="auto"/>
            <w:tcBorders>
              <w:top w:val="single" w:sz="8" w:space="0" w:color="000000"/>
              <w:bottom w:val="double" w:sz="6" w:space="0" w:color="000000"/>
            </w:tcBorders>
            <w:shd w:val="clear" w:color="auto" w:fill="E2EFD9"/>
            <w:tcMar>
              <w:top w:w="40" w:type="dxa"/>
              <w:left w:w="0" w:type="dxa"/>
              <w:bottom w:w="40" w:type="dxa"/>
              <w:right w:w="20" w:type="dxa"/>
            </w:tcMar>
            <w:vAlign w:val="bottom"/>
          </w:tcPr>
          <w:p w14:paraId="19503CF9" w14:textId="77777777" w:rsidR="00BF3A3A" w:rsidRDefault="00BF3A3A">
            <w:pPr>
              <w:jc w:val="right"/>
              <w:rPr>
                <w:rFonts w:ascii="宋体"/>
              </w:rPr>
            </w:pPr>
          </w:p>
        </w:tc>
      </w:tr>
    </w:tbl>
    <w:p w14:paraId="19503CFB" w14:textId="77777777" w:rsidR="00BF3A3A" w:rsidRDefault="00BF3A3A">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5289"/>
        <w:gridCol w:w="36"/>
        <w:gridCol w:w="122"/>
        <w:gridCol w:w="1291"/>
        <w:gridCol w:w="36"/>
        <w:gridCol w:w="36"/>
        <w:gridCol w:w="36"/>
        <w:gridCol w:w="36"/>
        <w:gridCol w:w="122"/>
        <w:gridCol w:w="1256"/>
        <w:gridCol w:w="36"/>
      </w:tblGrid>
      <w:tr w:rsidR="00BF3A3A" w14:paraId="19503D08" w14:textId="77777777">
        <w:tc>
          <w:tcPr>
            <w:tcW w:w="50" w:type="pct"/>
            <w:shd w:val="clear" w:color="auto" w:fill="auto"/>
            <w:vAlign w:val="bottom"/>
          </w:tcPr>
          <w:p w14:paraId="19503CFC" w14:textId="77777777" w:rsidR="00BF3A3A" w:rsidRDefault="00BF3A3A">
            <w:pPr>
              <w:rPr>
                <w:rFonts w:ascii="宋体"/>
              </w:rPr>
            </w:pPr>
          </w:p>
        </w:tc>
        <w:tc>
          <w:tcPr>
            <w:tcW w:w="3197" w:type="pct"/>
            <w:shd w:val="clear" w:color="auto" w:fill="auto"/>
            <w:vAlign w:val="bottom"/>
          </w:tcPr>
          <w:p w14:paraId="19503CFD" w14:textId="77777777" w:rsidR="00BF3A3A" w:rsidRDefault="00BF3A3A">
            <w:pPr>
              <w:rPr>
                <w:rFonts w:ascii="宋体"/>
              </w:rPr>
            </w:pPr>
          </w:p>
        </w:tc>
        <w:tc>
          <w:tcPr>
            <w:tcW w:w="5" w:type="pct"/>
            <w:shd w:val="clear" w:color="auto" w:fill="auto"/>
            <w:vAlign w:val="bottom"/>
          </w:tcPr>
          <w:p w14:paraId="19503CFE" w14:textId="77777777" w:rsidR="00BF3A3A" w:rsidRDefault="00BF3A3A">
            <w:pPr>
              <w:rPr>
                <w:rFonts w:ascii="宋体"/>
              </w:rPr>
            </w:pPr>
          </w:p>
        </w:tc>
        <w:tc>
          <w:tcPr>
            <w:tcW w:w="50" w:type="pct"/>
            <w:shd w:val="clear" w:color="auto" w:fill="auto"/>
            <w:vAlign w:val="bottom"/>
          </w:tcPr>
          <w:p w14:paraId="19503CFF" w14:textId="77777777" w:rsidR="00BF3A3A" w:rsidRDefault="00BF3A3A">
            <w:pPr>
              <w:rPr>
                <w:rFonts w:ascii="宋体"/>
              </w:rPr>
            </w:pPr>
          </w:p>
        </w:tc>
        <w:tc>
          <w:tcPr>
            <w:tcW w:w="800" w:type="pct"/>
            <w:shd w:val="clear" w:color="auto" w:fill="auto"/>
            <w:vAlign w:val="bottom"/>
          </w:tcPr>
          <w:p w14:paraId="19503D00" w14:textId="77777777" w:rsidR="00BF3A3A" w:rsidRDefault="00BF3A3A">
            <w:pPr>
              <w:rPr>
                <w:rFonts w:ascii="宋体"/>
              </w:rPr>
            </w:pPr>
          </w:p>
        </w:tc>
        <w:tc>
          <w:tcPr>
            <w:tcW w:w="5" w:type="pct"/>
            <w:shd w:val="clear" w:color="auto" w:fill="auto"/>
            <w:vAlign w:val="bottom"/>
          </w:tcPr>
          <w:p w14:paraId="19503D01" w14:textId="77777777" w:rsidR="00BF3A3A" w:rsidRDefault="00BF3A3A">
            <w:pPr>
              <w:rPr>
                <w:rFonts w:ascii="宋体"/>
              </w:rPr>
            </w:pPr>
          </w:p>
        </w:tc>
        <w:tc>
          <w:tcPr>
            <w:tcW w:w="5" w:type="pct"/>
            <w:shd w:val="clear" w:color="auto" w:fill="auto"/>
            <w:vAlign w:val="bottom"/>
          </w:tcPr>
          <w:p w14:paraId="19503D02" w14:textId="77777777" w:rsidR="00BF3A3A" w:rsidRDefault="00BF3A3A">
            <w:pPr>
              <w:rPr>
                <w:rFonts w:ascii="宋体"/>
              </w:rPr>
            </w:pPr>
          </w:p>
        </w:tc>
        <w:tc>
          <w:tcPr>
            <w:tcW w:w="26" w:type="pct"/>
            <w:shd w:val="clear" w:color="auto" w:fill="auto"/>
            <w:vAlign w:val="bottom"/>
          </w:tcPr>
          <w:p w14:paraId="19503D03" w14:textId="77777777" w:rsidR="00BF3A3A" w:rsidRDefault="00BF3A3A">
            <w:pPr>
              <w:rPr>
                <w:rFonts w:ascii="宋体"/>
              </w:rPr>
            </w:pPr>
          </w:p>
        </w:tc>
        <w:tc>
          <w:tcPr>
            <w:tcW w:w="5" w:type="pct"/>
            <w:shd w:val="clear" w:color="auto" w:fill="auto"/>
            <w:vAlign w:val="bottom"/>
          </w:tcPr>
          <w:p w14:paraId="19503D04" w14:textId="77777777" w:rsidR="00BF3A3A" w:rsidRDefault="00BF3A3A">
            <w:pPr>
              <w:rPr>
                <w:rFonts w:ascii="宋体"/>
              </w:rPr>
            </w:pPr>
          </w:p>
        </w:tc>
        <w:tc>
          <w:tcPr>
            <w:tcW w:w="50" w:type="pct"/>
            <w:shd w:val="clear" w:color="auto" w:fill="auto"/>
            <w:vAlign w:val="bottom"/>
          </w:tcPr>
          <w:p w14:paraId="19503D05" w14:textId="77777777" w:rsidR="00BF3A3A" w:rsidRDefault="00BF3A3A">
            <w:pPr>
              <w:rPr>
                <w:rFonts w:ascii="宋体"/>
              </w:rPr>
            </w:pPr>
          </w:p>
        </w:tc>
        <w:tc>
          <w:tcPr>
            <w:tcW w:w="800" w:type="pct"/>
            <w:shd w:val="clear" w:color="auto" w:fill="auto"/>
            <w:vAlign w:val="bottom"/>
          </w:tcPr>
          <w:p w14:paraId="19503D06" w14:textId="77777777" w:rsidR="00BF3A3A" w:rsidRDefault="00BF3A3A">
            <w:pPr>
              <w:rPr>
                <w:rFonts w:ascii="宋体"/>
              </w:rPr>
            </w:pPr>
          </w:p>
        </w:tc>
        <w:tc>
          <w:tcPr>
            <w:tcW w:w="5" w:type="pct"/>
            <w:shd w:val="clear" w:color="auto" w:fill="auto"/>
            <w:vAlign w:val="bottom"/>
          </w:tcPr>
          <w:p w14:paraId="19503D07" w14:textId="77777777" w:rsidR="00BF3A3A" w:rsidRDefault="00BF3A3A">
            <w:pPr>
              <w:rPr>
                <w:rFonts w:ascii="宋体"/>
              </w:rPr>
            </w:pPr>
          </w:p>
        </w:tc>
      </w:tr>
      <w:tr w:rsidR="00BF3A3A" w14:paraId="19503D0B" w14:textId="77777777">
        <w:tc>
          <w:tcPr>
            <w:tcW w:w="0" w:type="auto"/>
            <w:gridSpan w:val="3"/>
            <w:shd w:val="clear" w:color="auto" w:fill="auto"/>
            <w:tcMar>
              <w:top w:w="40" w:type="dxa"/>
              <w:left w:w="20" w:type="dxa"/>
              <w:bottom w:w="40" w:type="dxa"/>
              <w:right w:w="20" w:type="dxa"/>
            </w:tcMar>
            <w:vAlign w:val="bottom"/>
          </w:tcPr>
          <w:p w14:paraId="19503D09" w14:textId="77777777" w:rsidR="00BF3A3A" w:rsidRDefault="00A76802">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19503D0A" w14:textId="77777777" w:rsidR="00BF3A3A" w:rsidRDefault="00A76802">
            <w:pPr>
              <w:jc w:val="center"/>
              <w:textAlignment w:val="bottom"/>
            </w:pPr>
            <w:r>
              <w:rPr>
                <w:rFonts w:ascii="sans-serif" w:eastAsia="sans-serif" w:hAnsi="sans-serif" w:cs="sans-serif"/>
                <w:b/>
                <w:bCs/>
                <w:color w:val="000000"/>
                <w:sz w:val="20"/>
                <w:szCs w:val="20"/>
              </w:rPr>
              <w:t>Six Months Ended</w:t>
            </w:r>
          </w:p>
        </w:tc>
      </w:tr>
      <w:tr w:rsidR="00BF3A3A" w14:paraId="19503D10" w14:textId="77777777">
        <w:tc>
          <w:tcPr>
            <w:tcW w:w="0" w:type="auto"/>
            <w:gridSpan w:val="3"/>
            <w:shd w:val="clear" w:color="auto" w:fill="auto"/>
            <w:tcMar>
              <w:top w:w="0" w:type="dxa"/>
              <w:left w:w="20" w:type="dxa"/>
              <w:bottom w:w="0" w:type="dxa"/>
              <w:right w:w="20" w:type="dxa"/>
            </w:tcMar>
            <w:vAlign w:val="bottom"/>
          </w:tcPr>
          <w:p w14:paraId="19503D0C"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D0D" w14:textId="77777777" w:rsidR="00BF3A3A" w:rsidRDefault="00A76802">
            <w:pPr>
              <w:jc w:val="center"/>
              <w:textAlignment w:val="bottom"/>
            </w:pPr>
            <w:r>
              <w:rPr>
                <w:rFonts w:ascii="sans-serif" w:eastAsia="sans-serif" w:hAnsi="sans-serif" w:cs="sans-serif"/>
                <w:b/>
                <w:bCs/>
                <w:color w:val="000000"/>
                <w:sz w:val="20"/>
                <w:szCs w:val="20"/>
              </w:rPr>
              <w:t>July 31,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D0E" w14:textId="77777777" w:rsidR="00BF3A3A" w:rsidRDefault="00BF3A3A">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9503D0F" w14:textId="77777777" w:rsidR="00BF3A3A" w:rsidRDefault="00A76802">
            <w:pPr>
              <w:jc w:val="center"/>
              <w:textAlignment w:val="bottom"/>
            </w:pPr>
            <w:r>
              <w:rPr>
                <w:rFonts w:ascii="sans-serif" w:eastAsia="sans-serif" w:hAnsi="sans-serif" w:cs="sans-serif"/>
                <w:b/>
                <w:bCs/>
                <w:color w:val="000000"/>
                <w:sz w:val="20"/>
                <w:szCs w:val="20"/>
              </w:rPr>
              <w:t>August 1, 2021</w:t>
            </w:r>
          </w:p>
        </w:tc>
      </w:tr>
      <w:tr w:rsidR="00BF3A3A" w14:paraId="19503D15" w14:textId="77777777">
        <w:trPr>
          <w:trHeight w:val="60"/>
        </w:trPr>
        <w:tc>
          <w:tcPr>
            <w:tcW w:w="0" w:type="auto"/>
            <w:gridSpan w:val="3"/>
            <w:shd w:val="clear" w:color="auto" w:fill="auto"/>
            <w:tcMar>
              <w:top w:w="0" w:type="dxa"/>
              <w:left w:w="20" w:type="dxa"/>
              <w:bottom w:w="0" w:type="dxa"/>
              <w:right w:w="20" w:type="dxa"/>
            </w:tcMar>
            <w:vAlign w:val="bottom"/>
          </w:tcPr>
          <w:p w14:paraId="19503D11"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D12"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D13"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D14" w14:textId="77777777" w:rsidR="00BF3A3A" w:rsidRDefault="00BF3A3A">
            <w:pPr>
              <w:rPr>
                <w:rFonts w:ascii="宋体"/>
              </w:rPr>
            </w:pPr>
          </w:p>
        </w:tc>
      </w:tr>
      <w:tr w:rsidR="00BF3A3A" w14:paraId="19503D18" w14:textId="77777777">
        <w:tc>
          <w:tcPr>
            <w:tcW w:w="0" w:type="auto"/>
            <w:gridSpan w:val="3"/>
            <w:shd w:val="clear" w:color="auto" w:fill="auto"/>
            <w:tcMar>
              <w:top w:w="40" w:type="dxa"/>
              <w:left w:w="20" w:type="dxa"/>
              <w:bottom w:w="40" w:type="dxa"/>
              <w:right w:w="20" w:type="dxa"/>
            </w:tcMar>
            <w:vAlign w:val="bottom"/>
          </w:tcPr>
          <w:p w14:paraId="19503D16" w14:textId="77777777" w:rsidR="00BF3A3A" w:rsidRDefault="00A76802">
            <w:pPr>
              <w:textAlignment w:val="bottom"/>
            </w:pPr>
            <w:r>
              <w:rPr>
                <w:rFonts w:ascii="sans-serif" w:eastAsia="sans-serif" w:hAnsi="sans-serif" w:cs="sans-serif"/>
                <w:color w:val="000000"/>
                <w:sz w:val="18"/>
                <w:szCs w:val="18"/>
              </w:rPr>
              <w:t> </w:t>
            </w:r>
          </w:p>
        </w:tc>
        <w:tc>
          <w:tcPr>
            <w:tcW w:w="0" w:type="auto"/>
            <w:gridSpan w:val="9"/>
            <w:shd w:val="clear" w:color="auto" w:fill="auto"/>
            <w:tcMar>
              <w:top w:w="40" w:type="dxa"/>
              <w:left w:w="20" w:type="dxa"/>
              <w:bottom w:w="40" w:type="dxa"/>
              <w:right w:w="20" w:type="dxa"/>
            </w:tcMar>
            <w:vAlign w:val="bottom"/>
          </w:tcPr>
          <w:p w14:paraId="19503D17" w14:textId="77777777" w:rsidR="00BF3A3A" w:rsidRDefault="00A76802">
            <w:pPr>
              <w:jc w:val="center"/>
              <w:textAlignment w:val="bottom"/>
            </w:pPr>
            <w:r>
              <w:rPr>
                <w:rFonts w:ascii="sans-serif" w:eastAsia="sans-serif" w:hAnsi="sans-serif" w:cs="sans-serif"/>
                <w:i/>
                <w:iCs/>
                <w:color w:val="000000"/>
                <w:sz w:val="20"/>
                <w:szCs w:val="20"/>
              </w:rPr>
              <w:t>(In millions)</w:t>
            </w:r>
          </w:p>
        </w:tc>
      </w:tr>
      <w:tr w:rsidR="00BF3A3A" w14:paraId="19503D21" w14:textId="77777777">
        <w:tc>
          <w:tcPr>
            <w:tcW w:w="0" w:type="auto"/>
            <w:gridSpan w:val="3"/>
            <w:shd w:val="clear" w:color="auto" w:fill="E2EFD9"/>
            <w:tcMar>
              <w:top w:w="40" w:type="dxa"/>
              <w:left w:w="20" w:type="dxa"/>
              <w:bottom w:w="40" w:type="dxa"/>
              <w:right w:w="20" w:type="dxa"/>
            </w:tcMar>
            <w:vAlign w:val="bottom"/>
          </w:tcPr>
          <w:p w14:paraId="19503D19" w14:textId="77777777" w:rsidR="00BF3A3A" w:rsidRDefault="00A76802">
            <w:pPr>
              <w:textAlignment w:val="bottom"/>
            </w:pPr>
            <w:r>
              <w:rPr>
                <w:rFonts w:ascii="sans-serif" w:eastAsia="sans-serif" w:hAnsi="sans-serif" w:cs="sans-serif"/>
                <w:color w:val="000000"/>
                <w:sz w:val="20"/>
                <w:szCs w:val="20"/>
              </w:rPr>
              <w:t xml:space="preserve">Net cash </w:t>
            </w:r>
            <w:r>
              <w:rPr>
                <w:rFonts w:ascii="sans-serif" w:eastAsia="sans-serif" w:hAnsi="sans-serif" w:cs="sans-serif"/>
                <w:color w:val="000000"/>
                <w:sz w:val="20"/>
                <w:szCs w:val="20"/>
              </w:rPr>
              <w:t>provided by operating activities</w:t>
            </w:r>
          </w:p>
        </w:tc>
        <w:tc>
          <w:tcPr>
            <w:tcW w:w="0" w:type="auto"/>
            <w:shd w:val="clear" w:color="auto" w:fill="E2EFD9"/>
            <w:tcMar>
              <w:top w:w="40" w:type="dxa"/>
              <w:left w:w="20" w:type="dxa"/>
              <w:bottom w:w="40" w:type="dxa"/>
              <w:right w:w="0" w:type="dxa"/>
            </w:tcMar>
            <w:vAlign w:val="bottom"/>
          </w:tcPr>
          <w:p w14:paraId="19503D1A"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D1B" w14:textId="77777777" w:rsidR="00BF3A3A" w:rsidRDefault="00A76802">
            <w:pPr>
              <w:jc w:val="right"/>
              <w:textAlignment w:val="bottom"/>
            </w:pPr>
            <w:r>
              <w:rPr>
                <w:rFonts w:ascii="sans-serif" w:eastAsia="sans-serif" w:hAnsi="sans-serif" w:cs="sans-serif"/>
                <w:color w:val="000000"/>
                <w:sz w:val="20"/>
                <w:szCs w:val="20"/>
              </w:rPr>
              <w:t>3,001 </w:t>
            </w:r>
          </w:p>
        </w:tc>
        <w:tc>
          <w:tcPr>
            <w:tcW w:w="0" w:type="auto"/>
            <w:shd w:val="clear" w:color="auto" w:fill="E2EFD9"/>
            <w:tcMar>
              <w:top w:w="40" w:type="dxa"/>
              <w:left w:w="0" w:type="dxa"/>
              <w:bottom w:w="40" w:type="dxa"/>
              <w:right w:w="20" w:type="dxa"/>
            </w:tcMar>
            <w:vAlign w:val="bottom"/>
          </w:tcPr>
          <w:p w14:paraId="19503D1C"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D1D"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D1E"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D1F" w14:textId="77777777" w:rsidR="00BF3A3A" w:rsidRDefault="00A76802">
            <w:pPr>
              <w:jc w:val="right"/>
              <w:textAlignment w:val="bottom"/>
            </w:pPr>
            <w:r>
              <w:rPr>
                <w:rFonts w:ascii="sans-serif" w:eastAsia="sans-serif" w:hAnsi="sans-serif" w:cs="sans-serif"/>
                <w:color w:val="000000"/>
                <w:sz w:val="20"/>
                <w:szCs w:val="20"/>
              </w:rPr>
              <w:t>4,556 </w:t>
            </w:r>
          </w:p>
        </w:tc>
        <w:tc>
          <w:tcPr>
            <w:tcW w:w="0" w:type="auto"/>
            <w:shd w:val="clear" w:color="auto" w:fill="E2EFD9"/>
            <w:tcMar>
              <w:top w:w="40" w:type="dxa"/>
              <w:left w:w="0" w:type="dxa"/>
              <w:bottom w:w="40" w:type="dxa"/>
              <w:right w:w="20" w:type="dxa"/>
            </w:tcMar>
            <w:vAlign w:val="bottom"/>
          </w:tcPr>
          <w:p w14:paraId="19503D20" w14:textId="77777777" w:rsidR="00BF3A3A" w:rsidRDefault="00BF3A3A">
            <w:pPr>
              <w:jc w:val="right"/>
              <w:rPr>
                <w:rFonts w:ascii="宋体"/>
              </w:rPr>
            </w:pPr>
          </w:p>
        </w:tc>
      </w:tr>
      <w:tr w:rsidR="00BF3A3A" w14:paraId="19503D2A" w14:textId="77777777">
        <w:tc>
          <w:tcPr>
            <w:tcW w:w="0" w:type="auto"/>
            <w:gridSpan w:val="3"/>
            <w:shd w:val="clear" w:color="auto" w:fill="FFFFFF"/>
            <w:tcMar>
              <w:top w:w="40" w:type="dxa"/>
              <w:left w:w="20" w:type="dxa"/>
              <w:bottom w:w="40" w:type="dxa"/>
              <w:right w:w="20" w:type="dxa"/>
            </w:tcMar>
            <w:vAlign w:val="bottom"/>
          </w:tcPr>
          <w:p w14:paraId="19503D22" w14:textId="77777777" w:rsidR="00BF3A3A" w:rsidRDefault="00A76802">
            <w:pPr>
              <w:textAlignment w:val="bottom"/>
            </w:pPr>
            <w:r>
              <w:rPr>
                <w:rFonts w:ascii="sans-serif" w:eastAsia="sans-serif" w:hAnsi="sans-serif" w:cs="sans-serif"/>
                <w:color w:val="000000"/>
                <w:sz w:val="20"/>
                <w:szCs w:val="20"/>
              </w:rPr>
              <w:t>Net cash provided by (used in) investing activities</w:t>
            </w:r>
          </w:p>
        </w:tc>
        <w:tc>
          <w:tcPr>
            <w:tcW w:w="0" w:type="auto"/>
            <w:shd w:val="clear" w:color="auto" w:fill="FFFFFF"/>
            <w:tcMar>
              <w:top w:w="40" w:type="dxa"/>
              <w:left w:w="20" w:type="dxa"/>
              <w:bottom w:w="40" w:type="dxa"/>
              <w:right w:w="0" w:type="dxa"/>
            </w:tcMar>
            <w:vAlign w:val="bottom"/>
          </w:tcPr>
          <w:p w14:paraId="19503D23"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D24" w14:textId="77777777" w:rsidR="00BF3A3A" w:rsidRDefault="00A76802">
            <w:pPr>
              <w:jc w:val="right"/>
              <w:textAlignment w:val="bottom"/>
            </w:pPr>
            <w:r>
              <w:rPr>
                <w:rFonts w:ascii="sans-serif" w:eastAsia="sans-serif" w:hAnsi="sans-serif" w:cs="sans-serif"/>
                <w:color w:val="000000"/>
                <w:sz w:val="20"/>
                <w:szCs w:val="20"/>
              </w:rPr>
              <w:t>4,230 </w:t>
            </w:r>
          </w:p>
        </w:tc>
        <w:tc>
          <w:tcPr>
            <w:tcW w:w="0" w:type="auto"/>
            <w:shd w:val="clear" w:color="auto" w:fill="FFFFFF"/>
            <w:tcMar>
              <w:top w:w="40" w:type="dxa"/>
              <w:left w:w="0" w:type="dxa"/>
              <w:bottom w:w="40" w:type="dxa"/>
              <w:right w:w="20" w:type="dxa"/>
            </w:tcMar>
            <w:vAlign w:val="bottom"/>
          </w:tcPr>
          <w:p w14:paraId="19503D25"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D26"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D27"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D28" w14:textId="77777777" w:rsidR="00BF3A3A" w:rsidRDefault="00A76802">
            <w:pPr>
              <w:jc w:val="right"/>
              <w:textAlignment w:val="bottom"/>
            </w:pPr>
            <w:r>
              <w:rPr>
                <w:rFonts w:ascii="sans-serif" w:eastAsia="sans-serif" w:hAnsi="sans-serif" w:cs="sans-serif"/>
                <w:color w:val="000000"/>
                <w:sz w:val="20"/>
                <w:szCs w:val="20"/>
              </w:rPr>
              <w:t>(3,805)</w:t>
            </w:r>
          </w:p>
        </w:tc>
        <w:tc>
          <w:tcPr>
            <w:tcW w:w="0" w:type="auto"/>
            <w:shd w:val="clear" w:color="auto" w:fill="FFFFFF"/>
            <w:tcMar>
              <w:top w:w="40" w:type="dxa"/>
              <w:left w:w="0" w:type="dxa"/>
              <w:bottom w:w="40" w:type="dxa"/>
              <w:right w:w="20" w:type="dxa"/>
            </w:tcMar>
            <w:vAlign w:val="bottom"/>
          </w:tcPr>
          <w:p w14:paraId="19503D29" w14:textId="77777777" w:rsidR="00BF3A3A" w:rsidRDefault="00BF3A3A">
            <w:pPr>
              <w:jc w:val="right"/>
              <w:rPr>
                <w:rFonts w:ascii="宋体"/>
              </w:rPr>
            </w:pPr>
          </w:p>
        </w:tc>
      </w:tr>
      <w:tr w:rsidR="00BF3A3A" w14:paraId="19503D33" w14:textId="77777777">
        <w:tc>
          <w:tcPr>
            <w:tcW w:w="0" w:type="auto"/>
            <w:gridSpan w:val="3"/>
            <w:shd w:val="clear" w:color="auto" w:fill="E2EFD9"/>
            <w:tcMar>
              <w:top w:w="40" w:type="dxa"/>
              <w:left w:w="20" w:type="dxa"/>
              <w:bottom w:w="40" w:type="dxa"/>
              <w:right w:w="20" w:type="dxa"/>
            </w:tcMar>
            <w:vAlign w:val="bottom"/>
          </w:tcPr>
          <w:p w14:paraId="19503D2B" w14:textId="77777777" w:rsidR="00BF3A3A" w:rsidRDefault="00A76802">
            <w:pPr>
              <w:textAlignment w:val="bottom"/>
            </w:pPr>
            <w:r>
              <w:rPr>
                <w:rFonts w:ascii="sans-serif" w:eastAsia="sans-serif" w:hAnsi="sans-serif" w:cs="sans-serif"/>
                <w:color w:val="000000"/>
                <w:sz w:val="20"/>
                <w:szCs w:val="20"/>
              </w:rPr>
              <w:t>Net cash provided by (used in) financing activities</w:t>
            </w:r>
          </w:p>
        </w:tc>
        <w:tc>
          <w:tcPr>
            <w:tcW w:w="0" w:type="auto"/>
            <w:shd w:val="clear" w:color="auto" w:fill="E2EFD9"/>
            <w:tcMar>
              <w:top w:w="40" w:type="dxa"/>
              <w:left w:w="20" w:type="dxa"/>
              <w:bottom w:w="40" w:type="dxa"/>
              <w:right w:w="0" w:type="dxa"/>
            </w:tcMar>
            <w:vAlign w:val="bottom"/>
          </w:tcPr>
          <w:p w14:paraId="19503D2C"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D2D" w14:textId="77777777" w:rsidR="00BF3A3A" w:rsidRDefault="00A76802">
            <w:pPr>
              <w:jc w:val="right"/>
              <w:textAlignment w:val="bottom"/>
            </w:pPr>
            <w:r>
              <w:rPr>
                <w:rFonts w:ascii="sans-serif" w:eastAsia="sans-serif" w:hAnsi="sans-serif" w:cs="sans-serif"/>
                <w:color w:val="000000"/>
                <w:sz w:val="20"/>
                <w:szCs w:val="20"/>
              </w:rPr>
              <w:t>(6,208)</w:t>
            </w:r>
          </w:p>
        </w:tc>
        <w:tc>
          <w:tcPr>
            <w:tcW w:w="0" w:type="auto"/>
            <w:shd w:val="clear" w:color="auto" w:fill="E2EFD9"/>
            <w:tcMar>
              <w:top w:w="40" w:type="dxa"/>
              <w:left w:w="0" w:type="dxa"/>
              <w:bottom w:w="40" w:type="dxa"/>
              <w:right w:w="20" w:type="dxa"/>
            </w:tcMar>
            <w:vAlign w:val="bottom"/>
          </w:tcPr>
          <w:p w14:paraId="19503D2E"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D2F"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D30"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D31" w14:textId="77777777" w:rsidR="00BF3A3A" w:rsidRDefault="00A76802">
            <w:pPr>
              <w:jc w:val="right"/>
              <w:textAlignment w:val="bottom"/>
            </w:pPr>
            <w:r>
              <w:rPr>
                <w:rFonts w:ascii="sans-serif" w:eastAsia="sans-serif" w:hAnsi="sans-serif" w:cs="sans-serif"/>
                <w:color w:val="000000"/>
                <w:sz w:val="20"/>
                <w:szCs w:val="20"/>
              </w:rPr>
              <w:t>4,030 </w:t>
            </w:r>
          </w:p>
        </w:tc>
        <w:tc>
          <w:tcPr>
            <w:tcW w:w="0" w:type="auto"/>
            <w:shd w:val="clear" w:color="auto" w:fill="E2EFD9"/>
            <w:tcMar>
              <w:top w:w="40" w:type="dxa"/>
              <w:left w:w="0" w:type="dxa"/>
              <w:bottom w:w="40" w:type="dxa"/>
              <w:right w:w="20" w:type="dxa"/>
            </w:tcMar>
            <w:vAlign w:val="bottom"/>
          </w:tcPr>
          <w:p w14:paraId="19503D32" w14:textId="77777777" w:rsidR="00BF3A3A" w:rsidRDefault="00BF3A3A">
            <w:pPr>
              <w:jc w:val="right"/>
              <w:rPr>
                <w:rFonts w:ascii="宋体"/>
              </w:rPr>
            </w:pPr>
          </w:p>
        </w:tc>
      </w:tr>
    </w:tbl>
    <w:p w14:paraId="19503D34" w14:textId="77777777" w:rsidR="00BF3A3A" w:rsidRDefault="00A76802">
      <w:pPr>
        <w:spacing w:before="360" w:after="180"/>
        <w:jc w:val="both"/>
      </w:pPr>
      <w:r>
        <w:rPr>
          <w:rFonts w:ascii="sans-serif" w:eastAsia="sans-serif" w:hAnsi="sans-serif" w:cs="sans-serif"/>
          <w:color w:val="000000"/>
          <w:sz w:val="20"/>
          <w:szCs w:val="20"/>
        </w:rPr>
        <w:t>As of July 31, 2022, we had $17.04 billion in cash, cash equivalents and marketable securities, a decrease of $4.17 billion from the end of fiscal year 2022. Our investment policy requires the purchase of highly rated fixed income securities, the diversifi</w:t>
      </w:r>
      <w:r>
        <w:rPr>
          <w:rFonts w:ascii="sans-serif" w:eastAsia="sans-serif" w:hAnsi="sans-serif" w:cs="sans-serif"/>
          <w:color w:val="000000"/>
          <w:sz w:val="20"/>
          <w:szCs w:val="20"/>
        </w:rPr>
        <w:t xml:space="preserve">cation of investment types and credit exposures, and certain maturity limits on our portfolio. </w:t>
      </w:r>
    </w:p>
    <w:p w14:paraId="19503D35" w14:textId="77777777" w:rsidR="00BF3A3A" w:rsidRDefault="00A76802">
      <w:pPr>
        <w:spacing w:before="120" w:after="120"/>
        <w:jc w:val="both"/>
      </w:pPr>
      <w:r>
        <w:rPr>
          <w:rFonts w:ascii="sans-serif" w:eastAsia="sans-serif" w:hAnsi="sans-serif" w:cs="sans-serif"/>
          <w:color w:val="000000"/>
          <w:sz w:val="20"/>
          <w:szCs w:val="20"/>
        </w:rPr>
        <w:t>Cash provided by operating activities decreased in the first half of fiscal year 2023 compared to the first half of fiscal year 2022, primarily due to advance p</w:t>
      </w:r>
      <w:r>
        <w:rPr>
          <w:rFonts w:ascii="sans-serif" w:eastAsia="sans-serif" w:hAnsi="sans-serif" w:cs="sans-serif"/>
          <w:color w:val="000000"/>
          <w:sz w:val="20"/>
          <w:szCs w:val="20"/>
        </w:rPr>
        <w:t>ayments on supply agreements, tax payments, and a decrease in net income adjusted for certain non-cash items, such as the Arm acquisition termination cost of $1.35 billion, partially offset by changes in working capital.</w:t>
      </w:r>
    </w:p>
    <w:p w14:paraId="19503D36" w14:textId="77777777" w:rsidR="00BF3A3A" w:rsidRDefault="00A76802">
      <w:pPr>
        <w:spacing w:before="120" w:after="120"/>
        <w:jc w:val="both"/>
      </w:pPr>
      <w:r>
        <w:rPr>
          <w:rFonts w:ascii="sans-serif" w:eastAsia="sans-serif" w:hAnsi="sans-serif" w:cs="sans-serif"/>
          <w:color w:val="000000"/>
          <w:sz w:val="20"/>
          <w:szCs w:val="20"/>
        </w:rPr>
        <w:t>Cash provided by investing activiti</w:t>
      </w:r>
      <w:r>
        <w:rPr>
          <w:rFonts w:ascii="sans-serif" w:eastAsia="sans-serif" w:hAnsi="sans-serif" w:cs="sans-serif"/>
          <w:color w:val="000000"/>
          <w:sz w:val="20"/>
          <w:szCs w:val="20"/>
        </w:rPr>
        <w:t>es increased in the first half of fiscal year 2023 compared to cash used in the first half of fiscal year 2022, primarily driven by higher marketable securities sales and maturities and lower purchases of marketable securities.</w:t>
      </w:r>
    </w:p>
    <w:p w14:paraId="19503D37" w14:textId="77777777" w:rsidR="00BF3A3A" w:rsidRDefault="00A76802">
      <w:pPr>
        <w:spacing w:before="120" w:after="120"/>
        <w:jc w:val="both"/>
      </w:pPr>
      <w:r>
        <w:rPr>
          <w:rFonts w:ascii="sans-serif" w:eastAsia="sans-serif" w:hAnsi="sans-serif" w:cs="sans-serif"/>
          <w:color w:val="000000"/>
          <w:sz w:val="20"/>
          <w:szCs w:val="20"/>
        </w:rPr>
        <w:t>Cash used in financing activ</w:t>
      </w:r>
      <w:r>
        <w:rPr>
          <w:rFonts w:ascii="sans-serif" w:eastAsia="sans-serif" w:hAnsi="sans-serif" w:cs="sans-serif"/>
          <w:color w:val="000000"/>
          <w:sz w:val="20"/>
          <w:szCs w:val="20"/>
        </w:rPr>
        <w:t>ities decreased in the first half of fiscal year 2023 compared to the first half of fiscal year 2022, which primarily reflects share repurchases and the absence of debt issuance in the first half of fiscal year 2023.</w:t>
      </w:r>
    </w:p>
    <w:p w14:paraId="19503D38" w14:textId="77777777" w:rsidR="00BF3A3A" w:rsidRDefault="00A76802">
      <w:pPr>
        <w:spacing w:after="180"/>
        <w:jc w:val="both"/>
      </w:pPr>
      <w:r>
        <w:rPr>
          <w:rFonts w:ascii="sans-serif" w:eastAsia="sans-serif" w:hAnsi="sans-serif" w:cs="sans-serif"/>
          <w:b/>
          <w:bCs/>
          <w:color w:val="000000"/>
          <w:sz w:val="20"/>
          <w:szCs w:val="20"/>
        </w:rPr>
        <w:t>Liquidity</w:t>
      </w:r>
    </w:p>
    <w:p w14:paraId="19503D39" w14:textId="77777777" w:rsidR="00BF3A3A" w:rsidRDefault="00A76802">
      <w:pPr>
        <w:spacing w:after="180"/>
        <w:jc w:val="both"/>
      </w:pPr>
      <w:r>
        <w:rPr>
          <w:rFonts w:ascii="sans-serif" w:eastAsia="sans-serif" w:hAnsi="sans-serif" w:cs="sans-serif"/>
          <w:color w:val="000000"/>
          <w:sz w:val="20"/>
          <w:szCs w:val="20"/>
        </w:rPr>
        <w:t>Our primary sources of liquidity are our cash and cash equivalents, our marketable securities, and the cash generated by our operations. As of July 31, 2022, we had $17.04 billion in cash, cash equivalents, and marketable securities. Our marketable securit</w:t>
      </w:r>
      <w:r>
        <w:rPr>
          <w:rFonts w:ascii="sans-serif" w:eastAsia="sans-serif" w:hAnsi="sans-serif" w:cs="sans-serif"/>
          <w:color w:val="000000"/>
          <w:sz w:val="20"/>
          <w:szCs w:val="20"/>
        </w:rPr>
        <w:t>ies consist of debt securities issued by the U.S. government and its agencies, highly rated corporations and financial institutions, and foreign government entities, as well as certificates of deposit issued by highly rated financial institutions. These ma</w:t>
      </w:r>
      <w:r>
        <w:rPr>
          <w:rFonts w:ascii="sans-serif" w:eastAsia="sans-serif" w:hAnsi="sans-serif" w:cs="sans-serif"/>
          <w:color w:val="000000"/>
          <w:sz w:val="20"/>
          <w:szCs w:val="20"/>
        </w:rPr>
        <w:t>rketable securities are primarily denominated in U.S. dollars. Refer to Note 7 of the Notes to Condensed Consolidated Financial Statements for additional information. We believe that we have sufficient liquidity to meet our operating requirements for at le</w:t>
      </w:r>
      <w:r>
        <w:rPr>
          <w:rFonts w:ascii="sans-serif" w:eastAsia="sans-serif" w:hAnsi="sans-serif" w:cs="sans-serif"/>
          <w:color w:val="000000"/>
          <w:sz w:val="20"/>
          <w:szCs w:val="20"/>
        </w:rPr>
        <w:t>ast the next twelve months, and for the foreseeable future, including our future supply obligations. We continuously evaluate our liquidity and capital resources, including our access to external capital, to ensure we can finance our future capital require</w:t>
      </w:r>
      <w:r>
        <w:rPr>
          <w:rFonts w:ascii="sans-serif" w:eastAsia="sans-serif" w:hAnsi="sans-serif" w:cs="sans-serif"/>
          <w:color w:val="000000"/>
          <w:sz w:val="20"/>
          <w:szCs w:val="20"/>
        </w:rPr>
        <w:t xml:space="preserve">ments. </w:t>
      </w:r>
    </w:p>
    <w:p w14:paraId="19503D3A" w14:textId="77777777" w:rsidR="00BF3A3A" w:rsidRDefault="00A76802">
      <w:pPr>
        <w:spacing w:after="180"/>
        <w:jc w:val="center"/>
      </w:pPr>
      <w:r>
        <w:rPr>
          <w:rFonts w:ascii="sans-serif" w:eastAsia="sans-serif" w:hAnsi="sans-serif" w:cs="sans-serif"/>
          <w:color w:val="000000"/>
          <w:sz w:val="20"/>
          <w:szCs w:val="20"/>
        </w:rPr>
        <w:t>31</w:t>
      </w:r>
    </w:p>
    <w:p w14:paraId="19503D3B" w14:textId="77777777" w:rsidR="00BF3A3A" w:rsidRDefault="00A76802">
      <w:r>
        <w:pict w14:anchorId="19503FE4">
          <v:rect id="_x0000_i1055" style="width:415.3pt;height:1.5pt" o:hralign="center" o:hrstd="t" o:hr="t" fillcolor="#a0a0a0" stroked="f"/>
        </w:pict>
      </w:r>
    </w:p>
    <w:p w14:paraId="19503D3C" w14:textId="77777777" w:rsidR="00BF3A3A" w:rsidRDefault="00BF3A3A">
      <w:pPr>
        <w:spacing w:after="180"/>
        <w:jc w:val="both"/>
      </w:pPr>
    </w:p>
    <w:p w14:paraId="19503D3D" w14:textId="77777777" w:rsidR="00BF3A3A" w:rsidRDefault="00BF3A3A">
      <w:pPr>
        <w:spacing w:after="180"/>
        <w:jc w:val="both"/>
      </w:pPr>
    </w:p>
    <w:p w14:paraId="19503D3E" w14:textId="77777777" w:rsidR="00BF3A3A" w:rsidRDefault="00BF3A3A">
      <w:pPr>
        <w:spacing w:after="180"/>
        <w:jc w:val="both"/>
      </w:pPr>
    </w:p>
    <w:p w14:paraId="19503D3F" w14:textId="77777777" w:rsidR="00BF3A3A" w:rsidRDefault="00A76802">
      <w:pPr>
        <w:spacing w:after="180"/>
        <w:jc w:val="both"/>
      </w:pPr>
      <w:r>
        <w:rPr>
          <w:rFonts w:ascii="sans-serif" w:eastAsia="sans-serif" w:hAnsi="sans-serif" w:cs="sans-serif"/>
          <w:color w:val="000000"/>
          <w:sz w:val="20"/>
          <w:szCs w:val="20"/>
        </w:rPr>
        <w:t>For fiscal year 2023, we expect to use our existing cash and cash equivalents, our marketable securities, and the cash generated by our operations to fund our capital investments of approximately $1.80 billion to $2.00 billion related to pr</w:t>
      </w:r>
      <w:r>
        <w:rPr>
          <w:rFonts w:ascii="sans-serif" w:eastAsia="sans-serif" w:hAnsi="sans-serif" w:cs="sans-serif"/>
          <w:color w:val="000000"/>
          <w:sz w:val="20"/>
          <w:szCs w:val="20"/>
        </w:rPr>
        <w:t>operty and equipment.</w:t>
      </w:r>
    </w:p>
    <w:p w14:paraId="19503D40" w14:textId="77777777" w:rsidR="00BF3A3A" w:rsidRDefault="00A76802">
      <w:pPr>
        <w:spacing w:after="180"/>
        <w:jc w:val="both"/>
      </w:pPr>
      <w:r>
        <w:rPr>
          <w:rFonts w:ascii="sans-serif" w:eastAsia="sans-serif" w:hAnsi="sans-serif" w:cs="sans-serif"/>
          <w:color w:val="000000"/>
          <w:sz w:val="20"/>
          <w:szCs w:val="20"/>
        </w:rPr>
        <w:t>We have approximately $1.38 billion of cash, cash equivalents, and marketable securities held outside the U.S. for which we have not accrued any related foreign or state taxes if we repatriate these amounts to the U.S. Other than that</w:t>
      </w:r>
      <w:r>
        <w:rPr>
          <w:rFonts w:ascii="sans-serif" w:eastAsia="sans-serif" w:hAnsi="sans-serif" w:cs="sans-serif"/>
          <w:color w:val="000000"/>
          <w:sz w:val="20"/>
          <w:szCs w:val="20"/>
        </w:rPr>
        <w:t>, substantially all of our cash, cash equivalents and marketable securities held outside of the U.S. as of July 31, 2022 are available for use in the U.S. without incurring additional U.S. federal income taxes. We utilized almost all of our accumulated U.S</w:t>
      </w:r>
      <w:r>
        <w:rPr>
          <w:rFonts w:ascii="sans-serif" w:eastAsia="sans-serif" w:hAnsi="sans-serif" w:cs="sans-serif"/>
          <w:color w:val="000000"/>
          <w:sz w:val="20"/>
          <w:szCs w:val="20"/>
        </w:rPr>
        <w:t>. federal research tax credits during fiscal year 2022, which has resulted in higher cash tax payments starting in fiscal year 2023. In addition, beginning in fiscal year 2023, the 2017 Tax Cuts and Jobs Act requires taxpayers to capitalize research and de</w:t>
      </w:r>
      <w:r>
        <w:rPr>
          <w:rFonts w:ascii="sans-serif" w:eastAsia="sans-serif" w:hAnsi="sans-serif" w:cs="sans-serif"/>
          <w:color w:val="000000"/>
          <w:sz w:val="20"/>
          <w:szCs w:val="20"/>
        </w:rPr>
        <w:t>velopment expenditures and to amortize domestic expenditures over five years and foreign expenditures over fifteen years. This will impact cash flows from operations and will result in significantly higher cash tax payments starting in fiscal year 2023.</w:t>
      </w:r>
    </w:p>
    <w:p w14:paraId="19503D41" w14:textId="77777777" w:rsidR="00BF3A3A" w:rsidRDefault="00A76802">
      <w:pPr>
        <w:spacing w:before="120" w:after="120"/>
        <w:jc w:val="both"/>
      </w:pPr>
      <w:r>
        <w:rPr>
          <w:rFonts w:ascii="sans-serif" w:eastAsia="sans-serif" w:hAnsi="sans-serif" w:cs="sans-serif"/>
          <w:b/>
          <w:bCs/>
          <w:color w:val="000000"/>
          <w:sz w:val="20"/>
          <w:szCs w:val="20"/>
        </w:rPr>
        <w:t>Ca</w:t>
      </w:r>
      <w:r>
        <w:rPr>
          <w:rFonts w:ascii="sans-serif" w:eastAsia="sans-serif" w:hAnsi="sans-serif" w:cs="sans-serif"/>
          <w:b/>
          <w:bCs/>
          <w:color w:val="000000"/>
          <w:sz w:val="20"/>
          <w:szCs w:val="20"/>
        </w:rPr>
        <w:t>pital Return to Shareholders</w:t>
      </w:r>
    </w:p>
    <w:p w14:paraId="19503D42" w14:textId="77777777" w:rsidR="00BF3A3A" w:rsidRDefault="00A76802">
      <w:pPr>
        <w:spacing w:after="180"/>
        <w:jc w:val="both"/>
      </w:pPr>
      <w:r>
        <w:rPr>
          <w:rFonts w:ascii="sans-serif" w:eastAsia="sans-serif" w:hAnsi="sans-serif" w:cs="sans-serif"/>
          <w:color w:val="000000"/>
          <w:sz w:val="20"/>
          <w:szCs w:val="20"/>
        </w:rPr>
        <w:t>During the second quarter and first half of fiscal year 2023, we returned $3.35 billion and $5.34 billion, respectively, in share repurchases and $100 million and $200 million, respectively, in cash dividends.</w:t>
      </w:r>
    </w:p>
    <w:p w14:paraId="19503D43" w14:textId="77777777" w:rsidR="00BF3A3A" w:rsidRDefault="00A76802">
      <w:pPr>
        <w:spacing w:after="180"/>
        <w:jc w:val="both"/>
      </w:pPr>
      <w:r>
        <w:rPr>
          <w:rFonts w:ascii="sans-serif" w:eastAsia="sans-serif" w:hAnsi="sans-serif" w:cs="sans-serif"/>
          <w:color w:val="000000"/>
          <w:sz w:val="20"/>
          <w:szCs w:val="20"/>
        </w:rPr>
        <w:t>Our cash dividend</w:t>
      </w:r>
      <w:r>
        <w:rPr>
          <w:rFonts w:ascii="sans-serif" w:eastAsia="sans-serif" w:hAnsi="sans-serif" w:cs="sans-serif"/>
          <w:color w:val="000000"/>
          <w:sz w:val="20"/>
          <w:szCs w:val="20"/>
        </w:rPr>
        <w:t xml:space="preserve"> program and the payment of future cash dividends under that program are subject to the continuing determination by our Board of Directors that the dividend program and the declaration of dividends are in the best interests of our shareholders. </w:t>
      </w:r>
    </w:p>
    <w:p w14:paraId="19503D44" w14:textId="77777777" w:rsidR="00BF3A3A" w:rsidRDefault="00A76802">
      <w:pPr>
        <w:spacing w:after="180"/>
        <w:jc w:val="both"/>
      </w:pPr>
      <w:r>
        <w:rPr>
          <w:rFonts w:ascii="sans-serif" w:eastAsia="sans-serif" w:hAnsi="sans-serif" w:cs="sans-serif"/>
          <w:b/>
          <w:bCs/>
          <w:color w:val="000000"/>
          <w:sz w:val="20"/>
          <w:szCs w:val="20"/>
        </w:rPr>
        <w:t>Outstandin</w:t>
      </w:r>
      <w:r>
        <w:rPr>
          <w:rFonts w:ascii="sans-serif" w:eastAsia="sans-serif" w:hAnsi="sans-serif" w:cs="sans-serif"/>
          <w:b/>
          <w:bCs/>
          <w:color w:val="000000"/>
          <w:sz w:val="20"/>
          <w:szCs w:val="20"/>
        </w:rPr>
        <w:t>g Indebtedness and Commercial Paper</w:t>
      </w:r>
    </w:p>
    <w:p w14:paraId="19503D45" w14:textId="77777777" w:rsidR="00BF3A3A" w:rsidRDefault="00A76802">
      <w:pPr>
        <w:spacing w:before="120" w:after="120"/>
        <w:jc w:val="both"/>
      </w:pPr>
      <w:r>
        <w:rPr>
          <w:rFonts w:ascii="sans-serif" w:eastAsia="sans-serif" w:hAnsi="sans-serif" w:cs="sans-serif"/>
          <w:color w:val="000000"/>
          <w:sz w:val="20"/>
          <w:szCs w:val="20"/>
        </w:rPr>
        <w:t xml:space="preserve">As of July 31, 2022, we had outstanding: </w:t>
      </w:r>
    </w:p>
    <w:p w14:paraId="19503D46" w14:textId="77777777" w:rsidR="00BF3A3A" w:rsidRDefault="00A76802">
      <w:pPr>
        <w:spacing w:after="120"/>
        <w:ind w:hanging="360"/>
        <w:jc w:val="both"/>
      </w:pPr>
      <w:r>
        <w:rPr>
          <w:rFonts w:ascii="sans-serif" w:eastAsia="sans-serif" w:hAnsi="sans-serif" w:cs="sans-serif"/>
          <w:color w:val="000000"/>
          <w:sz w:val="20"/>
          <w:szCs w:val="20"/>
        </w:rPr>
        <w:t>•$1.25 billion of Notes Due 2023;</w:t>
      </w:r>
    </w:p>
    <w:p w14:paraId="19503D47" w14:textId="77777777" w:rsidR="00BF3A3A" w:rsidRDefault="00A76802">
      <w:pPr>
        <w:spacing w:after="120"/>
        <w:ind w:hanging="360"/>
        <w:jc w:val="both"/>
      </w:pPr>
      <w:r>
        <w:rPr>
          <w:rFonts w:ascii="sans-serif" w:eastAsia="sans-serif" w:hAnsi="sans-serif" w:cs="sans-serif"/>
          <w:color w:val="000000"/>
          <w:sz w:val="20"/>
          <w:szCs w:val="20"/>
        </w:rPr>
        <w:t>•$1.25 billion of Notes Due 2024;</w:t>
      </w:r>
    </w:p>
    <w:p w14:paraId="19503D48" w14:textId="77777777" w:rsidR="00BF3A3A" w:rsidRDefault="00A76802">
      <w:pPr>
        <w:spacing w:after="120"/>
        <w:ind w:hanging="360"/>
        <w:jc w:val="both"/>
      </w:pPr>
      <w:r>
        <w:rPr>
          <w:rFonts w:ascii="sans-serif" w:eastAsia="sans-serif" w:hAnsi="sans-serif" w:cs="sans-serif"/>
          <w:color w:val="000000"/>
          <w:sz w:val="20"/>
          <w:szCs w:val="20"/>
        </w:rPr>
        <w:t>•$1.00 billion of Notes Due 2026;</w:t>
      </w:r>
    </w:p>
    <w:p w14:paraId="19503D49" w14:textId="77777777" w:rsidR="00BF3A3A" w:rsidRDefault="00A76802">
      <w:pPr>
        <w:spacing w:after="120"/>
        <w:ind w:hanging="360"/>
        <w:jc w:val="both"/>
      </w:pPr>
      <w:r>
        <w:rPr>
          <w:rFonts w:ascii="sans-serif" w:eastAsia="sans-serif" w:hAnsi="sans-serif" w:cs="sans-serif"/>
          <w:color w:val="000000"/>
          <w:sz w:val="20"/>
          <w:szCs w:val="20"/>
        </w:rPr>
        <w:t>•$1.25 billion of Notes Due 2028;</w:t>
      </w:r>
    </w:p>
    <w:p w14:paraId="19503D4A" w14:textId="77777777" w:rsidR="00BF3A3A" w:rsidRDefault="00A76802">
      <w:pPr>
        <w:spacing w:after="120"/>
        <w:ind w:hanging="360"/>
        <w:jc w:val="both"/>
      </w:pPr>
      <w:r>
        <w:rPr>
          <w:rFonts w:ascii="sans-serif" w:eastAsia="sans-serif" w:hAnsi="sans-serif" w:cs="sans-serif"/>
          <w:color w:val="000000"/>
          <w:sz w:val="20"/>
          <w:szCs w:val="20"/>
        </w:rPr>
        <w:t>•$1.50 billion of Notes Due 2030;</w:t>
      </w:r>
    </w:p>
    <w:p w14:paraId="19503D4B" w14:textId="77777777" w:rsidR="00BF3A3A" w:rsidRDefault="00A76802">
      <w:pPr>
        <w:spacing w:after="120"/>
        <w:ind w:hanging="360"/>
        <w:jc w:val="both"/>
      </w:pPr>
      <w:r>
        <w:rPr>
          <w:rFonts w:ascii="sans-serif" w:eastAsia="sans-serif" w:hAnsi="sans-serif" w:cs="sans-serif"/>
          <w:color w:val="000000"/>
          <w:sz w:val="20"/>
          <w:szCs w:val="20"/>
        </w:rPr>
        <w:t>•$1.25 b</w:t>
      </w:r>
      <w:r>
        <w:rPr>
          <w:rFonts w:ascii="sans-serif" w:eastAsia="sans-serif" w:hAnsi="sans-serif" w:cs="sans-serif"/>
          <w:color w:val="000000"/>
          <w:sz w:val="20"/>
          <w:szCs w:val="20"/>
        </w:rPr>
        <w:t xml:space="preserve">illion of Notes Due 2031; </w:t>
      </w:r>
    </w:p>
    <w:p w14:paraId="19503D4C" w14:textId="77777777" w:rsidR="00BF3A3A" w:rsidRDefault="00A76802">
      <w:pPr>
        <w:spacing w:after="120"/>
        <w:ind w:hanging="360"/>
        <w:jc w:val="both"/>
      </w:pPr>
      <w:r>
        <w:rPr>
          <w:rFonts w:ascii="sans-serif" w:eastAsia="sans-serif" w:hAnsi="sans-serif" w:cs="sans-serif"/>
          <w:color w:val="000000"/>
          <w:sz w:val="20"/>
          <w:szCs w:val="20"/>
        </w:rPr>
        <w:t>•$1.00 billion of Notes Due 2040;</w:t>
      </w:r>
    </w:p>
    <w:p w14:paraId="19503D4D" w14:textId="77777777" w:rsidR="00BF3A3A" w:rsidRDefault="00A76802">
      <w:pPr>
        <w:spacing w:after="120"/>
        <w:ind w:hanging="360"/>
        <w:jc w:val="both"/>
      </w:pPr>
      <w:r>
        <w:rPr>
          <w:rFonts w:ascii="sans-serif" w:eastAsia="sans-serif" w:hAnsi="sans-serif" w:cs="sans-serif"/>
          <w:color w:val="000000"/>
          <w:sz w:val="20"/>
          <w:szCs w:val="20"/>
        </w:rPr>
        <w:t>•$2.00 billion of Notes Due 2050; and</w:t>
      </w:r>
    </w:p>
    <w:p w14:paraId="19503D4E" w14:textId="77777777" w:rsidR="00BF3A3A" w:rsidRDefault="00A76802">
      <w:pPr>
        <w:spacing w:after="120"/>
        <w:ind w:hanging="360"/>
        <w:jc w:val="both"/>
      </w:pPr>
      <w:r>
        <w:rPr>
          <w:rFonts w:ascii="sans-serif" w:eastAsia="sans-serif" w:hAnsi="sans-serif" w:cs="sans-serif"/>
          <w:color w:val="000000"/>
          <w:sz w:val="20"/>
          <w:szCs w:val="20"/>
        </w:rPr>
        <w:t>•$500 million of Notes Due 2060.</w:t>
      </w:r>
    </w:p>
    <w:p w14:paraId="19503D4F" w14:textId="77777777" w:rsidR="00BF3A3A" w:rsidRDefault="00A76802">
      <w:pPr>
        <w:spacing w:before="120" w:after="120"/>
        <w:jc w:val="both"/>
      </w:pPr>
      <w:r>
        <w:rPr>
          <w:rFonts w:ascii="sans-serif" w:eastAsia="sans-serif" w:hAnsi="sans-serif" w:cs="sans-serif"/>
          <w:color w:val="000000"/>
          <w:sz w:val="20"/>
          <w:szCs w:val="20"/>
        </w:rPr>
        <w:t>We have a $575 million commercial paper program to support general corporate purposes. As of July 31, 2022, we had not issue</w:t>
      </w:r>
      <w:r>
        <w:rPr>
          <w:rFonts w:ascii="sans-serif" w:eastAsia="sans-serif" w:hAnsi="sans-serif" w:cs="sans-serif"/>
          <w:color w:val="000000"/>
          <w:sz w:val="20"/>
          <w:szCs w:val="20"/>
        </w:rPr>
        <w:t>d any commercial paper.</w:t>
      </w:r>
    </w:p>
    <w:p w14:paraId="19503D50" w14:textId="77777777" w:rsidR="00BF3A3A" w:rsidRDefault="00A76802">
      <w:pPr>
        <w:spacing w:before="120" w:after="120"/>
        <w:jc w:val="both"/>
      </w:pPr>
      <w:r>
        <w:rPr>
          <w:rFonts w:ascii="sans-serif" w:eastAsia="sans-serif" w:hAnsi="sans-serif" w:cs="sans-serif"/>
          <w:b/>
          <w:bCs/>
          <w:color w:val="000000"/>
          <w:sz w:val="20"/>
          <w:szCs w:val="20"/>
        </w:rPr>
        <w:t>Contractual Obligations</w:t>
      </w:r>
    </w:p>
    <w:p w14:paraId="19503D51" w14:textId="77777777" w:rsidR="00BF3A3A" w:rsidRDefault="00A76802">
      <w:pPr>
        <w:spacing w:before="120" w:after="120"/>
        <w:jc w:val="both"/>
      </w:pPr>
      <w:r>
        <w:rPr>
          <w:rFonts w:ascii="sans-serif" w:eastAsia="sans-serif" w:hAnsi="sans-serif" w:cs="sans-serif"/>
          <w:color w:val="000000"/>
          <w:sz w:val="20"/>
          <w:szCs w:val="20"/>
        </w:rPr>
        <w:t xml:space="preserve">We have unrecognized tax benefits of $834 million, which includes related interest and penalties of $72 million recorded in non-current income tax payable as of July 31, 2022. We are unable to </w:t>
      </w:r>
      <w:r>
        <w:rPr>
          <w:rFonts w:ascii="sans-serif" w:eastAsia="sans-serif" w:hAnsi="sans-serif" w:cs="sans-serif"/>
          <w:color w:val="000000"/>
          <w:sz w:val="20"/>
          <w:szCs w:val="20"/>
        </w:rPr>
        <w:t>reasonably estimate the timing of any potential tax liability, interest payments, or penalties in individual years due to uncertainties in the underlying income tax positions and the timing of the effective settlement of such tax positions. We are currentl</w:t>
      </w:r>
      <w:r>
        <w:rPr>
          <w:rFonts w:ascii="sans-serif" w:eastAsia="sans-serif" w:hAnsi="sans-serif" w:cs="sans-serif"/>
          <w:color w:val="000000"/>
          <w:sz w:val="20"/>
          <w:szCs w:val="20"/>
        </w:rPr>
        <w:t>y under examination by the Internal Revenue Service for our fiscal years 2018 and 2019. Refer to Note 6 of the Notes to Condensed Consolidated Financial Statements for further information.</w:t>
      </w:r>
    </w:p>
    <w:p w14:paraId="19503D52" w14:textId="77777777" w:rsidR="00BF3A3A" w:rsidRDefault="00A76802">
      <w:pPr>
        <w:spacing w:before="120" w:after="120"/>
        <w:jc w:val="both"/>
      </w:pPr>
      <w:r>
        <w:rPr>
          <w:rFonts w:ascii="sans-serif" w:eastAsia="sans-serif" w:hAnsi="sans-serif" w:cs="sans-serif"/>
          <w:color w:val="000000"/>
          <w:sz w:val="20"/>
          <w:szCs w:val="20"/>
        </w:rPr>
        <w:t xml:space="preserve">Other than the contractual obligations described above, there were </w:t>
      </w:r>
      <w:r>
        <w:rPr>
          <w:rFonts w:ascii="sans-serif" w:eastAsia="sans-serif" w:hAnsi="sans-serif" w:cs="sans-serif"/>
          <w:color w:val="000000"/>
          <w:sz w:val="20"/>
          <w:szCs w:val="20"/>
        </w:rPr>
        <w:t>no material changes outside the ordinary course of business in our contractual obligations from those disclosed in our Annual Report on Form 10-K for the fiscal year ended January 30, 2022. Refer to Item 7, “Management’s Discussion and Analysis of Financia</w:t>
      </w:r>
      <w:r>
        <w:rPr>
          <w:rFonts w:ascii="sans-serif" w:eastAsia="sans-serif" w:hAnsi="sans-serif" w:cs="sans-serif"/>
          <w:color w:val="000000"/>
          <w:sz w:val="20"/>
          <w:szCs w:val="20"/>
        </w:rPr>
        <w:t>l Condition and Results of Operations - Liquidity and Capital Resources” in our Annual Report on Form 10-K for the fiscal year ended January 30, 2022 for a description of our contractual obligations. For a description of our operating lease obligations, lo</w:t>
      </w:r>
      <w:r>
        <w:rPr>
          <w:rFonts w:ascii="sans-serif" w:eastAsia="sans-serif" w:hAnsi="sans-serif" w:cs="sans-serif"/>
          <w:color w:val="000000"/>
          <w:sz w:val="20"/>
          <w:szCs w:val="20"/>
        </w:rPr>
        <w:t>ng-term debt, and purchase obligations, refer to Note 3, Note 12, and Note 13 of the Notes to Condensed Consolidated Financial Statements, respectively.</w:t>
      </w:r>
    </w:p>
    <w:p w14:paraId="19503D53" w14:textId="77777777" w:rsidR="00BF3A3A" w:rsidRDefault="00A76802">
      <w:pPr>
        <w:spacing w:after="180"/>
        <w:jc w:val="center"/>
      </w:pPr>
      <w:r>
        <w:rPr>
          <w:rFonts w:ascii="sans-serif" w:eastAsia="sans-serif" w:hAnsi="sans-serif" w:cs="sans-serif"/>
          <w:color w:val="000000"/>
          <w:sz w:val="20"/>
          <w:szCs w:val="20"/>
        </w:rPr>
        <w:t>32</w:t>
      </w:r>
    </w:p>
    <w:p w14:paraId="19503D54" w14:textId="77777777" w:rsidR="00BF3A3A" w:rsidRDefault="00A76802">
      <w:r>
        <w:pict w14:anchorId="19503FE5">
          <v:rect id="_x0000_i1056" style="width:415.3pt;height:1.5pt" o:hralign="center" o:hrstd="t" o:hr="t" fillcolor="#a0a0a0" stroked="f"/>
        </w:pict>
      </w:r>
    </w:p>
    <w:p w14:paraId="19503D55" w14:textId="77777777" w:rsidR="00BF3A3A" w:rsidRDefault="00BF3A3A">
      <w:pPr>
        <w:spacing w:after="180"/>
        <w:jc w:val="both"/>
      </w:pPr>
    </w:p>
    <w:p w14:paraId="19503D56" w14:textId="77777777" w:rsidR="00BF3A3A" w:rsidRDefault="00BF3A3A">
      <w:pPr>
        <w:spacing w:after="180"/>
        <w:jc w:val="both"/>
      </w:pPr>
    </w:p>
    <w:p w14:paraId="19503D57" w14:textId="77777777" w:rsidR="00BF3A3A" w:rsidRDefault="00BF3A3A">
      <w:pPr>
        <w:spacing w:after="180"/>
        <w:jc w:val="both"/>
      </w:pPr>
    </w:p>
    <w:p w14:paraId="19503D58" w14:textId="77777777" w:rsidR="00BF3A3A" w:rsidRDefault="00A76802">
      <w:pPr>
        <w:spacing w:before="240" w:after="120"/>
        <w:jc w:val="both"/>
      </w:pPr>
      <w:r>
        <w:rPr>
          <w:rFonts w:ascii="sans-serif" w:eastAsia="sans-serif" w:hAnsi="sans-serif" w:cs="sans-serif"/>
          <w:b/>
          <w:bCs/>
          <w:color w:val="76B900"/>
          <w:sz w:val="22"/>
          <w:szCs w:val="22"/>
        </w:rPr>
        <w:t>Climate Change</w:t>
      </w:r>
    </w:p>
    <w:p w14:paraId="19503D59" w14:textId="77777777" w:rsidR="00BF3A3A" w:rsidRDefault="00A76802">
      <w:pPr>
        <w:spacing w:after="180"/>
        <w:jc w:val="both"/>
      </w:pPr>
      <w:r>
        <w:rPr>
          <w:rFonts w:ascii="sans-serif" w:eastAsia="sans-serif" w:hAnsi="sans-serif" w:cs="sans-serif"/>
          <w:color w:val="000000"/>
          <w:sz w:val="20"/>
          <w:szCs w:val="20"/>
        </w:rPr>
        <w:t>To date, there has been no material impact to our results of operations associat</w:t>
      </w:r>
      <w:r>
        <w:rPr>
          <w:rFonts w:ascii="sans-serif" w:eastAsia="sans-serif" w:hAnsi="sans-serif" w:cs="sans-serif"/>
          <w:color w:val="000000"/>
          <w:sz w:val="20"/>
          <w:szCs w:val="20"/>
        </w:rPr>
        <w:t>ed with global sustainability regulations, compliance, costs from sourcing renewable energy or climate-related business trends. There are no material current climate change regulations impacting us, however, we are monitoring potential regulation changes i</w:t>
      </w:r>
      <w:r>
        <w:rPr>
          <w:rFonts w:ascii="sans-serif" w:eastAsia="sans-serif" w:hAnsi="sans-serif" w:cs="sans-serif"/>
          <w:color w:val="000000"/>
          <w:sz w:val="20"/>
          <w:szCs w:val="20"/>
        </w:rPr>
        <w:t>n California, the United States, the United Kingdom, the European Union and other jurisdictions. We believe that climate change has not had a material impact to our revenue to date. We have not experienced any significant physical effects of climate change</w:t>
      </w:r>
      <w:r>
        <w:rPr>
          <w:rFonts w:ascii="sans-serif" w:eastAsia="sans-serif" w:hAnsi="sans-serif" w:cs="sans-serif"/>
          <w:color w:val="000000"/>
          <w:sz w:val="20"/>
          <w:szCs w:val="20"/>
        </w:rPr>
        <w:t xml:space="preserve"> to date on our operations and results, nor any significant impacts on the cost or availability of insurance. </w:t>
      </w:r>
    </w:p>
    <w:p w14:paraId="19503D5A" w14:textId="77777777" w:rsidR="00BF3A3A" w:rsidRDefault="00A76802">
      <w:pPr>
        <w:spacing w:before="240" w:after="120"/>
        <w:jc w:val="both"/>
      </w:pPr>
      <w:r>
        <w:rPr>
          <w:rFonts w:ascii="sans-serif" w:eastAsia="sans-serif" w:hAnsi="sans-serif" w:cs="sans-serif"/>
          <w:b/>
          <w:bCs/>
          <w:color w:val="76B900"/>
          <w:sz w:val="22"/>
          <w:szCs w:val="22"/>
        </w:rPr>
        <w:t>Adoption of New and Recently Issued Accounting Pronouncements</w:t>
      </w:r>
    </w:p>
    <w:p w14:paraId="19503D5B" w14:textId="77777777" w:rsidR="00BF3A3A" w:rsidRDefault="00A76802">
      <w:pPr>
        <w:spacing w:after="180"/>
        <w:jc w:val="both"/>
      </w:pPr>
      <w:r>
        <w:rPr>
          <w:rFonts w:ascii="sans-serif" w:eastAsia="sans-serif" w:hAnsi="sans-serif" w:cs="sans-serif"/>
          <w:color w:val="000000"/>
          <w:sz w:val="20"/>
          <w:szCs w:val="20"/>
        </w:rPr>
        <w:t>Refer to Note 1 of the Notes to Condensed Consolidated Financial Statements for a d</w:t>
      </w:r>
      <w:r>
        <w:rPr>
          <w:rFonts w:ascii="sans-serif" w:eastAsia="sans-serif" w:hAnsi="sans-serif" w:cs="sans-serif"/>
          <w:color w:val="000000"/>
          <w:sz w:val="20"/>
          <w:szCs w:val="20"/>
        </w:rPr>
        <w:t>iscussion of adoption of a new and recently issued accounting pronouncement.</w:t>
      </w:r>
    </w:p>
    <w:p w14:paraId="19503D5C" w14:textId="77777777" w:rsidR="00BF3A3A" w:rsidRDefault="00A76802">
      <w:pPr>
        <w:spacing w:before="240" w:after="120"/>
        <w:jc w:val="both"/>
      </w:pPr>
      <w:r>
        <w:rPr>
          <w:rFonts w:ascii="sans-serif" w:eastAsia="sans-serif" w:hAnsi="sans-serif" w:cs="sans-serif"/>
          <w:b/>
          <w:bCs/>
          <w:color w:val="76B900"/>
          <w:sz w:val="22"/>
          <w:szCs w:val="22"/>
        </w:rPr>
        <w:t>ITEM 3. QUANTITATIVE AND QUALITATIVE DISCLOSURES ABOUT MARKET RISK</w:t>
      </w:r>
    </w:p>
    <w:p w14:paraId="19503D5D" w14:textId="77777777" w:rsidR="00BF3A3A" w:rsidRDefault="00A76802">
      <w:pPr>
        <w:spacing w:before="240" w:after="60"/>
        <w:jc w:val="both"/>
      </w:pPr>
      <w:r>
        <w:rPr>
          <w:rFonts w:ascii="sans-serif" w:eastAsia="sans-serif" w:hAnsi="sans-serif" w:cs="sans-serif"/>
          <w:b/>
          <w:bCs/>
          <w:color w:val="76B900"/>
          <w:sz w:val="20"/>
          <w:szCs w:val="20"/>
        </w:rPr>
        <w:t>Investment and Interest Rate Risk</w:t>
      </w:r>
    </w:p>
    <w:p w14:paraId="19503D5E" w14:textId="77777777" w:rsidR="00BF3A3A" w:rsidRDefault="00A76802">
      <w:pPr>
        <w:spacing w:after="180"/>
        <w:jc w:val="both"/>
      </w:pPr>
      <w:r>
        <w:rPr>
          <w:rFonts w:ascii="sans-serif" w:eastAsia="sans-serif" w:hAnsi="sans-serif" w:cs="sans-serif"/>
          <w:color w:val="000000"/>
          <w:sz w:val="20"/>
          <w:szCs w:val="20"/>
        </w:rPr>
        <w:t>Financial market risks related to investment and interest rate risk are descri</w:t>
      </w:r>
      <w:r>
        <w:rPr>
          <w:rFonts w:ascii="sans-serif" w:eastAsia="sans-serif" w:hAnsi="sans-serif" w:cs="sans-serif"/>
          <w:color w:val="000000"/>
          <w:sz w:val="20"/>
          <w:szCs w:val="20"/>
        </w:rPr>
        <w:t>bed in our Annual Report on Form 10-K for the fiscal year ended January 30, 2022. As of July 31, 2022, there have been no material changes, including the impact of the COVID-19 pandemic, to the financial market risks described as of January 30, 2022.</w:t>
      </w:r>
    </w:p>
    <w:p w14:paraId="19503D5F" w14:textId="77777777" w:rsidR="00BF3A3A" w:rsidRDefault="00A76802">
      <w:pPr>
        <w:spacing w:before="240" w:after="60"/>
        <w:jc w:val="both"/>
      </w:pPr>
      <w:r>
        <w:rPr>
          <w:rFonts w:ascii="sans-serif" w:eastAsia="sans-serif" w:hAnsi="sans-serif" w:cs="sans-serif"/>
          <w:b/>
          <w:bCs/>
          <w:color w:val="76B900"/>
          <w:sz w:val="20"/>
          <w:szCs w:val="20"/>
        </w:rPr>
        <w:t>Forei</w:t>
      </w:r>
      <w:r>
        <w:rPr>
          <w:rFonts w:ascii="sans-serif" w:eastAsia="sans-serif" w:hAnsi="sans-serif" w:cs="sans-serif"/>
          <w:b/>
          <w:bCs/>
          <w:color w:val="76B900"/>
          <w:sz w:val="20"/>
          <w:szCs w:val="20"/>
        </w:rPr>
        <w:t xml:space="preserve">gn Exchange Rate Risk </w:t>
      </w:r>
    </w:p>
    <w:p w14:paraId="19503D60" w14:textId="77777777" w:rsidR="00BF3A3A" w:rsidRDefault="00A76802">
      <w:pPr>
        <w:spacing w:after="180"/>
        <w:jc w:val="both"/>
      </w:pPr>
      <w:r>
        <w:rPr>
          <w:rFonts w:ascii="sans-serif" w:eastAsia="sans-serif" w:hAnsi="sans-serif" w:cs="sans-serif"/>
          <w:color w:val="000000"/>
          <w:sz w:val="20"/>
          <w:szCs w:val="20"/>
        </w:rPr>
        <w:t>The impact of foreign currency transactions related to foreign exchange rate risk is described in our Annual Report on Form 10-K for the fiscal year ended January 30, 2022. As of July 31, 2022, there have been no material changes, in</w:t>
      </w:r>
      <w:r>
        <w:rPr>
          <w:rFonts w:ascii="sans-serif" w:eastAsia="sans-serif" w:hAnsi="sans-serif" w:cs="sans-serif"/>
          <w:color w:val="000000"/>
          <w:sz w:val="20"/>
          <w:szCs w:val="20"/>
        </w:rPr>
        <w:t>cluding the impact of the COVID-19 pandemic, to the foreign exchange rate risks described as of January 30, 2022.</w:t>
      </w:r>
    </w:p>
    <w:p w14:paraId="19503D61" w14:textId="77777777" w:rsidR="00BF3A3A" w:rsidRDefault="00A76802">
      <w:pPr>
        <w:spacing w:after="180"/>
        <w:jc w:val="both"/>
      </w:pPr>
      <w:r>
        <w:rPr>
          <w:rFonts w:ascii="sans-serif" w:eastAsia="sans-serif" w:hAnsi="sans-serif" w:cs="sans-serif"/>
          <w:color w:val="000000"/>
          <w:sz w:val="20"/>
          <w:szCs w:val="20"/>
        </w:rPr>
        <w:t>Refer to Note 11 of the Notes to Condensed Consolidated Financial Statements for additional information.</w:t>
      </w:r>
    </w:p>
    <w:p w14:paraId="19503D62" w14:textId="77777777" w:rsidR="00BF3A3A" w:rsidRDefault="00A76802">
      <w:pPr>
        <w:spacing w:before="240" w:after="120"/>
        <w:jc w:val="both"/>
      </w:pPr>
      <w:r>
        <w:rPr>
          <w:rFonts w:ascii="sans-serif" w:eastAsia="sans-serif" w:hAnsi="sans-serif" w:cs="sans-serif"/>
          <w:b/>
          <w:bCs/>
          <w:color w:val="76B900"/>
          <w:sz w:val="22"/>
          <w:szCs w:val="22"/>
        </w:rPr>
        <w:t>ITEM 4. CONTROLS AND PROCEDURES</w:t>
      </w:r>
    </w:p>
    <w:p w14:paraId="19503D63" w14:textId="77777777" w:rsidR="00BF3A3A" w:rsidRDefault="00A76802">
      <w:pPr>
        <w:spacing w:before="240" w:after="60"/>
        <w:jc w:val="both"/>
      </w:pPr>
      <w:r>
        <w:rPr>
          <w:rFonts w:ascii="sans-serif" w:eastAsia="sans-serif" w:hAnsi="sans-serif" w:cs="sans-serif"/>
          <w:b/>
          <w:bCs/>
          <w:color w:val="76B900"/>
          <w:sz w:val="20"/>
          <w:szCs w:val="20"/>
        </w:rPr>
        <w:t>Contr</w:t>
      </w:r>
      <w:r>
        <w:rPr>
          <w:rFonts w:ascii="sans-serif" w:eastAsia="sans-serif" w:hAnsi="sans-serif" w:cs="sans-serif"/>
          <w:b/>
          <w:bCs/>
          <w:color w:val="76B900"/>
          <w:sz w:val="20"/>
          <w:szCs w:val="20"/>
        </w:rPr>
        <w:t>ols and Procedures</w:t>
      </w:r>
    </w:p>
    <w:p w14:paraId="19503D64" w14:textId="77777777" w:rsidR="00BF3A3A" w:rsidRDefault="00A76802">
      <w:pPr>
        <w:spacing w:before="120" w:after="120"/>
        <w:jc w:val="both"/>
      </w:pPr>
      <w:r>
        <w:rPr>
          <w:rFonts w:ascii="sans-serif" w:eastAsia="sans-serif" w:hAnsi="sans-serif" w:cs="sans-serif"/>
          <w:b/>
          <w:bCs/>
          <w:color w:val="000000"/>
          <w:sz w:val="20"/>
          <w:szCs w:val="20"/>
        </w:rPr>
        <w:t>Disclosure Controls and Procedures</w:t>
      </w:r>
    </w:p>
    <w:p w14:paraId="19503D65" w14:textId="77777777" w:rsidR="00BF3A3A" w:rsidRDefault="00A76802">
      <w:pPr>
        <w:spacing w:after="180"/>
        <w:jc w:val="both"/>
      </w:pPr>
      <w:r>
        <w:rPr>
          <w:rFonts w:ascii="sans-serif" w:eastAsia="sans-serif" w:hAnsi="sans-serif" w:cs="sans-serif"/>
          <w:color w:val="000000"/>
          <w:sz w:val="20"/>
          <w:szCs w:val="20"/>
        </w:rPr>
        <w:t>Based on their evaluation as of July 31, 2022, our management, including our Chief Executive Officer and Chief Financial Officer, has concluded that our disclosure controls and procedures (as defined in</w:t>
      </w:r>
      <w:r>
        <w:rPr>
          <w:rFonts w:ascii="sans-serif" w:eastAsia="sans-serif" w:hAnsi="sans-serif" w:cs="sans-serif"/>
          <w:color w:val="000000"/>
          <w:sz w:val="20"/>
          <w:szCs w:val="20"/>
        </w:rPr>
        <w:t xml:space="preserve"> Rule 13a-15 under the Securities Exchange Act of 1934, as amended) were effective to provide reasonable assurance.</w:t>
      </w:r>
    </w:p>
    <w:p w14:paraId="19503D66" w14:textId="77777777" w:rsidR="00BF3A3A" w:rsidRDefault="00A76802">
      <w:pPr>
        <w:spacing w:before="120" w:after="120"/>
        <w:jc w:val="both"/>
      </w:pPr>
      <w:r>
        <w:rPr>
          <w:rFonts w:ascii="sans-serif" w:eastAsia="sans-serif" w:hAnsi="sans-serif" w:cs="sans-serif"/>
          <w:b/>
          <w:bCs/>
          <w:color w:val="000000"/>
          <w:sz w:val="20"/>
          <w:szCs w:val="20"/>
        </w:rPr>
        <w:t>Changes in Internal Control Over Financial Reporting</w:t>
      </w:r>
    </w:p>
    <w:p w14:paraId="19503D67" w14:textId="77777777" w:rsidR="00BF3A3A" w:rsidRDefault="00A76802">
      <w:pPr>
        <w:spacing w:after="180"/>
        <w:jc w:val="both"/>
      </w:pPr>
      <w:r>
        <w:rPr>
          <w:rFonts w:ascii="sans-serif" w:eastAsia="sans-serif" w:hAnsi="sans-serif" w:cs="sans-serif"/>
          <w:color w:val="000000"/>
          <w:sz w:val="20"/>
          <w:szCs w:val="20"/>
        </w:rPr>
        <w:t>In fiscal year 2022, we began an upgrade of our enterprise resource planning, or ERP, s</w:t>
      </w:r>
      <w:r>
        <w:rPr>
          <w:rFonts w:ascii="sans-serif" w:eastAsia="sans-serif" w:hAnsi="sans-serif" w:cs="sans-serif"/>
          <w:color w:val="000000"/>
          <w:sz w:val="20"/>
          <w:szCs w:val="20"/>
        </w:rPr>
        <w:t>ystem, which will update much of our existing core financial systems. The ERP system is designed to accurately maintain our financial records used to report operating results. The upgrade will occur in phases. During the second quarter of fiscal year 2023,</w:t>
      </w:r>
      <w:r>
        <w:rPr>
          <w:rFonts w:ascii="sans-serif" w:eastAsia="sans-serif" w:hAnsi="sans-serif" w:cs="sans-serif"/>
          <w:color w:val="000000"/>
          <w:sz w:val="20"/>
          <w:szCs w:val="20"/>
        </w:rPr>
        <w:t xml:space="preserve"> we completed the consolidated financial reporting phase of the implementation, which included updating our internal control over financial reporting. We will continue to evaluate each quarter whether there are changes that materially affect our internal c</w:t>
      </w:r>
      <w:r>
        <w:rPr>
          <w:rFonts w:ascii="sans-serif" w:eastAsia="sans-serif" w:hAnsi="sans-serif" w:cs="sans-serif"/>
          <w:color w:val="000000"/>
          <w:sz w:val="20"/>
          <w:szCs w:val="20"/>
        </w:rPr>
        <w:t>ontrol over financial reporting. There were no other changes that occurred during the second quarter of fiscal year 2023 that have materially affected, or are reasonably likely to materially affect, our internal control over financial reporting.</w:t>
      </w:r>
    </w:p>
    <w:p w14:paraId="19503D68" w14:textId="77777777" w:rsidR="00BF3A3A" w:rsidRDefault="00A76802">
      <w:pPr>
        <w:spacing w:before="120" w:after="120"/>
        <w:jc w:val="both"/>
      </w:pPr>
      <w:r>
        <w:rPr>
          <w:rFonts w:ascii="sans-serif" w:eastAsia="sans-serif" w:hAnsi="sans-serif" w:cs="sans-serif"/>
          <w:b/>
          <w:bCs/>
          <w:color w:val="000000"/>
          <w:sz w:val="20"/>
          <w:szCs w:val="20"/>
        </w:rPr>
        <w:t>Inherent L</w:t>
      </w:r>
      <w:r>
        <w:rPr>
          <w:rFonts w:ascii="sans-serif" w:eastAsia="sans-serif" w:hAnsi="sans-serif" w:cs="sans-serif"/>
          <w:b/>
          <w:bCs/>
          <w:color w:val="000000"/>
          <w:sz w:val="20"/>
          <w:szCs w:val="20"/>
        </w:rPr>
        <w:t>imitations on Effectiveness of Controls</w:t>
      </w:r>
    </w:p>
    <w:p w14:paraId="19503D69" w14:textId="77777777" w:rsidR="00BF3A3A" w:rsidRDefault="00A76802">
      <w:pPr>
        <w:spacing w:after="180"/>
        <w:jc w:val="both"/>
      </w:pPr>
      <w:r>
        <w:rPr>
          <w:rFonts w:ascii="sans-serif" w:eastAsia="sans-serif" w:hAnsi="sans-serif" w:cs="sans-serif"/>
          <w:color w:val="000000"/>
          <w:sz w:val="20"/>
          <w:szCs w:val="20"/>
        </w:rPr>
        <w:t xml:space="preserve">Our management, including our Chief Executive Officer and Chief Financial Officer, does not expect that our disclosure controls and procedures or our internal controls, will prevent all error and all fraud. A </w:t>
      </w:r>
      <w:r>
        <w:rPr>
          <w:rFonts w:ascii="sans-serif" w:eastAsia="sans-serif" w:hAnsi="sans-serif" w:cs="sans-serif"/>
          <w:color w:val="000000"/>
          <w:sz w:val="20"/>
          <w:szCs w:val="20"/>
        </w:rPr>
        <w:t>control system, no matter how well conceived and operated, can provide only reasonable, not absolute, assurance that the objectives of the control system are met. Further, the design of a control system must reflect the fact that there are resource constra</w:t>
      </w:r>
      <w:r>
        <w:rPr>
          <w:rFonts w:ascii="sans-serif" w:eastAsia="sans-serif" w:hAnsi="sans-serif" w:cs="sans-serif"/>
          <w:color w:val="000000"/>
          <w:sz w:val="20"/>
          <w:szCs w:val="20"/>
        </w:rPr>
        <w:t>ints, and the benefits of controls must be considered relative to their costs. Because of the inherent limitations in all control systems, no evaluation of controls can provide absolute assurance that all control issues and instances of fraud, if any, with</w:t>
      </w:r>
      <w:r>
        <w:rPr>
          <w:rFonts w:ascii="sans-serif" w:eastAsia="sans-serif" w:hAnsi="sans-serif" w:cs="sans-serif"/>
          <w:color w:val="000000"/>
          <w:sz w:val="20"/>
          <w:szCs w:val="20"/>
        </w:rPr>
        <w:t>in NVIDIA have been detected.</w:t>
      </w:r>
    </w:p>
    <w:p w14:paraId="19503D6A" w14:textId="77777777" w:rsidR="00BF3A3A" w:rsidRDefault="00A76802">
      <w:pPr>
        <w:spacing w:after="180"/>
        <w:jc w:val="center"/>
      </w:pPr>
      <w:r>
        <w:rPr>
          <w:rFonts w:ascii="sans-serif" w:eastAsia="sans-serif" w:hAnsi="sans-serif" w:cs="sans-serif"/>
          <w:color w:val="000000"/>
          <w:sz w:val="20"/>
          <w:szCs w:val="20"/>
        </w:rPr>
        <w:t>33</w:t>
      </w:r>
    </w:p>
    <w:p w14:paraId="19503D6B" w14:textId="77777777" w:rsidR="00BF3A3A" w:rsidRDefault="00A76802">
      <w:r>
        <w:pict w14:anchorId="19503FE6">
          <v:rect id="_x0000_i1057" style="width:415.3pt;height:1.5pt" o:hralign="center" o:hrstd="t" o:hr="t" fillcolor="#a0a0a0" stroked="f"/>
        </w:pict>
      </w:r>
    </w:p>
    <w:p w14:paraId="19503D6C" w14:textId="77777777" w:rsidR="00BF3A3A" w:rsidRDefault="00BF3A3A">
      <w:pPr>
        <w:spacing w:after="180"/>
        <w:jc w:val="both"/>
      </w:pPr>
    </w:p>
    <w:p w14:paraId="19503D6D" w14:textId="77777777" w:rsidR="00BF3A3A" w:rsidRDefault="00BF3A3A">
      <w:pPr>
        <w:spacing w:after="180"/>
        <w:jc w:val="both"/>
      </w:pPr>
    </w:p>
    <w:p w14:paraId="19503D6E" w14:textId="77777777" w:rsidR="00BF3A3A" w:rsidRDefault="00BF3A3A">
      <w:pPr>
        <w:spacing w:after="180"/>
        <w:jc w:val="both"/>
      </w:pPr>
    </w:p>
    <w:p w14:paraId="19503D6F" w14:textId="77777777" w:rsidR="00BF3A3A" w:rsidRDefault="00A76802">
      <w:pPr>
        <w:spacing w:before="240" w:after="120"/>
        <w:jc w:val="both"/>
      </w:pPr>
      <w:r>
        <w:rPr>
          <w:rFonts w:ascii="sans-serif" w:eastAsia="sans-serif" w:hAnsi="sans-serif" w:cs="sans-serif"/>
          <w:b/>
          <w:bCs/>
          <w:color w:val="76B900"/>
          <w:sz w:val="22"/>
          <w:szCs w:val="22"/>
        </w:rPr>
        <w:t>PART II. OTHER INFORMATION</w:t>
      </w:r>
    </w:p>
    <w:p w14:paraId="19503D70" w14:textId="77777777" w:rsidR="00BF3A3A" w:rsidRDefault="00A76802">
      <w:pPr>
        <w:spacing w:before="240" w:after="120"/>
        <w:jc w:val="both"/>
      </w:pPr>
      <w:r>
        <w:rPr>
          <w:rFonts w:ascii="sans-serif" w:eastAsia="sans-serif" w:hAnsi="sans-serif" w:cs="sans-serif"/>
          <w:b/>
          <w:bCs/>
          <w:color w:val="76B900"/>
          <w:sz w:val="22"/>
          <w:szCs w:val="22"/>
        </w:rPr>
        <w:t>ITEM 1. LEGAL PROCEEDINGS</w:t>
      </w:r>
    </w:p>
    <w:p w14:paraId="19503D71" w14:textId="77777777" w:rsidR="00BF3A3A" w:rsidRDefault="00A76802">
      <w:pPr>
        <w:spacing w:after="180"/>
        <w:jc w:val="both"/>
      </w:pPr>
      <w:r>
        <w:rPr>
          <w:rFonts w:ascii="sans-serif" w:eastAsia="sans-serif" w:hAnsi="sans-serif" w:cs="sans-serif"/>
          <w:color w:val="000000"/>
          <w:sz w:val="20"/>
          <w:szCs w:val="20"/>
        </w:rPr>
        <w:t>Refer to Part I, Item 1, Note 13 of the Notes to Condensed Consolidated Financial Statements for a discussion of significant developments in our legal proceedings si</w:t>
      </w:r>
      <w:r>
        <w:rPr>
          <w:rFonts w:ascii="sans-serif" w:eastAsia="sans-serif" w:hAnsi="sans-serif" w:cs="sans-serif"/>
          <w:color w:val="000000"/>
          <w:sz w:val="20"/>
          <w:szCs w:val="20"/>
        </w:rPr>
        <w:t>nce January 30, 2022. Also refer to Item 3, “Legal Proceedings” in our Annual Report on Form 10-K for the fiscal year ended January 30, 2022 for a prior discussion of our legal proceedings.</w:t>
      </w:r>
    </w:p>
    <w:p w14:paraId="19503D72" w14:textId="77777777" w:rsidR="00BF3A3A" w:rsidRDefault="00A76802">
      <w:pPr>
        <w:spacing w:before="240" w:after="120"/>
        <w:jc w:val="both"/>
      </w:pPr>
      <w:r>
        <w:rPr>
          <w:rFonts w:ascii="sans-serif" w:eastAsia="sans-serif" w:hAnsi="sans-serif" w:cs="sans-serif"/>
          <w:b/>
          <w:bCs/>
          <w:color w:val="76B900"/>
          <w:sz w:val="22"/>
          <w:szCs w:val="22"/>
        </w:rPr>
        <w:t>ITEM 1A. RISK FACTORS</w:t>
      </w:r>
    </w:p>
    <w:p w14:paraId="19503D73" w14:textId="77777777" w:rsidR="00BF3A3A" w:rsidRDefault="00A76802">
      <w:pPr>
        <w:spacing w:after="180"/>
        <w:jc w:val="both"/>
      </w:pPr>
      <w:r>
        <w:rPr>
          <w:rFonts w:ascii="sans-serif" w:eastAsia="sans-serif" w:hAnsi="sans-serif" w:cs="sans-serif"/>
          <w:color w:val="000000"/>
          <w:sz w:val="20"/>
          <w:szCs w:val="20"/>
        </w:rPr>
        <w:t>Other than the risk factors listed below, th</w:t>
      </w:r>
      <w:r>
        <w:rPr>
          <w:rFonts w:ascii="sans-serif" w:eastAsia="sans-serif" w:hAnsi="sans-serif" w:cs="sans-serif"/>
          <w:color w:val="000000"/>
          <w:sz w:val="20"/>
          <w:szCs w:val="20"/>
        </w:rPr>
        <w:t>ere have been no material changes from the risk factors previously described under Item 1A of our Annual Report on Form 10-K for the fiscal year ended January 30, 2022 and Item 1A of our Quarterly Report on Form 10-Q for the fiscal quarter ended May 1, 202</w:t>
      </w:r>
      <w:r>
        <w:rPr>
          <w:rFonts w:ascii="sans-serif" w:eastAsia="sans-serif" w:hAnsi="sans-serif" w:cs="sans-serif"/>
          <w:color w:val="000000"/>
          <w:sz w:val="20"/>
          <w:szCs w:val="20"/>
        </w:rPr>
        <w:t>2.</w:t>
      </w:r>
    </w:p>
    <w:p w14:paraId="19503D74" w14:textId="77777777" w:rsidR="00BF3A3A" w:rsidRDefault="00A76802">
      <w:pPr>
        <w:spacing w:after="180"/>
        <w:jc w:val="both"/>
      </w:pPr>
      <w:r>
        <w:rPr>
          <w:rFonts w:ascii="sans-serif" w:eastAsia="sans-serif" w:hAnsi="sans-serif" w:cs="sans-serif"/>
          <w:color w:val="000000"/>
          <w:sz w:val="20"/>
          <w:szCs w:val="20"/>
        </w:rPr>
        <w:t xml:space="preserve">Before you buy our common stock, you should know that making such an investment involves some risks including, but not limited to, the risks described in Item 1A of our Annual Report on Form 10-K for the fiscal year ended January 30, 2022, in Item 1A </w:t>
      </w:r>
      <w:r>
        <w:rPr>
          <w:rFonts w:ascii="sans-serif" w:eastAsia="sans-serif" w:hAnsi="sans-serif" w:cs="sans-serif"/>
          <w:color w:val="000000"/>
          <w:sz w:val="20"/>
          <w:szCs w:val="20"/>
        </w:rPr>
        <w:t xml:space="preserve">of our Quarterly Report on Form 10-Q for the fiscal quarter ended May 1, 2022, and below. Additionally, any one of those risks could harm our business, financial condition and results of operations, which could cause our stock price to decline. Additional </w:t>
      </w:r>
      <w:r>
        <w:rPr>
          <w:rFonts w:ascii="sans-serif" w:eastAsia="sans-serif" w:hAnsi="sans-serif" w:cs="sans-serif"/>
          <w:color w:val="000000"/>
          <w:sz w:val="20"/>
          <w:szCs w:val="20"/>
        </w:rPr>
        <w:t>risks and uncertainties not presently known to us or that we currently deem immaterial may also impair our business operations.</w:t>
      </w:r>
    </w:p>
    <w:p w14:paraId="19503D75" w14:textId="77777777" w:rsidR="00BF3A3A" w:rsidRDefault="00A76802">
      <w:pPr>
        <w:spacing w:before="120" w:after="120"/>
        <w:jc w:val="both"/>
      </w:pPr>
      <w:r>
        <w:rPr>
          <w:rFonts w:ascii="sans-serif" w:eastAsia="sans-serif" w:hAnsi="sans-serif" w:cs="sans-serif"/>
          <w:b/>
          <w:bCs/>
          <w:color w:val="000000"/>
          <w:sz w:val="20"/>
          <w:szCs w:val="20"/>
        </w:rPr>
        <w:t>If we fail to estimate customer demand properly, mismatches between supply and demand can occur, harming our financial results.</w:t>
      </w:r>
    </w:p>
    <w:p w14:paraId="19503D76" w14:textId="77777777" w:rsidR="00BF3A3A" w:rsidRDefault="00A76802">
      <w:pPr>
        <w:spacing w:after="180"/>
        <w:jc w:val="both"/>
      </w:pPr>
      <w:r>
        <w:rPr>
          <w:rFonts w:ascii="sans-serif" w:eastAsia="sans-serif" w:hAnsi="sans-serif" w:cs="sans-serif"/>
          <w:color w:val="000000"/>
          <w:sz w:val="20"/>
          <w:szCs w:val="20"/>
        </w:rPr>
        <w:t>Because we do not manufacture the semiconductors used for our products, we are dependent on third parties to manufacture and assemble our products. Our manufacturing lead times are very long, which requires us to make estimates of customers’ future demand.</w:t>
      </w:r>
      <w:r>
        <w:rPr>
          <w:rFonts w:ascii="sans-serif" w:eastAsia="sans-serif" w:hAnsi="sans-serif" w:cs="sans-serif"/>
          <w:color w:val="000000"/>
          <w:sz w:val="20"/>
          <w:szCs w:val="20"/>
        </w:rPr>
        <w:t xml:space="preserve"> At the same time, we do not have a guaranteed supply of wafers, components and capacity, and our supply deliveries and production may be non-linear within a quarter or year, which has previously caused changes to expected revenue and cash flows, and which</w:t>
      </w:r>
      <w:r>
        <w:rPr>
          <w:rFonts w:ascii="sans-serif" w:eastAsia="sans-serif" w:hAnsi="sans-serif" w:cs="sans-serif"/>
          <w:color w:val="000000"/>
          <w:sz w:val="20"/>
          <w:szCs w:val="20"/>
        </w:rPr>
        <w:t xml:space="preserve"> may reoccur in the future. If our estimates of customer demand are ultimately inaccurate, as we have experienced from time to time, these conditions could lead to a significant mismatch between supply and demand. This mismatch has resulted in product shor</w:t>
      </w:r>
      <w:r>
        <w:rPr>
          <w:rFonts w:ascii="sans-serif" w:eastAsia="sans-serif" w:hAnsi="sans-serif" w:cs="sans-serif"/>
          <w:color w:val="000000"/>
          <w:sz w:val="20"/>
          <w:szCs w:val="20"/>
        </w:rPr>
        <w:t xml:space="preserve">tages and excess inventory, has varied across our market platforms, and significantly harmed our financial results. </w:t>
      </w:r>
    </w:p>
    <w:p w14:paraId="19503D77" w14:textId="77777777" w:rsidR="00BF3A3A" w:rsidRDefault="00A76802">
      <w:pPr>
        <w:jc w:val="both"/>
      </w:pPr>
      <w:r>
        <w:rPr>
          <w:rFonts w:ascii="sans-serif" w:eastAsia="sans-serif" w:hAnsi="sans-serif" w:cs="sans-serif"/>
          <w:color w:val="000000"/>
          <w:sz w:val="20"/>
          <w:szCs w:val="20"/>
        </w:rPr>
        <w:t>We build finished products and maintain inventory in advance of anticipated demand. In periods of shortages impacting the semiconductor ind</w:t>
      </w:r>
      <w:r>
        <w:rPr>
          <w:rFonts w:ascii="sans-serif" w:eastAsia="sans-serif" w:hAnsi="sans-serif" w:cs="sans-serif"/>
          <w:color w:val="000000"/>
          <w:sz w:val="20"/>
          <w:szCs w:val="20"/>
        </w:rPr>
        <w:t>ustry and/or limited supply or capacity in our supply chain, as we have experienced in the past, the lead time on our orders for certain supply has extended to more than twelve months, compared to a historical lead time of approximately six months. As a re</w:t>
      </w:r>
      <w:r>
        <w:rPr>
          <w:rFonts w:ascii="sans-serif" w:eastAsia="sans-serif" w:hAnsi="sans-serif" w:cs="sans-serif"/>
          <w:color w:val="000000"/>
          <w:sz w:val="20"/>
          <w:szCs w:val="20"/>
        </w:rPr>
        <w:t>sult, we have paid premiums and provided deposits to secure future supply and capacity, which have increased our product costs, and may need to continue to do so in the future. We may not have the ability to reduce our supply commitments at the same rate o</w:t>
      </w:r>
      <w:r>
        <w:rPr>
          <w:rFonts w:ascii="sans-serif" w:eastAsia="sans-serif" w:hAnsi="sans-serif" w:cs="sans-serif"/>
          <w:color w:val="000000"/>
          <w:sz w:val="20"/>
          <w:szCs w:val="20"/>
        </w:rPr>
        <w:t>r at all if our revenue declines. Our supply, which includes inventory on hand, purchase obligations and prepaid supply agreements, has grown significantly due to current supply chain conditions and complexity of our products. Purchase obligations and prep</w:t>
      </w:r>
      <w:r>
        <w:rPr>
          <w:rFonts w:ascii="sans-serif" w:eastAsia="sans-serif" w:hAnsi="sans-serif" w:cs="sans-serif"/>
          <w:color w:val="000000"/>
          <w:sz w:val="20"/>
          <w:szCs w:val="20"/>
        </w:rPr>
        <w:t xml:space="preserve">aid supply agreements represent approximately three quarters of our total supply. </w:t>
      </w:r>
    </w:p>
    <w:p w14:paraId="19503D78" w14:textId="77777777" w:rsidR="00BF3A3A" w:rsidRDefault="00BF3A3A"/>
    <w:p w14:paraId="19503D79" w14:textId="77777777" w:rsidR="00BF3A3A" w:rsidRDefault="00A76802">
      <w:pPr>
        <w:spacing w:after="180"/>
        <w:jc w:val="both"/>
      </w:pPr>
      <w:r>
        <w:rPr>
          <w:rFonts w:ascii="sans-serif" w:eastAsia="sans-serif" w:hAnsi="sans-serif" w:cs="sans-serif"/>
          <w:color w:val="000000"/>
          <w:sz w:val="20"/>
          <w:szCs w:val="20"/>
        </w:rPr>
        <w:t>Demand for our products is based on many factors, including our product introductions and transitions, time to market, competitor product releases and announcements, compet</w:t>
      </w:r>
      <w:r>
        <w:rPr>
          <w:rFonts w:ascii="sans-serif" w:eastAsia="sans-serif" w:hAnsi="sans-serif" w:cs="sans-serif"/>
          <w:color w:val="000000"/>
          <w:sz w:val="20"/>
          <w:szCs w:val="20"/>
        </w:rPr>
        <w:t xml:space="preserve">ing technologies, and changes in macroeconomic conditions, including rising inflation. Each of these factors has previously impacted, and can in the future impact, the timing and volume of our revenue. Our demand predictions may not be correct, as we have </w:t>
      </w:r>
      <w:r>
        <w:rPr>
          <w:rFonts w:ascii="sans-serif" w:eastAsia="sans-serif" w:hAnsi="sans-serif" w:cs="sans-serif"/>
          <w:color w:val="000000"/>
          <w:sz w:val="20"/>
          <w:szCs w:val="20"/>
        </w:rPr>
        <w:t>experienced from time to time. Product transitions are complex and frequently negatively impact our revenue as we manage shipments of legacy prior architecture products and channel partners prepare and adjust to support new products. We are entering a time</w:t>
      </w:r>
      <w:r>
        <w:rPr>
          <w:rFonts w:ascii="sans-serif" w:eastAsia="sans-serif" w:hAnsi="sans-serif" w:cs="sans-serif"/>
          <w:color w:val="000000"/>
          <w:sz w:val="20"/>
          <w:szCs w:val="20"/>
        </w:rPr>
        <w:t>frame when we will transition architectures for both our Gaming and Data Center products, which may impair our ability to predict demand and to make planned shipments. We may experience, and have in the past experienced, reduced demand for current generati</w:t>
      </w:r>
      <w:r>
        <w:rPr>
          <w:rFonts w:ascii="sans-serif" w:eastAsia="sans-serif" w:hAnsi="sans-serif" w:cs="sans-serif"/>
          <w:color w:val="000000"/>
          <w:sz w:val="20"/>
          <w:szCs w:val="20"/>
        </w:rPr>
        <w:t>on architectures when customers anticipate transitions. If we are unable to execute our architectural transitions as planned for any reason, our financial results may be negatively impacted. Our ability to sell certain products has in the past been and can</w:t>
      </w:r>
      <w:r>
        <w:rPr>
          <w:rFonts w:ascii="sans-serif" w:eastAsia="sans-serif" w:hAnsi="sans-serif" w:cs="sans-serif"/>
          <w:color w:val="000000"/>
          <w:sz w:val="20"/>
          <w:szCs w:val="20"/>
        </w:rPr>
        <w:t xml:space="preserve"> in the future be impeded if components from third parties that are necessary for the finished product are not available. Additionally, we sell most of our products through channel partners, who sell to retailers, distributors, and/or end customers. As a r</w:t>
      </w:r>
      <w:r>
        <w:rPr>
          <w:rFonts w:ascii="sans-serif" w:eastAsia="sans-serif" w:hAnsi="sans-serif" w:cs="sans-serif"/>
          <w:color w:val="000000"/>
          <w:sz w:val="20"/>
          <w:szCs w:val="20"/>
        </w:rPr>
        <w:t>esult, the decisions made by our channel partners, retailers and distributors in response to changing market conditions and changes in end user demand for our products have impacted and could in the future continue to impact our ability to properly forecas</w:t>
      </w:r>
      <w:r>
        <w:rPr>
          <w:rFonts w:ascii="sans-serif" w:eastAsia="sans-serif" w:hAnsi="sans-serif" w:cs="sans-serif"/>
          <w:color w:val="000000"/>
          <w:sz w:val="20"/>
          <w:szCs w:val="20"/>
        </w:rPr>
        <w:t>t demand, particularly as they are based on estimates provided by various downstream parties.</w:t>
      </w:r>
    </w:p>
    <w:p w14:paraId="19503D7A" w14:textId="77777777" w:rsidR="00BF3A3A" w:rsidRDefault="00A76802">
      <w:pPr>
        <w:spacing w:after="180"/>
        <w:jc w:val="center"/>
      </w:pPr>
      <w:r>
        <w:rPr>
          <w:rFonts w:ascii="sans-serif" w:eastAsia="sans-serif" w:hAnsi="sans-serif" w:cs="sans-serif"/>
          <w:color w:val="000000"/>
          <w:sz w:val="20"/>
          <w:szCs w:val="20"/>
        </w:rPr>
        <w:t>34</w:t>
      </w:r>
    </w:p>
    <w:p w14:paraId="19503D7B" w14:textId="77777777" w:rsidR="00BF3A3A" w:rsidRDefault="00A76802">
      <w:r>
        <w:pict w14:anchorId="19503FE7">
          <v:rect id="_x0000_i1058" style="width:415.3pt;height:1.5pt" o:hralign="center" o:hrstd="t" o:hr="t" fillcolor="#a0a0a0" stroked="f"/>
        </w:pict>
      </w:r>
    </w:p>
    <w:p w14:paraId="19503D7C" w14:textId="77777777" w:rsidR="00BF3A3A" w:rsidRDefault="00BF3A3A">
      <w:pPr>
        <w:spacing w:after="180"/>
        <w:jc w:val="both"/>
      </w:pPr>
    </w:p>
    <w:p w14:paraId="19503D7D" w14:textId="77777777" w:rsidR="00BF3A3A" w:rsidRDefault="00BF3A3A">
      <w:pPr>
        <w:spacing w:after="180"/>
        <w:jc w:val="both"/>
      </w:pPr>
    </w:p>
    <w:p w14:paraId="19503D7E" w14:textId="77777777" w:rsidR="00BF3A3A" w:rsidRDefault="00BF3A3A">
      <w:pPr>
        <w:spacing w:after="180"/>
        <w:jc w:val="both"/>
      </w:pPr>
    </w:p>
    <w:p w14:paraId="19503D7F" w14:textId="77777777" w:rsidR="00BF3A3A" w:rsidRDefault="00A76802">
      <w:pPr>
        <w:spacing w:after="180"/>
        <w:jc w:val="both"/>
      </w:pPr>
      <w:r>
        <w:rPr>
          <w:rFonts w:ascii="sans-serif" w:eastAsia="sans-serif" w:hAnsi="sans-serif" w:cs="sans-serif"/>
          <w:color w:val="000000"/>
          <w:sz w:val="20"/>
          <w:szCs w:val="20"/>
        </w:rPr>
        <w:t>If we underestimate our customers' future demand for our products, our foundry partners may not have adequate lead-time or capacity to increase production</w:t>
      </w:r>
      <w:r>
        <w:rPr>
          <w:rFonts w:ascii="sans-serif" w:eastAsia="sans-serif" w:hAnsi="sans-serif" w:cs="sans-serif"/>
          <w:color w:val="000000"/>
          <w:sz w:val="20"/>
          <w:szCs w:val="20"/>
        </w:rPr>
        <w:t xml:space="preserve"> and we may not be able to obtain sufficient inventory to fill orders on a timely basis. Even if we are able to increase production levels to meet customer demand, we may not be able to do so in a cost-effective or timely manner, or our original equipment </w:t>
      </w:r>
      <w:r>
        <w:rPr>
          <w:rFonts w:ascii="sans-serif" w:eastAsia="sans-serif" w:hAnsi="sans-serif" w:cs="sans-serif"/>
          <w:color w:val="000000"/>
          <w:sz w:val="20"/>
          <w:szCs w:val="20"/>
        </w:rPr>
        <w:t>manufacturers may experience supply constraints. If we fail to fulfill our customers’ orders on a timely basis, or at all, our customer relationships could be damaged, we could lose revenue and market share and our reputation could be harmed.</w:t>
      </w:r>
    </w:p>
    <w:p w14:paraId="19503D80" w14:textId="77777777" w:rsidR="00BF3A3A" w:rsidRDefault="00A76802">
      <w:pPr>
        <w:jc w:val="both"/>
      </w:pPr>
      <w:r>
        <w:rPr>
          <w:rFonts w:ascii="sans-serif" w:eastAsia="sans-serif" w:hAnsi="sans-serif" w:cs="sans-serif"/>
          <w:color w:val="000000"/>
          <w:sz w:val="20"/>
          <w:szCs w:val="20"/>
        </w:rPr>
        <w:t xml:space="preserve">On the other </w:t>
      </w:r>
      <w:r>
        <w:rPr>
          <w:rFonts w:ascii="sans-serif" w:eastAsia="sans-serif" w:hAnsi="sans-serif" w:cs="sans-serif"/>
          <w:color w:val="000000"/>
          <w:sz w:val="20"/>
          <w:szCs w:val="20"/>
        </w:rPr>
        <w:t xml:space="preserve">hand, if we overestimate our customers’ future demand for our products, and if customers cancel or defer orders or choose to purchase from our competitors, we may not be able to reduce our inventory purchase commitments. In the past, we have experienced a </w:t>
      </w:r>
      <w:r>
        <w:rPr>
          <w:rFonts w:ascii="sans-serif" w:eastAsia="sans-serif" w:hAnsi="sans-serif" w:cs="sans-serif"/>
          <w:color w:val="000000"/>
          <w:sz w:val="20"/>
          <w:szCs w:val="20"/>
        </w:rPr>
        <w:t xml:space="preserve">reduction in average selling prices, including as a result of channel pricing programs that we have implemented in the past and may continue to implement, as a result of our overestimation of future demand, which has reduced our revenue and gross margins, </w:t>
      </w:r>
      <w:r>
        <w:rPr>
          <w:rFonts w:ascii="sans-serif" w:eastAsia="sans-serif" w:hAnsi="sans-serif" w:cs="sans-serif"/>
          <w:color w:val="000000"/>
          <w:sz w:val="20"/>
          <w:szCs w:val="20"/>
        </w:rPr>
        <w:t>and we may need to continue these reductions. We have had to increase prices for our Data Center products as a result of our suppliers’ increase in prices, and may need to continue to do so for other products in the future, which may negatively impact dema</w:t>
      </w:r>
      <w:r>
        <w:rPr>
          <w:rFonts w:ascii="sans-serif" w:eastAsia="sans-serif" w:hAnsi="sans-serif" w:cs="sans-serif"/>
          <w:color w:val="000000"/>
          <w:sz w:val="20"/>
          <w:szCs w:val="20"/>
        </w:rPr>
        <w:t>nd. We have also written-down our inventory, incurred cancellation penalties, and recorded impairments, negatively impacting our gross margins and our overall financial results. These impacts were amplified by our placement of non-cancellable and non-retur</w:t>
      </w:r>
      <w:r>
        <w:rPr>
          <w:rFonts w:ascii="sans-serif" w:eastAsia="sans-serif" w:hAnsi="sans-serif" w:cs="sans-serif"/>
          <w:color w:val="000000"/>
          <w:sz w:val="20"/>
          <w:szCs w:val="20"/>
        </w:rPr>
        <w:t>nable purchasing terms, well in advance of our historical lead times and could be exacerbated if we need to make changes to the design of future products. The risk of these impacts has increased recently, as our purchase obligations and prepaids have grown</w:t>
      </w:r>
      <w:r>
        <w:rPr>
          <w:rFonts w:ascii="sans-serif" w:eastAsia="sans-serif" w:hAnsi="sans-serif" w:cs="sans-serif"/>
          <w:color w:val="000000"/>
          <w:sz w:val="20"/>
          <w:szCs w:val="20"/>
        </w:rPr>
        <w:t xml:space="preserve"> and become a greater portion of our total supply while our revenue has sequentially declined.</w:t>
      </w:r>
    </w:p>
    <w:p w14:paraId="19503D81" w14:textId="77777777" w:rsidR="00BF3A3A" w:rsidRDefault="00BF3A3A"/>
    <w:p w14:paraId="19503D82" w14:textId="77777777" w:rsidR="00BF3A3A" w:rsidRDefault="00A76802">
      <w:pPr>
        <w:spacing w:after="180"/>
        <w:jc w:val="both"/>
      </w:pPr>
      <w:r>
        <w:rPr>
          <w:rFonts w:ascii="sans-serif" w:eastAsia="sans-serif" w:hAnsi="sans-serif" w:cs="sans-serif"/>
          <w:color w:val="000000"/>
          <w:sz w:val="20"/>
          <w:szCs w:val="20"/>
        </w:rPr>
        <w:t xml:space="preserve">In addition to the growing lead times described above, there are many factors that have caused and/or could in the future cause us to either </w:t>
      </w:r>
      <w:r>
        <w:rPr>
          <w:rFonts w:ascii="sans-serif" w:eastAsia="sans-serif" w:hAnsi="sans-serif" w:cs="sans-serif"/>
          <w:color w:val="000000"/>
          <w:sz w:val="20"/>
          <w:szCs w:val="20"/>
        </w:rPr>
        <w:t>underestimate or overestimate our customers’ future demand for our products, or otherwise cause a mismatch between supply and demand for our products. Those factors include such things as:</w:t>
      </w:r>
    </w:p>
    <w:p w14:paraId="19503D83" w14:textId="77777777" w:rsidR="00BF3A3A" w:rsidRDefault="00A76802">
      <w:pPr>
        <w:spacing w:after="180"/>
        <w:ind w:hanging="360"/>
        <w:jc w:val="both"/>
      </w:pPr>
      <w:r>
        <w:rPr>
          <w:rFonts w:ascii="sans-serif" w:eastAsia="sans-serif" w:hAnsi="sans-serif" w:cs="sans-serif"/>
          <w:color w:val="000000"/>
          <w:sz w:val="20"/>
          <w:szCs w:val="20"/>
        </w:rPr>
        <w:t>•changes in business and economic conditions resulting in decreased</w:t>
      </w:r>
      <w:r>
        <w:rPr>
          <w:rFonts w:ascii="sans-serif" w:eastAsia="sans-serif" w:hAnsi="sans-serif" w:cs="sans-serif"/>
          <w:color w:val="000000"/>
          <w:sz w:val="20"/>
          <w:szCs w:val="20"/>
        </w:rPr>
        <w:t xml:space="preserve"> consumer confidence, including downturns in our target markets and/or overall economy, rising inflation, and changes in the credit market;</w:t>
      </w:r>
    </w:p>
    <w:p w14:paraId="19503D84" w14:textId="77777777" w:rsidR="00BF3A3A" w:rsidRDefault="00A76802">
      <w:pPr>
        <w:spacing w:after="180"/>
        <w:ind w:hanging="360"/>
        <w:jc w:val="both"/>
      </w:pPr>
      <w:r>
        <w:rPr>
          <w:rFonts w:ascii="sans-serif" w:eastAsia="sans-serif" w:hAnsi="sans-serif" w:cs="sans-serif"/>
          <w:color w:val="000000"/>
          <w:sz w:val="20"/>
          <w:szCs w:val="20"/>
        </w:rPr>
        <w:t>•sudden or sustained government lockdowns or actions to control COVID-19 case spread;</w:t>
      </w:r>
    </w:p>
    <w:p w14:paraId="19503D85" w14:textId="77777777" w:rsidR="00BF3A3A" w:rsidRDefault="00A76802">
      <w:pPr>
        <w:spacing w:after="180"/>
        <w:ind w:hanging="360"/>
        <w:jc w:val="both"/>
      </w:pPr>
      <w:r>
        <w:rPr>
          <w:rFonts w:ascii="sans-serif" w:eastAsia="sans-serif" w:hAnsi="sans-serif" w:cs="sans-serif"/>
          <w:color w:val="000000"/>
          <w:sz w:val="20"/>
          <w:szCs w:val="20"/>
        </w:rPr>
        <w:t>•rapidly changing technology o</w:t>
      </w:r>
      <w:r>
        <w:rPr>
          <w:rFonts w:ascii="sans-serif" w:eastAsia="sans-serif" w:hAnsi="sans-serif" w:cs="sans-serif"/>
          <w:color w:val="000000"/>
          <w:sz w:val="20"/>
          <w:szCs w:val="20"/>
        </w:rPr>
        <w:t>r customer requirements;</w:t>
      </w:r>
    </w:p>
    <w:p w14:paraId="19503D86" w14:textId="77777777" w:rsidR="00BF3A3A" w:rsidRDefault="00A76802">
      <w:pPr>
        <w:spacing w:after="180"/>
        <w:ind w:hanging="360"/>
        <w:jc w:val="both"/>
      </w:pPr>
      <w:r>
        <w:rPr>
          <w:rFonts w:ascii="sans-serif" w:eastAsia="sans-serif" w:hAnsi="sans-serif" w:cs="sans-serif"/>
          <w:color w:val="000000"/>
          <w:sz w:val="20"/>
          <w:szCs w:val="20"/>
        </w:rPr>
        <w:t xml:space="preserve">•new product introductions resulting in less demand for existing products; </w:t>
      </w:r>
    </w:p>
    <w:p w14:paraId="19503D87" w14:textId="77777777" w:rsidR="00BF3A3A" w:rsidRDefault="00A76802">
      <w:pPr>
        <w:spacing w:after="180"/>
        <w:ind w:hanging="360"/>
        <w:jc w:val="both"/>
      </w:pPr>
      <w:r>
        <w:rPr>
          <w:rFonts w:ascii="sans-serif" w:eastAsia="sans-serif" w:hAnsi="sans-serif" w:cs="sans-serif"/>
          <w:color w:val="000000"/>
          <w:sz w:val="20"/>
          <w:szCs w:val="20"/>
        </w:rPr>
        <w:t>•new or unexpected end use cases;</w:t>
      </w:r>
    </w:p>
    <w:p w14:paraId="19503D88" w14:textId="77777777" w:rsidR="00BF3A3A" w:rsidRDefault="00A76802">
      <w:pPr>
        <w:spacing w:after="180"/>
        <w:ind w:hanging="360"/>
        <w:jc w:val="both"/>
      </w:pPr>
      <w:r>
        <w:rPr>
          <w:rFonts w:ascii="sans-serif" w:eastAsia="sans-serif" w:hAnsi="sans-serif" w:cs="sans-serif"/>
          <w:color w:val="000000"/>
          <w:sz w:val="20"/>
          <w:szCs w:val="20"/>
        </w:rPr>
        <w:t xml:space="preserve">•increase in demand for competitive products, including competitive actions; </w:t>
      </w:r>
    </w:p>
    <w:p w14:paraId="19503D89" w14:textId="77777777" w:rsidR="00BF3A3A" w:rsidRDefault="00A76802">
      <w:pPr>
        <w:spacing w:after="180"/>
        <w:ind w:hanging="360"/>
        <w:jc w:val="both"/>
      </w:pPr>
      <w:r>
        <w:rPr>
          <w:rFonts w:ascii="sans-serif" w:eastAsia="sans-serif" w:hAnsi="sans-serif" w:cs="sans-serif"/>
          <w:color w:val="000000"/>
          <w:sz w:val="20"/>
          <w:szCs w:val="20"/>
        </w:rPr>
        <w:t>•fluctuations in demand for our products re</w:t>
      </w:r>
      <w:r>
        <w:rPr>
          <w:rFonts w:ascii="sans-serif" w:eastAsia="sans-serif" w:hAnsi="sans-serif" w:cs="sans-serif"/>
          <w:color w:val="000000"/>
          <w:sz w:val="20"/>
          <w:szCs w:val="20"/>
        </w:rPr>
        <w:t>lated to cryptocurrency mining; or</w:t>
      </w:r>
    </w:p>
    <w:p w14:paraId="19503D8A" w14:textId="77777777" w:rsidR="00BF3A3A" w:rsidRDefault="00A76802">
      <w:pPr>
        <w:spacing w:after="180"/>
        <w:ind w:hanging="360"/>
        <w:jc w:val="both"/>
      </w:pPr>
      <w:r>
        <w:rPr>
          <w:rFonts w:ascii="sans-serif" w:eastAsia="sans-serif" w:hAnsi="sans-serif" w:cs="sans-serif"/>
          <w:color w:val="000000"/>
          <w:sz w:val="20"/>
          <w:szCs w:val="20"/>
        </w:rPr>
        <w:t>•changes in governmental policies, such as increased restrictions on gaming usage or cloud service providers.</w:t>
      </w:r>
    </w:p>
    <w:p w14:paraId="19503D8B" w14:textId="77777777" w:rsidR="00BF3A3A" w:rsidRDefault="00A76802">
      <w:pPr>
        <w:spacing w:after="180"/>
        <w:jc w:val="both"/>
      </w:pPr>
      <w:r>
        <w:rPr>
          <w:rFonts w:ascii="sans-serif" w:eastAsia="sans-serif" w:hAnsi="sans-serif" w:cs="sans-serif"/>
          <w:color w:val="000000"/>
          <w:sz w:val="20"/>
          <w:szCs w:val="20"/>
        </w:rPr>
        <w:t xml:space="preserve">In recent periods, COVID-19-related disruptions and lockdowns in China have created and may continue to create </w:t>
      </w:r>
      <w:r>
        <w:rPr>
          <w:rFonts w:ascii="sans-serif" w:eastAsia="sans-serif" w:hAnsi="sans-serif" w:cs="sans-serif"/>
          <w:color w:val="000000"/>
          <w:sz w:val="20"/>
          <w:szCs w:val="20"/>
        </w:rPr>
        <w:t>supply and logistics constraints. The war in Ukraine has further strained global supply chains and may in the future result in a shortage of key materials that our suppliers, including our foundry partners, require to satisfy our needs. Extended lead times</w:t>
      </w:r>
      <w:r>
        <w:rPr>
          <w:rFonts w:ascii="sans-serif" w:eastAsia="sans-serif" w:hAnsi="sans-serif" w:cs="sans-serif"/>
          <w:color w:val="000000"/>
          <w:sz w:val="20"/>
          <w:szCs w:val="20"/>
        </w:rPr>
        <w:t xml:space="preserve"> may continue if we experience other supply constraints caused by natural disasters or other events. In addition, geopolitical tensions involving Taiwan and China, which comprise a significant portion of our revenue and where we have suppliers, contract ma</w:t>
      </w:r>
      <w:r>
        <w:rPr>
          <w:rFonts w:ascii="sans-serif" w:eastAsia="sans-serif" w:hAnsi="sans-serif" w:cs="sans-serif"/>
          <w:color w:val="000000"/>
          <w:sz w:val="20"/>
          <w:szCs w:val="20"/>
        </w:rPr>
        <w:t>nufacturers, and assembly partners who are critical to our supply continuity, could have a material adverse impact on us.</w:t>
      </w:r>
    </w:p>
    <w:p w14:paraId="19503D8C" w14:textId="77777777" w:rsidR="00BF3A3A" w:rsidRDefault="00A76802">
      <w:pPr>
        <w:spacing w:after="180"/>
        <w:jc w:val="both"/>
      </w:pPr>
      <w:r>
        <w:rPr>
          <w:rFonts w:ascii="sans-serif" w:eastAsia="sans-serif" w:hAnsi="sans-serif" w:cs="sans-serif"/>
          <w:color w:val="000000"/>
          <w:sz w:val="20"/>
          <w:szCs w:val="20"/>
        </w:rPr>
        <w:t>Our GPUs are designed for the Gaming, Data Center, Professional Visualization and Automotive markets. The use of our GPUs for use case</w:t>
      </w:r>
      <w:r>
        <w:rPr>
          <w:rFonts w:ascii="sans-serif" w:eastAsia="sans-serif" w:hAnsi="sans-serif" w:cs="sans-serif"/>
          <w:color w:val="000000"/>
          <w:sz w:val="20"/>
          <w:szCs w:val="20"/>
        </w:rPr>
        <w:t>s other than that for which they were designed and marketed, including new and unexpected use cases, has impacted and can in the future impact demand for our products, including by leading to inconsistent spikes and drops in demand. For example, many years</w:t>
      </w:r>
      <w:r>
        <w:rPr>
          <w:rFonts w:ascii="sans-serif" w:eastAsia="sans-serif" w:hAnsi="sans-serif" w:cs="sans-serif"/>
          <w:color w:val="000000"/>
          <w:sz w:val="20"/>
          <w:szCs w:val="20"/>
        </w:rPr>
        <w:t xml:space="preserve"> ago, our Gaming GPUs began to be used for digital currency mining, including blockchain-based platforms such as Ethereum. It is difficult for us to estimate with any reasonable degree of precision, the past or current impact of cryptocurrency mining, or f</w:t>
      </w:r>
      <w:r>
        <w:rPr>
          <w:rFonts w:ascii="sans-serif" w:eastAsia="sans-serif" w:hAnsi="sans-serif" w:cs="sans-serif"/>
          <w:color w:val="000000"/>
          <w:sz w:val="20"/>
          <w:szCs w:val="20"/>
        </w:rPr>
        <w:t>orecast the future impact of cryptocurrency mining, on demand for our products. Volatility in the cryptocurrency market, including new compute technologies, price changes in cryptocurrencies, government cryptocurrency policies and regulations, new cryptocu</w:t>
      </w:r>
      <w:r>
        <w:rPr>
          <w:rFonts w:ascii="sans-serif" w:eastAsia="sans-serif" w:hAnsi="sans-serif" w:cs="sans-serif"/>
          <w:color w:val="000000"/>
          <w:sz w:val="20"/>
          <w:szCs w:val="20"/>
        </w:rPr>
        <w:t>rrency standards, and changes in the method of verifying blockchain transactions, has impacted and can in the future impact cryptocurrency mining and demand for our products and can further impact our ability to estimate demand for our products. Changes to</w:t>
      </w:r>
      <w:r>
        <w:rPr>
          <w:rFonts w:ascii="sans-serif" w:eastAsia="sans-serif" w:hAnsi="sans-serif" w:cs="sans-serif"/>
          <w:color w:val="000000"/>
          <w:sz w:val="20"/>
          <w:szCs w:val="20"/>
        </w:rPr>
        <w:t xml:space="preserve"> cryptocurrency standards and processes including, but not limited to, the pending Ethereum 2.0 merge may decrease the usage of GPUs for Ethereum mining as well as create increased aftermarket resales of our GPUs, which could </w:t>
      </w:r>
    </w:p>
    <w:p w14:paraId="19503D8D" w14:textId="77777777" w:rsidR="00BF3A3A" w:rsidRDefault="00A76802">
      <w:pPr>
        <w:spacing w:after="180"/>
        <w:jc w:val="center"/>
      </w:pPr>
      <w:r>
        <w:rPr>
          <w:rFonts w:ascii="sans-serif" w:eastAsia="sans-serif" w:hAnsi="sans-serif" w:cs="sans-serif"/>
          <w:color w:val="000000"/>
          <w:sz w:val="20"/>
          <w:szCs w:val="20"/>
        </w:rPr>
        <w:t>35</w:t>
      </w:r>
    </w:p>
    <w:p w14:paraId="19503D8E" w14:textId="77777777" w:rsidR="00BF3A3A" w:rsidRDefault="00A76802">
      <w:r>
        <w:pict w14:anchorId="19503FE8">
          <v:rect id="_x0000_i1059" style="width:415.3pt;height:1.5pt" o:hralign="center" o:hrstd="t" o:hr="t" fillcolor="#a0a0a0" stroked="f"/>
        </w:pict>
      </w:r>
    </w:p>
    <w:p w14:paraId="19503D8F" w14:textId="77777777" w:rsidR="00BF3A3A" w:rsidRDefault="00BF3A3A">
      <w:pPr>
        <w:spacing w:after="180"/>
        <w:jc w:val="both"/>
      </w:pPr>
    </w:p>
    <w:p w14:paraId="19503D90" w14:textId="77777777" w:rsidR="00BF3A3A" w:rsidRDefault="00BF3A3A">
      <w:pPr>
        <w:spacing w:after="180"/>
        <w:jc w:val="both"/>
      </w:pPr>
    </w:p>
    <w:p w14:paraId="19503D91" w14:textId="77777777" w:rsidR="00BF3A3A" w:rsidRDefault="00BF3A3A">
      <w:pPr>
        <w:spacing w:after="180"/>
        <w:jc w:val="both"/>
      </w:pPr>
    </w:p>
    <w:p w14:paraId="19503D92" w14:textId="77777777" w:rsidR="00BF3A3A" w:rsidRDefault="00A76802">
      <w:pPr>
        <w:spacing w:after="180"/>
        <w:jc w:val="both"/>
      </w:pPr>
      <w:r>
        <w:rPr>
          <w:rFonts w:ascii="sans-serif" w:eastAsia="sans-serif" w:hAnsi="sans-serif" w:cs="sans-serif"/>
          <w:color w:val="000000"/>
          <w:sz w:val="20"/>
          <w:szCs w:val="20"/>
        </w:rPr>
        <w:t>negatively impact ret</w:t>
      </w:r>
      <w:r>
        <w:rPr>
          <w:rFonts w:ascii="sans-serif" w:eastAsia="sans-serif" w:hAnsi="sans-serif" w:cs="sans-serif"/>
          <w:color w:val="000000"/>
          <w:sz w:val="20"/>
          <w:szCs w:val="20"/>
        </w:rPr>
        <w:t>ail prices for our GPUs, increase returns of our products in the distribution channel, and reduce demand for our new GPUs. We have introduced Lite Hash Rate, or LHR, GeForce GPUs with limited Ethereum mining capability and provided CMP products in an effor</w:t>
      </w:r>
      <w:r>
        <w:rPr>
          <w:rFonts w:ascii="sans-serif" w:eastAsia="sans-serif" w:hAnsi="sans-serif" w:cs="sans-serif"/>
          <w:color w:val="000000"/>
          <w:sz w:val="20"/>
          <w:szCs w:val="20"/>
        </w:rPr>
        <w:t>t to address demand from gamers and direct miners to CMP. Beginning in the second quarter of fiscal year 2022, most desktop NVIDIA Ampere architecture GeForce GPU shipments were LHR to help direct GeForce GPUs to gamers. Attempts in the aftermarket to impr</w:t>
      </w:r>
      <w:r>
        <w:rPr>
          <w:rFonts w:ascii="sans-serif" w:eastAsia="sans-serif" w:hAnsi="sans-serif" w:cs="sans-serif"/>
          <w:color w:val="000000"/>
          <w:sz w:val="20"/>
          <w:szCs w:val="20"/>
        </w:rPr>
        <w:t>ove the hash rate capabilities of our LHR cards have been successful and our gaming cards may become more attractive to miners, increasing demand for our gaming GPUs and limiting our ability to supply our gaming cards to non-mining customers. We cannot pre</w:t>
      </w:r>
      <w:r>
        <w:rPr>
          <w:rFonts w:ascii="sans-serif" w:eastAsia="sans-serif" w:hAnsi="sans-serif" w:cs="sans-serif"/>
          <w:color w:val="000000"/>
          <w:sz w:val="20"/>
          <w:szCs w:val="20"/>
        </w:rPr>
        <w:t xml:space="preserve">dict whether our strategy of using LHR cards and CMP will achieve our desired outcome. In addition, our new products or previously sold products may be resold online or on the unauthorized “gray market,” which also makes demand forecasting difficult. Gray </w:t>
      </w:r>
      <w:r>
        <w:rPr>
          <w:rFonts w:ascii="sans-serif" w:eastAsia="sans-serif" w:hAnsi="sans-serif" w:cs="sans-serif"/>
          <w:color w:val="000000"/>
          <w:sz w:val="20"/>
          <w:szCs w:val="20"/>
        </w:rPr>
        <w:t>market products or reseller marketplaces compete with our distribution channels.</w:t>
      </w:r>
    </w:p>
    <w:p w14:paraId="19503D93" w14:textId="77777777" w:rsidR="00BF3A3A" w:rsidRDefault="00A76802">
      <w:pPr>
        <w:spacing w:after="180"/>
        <w:jc w:val="both"/>
      </w:pPr>
      <w:r>
        <w:rPr>
          <w:rFonts w:ascii="sans-serif" w:eastAsia="sans-serif" w:hAnsi="sans-serif" w:cs="sans-serif"/>
          <w:color w:val="000000"/>
          <w:sz w:val="20"/>
          <w:szCs w:val="20"/>
        </w:rPr>
        <w:t>Consumer and enterprise behavior during the COVID-19 pandemic, such as fluctuating demand for our Gaming, Data Center, and workstation products, has made it more difficult for</w:t>
      </w:r>
      <w:r>
        <w:rPr>
          <w:rFonts w:ascii="sans-serif" w:eastAsia="sans-serif" w:hAnsi="sans-serif" w:cs="sans-serif"/>
          <w:color w:val="000000"/>
          <w:sz w:val="20"/>
          <w:szCs w:val="20"/>
        </w:rPr>
        <w:t xml:space="preserve"> us to estimate future demand and may have changed pre-pandemic behaviors. At the same time, restrictions that may be imposed or reinstated as the pandemic continues, such as recent lockdown measures due to COVID-19 containment efforts in China, have negat</w:t>
      </w:r>
      <w:r>
        <w:rPr>
          <w:rFonts w:ascii="sans-serif" w:eastAsia="sans-serif" w:hAnsi="sans-serif" w:cs="sans-serif"/>
          <w:color w:val="000000"/>
          <w:sz w:val="20"/>
          <w:szCs w:val="20"/>
        </w:rPr>
        <w:t>ively impacted end customer sales for our products in China and this impact may continue if future lockdowns are imposed. These challenges in estimating demand are expected to be more pronounced or volatile in the future on both a global and regional basis</w:t>
      </w:r>
      <w:r>
        <w:rPr>
          <w:rFonts w:ascii="sans-serif" w:eastAsia="sans-serif" w:hAnsi="sans-serif" w:cs="sans-serif"/>
          <w:color w:val="000000"/>
          <w:sz w:val="20"/>
          <w:szCs w:val="20"/>
        </w:rPr>
        <w:t xml:space="preserve"> and may continue in the future when the effects of the pandemic subside.</w:t>
      </w:r>
    </w:p>
    <w:p w14:paraId="19503D94" w14:textId="77777777" w:rsidR="00BF3A3A" w:rsidRDefault="00A76802">
      <w:pPr>
        <w:spacing w:after="180"/>
        <w:jc w:val="both"/>
      </w:pPr>
      <w:r>
        <w:rPr>
          <w:rFonts w:ascii="sans-serif" w:eastAsia="sans-serif" w:hAnsi="sans-serif" w:cs="sans-serif"/>
          <w:color w:val="000000"/>
          <w:sz w:val="20"/>
          <w:szCs w:val="20"/>
        </w:rPr>
        <w:t>In the second quarter of fiscal year 2023, Gaming revenue experienced lower sell-in of our Gaming GPUs reflecting reduced channel partner sales due to macroeconomic headwinds, includ</w:t>
      </w:r>
      <w:r>
        <w:rPr>
          <w:rFonts w:ascii="sans-serif" w:eastAsia="sans-serif" w:hAnsi="sans-serif" w:cs="sans-serif"/>
          <w:color w:val="000000"/>
          <w:sz w:val="20"/>
          <w:szCs w:val="20"/>
        </w:rPr>
        <w:t>ing the negative impact of high inflation on consumer spending and weaker consumer purchasing power in markets whose currencies weakened relative to the U.S. dollar, as our sales are in U.S. dollars. Our channel partners reduced their inventory and are tra</w:t>
      </w:r>
      <w:r>
        <w:rPr>
          <w:rFonts w:ascii="sans-serif" w:eastAsia="sans-serif" w:hAnsi="sans-serif" w:cs="sans-serif"/>
          <w:color w:val="000000"/>
          <w:sz w:val="20"/>
          <w:szCs w:val="20"/>
        </w:rPr>
        <w:t>nsitioning to a lower value mix of inventory to better align with demand as well as an architectural transition, and we implemented pricing programs with them to address challenging market conditions that we expect to persist into the third quarter of fisc</w:t>
      </w:r>
      <w:r>
        <w:rPr>
          <w:rFonts w:ascii="sans-serif" w:eastAsia="sans-serif" w:hAnsi="sans-serif" w:cs="sans-serif"/>
          <w:color w:val="000000"/>
          <w:sz w:val="20"/>
          <w:szCs w:val="20"/>
        </w:rPr>
        <w:t xml:space="preserve">al year 2023. The sequential decline in Gaming revenue also resulted from the war in Ukraine impacting sales in Europe and lockdowns in China due to COVID-19. The extent to which reduced cryptocurrency mining contributed to the decline in Gaming demand is </w:t>
      </w:r>
      <w:r>
        <w:rPr>
          <w:rFonts w:ascii="sans-serif" w:eastAsia="sans-serif" w:hAnsi="sans-serif" w:cs="sans-serif"/>
          <w:color w:val="000000"/>
          <w:sz w:val="20"/>
          <w:szCs w:val="20"/>
        </w:rPr>
        <w:t>difficult for us to reasonably quantify. Economic conditions in China drove lower sales to China hyperscale customers, impacting our Data Center revenue, and drove lower sales of Gaming products. We and our customers are also experiencing Data Center suppl</w:t>
      </w:r>
      <w:r>
        <w:rPr>
          <w:rFonts w:ascii="sans-serif" w:eastAsia="sans-serif" w:hAnsi="sans-serif" w:cs="sans-serif"/>
          <w:color w:val="000000"/>
          <w:sz w:val="20"/>
          <w:szCs w:val="20"/>
        </w:rPr>
        <w:t>y chain disruptions as our customers delay purchases pending the availability of other third party components. These recent reductions in demand and our reduced expectations of future demand have required us to record charges for excess inventory on hand a</w:t>
      </w:r>
      <w:r>
        <w:rPr>
          <w:rFonts w:ascii="sans-serif" w:eastAsia="sans-serif" w:hAnsi="sans-serif" w:cs="sans-serif"/>
          <w:color w:val="000000"/>
          <w:sz w:val="20"/>
          <w:szCs w:val="20"/>
        </w:rPr>
        <w:t xml:space="preserve">nd on order, and cancellation and underutilization penalties. Potential future demand reductions could require additional reserves. Mismatches between our supply and demand may occur in future quarters. </w:t>
      </w:r>
    </w:p>
    <w:p w14:paraId="19503D95" w14:textId="77777777" w:rsidR="00BF3A3A" w:rsidRDefault="00A76802">
      <w:pPr>
        <w:spacing w:before="120" w:after="120"/>
        <w:jc w:val="both"/>
      </w:pPr>
      <w:r>
        <w:rPr>
          <w:rFonts w:ascii="sans-serif" w:eastAsia="sans-serif" w:hAnsi="sans-serif" w:cs="sans-serif"/>
          <w:b/>
          <w:bCs/>
          <w:color w:val="000000"/>
          <w:sz w:val="20"/>
          <w:szCs w:val="20"/>
        </w:rPr>
        <w:t>We depend on third parties and their technology to m</w:t>
      </w:r>
      <w:r>
        <w:rPr>
          <w:rFonts w:ascii="sans-serif" w:eastAsia="sans-serif" w:hAnsi="sans-serif" w:cs="sans-serif"/>
          <w:b/>
          <w:bCs/>
          <w:color w:val="000000"/>
          <w:sz w:val="20"/>
          <w:szCs w:val="20"/>
        </w:rPr>
        <w:t>anufacture, assemble, test, package or design our products, which reduces our control over product quantity and quality, manufacturing yields, development, enhancement and product delivery schedule and could harm our business.</w:t>
      </w:r>
    </w:p>
    <w:p w14:paraId="19503D96" w14:textId="77777777" w:rsidR="00BF3A3A" w:rsidRDefault="00A76802">
      <w:pPr>
        <w:spacing w:after="180"/>
        <w:jc w:val="both"/>
      </w:pPr>
      <w:r>
        <w:rPr>
          <w:rFonts w:ascii="sans-serif" w:eastAsia="sans-serif" w:hAnsi="sans-serif" w:cs="sans-serif"/>
          <w:color w:val="000000"/>
          <w:sz w:val="20"/>
          <w:szCs w:val="20"/>
        </w:rPr>
        <w:t>We do not manufacture the sem</w:t>
      </w:r>
      <w:r>
        <w:rPr>
          <w:rFonts w:ascii="sans-serif" w:eastAsia="sans-serif" w:hAnsi="sans-serif" w:cs="sans-serif"/>
          <w:color w:val="000000"/>
          <w:sz w:val="20"/>
          <w:szCs w:val="20"/>
        </w:rPr>
        <w:t>iconductors used for our products and do not own or operate a wafer fabrication facility. We depend on foundries to manufacture our semiconductor wafers using their fabrication equipment and techniques. We do not assemble, test or package our products, but</w:t>
      </w:r>
      <w:r>
        <w:rPr>
          <w:rFonts w:ascii="sans-serif" w:eastAsia="sans-serif" w:hAnsi="sans-serif" w:cs="sans-serif"/>
          <w:color w:val="000000"/>
          <w:sz w:val="20"/>
          <w:szCs w:val="20"/>
        </w:rPr>
        <w:t xml:space="preserve"> instead contract with independent subcontractors. We also rely on third-party software development tools to assist us in the design, simulation and verification of new products or product enhancements. The design requirements necessary to meet consumer de</w:t>
      </w:r>
      <w:r>
        <w:rPr>
          <w:rFonts w:ascii="sans-serif" w:eastAsia="sans-serif" w:hAnsi="sans-serif" w:cs="sans-serif"/>
          <w:color w:val="000000"/>
          <w:sz w:val="20"/>
          <w:szCs w:val="20"/>
        </w:rPr>
        <w:t>mands for greater functionality from our products may exceed the capabilities of available software development tools. While we have entered in the past and may in the future enter into long-term supply and capacity commitments, we may not be able to secur</w:t>
      </w:r>
      <w:r>
        <w:rPr>
          <w:rFonts w:ascii="sans-serif" w:eastAsia="sans-serif" w:hAnsi="sans-serif" w:cs="sans-serif"/>
          <w:color w:val="000000"/>
          <w:sz w:val="20"/>
          <w:szCs w:val="20"/>
        </w:rPr>
        <w:t xml:space="preserve">e sufficient commitments for capacity to address our business needs. We face several risks which could adversely affect our ability to meet customer demand and scale our supply chain, negatively impact longer-term demand for our products and services, and </w:t>
      </w:r>
      <w:r>
        <w:rPr>
          <w:rFonts w:ascii="sans-serif" w:eastAsia="sans-serif" w:hAnsi="sans-serif" w:cs="sans-serif"/>
          <w:color w:val="000000"/>
          <w:sz w:val="20"/>
          <w:szCs w:val="20"/>
        </w:rPr>
        <w:t>adversely affect our business operations, gross margin, revenue and/or financial results, including:</w:t>
      </w:r>
    </w:p>
    <w:p w14:paraId="19503D97" w14:textId="77777777" w:rsidR="00BF3A3A" w:rsidRDefault="00A76802">
      <w:pPr>
        <w:spacing w:after="180"/>
        <w:ind w:hanging="360"/>
        <w:jc w:val="both"/>
      </w:pPr>
      <w:r>
        <w:rPr>
          <w:rFonts w:ascii="sans-serif" w:eastAsia="sans-serif" w:hAnsi="sans-serif" w:cs="sans-serif"/>
          <w:color w:val="000000"/>
          <w:sz w:val="20"/>
          <w:szCs w:val="20"/>
        </w:rPr>
        <w:t xml:space="preserve">•lack of guaranteed supply of wafers, components and capacity or decommitment and potential higher wafer and component prices, from incorrectly estimating </w:t>
      </w:r>
      <w:r>
        <w:rPr>
          <w:rFonts w:ascii="sans-serif" w:eastAsia="sans-serif" w:hAnsi="sans-serif" w:cs="sans-serif"/>
          <w:color w:val="000000"/>
          <w:sz w:val="20"/>
          <w:szCs w:val="20"/>
        </w:rPr>
        <w:t>demand and failing to place orders with our suppliers with sufficient quantities or in a timely manner;</w:t>
      </w:r>
    </w:p>
    <w:p w14:paraId="19503D98" w14:textId="77777777" w:rsidR="00BF3A3A" w:rsidRDefault="00A76802">
      <w:pPr>
        <w:spacing w:after="180"/>
        <w:ind w:hanging="360"/>
        <w:jc w:val="both"/>
      </w:pPr>
      <w:r>
        <w:rPr>
          <w:rFonts w:ascii="sans-serif" w:eastAsia="sans-serif" w:hAnsi="sans-serif" w:cs="sans-serif"/>
          <w:color w:val="000000"/>
          <w:sz w:val="20"/>
          <w:szCs w:val="20"/>
        </w:rPr>
        <w:t>•failure by our foundries or contract manufacturers to procure raw materials or to provide adequate levels of manufacturing or test capacity for our pro</w:t>
      </w:r>
      <w:r>
        <w:rPr>
          <w:rFonts w:ascii="sans-serif" w:eastAsia="sans-serif" w:hAnsi="sans-serif" w:cs="sans-serif"/>
          <w:color w:val="000000"/>
          <w:sz w:val="20"/>
          <w:szCs w:val="20"/>
        </w:rPr>
        <w:t>ducts;</w:t>
      </w:r>
    </w:p>
    <w:p w14:paraId="19503D99" w14:textId="77777777" w:rsidR="00BF3A3A" w:rsidRDefault="00A76802">
      <w:pPr>
        <w:spacing w:after="180"/>
        <w:ind w:hanging="360"/>
        <w:jc w:val="both"/>
      </w:pPr>
      <w:r>
        <w:rPr>
          <w:rFonts w:ascii="sans-serif" w:eastAsia="sans-serif" w:hAnsi="sans-serif" w:cs="sans-serif"/>
          <w:color w:val="000000"/>
          <w:sz w:val="20"/>
          <w:szCs w:val="20"/>
        </w:rPr>
        <w:t>•failure by our foundries to develop, obtain or successfully implement high quality process technologies, including transitions to smaller geometry process technologies such as advanced process node technologies and memory designs needed to manufact</w:t>
      </w:r>
      <w:r>
        <w:rPr>
          <w:rFonts w:ascii="sans-serif" w:eastAsia="sans-serif" w:hAnsi="sans-serif" w:cs="sans-serif"/>
          <w:color w:val="000000"/>
          <w:sz w:val="20"/>
          <w:szCs w:val="20"/>
        </w:rPr>
        <w:t>ure our products;</w:t>
      </w:r>
    </w:p>
    <w:p w14:paraId="19503D9A" w14:textId="77777777" w:rsidR="00BF3A3A" w:rsidRDefault="00A76802">
      <w:pPr>
        <w:spacing w:after="180"/>
        <w:jc w:val="center"/>
      </w:pPr>
      <w:r>
        <w:rPr>
          <w:rFonts w:ascii="sans-serif" w:eastAsia="sans-serif" w:hAnsi="sans-serif" w:cs="sans-serif"/>
          <w:color w:val="000000"/>
          <w:sz w:val="20"/>
          <w:szCs w:val="20"/>
        </w:rPr>
        <w:t>36</w:t>
      </w:r>
    </w:p>
    <w:p w14:paraId="19503D9B" w14:textId="77777777" w:rsidR="00BF3A3A" w:rsidRDefault="00A76802">
      <w:r>
        <w:pict w14:anchorId="19503FE9">
          <v:rect id="_x0000_i1060" style="width:415.3pt;height:1.5pt" o:hralign="center" o:hrstd="t" o:hr="t" fillcolor="#a0a0a0" stroked="f"/>
        </w:pict>
      </w:r>
    </w:p>
    <w:p w14:paraId="19503D9C" w14:textId="77777777" w:rsidR="00BF3A3A" w:rsidRDefault="00BF3A3A">
      <w:pPr>
        <w:spacing w:after="180"/>
        <w:jc w:val="both"/>
      </w:pPr>
    </w:p>
    <w:p w14:paraId="19503D9D" w14:textId="77777777" w:rsidR="00BF3A3A" w:rsidRDefault="00BF3A3A">
      <w:pPr>
        <w:spacing w:after="180"/>
        <w:jc w:val="both"/>
      </w:pPr>
    </w:p>
    <w:p w14:paraId="19503D9E" w14:textId="77777777" w:rsidR="00BF3A3A" w:rsidRDefault="00BF3A3A">
      <w:pPr>
        <w:spacing w:after="180"/>
        <w:jc w:val="both"/>
      </w:pPr>
    </w:p>
    <w:p w14:paraId="19503D9F" w14:textId="77777777" w:rsidR="00BF3A3A" w:rsidRDefault="00A76802">
      <w:pPr>
        <w:spacing w:after="180"/>
        <w:ind w:hanging="360"/>
        <w:jc w:val="both"/>
      </w:pPr>
      <w:r>
        <w:rPr>
          <w:rFonts w:ascii="sans-serif" w:eastAsia="sans-serif" w:hAnsi="sans-serif" w:cs="sans-serif"/>
          <w:color w:val="000000"/>
          <w:sz w:val="20"/>
          <w:szCs w:val="20"/>
        </w:rPr>
        <w:t>•limited number of global suppliers, foundries, contract manufacturers, assembly and test providers, and memory manufacturers;</w:t>
      </w:r>
    </w:p>
    <w:p w14:paraId="19503DA0" w14:textId="77777777" w:rsidR="00BF3A3A" w:rsidRDefault="00A76802">
      <w:pPr>
        <w:spacing w:after="180"/>
        <w:ind w:hanging="360"/>
        <w:jc w:val="both"/>
      </w:pPr>
      <w:r>
        <w:rPr>
          <w:rFonts w:ascii="sans-serif" w:eastAsia="sans-serif" w:hAnsi="sans-serif" w:cs="sans-serif"/>
          <w:color w:val="000000"/>
          <w:sz w:val="20"/>
          <w:szCs w:val="20"/>
        </w:rPr>
        <w:t xml:space="preserve">•loss of a supplier and additional expense and/or production delays as a result of qualifying a new </w:t>
      </w:r>
      <w:r>
        <w:rPr>
          <w:rFonts w:ascii="sans-serif" w:eastAsia="sans-serif" w:hAnsi="sans-serif" w:cs="sans-serif"/>
          <w:color w:val="000000"/>
          <w:sz w:val="20"/>
          <w:szCs w:val="20"/>
        </w:rPr>
        <w:t>foundry or subcontractor and commencing volume production or testing in the event of a loss of or a decision to add or change a supplier;</w:t>
      </w:r>
    </w:p>
    <w:p w14:paraId="19503DA1" w14:textId="77777777" w:rsidR="00BF3A3A" w:rsidRDefault="00A76802">
      <w:pPr>
        <w:spacing w:after="180"/>
        <w:ind w:hanging="360"/>
        <w:jc w:val="both"/>
      </w:pPr>
      <w:r>
        <w:rPr>
          <w:rFonts w:ascii="sans-serif" w:eastAsia="sans-serif" w:hAnsi="sans-serif" w:cs="sans-serif"/>
          <w:color w:val="000000"/>
          <w:sz w:val="20"/>
          <w:szCs w:val="20"/>
        </w:rPr>
        <w:t>•lack of direct control over product quantity, quality and delivery schedules;</w:t>
      </w:r>
    </w:p>
    <w:p w14:paraId="19503DA2" w14:textId="77777777" w:rsidR="00BF3A3A" w:rsidRDefault="00A76802">
      <w:pPr>
        <w:spacing w:after="180"/>
        <w:ind w:hanging="360"/>
        <w:jc w:val="both"/>
      </w:pPr>
      <w:r>
        <w:rPr>
          <w:rFonts w:ascii="sans-serif" w:eastAsia="sans-serif" w:hAnsi="sans-serif" w:cs="sans-serif"/>
          <w:color w:val="000000"/>
          <w:sz w:val="20"/>
          <w:szCs w:val="20"/>
        </w:rPr>
        <w:t>•suppliers or their suppliers failing t</w:t>
      </w:r>
      <w:r>
        <w:rPr>
          <w:rFonts w:ascii="sans-serif" w:eastAsia="sans-serif" w:hAnsi="sans-serif" w:cs="sans-serif"/>
          <w:color w:val="000000"/>
          <w:sz w:val="20"/>
          <w:szCs w:val="20"/>
        </w:rPr>
        <w:t>o supply high quality products and/or making changes to their products without our qualification;</w:t>
      </w:r>
    </w:p>
    <w:p w14:paraId="19503DA3" w14:textId="77777777" w:rsidR="00BF3A3A" w:rsidRDefault="00A76802">
      <w:pPr>
        <w:spacing w:after="180"/>
        <w:ind w:hanging="360"/>
        <w:jc w:val="both"/>
      </w:pPr>
      <w:r>
        <w:rPr>
          <w:rFonts w:ascii="sans-serif" w:eastAsia="sans-serif" w:hAnsi="sans-serif" w:cs="sans-serif"/>
          <w:color w:val="000000"/>
          <w:sz w:val="20"/>
          <w:szCs w:val="20"/>
        </w:rPr>
        <w:t>•delays in product shipments, shortages, a decrease in product quality and/or higher expenses in the event our subcontractors or foundries prioritize our comp</w:t>
      </w:r>
      <w:r>
        <w:rPr>
          <w:rFonts w:ascii="sans-serif" w:eastAsia="sans-serif" w:hAnsi="sans-serif" w:cs="sans-serif"/>
          <w:color w:val="000000"/>
          <w:sz w:val="20"/>
          <w:szCs w:val="20"/>
        </w:rPr>
        <w:t xml:space="preserve">etitors’ orders over ours; </w:t>
      </w:r>
    </w:p>
    <w:p w14:paraId="19503DA4" w14:textId="77777777" w:rsidR="00BF3A3A" w:rsidRDefault="00A76802">
      <w:pPr>
        <w:spacing w:after="180"/>
        <w:ind w:hanging="360"/>
        <w:jc w:val="both"/>
      </w:pPr>
      <w:r>
        <w:rPr>
          <w:rFonts w:ascii="sans-serif" w:eastAsia="sans-serif" w:hAnsi="sans-serif" w:cs="sans-serif"/>
          <w:color w:val="000000"/>
          <w:sz w:val="20"/>
          <w:szCs w:val="20"/>
        </w:rPr>
        <w:t>•low manufacturing yields resulting from a failure in our product design or a foundry’s proprietary process technology; and</w:t>
      </w:r>
    </w:p>
    <w:p w14:paraId="19503DA5" w14:textId="77777777" w:rsidR="00BF3A3A" w:rsidRDefault="00A76802">
      <w:pPr>
        <w:spacing w:after="180"/>
        <w:ind w:hanging="360"/>
        <w:jc w:val="both"/>
      </w:pPr>
      <w:r>
        <w:rPr>
          <w:rFonts w:ascii="sans-serif" w:eastAsia="sans-serif" w:hAnsi="sans-serif" w:cs="sans-serif"/>
          <w:color w:val="000000"/>
          <w:sz w:val="20"/>
          <w:szCs w:val="20"/>
        </w:rPr>
        <w:t>•disruptions in manufacturing, assembly and other processes due to heat wave closures and electricity co</w:t>
      </w:r>
      <w:r>
        <w:rPr>
          <w:rFonts w:ascii="sans-serif" w:eastAsia="sans-serif" w:hAnsi="sans-serif" w:cs="sans-serif"/>
          <w:color w:val="000000"/>
          <w:sz w:val="20"/>
          <w:szCs w:val="20"/>
        </w:rPr>
        <w:t>nservation efforts.</w:t>
      </w:r>
    </w:p>
    <w:p w14:paraId="19503DA6" w14:textId="77777777" w:rsidR="00BF3A3A" w:rsidRDefault="00A76802">
      <w:pPr>
        <w:spacing w:before="120" w:after="120"/>
        <w:jc w:val="both"/>
      </w:pPr>
      <w:r>
        <w:rPr>
          <w:rFonts w:ascii="sans-serif" w:eastAsia="sans-serif" w:hAnsi="sans-serif" w:cs="sans-serif"/>
          <w:b/>
          <w:bCs/>
          <w:color w:val="000000"/>
          <w:sz w:val="20"/>
          <w:szCs w:val="20"/>
        </w:rPr>
        <w:t>We have incurred and could in the future incur significant expenses to remediate defects in our products, which can damage our reputation and cause us to lose market share.</w:t>
      </w:r>
    </w:p>
    <w:p w14:paraId="19503DA7" w14:textId="77777777" w:rsidR="00BF3A3A" w:rsidRDefault="00A76802">
      <w:pPr>
        <w:spacing w:after="180"/>
        <w:jc w:val="both"/>
      </w:pPr>
      <w:r>
        <w:rPr>
          <w:rFonts w:ascii="sans-serif" w:eastAsia="sans-serif" w:hAnsi="sans-serif" w:cs="sans-serif"/>
          <w:color w:val="000000"/>
          <w:sz w:val="20"/>
          <w:szCs w:val="20"/>
        </w:rPr>
        <w:t>Our hardware and software product offerings are complex and they have in the past and may in the future contain defects or security vulnerabilities, or experience failures or unsatisfactory performance due to any number of issues in design, fabrication, pa</w:t>
      </w:r>
      <w:r>
        <w:rPr>
          <w:rFonts w:ascii="sans-serif" w:eastAsia="sans-serif" w:hAnsi="sans-serif" w:cs="sans-serif"/>
          <w:color w:val="000000"/>
          <w:sz w:val="20"/>
          <w:szCs w:val="20"/>
        </w:rPr>
        <w:t>ckaging, materials and/or use within a system. These risks may increase as our products are introduced into new devices, markets, technologies and applications or as new versions are released. These risks further increase when we rely on partners to supply</w:t>
      </w:r>
      <w:r>
        <w:rPr>
          <w:rFonts w:ascii="sans-serif" w:eastAsia="sans-serif" w:hAnsi="sans-serif" w:cs="sans-serif"/>
          <w:color w:val="000000"/>
          <w:sz w:val="20"/>
          <w:szCs w:val="20"/>
        </w:rPr>
        <w:t xml:space="preserve"> and manufacture components that are used in our products, as these arrangements reduce our direct control over production. Although arrangements with component providers may contain provisions for product defect expense reimbursement, we generally remain </w:t>
      </w:r>
      <w:r>
        <w:rPr>
          <w:rFonts w:ascii="sans-serif" w:eastAsia="sans-serif" w:hAnsi="sans-serif" w:cs="sans-serif"/>
          <w:color w:val="000000"/>
          <w:sz w:val="20"/>
          <w:szCs w:val="20"/>
        </w:rPr>
        <w:t>responsible to the customer for warranty product defects that may occur from time to time. Some failures in our products or services have been in the past and may in the future be only discovered after a product or service has been shipped or used. Undisco</w:t>
      </w:r>
      <w:r>
        <w:rPr>
          <w:rFonts w:ascii="sans-serif" w:eastAsia="sans-serif" w:hAnsi="sans-serif" w:cs="sans-serif"/>
          <w:color w:val="000000"/>
          <w:sz w:val="20"/>
          <w:szCs w:val="20"/>
        </w:rPr>
        <w:t xml:space="preserve">vered vulnerabilities in our products or services could result in loss of data or intangible property, or expose our end customers to unscrupulous third parties who develop and deploy malicious software programs that could attack our products or services. </w:t>
      </w:r>
      <w:r>
        <w:rPr>
          <w:rFonts w:ascii="sans-serif" w:eastAsia="sans-serif" w:hAnsi="sans-serif" w:cs="sans-serif"/>
          <w:color w:val="000000"/>
          <w:sz w:val="20"/>
          <w:szCs w:val="20"/>
        </w:rPr>
        <w:t>Defects or failure of our products to perform to specifications could lead to substantial damage to the products or the product in which our device has been integrated by OEMs, ODMs, AIBs and Tier 1 automotive suppliers, and to the user of such end product</w:t>
      </w:r>
      <w:r>
        <w:rPr>
          <w:rFonts w:ascii="sans-serif" w:eastAsia="sans-serif" w:hAnsi="sans-serif" w:cs="sans-serif"/>
          <w:color w:val="000000"/>
          <w:sz w:val="20"/>
          <w:szCs w:val="20"/>
        </w:rPr>
        <w:t>. Any such defect may cause us to incur significant warranty, support and repair or replacement costs as part of a product recall or otherwise, write-off the value of related inventory, and divert the attention of our engineering personnel from our product</w:t>
      </w:r>
      <w:r>
        <w:rPr>
          <w:rFonts w:ascii="sans-serif" w:eastAsia="sans-serif" w:hAnsi="sans-serif" w:cs="sans-serif"/>
          <w:color w:val="000000"/>
          <w:sz w:val="20"/>
          <w:szCs w:val="20"/>
        </w:rPr>
        <w:t xml:space="preserve"> development efforts to find and correct the issue. Our efforts to remedy these issues may not be timely or may not be satisfactory to our customers. An error or defect in new products or releases or related software drivers after commencement of commercia</w:t>
      </w:r>
      <w:r>
        <w:rPr>
          <w:rFonts w:ascii="sans-serif" w:eastAsia="sans-serif" w:hAnsi="sans-serif" w:cs="sans-serif"/>
          <w:color w:val="000000"/>
          <w:sz w:val="20"/>
          <w:szCs w:val="20"/>
        </w:rPr>
        <w:t>l shipments could result in failure to achieve market acceptance, loss of design wins, temporary or permanent withdrawal from a product or market, and harm to our relationships with existing and prospective customers and partners and consumers’ perceptions</w:t>
      </w:r>
      <w:r>
        <w:rPr>
          <w:rFonts w:ascii="sans-serif" w:eastAsia="sans-serif" w:hAnsi="sans-serif" w:cs="sans-serif"/>
          <w:color w:val="000000"/>
          <w:sz w:val="20"/>
          <w:szCs w:val="20"/>
        </w:rPr>
        <w:t xml:space="preserve"> of our brand, which would in turn negatively impact our business operations, gross margin, revenue and/or financial results. We may be required to reimburse our customers, partners or consumers, including for costs to repair or replace products in the fie</w:t>
      </w:r>
      <w:r>
        <w:rPr>
          <w:rFonts w:ascii="sans-serif" w:eastAsia="sans-serif" w:hAnsi="sans-serif" w:cs="sans-serif"/>
          <w:color w:val="000000"/>
          <w:sz w:val="20"/>
          <w:szCs w:val="20"/>
        </w:rPr>
        <w:t xml:space="preserve">ld or in connection with indemnification obligations, or pay fines imposed by regulatory agencies. </w:t>
      </w:r>
    </w:p>
    <w:p w14:paraId="19503DA8" w14:textId="77777777" w:rsidR="00BF3A3A" w:rsidRDefault="00A76802">
      <w:pPr>
        <w:spacing w:after="180"/>
        <w:jc w:val="both"/>
      </w:pPr>
      <w:r>
        <w:rPr>
          <w:rFonts w:ascii="sans-serif" w:eastAsia="sans-serif" w:hAnsi="sans-serif" w:cs="sans-serif"/>
          <w:color w:val="000000"/>
          <w:sz w:val="20"/>
          <w:szCs w:val="20"/>
        </w:rPr>
        <w:t xml:space="preserve">For example, a defect was identified in a third-party component embedded in certain Data Center products. This defect has had, and other defects may in the </w:t>
      </w:r>
      <w:r>
        <w:rPr>
          <w:rFonts w:ascii="sans-serif" w:eastAsia="sans-serif" w:hAnsi="sans-serif" w:cs="sans-serif"/>
          <w:color w:val="000000"/>
          <w:sz w:val="20"/>
          <w:szCs w:val="20"/>
        </w:rPr>
        <w:t>future have, an adverse effect on our cost and supply of components and finished goods. While we have been working to fix the defect, we have needed to replace those products instead of repairing them, resulting in greater costs to us. These costs could be</w:t>
      </w:r>
      <w:r>
        <w:rPr>
          <w:rFonts w:ascii="sans-serif" w:eastAsia="sans-serif" w:hAnsi="sans-serif" w:cs="sans-serif"/>
          <w:color w:val="000000"/>
          <w:sz w:val="20"/>
          <w:szCs w:val="20"/>
        </w:rPr>
        <w:t xml:space="preserve"> significant in future periods. We recorded $122 million for warranty reserves in the second quarter of fiscal year 2023 primarily in connection with this defect. While we believe we have accurately recorded for the warranty reserve, we may need to record </w:t>
      </w:r>
      <w:r>
        <w:rPr>
          <w:rFonts w:ascii="sans-serif" w:eastAsia="sans-serif" w:hAnsi="sans-serif" w:cs="sans-serif"/>
          <w:color w:val="000000"/>
          <w:sz w:val="20"/>
          <w:szCs w:val="20"/>
        </w:rPr>
        <w:t>additional amounts in the future if our estimate proves to be incorrect. If a product liability claim is brought against us, even if the alleged damage is due to the actions or inactions of a third party, such as within our supply chain, the cost of defend</w:t>
      </w:r>
      <w:r>
        <w:rPr>
          <w:rFonts w:ascii="sans-serif" w:eastAsia="sans-serif" w:hAnsi="sans-serif" w:cs="sans-serif"/>
          <w:color w:val="000000"/>
          <w:sz w:val="20"/>
          <w:szCs w:val="20"/>
        </w:rPr>
        <w:t>ing the claim could be significant and would divert the efforts of our technical and management personnel and harm our business. Further, our business liability insurance may be inadequate or future coverage may be unavailable on acceptable terms, which co</w:t>
      </w:r>
      <w:r>
        <w:rPr>
          <w:rFonts w:ascii="sans-serif" w:eastAsia="sans-serif" w:hAnsi="sans-serif" w:cs="sans-serif"/>
          <w:color w:val="000000"/>
          <w:sz w:val="20"/>
          <w:szCs w:val="20"/>
        </w:rPr>
        <w:t xml:space="preserve">uld adversely impact our financial results. </w:t>
      </w:r>
    </w:p>
    <w:p w14:paraId="19503DA9" w14:textId="77777777" w:rsidR="00BF3A3A" w:rsidRDefault="00A76802">
      <w:pPr>
        <w:spacing w:after="180"/>
        <w:jc w:val="center"/>
      </w:pPr>
      <w:r>
        <w:rPr>
          <w:rFonts w:ascii="sans-serif" w:eastAsia="sans-serif" w:hAnsi="sans-serif" w:cs="sans-serif"/>
          <w:color w:val="000000"/>
          <w:sz w:val="20"/>
          <w:szCs w:val="20"/>
        </w:rPr>
        <w:t>37</w:t>
      </w:r>
    </w:p>
    <w:p w14:paraId="19503DAA" w14:textId="77777777" w:rsidR="00BF3A3A" w:rsidRDefault="00A76802">
      <w:r>
        <w:pict w14:anchorId="19503FEA">
          <v:rect id="_x0000_i1061" style="width:415.3pt;height:1.5pt" o:hralign="center" o:hrstd="t" o:hr="t" fillcolor="#a0a0a0" stroked="f"/>
        </w:pict>
      </w:r>
    </w:p>
    <w:p w14:paraId="19503DAB" w14:textId="77777777" w:rsidR="00BF3A3A" w:rsidRDefault="00BF3A3A">
      <w:pPr>
        <w:spacing w:after="180"/>
        <w:jc w:val="both"/>
      </w:pPr>
    </w:p>
    <w:p w14:paraId="19503DAC" w14:textId="77777777" w:rsidR="00BF3A3A" w:rsidRDefault="00BF3A3A">
      <w:pPr>
        <w:spacing w:after="180"/>
        <w:jc w:val="both"/>
      </w:pPr>
    </w:p>
    <w:p w14:paraId="19503DAD" w14:textId="77777777" w:rsidR="00BF3A3A" w:rsidRDefault="00BF3A3A">
      <w:pPr>
        <w:spacing w:after="180"/>
        <w:jc w:val="both"/>
      </w:pPr>
    </w:p>
    <w:p w14:paraId="19503DAE" w14:textId="77777777" w:rsidR="00BF3A3A" w:rsidRDefault="00A76802">
      <w:pPr>
        <w:spacing w:before="120" w:after="120"/>
        <w:jc w:val="both"/>
      </w:pPr>
      <w:r>
        <w:rPr>
          <w:rFonts w:ascii="sans-serif" w:eastAsia="sans-serif" w:hAnsi="sans-serif" w:cs="sans-serif"/>
          <w:b/>
          <w:bCs/>
          <w:color w:val="000000"/>
          <w:sz w:val="20"/>
          <w:szCs w:val="20"/>
        </w:rPr>
        <w:t>We are subject to risks and uncertainties associated with international operations, including adverse economic conditions, which may harm our business.</w:t>
      </w:r>
    </w:p>
    <w:p w14:paraId="19503DAF" w14:textId="77777777" w:rsidR="00BF3A3A" w:rsidRDefault="00A76802">
      <w:pPr>
        <w:spacing w:before="120" w:after="120"/>
        <w:jc w:val="both"/>
      </w:pPr>
      <w:r>
        <w:rPr>
          <w:rFonts w:ascii="sans-serif" w:eastAsia="sans-serif" w:hAnsi="sans-serif" w:cs="sans-serif"/>
          <w:color w:val="000000"/>
          <w:sz w:val="20"/>
          <w:szCs w:val="20"/>
        </w:rPr>
        <w:t>We conduct our business and have offices worldwide.</w:t>
      </w:r>
      <w:r>
        <w:rPr>
          <w:rFonts w:ascii="sans-serif" w:eastAsia="sans-serif" w:hAnsi="sans-serif" w:cs="sans-serif"/>
          <w:color w:val="000000"/>
          <w:sz w:val="20"/>
          <w:szCs w:val="20"/>
        </w:rPr>
        <w:t xml:space="preserve"> Our semiconductor wafers are manufactured, assembled, tested and packaged by third parties located outside of the United States and we generated 70% and 74% of our revenue for the second quarter and first half of fiscal year 2023, respectively, from sales</w:t>
      </w:r>
      <w:r>
        <w:rPr>
          <w:rFonts w:ascii="sans-serif" w:eastAsia="sans-serif" w:hAnsi="sans-serif" w:cs="sans-serif"/>
          <w:color w:val="000000"/>
          <w:sz w:val="20"/>
          <w:szCs w:val="20"/>
        </w:rPr>
        <w:t xml:space="preserve"> outside of the United States. The global nature of our business subjects us to a number of risks and uncertainties, which could have a material adverse effect on our business, financial condition and results of operations, including:</w:t>
      </w:r>
    </w:p>
    <w:p w14:paraId="19503DB0" w14:textId="77777777" w:rsidR="00BF3A3A" w:rsidRDefault="00A76802">
      <w:pPr>
        <w:spacing w:after="180"/>
        <w:ind w:hanging="360"/>
        <w:jc w:val="both"/>
      </w:pPr>
      <w:r>
        <w:rPr>
          <w:rFonts w:ascii="sans-serif" w:eastAsia="sans-serif" w:hAnsi="sans-serif" w:cs="sans-serif"/>
          <w:color w:val="000000"/>
          <w:sz w:val="20"/>
          <w:szCs w:val="20"/>
        </w:rPr>
        <w:t>•domestic and interna</w:t>
      </w:r>
      <w:r>
        <w:rPr>
          <w:rFonts w:ascii="sans-serif" w:eastAsia="sans-serif" w:hAnsi="sans-serif" w:cs="sans-serif"/>
          <w:color w:val="000000"/>
          <w:sz w:val="20"/>
          <w:szCs w:val="20"/>
        </w:rPr>
        <w:t>tional economic and political conditions between countries in which we and our suppliers and manufacturers do business;</w:t>
      </w:r>
    </w:p>
    <w:p w14:paraId="19503DB1" w14:textId="77777777" w:rsidR="00BF3A3A" w:rsidRDefault="00A76802">
      <w:pPr>
        <w:spacing w:after="180"/>
        <w:ind w:hanging="360"/>
        <w:jc w:val="both"/>
      </w:pPr>
      <w:r>
        <w:rPr>
          <w:rFonts w:ascii="sans-serif" w:eastAsia="sans-serif" w:hAnsi="sans-serif" w:cs="sans-serif"/>
          <w:color w:val="000000"/>
          <w:sz w:val="20"/>
          <w:szCs w:val="20"/>
        </w:rPr>
        <w:t>•government lockdowns to control COVID-19 cases;</w:t>
      </w:r>
    </w:p>
    <w:p w14:paraId="19503DB2" w14:textId="77777777" w:rsidR="00BF3A3A" w:rsidRDefault="00A76802">
      <w:pPr>
        <w:spacing w:after="180"/>
        <w:ind w:hanging="360"/>
        <w:jc w:val="both"/>
      </w:pPr>
      <w:r>
        <w:rPr>
          <w:rFonts w:ascii="sans-serif" w:eastAsia="sans-serif" w:hAnsi="sans-serif" w:cs="sans-serif"/>
          <w:color w:val="000000"/>
          <w:sz w:val="20"/>
          <w:szCs w:val="20"/>
        </w:rPr>
        <w:t>•differing legal standards with respect to protection of IP and employment practices;</w:t>
      </w:r>
    </w:p>
    <w:p w14:paraId="19503DB3" w14:textId="77777777" w:rsidR="00BF3A3A" w:rsidRDefault="00A76802">
      <w:pPr>
        <w:spacing w:after="180"/>
        <w:ind w:hanging="360"/>
        <w:jc w:val="both"/>
      </w:pPr>
      <w:r>
        <w:rPr>
          <w:rFonts w:ascii="sans-serif" w:eastAsia="sans-serif" w:hAnsi="sans-serif" w:cs="sans-serif"/>
          <w:color w:val="000000"/>
          <w:sz w:val="20"/>
          <w:szCs w:val="20"/>
        </w:rPr>
        <w:t>•</w:t>
      </w:r>
      <w:r>
        <w:rPr>
          <w:rFonts w:ascii="sans-serif" w:eastAsia="sans-serif" w:hAnsi="sans-serif" w:cs="sans-serif"/>
          <w:color w:val="000000"/>
          <w:sz w:val="20"/>
          <w:szCs w:val="20"/>
        </w:rPr>
        <w:t>domestic and international business and cultural practices that differ;</w:t>
      </w:r>
    </w:p>
    <w:p w14:paraId="19503DB4" w14:textId="77777777" w:rsidR="00BF3A3A" w:rsidRDefault="00A76802">
      <w:pPr>
        <w:spacing w:after="180"/>
        <w:ind w:hanging="360"/>
        <w:jc w:val="both"/>
      </w:pPr>
      <w:r>
        <w:rPr>
          <w:rFonts w:ascii="sans-serif" w:eastAsia="sans-serif" w:hAnsi="sans-serif" w:cs="sans-serif"/>
          <w:color w:val="000000"/>
          <w:sz w:val="20"/>
          <w:szCs w:val="20"/>
        </w:rPr>
        <w:t>•disruptions to capital markets, counter-inflation policies, and/or currency fluctuations; and</w:t>
      </w:r>
    </w:p>
    <w:p w14:paraId="19503DB5" w14:textId="77777777" w:rsidR="00BF3A3A" w:rsidRDefault="00A76802">
      <w:pPr>
        <w:spacing w:after="180"/>
        <w:ind w:hanging="360"/>
        <w:jc w:val="both"/>
      </w:pPr>
      <w:r>
        <w:rPr>
          <w:rFonts w:ascii="sans-serif" w:eastAsia="sans-serif" w:hAnsi="sans-serif" w:cs="sans-serif"/>
          <w:color w:val="000000"/>
          <w:sz w:val="20"/>
          <w:szCs w:val="20"/>
        </w:rPr>
        <w:t xml:space="preserve">•natural disasters, acts of war or other military actions, terrorism, public health </w:t>
      </w:r>
      <w:r>
        <w:rPr>
          <w:rFonts w:ascii="sans-serif" w:eastAsia="sans-serif" w:hAnsi="sans-serif" w:cs="sans-serif"/>
          <w:color w:val="000000"/>
          <w:sz w:val="20"/>
          <w:szCs w:val="20"/>
        </w:rPr>
        <w:t>issues, and other catastrophic events.</w:t>
      </w:r>
    </w:p>
    <w:p w14:paraId="19503DB6" w14:textId="77777777" w:rsidR="00BF3A3A" w:rsidRDefault="00A76802">
      <w:pPr>
        <w:spacing w:after="180"/>
        <w:jc w:val="both"/>
      </w:pPr>
      <w:r>
        <w:rPr>
          <w:rFonts w:ascii="sans-serif" w:eastAsia="sans-serif" w:hAnsi="sans-serif" w:cs="sans-serif"/>
          <w:color w:val="000000"/>
          <w:sz w:val="20"/>
          <w:szCs w:val="20"/>
        </w:rPr>
        <w:t>Adverse changes in global, regional or local economic conditions, including recession or slowing growth, the COVID-19 pandemic or other global or local health issues, geopolitical instability, changes or uncertainty i</w:t>
      </w:r>
      <w:r>
        <w:rPr>
          <w:rFonts w:ascii="sans-serif" w:eastAsia="sans-serif" w:hAnsi="sans-serif" w:cs="sans-serif"/>
          <w:color w:val="000000"/>
          <w:sz w:val="20"/>
          <w:szCs w:val="20"/>
        </w:rPr>
        <w:t>n fiscal, monetary, or trade policy, higher interest rates, tighter credit, inflation, lower capital expenditures by businesses including on IT infrastructure, increases in unemployment, labor shortages and lower consumer confidence and spending, periodica</w:t>
      </w:r>
      <w:r>
        <w:rPr>
          <w:rFonts w:ascii="sans-serif" w:eastAsia="sans-serif" w:hAnsi="sans-serif" w:cs="sans-serif"/>
          <w:color w:val="000000"/>
          <w:sz w:val="20"/>
          <w:szCs w:val="20"/>
        </w:rPr>
        <w:t>lly occur. Increased costs for wafers, components, logistics, and other supply chain expenses, driven in part by inflation, have negatively impacted our gross margin and may continue to impact our gross margin. Inflation may also continue to cause increase</w:t>
      </w:r>
      <w:r>
        <w:rPr>
          <w:rFonts w:ascii="sans-serif" w:eastAsia="sans-serif" w:hAnsi="sans-serif" w:cs="sans-serif"/>
          <w:color w:val="000000"/>
          <w:sz w:val="20"/>
          <w:szCs w:val="20"/>
        </w:rPr>
        <w:t xml:space="preserve">d supply, employee, facilities and infrastructure costs, decreased demand for our products, and volatility in the financial markets. To the extent such inflation continues, increases or both, it may reduce our margins and have a material adverse effect on </w:t>
      </w:r>
      <w:r>
        <w:rPr>
          <w:rFonts w:ascii="sans-serif" w:eastAsia="sans-serif" w:hAnsi="sans-serif" w:cs="sans-serif"/>
          <w:color w:val="000000"/>
          <w:sz w:val="20"/>
          <w:szCs w:val="20"/>
        </w:rPr>
        <w:t>our financial performance.</w:t>
      </w:r>
    </w:p>
    <w:p w14:paraId="19503DB7" w14:textId="77777777" w:rsidR="00BF3A3A" w:rsidRDefault="00A76802">
      <w:pPr>
        <w:spacing w:after="180"/>
        <w:jc w:val="both"/>
      </w:pPr>
      <w:r>
        <w:rPr>
          <w:rFonts w:ascii="sans-serif" w:eastAsia="sans-serif" w:hAnsi="sans-serif" w:cs="sans-serif"/>
          <w:color w:val="000000"/>
          <w:sz w:val="20"/>
          <w:szCs w:val="20"/>
        </w:rPr>
        <w:t>Economic and industry uncertainty or changes could have adverse, wide-ranging effects on our business and financial results, including:</w:t>
      </w:r>
    </w:p>
    <w:p w14:paraId="19503DB8" w14:textId="77777777" w:rsidR="00BF3A3A" w:rsidRDefault="00A76802">
      <w:pPr>
        <w:spacing w:after="180"/>
        <w:ind w:hanging="360"/>
        <w:jc w:val="both"/>
      </w:pPr>
      <w:r>
        <w:rPr>
          <w:rFonts w:ascii="sans-serif" w:eastAsia="sans-serif" w:hAnsi="sans-serif" w:cs="sans-serif"/>
          <w:color w:val="000000"/>
          <w:sz w:val="20"/>
          <w:szCs w:val="20"/>
        </w:rPr>
        <w:t>•decrease in demand for our products, services and technologies and those of our customers or</w:t>
      </w:r>
      <w:r>
        <w:rPr>
          <w:rFonts w:ascii="sans-serif" w:eastAsia="sans-serif" w:hAnsi="sans-serif" w:cs="sans-serif"/>
          <w:color w:val="000000"/>
          <w:sz w:val="20"/>
          <w:szCs w:val="20"/>
        </w:rPr>
        <w:t xml:space="preserve"> licensees; </w:t>
      </w:r>
    </w:p>
    <w:p w14:paraId="19503DB9" w14:textId="77777777" w:rsidR="00BF3A3A" w:rsidRDefault="00A76802">
      <w:pPr>
        <w:spacing w:after="180"/>
        <w:ind w:hanging="360"/>
        <w:jc w:val="both"/>
      </w:pPr>
      <w:r>
        <w:rPr>
          <w:rFonts w:ascii="sans-serif" w:eastAsia="sans-serif" w:hAnsi="sans-serif" w:cs="sans-serif"/>
          <w:color w:val="000000"/>
          <w:sz w:val="20"/>
          <w:szCs w:val="20"/>
        </w:rPr>
        <w:t xml:space="preserve">•the inability of our suppliers to deliver on their supply commitments to us; </w:t>
      </w:r>
    </w:p>
    <w:p w14:paraId="19503DBA" w14:textId="77777777" w:rsidR="00BF3A3A" w:rsidRDefault="00A76802">
      <w:pPr>
        <w:spacing w:after="180"/>
        <w:ind w:hanging="360"/>
        <w:jc w:val="both"/>
      </w:pPr>
      <w:r>
        <w:rPr>
          <w:rFonts w:ascii="sans-serif" w:eastAsia="sans-serif" w:hAnsi="sans-serif" w:cs="sans-serif"/>
          <w:color w:val="000000"/>
          <w:sz w:val="20"/>
          <w:szCs w:val="20"/>
        </w:rPr>
        <w:t xml:space="preserve">•our customers’ or our licensees’ inability to supply products to customers and/or end users; </w:t>
      </w:r>
    </w:p>
    <w:p w14:paraId="19503DBB" w14:textId="77777777" w:rsidR="00BF3A3A" w:rsidRDefault="00A76802">
      <w:pPr>
        <w:spacing w:after="180"/>
        <w:ind w:hanging="360"/>
        <w:jc w:val="both"/>
      </w:pPr>
      <w:r>
        <w:rPr>
          <w:rFonts w:ascii="sans-serif" w:eastAsia="sans-serif" w:hAnsi="sans-serif" w:cs="sans-serif"/>
          <w:color w:val="000000"/>
          <w:sz w:val="20"/>
          <w:szCs w:val="20"/>
        </w:rPr>
        <w:t>•the insolvency of key suppliers, distributors, customers or licensee</w:t>
      </w:r>
      <w:r>
        <w:rPr>
          <w:rFonts w:ascii="sans-serif" w:eastAsia="sans-serif" w:hAnsi="sans-serif" w:cs="sans-serif"/>
          <w:color w:val="000000"/>
          <w:sz w:val="20"/>
          <w:szCs w:val="20"/>
        </w:rPr>
        <w:t xml:space="preserve">s; </w:t>
      </w:r>
    </w:p>
    <w:p w14:paraId="19503DBC" w14:textId="77777777" w:rsidR="00BF3A3A" w:rsidRDefault="00A76802">
      <w:pPr>
        <w:spacing w:after="180"/>
        <w:ind w:hanging="360"/>
        <w:jc w:val="both"/>
      </w:pPr>
      <w:r>
        <w:rPr>
          <w:rFonts w:ascii="sans-serif" w:eastAsia="sans-serif" w:hAnsi="sans-serif" w:cs="sans-serif"/>
          <w:color w:val="000000"/>
          <w:sz w:val="20"/>
          <w:szCs w:val="20"/>
        </w:rPr>
        <w:t xml:space="preserve">•limits on our ability to forecast operating results and make business decisions; </w:t>
      </w:r>
    </w:p>
    <w:p w14:paraId="19503DBD" w14:textId="77777777" w:rsidR="00BF3A3A" w:rsidRDefault="00A76802">
      <w:pPr>
        <w:spacing w:after="180"/>
        <w:ind w:hanging="360"/>
        <w:jc w:val="both"/>
      </w:pPr>
      <w:r>
        <w:rPr>
          <w:rFonts w:ascii="sans-serif" w:eastAsia="sans-serif" w:hAnsi="sans-serif" w:cs="sans-serif"/>
          <w:color w:val="000000"/>
          <w:sz w:val="20"/>
          <w:szCs w:val="20"/>
        </w:rPr>
        <w:t xml:space="preserve">•difficulties in obtaining capital; </w:t>
      </w:r>
    </w:p>
    <w:p w14:paraId="19503DBE" w14:textId="77777777" w:rsidR="00BF3A3A" w:rsidRDefault="00A76802">
      <w:pPr>
        <w:spacing w:after="180"/>
        <w:ind w:hanging="360"/>
        <w:jc w:val="both"/>
      </w:pPr>
      <w:r>
        <w:rPr>
          <w:rFonts w:ascii="sans-serif" w:eastAsia="sans-serif" w:hAnsi="sans-serif" w:cs="sans-serif"/>
          <w:color w:val="000000"/>
          <w:sz w:val="20"/>
          <w:szCs w:val="20"/>
        </w:rPr>
        <w:t>•reduced profitability may also cause some customers to scale back operations, exit businesses, merge with other manufacturers, or f</w:t>
      </w:r>
      <w:r>
        <w:rPr>
          <w:rFonts w:ascii="sans-serif" w:eastAsia="sans-serif" w:hAnsi="sans-serif" w:cs="sans-serif"/>
          <w:color w:val="000000"/>
          <w:sz w:val="20"/>
          <w:szCs w:val="20"/>
        </w:rPr>
        <w:t>ile for bankruptcy protection and potentially cease operations;</w:t>
      </w:r>
    </w:p>
    <w:p w14:paraId="19503DBF" w14:textId="77777777" w:rsidR="00BF3A3A" w:rsidRDefault="00A76802">
      <w:pPr>
        <w:spacing w:after="180"/>
        <w:ind w:hanging="360"/>
        <w:jc w:val="both"/>
      </w:pPr>
      <w:r>
        <w:rPr>
          <w:rFonts w:ascii="sans-serif" w:eastAsia="sans-serif" w:hAnsi="sans-serif" w:cs="sans-serif"/>
          <w:color w:val="000000"/>
          <w:sz w:val="20"/>
          <w:szCs w:val="20"/>
        </w:rPr>
        <w:t>•lead to consolidation or strategic alliances among other equipment manufacturers, which could adversely affect our ability to compete effectively; and</w:t>
      </w:r>
    </w:p>
    <w:p w14:paraId="19503DC0" w14:textId="77777777" w:rsidR="00BF3A3A" w:rsidRDefault="00A76802">
      <w:pPr>
        <w:spacing w:after="180"/>
        <w:ind w:hanging="360"/>
        <w:jc w:val="both"/>
      </w:pPr>
      <w:r>
        <w:rPr>
          <w:rFonts w:ascii="sans-serif" w:eastAsia="sans-serif" w:hAnsi="sans-serif" w:cs="sans-serif"/>
          <w:color w:val="000000"/>
          <w:sz w:val="20"/>
          <w:szCs w:val="20"/>
        </w:rPr>
        <w:t>•increased credit and collectability ris</w:t>
      </w:r>
      <w:r>
        <w:rPr>
          <w:rFonts w:ascii="sans-serif" w:eastAsia="sans-serif" w:hAnsi="sans-serif" w:cs="sans-serif"/>
          <w:color w:val="000000"/>
          <w:sz w:val="20"/>
          <w:szCs w:val="20"/>
        </w:rPr>
        <w:t>ks, higher borrowing costs or reduced availability of capital markets, reduced liquidity, adverse impacts on our suppliers, failures of counterparties including financial institutions and insurers, asset impairments, and declines in the value of our financ</w:t>
      </w:r>
      <w:r>
        <w:rPr>
          <w:rFonts w:ascii="sans-serif" w:eastAsia="sans-serif" w:hAnsi="sans-serif" w:cs="sans-serif"/>
          <w:color w:val="000000"/>
          <w:sz w:val="20"/>
          <w:szCs w:val="20"/>
        </w:rPr>
        <w:t>ial instruments.</w:t>
      </w:r>
    </w:p>
    <w:p w14:paraId="19503DC1" w14:textId="77777777" w:rsidR="00BF3A3A" w:rsidRDefault="00A76802">
      <w:pPr>
        <w:spacing w:after="180"/>
        <w:jc w:val="both"/>
      </w:pPr>
      <w:r>
        <w:rPr>
          <w:rFonts w:ascii="sans-serif" w:eastAsia="sans-serif" w:hAnsi="sans-serif" w:cs="sans-serif"/>
          <w:color w:val="000000"/>
          <w:sz w:val="20"/>
          <w:szCs w:val="20"/>
        </w:rPr>
        <w:t>We have engineering, sales support operations and manufacturing located in Israel. The State of Israel and companies with business in Israel have been and could in future be the subject of an economic boycott. Other countries have restrict</w:t>
      </w:r>
      <w:r>
        <w:rPr>
          <w:rFonts w:ascii="sans-serif" w:eastAsia="sans-serif" w:hAnsi="sans-serif" w:cs="sans-serif"/>
          <w:color w:val="000000"/>
          <w:sz w:val="20"/>
          <w:szCs w:val="20"/>
        </w:rPr>
        <w:t>ed and may continue in the future to restrict business with the State of Israel and companies with Israeli operations. Such laws and policies may have an adverse effect on our business, financial condition and results of operations.</w:t>
      </w:r>
    </w:p>
    <w:p w14:paraId="19503DC2" w14:textId="77777777" w:rsidR="00BF3A3A" w:rsidRDefault="00A76802">
      <w:pPr>
        <w:spacing w:after="180"/>
        <w:jc w:val="center"/>
      </w:pPr>
      <w:r>
        <w:rPr>
          <w:rFonts w:ascii="sans-serif" w:eastAsia="sans-serif" w:hAnsi="sans-serif" w:cs="sans-serif"/>
          <w:color w:val="000000"/>
          <w:sz w:val="20"/>
          <w:szCs w:val="20"/>
        </w:rPr>
        <w:t>38</w:t>
      </w:r>
    </w:p>
    <w:p w14:paraId="19503DC3" w14:textId="77777777" w:rsidR="00BF3A3A" w:rsidRDefault="00A76802">
      <w:r>
        <w:pict w14:anchorId="19503FEB">
          <v:rect id="_x0000_i1062" style="width:415.3pt;height:1.5pt" o:hralign="center" o:hrstd="t" o:hr="t" fillcolor="#a0a0a0" stroked="f"/>
        </w:pict>
      </w:r>
    </w:p>
    <w:p w14:paraId="19503DC4" w14:textId="77777777" w:rsidR="00BF3A3A" w:rsidRDefault="00BF3A3A">
      <w:pPr>
        <w:spacing w:after="180"/>
        <w:jc w:val="both"/>
      </w:pPr>
    </w:p>
    <w:p w14:paraId="19503DC5" w14:textId="77777777" w:rsidR="00BF3A3A" w:rsidRDefault="00BF3A3A">
      <w:pPr>
        <w:spacing w:after="180"/>
        <w:jc w:val="both"/>
      </w:pPr>
    </w:p>
    <w:p w14:paraId="19503DC6" w14:textId="77777777" w:rsidR="00BF3A3A" w:rsidRDefault="00BF3A3A">
      <w:pPr>
        <w:spacing w:after="180"/>
        <w:jc w:val="both"/>
      </w:pPr>
    </w:p>
    <w:p w14:paraId="19503DC7" w14:textId="77777777" w:rsidR="00BF3A3A" w:rsidRDefault="00A76802">
      <w:pPr>
        <w:spacing w:before="120" w:after="120"/>
        <w:jc w:val="both"/>
      </w:pPr>
      <w:r>
        <w:rPr>
          <w:rFonts w:ascii="sans-serif" w:eastAsia="sans-serif" w:hAnsi="sans-serif" w:cs="sans-serif"/>
          <w:b/>
          <w:bCs/>
          <w:color w:val="000000"/>
          <w:sz w:val="20"/>
          <w:szCs w:val="20"/>
        </w:rPr>
        <w:t>We may not be a</w:t>
      </w:r>
      <w:r>
        <w:rPr>
          <w:rFonts w:ascii="sans-serif" w:eastAsia="sans-serif" w:hAnsi="sans-serif" w:cs="sans-serif"/>
          <w:b/>
          <w:bCs/>
          <w:color w:val="000000"/>
          <w:sz w:val="20"/>
          <w:szCs w:val="20"/>
        </w:rPr>
        <w:t xml:space="preserve">ble to realize the potential benefits of business investments or acquisitions, and we may not be able to successfully integrate acquisition targets, which could hurt our ability to grow our business, develop new products or sell our products. </w:t>
      </w:r>
    </w:p>
    <w:p w14:paraId="19503DC8" w14:textId="77777777" w:rsidR="00BF3A3A" w:rsidRDefault="00A76802">
      <w:pPr>
        <w:spacing w:after="180"/>
        <w:jc w:val="both"/>
      </w:pPr>
      <w:r>
        <w:rPr>
          <w:rFonts w:ascii="sans-serif" w:eastAsia="sans-serif" w:hAnsi="sans-serif" w:cs="sans-serif"/>
          <w:color w:val="000000"/>
          <w:sz w:val="20"/>
          <w:szCs w:val="20"/>
        </w:rPr>
        <w:t>We have acqu</w:t>
      </w:r>
      <w:r>
        <w:rPr>
          <w:rFonts w:ascii="sans-serif" w:eastAsia="sans-serif" w:hAnsi="sans-serif" w:cs="sans-serif"/>
          <w:color w:val="000000"/>
          <w:sz w:val="20"/>
          <w:szCs w:val="20"/>
        </w:rPr>
        <w:t>ired and invested and may continue to do so in businesses that offer products, services and technologies that we believe will help expand or enhance our existing strategic objectives.</w:t>
      </w:r>
    </w:p>
    <w:p w14:paraId="19503DC9" w14:textId="77777777" w:rsidR="00BF3A3A" w:rsidRDefault="00A76802">
      <w:pPr>
        <w:spacing w:after="180"/>
        <w:jc w:val="both"/>
      </w:pPr>
      <w:r>
        <w:rPr>
          <w:rFonts w:ascii="sans-serif" w:eastAsia="sans-serif" w:hAnsi="sans-serif" w:cs="sans-serif"/>
          <w:color w:val="000000"/>
          <w:sz w:val="20"/>
          <w:szCs w:val="20"/>
        </w:rPr>
        <w:t>Acquisitions or investments involve significant challenges and risks and</w:t>
      </w:r>
      <w:r>
        <w:rPr>
          <w:rFonts w:ascii="sans-serif" w:eastAsia="sans-serif" w:hAnsi="sans-serif" w:cs="sans-serif"/>
          <w:color w:val="000000"/>
          <w:sz w:val="20"/>
          <w:szCs w:val="20"/>
        </w:rPr>
        <w:t xml:space="preserve"> could impair our ability to grow our business, develop new products or sell our products and ultimately could have a negative impact on our financial results. Given that our resources are limited, if we pursue a particular transaction, we may limit our ab</w:t>
      </w:r>
      <w:r>
        <w:rPr>
          <w:rFonts w:ascii="sans-serif" w:eastAsia="sans-serif" w:hAnsi="sans-serif" w:cs="sans-serif"/>
          <w:color w:val="000000"/>
          <w:sz w:val="20"/>
          <w:szCs w:val="20"/>
        </w:rPr>
        <w:t>ility to enter into other transactions that could help us achieve our strategic objectives. If we are unable to timely complete acquisitions, including due to delays and challenges in obtaining regulatory approvals, we may be unable to pursue other transac</w:t>
      </w:r>
      <w:r>
        <w:rPr>
          <w:rFonts w:ascii="sans-serif" w:eastAsia="sans-serif" w:hAnsi="sans-serif" w:cs="sans-serif"/>
          <w:color w:val="000000"/>
          <w:sz w:val="20"/>
          <w:szCs w:val="20"/>
        </w:rPr>
        <w:t>tions, we may not be able to retain critical talent from the target company, technology may evolve and make the acquisition less attractive, and other changes can take place which could reduce the anticipated benefits of the transaction and negatively impa</w:t>
      </w:r>
      <w:r>
        <w:rPr>
          <w:rFonts w:ascii="sans-serif" w:eastAsia="sans-serif" w:hAnsi="sans-serif" w:cs="sans-serif"/>
          <w:color w:val="000000"/>
          <w:sz w:val="20"/>
          <w:szCs w:val="20"/>
        </w:rPr>
        <w:t>ct our business. For example, in February 2022, NVIDIA and SoftBank announced the termination of the Share Purchase Agreement whereby NVIDIA would have acquired Arm from SoftBank. The parties agreed to terminate because of significant regulatory challenges</w:t>
      </w:r>
      <w:r>
        <w:rPr>
          <w:rFonts w:ascii="sans-serif" w:eastAsia="sans-serif" w:hAnsi="sans-serif" w:cs="sans-serif"/>
          <w:color w:val="000000"/>
          <w:sz w:val="20"/>
          <w:szCs w:val="20"/>
        </w:rPr>
        <w:t xml:space="preserve"> preventing the completion of the transaction. We recorded in operating expenses a $1.35 billion charge in the first quarter of fiscal year 2023 reflecting the write-off of the prepayment provided at signing in September 2020. In addition, to the extent th</w:t>
      </w:r>
      <w:r>
        <w:rPr>
          <w:rFonts w:ascii="sans-serif" w:eastAsia="sans-serif" w:hAnsi="sans-serif" w:cs="sans-serif"/>
          <w:color w:val="000000"/>
          <w:sz w:val="20"/>
          <w:szCs w:val="20"/>
        </w:rPr>
        <w:t>at our perceived ability to consummate acquisitions has been harmed, future acquisitions may be more difficult, complex or expensive. Further, if we hold investments in publicly traded companies, they could create volatility in our results and may generate</w:t>
      </w:r>
      <w:r>
        <w:rPr>
          <w:rFonts w:ascii="sans-serif" w:eastAsia="sans-serif" w:hAnsi="sans-serif" w:cs="sans-serif"/>
          <w:color w:val="000000"/>
          <w:sz w:val="20"/>
          <w:szCs w:val="20"/>
        </w:rPr>
        <w:t xml:space="preserve"> losses up to the value of the investment. </w:t>
      </w:r>
    </w:p>
    <w:p w14:paraId="19503DCA" w14:textId="77777777" w:rsidR="00BF3A3A" w:rsidRDefault="00A76802">
      <w:pPr>
        <w:spacing w:after="180"/>
        <w:jc w:val="both"/>
      </w:pPr>
      <w:r>
        <w:rPr>
          <w:rFonts w:ascii="sans-serif" w:eastAsia="sans-serif" w:hAnsi="sans-serif" w:cs="sans-serif"/>
          <w:color w:val="000000"/>
          <w:sz w:val="20"/>
          <w:szCs w:val="20"/>
        </w:rPr>
        <w:t>Additional risks related to acquisitions or strategic investments include, but are not limited to:</w:t>
      </w:r>
    </w:p>
    <w:p w14:paraId="19503DCB" w14:textId="77777777" w:rsidR="00BF3A3A" w:rsidRDefault="00A76802">
      <w:pPr>
        <w:spacing w:after="180"/>
        <w:ind w:hanging="360"/>
        <w:jc w:val="both"/>
      </w:pPr>
      <w:r>
        <w:rPr>
          <w:rFonts w:ascii="sans-serif" w:eastAsia="sans-serif" w:hAnsi="sans-serif" w:cs="sans-serif"/>
          <w:color w:val="000000"/>
          <w:sz w:val="20"/>
          <w:szCs w:val="20"/>
        </w:rPr>
        <w:t>•difficulty in integrating the technology, products, policies, processes, or operations and integrating and retai</w:t>
      </w:r>
      <w:r>
        <w:rPr>
          <w:rFonts w:ascii="sans-serif" w:eastAsia="sans-serif" w:hAnsi="sans-serif" w:cs="sans-serif"/>
          <w:color w:val="000000"/>
          <w:sz w:val="20"/>
          <w:szCs w:val="20"/>
        </w:rPr>
        <w:t>ning the employees of the acquired business;</w:t>
      </w:r>
    </w:p>
    <w:p w14:paraId="19503DCC" w14:textId="77777777" w:rsidR="00BF3A3A" w:rsidRDefault="00A76802">
      <w:pPr>
        <w:spacing w:after="180"/>
        <w:ind w:hanging="360"/>
        <w:jc w:val="both"/>
      </w:pPr>
      <w:r>
        <w:rPr>
          <w:rFonts w:ascii="sans-serif" w:eastAsia="sans-serif" w:hAnsi="sans-serif" w:cs="sans-serif"/>
          <w:color w:val="000000"/>
          <w:sz w:val="20"/>
          <w:szCs w:val="20"/>
        </w:rPr>
        <w:t>•diversion of capital and other resources, including management’s attention;</w:t>
      </w:r>
    </w:p>
    <w:p w14:paraId="19503DCD" w14:textId="77777777" w:rsidR="00BF3A3A" w:rsidRDefault="00A76802">
      <w:pPr>
        <w:spacing w:after="180"/>
        <w:ind w:hanging="360"/>
        <w:jc w:val="both"/>
      </w:pPr>
      <w:r>
        <w:rPr>
          <w:rFonts w:ascii="sans-serif" w:eastAsia="sans-serif" w:hAnsi="sans-serif" w:cs="sans-serif"/>
          <w:color w:val="000000"/>
          <w:sz w:val="20"/>
          <w:szCs w:val="20"/>
        </w:rPr>
        <w:t xml:space="preserve">•assumption of liabilities and incurring amortization expenses, impairment charges to goodwill or write-downs of acquired </w:t>
      </w:r>
      <w:r>
        <w:rPr>
          <w:rFonts w:ascii="sans-serif" w:eastAsia="sans-serif" w:hAnsi="sans-serif" w:cs="sans-serif"/>
          <w:color w:val="000000"/>
          <w:sz w:val="20"/>
          <w:szCs w:val="20"/>
        </w:rPr>
        <w:t>assets;</w:t>
      </w:r>
    </w:p>
    <w:p w14:paraId="19503DCE" w14:textId="77777777" w:rsidR="00BF3A3A" w:rsidRDefault="00A76802">
      <w:pPr>
        <w:spacing w:after="180"/>
        <w:ind w:hanging="360"/>
        <w:jc w:val="both"/>
      </w:pPr>
      <w:r>
        <w:rPr>
          <w:rFonts w:ascii="sans-serif" w:eastAsia="sans-serif" w:hAnsi="sans-serif" w:cs="sans-serif"/>
          <w:color w:val="000000"/>
          <w:sz w:val="20"/>
          <w:szCs w:val="20"/>
        </w:rPr>
        <w:t>•integrating accounting, forecasting and controls, procedures and reporting cycles;</w:t>
      </w:r>
    </w:p>
    <w:p w14:paraId="19503DCF" w14:textId="77777777" w:rsidR="00BF3A3A" w:rsidRDefault="00A76802">
      <w:pPr>
        <w:spacing w:after="180"/>
        <w:ind w:hanging="360"/>
        <w:jc w:val="both"/>
      </w:pPr>
      <w:r>
        <w:rPr>
          <w:rFonts w:ascii="sans-serif" w:eastAsia="sans-serif" w:hAnsi="sans-serif" w:cs="sans-serif"/>
          <w:color w:val="000000"/>
          <w:sz w:val="20"/>
          <w:szCs w:val="20"/>
        </w:rPr>
        <w:t>•coordinating and integrating operations, particularly in countries in which we do not currently operate;</w:t>
      </w:r>
    </w:p>
    <w:p w14:paraId="19503DD0" w14:textId="77777777" w:rsidR="00BF3A3A" w:rsidRDefault="00A76802">
      <w:pPr>
        <w:spacing w:after="180"/>
        <w:ind w:hanging="360"/>
        <w:jc w:val="both"/>
      </w:pPr>
      <w:r>
        <w:rPr>
          <w:rFonts w:ascii="sans-serif" w:eastAsia="sans-serif" w:hAnsi="sans-serif" w:cs="sans-serif"/>
          <w:color w:val="000000"/>
          <w:sz w:val="20"/>
          <w:szCs w:val="20"/>
        </w:rPr>
        <w:t>•difficulty in realizing a satisfactory return and uncerta</w:t>
      </w:r>
      <w:r>
        <w:rPr>
          <w:rFonts w:ascii="sans-serif" w:eastAsia="sans-serif" w:hAnsi="sans-serif" w:cs="sans-serif"/>
          <w:color w:val="000000"/>
          <w:sz w:val="20"/>
          <w:szCs w:val="20"/>
        </w:rPr>
        <w:t>inties to realize the benefits of an acquisition or strategic investment, if at all;</w:t>
      </w:r>
    </w:p>
    <w:p w14:paraId="19503DD1" w14:textId="77777777" w:rsidR="00BF3A3A" w:rsidRDefault="00A76802">
      <w:pPr>
        <w:spacing w:after="180"/>
        <w:ind w:hanging="360"/>
        <w:jc w:val="both"/>
      </w:pPr>
      <w:r>
        <w:rPr>
          <w:rFonts w:ascii="sans-serif" w:eastAsia="sans-serif" w:hAnsi="sans-serif" w:cs="sans-serif"/>
          <w:color w:val="000000"/>
          <w:sz w:val="20"/>
          <w:szCs w:val="20"/>
        </w:rPr>
        <w:t>•difficulty or inability in obtaining governmental, regulatory approval or restrictions or other consents and approvals or financing;</w:t>
      </w:r>
    </w:p>
    <w:p w14:paraId="19503DD2" w14:textId="77777777" w:rsidR="00BF3A3A" w:rsidRDefault="00A76802">
      <w:pPr>
        <w:spacing w:after="180"/>
        <w:ind w:hanging="360"/>
        <w:jc w:val="both"/>
      </w:pPr>
      <w:r>
        <w:rPr>
          <w:rFonts w:ascii="sans-serif" w:eastAsia="sans-serif" w:hAnsi="sans-serif" w:cs="sans-serif"/>
          <w:color w:val="000000"/>
          <w:sz w:val="20"/>
          <w:szCs w:val="20"/>
        </w:rPr>
        <w:t>•stock price impact, fines, fees or r</w:t>
      </w:r>
      <w:r>
        <w:rPr>
          <w:rFonts w:ascii="sans-serif" w:eastAsia="sans-serif" w:hAnsi="sans-serif" w:cs="sans-serif"/>
          <w:color w:val="000000"/>
          <w:sz w:val="20"/>
          <w:szCs w:val="20"/>
        </w:rPr>
        <w:t>eputation harm if we are unable to obtain regulatory approval for an acquisition or are otherwise unable to close an acquisition;</w:t>
      </w:r>
    </w:p>
    <w:p w14:paraId="19503DD3" w14:textId="77777777" w:rsidR="00BF3A3A" w:rsidRDefault="00A76802">
      <w:pPr>
        <w:spacing w:after="180"/>
        <w:ind w:hanging="360"/>
        <w:jc w:val="both"/>
      </w:pPr>
      <w:r>
        <w:rPr>
          <w:rFonts w:ascii="sans-serif" w:eastAsia="sans-serif" w:hAnsi="sans-serif" w:cs="sans-serif"/>
          <w:color w:val="000000"/>
          <w:sz w:val="20"/>
          <w:szCs w:val="20"/>
        </w:rPr>
        <w:t>•legal proceedings initiated as a result of an acquisition or investment;</w:t>
      </w:r>
    </w:p>
    <w:p w14:paraId="19503DD4" w14:textId="77777777" w:rsidR="00BF3A3A" w:rsidRDefault="00A76802">
      <w:pPr>
        <w:spacing w:after="180"/>
        <w:ind w:hanging="360"/>
        <w:jc w:val="both"/>
      </w:pPr>
      <w:r>
        <w:rPr>
          <w:rFonts w:ascii="sans-serif" w:eastAsia="sans-serif" w:hAnsi="sans-serif" w:cs="sans-serif"/>
          <w:color w:val="000000"/>
          <w:sz w:val="20"/>
          <w:szCs w:val="20"/>
        </w:rPr>
        <w:t xml:space="preserve">•potential issuances of debt to finance our acquisitions, resulting in increased debt, increased interest expense, and compliance with debt covenants or other restrictions; </w:t>
      </w:r>
    </w:p>
    <w:p w14:paraId="19503DD5" w14:textId="77777777" w:rsidR="00BF3A3A" w:rsidRDefault="00A76802">
      <w:pPr>
        <w:spacing w:after="180"/>
        <w:ind w:hanging="360"/>
        <w:jc w:val="both"/>
      </w:pPr>
      <w:r>
        <w:rPr>
          <w:rFonts w:ascii="sans-serif" w:eastAsia="sans-serif" w:hAnsi="sans-serif" w:cs="sans-serif"/>
          <w:color w:val="000000"/>
          <w:sz w:val="20"/>
          <w:szCs w:val="20"/>
        </w:rPr>
        <w:t xml:space="preserve">•the potential for our acquisitions to result in dilutive issuances of our equity </w:t>
      </w:r>
      <w:r>
        <w:rPr>
          <w:rFonts w:ascii="sans-serif" w:eastAsia="sans-serif" w:hAnsi="sans-serif" w:cs="sans-serif"/>
          <w:color w:val="000000"/>
          <w:sz w:val="20"/>
          <w:szCs w:val="20"/>
        </w:rPr>
        <w:t>securities;</w:t>
      </w:r>
    </w:p>
    <w:p w14:paraId="19503DD6" w14:textId="77777777" w:rsidR="00BF3A3A" w:rsidRDefault="00A76802">
      <w:pPr>
        <w:spacing w:after="180"/>
        <w:ind w:hanging="360"/>
        <w:jc w:val="both"/>
      </w:pPr>
      <w:r>
        <w:rPr>
          <w:rFonts w:ascii="sans-serif" w:eastAsia="sans-serif" w:hAnsi="sans-serif" w:cs="sans-serif"/>
          <w:color w:val="000000"/>
          <w:sz w:val="20"/>
          <w:szCs w:val="20"/>
        </w:rPr>
        <w:t>•the potential variability of the amount and form of any performance-based consideration;</w:t>
      </w:r>
    </w:p>
    <w:p w14:paraId="19503DD7" w14:textId="77777777" w:rsidR="00BF3A3A" w:rsidRDefault="00A76802">
      <w:pPr>
        <w:spacing w:after="180"/>
        <w:ind w:hanging="360"/>
        <w:jc w:val="both"/>
      </w:pPr>
      <w:r>
        <w:rPr>
          <w:rFonts w:ascii="sans-serif" w:eastAsia="sans-serif" w:hAnsi="sans-serif" w:cs="sans-serif"/>
          <w:color w:val="000000"/>
          <w:sz w:val="20"/>
          <w:szCs w:val="20"/>
        </w:rPr>
        <w:t>•negative changes in general economic conditions in the regions or the industries in which we or our target operate;</w:t>
      </w:r>
    </w:p>
    <w:p w14:paraId="19503DD8" w14:textId="77777777" w:rsidR="00BF3A3A" w:rsidRDefault="00A76802">
      <w:pPr>
        <w:spacing w:after="180"/>
        <w:ind w:hanging="360"/>
        <w:jc w:val="both"/>
      </w:pPr>
      <w:r>
        <w:rPr>
          <w:rFonts w:ascii="sans-serif" w:eastAsia="sans-serif" w:hAnsi="sans-serif" w:cs="sans-serif"/>
          <w:color w:val="000000"/>
          <w:sz w:val="20"/>
          <w:szCs w:val="20"/>
        </w:rPr>
        <w:t>•potential failure of our due diligen</w:t>
      </w:r>
      <w:r>
        <w:rPr>
          <w:rFonts w:ascii="sans-serif" w:eastAsia="sans-serif" w:hAnsi="sans-serif" w:cs="sans-serif"/>
          <w:color w:val="000000"/>
          <w:sz w:val="20"/>
          <w:szCs w:val="20"/>
        </w:rPr>
        <w:t>ce processes to identify significant issues with the assets or company in which we are investing or are acquiring; and</w:t>
      </w:r>
    </w:p>
    <w:p w14:paraId="19503DD9" w14:textId="77777777" w:rsidR="00BF3A3A" w:rsidRDefault="00A76802">
      <w:pPr>
        <w:spacing w:after="180"/>
        <w:ind w:hanging="360"/>
        <w:jc w:val="both"/>
      </w:pPr>
      <w:r>
        <w:rPr>
          <w:rFonts w:ascii="sans-serif" w:eastAsia="sans-serif" w:hAnsi="sans-serif" w:cs="sans-serif"/>
          <w:color w:val="000000"/>
          <w:sz w:val="20"/>
          <w:szCs w:val="20"/>
        </w:rPr>
        <w:t>•impairment of relationships with, or loss of our or our target’s employees, vendors and customers, as a result of our acquisition or inv</w:t>
      </w:r>
      <w:r>
        <w:rPr>
          <w:rFonts w:ascii="sans-serif" w:eastAsia="sans-serif" w:hAnsi="sans-serif" w:cs="sans-serif"/>
          <w:color w:val="000000"/>
          <w:sz w:val="20"/>
          <w:szCs w:val="20"/>
        </w:rPr>
        <w:t>estment.</w:t>
      </w:r>
    </w:p>
    <w:p w14:paraId="19503DDA" w14:textId="77777777" w:rsidR="00BF3A3A" w:rsidRDefault="00A76802">
      <w:pPr>
        <w:spacing w:after="180"/>
        <w:jc w:val="center"/>
      </w:pPr>
      <w:r>
        <w:rPr>
          <w:rFonts w:ascii="sans-serif" w:eastAsia="sans-serif" w:hAnsi="sans-serif" w:cs="sans-serif"/>
          <w:color w:val="000000"/>
          <w:sz w:val="20"/>
          <w:szCs w:val="20"/>
        </w:rPr>
        <w:t>39</w:t>
      </w:r>
    </w:p>
    <w:p w14:paraId="19503DDB" w14:textId="77777777" w:rsidR="00BF3A3A" w:rsidRDefault="00A76802">
      <w:r>
        <w:pict w14:anchorId="19503FEC">
          <v:rect id="_x0000_i1063" style="width:415.3pt;height:1.5pt" o:hralign="center" o:hrstd="t" o:hr="t" fillcolor="#a0a0a0" stroked="f"/>
        </w:pict>
      </w:r>
    </w:p>
    <w:p w14:paraId="19503DDC" w14:textId="77777777" w:rsidR="00BF3A3A" w:rsidRDefault="00BF3A3A">
      <w:pPr>
        <w:spacing w:after="180"/>
        <w:jc w:val="both"/>
      </w:pPr>
    </w:p>
    <w:p w14:paraId="19503DDD" w14:textId="77777777" w:rsidR="00BF3A3A" w:rsidRDefault="00BF3A3A">
      <w:pPr>
        <w:spacing w:after="180"/>
        <w:jc w:val="both"/>
      </w:pPr>
    </w:p>
    <w:p w14:paraId="19503DDE" w14:textId="77777777" w:rsidR="00BF3A3A" w:rsidRDefault="00BF3A3A">
      <w:pPr>
        <w:spacing w:after="180"/>
        <w:jc w:val="both"/>
      </w:pPr>
    </w:p>
    <w:p w14:paraId="19503DDF" w14:textId="77777777" w:rsidR="00BF3A3A" w:rsidRDefault="00A76802">
      <w:pPr>
        <w:spacing w:after="180"/>
        <w:jc w:val="both"/>
      </w:pPr>
      <w:r>
        <w:rPr>
          <w:rFonts w:ascii="sans-serif" w:eastAsia="sans-serif" w:hAnsi="sans-serif" w:cs="sans-serif"/>
          <w:color w:val="000000"/>
          <w:sz w:val="20"/>
          <w:szCs w:val="20"/>
        </w:rPr>
        <w:t>For example, when integrating acquisition target systems into our own, we have experienced and may continue to experience challenges including lengthy and costly systems integration, delays in purchasing and shipping products, difficulties</w:t>
      </w:r>
      <w:r>
        <w:rPr>
          <w:rFonts w:ascii="sans-serif" w:eastAsia="sans-serif" w:hAnsi="sans-serif" w:cs="sans-serif"/>
          <w:color w:val="000000"/>
          <w:sz w:val="20"/>
          <w:szCs w:val="20"/>
        </w:rPr>
        <w:t xml:space="preserve"> with system integration via electronic data interchange and other processes with our key suppliers and customers, and training and change management needs of integration personnel. These challenges have impacted our results of operations and may continue </w:t>
      </w:r>
      <w:r>
        <w:rPr>
          <w:rFonts w:ascii="sans-serif" w:eastAsia="sans-serif" w:hAnsi="sans-serif" w:cs="sans-serif"/>
          <w:color w:val="000000"/>
          <w:sz w:val="20"/>
          <w:szCs w:val="20"/>
        </w:rPr>
        <w:t>to do so in the future.</w:t>
      </w:r>
    </w:p>
    <w:p w14:paraId="19503DE0" w14:textId="77777777" w:rsidR="00BF3A3A" w:rsidRDefault="00A76802">
      <w:pPr>
        <w:spacing w:before="120" w:after="120"/>
        <w:jc w:val="both"/>
      </w:pPr>
      <w:r>
        <w:rPr>
          <w:rFonts w:ascii="sans-serif" w:eastAsia="sans-serif" w:hAnsi="sans-serif" w:cs="sans-serif"/>
          <w:b/>
          <w:bCs/>
          <w:color w:val="000000"/>
          <w:sz w:val="20"/>
          <w:szCs w:val="20"/>
        </w:rPr>
        <w:t>Our operating results have in the past fluctuated and may in the future fluctuate, and if our operating results are below the expectations of securities analysts or investors, our stock price could decline.</w:t>
      </w:r>
    </w:p>
    <w:p w14:paraId="19503DE1" w14:textId="77777777" w:rsidR="00BF3A3A" w:rsidRDefault="00A76802">
      <w:pPr>
        <w:spacing w:after="180"/>
        <w:jc w:val="both"/>
      </w:pPr>
      <w:r>
        <w:rPr>
          <w:rFonts w:ascii="sans-serif" w:eastAsia="sans-serif" w:hAnsi="sans-serif" w:cs="sans-serif"/>
          <w:color w:val="000000"/>
          <w:sz w:val="20"/>
          <w:szCs w:val="20"/>
        </w:rPr>
        <w:t>Our operating results hav</w:t>
      </w:r>
      <w:r>
        <w:rPr>
          <w:rFonts w:ascii="sans-serif" w:eastAsia="sans-serif" w:hAnsi="sans-serif" w:cs="sans-serif"/>
          <w:color w:val="000000"/>
          <w:sz w:val="20"/>
          <w:szCs w:val="20"/>
        </w:rPr>
        <w:t>e in the past fluctuated and may continue to fluctuate due to numerous factors described in these risk factors. Therefore, investors should not rely on past comparisons of our results of operations as an indication of our future performance. Additional fac</w:t>
      </w:r>
      <w:r>
        <w:rPr>
          <w:rFonts w:ascii="sans-serif" w:eastAsia="sans-serif" w:hAnsi="sans-serif" w:cs="sans-serif"/>
          <w:color w:val="000000"/>
          <w:sz w:val="20"/>
          <w:szCs w:val="20"/>
        </w:rPr>
        <w:t>tors that could affect our results of operations include, but are not limited to:</w:t>
      </w:r>
    </w:p>
    <w:p w14:paraId="19503DE2" w14:textId="77777777" w:rsidR="00BF3A3A" w:rsidRDefault="00A76802">
      <w:pPr>
        <w:spacing w:after="180"/>
        <w:ind w:hanging="360"/>
        <w:jc w:val="both"/>
      </w:pPr>
      <w:r>
        <w:rPr>
          <w:rFonts w:ascii="sans-serif" w:eastAsia="sans-serif" w:hAnsi="sans-serif" w:cs="sans-serif"/>
          <w:color w:val="000000"/>
          <w:sz w:val="20"/>
          <w:szCs w:val="20"/>
        </w:rPr>
        <w:t>•our ability to adjust spending to offset revenue shortfalls due to the multi-year development cycle for some of our products and services;</w:t>
      </w:r>
    </w:p>
    <w:p w14:paraId="19503DE3" w14:textId="77777777" w:rsidR="00BF3A3A" w:rsidRDefault="00A76802">
      <w:pPr>
        <w:spacing w:after="180"/>
        <w:ind w:hanging="360"/>
        <w:jc w:val="both"/>
      </w:pPr>
      <w:r>
        <w:rPr>
          <w:rFonts w:ascii="sans-serif" w:eastAsia="sans-serif" w:hAnsi="sans-serif" w:cs="sans-serif"/>
          <w:color w:val="000000"/>
          <w:sz w:val="20"/>
          <w:szCs w:val="20"/>
        </w:rPr>
        <w:t>•our ability to comply with our cu</w:t>
      </w:r>
      <w:r>
        <w:rPr>
          <w:rFonts w:ascii="sans-serif" w:eastAsia="sans-serif" w:hAnsi="sans-serif" w:cs="sans-serif"/>
          <w:color w:val="000000"/>
          <w:sz w:val="20"/>
          <w:szCs w:val="20"/>
        </w:rPr>
        <w:t>stomers’ contractual obligations;</w:t>
      </w:r>
    </w:p>
    <w:p w14:paraId="19503DE4" w14:textId="77777777" w:rsidR="00BF3A3A" w:rsidRDefault="00A76802">
      <w:pPr>
        <w:spacing w:after="180"/>
        <w:ind w:hanging="360"/>
        <w:jc w:val="both"/>
      </w:pPr>
      <w:r>
        <w:rPr>
          <w:rFonts w:ascii="sans-serif" w:eastAsia="sans-serif" w:hAnsi="sans-serif" w:cs="sans-serif"/>
          <w:color w:val="000000"/>
          <w:sz w:val="20"/>
          <w:szCs w:val="20"/>
        </w:rPr>
        <w:t>•our extended payment term arrangements with certain customers, the inability of some customers to make required payments, our ability to obtain credit insurance for these customers and their extended payment terms, and cu</w:t>
      </w:r>
      <w:r>
        <w:rPr>
          <w:rFonts w:ascii="sans-serif" w:eastAsia="sans-serif" w:hAnsi="sans-serif" w:cs="sans-serif"/>
          <w:color w:val="000000"/>
          <w:sz w:val="20"/>
          <w:szCs w:val="20"/>
        </w:rPr>
        <w:t>stomer bad debt write-offs;</w:t>
      </w:r>
    </w:p>
    <w:p w14:paraId="19503DE5" w14:textId="77777777" w:rsidR="00BF3A3A" w:rsidRDefault="00A76802">
      <w:pPr>
        <w:spacing w:after="180"/>
        <w:ind w:hanging="360"/>
        <w:jc w:val="both"/>
      </w:pPr>
      <w:r>
        <w:rPr>
          <w:rFonts w:ascii="sans-serif" w:eastAsia="sans-serif" w:hAnsi="sans-serif" w:cs="sans-serif"/>
          <w:color w:val="000000"/>
          <w:sz w:val="20"/>
          <w:szCs w:val="20"/>
        </w:rPr>
        <w:t>•our vendors' payment requirements;</w:t>
      </w:r>
    </w:p>
    <w:p w14:paraId="19503DE6" w14:textId="77777777" w:rsidR="00BF3A3A" w:rsidRDefault="00A76802">
      <w:pPr>
        <w:spacing w:after="180"/>
        <w:ind w:hanging="360"/>
        <w:jc w:val="both"/>
      </w:pPr>
      <w:r>
        <w:rPr>
          <w:rFonts w:ascii="sans-serif" w:eastAsia="sans-serif" w:hAnsi="sans-serif" w:cs="sans-serif"/>
          <w:color w:val="000000"/>
          <w:sz w:val="20"/>
          <w:szCs w:val="20"/>
        </w:rPr>
        <w:t>•unanticipated costs associated with environmental liabilities; and</w:t>
      </w:r>
    </w:p>
    <w:p w14:paraId="19503DE7" w14:textId="77777777" w:rsidR="00BF3A3A" w:rsidRDefault="00A76802">
      <w:pPr>
        <w:spacing w:after="180"/>
        <w:ind w:hanging="360"/>
        <w:jc w:val="both"/>
      </w:pPr>
      <w:r>
        <w:rPr>
          <w:rFonts w:ascii="sans-serif" w:eastAsia="sans-serif" w:hAnsi="sans-serif" w:cs="sans-serif"/>
          <w:color w:val="000000"/>
          <w:sz w:val="20"/>
          <w:szCs w:val="20"/>
        </w:rPr>
        <w:t>•changes in financial accounting standards or interpretations of existing standards.</w:t>
      </w:r>
    </w:p>
    <w:p w14:paraId="19503DE8" w14:textId="77777777" w:rsidR="00BF3A3A" w:rsidRDefault="00A76802">
      <w:pPr>
        <w:jc w:val="both"/>
      </w:pPr>
      <w:r>
        <w:rPr>
          <w:rFonts w:ascii="sans-serif" w:eastAsia="sans-serif" w:hAnsi="sans-serif" w:cs="sans-serif"/>
          <w:color w:val="000000"/>
          <w:sz w:val="20"/>
          <w:szCs w:val="20"/>
        </w:rPr>
        <w:t xml:space="preserve">Any one or more of the factors </w:t>
      </w:r>
      <w:r>
        <w:rPr>
          <w:rFonts w:ascii="sans-serif" w:eastAsia="sans-serif" w:hAnsi="sans-serif" w:cs="sans-serif"/>
          <w:color w:val="000000"/>
          <w:sz w:val="20"/>
          <w:szCs w:val="20"/>
        </w:rPr>
        <w:t>discussed above could prevent us from achieving our anticipated future financial results. For example, we have granted and may continue to grant extended payment terms to some customers, particularly during macroeconomic downturns, which could impact our a</w:t>
      </w:r>
      <w:r>
        <w:rPr>
          <w:rFonts w:ascii="sans-serif" w:eastAsia="sans-serif" w:hAnsi="sans-serif" w:cs="sans-serif"/>
          <w:color w:val="000000"/>
          <w:sz w:val="20"/>
          <w:szCs w:val="20"/>
        </w:rPr>
        <w:t>bility to collect payment. Our vendors have requested and may continue to ask for shorter payment terms, which may impact our cash flow generation. These arrangements reduce the cash we have available for general business operations. Failure to meet our ex</w:t>
      </w:r>
      <w:r>
        <w:rPr>
          <w:rFonts w:ascii="sans-serif" w:eastAsia="sans-serif" w:hAnsi="sans-serif" w:cs="sans-serif"/>
          <w:color w:val="000000"/>
          <w:sz w:val="20"/>
          <w:szCs w:val="20"/>
        </w:rPr>
        <w:t>pectations or the expectations of our investors or security analysts is likely to cause our stock price to decline or experience substantial price volatility.</w:t>
      </w:r>
    </w:p>
    <w:p w14:paraId="19503DE9" w14:textId="77777777" w:rsidR="00BF3A3A" w:rsidRDefault="00A76802">
      <w:pPr>
        <w:spacing w:before="120" w:after="120"/>
        <w:jc w:val="both"/>
      </w:pPr>
      <w:r>
        <w:rPr>
          <w:rFonts w:ascii="sans-serif" w:eastAsia="sans-serif" w:hAnsi="sans-serif" w:cs="sans-serif"/>
          <w:b/>
          <w:bCs/>
          <w:color w:val="000000"/>
          <w:sz w:val="20"/>
          <w:szCs w:val="20"/>
        </w:rPr>
        <w:t>Our operations could be affected by the complex laws, rules and regulations to which our business</w:t>
      </w:r>
      <w:r>
        <w:rPr>
          <w:rFonts w:ascii="sans-serif" w:eastAsia="sans-serif" w:hAnsi="sans-serif" w:cs="sans-serif"/>
          <w:b/>
          <w:bCs/>
          <w:color w:val="000000"/>
          <w:sz w:val="20"/>
          <w:szCs w:val="20"/>
        </w:rPr>
        <w:t xml:space="preserve"> is subject, and political and other actions may adversely impact our business.</w:t>
      </w:r>
    </w:p>
    <w:p w14:paraId="19503DEA" w14:textId="77777777" w:rsidR="00BF3A3A" w:rsidRDefault="00A76802">
      <w:pPr>
        <w:spacing w:after="180"/>
        <w:jc w:val="both"/>
      </w:pPr>
      <w:r>
        <w:rPr>
          <w:rFonts w:ascii="sans-serif" w:eastAsia="sans-serif" w:hAnsi="sans-serif" w:cs="sans-serif"/>
          <w:color w:val="000000"/>
          <w:sz w:val="20"/>
          <w:szCs w:val="20"/>
        </w:rPr>
        <w:t>We are subject to laws and regulations domestically and worldwide, affecting our operations in areas including, but not limited to, IP ownership and infringement; taxes; import</w:t>
      </w:r>
      <w:r>
        <w:rPr>
          <w:rFonts w:ascii="sans-serif" w:eastAsia="sans-serif" w:hAnsi="sans-serif" w:cs="sans-serif"/>
          <w:color w:val="000000"/>
          <w:sz w:val="20"/>
          <w:szCs w:val="20"/>
        </w:rPr>
        <w:t xml:space="preserve"> and export requirements and tariffs; anti-corruption; business acquisitions; foreign exchange controls and cash repatriation restrictions; data privacy requirements; competition and antitrust; advertising; employment; product regulations; cybersecurity; e</w:t>
      </w:r>
      <w:r>
        <w:rPr>
          <w:rFonts w:ascii="sans-serif" w:eastAsia="sans-serif" w:hAnsi="sans-serif" w:cs="sans-serif"/>
          <w:color w:val="000000"/>
          <w:sz w:val="20"/>
          <w:szCs w:val="20"/>
        </w:rPr>
        <w:t xml:space="preserve">nvironmental, health, and safety requirements; the responsible use of AI; climate change; cryptocurrency; and consumer laws. Compliance with such requirements can be onerous and expensive, could impact our competitive position, and may impact our business </w:t>
      </w:r>
      <w:r>
        <w:rPr>
          <w:rFonts w:ascii="sans-serif" w:eastAsia="sans-serif" w:hAnsi="sans-serif" w:cs="sans-serif"/>
          <w:color w:val="000000"/>
          <w:sz w:val="20"/>
          <w:szCs w:val="20"/>
        </w:rPr>
        <w:t>operations negatively. For example, the Foreign Corrupt Practices Act and other anti-corruption laws and regulations prohibit us from engaging in certain business practices. There can be no assurance that our employees, contractors, suppliers, or agents wi</w:t>
      </w:r>
      <w:r>
        <w:rPr>
          <w:rFonts w:ascii="sans-serif" w:eastAsia="sans-serif" w:hAnsi="sans-serif" w:cs="sans-serif"/>
          <w:color w:val="000000"/>
          <w:sz w:val="20"/>
          <w:szCs w:val="20"/>
        </w:rPr>
        <w:t>ll not violate policies, controls, and procedures that we have designed to help ensure compliance with applicable laws. Violations of these laws and regulations can result in fines; criminal sanctions against us, our officers, or our employees; prohibition</w:t>
      </w:r>
      <w:r>
        <w:rPr>
          <w:rFonts w:ascii="sans-serif" w:eastAsia="sans-serif" w:hAnsi="sans-serif" w:cs="sans-serif"/>
          <w:color w:val="000000"/>
          <w:sz w:val="20"/>
          <w:szCs w:val="20"/>
        </w:rPr>
        <w:t>s on the conduct of our business; and damage to our reputation. Should any of these laws, rules and regulations be amended or expanded, or new ones enacted, we could incur materially greater compliance costs and/or restrictions on our ability to manufactur</w:t>
      </w:r>
      <w:r>
        <w:rPr>
          <w:rFonts w:ascii="sans-serif" w:eastAsia="sans-serif" w:hAnsi="sans-serif" w:cs="sans-serif"/>
          <w:color w:val="000000"/>
          <w:sz w:val="20"/>
          <w:szCs w:val="20"/>
        </w:rPr>
        <w:t>e our products and operate our business. For example, we may face increased compliance costs as a result of changes or increases in anti-competition legislation, regulation, administrative rule making, increased focus from regulators on cybersecurity vulne</w:t>
      </w:r>
      <w:r>
        <w:rPr>
          <w:rFonts w:ascii="sans-serif" w:eastAsia="sans-serif" w:hAnsi="sans-serif" w:cs="sans-serif"/>
          <w:color w:val="000000"/>
          <w:sz w:val="20"/>
          <w:szCs w:val="20"/>
        </w:rPr>
        <w:t>rabilities and risks, and enforcement activity resulting from growing public concern over concentration of economic power in corporations.</w:t>
      </w:r>
    </w:p>
    <w:p w14:paraId="19503DEB" w14:textId="77777777" w:rsidR="00BF3A3A" w:rsidRDefault="00A76802">
      <w:pPr>
        <w:spacing w:after="180"/>
        <w:jc w:val="both"/>
      </w:pPr>
      <w:r>
        <w:rPr>
          <w:rFonts w:ascii="sans-serif" w:eastAsia="sans-serif" w:hAnsi="sans-serif" w:cs="sans-serif"/>
          <w:color w:val="000000"/>
          <w:sz w:val="20"/>
          <w:szCs w:val="20"/>
        </w:rPr>
        <w:t xml:space="preserve">Government actions, including trade protection and national security policies of U.S. and foreign government bodies, </w:t>
      </w:r>
      <w:r>
        <w:rPr>
          <w:rFonts w:ascii="sans-serif" w:eastAsia="sans-serif" w:hAnsi="sans-serif" w:cs="sans-serif"/>
          <w:color w:val="000000"/>
          <w:sz w:val="20"/>
          <w:szCs w:val="20"/>
        </w:rPr>
        <w:t>such as tariffs, import or export regulations, including deemed export restrictions, trade and economic sanctions, decrees, quotas or other trade barriers and restrictions could affect our ability to ship products, provide services to our customers and emp</w:t>
      </w:r>
      <w:r>
        <w:rPr>
          <w:rFonts w:ascii="sans-serif" w:eastAsia="sans-serif" w:hAnsi="sans-serif" w:cs="sans-serif"/>
          <w:color w:val="000000"/>
          <w:sz w:val="20"/>
          <w:szCs w:val="20"/>
        </w:rPr>
        <w:t>loyees, do business without an export license with entities on the U.S. Department of Commerce’s U.S. Entity List or other U.S. government restricted parties lists (which is expected to change from time to time), and generally fulfill our contractual oblig</w:t>
      </w:r>
      <w:r>
        <w:rPr>
          <w:rFonts w:ascii="sans-serif" w:eastAsia="sans-serif" w:hAnsi="sans-serif" w:cs="sans-serif"/>
          <w:color w:val="000000"/>
          <w:sz w:val="20"/>
          <w:szCs w:val="20"/>
        </w:rPr>
        <w:t xml:space="preserve">ations and have a material adverse effect on our business. For example, in response to the war in Ukraine, the United States and certain allies have imposed economic sanctions and export control </w:t>
      </w:r>
    </w:p>
    <w:p w14:paraId="19503DEC" w14:textId="77777777" w:rsidR="00BF3A3A" w:rsidRDefault="00A76802">
      <w:pPr>
        <w:spacing w:after="180"/>
        <w:jc w:val="center"/>
      </w:pPr>
      <w:r>
        <w:rPr>
          <w:rFonts w:ascii="sans-serif" w:eastAsia="sans-serif" w:hAnsi="sans-serif" w:cs="sans-serif"/>
          <w:color w:val="000000"/>
          <w:sz w:val="20"/>
          <w:szCs w:val="20"/>
        </w:rPr>
        <w:t>40</w:t>
      </w:r>
    </w:p>
    <w:p w14:paraId="19503DED" w14:textId="77777777" w:rsidR="00BF3A3A" w:rsidRDefault="00A76802">
      <w:r>
        <w:pict w14:anchorId="19503FED">
          <v:rect id="_x0000_i1064" style="width:415.3pt;height:1.5pt" o:hralign="center" o:hrstd="t" o:hr="t" fillcolor="#a0a0a0" stroked="f"/>
        </w:pict>
      </w:r>
    </w:p>
    <w:p w14:paraId="19503DEE" w14:textId="77777777" w:rsidR="00BF3A3A" w:rsidRDefault="00BF3A3A">
      <w:pPr>
        <w:spacing w:after="180"/>
        <w:jc w:val="both"/>
      </w:pPr>
    </w:p>
    <w:p w14:paraId="19503DEF" w14:textId="77777777" w:rsidR="00BF3A3A" w:rsidRDefault="00BF3A3A">
      <w:pPr>
        <w:spacing w:after="180"/>
        <w:jc w:val="both"/>
      </w:pPr>
    </w:p>
    <w:p w14:paraId="19503DF0" w14:textId="77777777" w:rsidR="00BF3A3A" w:rsidRDefault="00BF3A3A">
      <w:pPr>
        <w:spacing w:after="180"/>
        <w:jc w:val="both"/>
      </w:pPr>
    </w:p>
    <w:p w14:paraId="19503DF1" w14:textId="77777777" w:rsidR="00BF3A3A" w:rsidRDefault="00A76802">
      <w:pPr>
        <w:spacing w:after="180"/>
        <w:jc w:val="both"/>
      </w:pPr>
      <w:r>
        <w:rPr>
          <w:rFonts w:ascii="sans-serif" w:eastAsia="sans-serif" w:hAnsi="sans-serif" w:cs="sans-serif"/>
          <w:color w:val="000000"/>
          <w:sz w:val="20"/>
          <w:szCs w:val="20"/>
        </w:rPr>
        <w:t>measures and may impose additional sanctions or expo</w:t>
      </w:r>
      <w:r>
        <w:rPr>
          <w:rFonts w:ascii="sans-serif" w:eastAsia="sans-serif" w:hAnsi="sans-serif" w:cs="sans-serif"/>
          <w:color w:val="000000"/>
          <w:sz w:val="20"/>
          <w:szCs w:val="20"/>
        </w:rPr>
        <w:t>rt control measures, which have resulted in and could in the future result in, among other things, severe or complete restrictions on exports to and other commerce and business dealings involving Russia, Belarus, certain regions of Ukraine, and/or particul</w:t>
      </w:r>
      <w:r>
        <w:rPr>
          <w:rFonts w:ascii="sans-serif" w:eastAsia="sans-serif" w:hAnsi="sans-serif" w:cs="sans-serif"/>
          <w:color w:val="000000"/>
          <w:sz w:val="20"/>
          <w:szCs w:val="20"/>
        </w:rPr>
        <w:t>ar entities and individuals. Such actions have limited or blocked, or could in the future limit or block the passage of our products, services and support into Russia, Belarus, and certain regions of Ukraine or other regions determined to be supporting Rus</w:t>
      </w:r>
      <w:r>
        <w:rPr>
          <w:rFonts w:ascii="sans-serif" w:eastAsia="sans-serif" w:hAnsi="sans-serif" w:cs="sans-serif"/>
          <w:color w:val="000000"/>
          <w:sz w:val="20"/>
          <w:szCs w:val="20"/>
        </w:rPr>
        <w:t>sia, which may result in claims brought against us for failure to fulfill our contractual obligations, and restrict access by our Russian or Ukrainian employees (both within and outside of Russia and Ukraine) to our systems, negatively impacting productivi</w:t>
      </w:r>
      <w:r>
        <w:rPr>
          <w:rFonts w:ascii="sans-serif" w:eastAsia="sans-serif" w:hAnsi="sans-serif" w:cs="sans-serif"/>
          <w:color w:val="000000"/>
          <w:sz w:val="20"/>
          <w:szCs w:val="20"/>
        </w:rPr>
        <w:t>ty. Given these recent sanctions and export restrictions imposed by the United States and foreign government bodies, during the first quarter of fiscal year 2023, we paused all direct sales and support in Russia. Concurrently, the war in Ukraine has impact</w:t>
      </w:r>
      <w:r>
        <w:rPr>
          <w:rFonts w:ascii="sans-serif" w:eastAsia="sans-serif" w:hAnsi="sans-serif" w:cs="sans-serif"/>
          <w:color w:val="000000"/>
          <w:sz w:val="20"/>
          <w:szCs w:val="20"/>
        </w:rPr>
        <w:t>ed end customer sales in EMEA and may continue to do so in the future. While we have policies and procedures in place to ensure compliance with sanctions and trade restrictions, our employees, contractors, partners, and agents may take actions in violation</w:t>
      </w:r>
      <w:r>
        <w:rPr>
          <w:rFonts w:ascii="sans-serif" w:eastAsia="sans-serif" w:hAnsi="sans-serif" w:cs="sans-serif"/>
          <w:color w:val="000000"/>
          <w:sz w:val="20"/>
          <w:szCs w:val="20"/>
        </w:rPr>
        <w:t>s of such policies and applicable law, for which we may be ultimately held responsible. If we were ever found to have violated export control laws or sanctions of the U.S. or similar applicable non-U.S. laws, we may be subject to various penalties availabl</w:t>
      </w:r>
      <w:r>
        <w:rPr>
          <w:rFonts w:ascii="sans-serif" w:eastAsia="sans-serif" w:hAnsi="sans-serif" w:cs="sans-serif"/>
          <w:color w:val="000000"/>
          <w:sz w:val="20"/>
          <w:szCs w:val="20"/>
        </w:rPr>
        <w:t>e under the laws, any of which could have a material and adverse impact on our business, operating results and financial condition. Additionally, changes in the public perception of governments in the regions where we operate or plan to operate could negat</w:t>
      </w:r>
      <w:r>
        <w:rPr>
          <w:rFonts w:ascii="sans-serif" w:eastAsia="sans-serif" w:hAnsi="sans-serif" w:cs="sans-serif"/>
          <w:color w:val="000000"/>
          <w:sz w:val="20"/>
          <w:szCs w:val="20"/>
        </w:rPr>
        <w:t>ively impact our business and results of operations.</w:t>
      </w:r>
    </w:p>
    <w:p w14:paraId="19503DF2" w14:textId="77777777" w:rsidR="00BF3A3A" w:rsidRDefault="00A76802">
      <w:pPr>
        <w:spacing w:after="180"/>
        <w:jc w:val="both"/>
      </w:pPr>
      <w:r>
        <w:rPr>
          <w:rFonts w:ascii="sans-serif" w:eastAsia="sans-serif" w:hAnsi="sans-serif" w:cs="sans-serif"/>
          <w:color w:val="000000"/>
          <w:sz w:val="20"/>
          <w:szCs w:val="20"/>
        </w:rPr>
        <w:t>Geopolitical tensions and conflicts worldwide, including but not limited to China, Hong Kong, Israel, Korea and Taiwan where the manufacture of our product components and final assembly of our products a</w:t>
      </w:r>
      <w:r>
        <w:rPr>
          <w:rFonts w:ascii="sans-serif" w:eastAsia="sans-serif" w:hAnsi="sans-serif" w:cs="sans-serif"/>
          <w:color w:val="000000"/>
          <w:sz w:val="20"/>
          <w:szCs w:val="20"/>
        </w:rPr>
        <w:t>re concentrated, may result in changing regulatory requirements, trade policies, export controls, import duties and economic disruptions that could impact our operating strategies, product demand, access to global markets, hiring, and profitability. The in</w:t>
      </w:r>
      <w:r>
        <w:rPr>
          <w:rFonts w:ascii="sans-serif" w:eastAsia="sans-serif" w:hAnsi="sans-serif" w:cs="sans-serif"/>
          <w:color w:val="000000"/>
          <w:sz w:val="20"/>
          <w:szCs w:val="20"/>
        </w:rPr>
        <w:t>creasing focus on the strategic importance of AI technologies may result in additional regulatory restrictions that target products and services capable of enabling or facilitating AI, including some or all of our product and service offerings. Such restri</w:t>
      </w:r>
      <w:r>
        <w:rPr>
          <w:rFonts w:ascii="sans-serif" w:eastAsia="sans-serif" w:hAnsi="sans-serif" w:cs="sans-serif"/>
          <w:color w:val="000000"/>
          <w:sz w:val="20"/>
          <w:szCs w:val="20"/>
        </w:rPr>
        <w:t>ctions could include additional unilateral or multilateral export controls on certain products or technology, including but not limited to AI technologies. As geopolitical tensions have increased, semiconductors associated with AI, including GPUs and assoc</w:t>
      </w:r>
      <w:r>
        <w:rPr>
          <w:rFonts w:ascii="sans-serif" w:eastAsia="sans-serif" w:hAnsi="sans-serif" w:cs="sans-serif"/>
          <w:color w:val="000000"/>
          <w:sz w:val="20"/>
          <w:szCs w:val="20"/>
        </w:rPr>
        <w:t>iated products, are increasingly the focus of export control restrictions proposed by stakeholders in the U.S. and its allies, and it is likely that additional unilateral or multilateral controls will be adopted. Such controls may be very broad in scope an</w:t>
      </w:r>
      <w:r>
        <w:rPr>
          <w:rFonts w:ascii="sans-serif" w:eastAsia="sans-serif" w:hAnsi="sans-serif" w:cs="sans-serif"/>
          <w:color w:val="000000"/>
          <w:sz w:val="20"/>
          <w:szCs w:val="20"/>
        </w:rPr>
        <w:t xml:space="preserve">d application, prohibit us from exporting our products to any or all customers in one or more markets, including but not limited to China, and could negatively impact our manufacturing, testing, and warehousing locations and options, or could impose other </w:t>
      </w:r>
      <w:r>
        <w:rPr>
          <w:rFonts w:ascii="sans-serif" w:eastAsia="sans-serif" w:hAnsi="sans-serif" w:cs="sans-serif"/>
          <w:color w:val="000000"/>
          <w:sz w:val="20"/>
          <w:szCs w:val="20"/>
        </w:rPr>
        <w:t>conditions that limit our ability to serve demand abroad and could negatively and materially impact our business, revenue, and financial results. Export controls targeting GPUs and semiconductors associated with AI, which are increasingly likely, would res</w:t>
      </w:r>
      <w:r>
        <w:rPr>
          <w:rFonts w:ascii="sans-serif" w:eastAsia="sans-serif" w:hAnsi="sans-serif" w:cs="sans-serif"/>
          <w:color w:val="000000"/>
          <w:sz w:val="20"/>
          <w:szCs w:val="20"/>
        </w:rPr>
        <w:t xml:space="preserve">trict our ability to export our technology, products, or services even though competitors may not be subject to similar restrictions, creating a competitive disadvantage for us and negatively impacting our business and financial results. Increasing use of </w:t>
      </w:r>
      <w:r>
        <w:rPr>
          <w:rFonts w:ascii="sans-serif" w:eastAsia="sans-serif" w:hAnsi="sans-serif" w:cs="sans-serif"/>
          <w:color w:val="000000"/>
          <w:sz w:val="20"/>
          <w:szCs w:val="20"/>
        </w:rPr>
        <w:t>economic sanctions may also impact demand for our products or services, negatively impacting our business and financial results. Additional unilateral or multilateral controls are also likely to include deemed export control limitations that negatively imp</w:t>
      </w:r>
      <w:r>
        <w:rPr>
          <w:rFonts w:ascii="sans-serif" w:eastAsia="sans-serif" w:hAnsi="sans-serif" w:cs="sans-serif"/>
          <w:color w:val="000000"/>
          <w:sz w:val="20"/>
          <w:szCs w:val="20"/>
        </w:rPr>
        <w:t>act the ability of our research and development teams to execute our roadmap or other objectives in a timely manner. Additional export restrictions may not only impact our ability to serve overseas markets, but also provoke responses from foreign governmen</w:t>
      </w:r>
      <w:r>
        <w:rPr>
          <w:rFonts w:ascii="sans-serif" w:eastAsia="sans-serif" w:hAnsi="sans-serif" w:cs="sans-serif"/>
          <w:color w:val="000000"/>
          <w:sz w:val="20"/>
          <w:szCs w:val="20"/>
        </w:rPr>
        <w:t xml:space="preserve">ts, including China, that negatively impact our supply chain or our ability to provide our products and services to customers in all markets worldwide, which could also substantially reduce our revenue. </w:t>
      </w:r>
    </w:p>
    <w:p w14:paraId="19503DF3" w14:textId="77777777" w:rsidR="00BF3A3A" w:rsidRDefault="00A76802">
      <w:pPr>
        <w:spacing w:after="180"/>
        <w:jc w:val="both"/>
      </w:pPr>
      <w:r>
        <w:rPr>
          <w:rFonts w:ascii="sans-serif" w:eastAsia="sans-serif" w:hAnsi="sans-serif" w:cs="sans-serif"/>
          <w:color w:val="000000"/>
          <w:sz w:val="20"/>
          <w:szCs w:val="20"/>
        </w:rPr>
        <w:t>On August 26, 2022, the U.S. government, or USG, inf</w:t>
      </w:r>
      <w:r>
        <w:rPr>
          <w:rFonts w:ascii="sans-serif" w:eastAsia="sans-serif" w:hAnsi="sans-serif" w:cs="sans-serif"/>
          <w:color w:val="000000"/>
          <w:sz w:val="20"/>
          <w:szCs w:val="20"/>
        </w:rPr>
        <w:t>ormed us that it has imposed a new license requirement, effective immediately, for any future export to China (including Hong Kong) and Russia of our A100 and forthcoming H100 integrated circuits. DGX or any other systems which incorporate A100 or H100 int</w:t>
      </w:r>
      <w:r>
        <w:rPr>
          <w:rFonts w:ascii="sans-serif" w:eastAsia="sans-serif" w:hAnsi="sans-serif" w:cs="sans-serif"/>
          <w:color w:val="000000"/>
          <w:sz w:val="20"/>
          <w:szCs w:val="20"/>
        </w:rPr>
        <w:t xml:space="preserve">egrated circuits and our A100X are also covered by the new license requirement. The license requirement also includes any future NVIDIA integrated circuit achieving both peak performance and chip-to-chip I/O performance equal to or greater than thresholds </w:t>
      </w:r>
      <w:r>
        <w:rPr>
          <w:rFonts w:ascii="sans-serif" w:eastAsia="sans-serif" w:hAnsi="sans-serif" w:cs="sans-serif"/>
          <w:color w:val="000000"/>
          <w:sz w:val="20"/>
          <w:szCs w:val="20"/>
        </w:rPr>
        <w:t>that are roughly equivalent to the A100, as well as any system that includes those circuits. A license is required to export technology to support or develop covered products. The USG indicated that the new license requirement will address the risk that th</w:t>
      </w:r>
      <w:r>
        <w:rPr>
          <w:rFonts w:ascii="sans-serif" w:eastAsia="sans-serif" w:hAnsi="sans-serif" w:cs="sans-serif"/>
          <w:color w:val="000000"/>
          <w:sz w:val="20"/>
          <w:szCs w:val="20"/>
        </w:rPr>
        <w:t xml:space="preserve">e covered products may be used in, or diverted to, a ‘military end use’ or ‘military end user’ in China and Russia. We do not sell products to customers in Russia. </w:t>
      </w:r>
    </w:p>
    <w:p w14:paraId="19503DF4" w14:textId="77777777" w:rsidR="00BF3A3A" w:rsidRDefault="00A76802">
      <w:pPr>
        <w:spacing w:after="180"/>
        <w:jc w:val="both"/>
      </w:pPr>
      <w:r>
        <w:rPr>
          <w:rFonts w:ascii="sans-serif" w:eastAsia="sans-serif" w:hAnsi="sans-serif" w:cs="sans-serif"/>
          <w:color w:val="000000"/>
          <w:sz w:val="20"/>
          <w:szCs w:val="20"/>
        </w:rPr>
        <w:t>The new license requirement may impact our ability to complete our development of H100 in a</w:t>
      </w:r>
      <w:r>
        <w:rPr>
          <w:rFonts w:ascii="sans-serif" w:eastAsia="sans-serif" w:hAnsi="sans-serif" w:cs="sans-serif"/>
          <w:color w:val="000000"/>
          <w:sz w:val="20"/>
          <w:szCs w:val="20"/>
        </w:rPr>
        <w:t xml:space="preserve"> timely manner or support existing customers of A100 and may require us to transition certain operations out of China, which could be costly and time consuming, and adversely affect our research and development and supply and distribution operations, as we</w:t>
      </w:r>
      <w:r>
        <w:rPr>
          <w:rFonts w:ascii="sans-serif" w:eastAsia="sans-serif" w:hAnsi="sans-serif" w:cs="sans-serif"/>
          <w:color w:val="000000"/>
          <w:sz w:val="20"/>
          <w:szCs w:val="20"/>
        </w:rPr>
        <w:t xml:space="preserve">ll as our revenue, during any such transition period. We are engaged with the USG and are seeking exemptions for our internal development and support activities. </w:t>
      </w:r>
    </w:p>
    <w:p w14:paraId="19503DF5" w14:textId="77777777" w:rsidR="00BF3A3A" w:rsidRDefault="00A76802">
      <w:pPr>
        <w:spacing w:after="180"/>
        <w:jc w:val="both"/>
      </w:pPr>
      <w:r>
        <w:rPr>
          <w:rFonts w:ascii="sans-serif" w:eastAsia="sans-serif" w:hAnsi="sans-serif" w:cs="sans-serif"/>
          <w:color w:val="000000"/>
          <w:sz w:val="20"/>
          <w:szCs w:val="20"/>
        </w:rPr>
        <w:t>We are engaging with customers in China and are seeking to satisfy their planned or future pu</w:t>
      </w:r>
      <w:r>
        <w:rPr>
          <w:rFonts w:ascii="sans-serif" w:eastAsia="sans-serif" w:hAnsi="sans-serif" w:cs="sans-serif"/>
          <w:color w:val="000000"/>
          <w:sz w:val="20"/>
          <w:szCs w:val="20"/>
        </w:rPr>
        <w:t xml:space="preserve">rchases of our Data Center products with products not subject to the new license requirement. To the extent that a customer requires </w:t>
      </w:r>
    </w:p>
    <w:p w14:paraId="19503DF6" w14:textId="77777777" w:rsidR="00BF3A3A" w:rsidRDefault="00A76802">
      <w:pPr>
        <w:spacing w:after="180"/>
        <w:jc w:val="center"/>
      </w:pPr>
      <w:r>
        <w:rPr>
          <w:rFonts w:ascii="sans-serif" w:eastAsia="sans-serif" w:hAnsi="sans-serif" w:cs="sans-serif"/>
          <w:color w:val="000000"/>
          <w:sz w:val="20"/>
          <w:szCs w:val="20"/>
        </w:rPr>
        <w:t>41</w:t>
      </w:r>
    </w:p>
    <w:p w14:paraId="19503DF7" w14:textId="77777777" w:rsidR="00BF3A3A" w:rsidRDefault="00A76802">
      <w:r>
        <w:pict w14:anchorId="19503FEE">
          <v:rect id="_x0000_i1065" style="width:415.3pt;height:1.5pt" o:hralign="center" o:hrstd="t" o:hr="t" fillcolor="#a0a0a0" stroked="f"/>
        </w:pict>
      </w:r>
    </w:p>
    <w:p w14:paraId="19503DF8" w14:textId="77777777" w:rsidR="00BF3A3A" w:rsidRDefault="00BF3A3A">
      <w:pPr>
        <w:spacing w:after="180"/>
        <w:jc w:val="both"/>
      </w:pPr>
    </w:p>
    <w:p w14:paraId="19503DF9" w14:textId="77777777" w:rsidR="00BF3A3A" w:rsidRDefault="00BF3A3A">
      <w:pPr>
        <w:spacing w:after="180"/>
        <w:jc w:val="both"/>
      </w:pPr>
    </w:p>
    <w:p w14:paraId="19503DFA" w14:textId="77777777" w:rsidR="00BF3A3A" w:rsidRDefault="00BF3A3A">
      <w:pPr>
        <w:spacing w:after="180"/>
        <w:jc w:val="both"/>
      </w:pPr>
    </w:p>
    <w:p w14:paraId="19503DFB" w14:textId="77777777" w:rsidR="00BF3A3A" w:rsidRDefault="00A76802">
      <w:pPr>
        <w:spacing w:after="180"/>
        <w:jc w:val="both"/>
      </w:pPr>
      <w:r>
        <w:rPr>
          <w:rFonts w:ascii="sans-serif" w:eastAsia="sans-serif" w:hAnsi="sans-serif" w:cs="sans-serif"/>
          <w:color w:val="000000"/>
          <w:sz w:val="20"/>
          <w:szCs w:val="20"/>
        </w:rPr>
        <w:t>products covered by the new license requirement, we may seek a license for the customer but have no assurance that</w:t>
      </w:r>
      <w:r>
        <w:rPr>
          <w:rFonts w:ascii="sans-serif" w:eastAsia="sans-serif" w:hAnsi="sans-serif" w:cs="sans-serif"/>
          <w:color w:val="000000"/>
          <w:sz w:val="20"/>
          <w:szCs w:val="20"/>
        </w:rPr>
        <w:t xml:space="preserve"> the USG will grant any exemptions or licenses for any customer, or that the USG will act on them in a timely manner. The new requirement may have a disproportionate impact on NVIDIA and may disadvantage NVIDIA against our competitors, who are not subject </w:t>
      </w:r>
      <w:r>
        <w:rPr>
          <w:rFonts w:ascii="sans-serif" w:eastAsia="sans-serif" w:hAnsi="sans-serif" w:cs="sans-serif"/>
          <w:color w:val="000000"/>
          <w:sz w:val="20"/>
          <w:szCs w:val="20"/>
        </w:rPr>
        <w:t xml:space="preserve">to the same restrictions. </w:t>
      </w:r>
    </w:p>
    <w:p w14:paraId="19503DFC" w14:textId="77777777" w:rsidR="00BF3A3A" w:rsidRDefault="00A76802">
      <w:pPr>
        <w:spacing w:after="180"/>
        <w:jc w:val="both"/>
      </w:pPr>
      <w:r>
        <w:rPr>
          <w:rFonts w:ascii="sans-serif" w:eastAsia="sans-serif" w:hAnsi="sans-serif" w:cs="sans-serif"/>
          <w:color w:val="000000"/>
          <w:sz w:val="20"/>
          <w:szCs w:val="20"/>
        </w:rPr>
        <w:t>Our outlook for our third fiscal quarter provided on August 24, 2022 included approximately $400 million in potential sales to China which may be subject to the new license requirement. Our future revenue and profitability may be</w:t>
      </w:r>
      <w:r>
        <w:rPr>
          <w:rFonts w:ascii="sans-serif" w:eastAsia="sans-serif" w:hAnsi="sans-serif" w:cs="sans-serif"/>
          <w:color w:val="000000"/>
          <w:sz w:val="20"/>
          <w:szCs w:val="20"/>
        </w:rPr>
        <w:t xml:space="preserve"> substantially reduced relative to this outlook, and our competitive position may be harmed, if customers do not want to purchase our alternative product offerings or if the USG does not grant licenses in a timely manner or denies licenses to significant c</w:t>
      </w:r>
      <w:r>
        <w:rPr>
          <w:rFonts w:ascii="sans-serif" w:eastAsia="sans-serif" w:hAnsi="sans-serif" w:cs="sans-serif"/>
          <w:color w:val="000000"/>
          <w:sz w:val="20"/>
          <w:szCs w:val="20"/>
        </w:rPr>
        <w:t>ustomers. Even if the USG grants the requested licenses, the new requirement may benefit our competitors, as the licensing process will make our sales and support efforts more cumbersome, less certain, and encourage customers in China to pursue alternative</w:t>
      </w:r>
      <w:r>
        <w:rPr>
          <w:rFonts w:ascii="sans-serif" w:eastAsia="sans-serif" w:hAnsi="sans-serif" w:cs="sans-serif"/>
          <w:color w:val="000000"/>
          <w:sz w:val="20"/>
          <w:szCs w:val="20"/>
        </w:rPr>
        <w:t xml:space="preserve">s to our products, including semiconductor suppliers based in China, Europe, and Israel. </w:t>
      </w:r>
    </w:p>
    <w:p w14:paraId="19503DFD" w14:textId="77777777" w:rsidR="00BF3A3A" w:rsidRDefault="00A76802">
      <w:pPr>
        <w:spacing w:after="180"/>
        <w:jc w:val="both"/>
      </w:pPr>
      <w:r>
        <w:rPr>
          <w:rFonts w:ascii="sans-serif" w:eastAsia="sans-serif" w:hAnsi="sans-serif" w:cs="sans-serif"/>
          <w:color w:val="000000"/>
          <w:sz w:val="20"/>
          <w:szCs w:val="20"/>
        </w:rPr>
        <w:t xml:space="preserve">Recent restrictions imposed by the Chinese government on the duration of gaming activities and access to games may adversely affect our Gaming revenue, and increased </w:t>
      </w:r>
      <w:r>
        <w:rPr>
          <w:rFonts w:ascii="sans-serif" w:eastAsia="sans-serif" w:hAnsi="sans-serif" w:cs="sans-serif"/>
          <w:color w:val="000000"/>
          <w:sz w:val="20"/>
          <w:szCs w:val="20"/>
        </w:rPr>
        <w:t>oversight of digital platform companies may adversely affect our Data Center revenue. Additionally, revisions to laws or regulations or their interpretation and enforcement could result in increased taxation, trade sanctions, the imposition of import dutie</w:t>
      </w:r>
      <w:r>
        <w:rPr>
          <w:rFonts w:ascii="sans-serif" w:eastAsia="sans-serif" w:hAnsi="sans-serif" w:cs="sans-serif"/>
          <w:color w:val="000000"/>
          <w:sz w:val="20"/>
          <w:szCs w:val="20"/>
        </w:rPr>
        <w:t>s or tariffs, restrictions and controls on imports or exports, or other retaliatory actions, which could have an adverse effect on our business plans or impact the timing of our shipments.</w:t>
      </w:r>
    </w:p>
    <w:p w14:paraId="19503DFE" w14:textId="77777777" w:rsidR="00BF3A3A" w:rsidRDefault="00A76802">
      <w:pPr>
        <w:spacing w:before="120" w:after="120"/>
        <w:jc w:val="both"/>
      </w:pPr>
      <w:r>
        <w:rPr>
          <w:rFonts w:ascii="sans-serif" w:eastAsia="sans-serif" w:hAnsi="sans-serif" w:cs="sans-serif"/>
          <w:b/>
          <w:bCs/>
          <w:color w:val="000000"/>
          <w:sz w:val="20"/>
          <w:szCs w:val="20"/>
        </w:rPr>
        <w:t xml:space="preserve">We are subject to stringent and changing data privacy and </w:t>
      </w:r>
      <w:r>
        <w:rPr>
          <w:rFonts w:ascii="sans-serif" w:eastAsia="sans-serif" w:hAnsi="sans-serif" w:cs="sans-serif"/>
          <w:b/>
          <w:bCs/>
          <w:color w:val="000000"/>
          <w:sz w:val="20"/>
          <w:szCs w:val="20"/>
        </w:rPr>
        <w:t>security obligations. Privacy concerns relating to our products and services could damage our reputation, deter current and potential users from using our products and services, or result in legal or regulatory proceedings and liability.</w:t>
      </w:r>
    </w:p>
    <w:p w14:paraId="19503DFF" w14:textId="77777777" w:rsidR="00BF3A3A" w:rsidRDefault="00A76802">
      <w:pPr>
        <w:spacing w:after="180"/>
        <w:jc w:val="both"/>
      </w:pPr>
      <w:r>
        <w:rPr>
          <w:rFonts w:ascii="sans-serif" w:eastAsia="sans-serif" w:hAnsi="sans-serif" w:cs="sans-serif"/>
          <w:color w:val="000000"/>
          <w:sz w:val="20"/>
          <w:szCs w:val="20"/>
        </w:rPr>
        <w:t>Our products and s</w:t>
      </w:r>
      <w:r>
        <w:rPr>
          <w:rFonts w:ascii="sans-serif" w:eastAsia="sans-serif" w:hAnsi="sans-serif" w:cs="sans-serif"/>
          <w:color w:val="000000"/>
          <w:sz w:val="20"/>
          <w:szCs w:val="20"/>
        </w:rPr>
        <w:t>ervices may provide us with access to sensitive, confidential or personal data or information that is subject to privacy and security laws, regulations, industry standards, external and internal policies, contracts and other obligations that govern the pro</w:t>
      </w:r>
      <w:r>
        <w:rPr>
          <w:rFonts w:ascii="sans-serif" w:eastAsia="sans-serif" w:hAnsi="sans-serif" w:cs="sans-serif"/>
          <w:color w:val="000000"/>
          <w:sz w:val="20"/>
          <w:szCs w:val="20"/>
        </w:rPr>
        <w:t>cessing of such data by us and on our behalf. Concerns about our practices or the ultimate use of our products and services with regard to the collection, use, retention, security or disclosure of personal information or other privacy-related matters, incl</w:t>
      </w:r>
      <w:r>
        <w:rPr>
          <w:rFonts w:ascii="sans-serif" w:eastAsia="sans-serif" w:hAnsi="sans-serif" w:cs="sans-serif"/>
          <w:color w:val="000000"/>
          <w:sz w:val="20"/>
          <w:szCs w:val="20"/>
        </w:rPr>
        <w:t>uding for use in AI, even if unfounded, could damage our reputation and adversely affect our operating results. The theft, loss, or misuse of personal data in our possession or by one of our partners could result in damage to our reputation, regulatory pro</w:t>
      </w:r>
      <w:r>
        <w:rPr>
          <w:rFonts w:ascii="sans-serif" w:eastAsia="sans-serif" w:hAnsi="sans-serif" w:cs="sans-serif"/>
          <w:color w:val="000000"/>
          <w:sz w:val="20"/>
          <w:szCs w:val="20"/>
        </w:rPr>
        <w:t>ceedings, disruption of our business activities or increased security costs and costs related to defending legal claims.</w:t>
      </w:r>
    </w:p>
    <w:p w14:paraId="19503E00" w14:textId="77777777" w:rsidR="00BF3A3A" w:rsidRDefault="00A76802">
      <w:pPr>
        <w:spacing w:after="180"/>
        <w:jc w:val="both"/>
      </w:pPr>
      <w:r>
        <w:rPr>
          <w:rFonts w:ascii="sans-serif" w:eastAsia="sans-serif" w:hAnsi="sans-serif" w:cs="sans-serif"/>
          <w:color w:val="000000"/>
          <w:sz w:val="20"/>
          <w:szCs w:val="20"/>
        </w:rPr>
        <w:t>Worldwide regulatory authorities are considering and have approved various legislative proposals concerning data protection. The Europe</w:t>
      </w:r>
      <w:r>
        <w:rPr>
          <w:rFonts w:ascii="sans-serif" w:eastAsia="sans-serif" w:hAnsi="sans-serif" w:cs="sans-serif"/>
          <w:color w:val="000000"/>
          <w:sz w:val="20"/>
          <w:szCs w:val="20"/>
        </w:rPr>
        <w:t>an Union adopted the General Data Protection Regulation, or GDPR, and the United Kingdom similarly adopted the U.K. GDPR, governing the strict handling of personal data of persons within the European Economic Area, or EEA, and the United Kingdom, respectiv</w:t>
      </w:r>
      <w:r>
        <w:rPr>
          <w:rFonts w:ascii="sans-serif" w:eastAsia="sans-serif" w:hAnsi="sans-serif" w:cs="sans-serif"/>
          <w:color w:val="000000"/>
          <w:sz w:val="20"/>
          <w:szCs w:val="20"/>
        </w:rPr>
        <w:t>ely, including its use and protection and the ability of persons whose data is stored to access, correct, and delete such data about themselves. If we are found not to comply, we could be subject to penalties of up to €20 million or 4% of worldwide revenue</w:t>
      </w:r>
      <w:r>
        <w:rPr>
          <w:rFonts w:ascii="sans-serif" w:eastAsia="sans-serif" w:hAnsi="sans-serif" w:cs="sans-serif"/>
          <w:color w:val="000000"/>
          <w:sz w:val="20"/>
          <w:szCs w:val="20"/>
        </w:rPr>
        <w:t>, whichever is greater, and individuals may initiate litigation related to our processing of their personal data. Furthermore, there exists a proposed European regulation related to AI that, if adopted, could impose onerous obligations and could require us</w:t>
      </w:r>
      <w:r>
        <w:rPr>
          <w:rFonts w:ascii="sans-serif" w:eastAsia="sans-serif" w:hAnsi="sans-serif" w:cs="sans-serif"/>
          <w:color w:val="000000"/>
          <w:sz w:val="20"/>
          <w:szCs w:val="20"/>
        </w:rPr>
        <w:t xml:space="preserve"> to change our business practices. </w:t>
      </w:r>
    </w:p>
    <w:p w14:paraId="19503E01" w14:textId="77777777" w:rsidR="00BF3A3A" w:rsidRDefault="00A76802">
      <w:pPr>
        <w:spacing w:after="180"/>
        <w:jc w:val="both"/>
      </w:pPr>
      <w:r>
        <w:rPr>
          <w:rFonts w:ascii="sans-serif" w:eastAsia="sans-serif" w:hAnsi="sans-serif" w:cs="sans-serif"/>
          <w:color w:val="000000"/>
          <w:sz w:val="20"/>
          <w:szCs w:val="20"/>
        </w:rPr>
        <w:t>Certain jurisdictions have enacted data localization laws and cross-border personal data transfer laws. For example, the GDPR generally restricts the transfer of personal data to countries outside of the EEA. The Europea</w:t>
      </w:r>
      <w:r>
        <w:rPr>
          <w:rFonts w:ascii="sans-serif" w:eastAsia="sans-serif" w:hAnsi="sans-serif" w:cs="sans-serif"/>
          <w:color w:val="000000"/>
          <w:sz w:val="20"/>
          <w:szCs w:val="20"/>
        </w:rPr>
        <w:t>n Commission released a set of “Standard Contractual Clauses” designed for entities to validly transfer personal data out of the EEA to jurisdictions that the European Commission has not found to provide an adequate level of protection, including the Unite</w:t>
      </w:r>
      <w:r>
        <w:rPr>
          <w:rFonts w:ascii="sans-serif" w:eastAsia="sans-serif" w:hAnsi="sans-serif" w:cs="sans-serif"/>
          <w:color w:val="000000"/>
          <w:sz w:val="20"/>
          <w:szCs w:val="20"/>
        </w:rPr>
        <w:t xml:space="preserve">d States. While the European Union and United States governments have recently announced an agreement in principle on a new bilateral cross-border transfer mechanism, it is uncertain whether this agreement will be overturned in court like the previous two </w:t>
      </w:r>
      <w:r>
        <w:rPr>
          <w:rFonts w:ascii="sans-serif" w:eastAsia="sans-serif" w:hAnsi="sans-serif" w:cs="sans-serif"/>
          <w:color w:val="000000"/>
          <w:sz w:val="20"/>
          <w:szCs w:val="20"/>
        </w:rPr>
        <w:t>European Union-United States bilateral cross-border transfer agreements. Other jurisdictions, such as China, have enacted or are considering similar cross-border personal data transfer laws and local personal data residency laws, any of which would increas</w:t>
      </w:r>
      <w:r>
        <w:rPr>
          <w:rFonts w:ascii="sans-serif" w:eastAsia="sans-serif" w:hAnsi="sans-serif" w:cs="sans-serif"/>
          <w:color w:val="000000"/>
          <w:sz w:val="20"/>
          <w:szCs w:val="20"/>
        </w:rPr>
        <w:t>e the cost and complexity of doing business and could result in fines from regulators. The inability to import personal data to the United States could significantly and negatively impact our business operations, limit our ability to collaborate with parti</w:t>
      </w:r>
      <w:r>
        <w:rPr>
          <w:rFonts w:ascii="sans-serif" w:eastAsia="sans-serif" w:hAnsi="sans-serif" w:cs="sans-serif"/>
          <w:color w:val="000000"/>
          <w:sz w:val="20"/>
          <w:szCs w:val="20"/>
        </w:rPr>
        <w:t>es that are subject to European and other data privacy and security laws, or require us to increase our personal data processing capabilities in Europe and/or elsewhere at significant expense.</w:t>
      </w:r>
    </w:p>
    <w:p w14:paraId="19503E02" w14:textId="77777777" w:rsidR="00BF3A3A" w:rsidRDefault="00A76802">
      <w:pPr>
        <w:spacing w:after="180"/>
        <w:jc w:val="both"/>
      </w:pPr>
      <w:r>
        <w:rPr>
          <w:rFonts w:ascii="sans-serif" w:eastAsia="sans-serif" w:hAnsi="sans-serif" w:cs="sans-serif"/>
          <w:color w:val="000000"/>
          <w:sz w:val="20"/>
          <w:szCs w:val="20"/>
        </w:rPr>
        <w:t>The United States federal, state and local governments have ena</w:t>
      </w:r>
      <w:r>
        <w:rPr>
          <w:rFonts w:ascii="sans-serif" w:eastAsia="sans-serif" w:hAnsi="sans-serif" w:cs="sans-serif"/>
          <w:color w:val="000000"/>
          <w:sz w:val="20"/>
          <w:szCs w:val="20"/>
        </w:rPr>
        <w:t xml:space="preserve">cted numerous data privacy and security laws, including for data breach notification, personal data privacy, and consumer protection. The California Consumer Privacy </w:t>
      </w:r>
    </w:p>
    <w:p w14:paraId="19503E03" w14:textId="77777777" w:rsidR="00BF3A3A" w:rsidRDefault="00A76802">
      <w:pPr>
        <w:spacing w:after="180"/>
        <w:jc w:val="center"/>
      </w:pPr>
      <w:r>
        <w:rPr>
          <w:rFonts w:ascii="sans-serif" w:eastAsia="sans-serif" w:hAnsi="sans-serif" w:cs="sans-serif"/>
          <w:color w:val="000000"/>
          <w:sz w:val="20"/>
          <w:szCs w:val="20"/>
        </w:rPr>
        <w:t>42</w:t>
      </w:r>
    </w:p>
    <w:p w14:paraId="19503E04" w14:textId="77777777" w:rsidR="00BF3A3A" w:rsidRDefault="00A76802">
      <w:r>
        <w:pict w14:anchorId="19503FEF">
          <v:rect id="_x0000_i1066" style="width:415.3pt;height:1.5pt" o:hralign="center" o:hrstd="t" o:hr="t" fillcolor="#a0a0a0" stroked="f"/>
        </w:pict>
      </w:r>
    </w:p>
    <w:p w14:paraId="19503E05" w14:textId="77777777" w:rsidR="00BF3A3A" w:rsidRDefault="00BF3A3A">
      <w:pPr>
        <w:spacing w:after="180"/>
        <w:jc w:val="both"/>
      </w:pPr>
    </w:p>
    <w:p w14:paraId="19503E06" w14:textId="77777777" w:rsidR="00BF3A3A" w:rsidRDefault="00BF3A3A">
      <w:pPr>
        <w:spacing w:after="180"/>
        <w:jc w:val="both"/>
      </w:pPr>
    </w:p>
    <w:p w14:paraId="19503E07" w14:textId="77777777" w:rsidR="00BF3A3A" w:rsidRDefault="00BF3A3A">
      <w:pPr>
        <w:spacing w:after="180"/>
        <w:jc w:val="both"/>
      </w:pPr>
    </w:p>
    <w:p w14:paraId="19503E08" w14:textId="77777777" w:rsidR="00BF3A3A" w:rsidRDefault="00A76802">
      <w:pPr>
        <w:spacing w:after="180"/>
        <w:jc w:val="both"/>
      </w:pPr>
      <w:r>
        <w:rPr>
          <w:rFonts w:ascii="sans-serif" w:eastAsia="sans-serif" w:hAnsi="sans-serif" w:cs="sans-serif"/>
          <w:color w:val="000000"/>
          <w:sz w:val="20"/>
          <w:szCs w:val="20"/>
        </w:rPr>
        <w:t>Act of 2018, or CCPA, gives California residents the right to access, delete and opt-out of certain sharing of their personal information, and to receive detailed information about how it is used and shared. The CCPA allows for statutory fines of up to $7,</w:t>
      </w:r>
      <w:r>
        <w:rPr>
          <w:rFonts w:ascii="sans-serif" w:eastAsia="sans-serif" w:hAnsi="sans-serif" w:cs="sans-serif"/>
          <w:color w:val="000000"/>
          <w:sz w:val="20"/>
          <w:szCs w:val="20"/>
        </w:rPr>
        <w:t>500 per violation and the law created a private right of action for certain data breaches. California’s privacy laws will further expand in 2023 under the California Privacy Rights Act of 2020, or CPRA, which may restrict the use of certain categories of s</w:t>
      </w:r>
      <w:r>
        <w:rPr>
          <w:rFonts w:ascii="sans-serif" w:eastAsia="sans-serif" w:hAnsi="sans-serif" w:cs="sans-serif"/>
          <w:color w:val="000000"/>
          <w:sz w:val="20"/>
          <w:szCs w:val="20"/>
        </w:rPr>
        <w:t>ensitive personal information; further restrict the use of cross-contextual advertising techniques; restrict the retention of personal information; expand the types of data breaches subject to the private right of action; and establish the California Priva</w:t>
      </w:r>
      <w:r>
        <w:rPr>
          <w:rFonts w:ascii="sans-serif" w:eastAsia="sans-serif" w:hAnsi="sans-serif" w:cs="sans-serif"/>
          <w:color w:val="000000"/>
          <w:sz w:val="20"/>
          <w:szCs w:val="20"/>
        </w:rPr>
        <w:t>cy Protection Agency to impose administrative fines. Virginia, Colorado, Utah and Connecticut have each passed their own privacy legislation which differ from the CPRA and each become effective in 2023. If we become subject to new data privacy laws the ris</w:t>
      </w:r>
      <w:r>
        <w:rPr>
          <w:rFonts w:ascii="sans-serif" w:eastAsia="sans-serif" w:hAnsi="sans-serif" w:cs="sans-serif"/>
          <w:color w:val="000000"/>
          <w:sz w:val="20"/>
          <w:szCs w:val="20"/>
        </w:rPr>
        <w:t xml:space="preserve">k of enforcement action against us could increase as we become subject to additional obligations. </w:t>
      </w:r>
    </w:p>
    <w:p w14:paraId="19503E09" w14:textId="77777777" w:rsidR="00BF3A3A" w:rsidRDefault="00A76802">
      <w:pPr>
        <w:spacing w:after="180"/>
        <w:jc w:val="both"/>
      </w:pPr>
      <w:r>
        <w:rPr>
          <w:rFonts w:ascii="sans-serif" w:eastAsia="sans-serif" w:hAnsi="sans-serif" w:cs="sans-serif"/>
          <w:color w:val="000000"/>
          <w:sz w:val="20"/>
          <w:szCs w:val="20"/>
        </w:rPr>
        <w:t>The interpretation and application of consumer and data protection laws in the United States, Europe and elsewhere are quickly changing and may be interprete</w:t>
      </w:r>
      <w:r>
        <w:rPr>
          <w:rFonts w:ascii="sans-serif" w:eastAsia="sans-serif" w:hAnsi="sans-serif" w:cs="sans-serif"/>
          <w:color w:val="000000"/>
          <w:sz w:val="20"/>
          <w:szCs w:val="20"/>
        </w:rPr>
        <w:t>d and applied in an increasingly stringent fashion and in a manner that is inconsistent with our data practices. These obligations may necessitate changes to our information technologies, systems, and practices and to those of any third parties that proces</w:t>
      </w:r>
      <w:r>
        <w:rPr>
          <w:rFonts w:ascii="sans-serif" w:eastAsia="sans-serif" w:hAnsi="sans-serif" w:cs="sans-serif"/>
          <w:color w:val="000000"/>
          <w:sz w:val="20"/>
          <w:szCs w:val="20"/>
        </w:rPr>
        <w:t xml:space="preserve">s personal data on our behalf. Despite our efforts, our personnel or third parties upon whom we rely may fail to comply with such obligations. If we fail, or are perceived to have failed, to address or comply with data privacy and security obligations, we </w:t>
      </w:r>
      <w:r>
        <w:rPr>
          <w:rFonts w:ascii="sans-serif" w:eastAsia="sans-serif" w:hAnsi="sans-serif" w:cs="sans-serif"/>
          <w:color w:val="000000"/>
          <w:sz w:val="20"/>
          <w:szCs w:val="20"/>
        </w:rPr>
        <w:t>could face significant consequences, including but not limited to, government enforcement actions, litigation, additional reporting requirements and/or oversight, bans on processing personal data and orders to destroy or not use personal data. Any of these</w:t>
      </w:r>
      <w:r>
        <w:rPr>
          <w:rFonts w:ascii="sans-serif" w:eastAsia="sans-serif" w:hAnsi="sans-serif" w:cs="sans-serif"/>
          <w:color w:val="000000"/>
          <w:sz w:val="20"/>
          <w:szCs w:val="20"/>
        </w:rPr>
        <w:t xml:space="preserve"> events could have a material adverse effect on our reputation, business, or financial condition.</w:t>
      </w:r>
    </w:p>
    <w:p w14:paraId="19503E0A" w14:textId="77777777" w:rsidR="00BF3A3A" w:rsidRDefault="00BF3A3A">
      <w:pPr>
        <w:spacing w:before="120" w:after="120"/>
        <w:jc w:val="both"/>
      </w:pPr>
    </w:p>
    <w:p w14:paraId="19503E0B" w14:textId="77777777" w:rsidR="00BF3A3A" w:rsidRDefault="00BF3A3A">
      <w:pPr>
        <w:spacing w:before="120" w:after="120"/>
        <w:jc w:val="both"/>
      </w:pPr>
    </w:p>
    <w:p w14:paraId="19503E0C" w14:textId="77777777" w:rsidR="00BF3A3A" w:rsidRDefault="00A76802">
      <w:pPr>
        <w:spacing w:before="120" w:after="120"/>
        <w:jc w:val="both"/>
      </w:pPr>
      <w:r>
        <w:rPr>
          <w:rFonts w:ascii="sans-serif" w:eastAsia="sans-serif" w:hAnsi="sans-serif" w:cs="sans-serif"/>
          <w:b/>
          <w:bCs/>
          <w:color w:val="000000"/>
          <w:sz w:val="20"/>
          <w:szCs w:val="20"/>
        </w:rPr>
        <w:t>We have exposure to additional tax liabilities and our operating results may be adversely impacted by higher than expected tax rates and other tax-related f</w:t>
      </w:r>
      <w:r>
        <w:rPr>
          <w:rFonts w:ascii="sans-serif" w:eastAsia="sans-serif" w:hAnsi="sans-serif" w:cs="sans-serif"/>
          <w:b/>
          <w:bCs/>
          <w:color w:val="000000"/>
          <w:sz w:val="20"/>
          <w:szCs w:val="20"/>
        </w:rPr>
        <w:t>actors.</w:t>
      </w:r>
    </w:p>
    <w:p w14:paraId="19503E0D" w14:textId="77777777" w:rsidR="00BF3A3A" w:rsidRDefault="00A76802">
      <w:pPr>
        <w:spacing w:after="180"/>
        <w:jc w:val="both"/>
      </w:pPr>
      <w:r>
        <w:rPr>
          <w:rFonts w:ascii="sans-serif" w:eastAsia="sans-serif" w:hAnsi="sans-serif" w:cs="sans-serif"/>
          <w:color w:val="000000"/>
          <w:sz w:val="20"/>
          <w:szCs w:val="20"/>
        </w:rPr>
        <w:t>As a multinational corporation, we are subject to income taxes as well as non-income-based taxes, such as payroll, sales, use, value-added, net worth, property and goods and services taxes, in both the United States and various foreign jurisdiction</w:t>
      </w:r>
      <w:r>
        <w:rPr>
          <w:rFonts w:ascii="sans-serif" w:eastAsia="sans-serif" w:hAnsi="sans-serif" w:cs="sans-serif"/>
          <w:color w:val="000000"/>
          <w:sz w:val="20"/>
          <w:szCs w:val="20"/>
        </w:rPr>
        <w:t>s. Our domestic and international tax liabilities are subject to the allocation of revenue and expenses in different jurisdictions. Significant judgment is required in determining our worldwide provision for income taxes and other tax liabilities. We are r</w:t>
      </w:r>
      <w:r>
        <w:rPr>
          <w:rFonts w:ascii="sans-serif" w:eastAsia="sans-serif" w:hAnsi="sans-serif" w:cs="sans-serif"/>
          <w:color w:val="000000"/>
          <w:sz w:val="20"/>
          <w:szCs w:val="20"/>
        </w:rPr>
        <w:t>egularly under audit by tax authorities in different jurisdictions. For example, we are currently under examination by the Internal Revenue Service for our fiscal years 2018 and 2019 and under audit in Germany, Israel and India. Although we believe our tax</w:t>
      </w:r>
      <w:r>
        <w:rPr>
          <w:rFonts w:ascii="sans-serif" w:eastAsia="sans-serif" w:hAnsi="sans-serif" w:cs="sans-serif"/>
          <w:color w:val="000000"/>
          <w:sz w:val="20"/>
          <w:szCs w:val="20"/>
        </w:rPr>
        <w:t xml:space="preserve"> estimates are reasonable, tax authorities may disagree with certain positions we have taken, and any adverse outcome of such a review or audit could increase our worldwide effective tax rate, increase the amount of non-income taxes imposed on our business</w:t>
      </w:r>
      <w:r>
        <w:rPr>
          <w:rFonts w:ascii="sans-serif" w:eastAsia="sans-serif" w:hAnsi="sans-serif" w:cs="sans-serif"/>
          <w:color w:val="000000"/>
          <w:sz w:val="20"/>
          <w:szCs w:val="20"/>
        </w:rPr>
        <w:t>, and harm our financial position, results of operations, and cash flows. Further, changes in United States federal, and state or international tax laws applicable to multinational corporations or other fundamental law changes, including changes to existin</w:t>
      </w:r>
      <w:r>
        <w:rPr>
          <w:rFonts w:ascii="sans-serif" w:eastAsia="sans-serif" w:hAnsi="sans-serif" w:cs="sans-serif"/>
          <w:color w:val="000000"/>
          <w:sz w:val="20"/>
          <w:szCs w:val="20"/>
        </w:rPr>
        <w:t>g tax rules and regulations under the current U.S. administration and Congress, such as resulting from the recently enacted Inflation Reduction Act, parts of which are effective for us in fiscal year 2023, and as a result of recommendations from intergover</w:t>
      </w:r>
      <w:r>
        <w:rPr>
          <w:rFonts w:ascii="sans-serif" w:eastAsia="sans-serif" w:hAnsi="sans-serif" w:cs="sans-serif"/>
          <w:color w:val="000000"/>
          <w:sz w:val="20"/>
          <w:szCs w:val="20"/>
        </w:rPr>
        <w:t>nmental economic organizations such as the Organization for Economic Cooperation and Development, may materially impact our tax expense, the amount of non-income tax imposed on our business, and cash flows.</w:t>
      </w:r>
    </w:p>
    <w:p w14:paraId="19503E0E" w14:textId="77777777" w:rsidR="00BF3A3A" w:rsidRDefault="00A76802">
      <w:pPr>
        <w:spacing w:after="180"/>
        <w:jc w:val="both"/>
      </w:pPr>
      <w:r>
        <w:rPr>
          <w:rFonts w:ascii="sans-serif" w:eastAsia="sans-serif" w:hAnsi="sans-serif" w:cs="sans-serif"/>
          <w:color w:val="000000"/>
          <w:sz w:val="20"/>
          <w:szCs w:val="20"/>
        </w:rPr>
        <w:t>Our future effective tax rate may also be affecte</w:t>
      </w:r>
      <w:r>
        <w:rPr>
          <w:rFonts w:ascii="sans-serif" w:eastAsia="sans-serif" w:hAnsi="sans-serif" w:cs="sans-serif"/>
          <w:color w:val="000000"/>
          <w:sz w:val="20"/>
          <w:szCs w:val="20"/>
        </w:rPr>
        <w:t>d by such factors as changes in our business or statutory rates, changes in jurisdictions in which our profits are determined to be earned and taxed, changes in available tax credits and deductions, the resolution of issues arising from tax audits, changes</w:t>
      </w:r>
      <w:r>
        <w:rPr>
          <w:rFonts w:ascii="sans-serif" w:eastAsia="sans-serif" w:hAnsi="sans-serif" w:cs="sans-serif"/>
          <w:color w:val="000000"/>
          <w:sz w:val="20"/>
          <w:szCs w:val="20"/>
        </w:rPr>
        <w:t xml:space="preserve"> in United States generally accepted accounting principles, adjustments to income taxes upon finalization of tax returns, increases in expenses not deductible for tax purposes, changes in the valuation of our deferred tax assets and liabilities and in defe</w:t>
      </w:r>
      <w:r>
        <w:rPr>
          <w:rFonts w:ascii="sans-serif" w:eastAsia="sans-serif" w:hAnsi="sans-serif" w:cs="sans-serif"/>
          <w:color w:val="000000"/>
          <w:sz w:val="20"/>
          <w:szCs w:val="20"/>
        </w:rPr>
        <w:t>rred tax valuation allowances, changing interpretation of existing laws or regulations, the impact of accounting for stock-based compensation and volatility in our stock price affecting the recognition of excess tax benefits and tax deficiencies within the</w:t>
      </w:r>
      <w:r>
        <w:rPr>
          <w:rFonts w:ascii="sans-serif" w:eastAsia="sans-serif" w:hAnsi="sans-serif" w:cs="sans-serif"/>
          <w:color w:val="000000"/>
          <w:sz w:val="20"/>
          <w:szCs w:val="20"/>
        </w:rPr>
        <w:t xml:space="preserve"> income tax provision in the period in which they occur, the impact of accounting for business combinations, shifts in the amount of earnings in the United States compared with other regions in the world and overall levels of income before tax, changes in </w:t>
      </w:r>
      <w:r>
        <w:rPr>
          <w:rFonts w:ascii="sans-serif" w:eastAsia="sans-serif" w:hAnsi="sans-serif" w:cs="sans-serif"/>
          <w:color w:val="000000"/>
          <w:sz w:val="20"/>
          <w:szCs w:val="20"/>
        </w:rPr>
        <w:t>the domestic or international organization of our business and structure, as well as the expiration of statute of limitations and settlements of audits. For example, a decline in our stock price may result in reduced future tax benefits or in tax deficienc</w:t>
      </w:r>
      <w:r>
        <w:rPr>
          <w:rFonts w:ascii="sans-serif" w:eastAsia="sans-serif" w:hAnsi="sans-serif" w:cs="sans-serif"/>
          <w:color w:val="000000"/>
          <w:sz w:val="20"/>
          <w:szCs w:val="20"/>
        </w:rPr>
        <w:t>ies from stock-based compensation. Any changes in our effective tax rate may impact net income.</w:t>
      </w:r>
    </w:p>
    <w:p w14:paraId="19503E0F" w14:textId="77777777" w:rsidR="00BF3A3A" w:rsidRDefault="00A76802">
      <w:pPr>
        <w:spacing w:before="240" w:after="120"/>
        <w:jc w:val="both"/>
      </w:pPr>
      <w:r>
        <w:rPr>
          <w:rFonts w:ascii="sans-serif" w:eastAsia="sans-serif" w:hAnsi="sans-serif" w:cs="sans-serif"/>
          <w:b/>
          <w:bCs/>
          <w:color w:val="76B900"/>
          <w:sz w:val="22"/>
          <w:szCs w:val="22"/>
        </w:rPr>
        <w:t>ITEM 2. UNREGISTERED SALES OF EQUITY SECURITIES AND USE OF PROCEEDS</w:t>
      </w:r>
    </w:p>
    <w:p w14:paraId="19503E10" w14:textId="77777777" w:rsidR="00BF3A3A" w:rsidRDefault="00A76802">
      <w:pPr>
        <w:spacing w:before="240" w:after="60"/>
        <w:jc w:val="both"/>
      </w:pPr>
      <w:r>
        <w:rPr>
          <w:rFonts w:ascii="sans-serif" w:eastAsia="sans-serif" w:hAnsi="sans-serif" w:cs="sans-serif"/>
          <w:b/>
          <w:bCs/>
          <w:color w:val="76B900"/>
          <w:sz w:val="20"/>
          <w:szCs w:val="20"/>
        </w:rPr>
        <w:t>Issuer Purchases of Equity Securities</w:t>
      </w:r>
    </w:p>
    <w:p w14:paraId="19503E11" w14:textId="77777777" w:rsidR="00BF3A3A" w:rsidRDefault="00A76802">
      <w:pPr>
        <w:spacing w:after="180"/>
        <w:jc w:val="center"/>
      </w:pPr>
      <w:r>
        <w:rPr>
          <w:rFonts w:ascii="sans-serif" w:eastAsia="sans-serif" w:hAnsi="sans-serif" w:cs="sans-serif"/>
          <w:color w:val="000000"/>
          <w:sz w:val="20"/>
          <w:szCs w:val="20"/>
        </w:rPr>
        <w:t>43</w:t>
      </w:r>
    </w:p>
    <w:p w14:paraId="19503E12" w14:textId="77777777" w:rsidR="00BF3A3A" w:rsidRDefault="00A76802">
      <w:r>
        <w:pict w14:anchorId="19503FF0">
          <v:rect id="_x0000_i1067" style="width:415.3pt;height:1.5pt" o:hralign="center" o:hrstd="t" o:hr="t" fillcolor="#a0a0a0" stroked="f"/>
        </w:pict>
      </w:r>
    </w:p>
    <w:p w14:paraId="19503E13" w14:textId="77777777" w:rsidR="00BF3A3A" w:rsidRDefault="00BF3A3A">
      <w:pPr>
        <w:spacing w:after="180"/>
        <w:jc w:val="both"/>
      </w:pPr>
    </w:p>
    <w:p w14:paraId="19503E14" w14:textId="77777777" w:rsidR="00BF3A3A" w:rsidRDefault="00BF3A3A">
      <w:pPr>
        <w:spacing w:after="180"/>
        <w:jc w:val="both"/>
      </w:pPr>
    </w:p>
    <w:p w14:paraId="19503E15" w14:textId="77777777" w:rsidR="00BF3A3A" w:rsidRDefault="00BF3A3A">
      <w:pPr>
        <w:spacing w:after="180"/>
        <w:jc w:val="both"/>
      </w:pPr>
    </w:p>
    <w:p w14:paraId="19503E16" w14:textId="77777777" w:rsidR="00BF3A3A" w:rsidRDefault="00A76802">
      <w:pPr>
        <w:spacing w:after="180"/>
        <w:jc w:val="both"/>
      </w:pPr>
      <w:r>
        <w:rPr>
          <w:rFonts w:ascii="sans-serif" w:eastAsia="sans-serif" w:hAnsi="sans-serif" w:cs="sans-serif"/>
          <w:color w:val="000000"/>
          <w:sz w:val="20"/>
          <w:szCs w:val="20"/>
        </w:rPr>
        <w:t xml:space="preserve">On May 23, 2022, our Board of </w:t>
      </w:r>
      <w:r>
        <w:rPr>
          <w:rFonts w:ascii="sans-serif" w:eastAsia="sans-serif" w:hAnsi="sans-serif" w:cs="sans-serif"/>
          <w:color w:val="000000"/>
          <w:sz w:val="20"/>
          <w:szCs w:val="20"/>
        </w:rPr>
        <w:t>Directors increased and extended our share repurchase program to repurchase additional common stock up to a total of $15 billion through December 2023.</w:t>
      </w:r>
    </w:p>
    <w:p w14:paraId="19503E17" w14:textId="77777777" w:rsidR="00BF3A3A" w:rsidRDefault="00A76802">
      <w:pPr>
        <w:spacing w:after="180"/>
        <w:jc w:val="both"/>
      </w:pPr>
      <w:r>
        <w:rPr>
          <w:rFonts w:ascii="sans-serif" w:eastAsia="sans-serif" w:hAnsi="sans-serif" w:cs="sans-serif"/>
          <w:color w:val="000000"/>
          <w:sz w:val="20"/>
          <w:szCs w:val="20"/>
        </w:rPr>
        <w:t>Since the inception of our share repurchase program, we have repurchased an aggregate of 1.07 billion sh</w:t>
      </w:r>
      <w:r>
        <w:rPr>
          <w:rFonts w:ascii="sans-serif" w:eastAsia="sans-serif" w:hAnsi="sans-serif" w:cs="sans-serif"/>
          <w:color w:val="000000"/>
          <w:sz w:val="20"/>
          <w:szCs w:val="20"/>
        </w:rPr>
        <w:t>ares for a total cost of $12.42 billion through July 31, 2022. As of July 31, 2022, we were authorized, subject to certain specifications, to repurchase additional common stock up to a total of $11.93 billion through December 2023. We plan to continue shar</w:t>
      </w:r>
      <w:r>
        <w:rPr>
          <w:rFonts w:ascii="sans-serif" w:eastAsia="sans-serif" w:hAnsi="sans-serif" w:cs="sans-serif"/>
          <w:color w:val="000000"/>
          <w:sz w:val="20"/>
          <w:szCs w:val="20"/>
        </w:rPr>
        <w:t>e repurchases this fiscal year.</w:t>
      </w:r>
    </w:p>
    <w:p w14:paraId="19503E18" w14:textId="77777777" w:rsidR="00BF3A3A" w:rsidRDefault="00A76802">
      <w:pPr>
        <w:spacing w:after="180"/>
        <w:jc w:val="both"/>
      </w:pPr>
      <w:r>
        <w:rPr>
          <w:rFonts w:ascii="sans-serif" w:eastAsia="sans-serif" w:hAnsi="sans-serif" w:cs="sans-serif"/>
          <w:color w:val="000000"/>
          <w:sz w:val="20"/>
          <w:szCs w:val="20"/>
        </w:rPr>
        <w:t>The repurchases can be made in the open market, in privately negotiated transactions, pursuant to a Rule 10b5-1 trading plan or in structured share repurchase programs, and can be made in one or more larger repurchases, in c</w:t>
      </w:r>
      <w:r>
        <w:rPr>
          <w:rFonts w:ascii="sans-serif" w:eastAsia="sans-serif" w:hAnsi="sans-serif" w:cs="sans-serif"/>
          <w:color w:val="000000"/>
          <w:sz w:val="20"/>
          <w:szCs w:val="20"/>
        </w:rPr>
        <w:t>ompliance with Rule 10b-18 of the Securities Exchange Act of 1934, as amended, subject to market conditions, applicable legal requirements, and other factors. The program does not obligate NVIDIA to acquire any particular amount of common stock and the pro</w:t>
      </w:r>
      <w:r>
        <w:rPr>
          <w:rFonts w:ascii="sans-serif" w:eastAsia="sans-serif" w:hAnsi="sans-serif" w:cs="sans-serif"/>
          <w:color w:val="000000"/>
          <w:sz w:val="20"/>
          <w:szCs w:val="20"/>
        </w:rPr>
        <w:t>gram may be suspended at any time at our discretion.</w:t>
      </w:r>
    </w:p>
    <w:p w14:paraId="19503E19" w14:textId="77777777" w:rsidR="00BF3A3A" w:rsidRDefault="00A76802">
      <w:pPr>
        <w:spacing w:after="180"/>
        <w:jc w:val="both"/>
      </w:pPr>
      <w:r>
        <w:rPr>
          <w:rFonts w:ascii="sans-serif" w:eastAsia="sans-serif" w:hAnsi="sans-serif" w:cs="sans-serif"/>
          <w:color w:val="000000"/>
          <w:sz w:val="20"/>
          <w:szCs w:val="20"/>
        </w:rPr>
        <w:t>During the second quarter and first half of fiscal year 2023, we paid $100 million and $200 million in cash dividends to our shareholders, respectively.</w:t>
      </w:r>
    </w:p>
    <w:p w14:paraId="19503E1A" w14:textId="77777777" w:rsidR="00BF3A3A" w:rsidRDefault="00A76802">
      <w:pPr>
        <w:spacing w:after="180"/>
        <w:jc w:val="center"/>
      </w:pPr>
      <w:r>
        <w:rPr>
          <w:rFonts w:ascii="sans-serif" w:eastAsia="sans-serif" w:hAnsi="sans-serif" w:cs="sans-serif"/>
          <w:color w:val="000000"/>
          <w:sz w:val="20"/>
          <w:szCs w:val="20"/>
        </w:rPr>
        <w:t>44</w:t>
      </w:r>
    </w:p>
    <w:p w14:paraId="19503E1B" w14:textId="77777777" w:rsidR="00BF3A3A" w:rsidRDefault="00A76802">
      <w:r>
        <w:pict w14:anchorId="19503FF1">
          <v:rect id="_x0000_i1068" style="width:415.3pt;height:1.5pt" o:hralign="center" o:hrstd="t" o:hr="t" fillcolor="#a0a0a0" stroked="f"/>
        </w:pict>
      </w:r>
    </w:p>
    <w:p w14:paraId="19503E1C" w14:textId="77777777" w:rsidR="00BF3A3A" w:rsidRDefault="00BF3A3A">
      <w:pPr>
        <w:spacing w:after="180"/>
        <w:jc w:val="both"/>
      </w:pPr>
    </w:p>
    <w:p w14:paraId="19503E1D" w14:textId="77777777" w:rsidR="00BF3A3A" w:rsidRDefault="00BF3A3A">
      <w:pPr>
        <w:spacing w:after="180"/>
        <w:jc w:val="both"/>
      </w:pPr>
    </w:p>
    <w:p w14:paraId="19503E1E" w14:textId="77777777" w:rsidR="00BF3A3A" w:rsidRDefault="00BF3A3A">
      <w:pPr>
        <w:spacing w:after="180"/>
        <w:jc w:val="both"/>
      </w:pPr>
    </w:p>
    <w:p w14:paraId="19503E1F" w14:textId="77777777" w:rsidR="00BF3A3A" w:rsidRDefault="00A76802">
      <w:pPr>
        <w:spacing w:after="180"/>
        <w:jc w:val="both"/>
      </w:pPr>
      <w:r>
        <w:rPr>
          <w:rFonts w:ascii="sans-serif" w:eastAsia="sans-serif" w:hAnsi="sans-serif" w:cs="sans-serif"/>
          <w:color w:val="000000"/>
          <w:sz w:val="20"/>
          <w:szCs w:val="20"/>
        </w:rPr>
        <w:t>The following table presents details of ou</w:t>
      </w:r>
      <w:r>
        <w:rPr>
          <w:rFonts w:ascii="sans-serif" w:eastAsia="sans-serif" w:hAnsi="sans-serif" w:cs="sans-serif"/>
          <w:color w:val="000000"/>
          <w:sz w:val="20"/>
          <w:szCs w:val="20"/>
        </w:rPr>
        <w:t>r share repurchase transactions during the second quarter of fiscal year 2023:</w:t>
      </w:r>
    </w:p>
    <w:tbl>
      <w:tblPr>
        <w:tblW w:w="5000" w:type="pct"/>
        <w:tblCellMar>
          <w:top w:w="15" w:type="dxa"/>
          <w:left w:w="15" w:type="dxa"/>
          <w:bottom w:w="15" w:type="dxa"/>
          <w:right w:w="15" w:type="dxa"/>
        </w:tblCellMar>
        <w:tblLook w:val="04A0" w:firstRow="1" w:lastRow="0" w:firstColumn="1" w:lastColumn="0" w:noHBand="0" w:noVBand="1"/>
      </w:tblPr>
      <w:tblGrid>
        <w:gridCol w:w="38"/>
        <w:gridCol w:w="2337"/>
        <w:gridCol w:w="36"/>
        <w:gridCol w:w="36"/>
        <w:gridCol w:w="36"/>
        <w:gridCol w:w="36"/>
        <w:gridCol w:w="53"/>
        <w:gridCol w:w="1275"/>
        <w:gridCol w:w="36"/>
        <w:gridCol w:w="36"/>
        <w:gridCol w:w="36"/>
        <w:gridCol w:w="36"/>
        <w:gridCol w:w="122"/>
        <w:gridCol w:w="1044"/>
        <w:gridCol w:w="36"/>
        <w:gridCol w:w="36"/>
        <w:gridCol w:w="36"/>
        <w:gridCol w:w="36"/>
        <w:gridCol w:w="56"/>
        <w:gridCol w:w="1311"/>
        <w:gridCol w:w="36"/>
        <w:gridCol w:w="36"/>
        <w:gridCol w:w="36"/>
        <w:gridCol w:w="36"/>
        <w:gridCol w:w="123"/>
        <w:gridCol w:w="1365"/>
        <w:gridCol w:w="36"/>
      </w:tblGrid>
      <w:tr w:rsidR="00BF3A3A" w14:paraId="19503E3B" w14:textId="77777777">
        <w:tc>
          <w:tcPr>
            <w:tcW w:w="50" w:type="pct"/>
            <w:shd w:val="clear" w:color="auto" w:fill="auto"/>
            <w:vAlign w:val="bottom"/>
          </w:tcPr>
          <w:p w14:paraId="19503E20" w14:textId="77777777" w:rsidR="00BF3A3A" w:rsidRDefault="00BF3A3A">
            <w:pPr>
              <w:rPr>
                <w:rFonts w:ascii="宋体"/>
              </w:rPr>
            </w:pPr>
          </w:p>
        </w:tc>
        <w:tc>
          <w:tcPr>
            <w:tcW w:w="1428" w:type="pct"/>
            <w:shd w:val="clear" w:color="auto" w:fill="auto"/>
            <w:vAlign w:val="bottom"/>
          </w:tcPr>
          <w:p w14:paraId="19503E21" w14:textId="77777777" w:rsidR="00BF3A3A" w:rsidRDefault="00BF3A3A">
            <w:pPr>
              <w:rPr>
                <w:rFonts w:ascii="宋体"/>
              </w:rPr>
            </w:pPr>
          </w:p>
        </w:tc>
        <w:tc>
          <w:tcPr>
            <w:tcW w:w="5" w:type="pct"/>
            <w:shd w:val="clear" w:color="auto" w:fill="auto"/>
            <w:vAlign w:val="bottom"/>
          </w:tcPr>
          <w:p w14:paraId="19503E22" w14:textId="77777777" w:rsidR="00BF3A3A" w:rsidRDefault="00BF3A3A">
            <w:pPr>
              <w:rPr>
                <w:rFonts w:ascii="宋体"/>
              </w:rPr>
            </w:pPr>
          </w:p>
        </w:tc>
        <w:tc>
          <w:tcPr>
            <w:tcW w:w="5" w:type="pct"/>
            <w:shd w:val="clear" w:color="auto" w:fill="auto"/>
            <w:vAlign w:val="bottom"/>
          </w:tcPr>
          <w:p w14:paraId="19503E23" w14:textId="77777777" w:rsidR="00BF3A3A" w:rsidRDefault="00BF3A3A">
            <w:pPr>
              <w:rPr>
                <w:rFonts w:ascii="宋体"/>
              </w:rPr>
            </w:pPr>
          </w:p>
        </w:tc>
        <w:tc>
          <w:tcPr>
            <w:tcW w:w="19" w:type="pct"/>
            <w:shd w:val="clear" w:color="auto" w:fill="auto"/>
            <w:vAlign w:val="bottom"/>
          </w:tcPr>
          <w:p w14:paraId="19503E24" w14:textId="77777777" w:rsidR="00BF3A3A" w:rsidRDefault="00BF3A3A">
            <w:pPr>
              <w:rPr>
                <w:rFonts w:ascii="宋体"/>
              </w:rPr>
            </w:pPr>
          </w:p>
        </w:tc>
        <w:tc>
          <w:tcPr>
            <w:tcW w:w="5" w:type="pct"/>
            <w:shd w:val="clear" w:color="auto" w:fill="auto"/>
            <w:vAlign w:val="bottom"/>
          </w:tcPr>
          <w:p w14:paraId="19503E25" w14:textId="77777777" w:rsidR="00BF3A3A" w:rsidRDefault="00BF3A3A">
            <w:pPr>
              <w:rPr>
                <w:rFonts w:ascii="宋体"/>
              </w:rPr>
            </w:pPr>
          </w:p>
        </w:tc>
        <w:tc>
          <w:tcPr>
            <w:tcW w:w="50" w:type="pct"/>
            <w:shd w:val="clear" w:color="auto" w:fill="auto"/>
            <w:vAlign w:val="bottom"/>
          </w:tcPr>
          <w:p w14:paraId="19503E26" w14:textId="77777777" w:rsidR="00BF3A3A" w:rsidRDefault="00BF3A3A">
            <w:pPr>
              <w:rPr>
                <w:rFonts w:ascii="宋体"/>
              </w:rPr>
            </w:pPr>
          </w:p>
        </w:tc>
        <w:tc>
          <w:tcPr>
            <w:tcW w:w="800" w:type="pct"/>
            <w:shd w:val="clear" w:color="auto" w:fill="auto"/>
            <w:vAlign w:val="bottom"/>
          </w:tcPr>
          <w:p w14:paraId="19503E27" w14:textId="77777777" w:rsidR="00BF3A3A" w:rsidRDefault="00BF3A3A">
            <w:pPr>
              <w:rPr>
                <w:rFonts w:ascii="宋体"/>
              </w:rPr>
            </w:pPr>
          </w:p>
        </w:tc>
        <w:tc>
          <w:tcPr>
            <w:tcW w:w="5" w:type="pct"/>
            <w:shd w:val="clear" w:color="auto" w:fill="auto"/>
            <w:vAlign w:val="bottom"/>
          </w:tcPr>
          <w:p w14:paraId="19503E28" w14:textId="77777777" w:rsidR="00BF3A3A" w:rsidRDefault="00BF3A3A">
            <w:pPr>
              <w:rPr>
                <w:rFonts w:ascii="宋体"/>
              </w:rPr>
            </w:pPr>
          </w:p>
        </w:tc>
        <w:tc>
          <w:tcPr>
            <w:tcW w:w="5" w:type="pct"/>
            <w:shd w:val="clear" w:color="auto" w:fill="auto"/>
            <w:vAlign w:val="bottom"/>
          </w:tcPr>
          <w:p w14:paraId="19503E29" w14:textId="77777777" w:rsidR="00BF3A3A" w:rsidRDefault="00BF3A3A">
            <w:pPr>
              <w:rPr>
                <w:rFonts w:ascii="宋体"/>
              </w:rPr>
            </w:pPr>
          </w:p>
        </w:tc>
        <w:tc>
          <w:tcPr>
            <w:tcW w:w="26" w:type="pct"/>
            <w:shd w:val="clear" w:color="auto" w:fill="auto"/>
            <w:vAlign w:val="bottom"/>
          </w:tcPr>
          <w:p w14:paraId="19503E2A" w14:textId="77777777" w:rsidR="00BF3A3A" w:rsidRDefault="00BF3A3A">
            <w:pPr>
              <w:rPr>
                <w:rFonts w:ascii="宋体"/>
              </w:rPr>
            </w:pPr>
          </w:p>
        </w:tc>
        <w:tc>
          <w:tcPr>
            <w:tcW w:w="5" w:type="pct"/>
            <w:shd w:val="clear" w:color="auto" w:fill="auto"/>
            <w:vAlign w:val="bottom"/>
          </w:tcPr>
          <w:p w14:paraId="19503E2B" w14:textId="77777777" w:rsidR="00BF3A3A" w:rsidRDefault="00BF3A3A">
            <w:pPr>
              <w:rPr>
                <w:rFonts w:ascii="宋体"/>
              </w:rPr>
            </w:pPr>
          </w:p>
        </w:tc>
        <w:tc>
          <w:tcPr>
            <w:tcW w:w="50" w:type="pct"/>
            <w:shd w:val="clear" w:color="auto" w:fill="auto"/>
            <w:vAlign w:val="bottom"/>
          </w:tcPr>
          <w:p w14:paraId="19503E2C" w14:textId="77777777" w:rsidR="00BF3A3A" w:rsidRDefault="00BF3A3A">
            <w:pPr>
              <w:rPr>
                <w:rFonts w:ascii="宋体"/>
              </w:rPr>
            </w:pPr>
          </w:p>
        </w:tc>
        <w:tc>
          <w:tcPr>
            <w:tcW w:w="675" w:type="pct"/>
            <w:shd w:val="clear" w:color="auto" w:fill="auto"/>
            <w:vAlign w:val="bottom"/>
          </w:tcPr>
          <w:p w14:paraId="19503E2D" w14:textId="77777777" w:rsidR="00BF3A3A" w:rsidRDefault="00BF3A3A">
            <w:pPr>
              <w:rPr>
                <w:rFonts w:ascii="宋体"/>
              </w:rPr>
            </w:pPr>
          </w:p>
        </w:tc>
        <w:tc>
          <w:tcPr>
            <w:tcW w:w="5" w:type="pct"/>
            <w:shd w:val="clear" w:color="auto" w:fill="auto"/>
            <w:vAlign w:val="bottom"/>
          </w:tcPr>
          <w:p w14:paraId="19503E2E" w14:textId="77777777" w:rsidR="00BF3A3A" w:rsidRDefault="00BF3A3A">
            <w:pPr>
              <w:rPr>
                <w:rFonts w:ascii="宋体"/>
              </w:rPr>
            </w:pPr>
          </w:p>
        </w:tc>
        <w:tc>
          <w:tcPr>
            <w:tcW w:w="5" w:type="pct"/>
            <w:shd w:val="clear" w:color="auto" w:fill="auto"/>
            <w:vAlign w:val="bottom"/>
          </w:tcPr>
          <w:p w14:paraId="19503E2F" w14:textId="77777777" w:rsidR="00BF3A3A" w:rsidRDefault="00BF3A3A">
            <w:pPr>
              <w:rPr>
                <w:rFonts w:ascii="宋体"/>
              </w:rPr>
            </w:pPr>
          </w:p>
        </w:tc>
        <w:tc>
          <w:tcPr>
            <w:tcW w:w="26" w:type="pct"/>
            <w:shd w:val="clear" w:color="auto" w:fill="auto"/>
            <w:vAlign w:val="bottom"/>
          </w:tcPr>
          <w:p w14:paraId="19503E30" w14:textId="77777777" w:rsidR="00BF3A3A" w:rsidRDefault="00BF3A3A">
            <w:pPr>
              <w:rPr>
                <w:rFonts w:ascii="宋体"/>
              </w:rPr>
            </w:pPr>
          </w:p>
        </w:tc>
        <w:tc>
          <w:tcPr>
            <w:tcW w:w="5" w:type="pct"/>
            <w:shd w:val="clear" w:color="auto" w:fill="auto"/>
            <w:vAlign w:val="bottom"/>
          </w:tcPr>
          <w:p w14:paraId="19503E31" w14:textId="77777777" w:rsidR="00BF3A3A" w:rsidRDefault="00BF3A3A">
            <w:pPr>
              <w:rPr>
                <w:rFonts w:ascii="宋体"/>
              </w:rPr>
            </w:pPr>
          </w:p>
        </w:tc>
        <w:tc>
          <w:tcPr>
            <w:tcW w:w="50" w:type="pct"/>
            <w:shd w:val="clear" w:color="auto" w:fill="auto"/>
            <w:vAlign w:val="bottom"/>
          </w:tcPr>
          <w:p w14:paraId="19503E32" w14:textId="77777777" w:rsidR="00BF3A3A" w:rsidRDefault="00BF3A3A">
            <w:pPr>
              <w:rPr>
                <w:rFonts w:ascii="宋体"/>
              </w:rPr>
            </w:pPr>
          </w:p>
        </w:tc>
        <w:tc>
          <w:tcPr>
            <w:tcW w:w="844" w:type="pct"/>
            <w:shd w:val="clear" w:color="auto" w:fill="auto"/>
            <w:vAlign w:val="bottom"/>
          </w:tcPr>
          <w:p w14:paraId="19503E33" w14:textId="77777777" w:rsidR="00BF3A3A" w:rsidRDefault="00BF3A3A">
            <w:pPr>
              <w:rPr>
                <w:rFonts w:ascii="宋体"/>
              </w:rPr>
            </w:pPr>
          </w:p>
        </w:tc>
        <w:tc>
          <w:tcPr>
            <w:tcW w:w="5" w:type="pct"/>
            <w:shd w:val="clear" w:color="auto" w:fill="auto"/>
            <w:vAlign w:val="bottom"/>
          </w:tcPr>
          <w:p w14:paraId="19503E34" w14:textId="77777777" w:rsidR="00BF3A3A" w:rsidRDefault="00BF3A3A">
            <w:pPr>
              <w:rPr>
                <w:rFonts w:ascii="宋体"/>
              </w:rPr>
            </w:pPr>
          </w:p>
        </w:tc>
        <w:tc>
          <w:tcPr>
            <w:tcW w:w="5" w:type="pct"/>
            <w:shd w:val="clear" w:color="auto" w:fill="auto"/>
            <w:vAlign w:val="bottom"/>
          </w:tcPr>
          <w:p w14:paraId="19503E35" w14:textId="77777777" w:rsidR="00BF3A3A" w:rsidRDefault="00BF3A3A">
            <w:pPr>
              <w:rPr>
                <w:rFonts w:ascii="宋体"/>
              </w:rPr>
            </w:pPr>
          </w:p>
        </w:tc>
        <w:tc>
          <w:tcPr>
            <w:tcW w:w="19" w:type="pct"/>
            <w:shd w:val="clear" w:color="auto" w:fill="auto"/>
            <w:vAlign w:val="bottom"/>
          </w:tcPr>
          <w:p w14:paraId="19503E36" w14:textId="77777777" w:rsidR="00BF3A3A" w:rsidRDefault="00BF3A3A">
            <w:pPr>
              <w:rPr>
                <w:rFonts w:ascii="宋体"/>
              </w:rPr>
            </w:pPr>
          </w:p>
        </w:tc>
        <w:tc>
          <w:tcPr>
            <w:tcW w:w="5" w:type="pct"/>
            <w:shd w:val="clear" w:color="auto" w:fill="auto"/>
            <w:vAlign w:val="bottom"/>
          </w:tcPr>
          <w:p w14:paraId="19503E37" w14:textId="77777777" w:rsidR="00BF3A3A" w:rsidRDefault="00BF3A3A">
            <w:pPr>
              <w:rPr>
                <w:rFonts w:ascii="宋体"/>
              </w:rPr>
            </w:pPr>
          </w:p>
        </w:tc>
        <w:tc>
          <w:tcPr>
            <w:tcW w:w="50" w:type="pct"/>
            <w:shd w:val="clear" w:color="auto" w:fill="auto"/>
            <w:vAlign w:val="bottom"/>
          </w:tcPr>
          <w:p w14:paraId="19503E38" w14:textId="77777777" w:rsidR="00BF3A3A" w:rsidRDefault="00BF3A3A">
            <w:pPr>
              <w:rPr>
                <w:rFonts w:ascii="宋体"/>
              </w:rPr>
            </w:pPr>
          </w:p>
        </w:tc>
        <w:tc>
          <w:tcPr>
            <w:tcW w:w="844" w:type="pct"/>
            <w:shd w:val="clear" w:color="auto" w:fill="auto"/>
            <w:vAlign w:val="bottom"/>
          </w:tcPr>
          <w:p w14:paraId="19503E39" w14:textId="77777777" w:rsidR="00BF3A3A" w:rsidRDefault="00BF3A3A">
            <w:pPr>
              <w:rPr>
                <w:rFonts w:ascii="宋体"/>
              </w:rPr>
            </w:pPr>
          </w:p>
        </w:tc>
        <w:tc>
          <w:tcPr>
            <w:tcW w:w="5" w:type="pct"/>
            <w:shd w:val="clear" w:color="auto" w:fill="auto"/>
            <w:vAlign w:val="bottom"/>
          </w:tcPr>
          <w:p w14:paraId="19503E3A" w14:textId="77777777" w:rsidR="00BF3A3A" w:rsidRDefault="00BF3A3A">
            <w:pPr>
              <w:rPr>
                <w:rFonts w:ascii="宋体"/>
              </w:rPr>
            </w:pPr>
          </w:p>
        </w:tc>
      </w:tr>
      <w:tr w:rsidR="00BF3A3A" w14:paraId="19503E45" w14:textId="77777777">
        <w:tc>
          <w:tcPr>
            <w:tcW w:w="0" w:type="auto"/>
            <w:gridSpan w:val="3"/>
            <w:shd w:val="clear" w:color="auto" w:fill="auto"/>
            <w:tcMar>
              <w:top w:w="40" w:type="dxa"/>
              <w:left w:w="20" w:type="dxa"/>
              <w:bottom w:w="40" w:type="dxa"/>
              <w:right w:w="20" w:type="dxa"/>
            </w:tcMar>
            <w:vAlign w:val="bottom"/>
          </w:tcPr>
          <w:p w14:paraId="19503E3C" w14:textId="77777777" w:rsidR="00BF3A3A" w:rsidRDefault="00A76802">
            <w:pPr>
              <w:jc w:val="center"/>
              <w:textAlignment w:val="bottom"/>
            </w:pPr>
            <w:r>
              <w:rPr>
                <w:rFonts w:ascii="sans-serif" w:eastAsia="sans-serif" w:hAnsi="sans-serif" w:cs="sans-serif"/>
                <w:b/>
                <w:bCs/>
                <w:color w:val="000000"/>
                <w:sz w:val="20"/>
                <w:szCs w:val="20"/>
              </w:rPr>
              <w:t>Period</w:t>
            </w:r>
          </w:p>
        </w:tc>
        <w:tc>
          <w:tcPr>
            <w:tcW w:w="0" w:type="auto"/>
            <w:gridSpan w:val="3"/>
            <w:shd w:val="clear" w:color="auto" w:fill="auto"/>
            <w:tcMar>
              <w:top w:w="0" w:type="dxa"/>
              <w:left w:w="20" w:type="dxa"/>
              <w:bottom w:w="0" w:type="dxa"/>
              <w:right w:w="20" w:type="dxa"/>
            </w:tcMar>
            <w:vAlign w:val="bottom"/>
          </w:tcPr>
          <w:p w14:paraId="19503E3D"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E3E" w14:textId="77777777" w:rsidR="00BF3A3A" w:rsidRDefault="00A76802">
            <w:pPr>
              <w:jc w:val="center"/>
              <w:textAlignment w:val="bottom"/>
            </w:pPr>
            <w:r>
              <w:rPr>
                <w:rFonts w:ascii="sans-serif" w:eastAsia="sans-serif" w:hAnsi="sans-serif" w:cs="sans-serif"/>
                <w:b/>
                <w:bCs/>
                <w:color w:val="000000"/>
                <w:sz w:val="20"/>
                <w:szCs w:val="20"/>
              </w:rPr>
              <w:t>Total Number of Shares Purchased (In millions)</w:t>
            </w:r>
          </w:p>
        </w:tc>
        <w:tc>
          <w:tcPr>
            <w:tcW w:w="0" w:type="auto"/>
            <w:gridSpan w:val="3"/>
            <w:shd w:val="clear" w:color="auto" w:fill="auto"/>
            <w:tcMar>
              <w:top w:w="0" w:type="dxa"/>
              <w:left w:w="20" w:type="dxa"/>
              <w:bottom w:w="0" w:type="dxa"/>
              <w:right w:w="20" w:type="dxa"/>
            </w:tcMar>
            <w:vAlign w:val="bottom"/>
          </w:tcPr>
          <w:p w14:paraId="19503E3F"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E40" w14:textId="77777777" w:rsidR="00BF3A3A" w:rsidRDefault="00A76802">
            <w:pPr>
              <w:jc w:val="center"/>
              <w:textAlignment w:val="bottom"/>
            </w:pPr>
            <w:r>
              <w:rPr>
                <w:rFonts w:ascii="sans-serif" w:eastAsia="sans-serif" w:hAnsi="sans-serif" w:cs="sans-serif"/>
                <w:b/>
                <w:bCs/>
                <w:color w:val="000000"/>
                <w:sz w:val="20"/>
                <w:szCs w:val="20"/>
              </w:rPr>
              <w:t>Average Price Paid per Share</w:t>
            </w:r>
          </w:p>
        </w:tc>
        <w:tc>
          <w:tcPr>
            <w:tcW w:w="0" w:type="auto"/>
            <w:gridSpan w:val="3"/>
            <w:shd w:val="clear" w:color="auto" w:fill="auto"/>
            <w:tcMar>
              <w:top w:w="0" w:type="dxa"/>
              <w:left w:w="20" w:type="dxa"/>
              <w:bottom w:w="0" w:type="dxa"/>
              <w:right w:w="20" w:type="dxa"/>
            </w:tcMar>
            <w:vAlign w:val="bottom"/>
          </w:tcPr>
          <w:p w14:paraId="19503E41"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E42" w14:textId="77777777" w:rsidR="00BF3A3A" w:rsidRDefault="00A76802">
            <w:pPr>
              <w:jc w:val="center"/>
              <w:textAlignment w:val="bottom"/>
            </w:pPr>
            <w:r>
              <w:rPr>
                <w:rFonts w:ascii="sans-serif" w:eastAsia="sans-serif" w:hAnsi="sans-serif" w:cs="sans-serif"/>
                <w:b/>
                <w:bCs/>
                <w:color w:val="000000"/>
                <w:sz w:val="20"/>
                <w:szCs w:val="20"/>
              </w:rPr>
              <w:t>Total Number of Shares Purchased as Part of Publicly Announced Program (In millions)</w:t>
            </w:r>
          </w:p>
        </w:tc>
        <w:tc>
          <w:tcPr>
            <w:tcW w:w="0" w:type="auto"/>
            <w:gridSpan w:val="3"/>
            <w:shd w:val="clear" w:color="auto" w:fill="auto"/>
            <w:tcMar>
              <w:top w:w="0" w:type="dxa"/>
              <w:left w:w="20" w:type="dxa"/>
              <w:bottom w:w="0" w:type="dxa"/>
              <w:right w:w="20" w:type="dxa"/>
            </w:tcMar>
            <w:vAlign w:val="bottom"/>
          </w:tcPr>
          <w:p w14:paraId="19503E43"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E44" w14:textId="77777777" w:rsidR="00BF3A3A" w:rsidRDefault="00A76802">
            <w:pPr>
              <w:jc w:val="center"/>
              <w:textAlignment w:val="bottom"/>
            </w:pPr>
            <w:r>
              <w:rPr>
                <w:rFonts w:ascii="sans-serif" w:eastAsia="sans-serif" w:hAnsi="sans-serif" w:cs="sans-serif"/>
                <w:b/>
                <w:bCs/>
                <w:color w:val="000000"/>
                <w:sz w:val="20"/>
                <w:szCs w:val="20"/>
              </w:rPr>
              <w:t>Approximate Dollar Value of Sh</w:t>
            </w:r>
            <w:r>
              <w:rPr>
                <w:rFonts w:ascii="sans-serif" w:eastAsia="sans-serif" w:hAnsi="sans-serif" w:cs="sans-serif"/>
                <w:b/>
                <w:bCs/>
                <w:color w:val="000000"/>
                <w:sz w:val="20"/>
                <w:szCs w:val="20"/>
              </w:rPr>
              <w:t>ares that May Yet Be Purchased Under the Program (In billions)</w:t>
            </w:r>
          </w:p>
        </w:tc>
      </w:tr>
      <w:tr w:rsidR="00BF3A3A" w14:paraId="19503E55" w14:textId="77777777">
        <w:tc>
          <w:tcPr>
            <w:tcW w:w="0" w:type="auto"/>
            <w:gridSpan w:val="3"/>
            <w:tcBorders>
              <w:top w:val="single" w:sz="8" w:space="0" w:color="000000"/>
            </w:tcBorders>
            <w:shd w:val="clear" w:color="auto" w:fill="E2EFD9"/>
            <w:tcMar>
              <w:top w:w="40" w:type="dxa"/>
              <w:left w:w="20" w:type="dxa"/>
              <w:bottom w:w="40" w:type="dxa"/>
              <w:right w:w="20" w:type="dxa"/>
            </w:tcMar>
            <w:vAlign w:val="bottom"/>
          </w:tcPr>
          <w:p w14:paraId="19503E46" w14:textId="77777777" w:rsidR="00BF3A3A" w:rsidRDefault="00A76802">
            <w:pPr>
              <w:textAlignment w:val="bottom"/>
            </w:pPr>
            <w:r>
              <w:rPr>
                <w:rFonts w:ascii="sans-serif" w:eastAsia="sans-serif" w:hAnsi="sans-serif" w:cs="sans-serif"/>
                <w:color w:val="000000"/>
                <w:sz w:val="20"/>
                <w:szCs w:val="20"/>
              </w:rPr>
              <w:t>May 2, 2022 - May 29, 2022</w:t>
            </w:r>
          </w:p>
        </w:tc>
        <w:tc>
          <w:tcPr>
            <w:tcW w:w="0" w:type="auto"/>
            <w:gridSpan w:val="3"/>
            <w:shd w:val="clear" w:color="auto" w:fill="E2EFD9"/>
            <w:tcMar>
              <w:top w:w="0" w:type="dxa"/>
              <w:left w:w="20" w:type="dxa"/>
              <w:bottom w:w="0" w:type="dxa"/>
              <w:right w:w="20" w:type="dxa"/>
            </w:tcMar>
            <w:vAlign w:val="bottom"/>
          </w:tcPr>
          <w:p w14:paraId="19503E47"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3E48" w14:textId="77777777" w:rsidR="00BF3A3A" w:rsidRDefault="00A76802">
            <w:pPr>
              <w:jc w:val="right"/>
              <w:textAlignment w:val="bottom"/>
            </w:pPr>
            <w:r>
              <w:rPr>
                <w:rFonts w:ascii="sans-serif" w:eastAsia="sans-serif" w:hAnsi="sans-serif" w:cs="sans-serif"/>
                <w:color w:val="000000"/>
                <w:sz w:val="20"/>
                <w:szCs w:val="20"/>
              </w:rPr>
              <w:t>3 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3E4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E4A"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3E4B"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3E4C" w14:textId="77777777" w:rsidR="00BF3A3A" w:rsidRDefault="00A76802">
            <w:pPr>
              <w:jc w:val="right"/>
              <w:textAlignment w:val="bottom"/>
            </w:pPr>
            <w:r>
              <w:rPr>
                <w:rFonts w:ascii="sans-serif" w:eastAsia="sans-serif" w:hAnsi="sans-serif" w:cs="sans-serif"/>
                <w:color w:val="000000"/>
                <w:sz w:val="20"/>
                <w:szCs w:val="20"/>
              </w:rPr>
              <w:t>176.60 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3E4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E4E" w14:textId="77777777" w:rsidR="00BF3A3A" w:rsidRDefault="00BF3A3A">
            <w:pPr>
              <w:rPr>
                <w:rFonts w:ascii="宋体"/>
              </w:rPr>
            </w:pPr>
          </w:p>
        </w:tc>
        <w:tc>
          <w:tcPr>
            <w:tcW w:w="0" w:type="auto"/>
            <w:gridSpan w:val="2"/>
            <w:tcBorders>
              <w:top w:val="single" w:sz="8" w:space="0" w:color="000000"/>
            </w:tcBorders>
            <w:shd w:val="clear" w:color="auto" w:fill="E2EFD9"/>
            <w:tcMar>
              <w:top w:w="40" w:type="dxa"/>
              <w:left w:w="20" w:type="dxa"/>
              <w:bottom w:w="40" w:type="dxa"/>
              <w:right w:w="0" w:type="dxa"/>
            </w:tcMar>
            <w:vAlign w:val="bottom"/>
          </w:tcPr>
          <w:p w14:paraId="19503E4F" w14:textId="77777777" w:rsidR="00BF3A3A" w:rsidRDefault="00A76802">
            <w:pPr>
              <w:jc w:val="right"/>
              <w:textAlignment w:val="bottom"/>
            </w:pPr>
            <w:r>
              <w:rPr>
                <w:rFonts w:ascii="sans-serif" w:eastAsia="sans-serif" w:hAnsi="sans-serif" w:cs="sans-serif"/>
                <w:color w:val="000000"/>
                <w:sz w:val="20"/>
                <w:szCs w:val="20"/>
              </w:rPr>
              <w:t>3 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3E5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E51" w14:textId="77777777" w:rsidR="00BF3A3A" w:rsidRDefault="00BF3A3A">
            <w:pPr>
              <w:rPr>
                <w:rFonts w:ascii="宋体"/>
              </w:rPr>
            </w:pPr>
          </w:p>
        </w:tc>
        <w:tc>
          <w:tcPr>
            <w:tcW w:w="0" w:type="auto"/>
            <w:tcBorders>
              <w:top w:val="single" w:sz="8" w:space="0" w:color="000000"/>
            </w:tcBorders>
            <w:shd w:val="clear" w:color="auto" w:fill="E2EFD9"/>
            <w:tcMar>
              <w:top w:w="40" w:type="dxa"/>
              <w:left w:w="20" w:type="dxa"/>
              <w:bottom w:w="40" w:type="dxa"/>
              <w:right w:w="0" w:type="dxa"/>
            </w:tcMar>
            <w:vAlign w:val="bottom"/>
          </w:tcPr>
          <w:p w14:paraId="19503E52" w14:textId="77777777" w:rsidR="00BF3A3A" w:rsidRDefault="00A76802">
            <w:pPr>
              <w:textAlignment w:val="bottom"/>
            </w:pPr>
            <w:r>
              <w:rPr>
                <w:rFonts w:ascii="sans-serif" w:eastAsia="sans-serif" w:hAnsi="sans-serif" w:cs="sans-serif"/>
                <w:color w:val="000000"/>
                <w:sz w:val="20"/>
                <w:szCs w:val="20"/>
              </w:rPr>
              <w:t>$</w:t>
            </w:r>
          </w:p>
        </w:tc>
        <w:tc>
          <w:tcPr>
            <w:tcW w:w="0" w:type="auto"/>
            <w:tcBorders>
              <w:top w:val="single" w:sz="8" w:space="0" w:color="000000"/>
            </w:tcBorders>
            <w:shd w:val="clear" w:color="auto" w:fill="E2EFD9"/>
            <w:tcMar>
              <w:top w:w="40" w:type="dxa"/>
              <w:left w:w="0" w:type="dxa"/>
              <w:bottom w:w="40" w:type="dxa"/>
              <w:right w:w="0" w:type="dxa"/>
            </w:tcMar>
            <w:vAlign w:val="bottom"/>
          </w:tcPr>
          <w:p w14:paraId="19503E53" w14:textId="77777777" w:rsidR="00BF3A3A" w:rsidRDefault="00A76802">
            <w:pPr>
              <w:jc w:val="right"/>
              <w:textAlignment w:val="bottom"/>
            </w:pPr>
            <w:r>
              <w:rPr>
                <w:rFonts w:ascii="sans-serif" w:eastAsia="sans-serif" w:hAnsi="sans-serif" w:cs="sans-serif"/>
                <w:color w:val="000000"/>
                <w:sz w:val="20"/>
                <w:szCs w:val="20"/>
              </w:rPr>
              <w:t>14.78 </w:t>
            </w:r>
          </w:p>
        </w:tc>
        <w:tc>
          <w:tcPr>
            <w:tcW w:w="0" w:type="auto"/>
            <w:tcBorders>
              <w:top w:val="single" w:sz="8" w:space="0" w:color="000000"/>
            </w:tcBorders>
            <w:shd w:val="clear" w:color="auto" w:fill="E2EFD9"/>
            <w:tcMar>
              <w:top w:w="40" w:type="dxa"/>
              <w:left w:w="0" w:type="dxa"/>
              <w:bottom w:w="40" w:type="dxa"/>
              <w:right w:w="20" w:type="dxa"/>
            </w:tcMar>
            <w:vAlign w:val="bottom"/>
          </w:tcPr>
          <w:p w14:paraId="19503E54" w14:textId="77777777" w:rsidR="00BF3A3A" w:rsidRDefault="00BF3A3A">
            <w:pPr>
              <w:jc w:val="right"/>
              <w:rPr>
                <w:rFonts w:ascii="宋体"/>
              </w:rPr>
            </w:pPr>
          </w:p>
        </w:tc>
      </w:tr>
      <w:tr w:rsidR="00BF3A3A" w14:paraId="19503E65" w14:textId="77777777">
        <w:tc>
          <w:tcPr>
            <w:tcW w:w="0" w:type="auto"/>
            <w:gridSpan w:val="3"/>
            <w:shd w:val="clear" w:color="auto" w:fill="FFFFFF"/>
            <w:tcMar>
              <w:top w:w="40" w:type="dxa"/>
              <w:left w:w="20" w:type="dxa"/>
              <w:bottom w:w="40" w:type="dxa"/>
              <w:right w:w="20" w:type="dxa"/>
            </w:tcMar>
            <w:vAlign w:val="bottom"/>
          </w:tcPr>
          <w:p w14:paraId="19503E56" w14:textId="77777777" w:rsidR="00BF3A3A" w:rsidRDefault="00A76802">
            <w:pPr>
              <w:textAlignment w:val="bottom"/>
            </w:pPr>
            <w:r>
              <w:rPr>
                <w:rFonts w:ascii="sans-serif" w:eastAsia="sans-serif" w:hAnsi="sans-serif" w:cs="sans-serif"/>
                <w:color w:val="000000"/>
                <w:sz w:val="20"/>
                <w:szCs w:val="20"/>
              </w:rPr>
              <w:t>May 30, 2022 - June 26, 2022</w:t>
            </w:r>
          </w:p>
        </w:tc>
        <w:tc>
          <w:tcPr>
            <w:tcW w:w="0" w:type="auto"/>
            <w:gridSpan w:val="3"/>
            <w:shd w:val="clear" w:color="auto" w:fill="FFFFFF"/>
            <w:tcMar>
              <w:top w:w="0" w:type="dxa"/>
              <w:left w:w="20" w:type="dxa"/>
              <w:bottom w:w="0" w:type="dxa"/>
              <w:right w:w="20" w:type="dxa"/>
            </w:tcMar>
            <w:vAlign w:val="bottom"/>
          </w:tcPr>
          <w:p w14:paraId="19503E57"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E58" w14:textId="77777777" w:rsidR="00BF3A3A" w:rsidRDefault="00A76802">
            <w:pPr>
              <w:jc w:val="right"/>
              <w:textAlignment w:val="bottom"/>
            </w:pPr>
            <w:r>
              <w:rPr>
                <w:rFonts w:ascii="sans-serif" w:eastAsia="sans-serif" w:hAnsi="sans-serif" w:cs="sans-serif"/>
                <w:color w:val="000000"/>
                <w:sz w:val="20"/>
                <w:szCs w:val="20"/>
              </w:rPr>
              <w:t>16 </w:t>
            </w:r>
          </w:p>
        </w:tc>
        <w:tc>
          <w:tcPr>
            <w:tcW w:w="0" w:type="auto"/>
            <w:shd w:val="clear" w:color="auto" w:fill="FFFFFF"/>
            <w:tcMar>
              <w:top w:w="40" w:type="dxa"/>
              <w:left w:w="0" w:type="dxa"/>
              <w:bottom w:w="40" w:type="dxa"/>
              <w:right w:w="20" w:type="dxa"/>
            </w:tcMar>
            <w:vAlign w:val="bottom"/>
          </w:tcPr>
          <w:p w14:paraId="19503E5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E5A"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E5B"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E5C" w14:textId="77777777" w:rsidR="00BF3A3A" w:rsidRDefault="00A76802">
            <w:pPr>
              <w:jc w:val="right"/>
              <w:textAlignment w:val="bottom"/>
            </w:pPr>
            <w:r>
              <w:rPr>
                <w:rFonts w:ascii="sans-serif" w:eastAsia="sans-serif" w:hAnsi="sans-serif" w:cs="sans-serif"/>
                <w:color w:val="000000"/>
                <w:sz w:val="20"/>
                <w:szCs w:val="20"/>
              </w:rPr>
              <w:t>173.72 </w:t>
            </w:r>
          </w:p>
        </w:tc>
        <w:tc>
          <w:tcPr>
            <w:tcW w:w="0" w:type="auto"/>
            <w:shd w:val="clear" w:color="auto" w:fill="FFFFFF"/>
            <w:tcMar>
              <w:top w:w="40" w:type="dxa"/>
              <w:left w:w="0" w:type="dxa"/>
              <w:bottom w:w="40" w:type="dxa"/>
              <w:right w:w="20" w:type="dxa"/>
            </w:tcMar>
            <w:vAlign w:val="bottom"/>
          </w:tcPr>
          <w:p w14:paraId="19503E5D"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E5E" w14:textId="77777777" w:rsidR="00BF3A3A" w:rsidRDefault="00BF3A3A">
            <w:pPr>
              <w:rPr>
                <w:rFonts w:ascii="宋体"/>
              </w:rPr>
            </w:pPr>
          </w:p>
        </w:tc>
        <w:tc>
          <w:tcPr>
            <w:tcW w:w="0" w:type="auto"/>
            <w:gridSpan w:val="2"/>
            <w:shd w:val="clear" w:color="auto" w:fill="FFFFFF"/>
            <w:tcMar>
              <w:top w:w="40" w:type="dxa"/>
              <w:left w:w="20" w:type="dxa"/>
              <w:bottom w:w="40" w:type="dxa"/>
              <w:right w:w="0" w:type="dxa"/>
            </w:tcMar>
            <w:vAlign w:val="bottom"/>
          </w:tcPr>
          <w:p w14:paraId="19503E5F" w14:textId="77777777" w:rsidR="00BF3A3A" w:rsidRDefault="00A76802">
            <w:pPr>
              <w:jc w:val="right"/>
              <w:textAlignment w:val="bottom"/>
            </w:pPr>
            <w:r>
              <w:rPr>
                <w:rFonts w:ascii="sans-serif" w:eastAsia="sans-serif" w:hAnsi="sans-serif" w:cs="sans-serif"/>
                <w:color w:val="000000"/>
                <w:sz w:val="20"/>
                <w:szCs w:val="20"/>
              </w:rPr>
              <w:t>16 </w:t>
            </w:r>
          </w:p>
        </w:tc>
        <w:tc>
          <w:tcPr>
            <w:tcW w:w="0" w:type="auto"/>
            <w:shd w:val="clear" w:color="auto" w:fill="FFFFFF"/>
            <w:tcMar>
              <w:top w:w="40" w:type="dxa"/>
              <w:left w:w="0" w:type="dxa"/>
              <w:bottom w:w="40" w:type="dxa"/>
              <w:right w:w="20" w:type="dxa"/>
            </w:tcMar>
            <w:vAlign w:val="bottom"/>
          </w:tcPr>
          <w:p w14:paraId="19503E60"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E61" w14:textId="77777777" w:rsidR="00BF3A3A" w:rsidRDefault="00BF3A3A">
            <w:pPr>
              <w:rPr>
                <w:rFonts w:ascii="宋体"/>
              </w:rPr>
            </w:pPr>
          </w:p>
        </w:tc>
        <w:tc>
          <w:tcPr>
            <w:tcW w:w="0" w:type="auto"/>
            <w:shd w:val="clear" w:color="auto" w:fill="FFFFFF"/>
            <w:tcMar>
              <w:top w:w="40" w:type="dxa"/>
              <w:left w:w="20" w:type="dxa"/>
              <w:bottom w:w="40" w:type="dxa"/>
              <w:right w:w="0" w:type="dxa"/>
            </w:tcMar>
            <w:vAlign w:val="bottom"/>
          </w:tcPr>
          <w:p w14:paraId="19503E62"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FFFFFF"/>
            <w:tcMar>
              <w:top w:w="40" w:type="dxa"/>
              <w:left w:w="0" w:type="dxa"/>
              <w:bottom w:w="40" w:type="dxa"/>
              <w:right w:w="0" w:type="dxa"/>
            </w:tcMar>
            <w:vAlign w:val="bottom"/>
          </w:tcPr>
          <w:p w14:paraId="19503E63" w14:textId="77777777" w:rsidR="00BF3A3A" w:rsidRDefault="00A76802">
            <w:pPr>
              <w:jc w:val="right"/>
              <w:textAlignment w:val="bottom"/>
            </w:pPr>
            <w:r>
              <w:rPr>
                <w:rFonts w:ascii="sans-serif" w:eastAsia="sans-serif" w:hAnsi="sans-serif" w:cs="sans-serif"/>
                <w:color w:val="000000"/>
                <w:sz w:val="20"/>
                <w:szCs w:val="20"/>
              </w:rPr>
              <w:t>11.93 </w:t>
            </w:r>
          </w:p>
        </w:tc>
        <w:tc>
          <w:tcPr>
            <w:tcW w:w="0" w:type="auto"/>
            <w:shd w:val="clear" w:color="auto" w:fill="FFFFFF"/>
            <w:tcMar>
              <w:top w:w="40" w:type="dxa"/>
              <w:left w:w="0" w:type="dxa"/>
              <w:bottom w:w="40" w:type="dxa"/>
              <w:right w:w="20" w:type="dxa"/>
            </w:tcMar>
            <w:vAlign w:val="bottom"/>
          </w:tcPr>
          <w:p w14:paraId="19503E64" w14:textId="77777777" w:rsidR="00BF3A3A" w:rsidRDefault="00BF3A3A">
            <w:pPr>
              <w:jc w:val="right"/>
              <w:rPr>
                <w:rFonts w:ascii="宋体"/>
              </w:rPr>
            </w:pPr>
          </w:p>
        </w:tc>
      </w:tr>
      <w:tr w:rsidR="00BF3A3A" w14:paraId="19503E75" w14:textId="77777777">
        <w:tc>
          <w:tcPr>
            <w:tcW w:w="0" w:type="auto"/>
            <w:gridSpan w:val="3"/>
            <w:shd w:val="clear" w:color="auto" w:fill="E2EFD9"/>
            <w:tcMar>
              <w:top w:w="40" w:type="dxa"/>
              <w:left w:w="20" w:type="dxa"/>
              <w:bottom w:w="40" w:type="dxa"/>
              <w:right w:w="20" w:type="dxa"/>
            </w:tcMar>
            <w:vAlign w:val="bottom"/>
          </w:tcPr>
          <w:p w14:paraId="19503E66" w14:textId="77777777" w:rsidR="00BF3A3A" w:rsidRDefault="00A76802">
            <w:pPr>
              <w:textAlignment w:val="bottom"/>
            </w:pPr>
            <w:r>
              <w:rPr>
                <w:rFonts w:ascii="sans-serif" w:eastAsia="sans-serif" w:hAnsi="sans-serif" w:cs="sans-serif"/>
                <w:color w:val="000000"/>
                <w:sz w:val="20"/>
                <w:szCs w:val="20"/>
              </w:rPr>
              <w:t>June 27, 2022 - July 31, 2022</w:t>
            </w:r>
          </w:p>
        </w:tc>
        <w:tc>
          <w:tcPr>
            <w:tcW w:w="0" w:type="auto"/>
            <w:gridSpan w:val="3"/>
            <w:shd w:val="clear" w:color="auto" w:fill="E2EFD9"/>
            <w:tcMar>
              <w:top w:w="0" w:type="dxa"/>
              <w:left w:w="20" w:type="dxa"/>
              <w:bottom w:w="0" w:type="dxa"/>
              <w:right w:w="20" w:type="dxa"/>
            </w:tcMar>
            <w:vAlign w:val="bottom"/>
          </w:tcPr>
          <w:p w14:paraId="19503E67"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E68"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3E69"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E6A"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E6B"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E6C"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3E6D"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E6E" w14:textId="77777777" w:rsidR="00BF3A3A" w:rsidRDefault="00BF3A3A">
            <w:pPr>
              <w:rPr>
                <w:rFonts w:ascii="宋体"/>
              </w:rPr>
            </w:pPr>
          </w:p>
        </w:tc>
        <w:tc>
          <w:tcPr>
            <w:tcW w:w="0" w:type="auto"/>
            <w:gridSpan w:val="2"/>
            <w:shd w:val="clear" w:color="auto" w:fill="E2EFD9"/>
            <w:tcMar>
              <w:top w:w="40" w:type="dxa"/>
              <w:left w:w="20" w:type="dxa"/>
              <w:bottom w:w="40" w:type="dxa"/>
              <w:right w:w="0" w:type="dxa"/>
            </w:tcMar>
            <w:vAlign w:val="bottom"/>
          </w:tcPr>
          <w:p w14:paraId="19503E6F" w14:textId="77777777" w:rsidR="00BF3A3A" w:rsidRDefault="00A76802">
            <w:pPr>
              <w:jc w:val="right"/>
              <w:textAlignment w:val="bottom"/>
            </w:pPr>
            <w:r>
              <w:rPr>
                <w:rFonts w:ascii="sans-serif" w:eastAsia="sans-serif" w:hAnsi="sans-serif" w:cs="sans-serif"/>
                <w:color w:val="000000"/>
                <w:sz w:val="20"/>
                <w:szCs w:val="20"/>
              </w:rPr>
              <w:t>— </w:t>
            </w:r>
          </w:p>
        </w:tc>
        <w:tc>
          <w:tcPr>
            <w:tcW w:w="0" w:type="auto"/>
            <w:shd w:val="clear" w:color="auto" w:fill="E2EFD9"/>
            <w:tcMar>
              <w:top w:w="40" w:type="dxa"/>
              <w:left w:w="0" w:type="dxa"/>
              <w:bottom w:w="40" w:type="dxa"/>
              <w:right w:w="20" w:type="dxa"/>
            </w:tcMar>
            <w:vAlign w:val="bottom"/>
          </w:tcPr>
          <w:p w14:paraId="19503E70" w14:textId="77777777" w:rsidR="00BF3A3A" w:rsidRDefault="00BF3A3A">
            <w:pPr>
              <w:jc w:val="right"/>
              <w:rPr>
                <w:rFonts w:ascii="宋体"/>
              </w:rPr>
            </w:pPr>
          </w:p>
        </w:tc>
        <w:tc>
          <w:tcPr>
            <w:tcW w:w="0" w:type="auto"/>
            <w:gridSpan w:val="3"/>
            <w:shd w:val="clear" w:color="auto" w:fill="E2EFD9"/>
            <w:tcMar>
              <w:top w:w="0" w:type="dxa"/>
              <w:left w:w="20" w:type="dxa"/>
              <w:bottom w:w="0" w:type="dxa"/>
              <w:right w:w="20" w:type="dxa"/>
            </w:tcMar>
            <w:vAlign w:val="bottom"/>
          </w:tcPr>
          <w:p w14:paraId="19503E71" w14:textId="77777777" w:rsidR="00BF3A3A" w:rsidRDefault="00BF3A3A">
            <w:pPr>
              <w:rPr>
                <w:rFonts w:ascii="宋体"/>
              </w:rPr>
            </w:pPr>
          </w:p>
        </w:tc>
        <w:tc>
          <w:tcPr>
            <w:tcW w:w="0" w:type="auto"/>
            <w:shd w:val="clear" w:color="auto" w:fill="E2EFD9"/>
            <w:tcMar>
              <w:top w:w="40" w:type="dxa"/>
              <w:left w:w="20" w:type="dxa"/>
              <w:bottom w:w="40" w:type="dxa"/>
              <w:right w:w="0" w:type="dxa"/>
            </w:tcMar>
            <w:vAlign w:val="bottom"/>
          </w:tcPr>
          <w:p w14:paraId="19503E72" w14:textId="77777777" w:rsidR="00BF3A3A" w:rsidRDefault="00A76802">
            <w:pPr>
              <w:textAlignment w:val="bottom"/>
            </w:pPr>
            <w:r>
              <w:rPr>
                <w:rFonts w:ascii="sans-serif" w:eastAsia="sans-serif" w:hAnsi="sans-serif" w:cs="sans-serif"/>
                <w:color w:val="000000"/>
                <w:sz w:val="20"/>
                <w:szCs w:val="20"/>
              </w:rPr>
              <w:t>$</w:t>
            </w:r>
          </w:p>
        </w:tc>
        <w:tc>
          <w:tcPr>
            <w:tcW w:w="0" w:type="auto"/>
            <w:shd w:val="clear" w:color="auto" w:fill="E2EFD9"/>
            <w:tcMar>
              <w:top w:w="40" w:type="dxa"/>
              <w:left w:w="0" w:type="dxa"/>
              <w:bottom w:w="40" w:type="dxa"/>
              <w:right w:w="0" w:type="dxa"/>
            </w:tcMar>
            <w:vAlign w:val="bottom"/>
          </w:tcPr>
          <w:p w14:paraId="19503E73" w14:textId="77777777" w:rsidR="00BF3A3A" w:rsidRDefault="00A76802">
            <w:pPr>
              <w:jc w:val="right"/>
              <w:textAlignment w:val="bottom"/>
            </w:pPr>
            <w:r>
              <w:rPr>
                <w:rFonts w:ascii="sans-serif" w:eastAsia="sans-serif" w:hAnsi="sans-serif" w:cs="sans-serif"/>
                <w:color w:val="000000"/>
                <w:sz w:val="20"/>
                <w:szCs w:val="20"/>
              </w:rPr>
              <w:t>11.93 </w:t>
            </w:r>
          </w:p>
        </w:tc>
        <w:tc>
          <w:tcPr>
            <w:tcW w:w="0" w:type="auto"/>
            <w:shd w:val="clear" w:color="auto" w:fill="E2EFD9"/>
            <w:tcMar>
              <w:top w:w="40" w:type="dxa"/>
              <w:left w:w="0" w:type="dxa"/>
              <w:bottom w:w="40" w:type="dxa"/>
              <w:right w:w="20" w:type="dxa"/>
            </w:tcMar>
            <w:vAlign w:val="bottom"/>
          </w:tcPr>
          <w:p w14:paraId="19503E74" w14:textId="77777777" w:rsidR="00BF3A3A" w:rsidRDefault="00BF3A3A">
            <w:pPr>
              <w:jc w:val="right"/>
              <w:rPr>
                <w:rFonts w:ascii="宋体"/>
              </w:rPr>
            </w:pPr>
          </w:p>
        </w:tc>
      </w:tr>
      <w:tr w:rsidR="00BF3A3A" w14:paraId="19503E81" w14:textId="77777777">
        <w:tc>
          <w:tcPr>
            <w:tcW w:w="0" w:type="auto"/>
            <w:gridSpan w:val="3"/>
            <w:shd w:val="clear" w:color="auto" w:fill="FFFFFF"/>
            <w:tcMar>
              <w:top w:w="40" w:type="dxa"/>
              <w:left w:w="20" w:type="dxa"/>
              <w:bottom w:w="40" w:type="dxa"/>
              <w:right w:w="20" w:type="dxa"/>
            </w:tcMar>
            <w:vAlign w:val="bottom"/>
          </w:tcPr>
          <w:p w14:paraId="19503E76" w14:textId="77777777" w:rsidR="00BF3A3A" w:rsidRDefault="00A76802">
            <w:pPr>
              <w:textAlignment w:val="bottom"/>
            </w:pPr>
            <w:r>
              <w:rPr>
                <w:rFonts w:ascii="sans-serif" w:eastAsia="sans-serif" w:hAnsi="sans-serif" w:cs="sans-serif"/>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19503E77" w14:textId="77777777" w:rsidR="00BF3A3A" w:rsidRDefault="00BF3A3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E78" w14:textId="77777777" w:rsidR="00BF3A3A" w:rsidRDefault="00A76802">
            <w:pPr>
              <w:jc w:val="right"/>
              <w:textAlignment w:val="bottom"/>
            </w:pPr>
            <w:r>
              <w:rPr>
                <w:rFonts w:ascii="sans-serif" w:eastAsia="sans-serif" w:hAnsi="sans-serif" w:cs="sans-serif"/>
                <w:color w:val="000000"/>
                <w:sz w:val="20"/>
                <w:szCs w:val="20"/>
              </w:rPr>
              <w:t>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E79"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E7A"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E7B"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E7C" w14:textId="77777777" w:rsidR="00BF3A3A" w:rsidRDefault="00BF3A3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9503E7D" w14:textId="77777777" w:rsidR="00BF3A3A" w:rsidRDefault="00A76802">
            <w:pPr>
              <w:jc w:val="right"/>
              <w:textAlignment w:val="bottom"/>
            </w:pPr>
            <w:r>
              <w:rPr>
                <w:rFonts w:ascii="sans-serif" w:eastAsia="sans-serif" w:hAnsi="sans-serif" w:cs="sans-serif"/>
                <w:color w:val="000000"/>
                <w:sz w:val="20"/>
                <w:szCs w:val="20"/>
              </w:rPr>
              <w:t>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9503E7E" w14:textId="77777777" w:rsidR="00BF3A3A" w:rsidRDefault="00BF3A3A">
            <w:pPr>
              <w:jc w:val="right"/>
              <w:rPr>
                <w:rFonts w:ascii="宋体"/>
              </w:rPr>
            </w:pPr>
          </w:p>
        </w:tc>
        <w:tc>
          <w:tcPr>
            <w:tcW w:w="0" w:type="auto"/>
            <w:gridSpan w:val="3"/>
            <w:shd w:val="clear" w:color="auto" w:fill="FFFFFF"/>
            <w:tcMar>
              <w:top w:w="0" w:type="dxa"/>
              <w:left w:w="20" w:type="dxa"/>
              <w:bottom w:w="0" w:type="dxa"/>
              <w:right w:w="20" w:type="dxa"/>
            </w:tcMar>
            <w:vAlign w:val="bottom"/>
          </w:tcPr>
          <w:p w14:paraId="19503E7F" w14:textId="77777777" w:rsidR="00BF3A3A" w:rsidRDefault="00BF3A3A">
            <w:pPr>
              <w:rPr>
                <w:rFonts w:ascii="宋体"/>
              </w:rPr>
            </w:pPr>
          </w:p>
        </w:tc>
        <w:tc>
          <w:tcPr>
            <w:tcW w:w="0" w:type="auto"/>
            <w:gridSpan w:val="3"/>
            <w:shd w:val="clear" w:color="auto" w:fill="FFFFFF"/>
            <w:tcMar>
              <w:top w:w="0" w:type="dxa"/>
              <w:left w:w="20" w:type="dxa"/>
              <w:bottom w:w="0" w:type="dxa"/>
              <w:right w:w="20" w:type="dxa"/>
            </w:tcMar>
            <w:vAlign w:val="bottom"/>
          </w:tcPr>
          <w:p w14:paraId="19503E80" w14:textId="77777777" w:rsidR="00BF3A3A" w:rsidRDefault="00BF3A3A">
            <w:pPr>
              <w:rPr>
                <w:rFonts w:ascii="宋体"/>
              </w:rPr>
            </w:pPr>
          </w:p>
        </w:tc>
      </w:tr>
    </w:tbl>
    <w:p w14:paraId="19503E82" w14:textId="77777777" w:rsidR="00BF3A3A" w:rsidRDefault="00A76802">
      <w:pPr>
        <w:spacing w:before="120" w:after="120"/>
        <w:jc w:val="both"/>
      </w:pPr>
      <w:r>
        <w:rPr>
          <w:rFonts w:ascii="sans-serif" w:eastAsia="sans-serif" w:hAnsi="sans-serif" w:cs="sans-serif"/>
          <w:b/>
          <w:bCs/>
          <w:color w:val="000000"/>
          <w:sz w:val="20"/>
          <w:szCs w:val="20"/>
        </w:rPr>
        <w:t>Restricted Stock Unit Share Withholding</w:t>
      </w:r>
    </w:p>
    <w:p w14:paraId="19503E83" w14:textId="77777777" w:rsidR="00BF3A3A" w:rsidRDefault="00A76802">
      <w:pPr>
        <w:spacing w:after="180"/>
        <w:jc w:val="both"/>
      </w:pPr>
      <w:r>
        <w:rPr>
          <w:rFonts w:ascii="sans-serif" w:eastAsia="sans-serif" w:hAnsi="sans-serif" w:cs="sans-serif"/>
          <w:color w:val="000000"/>
          <w:sz w:val="20"/>
          <w:szCs w:val="20"/>
        </w:rPr>
        <w:t xml:space="preserve">We also withhold common stock shares associated with net share settlements to cover tax withholding obligations upon the vesting of restricted stock unit awards under our employee equity incentive program. During the second quarter of fiscal year 2023, we </w:t>
      </w:r>
      <w:r>
        <w:rPr>
          <w:rFonts w:ascii="sans-serif" w:eastAsia="sans-serif" w:hAnsi="sans-serif" w:cs="sans-serif"/>
          <w:color w:val="000000"/>
          <w:sz w:val="20"/>
          <w:szCs w:val="20"/>
        </w:rPr>
        <w:t xml:space="preserve">withheld approximately 2 million shares at a total cost of $299 million through net share settlements. During the first half of fiscal year 2023, we withheld approximately 4 million shares at a total cost of $837 million through net share settlements. </w:t>
      </w:r>
    </w:p>
    <w:p w14:paraId="19503E84" w14:textId="77777777" w:rsidR="00BF3A3A" w:rsidRDefault="00A76802">
      <w:pPr>
        <w:spacing w:after="180"/>
        <w:jc w:val="center"/>
      </w:pPr>
      <w:r>
        <w:rPr>
          <w:rFonts w:ascii="sans-serif" w:eastAsia="sans-serif" w:hAnsi="sans-serif" w:cs="sans-serif"/>
          <w:color w:val="000000"/>
          <w:sz w:val="20"/>
          <w:szCs w:val="20"/>
        </w:rPr>
        <w:t>45</w:t>
      </w:r>
    </w:p>
    <w:p w14:paraId="19503E85" w14:textId="77777777" w:rsidR="00BF3A3A" w:rsidRDefault="00A76802">
      <w:r>
        <w:pict w14:anchorId="19503FF2">
          <v:rect id="_x0000_i1069" style="width:415.3pt;height:1.5pt" o:hralign="center" o:hrstd="t" o:hr="t" fillcolor="#a0a0a0" stroked="f"/>
        </w:pict>
      </w:r>
    </w:p>
    <w:p w14:paraId="19503E86" w14:textId="77777777" w:rsidR="00BF3A3A" w:rsidRDefault="00BF3A3A">
      <w:pPr>
        <w:spacing w:after="180"/>
        <w:jc w:val="both"/>
      </w:pPr>
    </w:p>
    <w:p w14:paraId="19503E87" w14:textId="77777777" w:rsidR="00BF3A3A" w:rsidRDefault="00BF3A3A">
      <w:pPr>
        <w:spacing w:after="180"/>
        <w:jc w:val="both"/>
      </w:pPr>
    </w:p>
    <w:p w14:paraId="19503E88" w14:textId="77777777" w:rsidR="00BF3A3A" w:rsidRDefault="00BF3A3A">
      <w:pPr>
        <w:spacing w:after="180"/>
        <w:jc w:val="both"/>
      </w:pPr>
    </w:p>
    <w:p w14:paraId="19503E89" w14:textId="77777777" w:rsidR="00BF3A3A" w:rsidRDefault="00A76802">
      <w:pPr>
        <w:spacing w:before="240" w:after="120"/>
        <w:jc w:val="both"/>
      </w:pPr>
      <w:r>
        <w:rPr>
          <w:rFonts w:ascii="sans-serif" w:eastAsia="sans-serif" w:hAnsi="sans-serif" w:cs="sans-serif"/>
          <w:b/>
          <w:bCs/>
          <w:color w:val="76B900"/>
          <w:sz w:val="22"/>
          <w:szCs w:val="22"/>
        </w:rPr>
        <w:t>ITEM 6. EXHIBITS</w:t>
      </w:r>
    </w:p>
    <w:tbl>
      <w:tblPr>
        <w:tblW w:w="4985" w:type="pct"/>
        <w:tblCellMar>
          <w:top w:w="15" w:type="dxa"/>
          <w:left w:w="15" w:type="dxa"/>
          <w:bottom w:w="15" w:type="dxa"/>
          <w:right w:w="15" w:type="dxa"/>
        </w:tblCellMar>
        <w:tblLook w:val="04A0" w:firstRow="1" w:lastRow="0" w:firstColumn="1" w:lastColumn="0" w:noHBand="0" w:noVBand="1"/>
      </w:tblPr>
      <w:tblGrid>
        <w:gridCol w:w="84"/>
        <w:gridCol w:w="727"/>
        <w:gridCol w:w="38"/>
        <w:gridCol w:w="36"/>
        <w:gridCol w:w="52"/>
        <w:gridCol w:w="36"/>
        <w:gridCol w:w="45"/>
        <w:gridCol w:w="2736"/>
        <w:gridCol w:w="37"/>
        <w:gridCol w:w="36"/>
        <w:gridCol w:w="42"/>
        <w:gridCol w:w="36"/>
        <w:gridCol w:w="71"/>
        <w:gridCol w:w="784"/>
        <w:gridCol w:w="36"/>
        <w:gridCol w:w="36"/>
        <w:gridCol w:w="53"/>
        <w:gridCol w:w="36"/>
        <w:gridCol w:w="88"/>
        <w:gridCol w:w="817"/>
        <w:gridCol w:w="37"/>
        <w:gridCol w:w="36"/>
        <w:gridCol w:w="53"/>
        <w:gridCol w:w="36"/>
        <w:gridCol w:w="50"/>
        <w:gridCol w:w="903"/>
        <w:gridCol w:w="36"/>
        <w:gridCol w:w="36"/>
        <w:gridCol w:w="53"/>
        <w:gridCol w:w="36"/>
        <w:gridCol w:w="54"/>
        <w:gridCol w:w="1118"/>
        <w:gridCol w:w="37"/>
      </w:tblGrid>
      <w:tr w:rsidR="00BF3A3A" w14:paraId="19503EAB" w14:textId="77777777">
        <w:tc>
          <w:tcPr>
            <w:tcW w:w="50" w:type="pct"/>
            <w:shd w:val="clear" w:color="auto" w:fill="auto"/>
            <w:vAlign w:val="bottom"/>
          </w:tcPr>
          <w:p w14:paraId="19503E8A" w14:textId="77777777" w:rsidR="00BF3A3A" w:rsidRDefault="00BF3A3A">
            <w:pPr>
              <w:rPr>
                <w:rFonts w:ascii="宋体"/>
              </w:rPr>
            </w:pPr>
          </w:p>
        </w:tc>
        <w:tc>
          <w:tcPr>
            <w:tcW w:w="436" w:type="pct"/>
            <w:shd w:val="clear" w:color="auto" w:fill="auto"/>
            <w:vAlign w:val="bottom"/>
          </w:tcPr>
          <w:p w14:paraId="19503E8B" w14:textId="77777777" w:rsidR="00BF3A3A" w:rsidRDefault="00BF3A3A">
            <w:pPr>
              <w:rPr>
                <w:rFonts w:ascii="宋体"/>
              </w:rPr>
            </w:pPr>
          </w:p>
        </w:tc>
        <w:tc>
          <w:tcPr>
            <w:tcW w:w="5" w:type="pct"/>
            <w:shd w:val="clear" w:color="auto" w:fill="auto"/>
            <w:vAlign w:val="bottom"/>
          </w:tcPr>
          <w:p w14:paraId="19503E8C" w14:textId="77777777" w:rsidR="00BF3A3A" w:rsidRDefault="00BF3A3A">
            <w:pPr>
              <w:rPr>
                <w:rFonts w:ascii="宋体"/>
              </w:rPr>
            </w:pPr>
          </w:p>
        </w:tc>
        <w:tc>
          <w:tcPr>
            <w:tcW w:w="5" w:type="pct"/>
            <w:shd w:val="clear" w:color="auto" w:fill="auto"/>
            <w:vAlign w:val="bottom"/>
          </w:tcPr>
          <w:p w14:paraId="19503E8D" w14:textId="77777777" w:rsidR="00BF3A3A" w:rsidRDefault="00BF3A3A">
            <w:pPr>
              <w:rPr>
                <w:rFonts w:ascii="宋体"/>
              </w:rPr>
            </w:pPr>
          </w:p>
        </w:tc>
        <w:tc>
          <w:tcPr>
            <w:tcW w:w="55" w:type="pct"/>
            <w:shd w:val="clear" w:color="auto" w:fill="auto"/>
            <w:vAlign w:val="bottom"/>
          </w:tcPr>
          <w:p w14:paraId="19503E8E" w14:textId="77777777" w:rsidR="00BF3A3A" w:rsidRDefault="00BF3A3A">
            <w:pPr>
              <w:rPr>
                <w:rFonts w:ascii="宋体"/>
              </w:rPr>
            </w:pPr>
          </w:p>
        </w:tc>
        <w:tc>
          <w:tcPr>
            <w:tcW w:w="5" w:type="pct"/>
            <w:shd w:val="clear" w:color="auto" w:fill="auto"/>
            <w:vAlign w:val="bottom"/>
          </w:tcPr>
          <w:p w14:paraId="19503E8F" w14:textId="77777777" w:rsidR="00BF3A3A" w:rsidRDefault="00BF3A3A">
            <w:pPr>
              <w:rPr>
                <w:rFonts w:ascii="宋体"/>
              </w:rPr>
            </w:pPr>
          </w:p>
        </w:tc>
        <w:tc>
          <w:tcPr>
            <w:tcW w:w="50" w:type="pct"/>
            <w:shd w:val="clear" w:color="auto" w:fill="auto"/>
            <w:vAlign w:val="bottom"/>
          </w:tcPr>
          <w:p w14:paraId="19503E90" w14:textId="77777777" w:rsidR="00BF3A3A" w:rsidRDefault="00BF3A3A">
            <w:pPr>
              <w:rPr>
                <w:rFonts w:ascii="宋体"/>
              </w:rPr>
            </w:pPr>
          </w:p>
        </w:tc>
        <w:tc>
          <w:tcPr>
            <w:tcW w:w="1667" w:type="pct"/>
            <w:shd w:val="clear" w:color="auto" w:fill="auto"/>
            <w:vAlign w:val="bottom"/>
          </w:tcPr>
          <w:p w14:paraId="19503E91" w14:textId="77777777" w:rsidR="00BF3A3A" w:rsidRDefault="00BF3A3A">
            <w:pPr>
              <w:rPr>
                <w:rFonts w:ascii="宋体"/>
              </w:rPr>
            </w:pPr>
          </w:p>
        </w:tc>
        <w:tc>
          <w:tcPr>
            <w:tcW w:w="5" w:type="pct"/>
            <w:shd w:val="clear" w:color="auto" w:fill="auto"/>
            <w:vAlign w:val="bottom"/>
          </w:tcPr>
          <w:p w14:paraId="19503E92" w14:textId="77777777" w:rsidR="00BF3A3A" w:rsidRDefault="00BF3A3A">
            <w:pPr>
              <w:rPr>
                <w:rFonts w:ascii="宋体"/>
              </w:rPr>
            </w:pPr>
          </w:p>
        </w:tc>
        <w:tc>
          <w:tcPr>
            <w:tcW w:w="5" w:type="pct"/>
            <w:shd w:val="clear" w:color="auto" w:fill="auto"/>
            <w:vAlign w:val="bottom"/>
          </w:tcPr>
          <w:p w14:paraId="19503E93" w14:textId="77777777" w:rsidR="00BF3A3A" w:rsidRDefault="00BF3A3A">
            <w:pPr>
              <w:rPr>
                <w:rFonts w:ascii="宋体"/>
              </w:rPr>
            </w:pPr>
          </w:p>
        </w:tc>
        <w:tc>
          <w:tcPr>
            <w:tcW w:w="48" w:type="pct"/>
            <w:shd w:val="clear" w:color="auto" w:fill="auto"/>
            <w:vAlign w:val="bottom"/>
          </w:tcPr>
          <w:p w14:paraId="19503E94" w14:textId="77777777" w:rsidR="00BF3A3A" w:rsidRDefault="00BF3A3A">
            <w:pPr>
              <w:rPr>
                <w:rFonts w:ascii="宋体"/>
              </w:rPr>
            </w:pPr>
          </w:p>
        </w:tc>
        <w:tc>
          <w:tcPr>
            <w:tcW w:w="5" w:type="pct"/>
            <w:shd w:val="clear" w:color="auto" w:fill="auto"/>
            <w:vAlign w:val="bottom"/>
          </w:tcPr>
          <w:p w14:paraId="19503E95" w14:textId="77777777" w:rsidR="00BF3A3A" w:rsidRDefault="00BF3A3A">
            <w:pPr>
              <w:rPr>
                <w:rFonts w:ascii="宋体"/>
              </w:rPr>
            </w:pPr>
          </w:p>
        </w:tc>
        <w:tc>
          <w:tcPr>
            <w:tcW w:w="50" w:type="pct"/>
            <w:shd w:val="clear" w:color="auto" w:fill="auto"/>
            <w:vAlign w:val="bottom"/>
          </w:tcPr>
          <w:p w14:paraId="19503E96" w14:textId="77777777" w:rsidR="00BF3A3A" w:rsidRDefault="00BF3A3A">
            <w:pPr>
              <w:rPr>
                <w:rFonts w:ascii="宋体"/>
              </w:rPr>
            </w:pPr>
          </w:p>
        </w:tc>
        <w:tc>
          <w:tcPr>
            <w:tcW w:w="509" w:type="pct"/>
            <w:shd w:val="clear" w:color="auto" w:fill="auto"/>
            <w:vAlign w:val="bottom"/>
          </w:tcPr>
          <w:p w14:paraId="19503E97" w14:textId="77777777" w:rsidR="00BF3A3A" w:rsidRDefault="00BF3A3A">
            <w:pPr>
              <w:rPr>
                <w:rFonts w:ascii="宋体"/>
              </w:rPr>
            </w:pPr>
          </w:p>
        </w:tc>
        <w:tc>
          <w:tcPr>
            <w:tcW w:w="5" w:type="pct"/>
            <w:shd w:val="clear" w:color="auto" w:fill="auto"/>
            <w:vAlign w:val="bottom"/>
          </w:tcPr>
          <w:p w14:paraId="19503E98" w14:textId="77777777" w:rsidR="00BF3A3A" w:rsidRDefault="00BF3A3A">
            <w:pPr>
              <w:rPr>
                <w:rFonts w:ascii="宋体"/>
              </w:rPr>
            </w:pPr>
          </w:p>
        </w:tc>
        <w:tc>
          <w:tcPr>
            <w:tcW w:w="5" w:type="pct"/>
            <w:shd w:val="clear" w:color="auto" w:fill="auto"/>
            <w:vAlign w:val="bottom"/>
          </w:tcPr>
          <w:p w14:paraId="19503E99" w14:textId="77777777" w:rsidR="00BF3A3A" w:rsidRDefault="00BF3A3A">
            <w:pPr>
              <w:rPr>
                <w:rFonts w:ascii="宋体"/>
              </w:rPr>
            </w:pPr>
          </w:p>
        </w:tc>
        <w:tc>
          <w:tcPr>
            <w:tcW w:w="55" w:type="pct"/>
            <w:shd w:val="clear" w:color="auto" w:fill="auto"/>
            <w:vAlign w:val="bottom"/>
          </w:tcPr>
          <w:p w14:paraId="19503E9A" w14:textId="77777777" w:rsidR="00BF3A3A" w:rsidRDefault="00BF3A3A">
            <w:pPr>
              <w:rPr>
                <w:rFonts w:ascii="宋体"/>
              </w:rPr>
            </w:pPr>
          </w:p>
        </w:tc>
        <w:tc>
          <w:tcPr>
            <w:tcW w:w="5" w:type="pct"/>
            <w:shd w:val="clear" w:color="auto" w:fill="auto"/>
            <w:vAlign w:val="bottom"/>
          </w:tcPr>
          <w:p w14:paraId="19503E9B" w14:textId="77777777" w:rsidR="00BF3A3A" w:rsidRDefault="00BF3A3A">
            <w:pPr>
              <w:rPr>
                <w:rFonts w:ascii="宋体"/>
              </w:rPr>
            </w:pPr>
          </w:p>
        </w:tc>
        <w:tc>
          <w:tcPr>
            <w:tcW w:w="50" w:type="pct"/>
            <w:shd w:val="clear" w:color="auto" w:fill="auto"/>
            <w:vAlign w:val="bottom"/>
          </w:tcPr>
          <w:p w14:paraId="19503E9C" w14:textId="77777777" w:rsidR="00BF3A3A" w:rsidRDefault="00BF3A3A">
            <w:pPr>
              <w:rPr>
                <w:rFonts w:ascii="宋体"/>
              </w:rPr>
            </w:pPr>
          </w:p>
        </w:tc>
        <w:tc>
          <w:tcPr>
            <w:tcW w:w="465" w:type="pct"/>
            <w:shd w:val="clear" w:color="auto" w:fill="auto"/>
            <w:vAlign w:val="bottom"/>
          </w:tcPr>
          <w:p w14:paraId="19503E9D" w14:textId="77777777" w:rsidR="00BF3A3A" w:rsidRDefault="00BF3A3A">
            <w:pPr>
              <w:rPr>
                <w:rFonts w:ascii="宋体"/>
              </w:rPr>
            </w:pPr>
          </w:p>
        </w:tc>
        <w:tc>
          <w:tcPr>
            <w:tcW w:w="5" w:type="pct"/>
            <w:shd w:val="clear" w:color="auto" w:fill="auto"/>
            <w:vAlign w:val="bottom"/>
          </w:tcPr>
          <w:p w14:paraId="19503E9E" w14:textId="77777777" w:rsidR="00BF3A3A" w:rsidRDefault="00BF3A3A">
            <w:pPr>
              <w:rPr>
                <w:rFonts w:ascii="宋体"/>
              </w:rPr>
            </w:pPr>
          </w:p>
        </w:tc>
        <w:tc>
          <w:tcPr>
            <w:tcW w:w="5" w:type="pct"/>
            <w:shd w:val="clear" w:color="auto" w:fill="auto"/>
            <w:vAlign w:val="bottom"/>
          </w:tcPr>
          <w:p w14:paraId="19503E9F" w14:textId="77777777" w:rsidR="00BF3A3A" w:rsidRDefault="00BF3A3A">
            <w:pPr>
              <w:rPr>
                <w:rFonts w:ascii="宋体"/>
              </w:rPr>
            </w:pPr>
          </w:p>
        </w:tc>
        <w:tc>
          <w:tcPr>
            <w:tcW w:w="55" w:type="pct"/>
            <w:shd w:val="clear" w:color="auto" w:fill="auto"/>
            <w:vAlign w:val="bottom"/>
          </w:tcPr>
          <w:p w14:paraId="19503EA0" w14:textId="77777777" w:rsidR="00BF3A3A" w:rsidRDefault="00BF3A3A">
            <w:pPr>
              <w:rPr>
                <w:rFonts w:ascii="宋体"/>
              </w:rPr>
            </w:pPr>
          </w:p>
        </w:tc>
        <w:tc>
          <w:tcPr>
            <w:tcW w:w="5" w:type="pct"/>
            <w:shd w:val="clear" w:color="auto" w:fill="auto"/>
            <w:vAlign w:val="bottom"/>
          </w:tcPr>
          <w:p w14:paraId="19503EA1" w14:textId="77777777" w:rsidR="00BF3A3A" w:rsidRDefault="00BF3A3A">
            <w:pPr>
              <w:rPr>
                <w:rFonts w:ascii="宋体"/>
              </w:rPr>
            </w:pPr>
          </w:p>
        </w:tc>
        <w:tc>
          <w:tcPr>
            <w:tcW w:w="50" w:type="pct"/>
            <w:shd w:val="clear" w:color="auto" w:fill="auto"/>
            <w:vAlign w:val="bottom"/>
          </w:tcPr>
          <w:p w14:paraId="19503EA2" w14:textId="77777777" w:rsidR="00BF3A3A" w:rsidRDefault="00BF3A3A">
            <w:pPr>
              <w:rPr>
                <w:rFonts w:ascii="宋体"/>
              </w:rPr>
            </w:pPr>
          </w:p>
        </w:tc>
        <w:tc>
          <w:tcPr>
            <w:tcW w:w="568" w:type="pct"/>
            <w:shd w:val="clear" w:color="auto" w:fill="auto"/>
            <w:vAlign w:val="bottom"/>
          </w:tcPr>
          <w:p w14:paraId="19503EA3" w14:textId="77777777" w:rsidR="00BF3A3A" w:rsidRDefault="00BF3A3A">
            <w:pPr>
              <w:rPr>
                <w:rFonts w:ascii="宋体"/>
              </w:rPr>
            </w:pPr>
          </w:p>
        </w:tc>
        <w:tc>
          <w:tcPr>
            <w:tcW w:w="5" w:type="pct"/>
            <w:shd w:val="clear" w:color="auto" w:fill="auto"/>
            <w:vAlign w:val="bottom"/>
          </w:tcPr>
          <w:p w14:paraId="19503EA4" w14:textId="77777777" w:rsidR="00BF3A3A" w:rsidRDefault="00BF3A3A">
            <w:pPr>
              <w:rPr>
                <w:rFonts w:ascii="宋体"/>
              </w:rPr>
            </w:pPr>
          </w:p>
        </w:tc>
        <w:tc>
          <w:tcPr>
            <w:tcW w:w="5" w:type="pct"/>
            <w:shd w:val="clear" w:color="auto" w:fill="auto"/>
            <w:vAlign w:val="bottom"/>
          </w:tcPr>
          <w:p w14:paraId="19503EA5" w14:textId="77777777" w:rsidR="00BF3A3A" w:rsidRDefault="00BF3A3A">
            <w:pPr>
              <w:rPr>
                <w:rFonts w:ascii="宋体"/>
              </w:rPr>
            </w:pPr>
          </w:p>
        </w:tc>
        <w:tc>
          <w:tcPr>
            <w:tcW w:w="55" w:type="pct"/>
            <w:shd w:val="clear" w:color="auto" w:fill="auto"/>
            <w:vAlign w:val="bottom"/>
          </w:tcPr>
          <w:p w14:paraId="19503EA6" w14:textId="77777777" w:rsidR="00BF3A3A" w:rsidRDefault="00BF3A3A">
            <w:pPr>
              <w:rPr>
                <w:rFonts w:ascii="宋体"/>
              </w:rPr>
            </w:pPr>
          </w:p>
        </w:tc>
        <w:tc>
          <w:tcPr>
            <w:tcW w:w="5" w:type="pct"/>
            <w:shd w:val="clear" w:color="auto" w:fill="auto"/>
            <w:vAlign w:val="bottom"/>
          </w:tcPr>
          <w:p w14:paraId="19503EA7" w14:textId="77777777" w:rsidR="00BF3A3A" w:rsidRDefault="00BF3A3A">
            <w:pPr>
              <w:rPr>
                <w:rFonts w:ascii="宋体"/>
              </w:rPr>
            </w:pPr>
          </w:p>
        </w:tc>
        <w:tc>
          <w:tcPr>
            <w:tcW w:w="50" w:type="pct"/>
            <w:shd w:val="clear" w:color="auto" w:fill="auto"/>
            <w:vAlign w:val="bottom"/>
          </w:tcPr>
          <w:p w14:paraId="19503EA8" w14:textId="77777777" w:rsidR="00BF3A3A" w:rsidRDefault="00BF3A3A">
            <w:pPr>
              <w:rPr>
                <w:rFonts w:ascii="宋体"/>
              </w:rPr>
            </w:pPr>
          </w:p>
        </w:tc>
        <w:tc>
          <w:tcPr>
            <w:tcW w:w="700" w:type="pct"/>
            <w:shd w:val="clear" w:color="auto" w:fill="auto"/>
            <w:vAlign w:val="bottom"/>
          </w:tcPr>
          <w:p w14:paraId="19503EA9" w14:textId="77777777" w:rsidR="00BF3A3A" w:rsidRDefault="00BF3A3A">
            <w:pPr>
              <w:rPr>
                <w:rFonts w:ascii="宋体"/>
              </w:rPr>
            </w:pPr>
          </w:p>
        </w:tc>
        <w:tc>
          <w:tcPr>
            <w:tcW w:w="5" w:type="pct"/>
            <w:shd w:val="clear" w:color="auto" w:fill="auto"/>
            <w:vAlign w:val="bottom"/>
          </w:tcPr>
          <w:p w14:paraId="19503EAA" w14:textId="77777777" w:rsidR="00BF3A3A" w:rsidRDefault="00BF3A3A">
            <w:pPr>
              <w:rPr>
                <w:rFonts w:ascii="宋体"/>
              </w:rPr>
            </w:pPr>
          </w:p>
        </w:tc>
      </w:tr>
      <w:tr w:rsidR="00BF3A3A" w14:paraId="19503EB7" w14:textId="77777777">
        <w:tc>
          <w:tcPr>
            <w:tcW w:w="0" w:type="auto"/>
            <w:gridSpan w:val="3"/>
            <w:shd w:val="clear" w:color="auto" w:fill="auto"/>
            <w:tcMar>
              <w:top w:w="40" w:type="dxa"/>
              <w:left w:w="20" w:type="dxa"/>
              <w:bottom w:w="40" w:type="dxa"/>
              <w:right w:w="20" w:type="dxa"/>
            </w:tcMar>
            <w:vAlign w:val="bottom"/>
          </w:tcPr>
          <w:p w14:paraId="19503EAC" w14:textId="77777777" w:rsidR="00BF3A3A" w:rsidRDefault="00A76802">
            <w:pPr>
              <w:jc w:val="center"/>
              <w:textAlignment w:val="bottom"/>
            </w:pPr>
            <w:r>
              <w:rPr>
                <w:rFonts w:ascii="sans-serif" w:eastAsia="sans-serif" w:hAnsi="sans-serif" w:cs="sans-serif"/>
                <w:b/>
                <w:bCs/>
                <w:color w:val="000000"/>
                <w:sz w:val="20"/>
                <w:szCs w:val="20"/>
              </w:rPr>
              <w:t>Exhibit No.</w:t>
            </w:r>
          </w:p>
        </w:tc>
        <w:tc>
          <w:tcPr>
            <w:tcW w:w="0" w:type="auto"/>
            <w:gridSpan w:val="3"/>
            <w:shd w:val="clear" w:color="auto" w:fill="auto"/>
            <w:tcMar>
              <w:top w:w="0" w:type="dxa"/>
              <w:left w:w="20" w:type="dxa"/>
              <w:bottom w:w="0" w:type="dxa"/>
              <w:right w:w="20" w:type="dxa"/>
            </w:tcMar>
            <w:vAlign w:val="bottom"/>
          </w:tcPr>
          <w:p w14:paraId="19503EAD"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EAE" w14:textId="77777777" w:rsidR="00BF3A3A" w:rsidRDefault="00A76802">
            <w:pPr>
              <w:spacing w:before="40" w:after="40"/>
              <w:jc w:val="center"/>
              <w:textAlignment w:val="bottom"/>
            </w:pPr>
            <w:r>
              <w:rPr>
                <w:rFonts w:ascii="sans-serif" w:eastAsia="sans-serif" w:hAnsi="sans-serif" w:cs="sans-serif"/>
                <w:b/>
                <w:bCs/>
                <w:color w:val="000000"/>
                <w:sz w:val="20"/>
                <w:szCs w:val="20"/>
              </w:rPr>
              <w:t> Exhibit Description</w:t>
            </w:r>
          </w:p>
        </w:tc>
        <w:tc>
          <w:tcPr>
            <w:tcW w:w="0" w:type="auto"/>
            <w:gridSpan w:val="3"/>
            <w:shd w:val="clear" w:color="auto" w:fill="auto"/>
            <w:tcMar>
              <w:top w:w="0" w:type="dxa"/>
              <w:left w:w="20" w:type="dxa"/>
              <w:bottom w:w="0" w:type="dxa"/>
              <w:right w:w="20" w:type="dxa"/>
            </w:tcMar>
            <w:vAlign w:val="bottom"/>
          </w:tcPr>
          <w:p w14:paraId="19503EAF"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EB0" w14:textId="77777777" w:rsidR="00BF3A3A" w:rsidRDefault="00A76802">
            <w:pPr>
              <w:jc w:val="center"/>
              <w:textAlignment w:val="bottom"/>
            </w:pPr>
            <w:r>
              <w:rPr>
                <w:rFonts w:ascii="sans-serif" w:eastAsia="sans-serif" w:hAnsi="sans-serif" w:cs="sans-serif"/>
                <w:b/>
                <w:bCs/>
                <w:color w:val="000000"/>
                <w:sz w:val="20"/>
                <w:szCs w:val="20"/>
              </w:rPr>
              <w:t>Schedule</w:t>
            </w:r>
            <w:r>
              <w:rPr>
                <w:rFonts w:ascii="sans-serif" w:eastAsia="sans-serif" w:hAnsi="sans-serif" w:cs="sans-serif"/>
                <w:b/>
                <w:bCs/>
                <w:color w:val="000000"/>
                <w:sz w:val="20"/>
                <w:szCs w:val="20"/>
              </w:rPr>
              <w:br/>
              <w:t>/Form</w:t>
            </w:r>
          </w:p>
        </w:tc>
        <w:tc>
          <w:tcPr>
            <w:tcW w:w="0" w:type="auto"/>
            <w:gridSpan w:val="3"/>
            <w:shd w:val="clear" w:color="auto" w:fill="auto"/>
            <w:tcMar>
              <w:top w:w="0" w:type="dxa"/>
              <w:left w:w="20" w:type="dxa"/>
              <w:bottom w:w="0" w:type="dxa"/>
              <w:right w:w="20" w:type="dxa"/>
            </w:tcMar>
            <w:vAlign w:val="bottom"/>
          </w:tcPr>
          <w:p w14:paraId="19503EB1"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EB2" w14:textId="77777777" w:rsidR="00BF3A3A" w:rsidRDefault="00A76802">
            <w:pPr>
              <w:jc w:val="center"/>
              <w:textAlignment w:val="bottom"/>
            </w:pPr>
            <w:r>
              <w:rPr>
                <w:rFonts w:ascii="sans-serif" w:eastAsia="sans-serif" w:hAnsi="sans-serif" w:cs="sans-serif"/>
                <w:b/>
                <w:bCs/>
                <w:color w:val="000000"/>
                <w:sz w:val="20"/>
                <w:szCs w:val="20"/>
              </w:rPr>
              <w:t>File Number</w:t>
            </w:r>
          </w:p>
        </w:tc>
        <w:tc>
          <w:tcPr>
            <w:tcW w:w="0" w:type="auto"/>
            <w:gridSpan w:val="3"/>
            <w:shd w:val="clear" w:color="auto" w:fill="auto"/>
            <w:tcMar>
              <w:top w:w="0" w:type="dxa"/>
              <w:left w:w="20" w:type="dxa"/>
              <w:bottom w:w="0" w:type="dxa"/>
              <w:right w:w="20" w:type="dxa"/>
            </w:tcMar>
            <w:vAlign w:val="bottom"/>
          </w:tcPr>
          <w:p w14:paraId="19503EB3"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EB4" w14:textId="77777777" w:rsidR="00BF3A3A" w:rsidRDefault="00A76802">
            <w:pPr>
              <w:jc w:val="center"/>
              <w:textAlignment w:val="bottom"/>
            </w:pPr>
            <w:r>
              <w:rPr>
                <w:rFonts w:ascii="sans-serif" w:eastAsia="sans-serif" w:hAnsi="sans-serif" w:cs="sans-serif"/>
                <w:b/>
                <w:bCs/>
                <w:color w:val="000000"/>
                <w:sz w:val="20"/>
                <w:szCs w:val="20"/>
              </w:rPr>
              <w:t>Exhibit</w:t>
            </w:r>
          </w:p>
        </w:tc>
        <w:tc>
          <w:tcPr>
            <w:tcW w:w="0" w:type="auto"/>
            <w:gridSpan w:val="3"/>
            <w:shd w:val="clear" w:color="auto" w:fill="auto"/>
            <w:tcMar>
              <w:top w:w="0" w:type="dxa"/>
              <w:left w:w="20" w:type="dxa"/>
              <w:bottom w:w="0" w:type="dxa"/>
              <w:right w:w="20" w:type="dxa"/>
            </w:tcMar>
            <w:vAlign w:val="bottom"/>
          </w:tcPr>
          <w:p w14:paraId="19503EB5"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EB6" w14:textId="77777777" w:rsidR="00BF3A3A" w:rsidRDefault="00A76802">
            <w:pPr>
              <w:jc w:val="center"/>
              <w:textAlignment w:val="bottom"/>
            </w:pPr>
            <w:r>
              <w:rPr>
                <w:rFonts w:ascii="sans-serif" w:eastAsia="sans-serif" w:hAnsi="sans-serif" w:cs="sans-serif"/>
                <w:b/>
                <w:bCs/>
                <w:color w:val="000000"/>
                <w:sz w:val="20"/>
                <w:szCs w:val="20"/>
              </w:rPr>
              <w:t>Filing Date</w:t>
            </w:r>
          </w:p>
        </w:tc>
      </w:tr>
      <w:tr w:rsidR="00BF3A3A" w14:paraId="19503EC3" w14:textId="77777777">
        <w:tc>
          <w:tcPr>
            <w:tcW w:w="0" w:type="auto"/>
            <w:gridSpan w:val="3"/>
            <w:shd w:val="clear" w:color="auto" w:fill="auto"/>
            <w:tcMar>
              <w:top w:w="40" w:type="dxa"/>
              <w:left w:w="20" w:type="dxa"/>
              <w:bottom w:w="40" w:type="dxa"/>
              <w:right w:w="20" w:type="dxa"/>
            </w:tcMar>
          </w:tcPr>
          <w:p w14:paraId="19503EB8" w14:textId="77777777" w:rsidR="00BF3A3A" w:rsidRDefault="00A76802">
            <w:pPr>
              <w:jc w:val="center"/>
              <w:textAlignment w:val="top"/>
            </w:pPr>
            <w:r>
              <w:rPr>
                <w:rFonts w:ascii="sans-serif" w:eastAsia="sans-serif" w:hAnsi="sans-serif" w:cs="sans-serif"/>
                <w:color w:val="000000"/>
                <w:sz w:val="20"/>
                <w:szCs w:val="20"/>
              </w:rPr>
              <w:t>3.1</w:t>
            </w:r>
          </w:p>
        </w:tc>
        <w:tc>
          <w:tcPr>
            <w:tcW w:w="0" w:type="auto"/>
            <w:gridSpan w:val="3"/>
            <w:shd w:val="clear" w:color="auto" w:fill="auto"/>
            <w:tcMar>
              <w:top w:w="0" w:type="dxa"/>
              <w:left w:w="20" w:type="dxa"/>
              <w:bottom w:w="0" w:type="dxa"/>
              <w:right w:w="20" w:type="dxa"/>
            </w:tcMar>
            <w:vAlign w:val="bottom"/>
          </w:tcPr>
          <w:p w14:paraId="19503EB9"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EBA" w14:textId="77777777" w:rsidR="00BF3A3A" w:rsidRDefault="00A76802">
            <w:pPr>
              <w:textAlignment w:val="bottom"/>
            </w:pPr>
            <w:hyperlink r:id="rId32" w:history="1">
              <w:r>
                <w:rPr>
                  <w:rStyle w:val="a5"/>
                  <w:rFonts w:ascii="sans-serif" w:eastAsia="sans-serif" w:hAnsi="sans-serif" w:cs="sans-serif"/>
                  <w:sz w:val="20"/>
                  <w:szCs w:val="20"/>
                </w:rPr>
                <w:t>Amendment to Restated Certificate of Incorporation of NVIDIA Corporation</w:t>
              </w:r>
            </w:hyperlink>
          </w:p>
        </w:tc>
        <w:tc>
          <w:tcPr>
            <w:tcW w:w="0" w:type="auto"/>
            <w:gridSpan w:val="3"/>
            <w:shd w:val="clear" w:color="auto" w:fill="auto"/>
            <w:tcMar>
              <w:top w:w="0" w:type="dxa"/>
              <w:left w:w="20" w:type="dxa"/>
              <w:bottom w:w="0" w:type="dxa"/>
              <w:right w:w="20" w:type="dxa"/>
            </w:tcMar>
            <w:vAlign w:val="bottom"/>
          </w:tcPr>
          <w:p w14:paraId="19503EBB"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tcPr>
          <w:p w14:paraId="19503EBC" w14:textId="77777777" w:rsidR="00BF3A3A" w:rsidRDefault="00A76802">
            <w:pPr>
              <w:jc w:val="center"/>
              <w:textAlignment w:val="top"/>
            </w:pPr>
            <w:r>
              <w:rPr>
                <w:rFonts w:ascii="sans-serif" w:eastAsia="sans-serif" w:hAnsi="sans-serif" w:cs="sans-serif"/>
                <w:color w:val="000000"/>
                <w:sz w:val="20"/>
                <w:szCs w:val="20"/>
              </w:rPr>
              <w:t>8-K</w:t>
            </w:r>
          </w:p>
        </w:tc>
        <w:tc>
          <w:tcPr>
            <w:tcW w:w="0" w:type="auto"/>
            <w:gridSpan w:val="3"/>
            <w:shd w:val="clear" w:color="auto" w:fill="auto"/>
            <w:tcMar>
              <w:top w:w="0" w:type="dxa"/>
              <w:left w:w="20" w:type="dxa"/>
              <w:bottom w:w="0" w:type="dxa"/>
              <w:right w:w="20" w:type="dxa"/>
            </w:tcMar>
            <w:vAlign w:val="bottom"/>
          </w:tcPr>
          <w:p w14:paraId="19503EBD"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tcPr>
          <w:p w14:paraId="19503EBE" w14:textId="77777777" w:rsidR="00BF3A3A" w:rsidRDefault="00A76802">
            <w:pPr>
              <w:jc w:val="center"/>
              <w:textAlignment w:val="top"/>
            </w:pPr>
            <w:r>
              <w:rPr>
                <w:rFonts w:ascii="sans-serif" w:eastAsia="sans-serif" w:hAnsi="sans-serif" w:cs="sans-serif"/>
                <w:color w:val="000000"/>
                <w:sz w:val="20"/>
                <w:szCs w:val="20"/>
              </w:rPr>
              <w:t>000-23985</w:t>
            </w:r>
          </w:p>
        </w:tc>
        <w:tc>
          <w:tcPr>
            <w:tcW w:w="0" w:type="auto"/>
            <w:gridSpan w:val="3"/>
            <w:shd w:val="clear" w:color="auto" w:fill="auto"/>
            <w:tcMar>
              <w:top w:w="0" w:type="dxa"/>
              <w:left w:w="20" w:type="dxa"/>
              <w:bottom w:w="0" w:type="dxa"/>
              <w:right w:w="20" w:type="dxa"/>
            </w:tcMar>
            <w:vAlign w:val="bottom"/>
          </w:tcPr>
          <w:p w14:paraId="19503EBF"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tcPr>
          <w:p w14:paraId="19503EC0" w14:textId="77777777" w:rsidR="00BF3A3A" w:rsidRDefault="00A76802">
            <w:pPr>
              <w:jc w:val="center"/>
              <w:textAlignment w:val="top"/>
            </w:pPr>
            <w:r>
              <w:rPr>
                <w:rFonts w:ascii="sans-serif" w:eastAsia="sans-serif" w:hAnsi="sans-serif" w:cs="sans-serif"/>
                <w:color w:val="000000"/>
                <w:sz w:val="20"/>
                <w:szCs w:val="20"/>
              </w:rPr>
              <w:t>3.1</w:t>
            </w:r>
          </w:p>
        </w:tc>
        <w:tc>
          <w:tcPr>
            <w:tcW w:w="0" w:type="auto"/>
            <w:gridSpan w:val="3"/>
            <w:shd w:val="clear" w:color="auto" w:fill="auto"/>
            <w:tcMar>
              <w:top w:w="0" w:type="dxa"/>
              <w:left w:w="20" w:type="dxa"/>
              <w:bottom w:w="0" w:type="dxa"/>
              <w:right w:w="20" w:type="dxa"/>
            </w:tcMar>
            <w:vAlign w:val="bottom"/>
          </w:tcPr>
          <w:p w14:paraId="19503EC1"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tcPr>
          <w:p w14:paraId="19503EC2" w14:textId="77777777" w:rsidR="00BF3A3A" w:rsidRDefault="00A76802">
            <w:pPr>
              <w:jc w:val="center"/>
              <w:textAlignment w:val="top"/>
            </w:pPr>
            <w:r>
              <w:rPr>
                <w:rFonts w:ascii="sans-serif" w:eastAsia="sans-serif" w:hAnsi="sans-serif" w:cs="sans-serif"/>
                <w:color w:val="000000"/>
                <w:sz w:val="20"/>
                <w:szCs w:val="20"/>
              </w:rPr>
              <w:t>6/6/2022</w:t>
            </w:r>
          </w:p>
        </w:tc>
      </w:tr>
      <w:tr w:rsidR="00BF3A3A" w14:paraId="19503ECF" w14:textId="77777777">
        <w:tc>
          <w:tcPr>
            <w:tcW w:w="0" w:type="auto"/>
            <w:gridSpan w:val="3"/>
            <w:shd w:val="clear" w:color="auto" w:fill="auto"/>
            <w:tcMar>
              <w:top w:w="40" w:type="dxa"/>
              <w:left w:w="20" w:type="dxa"/>
              <w:bottom w:w="40" w:type="dxa"/>
              <w:right w:w="20" w:type="dxa"/>
            </w:tcMar>
          </w:tcPr>
          <w:p w14:paraId="19503EC4" w14:textId="77777777" w:rsidR="00BF3A3A" w:rsidRDefault="00A76802">
            <w:pPr>
              <w:jc w:val="center"/>
              <w:textAlignment w:val="top"/>
            </w:pPr>
            <w:r>
              <w:rPr>
                <w:rFonts w:ascii="sans-serif" w:eastAsia="sans-serif" w:hAnsi="sans-serif" w:cs="sans-serif"/>
                <w:color w:val="000000"/>
                <w:sz w:val="20"/>
                <w:szCs w:val="20"/>
              </w:rPr>
              <w:t>10.1+</w:t>
            </w:r>
          </w:p>
        </w:tc>
        <w:tc>
          <w:tcPr>
            <w:tcW w:w="0" w:type="auto"/>
            <w:gridSpan w:val="3"/>
            <w:shd w:val="clear" w:color="auto" w:fill="auto"/>
            <w:tcMar>
              <w:top w:w="0" w:type="dxa"/>
              <w:left w:w="20" w:type="dxa"/>
              <w:bottom w:w="0" w:type="dxa"/>
              <w:right w:w="20" w:type="dxa"/>
            </w:tcMar>
            <w:vAlign w:val="bottom"/>
          </w:tcPr>
          <w:p w14:paraId="19503EC5"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vAlign w:val="bottom"/>
          </w:tcPr>
          <w:p w14:paraId="19503EC6" w14:textId="77777777" w:rsidR="00BF3A3A" w:rsidRDefault="00A76802">
            <w:pPr>
              <w:textAlignment w:val="bottom"/>
            </w:pPr>
            <w:hyperlink r:id="rId33" w:history="1">
              <w:r>
                <w:rPr>
                  <w:rStyle w:val="a5"/>
                  <w:rFonts w:ascii="sans-serif" w:eastAsia="sans-serif" w:hAnsi="sans-serif" w:cs="sans-serif"/>
                  <w:sz w:val="20"/>
                  <w:szCs w:val="20"/>
                </w:rPr>
                <w:t>Amended and Restated 2007 Equity Incentive Plan</w:t>
              </w:r>
            </w:hyperlink>
          </w:p>
        </w:tc>
        <w:tc>
          <w:tcPr>
            <w:tcW w:w="0" w:type="auto"/>
            <w:gridSpan w:val="3"/>
            <w:shd w:val="clear" w:color="auto" w:fill="auto"/>
            <w:tcMar>
              <w:top w:w="0" w:type="dxa"/>
              <w:left w:w="20" w:type="dxa"/>
              <w:bottom w:w="0" w:type="dxa"/>
              <w:right w:w="20" w:type="dxa"/>
            </w:tcMar>
            <w:vAlign w:val="bottom"/>
          </w:tcPr>
          <w:p w14:paraId="19503EC7"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tcPr>
          <w:p w14:paraId="19503EC8" w14:textId="77777777" w:rsidR="00BF3A3A" w:rsidRDefault="00A76802">
            <w:pPr>
              <w:jc w:val="center"/>
              <w:textAlignment w:val="top"/>
            </w:pPr>
            <w:r>
              <w:rPr>
                <w:rFonts w:ascii="sans-serif" w:eastAsia="sans-serif" w:hAnsi="sans-serif" w:cs="sans-serif"/>
                <w:color w:val="000000"/>
                <w:sz w:val="20"/>
                <w:szCs w:val="20"/>
              </w:rPr>
              <w:t>8-K</w:t>
            </w:r>
          </w:p>
        </w:tc>
        <w:tc>
          <w:tcPr>
            <w:tcW w:w="0" w:type="auto"/>
            <w:gridSpan w:val="3"/>
            <w:shd w:val="clear" w:color="auto" w:fill="auto"/>
            <w:tcMar>
              <w:top w:w="0" w:type="dxa"/>
              <w:left w:w="20" w:type="dxa"/>
              <w:bottom w:w="0" w:type="dxa"/>
              <w:right w:w="20" w:type="dxa"/>
            </w:tcMar>
            <w:vAlign w:val="bottom"/>
          </w:tcPr>
          <w:p w14:paraId="19503EC9"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tcPr>
          <w:p w14:paraId="19503ECA" w14:textId="77777777" w:rsidR="00BF3A3A" w:rsidRDefault="00A76802">
            <w:pPr>
              <w:jc w:val="center"/>
              <w:textAlignment w:val="top"/>
            </w:pPr>
            <w:r>
              <w:rPr>
                <w:rFonts w:ascii="sans-serif" w:eastAsia="sans-serif" w:hAnsi="sans-serif" w:cs="sans-serif"/>
                <w:color w:val="000000"/>
                <w:sz w:val="20"/>
                <w:szCs w:val="20"/>
              </w:rPr>
              <w:t>000-23985</w:t>
            </w:r>
          </w:p>
        </w:tc>
        <w:tc>
          <w:tcPr>
            <w:tcW w:w="0" w:type="auto"/>
            <w:gridSpan w:val="3"/>
            <w:shd w:val="clear" w:color="auto" w:fill="auto"/>
            <w:tcMar>
              <w:top w:w="0" w:type="dxa"/>
              <w:left w:w="20" w:type="dxa"/>
              <w:bottom w:w="0" w:type="dxa"/>
              <w:right w:w="20" w:type="dxa"/>
            </w:tcMar>
            <w:vAlign w:val="bottom"/>
          </w:tcPr>
          <w:p w14:paraId="19503ECB"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tcPr>
          <w:p w14:paraId="19503ECC" w14:textId="77777777" w:rsidR="00BF3A3A" w:rsidRDefault="00A76802">
            <w:pPr>
              <w:jc w:val="center"/>
              <w:textAlignment w:val="top"/>
            </w:pPr>
            <w:r>
              <w:rPr>
                <w:rFonts w:ascii="sans-serif" w:eastAsia="sans-serif" w:hAnsi="sans-serif" w:cs="sans-serif"/>
                <w:color w:val="000000"/>
                <w:sz w:val="20"/>
                <w:szCs w:val="20"/>
              </w:rPr>
              <w:t>10.1</w:t>
            </w:r>
          </w:p>
        </w:tc>
        <w:tc>
          <w:tcPr>
            <w:tcW w:w="0" w:type="auto"/>
            <w:gridSpan w:val="3"/>
            <w:shd w:val="clear" w:color="auto" w:fill="auto"/>
            <w:tcMar>
              <w:top w:w="0" w:type="dxa"/>
              <w:left w:w="20" w:type="dxa"/>
              <w:bottom w:w="0" w:type="dxa"/>
              <w:right w:w="20" w:type="dxa"/>
            </w:tcMar>
            <w:vAlign w:val="bottom"/>
          </w:tcPr>
          <w:p w14:paraId="19503ECD"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tcPr>
          <w:p w14:paraId="19503ECE" w14:textId="77777777" w:rsidR="00BF3A3A" w:rsidRDefault="00A76802">
            <w:pPr>
              <w:jc w:val="center"/>
              <w:textAlignment w:val="top"/>
            </w:pPr>
            <w:r>
              <w:rPr>
                <w:rFonts w:ascii="sans-serif" w:eastAsia="sans-serif" w:hAnsi="sans-serif" w:cs="sans-serif"/>
                <w:color w:val="000000"/>
                <w:sz w:val="20"/>
                <w:szCs w:val="20"/>
              </w:rPr>
              <w:t>6/6/2022</w:t>
            </w:r>
          </w:p>
        </w:tc>
      </w:tr>
      <w:tr w:rsidR="00BF3A3A" w14:paraId="19503EDB" w14:textId="77777777">
        <w:tc>
          <w:tcPr>
            <w:tcW w:w="0" w:type="auto"/>
            <w:gridSpan w:val="3"/>
            <w:shd w:val="clear" w:color="auto" w:fill="auto"/>
            <w:tcMar>
              <w:top w:w="40" w:type="dxa"/>
              <w:left w:w="20" w:type="dxa"/>
              <w:bottom w:w="40" w:type="dxa"/>
              <w:right w:w="20" w:type="dxa"/>
            </w:tcMar>
          </w:tcPr>
          <w:p w14:paraId="19503ED0" w14:textId="77777777" w:rsidR="00BF3A3A" w:rsidRDefault="00A76802">
            <w:pPr>
              <w:jc w:val="center"/>
              <w:textAlignment w:val="top"/>
            </w:pPr>
            <w:r>
              <w:rPr>
                <w:rFonts w:ascii="sans-serif" w:eastAsia="sans-serif" w:hAnsi="sans-serif" w:cs="sans-serif"/>
                <w:color w:val="000000"/>
                <w:sz w:val="20"/>
                <w:szCs w:val="20"/>
              </w:rPr>
              <w:t>31.1*</w:t>
            </w:r>
          </w:p>
        </w:tc>
        <w:tc>
          <w:tcPr>
            <w:tcW w:w="0" w:type="auto"/>
            <w:gridSpan w:val="3"/>
            <w:shd w:val="clear" w:color="auto" w:fill="auto"/>
            <w:tcMar>
              <w:top w:w="0" w:type="dxa"/>
              <w:left w:w="20" w:type="dxa"/>
              <w:bottom w:w="0" w:type="dxa"/>
              <w:right w:w="20" w:type="dxa"/>
            </w:tcMar>
            <w:vAlign w:val="bottom"/>
          </w:tcPr>
          <w:p w14:paraId="19503ED1"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tcPr>
          <w:p w14:paraId="19503ED2" w14:textId="77777777" w:rsidR="00BF3A3A" w:rsidRDefault="00A76802">
            <w:pPr>
              <w:textAlignment w:val="top"/>
            </w:pPr>
            <w:hyperlink r:id="rId34" w:history="1">
              <w:r>
                <w:rPr>
                  <w:rStyle w:val="a5"/>
                  <w:rFonts w:ascii="sans-serif" w:eastAsia="sans-serif" w:hAnsi="sans-serif" w:cs="sans-serif"/>
                  <w:sz w:val="20"/>
                  <w:szCs w:val="20"/>
                </w:rPr>
                <w:t>Certification of Chief Executive Officer as required by Rule 13a-14(a) of the Securities Exchange Act of 1934</w:t>
              </w:r>
            </w:hyperlink>
          </w:p>
        </w:tc>
        <w:tc>
          <w:tcPr>
            <w:tcW w:w="0" w:type="auto"/>
            <w:gridSpan w:val="3"/>
            <w:shd w:val="clear" w:color="auto" w:fill="auto"/>
            <w:tcMar>
              <w:top w:w="0" w:type="dxa"/>
              <w:left w:w="20" w:type="dxa"/>
              <w:bottom w:w="0" w:type="dxa"/>
              <w:right w:w="20" w:type="dxa"/>
            </w:tcMar>
            <w:vAlign w:val="bottom"/>
          </w:tcPr>
          <w:p w14:paraId="19503ED3"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D4"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D5"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D6"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D7"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D8"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D9"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DA" w14:textId="77777777" w:rsidR="00BF3A3A" w:rsidRDefault="00BF3A3A">
            <w:pPr>
              <w:rPr>
                <w:rFonts w:ascii="宋体"/>
              </w:rPr>
            </w:pPr>
          </w:p>
        </w:tc>
      </w:tr>
      <w:tr w:rsidR="00BF3A3A" w14:paraId="19503EE7" w14:textId="77777777">
        <w:tc>
          <w:tcPr>
            <w:tcW w:w="0" w:type="auto"/>
            <w:gridSpan w:val="3"/>
            <w:shd w:val="clear" w:color="auto" w:fill="auto"/>
            <w:tcMar>
              <w:top w:w="40" w:type="dxa"/>
              <w:left w:w="20" w:type="dxa"/>
              <w:bottom w:w="40" w:type="dxa"/>
              <w:right w:w="20" w:type="dxa"/>
            </w:tcMar>
          </w:tcPr>
          <w:p w14:paraId="19503EDC" w14:textId="77777777" w:rsidR="00BF3A3A" w:rsidRDefault="00A76802">
            <w:pPr>
              <w:jc w:val="center"/>
              <w:textAlignment w:val="top"/>
            </w:pPr>
            <w:r>
              <w:rPr>
                <w:rFonts w:ascii="sans-serif" w:eastAsia="sans-serif" w:hAnsi="sans-serif" w:cs="sans-serif"/>
                <w:color w:val="000000"/>
                <w:sz w:val="20"/>
                <w:szCs w:val="20"/>
              </w:rPr>
              <w:t>31.2*</w:t>
            </w:r>
          </w:p>
        </w:tc>
        <w:tc>
          <w:tcPr>
            <w:tcW w:w="0" w:type="auto"/>
            <w:gridSpan w:val="3"/>
            <w:shd w:val="clear" w:color="auto" w:fill="auto"/>
            <w:tcMar>
              <w:top w:w="0" w:type="dxa"/>
              <w:left w:w="20" w:type="dxa"/>
              <w:bottom w:w="0" w:type="dxa"/>
              <w:right w:w="20" w:type="dxa"/>
            </w:tcMar>
            <w:vAlign w:val="bottom"/>
          </w:tcPr>
          <w:p w14:paraId="19503EDD"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tcPr>
          <w:p w14:paraId="19503EDE" w14:textId="77777777" w:rsidR="00BF3A3A" w:rsidRDefault="00A76802">
            <w:pPr>
              <w:textAlignment w:val="top"/>
            </w:pPr>
            <w:hyperlink r:id="rId35" w:history="1">
              <w:r>
                <w:rPr>
                  <w:rStyle w:val="a5"/>
                  <w:rFonts w:ascii="sans-serif" w:eastAsia="sans-serif" w:hAnsi="sans-serif" w:cs="sans-serif"/>
                  <w:sz w:val="20"/>
                  <w:szCs w:val="20"/>
                </w:rPr>
                <w:t>Certification of Chief Financial Officer as required by Rule 13a-14(a) of the Securities Exchange Act of 1934</w:t>
              </w:r>
            </w:hyperlink>
          </w:p>
        </w:tc>
        <w:tc>
          <w:tcPr>
            <w:tcW w:w="0" w:type="auto"/>
            <w:gridSpan w:val="3"/>
            <w:shd w:val="clear" w:color="auto" w:fill="auto"/>
            <w:tcMar>
              <w:top w:w="0" w:type="dxa"/>
              <w:left w:w="20" w:type="dxa"/>
              <w:bottom w:w="0" w:type="dxa"/>
              <w:right w:w="20" w:type="dxa"/>
            </w:tcMar>
            <w:vAlign w:val="bottom"/>
          </w:tcPr>
          <w:p w14:paraId="19503EDF"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E0"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E1"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E2"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E3"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E4"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E5"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E6" w14:textId="77777777" w:rsidR="00BF3A3A" w:rsidRDefault="00BF3A3A">
            <w:pPr>
              <w:rPr>
                <w:rFonts w:ascii="宋体"/>
              </w:rPr>
            </w:pPr>
          </w:p>
        </w:tc>
      </w:tr>
      <w:tr w:rsidR="00BF3A3A" w14:paraId="19503EF3" w14:textId="77777777">
        <w:tc>
          <w:tcPr>
            <w:tcW w:w="0" w:type="auto"/>
            <w:gridSpan w:val="3"/>
            <w:shd w:val="clear" w:color="auto" w:fill="auto"/>
            <w:tcMar>
              <w:top w:w="40" w:type="dxa"/>
              <w:left w:w="20" w:type="dxa"/>
              <w:bottom w:w="40" w:type="dxa"/>
              <w:right w:w="20" w:type="dxa"/>
            </w:tcMar>
          </w:tcPr>
          <w:p w14:paraId="19503EE8" w14:textId="77777777" w:rsidR="00BF3A3A" w:rsidRDefault="00A76802">
            <w:pPr>
              <w:jc w:val="center"/>
              <w:textAlignment w:val="top"/>
            </w:pPr>
            <w:r>
              <w:rPr>
                <w:rFonts w:ascii="sans-serif" w:eastAsia="sans-serif" w:hAnsi="sans-serif" w:cs="sans-serif"/>
                <w:color w:val="000000"/>
                <w:sz w:val="20"/>
                <w:szCs w:val="20"/>
              </w:rPr>
              <w:t>32.1#*</w:t>
            </w:r>
          </w:p>
        </w:tc>
        <w:tc>
          <w:tcPr>
            <w:tcW w:w="0" w:type="auto"/>
            <w:gridSpan w:val="3"/>
            <w:shd w:val="clear" w:color="auto" w:fill="auto"/>
            <w:tcMar>
              <w:top w:w="0" w:type="dxa"/>
              <w:left w:w="20" w:type="dxa"/>
              <w:bottom w:w="0" w:type="dxa"/>
              <w:right w:w="20" w:type="dxa"/>
            </w:tcMar>
            <w:vAlign w:val="bottom"/>
          </w:tcPr>
          <w:p w14:paraId="19503EE9"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tcPr>
          <w:p w14:paraId="19503EEA" w14:textId="77777777" w:rsidR="00BF3A3A" w:rsidRDefault="00A76802">
            <w:pPr>
              <w:textAlignment w:val="top"/>
            </w:pPr>
            <w:hyperlink r:id="rId36" w:history="1">
              <w:r>
                <w:rPr>
                  <w:rStyle w:val="a5"/>
                  <w:rFonts w:ascii="sans-serif" w:eastAsia="sans-serif" w:hAnsi="sans-serif" w:cs="sans-serif"/>
                  <w:sz w:val="20"/>
                  <w:szCs w:val="20"/>
                </w:rPr>
                <w:t>Certification of Chief Executive Officer as required by Rule 13a-14(b) of the Securities Exchange Act of 1934</w:t>
              </w:r>
            </w:hyperlink>
          </w:p>
        </w:tc>
        <w:tc>
          <w:tcPr>
            <w:tcW w:w="0" w:type="auto"/>
            <w:gridSpan w:val="3"/>
            <w:shd w:val="clear" w:color="auto" w:fill="auto"/>
            <w:tcMar>
              <w:top w:w="0" w:type="dxa"/>
              <w:left w:w="20" w:type="dxa"/>
              <w:bottom w:w="0" w:type="dxa"/>
              <w:right w:w="20" w:type="dxa"/>
            </w:tcMar>
            <w:vAlign w:val="bottom"/>
          </w:tcPr>
          <w:p w14:paraId="19503EEB"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EC"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ED"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EE"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EF"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F0"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F1"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F2" w14:textId="77777777" w:rsidR="00BF3A3A" w:rsidRDefault="00BF3A3A">
            <w:pPr>
              <w:rPr>
                <w:rFonts w:ascii="宋体"/>
              </w:rPr>
            </w:pPr>
          </w:p>
        </w:tc>
      </w:tr>
      <w:tr w:rsidR="00BF3A3A" w14:paraId="19503EFF" w14:textId="77777777">
        <w:tc>
          <w:tcPr>
            <w:tcW w:w="0" w:type="auto"/>
            <w:gridSpan w:val="3"/>
            <w:shd w:val="clear" w:color="auto" w:fill="auto"/>
            <w:tcMar>
              <w:top w:w="40" w:type="dxa"/>
              <w:left w:w="20" w:type="dxa"/>
              <w:bottom w:w="40" w:type="dxa"/>
              <w:right w:w="20" w:type="dxa"/>
            </w:tcMar>
          </w:tcPr>
          <w:p w14:paraId="19503EF4" w14:textId="77777777" w:rsidR="00BF3A3A" w:rsidRDefault="00A76802">
            <w:pPr>
              <w:jc w:val="center"/>
              <w:textAlignment w:val="top"/>
            </w:pPr>
            <w:r>
              <w:rPr>
                <w:rFonts w:ascii="sans-serif" w:eastAsia="sans-serif" w:hAnsi="sans-serif" w:cs="sans-serif"/>
                <w:color w:val="000000"/>
                <w:sz w:val="20"/>
                <w:szCs w:val="20"/>
              </w:rPr>
              <w:t>32.2#*</w:t>
            </w:r>
          </w:p>
        </w:tc>
        <w:tc>
          <w:tcPr>
            <w:tcW w:w="0" w:type="auto"/>
            <w:gridSpan w:val="3"/>
            <w:shd w:val="clear" w:color="auto" w:fill="auto"/>
            <w:tcMar>
              <w:top w:w="0" w:type="dxa"/>
              <w:left w:w="20" w:type="dxa"/>
              <w:bottom w:w="0" w:type="dxa"/>
              <w:right w:w="20" w:type="dxa"/>
            </w:tcMar>
            <w:vAlign w:val="bottom"/>
          </w:tcPr>
          <w:p w14:paraId="19503EF5"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tcPr>
          <w:p w14:paraId="19503EF6" w14:textId="77777777" w:rsidR="00BF3A3A" w:rsidRDefault="00A76802">
            <w:pPr>
              <w:textAlignment w:val="top"/>
            </w:pPr>
            <w:hyperlink r:id="rId37" w:history="1">
              <w:r>
                <w:rPr>
                  <w:rStyle w:val="a5"/>
                  <w:rFonts w:ascii="sans-serif" w:eastAsia="sans-serif" w:hAnsi="sans-serif" w:cs="sans-serif"/>
                  <w:sz w:val="20"/>
                  <w:szCs w:val="20"/>
                </w:rPr>
                <w:t>Certification of Chief Financial Officer as required by Rule 13a-14(b) of the Securities Exchange Act of 1934</w:t>
              </w:r>
            </w:hyperlink>
          </w:p>
        </w:tc>
        <w:tc>
          <w:tcPr>
            <w:tcW w:w="0" w:type="auto"/>
            <w:gridSpan w:val="3"/>
            <w:shd w:val="clear" w:color="auto" w:fill="auto"/>
            <w:tcMar>
              <w:top w:w="0" w:type="dxa"/>
              <w:left w:w="20" w:type="dxa"/>
              <w:bottom w:w="0" w:type="dxa"/>
              <w:right w:w="20" w:type="dxa"/>
            </w:tcMar>
            <w:vAlign w:val="bottom"/>
          </w:tcPr>
          <w:p w14:paraId="19503EF7"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F8"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F9"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FA"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FB"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FC"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FD"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EFE" w14:textId="77777777" w:rsidR="00BF3A3A" w:rsidRDefault="00BF3A3A">
            <w:pPr>
              <w:rPr>
                <w:rFonts w:ascii="宋体"/>
              </w:rPr>
            </w:pPr>
          </w:p>
        </w:tc>
      </w:tr>
      <w:tr w:rsidR="00BF3A3A" w14:paraId="19503F0B" w14:textId="77777777">
        <w:tc>
          <w:tcPr>
            <w:tcW w:w="0" w:type="auto"/>
            <w:gridSpan w:val="3"/>
            <w:shd w:val="clear" w:color="auto" w:fill="auto"/>
            <w:tcMar>
              <w:top w:w="40" w:type="dxa"/>
              <w:left w:w="20" w:type="dxa"/>
              <w:bottom w:w="40" w:type="dxa"/>
              <w:right w:w="20" w:type="dxa"/>
            </w:tcMar>
          </w:tcPr>
          <w:p w14:paraId="19503F00" w14:textId="77777777" w:rsidR="00BF3A3A" w:rsidRDefault="00A76802">
            <w:pPr>
              <w:jc w:val="center"/>
              <w:textAlignment w:val="top"/>
            </w:pPr>
            <w:r>
              <w:rPr>
                <w:rFonts w:ascii="sans-serif" w:eastAsia="sans-serif" w:hAnsi="sans-serif" w:cs="sans-serif"/>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19503F01"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tcPr>
          <w:p w14:paraId="19503F02" w14:textId="77777777" w:rsidR="00BF3A3A" w:rsidRDefault="00A76802">
            <w:pPr>
              <w:textAlignment w:val="top"/>
            </w:pPr>
            <w:r>
              <w:rPr>
                <w:rFonts w:ascii="sans-serif" w:eastAsia="sans-serif" w:hAnsi="sans-serif" w:cs="sans-serif"/>
                <w:color w:val="000000"/>
                <w:sz w:val="20"/>
                <w:szCs w:val="20"/>
              </w:rPr>
              <w:t xml:space="preserve">Inline XBRL </w:t>
            </w:r>
            <w:r>
              <w:rPr>
                <w:rFonts w:ascii="sans-serif" w:eastAsia="sans-serif" w:hAnsi="sans-serif" w:cs="sans-serif"/>
                <w:color w:val="000000"/>
                <w:sz w:val="20"/>
                <w:szCs w:val="20"/>
              </w:rPr>
              <w:t>Instance Document - the instance document does not appear in the Interactive Data File because its XBRL tags are embedded within the Inline XBRL document.</w:t>
            </w:r>
          </w:p>
        </w:tc>
        <w:tc>
          <w:tcPr>
            <w:tcW w:w="0" w:type="auto"/>
            <w:gridSpan w:val="3"/>
            <w:shd w:val="clear" w:color="auto" w:fill="auto"/>
            <w:tcMar>
              <w:top w:w="0" w:type="dxa"/>
              <w:left w:w="20" w:type="dxa"/>
              <w:bottom w:w="0" w:type="dxa"/>
              <w:right w:w="20" w:type="dxa"/>
            </w:tcMar>
            <w:vAlign w:val="bottom"/>
          </w:tcPr>
          <w:p w14:paraId="19503F03"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04"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05"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06"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07"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08"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09"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0A" w14:textId="77777777" w:rsidR="00BF3A3A" w:rsidRDefault="00BF3A3A">
            <w:pPr>
              <w:rPr>
                <w:rFonts w:ascii="宋体"/>
              </w:rPr>
            </w:pPr>
          </w:p>
        </w:tc>
      </w:tr>
      <w:tr w:rsidR="00BF3A3A" w14:paraId="19503F17" w14:textId="77777777">
        <w:tc>
          <w:tcPr>
            <w:tcW w:w="0" w:type="auto"/>
            <w:gridSpan w:val="3"/>
            <w:shd w:val="clear" w:color="auto" w:fill="auto"/>
            <w:tcMar>
              <w:top w:w="40" w:type="dxa"/>
              <w:left w:w="20" w:type="dxa"/>
              <w:bottom w:w="40" w:type="dxa"/>
              <w:right w:w="20" w:type="dxa"/>
            </w:tcMar>
          </w:tcPr>
          <w:p w14:paraId="19503F0C" w14:textId="77777777" w:rsidR="00BF3A3A" w:rsidRDefault="00A76802">
            <w:pPr>
              <w:jc w:val="center"/>
              <w:textAlignment w:val="top"/>
            </w:pPr>
            <w:r>
              <w:rPr>
                <w:rFonts w:ascii="sans-serif" w:eastAsia="sans-serif" w:hAnsi="sans-serif" w:cs="sans-serif"/>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19503F0D"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tcPr>
          <w:p w14:paraId="19503F0E" w14:textId="77777777" w:rsidR="00BF3A3A" w:rsidRDefault="00A76802">
            <w:pPr>
              <w:textAlignment w:val="top"/>
            </w:pPr>
            <w:r>
              <w:rPr>
                <w:rFonts w:ascii="sans-serif" w:eastAsia="sans-serif" w:hAnsi="sans-serif" w:cs="sans-serif"/>
                <w:color w:val="000000"/>
                <w:sz w:val="20"/>
                <w:szCs w:val="20"/>
              </w:rPr>
              <w:t>Inline XBRL Taxonomy Extension Schema Document</w:t>
            </w:r>
          </w:p>
        </w:tc>
        <w:tc>
          <w:tcPr>
            <w:tcW w:w="0" w:type="auto"/>
            <w:gridSpan w:val="3"/>
            <w:shd w:val="clear" w:color="auto" w:fill="auto"/>
            <w:tcMar>
              <w:top w:w="0" w:type="dxa"/>
              <w:left w:w="20" w:type="dxa"/>
              <w:bottom w:w="0" w:type="dxa"/>
              <w:right w:w="20" w:type="dxa"/>
            </w:tcMar>
            <w:vAlign w:val="bottom"/>
          </w:tcPr>
          <w:p w14:paraId="19503F0F"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10"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11"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12"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13"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14"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15"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16" w14:textId="77777777" w:rsidR="00BF3A3A" w:rsidRDefault="00BF3A3A">
            <w:pPr>
              <w:rPr>
                <w:rFonts w:ascii="宋体"/>
              </w:rPr>
            </w:pPr>
          </w:p>
        </w:tc>
      </w:tr>
      <w:tr w:rsidR="00BF3A3A" w14:paraId="19503F23" w14:textId="77777777">
        <w:tc>
          <w:tcPr>
            <w:tcW w:w="0" w:type="auto"/>
            <w:gridSpan w:val="3"/>
            <w:shd w:val="clear" w:color="auto" w:fill="auto"/>
            <w:tcMar>
              <w:top w:w="40" w:type="dxa"/>
              <w:left w:w="20" w:type="dxa"/>
              <w:bottom w:w="40" w:type="dxa"/>
              <w:right w:w="20" w:type="dxa"/>
            </w:tcMar>
          </w:tcPr>
          <w:p w14:paraId="19503F18" w14:textId="77777777" w:rsidR="00BF3A3A" w:rsidRDefault="00A76802">
            <w:pPr>
              <w:jc w:val="center"/>
              <w:textAlignment w:val="top"/>
            </w:pPr>
            <w:r>
              <w:rPr>
                <w:rFonts w:ascii="sans-serif" w:eastAsia="sans-serif" w:hAnsi="sans-serif" w:cs="sans-serif"/>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19503F19"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tcPr>
          <w:p w14:paraId="19503F1A" w14:textId="77777777" w:rsidR="00BF3A3A" w:rsidRDefault="00A76802">
            <w:pPr>
              <w:textAlignment w:val="top"/>
            </w:pPr>
            <w:r>
              <w:rPr>
                <w:rFonts w:ascii="sans-serif" w:eastAsia="sans-serif" w:hAnsi="sans-serif" w:cs="sans-serif"/>
                <w:color w:val="000000"/>
                <w:sz w:val="20"/>
                <w:szCs w:val="20"/>
              </w:rPr>
              <w:t xml:space="preserve">Inline XBRL </w:t>
            </w:r>
            <w:r>
              <w:rPr>
                <w:rFonts w:ascii="sans-serif" w:eastAsia="sans-serif" w:hAnsi="sans-serif" w:cs="sans-serif"/>
                <w:color w:val="000000"/>
                <w:sz w:val="20"/>
                <w:szCs w:val="20"/>
              </w:rPr>
              <w:t>Taxonomy Extension Calculation Linkbase Document</w:t>
            </w:r>
          </w:p>
        </w:tc>
        <w:tc>
          <w:tcPr>
            <w:tcW w:w="0" w:type="auto"/>
            <w:gridSpan w:val="3"/>
            <w:shd w:val="clear" w:color="auto" w:fill="auto"/>
            <w:tcMar>
              <w:top w:w="0" w:type="dxa"/>
              <w:left w:w="20" w:type="dxa"/>
              <w:bottom w:w="0" w:type="dxa"/>
              <w:right w:w="20" w:type="dxa"/>
            </w:tcMar>
            <w:vAlign w:val="bottom"/>
          </w:tcPr>
          <w:p w14:paraId="19503F1B"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1C"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1D"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1E"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1F"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20"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21"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22" w14:textId="77777777" w:rsidR="00BF3A3A" w:rsidRDefault="00BF3A3A">
            <w:pPr>
              <w:rPr>
                <w:rFonts w:ascii="宋体"/>
              </w:rPr>
            </w:pPr>
          </w:p>
        </w:tc>
      </w:tr>
      <w:tr w:rsidR="00BF3A3A" w14:paraId="19503F2F" w14:textId="77777777">
        <w:tc>
          <w:tcPr>
            <w:tcW w:w="0" w:type="auto"/>
            <w:gridSpan w:val="3"/>
            <w:shd w:val="clear" w:color="auto" w:fill="auto"/>
            <w:tcMar>
              <w:top w:w="40" w:type="dxa"/>
              <w:left w:w="20" w:type="dxa"/>
              <w:bottom w:w="40" w:type="dxa"/>
              <w:right w:w="20" w:type="dxa"/>
            </w:tcMar>
          </w:tcPr>
          <w:p w14:paraId="19503F24" w14:textId="77777777" w:rsidR="00BF3A3A" w:rsidRDefault="00A76802">
            <w:pPr>
              <w:jc w:val="center"/>
              <w:textAlignment w:val="top"/>
            </w:pPr>
            <w:r>
              <w:rPr>
                <w:rFonts w:ascii="sans-serif" w:eastAsia="sans-serif" w:hAnsi="sans-serif" w:cs="sans-serif"/>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19503F25"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tcPr>
          <w:p w14:paraId="19503F26" w14:textId="77777777" w:rsidR="00BF3A3A" w:rsidRDefault="00A76802">
            <w:pPr>
              <w:textAlignment w:val="top"/>
            </w:pPr>
            <w:r>
              <w:rPr>
                <w:rFonts w:ascii="sans-serif" w:eastAsia="sans-serif" w:hAnsi="sans-serif" w:cs="sans-serif"/>
                <w:color w:val="000000"/>
                <w:sz w:val="20"/>
                <w:szCs w:val="20"/>
              </w:rPr>
              <w:t>Inline XBRL Taxonomy Extension Definition Linkbase Document</w:t>
            </w:r>
          </w:p>
        </w:tc>
        <w:tc>
          <w:tcPr>
            <w:tcW w:w="0" w:type="auto"/>
            <w:gridSpan w:val="3"/>
            <w:shd w:val="clear" w:color="auto" w:fill="auto"/>
            <w:tcMar>
              <w:top w:w="0" w:type="dxa"/>
              <w:left w:w="20" w:type="dxa"/>
              <w:bottom w:w="0" w:type="dxa"/>
              <w:right w:w="20" w:type="dxa"/>
            </w:tcMar>
            <w:vAlign w:val="bottom"/>
          </w:tcPr>
          <w:p w14:paraId="19503F27"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28"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29"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2A"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2B"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2C"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2D"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2E" w14:textId="77777777" w:rsidR="00BF3A3A" w:rsidRDefault="00BF3A3A">
            <w:pPr>
              <w:rPr>
                <w:rFonts w:ascii="宋体"/>
              </w:rPr>
            </w:pPr>
          </w:p>
        </w:tc>
      </w:tr>
      <w:tr w:rsidR="00BF3A3A" w14:paraId="19503F3B" w14:textId="77777777">
        <w:tc>
          <w:tcPr>
            <w:tcW w:w="0" w:type="auto"/>
            <w:gridSpan w:val="3"/>
            <w:shd w:val="clear" w:color="auto" w:fill="auto"/>
            <w:tcMar>
              <w:top w:w="40" w:type="dxa"/>
              <w:left w:w="20" w:type="dxa"/>
              <w:bottom w:w="40" w:type="dxa"/>
              <w:right w:w="20" w:type="dxa"/>
            </w:tcMar>
          </w:tcPr>
          <w:p w14:paraId="19503F30" w14:textId="77777777" w:rsidR="00BF3A3A" w:rsidRDefault="00A76802">
            <w:pPr>
              <w:jc w:val="center"/>
              <w:textAlignment w:val="top"/>
            </w:pPr>
            <w:r>
              <w:rPr>
                <w:rFonts w:ascii="sans-serif" w:eastAsia="sans-serif" w:hAnsi="sans-serif" w:cs="sans-serif"/>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19503F31"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tcPr>
          <w:p w14:paraId="19503F32" w14:textId="77777777" w:rsidR="00BF3A3A" w:rsidRDefault="00A76802">
            <w:pPr>
              <w:textAlignment w:val="top"/>
            </w:pPr>
            <w:r>
              <w:rPr>
                <w:rFonts w:ascii="sans-serif" w:eastAsia="sans-serif" w:hAnsi="sans-serif" w:cs="sans-serif"/>
                <w:color w:val="000000"/>
                <w:sz w:val="20"/>
                <w:szCs w:val="20"/>
              </w:rPr>
              <w:t>Inline XBRL Taxonomy Extension Labels Linkbase Document</w:t>
            </w:r>
          </w:p>
        </w:tc>
        <w:tc>
          <w:tcPr>
            <w:tcW w:w="0" w:type="auto"/>
            <w:gridSpan w:val="3"/>
            <w:shd w:val="clear" w:color="auto" w:fill="auto"/>
            <w:tcMar>
              <w:top w:w="0" w:type="dxa"/>
              <w:left w:w="20" w:type="dxa"/>
              <w:bottom w:w="0" w:type="dxa"/>
              <w:right w:w="20" w:type="dxa"/>
            </w:tcMar>
            <w:vAlign w:val="bottom"/>
          </w:tcPr>
          <w:p w14:paraId="19503F33"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34"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35"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36"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37"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38"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39"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3A" w14:textId="77777777" w:rsidR="00BF3A3A" w:rsidRDefault="00BF3A3A">
            <w:pPr>
              <w:rPr>
                <w:rFonts w:ascii="宋体"/>
              </w:rPr>
            </w:pPr>
          </w:p>
        </w:tc>
      </w:tr>
      <w:tr w:rsidR="00BF3A3A" w14:paraId="19503F47" w14:textId="77777777">
        <w:tc>
          <w:tcPr>
            <w:tcW w:w="0" w:type="auto"/>
            <w:gridSpan w:val="3"/>
            <w:shd w:val="clear" w:color="auto" w:fill="auto"/>
            <w:tcMar>
              <w:top w:w="40" w:type="dxa"/>
              <w:left w:w="20" w:type="dxa"/>
              <w:bottom w:w="40" w:type="dxa"/>
              <w:right w:w="20" w:type="dxa"/>
            </w:tcMar>
          </w:tcPr>
          <w:p w14:paraId="19503F3C" w14:textId="77777777" w:rsidR="00BF3A3A" w:rsidRDefault="00A76802">
            <w:pPr>
              <w:jc w:val="center"/>
              <w:textAlignment w:val="top"/>
            </w:pPr>
            <w:r>
              <w:rPr>
                <w:rFonts w:ascii="sans-serif" w:eastAsia="sans-serif" w:hAnsi="sans-serif" w:cs="sans-serif"/>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19503F3D"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tcPr>
          <w:p w14:paraId="19503F3E" w14:textId="77777777" w:rsidR="00BF3A3A" w:rsidRDefault="00A76802">
            <w:pPr>
              <w:textAlignment w:val="top"/>
            </w:pPr>
            <w:r>
              <w:rPr>
                <w:rFonts w:ascii="sans-serif" w:eastAsia="sans-serif" w:hAnsi="sans-serif" w:cs="sans-serif"/>
                <w:color w:val="000000"/>
                <w:sz w:val="20"/>
                <w:szCs w:val="20"/>
              </w:rPr>
              <w:t xml:space="preserve">Inline XBRL Taxonomy </w:t>
            </w:r>
            <w:r>
              <w:rPr>
                <w:rFonts w:ascii="sans-serif" w:eastAsia="sans-serif" w:hAnsi="sans-serif" w:cs="sans-serif"/>
                <w:color w:val="000000"/>
                <w:sz w:val="20"/>
                <w:szCs w:val="20"/>
              </w:rPr>
              <w:t>Extension Presentation Linkbase Document</w:t>
            </w:r>
          </w:p>
        </w:tc>
        <w:tc>
          <w:tcPr>
            <w:tcW w:w="0" w:type="auto"/>
            <w:gridSpan w:val="3"/>
            <w:shd w:val="clear" w:color="auto" w:fill="auto"/>
            <w:tcMar>
              <w:top w:w="0" w:type="dxa"/>
              <w:left w:w="20" w:type="dxa"/>
              <w:bottom w:w="0" w:type="dxa"/>
              <w:right w:w="20" w:type="dxa"/>
            </w:tcMar>
            <w:vAlign w:val="bottom"/>
          </w:tcPr>
          <w:p w14:paraId="19503F3F"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40"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41"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42"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43"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44"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45"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46" w14:textId="77777777" w:rsidR="00BF3A3A" w:rsidRDefault="00BF3A3A">
            <w:pPr>
              <w:rPr>
                <w:rFonts w:ascii="宋体"/>
              </w:rPr>
            </w:pPr>
          </w:p>
        </w:tc>
      </w:tr>
      <w:tr w:rsidR="00BF3A3A" w14:paraId="19503F53" w14:textId="77777777">
        <w:tc>
          <w:tcPr>
            <w:tcW w:w="0" w:type="auto"/>
            <w:gridSpan w:val="3"/>
            <w:shd w:val="clear" w:color="auto" w:fill="auto"/>
            <w:tcMar>
              <w:top w:w="40" w:type="dxa"/>
              <w:left w:w="20" w:type="dxa"/>
              <w:bottom w:w="40" w:type="dxa"/>
              <w:right w:w="20" w:type="dxa"/>
            </w:tcMar>
          </w:tcPr>
          <w:p w14:paraId="19503F48" w14:textId="77777777" w:rsidR="00BF3A3A" w:rsidRDefault="00A76802">
            <w:pPr>
              <w:jc w:val="center"/>
              <w:textAlignment w:val="top"/>
            </w:pPr>
            <w:r>
              <w:rPr>
                <w:rFonts w:ascii="sans-serif" w:eastAsia="sans-serif" w:hAnsi="sans-serif" w:cs="sans-serif"/>
                <w:color w:val="000000"/>
                <w:sz w:val="20"/>
                <w:szCs w:val="20"/>
              </w:rPr>
              <w:t>104</w:t>
            </w:r>
          </w:p>
        </w:tc>
        <w:tc>
          <w:tcPr>
            <w:tcW w:w="0" w:type="auto"/>
            <w:gridSpan w:val="3"/>
            <w:shd w:val="clear" w:color="auto" w:fill="auto"/>
            <w:tcMar>
              <w:top w:w="0" w:type="dxa"/>
              <w:left w:w="20" w:type="dxa"/>
              <w:bottom w:w="0" w:type="dxa"/>
              <w:right w:w="20" w:type="dxa"/>
            </w:tcMar>
            <w:vAlign w:val="bottom"/>
          </w:tcPr>
          <w:p w14:paraId="19503F49" w14:textId="77777777" w:rsidR="00BF3A3A" w:rsidRDefault="00BF3A3A">
            <w:pPr>
              <w:rPr>
                <w:rFonts w:ascii="宋体"/>
              </w:rPr>
            </w:pPr>
          </w:p>
        </w:tc>
        <w:tc>
          <w:tcPr>
            <w:tcW w:w="0" w:type="auto"/>
            <w:gridSpan w:val="3"/>
            <w:shd w:val="clear" w:color="auto" w:fill="auto"/>
            <w:tcMar>
              <w:top w:w="40" w:type="dxa"/>
              <w:left w:w="20" w:type="dxa"/>
              <w:bottom w:w="40" w:type="dxa"/>
              <w:right w:w="20" w:type="dxa"/>
            </w:tcMar>
          </w:tcPr>
          <w:p w14:paraId="19503F4A" w14:textId="77777777" w:rsidR="00BF3A3A" w:rsidRDefault="00A76802">
            <w:pPr>
              <w:textAlignment w:val="top"/>
            </w:pPr>
            <w:r>
              <w:rPr>
                <w:rFonts w:ascii="sans-serif" w:eastAsia="sans-serif" w:hAnsi="sans-serif" w:cs="sans-serif"/>
                <w:color w:val="000000"/>
                <w:sz w:val="20"/>
                <w:szCs w:val="20"/>
              </w:rPr>
              <w:t>Cover Page Interactive Data File - the cover page interactive data file does not appear in the Interactive Data File because its XBRL tags are embedded within the Inline XBRL document.</w:t>
            </w:r>
          </w:p>
        </w:tc>
        <w:tc>
          <w:tcPr>
            <w:tcW w:w="0" w:type="auto"/>
            <w:gridSpan w:val="3"/>
            <w:shd w:val="clear" w:color="auto" w:fill="auto"/>
            <w:tcMar>
              <w:top w:w="0" w:type="dxa"/>
              <w:left w:w="20" w:type="dxa"/>
              <w:bottom w:w="0" w:type="dxa"/>
              <w:right w:w="20" w:type="dxa"/>
            </w:tcMar>
            <w:vAlign w:val="bottom"/>
          </w:tcPr>
          <w:p w14:paraId="19503F4B"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4C"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4D"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4E"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4F"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50"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51" w14:textId="77777777" w:rsidR="00BF3A3A" w:rsidRDefault="00BF3A3A">
            <w:pPr>
              <w:rPr>
                <w:rFonts w:ascii="宋体"/>
              </w:rPr>
            </w:pPr>
          </w:p>
        </w:tc>
        <w:tc>
          <w:tcPr>
            <w:tcW w:w="0" w:type="auto"/>
            <w:gridSpan w:val="3"/>
            <w:shd w:val="clear" w:color="auto" w:fill="auto"/>
            <w:tcMar>
              <w:top w:w="0" w:type="dxa"/>
              <w:left w:w="20" w:type="dxa"/>
              <w:bottom w:w="0" w:type="dxa"/>
              <w:right w:w="20" w:type="dxa"/>
            </w:tcMar>
            <w:vAlign w:val="bottom"/>
          </w:tcPr>
          <w:p w14:paraId="19503F52" w14:textId="77777777" w:rsidR="00BF3A3A" w:rsidRDefault="00BF3A3A">
            <w:pPr>
              <w:rPr>
                <w:rFonts w:ascii="宋体"/>
              </w:rPr>
            </w:pPr>
          </w:p>
        </w:tc>
      </w:tr>
    </w:tbl>
    <w:p w14:paraId="19503F54" w14:textId="77777777" w:rsidR="00BF3A3A" w:rsidRDefault="00A76802">
      <w:pPr>
        <w:spacing w:after="180"/>
        <w:jc w:val="both"/>
      </w:pPr>
      <w:r>
        <w:rPr>
          <w:rFonts w:ascii="sans-serif" w:eastAsia="sans-serif" w:hAnsi="sans-serif" w:cs="sans-serif"/>
          <w:color w:val="000000"/>
          <w:sz w:val="20"/>
          <w:szCs w:val="20"/>
        </w:rPr>
        <w:t xml:space="preserve">+ </w:t>
      </w:r>
      <w:r>
        <w:rPr>
          <w:rFonts w:ascii="sans-serif" w:eastAsia="sans-serif" w:hAnsi="sans-serif" w:cs="sans-serif"/>
          <w:color w:val="000000"/>
          <w:sz w:val="20"/>
          <w:szCs w:val="20"/>
        </w:rPr>
        <w:t>Management contract or compensatory plan or arrangement.</w:t>
      </w:r>
    </w:p>
    <w:p w14:paraId="19503F55" w14:textId="77777777" w:rsidR="00BF3A3A" w:rsidRDefault="00A76802">
      <w:pPr>
        <w:spacing w:after="180"/>
        <w:jc w:val="both"/>
      </w:pPr>
      <w:r>
        <w:rPr>
          <w:rFonts w:ascii="sans-serif" w:eastAsia="sans-serif" w:hAnsi="sans-serif" w:cs="sans-serif"/>
          <w:color w:val="000000"/>
          <w:sz w:val="20"/>
          <w:szCs w:val="20"/>
        </w:rPr>
        <w:t>* Filed herewith.</w:t>
      </w:r>
    </w:p>
    <w:p w14:paraId="19503F56" w14:textId="77777777" w:rsidR="00BF3A3A" w:rsidRDefault="00A76802">
      <w:pPr>
        <w:spacing w:after="180"/>
        <w:jc w:val="both"/>
      </w:pPr>
      <w:r>
        <w:rPr>
          <w:rFonts w:ascii="sans-serif" w:eastAsia="sans-serif" w:hAnsi="sans-serif" w:cs="sans-serif"/>
          <w:color w:val="000000"/>
          <w:sz w:val="20"/>
          <w:szCs w:val="20"/>
        </w:rPr>
        <w:t># In accordance with Item 601(b)(32)(ii) of Regulation S-K and SEC Release Nos. 33-8238 and 34-47986, Final Rule: Management's Reports on Internal Control Over Financial Reporting a</w:t>
      </w:r>
      <w:r>
        <w:rPr>
          <w:rFonts w:ascii="sans-serif" w:eastAsia="sans-serif" w:hAnsi="sans-serif" w:cs="sans-serif"/>
          <w:color w:val="000000"/>
          <w:sz w:val="20"/>
          <w:szCs w:val="20"/>
        </w:rPr>
        <w:t>nd Certification of Disclosure in Exchange Act Periodic Reports, the certifications furnished in Exhibits 32.1 and 32.2 hereto are deemed to accompany this Quarterly Report on Form 10-Q and will not be deemed “filed” for purpose of Section 18 of the Exchan</w:t>
      </w:r>
      <w:r>
        <w:rPr>
          <w:rFonts w:ascii="sans-serif" w:eastAsia="sans-serif" w:hAnsi="sans-serif" w:cs="sans-serif"/>
          <w:color w:val="000000"/>
          <w:sz w:val="20"/>
          <w:szCs w:val="20"/>
        </w:rPr>
        <w:t>ge Act. Such certifications will not be deemed to be incorporated by reference into any filing under the Securities Act or the Exchange Act, except to the extent that the registrant specifically incorporates it by reference.</w:t>
      </w:r>
    </w:p>
    <w:p w14:paraId="19503F57" w14:textId="77777777" w:rsidR="00BF3A3A" w:rsidRDefault="00A76802">
      <w:pPr>
        <w:spacing w:after="180"/>
        <w:jc w:val="both"/>
      </w:pPr>
      <w:r>
        <w:rPr>
          <w:rFonts w:ascii="sans-serif" w:eastAsia="sans-serif" w:hAnsi="sans-serif" w:cs="sans-serif"/>
          <w:color w:val="000000"/>
          <w:sz w:val="20"/>
          <w:szCs w:val="20"/>
        </w:rPr>
        <w:t>Copies of above exhibits not co</w:t>
      </w:r>
      <w:r>
        <w:rPr>
          <w:rFonts w:ascii="sans-serif" w:eastAsia="sans-serif" w:hAnsi="sans-serif" w:cs="sans-serif"/>
          <w:color w:val="000000"/>
          <w:sz w:val="20"/>
          <w:szCs w:val="20"/>
        </w:rPr>
        <w:t>ntained herein are available to any shareholder upon written request to:</w:t>
      </w:r>
    </w:p>
    <w:p w14:paraId="19503F58" w14:textId="77777777" w:rsidR="00BF3A3A" w:rsidRDefault="00A76802">
      <w:pPr>
        <w:spacing w:after="180"/>
        <w:jc w:val="both"/>
      </w:pPr>
      <w:r>
        <w:rPr>
          <w:rFonts w:ascii="sans-serif" w:eastAsia="sans-serif" w:hAnsi="sans-serif" w:cs="sans-serif"/>
          <w:color w:val="000000"/>
          <w:sz w:val="20"/>
          <w:szCs w:val="20"/>
        </w:rPr>
        <w:t>Investor Relations: NVIDIA Corporation, 2788 San Tomas Expressway, Santa Clara, CA 95051.</w:t>
      </w:r>
    </w:p>
    <w:p w14:paraId="19503F59" w14:textId="77777777" w:rsidR="00BF3A3A" w:rsidRDefault="00A76802">
      <w:pPr>
        <w:spacing w:after="180"/>
        <w:jc w:val="center"/>
      </w:pPr>
      <w:r>
        <w:rPr>
          <w:rFonts w:ascii="sans-serif" w:eastAsia="sans-serif" w:hAnsi="sans-serif" w:cs="sans-serif"/>
          <w:color w:val="000000"/>
          <w:sz w:val="20"/>
          <w:szCs w:val="20"/>
        </w:rPr>
        <w:t>46</w:t>
      </w:r>
    </w:p>
    <w:p w14:paraId="19503F5A" w14:textId="77777777" w:rsidR="00BF3A3A" w:rsidRDefault="00A76802">
      <w:r>
        <w:pict w14:anchorId="19503FF3">
          <v:rect id="_x0000_i1070" style="width:415.3pt;height:1.5pt" o:hralign="center" o:hrstd="t" o:hr="t" fillcolor="#a0a0a0" stroked="f"/>
        </w:pict>
      </w:r>
    </w:p>
    <w:p w14:paraId="19503F5B" w14:textId="77777777" w:rsidR="00BF3A3A" w:rsidRDefault="00BF3A3A">
      <w:pPr>
        <w:spacing w:after="180"/>
        <w:jc w:val="both"/>
      </w:pPr>
    </w:p>
    <w:p w14:paraId="19503F5C" w14:textId="77777777" w:rsidR="00BF3A3A" w:rsidRDefault="00BF3A3A">
      <w:pPr>
        <w:spacing w:after="180"/>
        <w:jc w:val="both"/>
      </w:pPr>
    </w:p>
    <w:p w14:paraId="19503F5D" w14:textId="77777777" w:rsidR="00BF3A3A" w:rsidRDefault="00BF3A3A">
      <w:pPr>
        <w:spacing w:after="180"/>
        <w:jc w:val="both"/>
      </w:pPr>
    </w:p>
    <w:p w14:paraId="19503F5E" w14:textId="77777777" w:rsidR="00BF3A3A" w:rsidRDefault="00A76802">
      <w:pPr>
        <w:spacing w:after="180"/>
        <w:jc w:val="center"/>
      </w:pPr>
      <w:r>
        <w:rPr>
          <w:rFonts w:ascii="sans-serif" w:eastAsia="sans-serif" w:hAnsi="sans-serif" w:cs="sans-serif"/>
          <w:b/>
          <w:bCs/>
          <w:color w:val="000000"/>
          <w:sz w:val="20"/>
          <w:szCs w:val="20"/>
        </w:rPr>
        <w:t>SIGNATURE</w:t>
      </w:r>
    </w:p>
    <w:p w14:paraId="19503F5F" w14:textId="77777777" w:rsidR="00BF3A3A" w:rsidRDefault="00A76802">
      <w:pPr>
        <w:spacing w:after="180"/>
        <w:jc w:val="both"/>
      </w:pPr>
      <w:r>
        <w:rPr>
          <w:rFonts w:ascii="sans-serif" w:eastAsia="sans-serif" w:hAnsi="sans-serif" w:cs="sans-serif"/>
          <w:color w:val="000000"/>
          <w:sz w:val="20"/>
          <w:szCs w:val="20"/>
        </w:rPr>
        <w:t xml:space="preserve">Pursuant to the requirements of the Securities Exchange Act of 1934, the </w:t>
      </w:r>
      <w:r>
        <w:rPr>
          <w:rFonts w:ascii="sans-serif" w:eastAsia="sans-serif" w:hAnsi="sans-serif" w:cs="sans-serif"/>
          <w:color w:val="000000"/>
          <w:sz w:val="20"/>
          <w:szCs w:val="20"/>
        </w:rPr>
        <w:t>registrant has duly caused this report to be signed on its behalf by the undersigned thereunto duly authorized.</w:t>
      </w:r>
    </w:p>
    <w:p w14:paraId="19503F60" w14:textId="77777777" w:rsidR="00BF3A3A" w:rsidRDefault="00A76802">
      <w:pPr>
        <w:spacing w:after="180"/>
        <w:jc w:val="both"/>
      </w:pPr>
      <w:r>
        <w:rPr>
          <w:rFonts w:ascii="sans-serif" w:eastAsia="sans-serif" w:hAnsi="sans-serif" w:cs="sans-serif"/>
          <w:color w:val="000000"/>
          <w:sz w:val="20"/>
          <w:szCs w:val="20"/>
        </w:rPr>
        <w:t xml:space="preserve">Date: August 31, 2022 </w:t>
      </w:r>
    </w:p>
    <w:tbl>
      <w:tblPr>
        <w:tblW w:w="5000" w:type="pct"/>
        <w:tblCellMar>
          <w:top w:w="15" w:type="dxa"/>
          <w:left w:w="15" w:type="dxa"/>
          <w:bottom w:w="15" w:type="dxa"/>
          <w:right w:w="15" w:type="dxa"/>
        </w:tblCellMar>
        <w:tblLook w:val="04A0" w:firstRow="1" w:lastRow="0" w:firstColumn="1" w:lastColumn="0" w:noHBand="0" w:noVBand="1"/>
      </w:tblPr>
      <w:tblGrid>
        <w:gridCol w:w="69"/>
        <w:gridCol w:w="3472"/>
        <w:gridCol w:w="36"/>
        <w:gridCol w:w="69"/>
        <w:gridCol w:w="1480"/>
        <w:gridCol w:w="37"/>
        <w:gridCol w:w="69"/>
        <w:gridCol w:w="1481"/>
        <w:gridCol w:w="36"/>
        <w:gridCol w:w="70"/>
        <w:gridCol w:w="1481"/>
        <w:gridCol w:w="36"/>
      </w:tblGrid>
      <w:tr w:rsidR="00BF3A3A" w14:paraId="19503F6D" w14:textId="77777777">
        <w:tc>
          <w:tcPr>
            <w:tcW w:w="50" w:type="pct"/>
            <w:shd w:val="clear" w:color="auto" w:fill="auto"/>
            <w:vAlign w:val="bottom"/>
          </w:tcPr>
          <w:p w14:paraId="19503F61" w14:textId="77777777" w:rsidR="00BF3A3A" w:rsidRDefault="00BF3A3A">
            <w:pPr>
              <w:rPr>
                <w:rFonts w:ascii="宋体"/>
              </w:rPr>
            </w:pPr>
          </w:p>
        </w:tc>
        <w:tc>
          <w:tcPr>
            <w:tcW w:w="2090" w:type="pct"/>
            <w:shd w:val="clear" w:color="auto" w:fill="auto"/>
            <w:vAlign w:val="bottom"/>
          </w:tcPr>
          <w:p w14:paraId="19503F62" w14:textId="77777777" w:rsidR="00BF3A3A" w:rsidRDefault="00BF3A3A">
            <w:pPr>
              <w:rPr>
                <w:rFonts w:ascii="宋体"/>
              </w:rPr>
            </w:pPr>
          </w:p>
        </w:tc>
        <w:tc>
          <w:tcPr>
            <w:tcW w:w="5" w:type="pct"/>
            <w:shd w:val="clear" w:color="auto" w:fill="auto"/>
            <w:vAlign w:val="bottom"/>
          </w:tcPr>
          <w:p w14:paraId="19503F63" w14:textId="77777777" w:rsidR="00BF3A3A" w:rsidRDefault="00BF3A3A">
            <w:pPr>
              <w:rPr>
                <w:rFonts w:ascii="宋体"/>
              </w:rPr>
            </w:pPr>
          </w:p>
        </w:tc>
        <w:tc>
          <w:tcPr>
            <w:tcW w:w="50" w:type="pct"/>
            <w:shd w:val="clear" w:color="auto" w:fill="auto"/>
            <w:vAlign w:val="bottom"/>
          </w:tcPr>
          <w:p w14:paraId="19503F64" w14:textId="77777777" w:rsidR="00BF3A3A" w:rsidRDefault="00BF3A3A">
            <w:pPr>
              <w:rPr>
                <w:rFonts w:ascii="宋体"/>
              </w:rPr>
            </w:pPr>
          </w:p>
        </w:tc>
        <w:tc>
          <w:tcPr>
            <w:tcW w:w="896" w:type="pct"/>
            <w:shd w:val="clear" w:color="auto" w:fill="auto"/>
            <w:vAlign w:val="bottom"/>
          </w:tcPr>
          <w:p w14:paraId="19503F65" w14:textId="77777777" w:rsidR="00BF3A3A" w:rsidRDefault="00BF3A3A">
            <w:pPr>
              <w:rPr>
                <w:rFonts w:ascii="宋体"/>
              </w:rPr>
            </w:pPr>
          </w:p>
        </w:tc>
        <w:tc>
          <w:tcPr>
            <w:tcW w:w="5" w:type="pct"/>
            <w:shd w:val="clear" w:color="auto" w:fill="auto"/>
            <w:vAlign w:val="bottom"/>
          </w:tcPr>
          <w:p w14:paraId="19503F66" w14:textId="77777777" w:rsidR="00BF3A3A" w:rsidRDefault="00BF3A3A">
            <w:pPr>
              <w:rPr>
                <w:rFonts w:ascii="宋体"/>
              </w:rPr>
            </w:pPr>
          </w:p>
        </w:tc>
        <w:tc>
          <w:tcPr>
            <w:tcW w:w="50" w:type="pct"/>
            <w:shd w:val="clear" w:color="auto" w:fill="auto"/>
            <w:vAlign w:val="bottom"/>
          </w:tcPr>
          <w:p w14:paraId="19503F67" w14:textId="77777777" w:rsidR="00BF3A3A" w:rsidRDefault="00BF3A3A">
            <w:pPr>
              <w:rPr>
                <w:rFonts w:ascii="宋体"/>
              </w:rPr>
            </w:pPr>
          </w:p>
        </w:tc>
        <w:tc>
          <w:tcPr>
            <w:tcW w:w="896" w:type="pct"/>
            <w:shd w:val="clear" w:color="auto" w:fill="auto"/>
            <w:vAlign w:val="bottom"/>
          </w:tcPr>
          <w:p w14:paraId="19503F68" w14:textId="77777777" w:rsidR="00BF3A3A" w:rsidRDefault="00BF3A3A">
            <w:pPr>
              <w:rPr>
                <w:rFonts w:ascii="宋体"/>
              </w:rPr>
            </w:pPr>
          </w:p>
        </w:tc>
        <w:tc>
          <w:tcPr>
            <w:tcW w:w="5" w:type="pct"/>
            <w:shd w:val="clear" w:color="auto" w:fill="auto"/>
            <w:vAlign w:val="bottom"/>
          </w:tcPr>
          <w:p w14:paraId="19503F69" w14:textId="77777777" w:rsidR="00BF3A3A" w:rsidRDefault="00BF3A3A">
            <w:pPr>
              <w:rPr>
                <w:rFonts w:ascii="宋体"/>
              </w:rPr>
            </w:pPr>
          </w:p>
        </w:tc>
        <w:tc>
          <w:tcPr>
            <w:tcW w:w="50" w:type="pct"/>
            <w:shd w:val="clear" w:color="auto" w:fill="auto"/>
            <w:vAlign w:val="bottom"/>
          </w:tcPr>
          <w:p w14:paraId="19503F6A" w14:textId="77777777" w:rsidR="00BF3A3A" w:rsidRDefault="00BF3A3A">
            <w:pPr>
              <w:rPr>
                <w:rFonts w:ascii="宋体"/>
              </w:rPr>
            </w:pPr>
          </w:p>
        </w:tc>
        <w:tc>
          <w:tcPr>
            <w:tcW w:w="896" w:type="pct"/>
            <w:shd w:val="clear" w:color="auto" w:fill="auto"/>
            <w:vAlign w:val="bottom"/>
          </w:tcPr>
          <w:p w14:paraId="19503F6B" w14:textId="77777777" w:rsidR="00BF3A3A" w:rsidRDefault="00BF3A3A">
            <w:pPr>
              <w:rPr>
                <w:rFonts w:ascii="宋体"/>
              </w:rPr>
            </w:pPr>
          </w:p>
        </w:tc>
        <w:tc>
          <w:tcPr>
            <w:tcW w:w="5" w:type="pct"/>
            <w:shd w:val="clear" w:color="auto" w:fill="auto"/>
            <w:vAlign w:val="bottom"/>
          </w:tcPr>
          <w:p w14:paraId="19503F6C" w14:textId="77777777" w:rsidR="00BF3A3A" w:rsidRDefault="00BF3A3A">
            <w:pPr>
              <w:rPr>
                <w:rFonts w:ascii="宋体"/>
              </w:rPr>
            </w:pPr>
          </w:p>
        </w:tc>
      </w:tr>
      <w:tr w:rsidR="00BF3A3A" w14:paraId="19503F70" w14:textId="77777777">
        <w:tc>
          <w:tcPr>
            <w:tcW w:w="0" w:type="auto"/>
            <w:gridSpan w:val="3"/>
            <w:shd w:val="clear" w:color="auto" w:fill="auto"/>
            <w:tcMar>
              <w:top w:w="40" w:type="dxa"/>
              <w:left w:w="20" w:type="dxa"/>
              <w:bottom w:w="40" w:type="dxa"/>
              <w:right w:w="20" w:type="dxa"/>
            </w:tcMar>
          </w:tcPr>
          <w:p w14:paraId="19503F6E" w14:textId="77777777" w:rsidR="00BF3A3A" w:rsidRDefault="00A76802">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9503F6F" w14:textId="77777777" w:rsidR="00BF3A3A" w:rsidRDefault="00A76802">
            <w:pPr>
              <w:textAlignment w:val="bottom"/>
            </w:pPr>
            <w:r>
              <w:rPr>
                <w:rFonts w:ascii="sans-serif" w:eastAsia="sans-serif" w:hAnsi="sans-serif" w:cs="sans-serif"/>
                <w:color w:val="000000"/>
                <w:sz w:val="20"/>
                <w:szCs w:val="20"/>
              </w:rPr>
              <w:t>NVIDIA Corporation </w:t>
            </w:r>
          </w:p>
        </w:tc>
      </w:tr>
      <w:tr w:rsidR="00BF3A3A" w14:paraId="19503F74" w14:textId="77777777">
        <w:tc>
          <w:tcPr>
            <w:tcW w:w="0" w:type="auto"/>
            <w:gridSpan w:val="3"/>
            <w:shd w:val="clear" w:color="auto" w:fill="auto"/>
            <w:tcMar>
              <w:top w:w="40" w:type="dxa"/>
              <w:left w:w="20" w:type="dxa"/>
              <w:bottom w:w="40" w:type="dxa"/>
              <w:right w:w="20" w:type="dxa"/>
            </w:tcMar>
            <w:vAlign w:val="bottom"/>
          </w:tcPr>
          <w:p w14:paraId="19503F71" w14:textId="77777777" w:rsidR="00BF3A3A" w:rsidRDefault="00A76802">
            <w:pPr>
              <w:jc w:val="right"/>
              <w:textAlignment w:val="bottom"/>
            </w:pPr>
            <w:r>
              <w:rPr>
                <w:rFonts w:ascii="sans-serif" w:eastAsia="sans-serif" w:hAnsi="sans-serif" w:cs="sans-serif"/>
                <w:color w:val="000000"/>
                <w:sz w:val="20"/>
                <w:szCs w:val="20"/>
              </w:rPr>
              <w:t>By:  </w:t>
            </w:r>
          </w:p>
        </w:tc>
        <w:tc>
          <w:tcPr>
            <w:tcW w:w="0" w:type="auto"/>
            <w:gridSpan w:val="3"/>
            <w:shd w:val="clear" w:color="auto" w:fill="auto"/>
            <w:tcMar>
              <w:top w:w="40" w:type="dxa"/>
              <w:left w:w="20" w:type="dxa"/>
              <w:bottom w:w="40" w:type="dxa"/>
              <w:right w:w="20" w:type="dxa"/>
            </w:tcMar>
            <w:vAlign w:val="bottom"/>
          </w:tcPr>
          <w:p w14:paraId="19503F72" w14:textId="77777777" w:rsidR="00BF3A3A" w:rsidRDefault="00A76802">
            <w:pPr>
              <w:textAlignment w:val="bottom"/>
            </w:pPr>
            <w:r>
              <w:rPr>
                <w:rFonts w:ascii="sans-serif" w:eastAsia="sans-serif" w:hAnsi="sans-serif" w:cs="sans-serif"/>
                <w:color w:val="000000"/>
                <w:sz w:val="20"/>
                <w:szCs w:val="20"/>
              </w:rPr>
              <w:t> /s/ Colette M. Kress</w:t>
            </w:r>
          </w:p>
        </w:tc>
        <w:tc>
          <w:tcPr>
            <w:tcW w:w="0" w:type="auto"/>
            <w:gridSpan w:val="6"/>
            <w:shd w:val="clear" w:color="auto" w:fill="auto"/>
            <w:tcMar>
              <w:top w:w="0" w:type="dxa"/>
              <w:left w:w="20" w:type="dxa"/>
              <w:bottom w:w="0" w:type="dxa"/>
              <w:right w:w="20" w:type="dxa"/>
            </w:tcMar>
            <w:vAlign w:val="bottom"/>
          </w:tcPr>
          <w:p w14:paraId="19503F73" w14:textId="77777777" w:rsidR="00BF3A3A" w:rsidRDefault="00BF3A3A">
            <w:pPr>
              <w:rPr>
                <w:rFonts w:ascii="宋体"/>
              </w:rPr>
            </w:pPr>
          </w:p>
        </w:tc>
      </w:tr>
      <w:tr w:rsidR="00BF3A3A" w14:paraId="19503F78" w14:textId="77777777">
        <w:trPr>
          <w:trHeight w:val="60"/>
        </w:trPr>
        <w:tc>
          <w:tcPr>
            <w:tcW w:w="0" w:type="auto"/>
            <w:gridSpan w:val="3"/>
            <w:shd w:val="clear" w:color="auto" w:fill="auto"/>
            <w:tcMar>
              <w:top w:w="0" w:type="dxa"/>
              <w:left w:w="20" w:type="dxa"/>
              <w:bottom w:w="0" w:type="dxa"/>
              <w:right w:w="20" w:type="dxa"/>
            </w:tcMar>
            <w:vAlign w:val="bottom"/>
          </w:tcPr>
          <w:p w14:paraId="19503F75" w14:textId="77777777" w:rsidR="00BF3A3A" w:rsidRDefault="00BF3A3A">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9503F76" w14:textId="77777777" w:rsidR="00BF3A3A" w:rsidRDefault="00BF3A3A">
            <w:pPr>
              <w:rPr>
                <w:rFonts w:ascii="宋体"/>
              </w:rPr>
            </w:pPr>
          </w:p>
        </w:tc>
        <w:tc>
          <w:tcPr>
            <w:tcW w:w="0" w:type="auto"/>
            <w:gridSpan w:val="6"/>
            <w:shd w:val="clear" w:color="auto" w:fill="auto"/>
            <w:tcMar>
              <w:top w:w="0" w:type="dxa"/>
              <w:left w:w="20" w:type="dxa"/>
              <w:bottom w:w="0" w:type="dxa"/>
              <w:right w:w="20" w:type="dxa"/>
            </w:tcMar>
            <w:vAlign w:val="bottom"/>
          </w:tcPr>
          <w:p w14:paraId="19503F77" w14:textId="77777777" w:rsidR="00BF3A3A" w:rsidRDefault="00BF3A3A">
            <w:pPr>
              <w:rPr>
                <w:rFonts w:ascii="宋体"/>
              </w:rPr>
            </w:pPr>
          </w:p>
        </w:tc>
      </w:tr>
      <w:tr w:rsidR="00BF3A3A" w14:paraId="19503F7B" w14:textId="77777777">
        <w:tc>
          <w:tcPr>
            <w:tcW w:w="0" w:type="auto"/>
            <w:gridSpan w:val="3"/>
            <w:shd w:val="clear" w:color="auto" w:fill="auto"/>
            <w:tcMar>
              <w:top w:w="40" w:type="dxa"/>
              <w:left w:w="20" w:type="dxa"/>
              <w:bottom w:w="40" w:type="dxa"/>
              <w:right w:w="20" w:type="dxa"/>
            </w:tcMar>
          </w:tcPr>
          <w:p w14:paraId="19503F79" w14:textId="77777777" w:rsidR="00BF3A3A" w:rsidRDefault="00A76802">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9503F7A" w14:textId="77777777" w:rsidR="00BF3A3A" w:rsidRDefault="00A76802">
            <w:pPr>
              <w:textAlignment w:val="bottom"/>
            </w:pPr>
            <w:r>
              <w:rPr>
                <w:rFonts w:ascii="sans-serif" w:eastAsia="sans-serif" w:hAnsi="sans-serif" w:cs="sans-serif"/>
                <w:color w:val="000000"/>
                <w:sz w:val="20"/>
                <w:szCs w:val="20"/>
              </w:rPr>
              <w:t>Colette M. Kress</w:t>
            </w:r>
          </w:p>
        </w:tc>
      </w:tr>
      <w:tr w:rsidR="00BF3A3A" w14:paraId="19503F7E" w14:textId="77777777">
        <w:tc>
          <w:tcPr>
            <w:tcW w:w="0" w:type="auto"/>
            <w:gridSpan w:val="3"/>
            <w:shd w:val="clear" w:color="auto" w:fill="auto"/>
            <w:tcMar>
              <w:top w:w="40" w:type="dxa"/>
              <w:left w:w="20" w:type="dxa"/>
              <w:bottom w:w="40" w:type="dxa"/>
              <w:right w:w="20" w:type="dxa"/>
            </w:tcMar>
          </w:tcPr>
          <w:p w14:paraId="19503F7C" w14:textId="77777777" w:rsidR="00BF3A3A" w:rsidRDefault="00A76802">
            <w:pPr>
              <w:textAlignment w:val="top"/>
            </w:pPr>
            <w:r>
              <w:rPr>
                <w:rFonts w:ascii="sans-serif" w:eastAsia="sans-serif" w:hAnsi="sans-serif" w:cs="sans-serif"/>
                <w:color w:val="000000"/>
                <w:sz w:val="20"/>
                <w:szCs w:val="20"/>
              </w:rPr>
              <w:t> </w:t>
            </w:r>
          </w:p>
        </w:tc>
        <w:tc>
          <w:tcPr>
            <w:tcW w:w="0" w:type="auto"/>
            <w:gridSpan w:val="9"/>
            <w:shd w:val="clear" w:color="auto" w:fill="auto"/>
            <w:tcMar>
              <w:top w:w="40" w:type="dxa"/>
              <w:left w:w="20" w:type="dxa"/>
              <w:bottom w:w="40" w:type="dxa"/>
              <w:right w:w="20" w:type="dxa"/>
            </w:tcMar>
            <w:vAlign w:val="bottom"/>
          </w:tcPr>
          <w:p w14:paraId="19503F7D" w14:textId="77777777" w:rsidR="00BF3A3A" w:rsidRDefault="00A76802">
            <w:pPr>
              <w:textAlignment w:val="bottom"/>
            </w:pPr>
            <w:r>
              <w:rPr>
                <w:rFonts w:ascii="sans-serif" w:eastAsia="sans-serif" w:hAnsi="sans-serif" w:cs="sans-serif"/>
                <w:color w:val="000000"/>
                <w:sz w:val="20"/>
                <w:szCs w:val="20"/>
              </w:rPr>
              <w:t xml:space="preserve">Executive Vice </w:t>
            </w:r>
            <w:r>
              <w:rPr>
                <w:rFonts w:ascii="sans-serif" w:eastAsia="sans-serif" w:hAnsi="sans-serif" w:cs="sans-serif"/>
                <w:color w:val="000000"/>
                <w:sz w:val="20"/>
                <w:szCs w:val="20"/>
              </w:rPr>
              <w:t>President and Chief Financial Officer (Duly Authorized Officer and Principal Financial Officer)</w:t>
            </w:r>
          </w:p>
        </w:tc>
      </w:tr>
    </w:tbl>
    <w:p w14:paraId="19503F7F" w14:textId="77777777" w:rsidR="00BF3A3A" w:rsidRDefault="00BF3A3A">
      <w:pPr>
        <w:spacing w:after="180"/>
        <w:jc w:val="both"/>
      </w:pPr>
    </w:p>
    <w:p w14:paraId="19503F80" w14:textId="77777777" w:rsidR="00BF3A3A" w:rsidRDefault="00A76802">
      <w:pPr>
        <w:spacing w:after="180"/>
        <w:jc w:val="center"/>
      </w:pPr>
      <w:r>
        <w:rPr>
          <w:rFonts w:ascii="sans-serif" w:eastAsia="sans-serif" w:hAnsi="sans-serif" w:cs="sans-serif"/>
          <w:color w:val="000000"/>
          <w:sz w:val="20"/>
          <w:szCs w:val="20"/>
        </w:rPr>
        <w:t>47</w:t>
      </w:r>
    </w:p>
    <w:p w14:paraId="19503F81" w14:textId="77777777" w:rsidR="00BF3A3A" w:rsidRDefault="00A7680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9503FF4" wp14:editId="19503FF5">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3A3A" w14:paraId="19503F83" w14:textId="77777777">
        <w:trPr>
          <w:tblCellSpacing w:w="15" w:type="dxa"/>
        </w:trPr>
        <w:tc>
          <w:tcPr>
            <w:tcW w:w="0" w:type="auto"/>
            <w:shd w:val="clear" w:color="auto" w:fill="auto"/>
            <w:vAlign w:val="center"/>
          </w:tcPr>
          <w:p w14:paraId="19503F82" w14:textId="77777777" w:rsidR="00BF3A3A" w:rsidRDefault="00BF3A3A">
            <w:pPr>
              <w:rPr>
                <w:rFonts w:ascii="宋体"/>
              </w:rPr>
            </w:pPr>
          </w:p>
        </w:tc>
      </w:tr>
    </w:tbl>
    <w:p w14:paraId="19503F84" w14:textId="77777777" w:rsidR="00BF3A3A" w:rsidRDefault="00BF3A3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3A3A" w14:paraId="19503F86" w14:textId="77777777">
        <w:trPr>
          <w:tblCellSpacing w:w="15" w:type="dxa"/>
        </w:trPr>
        <w:tc>
          <w:tcPr>
            <w:tcW w:w="0" w:type="auto"/>
            <w:shd w:val="clear" w:color="auto" w:fill="auto"/>
            <w:vAlign w:val="center"/>
          </w:tcPr>
          <w:p w14:paraId="19503F85" w14:textId="77777777" w:rsidR="00BF3A3A" w:rsidRDefault="00BF3A3A">
            <w:pPr>
              <w:rPr>
                <w:rFonts w:ascii="宋体"/>
              </w:rPr>
            </w:pPr>
          </w:p>
        </w:tc>
      </w:tr>
    </w:tbl>
    <w:p w14:paraId="19503F87" w14:textId="77777777" w:rsidR="00BF3A3A" w:rsidRDefault="00BF3A3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3A3A" w14:paraId="19503F89" w14:textId="77777777">
        <w:trPr>
          <w:tblCellSpacing w:w="15" w:type="dxa"/>
        </w:trPr>
        <w:tc>
          <w:tcPr>
            <w:tcW w:w="0" w:type="auto"/>
            <w:shd w:val="clear" w:color="auto" w:fill="auto"/>
            <w:vAlign w:val="center"/>
          </w:tcPr>
          <w:p w14:paraId="19503F88" w14:textId="77777777" w:rsidR="00BF3A3A" w:rsidRDefault="00BF3A3A">
            <w:pPr>
              <w:rPr>
                <w:rFonts w:ascii="宋体"/>
              </w:rPr>
            </w:pPr>
          </w:p>
        </w:tc>
      </w:tr>
    </w:tbl>
    <w:p w14:paraId="19503F8A" w14:textId="77777777" w:rsidR="00BF3A3A" w:rsidRDefault="00BF3A3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3A3A" w14:paraId="19503F8C" w14:textId="77777777">
        <w:trPr>
          <w:tblCellSpacing w:w="15" w:type="dxa"/>
        </w:trPr>
        <w:tc>
          <w:tcPr>
            <w:tcW w:w="0" w:type="auto"/>
            <w:shd w:val="clear" w:color="auto" w:fill="auto"/>
            <w:vAlign w:val="center"/>
          </w:tcPr>
          <w:p w14:paraId="19503F8B" w14:textId="77777777" w:rsidR="00BF3A3A" w:rsidRDefault="00BF3A3A">
            <w:pPr>
              <w:rPr>
                <w:rFonts w:ascii="宋体"/>
              </w:rPr>
            </w:pPr>
          </w:p>
        </w:tc>
      </w:tr>
    </w:tbl>
    <w:p w14:paraId="19503F8D" w14:textId="77777777" w:rsidR="00BF3A3A" w:rsidRDefault="00A76802">
      <w:r>
        <w:rPr>
          <w:rFonts w:ascii="宋体" w:eastAsia="宋体" w:hAnsi="宋体" w:cs="宋体"/>
        </w:rPr>
        <w:t xml:space="preserve">Previous Next </w:t>
      </w:r>
    </w:p>
    <w:p w14:paraId="19503F8E" w14:textId="77777777" w:rsidR="00BF3A3A" w:rsidRDefault="00A76802">
      <w:pPr>
        <w:pStyle w:val="a3"/>
      </w:pPr>
      <w:r>
        <w:t>Settings</w:t>
      </w:r>
    </w:p>
    <w:p w14:paraId="19503F8F" w14:textId="77777777" w:rsidR="00BF3A3A" w:rsidRDefault="00A76802">
      <w:pPr>
        <w:pStyle w:val="Style4"/>
      </w:pPr>
      <w:r>
        <w:t>窗体顶端</w:t>
      </w:r>
    </w:p>
    <w:p w14:paraId="19503F90" w14:textId="77777777" w:rsidR="00BF3A3A" w:rsidRDefault="00A76802">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19503FF6" wp14:editId="19503FF7">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19503F91" w14:textId="77777777" w:rsidR="00BF3A3A" w:rsidRDefault="00A76802">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19503FF8" wp14:editId="19503FF9">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19503F92" w14:textId="77777777" w:rsidR="00BF3A3A" w:rsidRDefault="00A76802">
      <w:r>
        <w:pict w14:anchorId="19503FFA">
          <v:rect id="_x0000_i1071" style="width:415.3pt;height:1.5pt" o:hralign="center" o:hrstd="t" o:hr="t" fillcolor="#a0a0a0" stroked="f"/>
        </w:pict>
      </w:r>
    </w:p>
    <w:p w14:paraId="19503F93" w14:textId="77777777" w:rsidR="00BF3A3A" w:rsidRDefault="00A76802">
      <w:r>
        <w:rPr>
          <w:rFonts w:ascii="宋体" w:eastAsia="宋体" w:hAnsi="宋体" w:cs="宋体"/>
        </w:rPr>
        <w:t xml:space="preserve">Tagged Data </w:t>
      </w:r>
    </w:p>
    <w:p w14:paraId="19503F94" w14:textId="77777777" w:rsidR="00BF3A3A" w:rsidRDefault="00A76802">
      <w:r>
        <w:rPr>
          <w:rFonts w:ascii="monospace" w:eastAsia="monospace" w:hAnsi="monospace" w:cs="monospace"/>
          <w:noProof/>
        </w:rPr>
        <mc:AlternateContent>
          <mc:Choice Requires="wps">
            <w:drawing>
              <wp:inline distT="0" distB="0" distL="114300" distR="114300" wp14:anchorId="19503FFB" wp14:editId="19503FFC">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19503F95" w14:textId="77777777" w:rsidR="00BF3A3A" w:rsidRDefault="00A76802">
      <w:r>
        <w:rPr>
          <w:rFonts w:ascii="宋体" w:eastAsia="宋体" w:hAnsi="宋体" w:cs="宋体"/>
        </w:rPr>
        <w:t>Save</w:t>
      </w:r>
    </w:p>
    <w:p w14:paraId="19503F96" w14:textId="77777777" w:rsidR="00BF3A3A" w:rsidRDefault="00A76802">
      <w:r>
        <w:rPr>
          <w:rFonts w:ascii="宋体" w:eastAsia="宋体" w:hAnsi="宋体" w:cs="宋体"/>
        </w:rPr>
        <w:t>Reset</w:t>
      </w:r>
    </w:p>
    <w:p w14:paraId="19503F97" w14:textId="77777777" w:rsidR="00BF3A3A" w:rsidRDefault="00A76802">
      <w:r>
        <w:pict w14:anchorId="19503FFD">
          <v:rect id="_x0000_i1072" style="width:415.3pt;height:1.5pt" o:hralign="center" o:hrstd="t" o:hr="t" fillcolor="#a0a0a0" stroked="f"/>
        </w:pict>
      </w:r>
    </w:p>
    <w:p w14:paraId="19503F98" w14:textId="77777777" w:rsidR="00BF3A3A" w:rsidRDefault="00A76802">
      <w:r>
        <w:rPr>
          <w:rFonts w:ascii="宋体" w:eastAsia="宋体" w:hAnsi="宋体" w:cs="宋体"/>
        </w:rPr>
        <w:t xml:space="preserve">Search Results </w:t>
      </w:r>
    </w:p>
    <w:p w14:paraId="19503F99" w14:textId="77777777" w:rsidR="00BF3A3A" w:rsidRDefault="00A76802">
      <w:r>
        <w:rPr>
          <w:rFonts w:ascii="monospace" w:eastAsia="monospace" w:hAnsi="monospace" w:cs="monospace"/>
          <w:noProof/>
        </w:rPr>
        <mc:AlternateContent>
          <mc:Choice Requires="wps">
            <w:drawing>
              <wp:inline distT="0" distB="0" distL="114300" distR="114300" wp14:anchorId="19503FFE" wp14:editId="19503FFF">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9503F9A" w14:textId="77777777" w:rsidR="00BF3A3A" w:rsidRDefault="00A76802">
      <w:r>
        <w:rPr>
          <w:rFonts w:ascii="宋体" w:eastAsia="宋体" w:hAnsi="宋体" w:cs="宋体"/>
        </w:rPr>
        <w:t>Save</w:t>
      </w:r>
    </w:p>
    <w:p w14:paraId="19503F9B" w14:textId="77777777" w:rsidR="00BF3A3A" w:rsidRDefault="00A76802">
      <w:r>
        <w:rPr>
          <w:rFonts w:ascii="宋体" w:eastAsia="宋体" w:hAnsi="宋体" w:cs="宋体"/>
        </w:rPr>
        <w:t>Reset</w:t>
      </w:r>
    </w:p>
    <w:p w14:paraId="19503F9C" w14:textId="77777777" w:rsidR="00BF3A3A" w:rsidRDefault="00A76802">
      <w:r>
        <w:pict w14:anchorId="19504000">
          <v:rect id="_x0000_i1073" style="width:415.3pt;height:1.5pt" o:hralign="center" o:hrstd="t" o:hr="t" fillcolor="#a0a0a0" stroked="f"/>
        </w:pict>
      </w:r>
    </w:p>
    <w:p w14:paraId="19503F9D" w14:textId="77777777" w:rsidR="00BF3A3A" w:rsidRDefault="00A76802">
      <w:r>
        <w:rPr>
          <w:rFonts w:ascii="宋体" w:eastAsia="宋体" w:hAnsi="宋体" w:cs="宋体"/>
        </w:rPr>
        <w:t xml:space="preserve">Selected Fact </w:t>
      </w:r>
    </w:p>
    <w:p w14:paraId="19503F9E" w14:textId="77777777" w:rsidR="00BF3A3A" w:rsidRDefault="00A76802">
      <w:r>
        <w:rPr>
          <w:rFonts w:ascii="monospace" w:eastAsia="monospace" w:hAnsi="monospace" w:cs="monospace"/>
          <w:noProof/>
        </w:rPr>
        <mc:AlternateContent>
          <mc:Choice Requires="wps">
            <w:drawing>
              <wp:inline distT="0" distB="0" distL="114300" distR="114300" wp14:anchorId="19504001" wp14:editId="19504002">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9503F9F" w14:textId="77777777" w:rsidR="00BF3A3A" w:rsidRDefault="00A76802">
      <w:r>
        <w:rPr>
          <w:rFonts w:ascii="宋体" w:eastAsia="宋体" w:hAnsi="宋体" w:cs="宋体"/>
        </w:rPr>
        <w:t>Save</w:t>
      </w:r>
    </w:p>
    <w:p w14:paraId="19503FA0" w14:textId="77777777" w:rsidR="00BF3A3A" w:rsidRDefault="00A76802">
      <w:r>
        <w:rPr>
          <w:rFonts w:ascii="宋体" w:eastAsia="宋体" w:hAnsi="宋体" w:cs="宋体"/>
        </w:rPr>
        <w:t>Reset</w:t>
      </w:r>
    </w:p>
    <w:p w14:paraId="19503FA1" w14:textId="77777777" w:rsidR="00BF3A3A" w:rsidRDefault="00A76802">
      <w:r>
        <w:pict w14:anchorId="19504003">
          <v:rect id="_x0000_i1074" style="width:415.3pt;height:1.5pt" o:hralign="center" o:hrstd="t" o:hr="t" fillcolor="#a0a0a0" stroked="f"/>
        </w:pict>
      </w:r>
    </w:p>
    <w:p w14:paraId="19503FA2" w14:textId="77777777" w:rsidR="00BF3A3A" w:rsidRDefault="00A76802">
      <w:r>
        <w:rPr>
          <w:rFonts w:ascii="宋体" w:eastAsia="宋体" w:hAnsi="宋体" w:cs="宋体"/>
        </w:rPr>
        <w:t xml:space="preserve">Tag Shading (hover) </w:t>
      </w:r>
    </w:p>
    <w:p w14:paraId="19503FA3" w14:textId="77777777" w:rsidR="00BF3A3A" w:rsidRDefault="00A76802">
      <w:r>
        <w:rPr>
          <w:rFonts w:ascii="monospace" w:eastAsia="monospace" w:hAnsi="monospace" w:cs="monospace"/>
          <w:noProof/>
        </w:rPr>
        <mc:AlternateContent>
          <mc:Choice Requires="wps">
            <w:drawing>
              <wp:inline distT="0" distB="0" distL="114300" distR="114300" wp14:anchorId="19504004" wp14:editId="19504005">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9503FA4" w14:textId="77777777" w:rsidR="00BF3A3A" w:rsidRDefault="00A76802">
      <w:r>
        <w:rPr>
          <w:rFonts w:ascii="宋体" w:eastAsia="宋体" w:hAnsi="宋体" w:cs="宋体"/>
        </w:rPr>
        <w:t>Save</w:t>
      </w:r>
    </w:p>
    <w:p w14:paraId="19503FA5" w14:textId="77777777" w:rsidR="00BF3A3A" w:rsidRDefault="00A76802">
      <w:r>
        <w:rPr>
          <w:rFonts w:ascii="宋体" w:eastAsia="宋体" w:hAnsi="宋体" w:cs="宋体"/>
        </w:rPr>
        <w:t>Reset</w:t>
      </w:r>
    </w:p>
    <w:p w14:paraId="19503FA6" w14:textId="77777777" w:rsidR="00BF3A3A" w:rsidRDefault="00A76802">
      <w:pPr>
        <w:pStyle w:val="Style5"/>
      </w:pPr>
      <w:r>
        <w:t>窗体底端</w:t>
      </w:r>
    </w:p>
    <w:p w14:paraId="19503FA7" w14:textId="77777777" w:rsidR="00BF3A3A" w:rsidRDefault="00A7680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9504006" wp14:editId="19504007">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3A3A" w14:paraId="19503FA9" w14:textId="77777777">
        <w:trPr>
          <w:tblCellSpacing w:w="15" w:type="dxa"/>
        </w:trPr>
        <w:tc>
          <w:tcPr>
            <w:tcW w:w="0" w:type="auto"/>
            <w:shd w:val="clear" w:color="auto" w:fill="auto"/>
            <w:vAlign w:val="center"/>
          </w:tcPr>
          <w:p w14:paraId="19503FA8" w14:textId="77777777" w:rsidR="00BF3A3A" w:rsidRDefault="00BF3A3A">
            <w:pPr>
              <w:rPr>
                <w:rFonts w:ascii="宋体"/>
              </w:rPr>
            </w:pPr>
          </w:p>
        </w:tc>
      </w:tr>
    </w:tbl>
    <w:p w14:paraId="19503FAA" w14:textId="77777777" w:rsidR="00BF3A3A" w:rsidRDefault="00BF3A3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3A3A" w14:paraId="19503FAC" w14:textId="77777777">
        <w:trPr>
          <w:tblCellSpacing w:w="15" w:type="dxa"/>
        </w:trPr>
        <w:tc>
          <w:tcPr>
            <w:tcW w:w="0" w:type="auto"/>
            <w:shd w:val="clear" w:color="auto" w:fill="auto"/>
            <w:vAlign w:val="center"/>
          </w:tcPr>
          <w:p w14:paraId="19503FAB" w14:textId="77777777" w:rsidR="00BF3A3A" w:rsidRDefault="00BF3A3A">
            <w:pPr>
              <w:rPr>
                <w:rFonts w:ascii="宋体"/>
              </w:rPr>
            </w:pPr>
          </w:p>
        </w:tc>
      </w:tr>
    </w:tbl>
    <w:p w14:paraId="19503FAD" w14:textId="77777777" w:rsidR="00BF3A3A" w:rsidRDefault="00BF3A3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3A3A" w14:paraId="19503FAF" w14:textId="77777777">
        <w:trPr>
          <w:tblCellSpacing w:w="15" w:type="dxa"/>
        </w:trPr>
        <w:tc>
          <w:tcPr>
            <w:tcW w:w="0" w:type="auto"/>
            <w:shd w:val="clear" w:color="auto" w:fill="auto"/>
            <w:vAlign w:val="center"/>
          </w:tcPr>
          <w:p w14:paraId="19503FAE" w14:textId="77777777" w:rsidR="00BF3A3A" w:rsidRDefault="00BF3A3A">
            <w:pPr>
              <w:rPr>
                <w:rFonts w:ascii="宋体"/>
              </w:rPr>
            </w:pPr>
          </w:p>
        </w:tc>
      </w:tr>
    </w:tbl>
    <w:p w14:paraId="19503FB0" w14:textId="77777777" w:rsidR="00BF3A3A" w:rsidRDefault="00BF3A3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3A3A" w14:paraId="19503FB2" w14:textId="77777777">
        <w:trPr>
          <w:tblCellSpacing w:w="15" w:type="dxa"/>
        </w:trPr>
        <w:tc>
          <w:tcPr>
            <w:tcW w:w="0" w:type="auto"/>
            <w:shd w:val="clear" w:color="auto" w:fill="auto"/>
            <w:vAlign w:val="center"/>
          </w:tcPr>
          <w:p w14:paraId="19503FB1" w14:textId="77777777" w:rsidR="00BF3A3A" w:rsidRDefault="00BF3A3A">
            <w:pPr>
              <w:rPr>
                <w:rFonts w:ascii="宋体"/>
              </w:rPr>
            </w:pPr>
          </w:p>
        </w:tc>
      </w:tr>
    </w:tbl>
    <w:p w14:paraId="19503FB3" w14:textId="77777777" w:rsidR="00BF3A3A" w:rsidRDefault="00A76802">
      <w:r>
        <w:rPr>
          <w:rFonts w:ascii="宋体" w:eastAsia="宋体" w:hAnsi="宋体" w:cs="宋体"/>
        </w:rPr>
        <w:t xml:space="preserve">Previous Next </w:t>
      </w:r>
    </w:p>
    <w:p w14:paraId="19503FB4" w14:textId="77777777" w:rsidR="00BF3A3A" w:rsidRDefault="00A76802">
      <w:pPr>
        <w:pStyle w:val="a3"/>
      </w:pPr>
      <w:r>
        <w:t xml:space="preserve">Nested Facts / </w:t>
      </w:r>
    </w:p>
    <w:p w14:paraId="19503FB5" w14:textId="77777777" w:rsidR="00BF3A3A" w:rsidRDefault="00A76802">
      <w:r>
        <w:rPr>
          <w:rFonts w:ascii="宋体" w:eastAsia="宋体" w:hAnsi="宋体" w:cs="宋体"/>
        </w:rPr>
        <w:t xml:space="preserve">Previous Next </w:t>
      </w:r>
    </w:p>
    <w:p w14:paraId="19503FB6" w14:textId="77777777" w:rsidR="00BF3A3A" w:rsidRDefault="00A7680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9504008" wp14:editId="19504009">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3A3A" w14:paraId="19503FB8" w14:textId="77777777">
        <w:trPr>
          <w:tblCellSpacing w:w="15" w:type="dxa"/>
        </w:trPr>
        <w:tc>
          <w:tcPr>
            <w:tcW w:w="0" w:type="auto"/>
            <w:shd w:val="clear" w:color="auto" w:fill="auto"/>
            <w:vAlign w:val="center"/>
          </w:tcPr>
          <w:p w14:paraId="19503FB7" w14:textId="77777777" w:rsidR="00BF3A3A" w:rsidRDefault="00BF3A3A">
            <w:pPr>
              <w:rPr>
                <w:rFonts w:ascii="宋体"/>
              </w:rPr>
            </w:pPr>
          </w:p>
        </w:tc>
      </w:tr>
    </w:tbl>
    <w:p w14:paraId="19503FB9" w14:textId="77777777" w:rsidR="00BF3A3A" w:rsidRDefault="00BF3A3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3A3A" w14:paraId="19503FBB" w14:textId="77777777">
        <w:trPr>
          <w:tblCellSpacing w:w="15" w:type="dxa"/>
        </w:trPr>
        <w:tc>
          <w:tcPr>
            <w:tcW w:w="0" w:type="auto"/>
            <w:shd w:val="clear" w:color="auto" w:fill="auto"/>
            <w:vAlign w:val="center"/>
          </w:tcPr>
          <w:p w14:paraId="19503FBA" w14:textId="77777777" w:rsidR="00BF3A3A" w:rsidRDefault="00BF3A3A">
            <w:pPr>
              <w:rPr>
                <w:rFonts w:ascii="宋体"/>
              </w:rPr>
            </w:pPr>
          </w:p>
        </w:tc>
      </w:tr>
    </w:tbl>
    <w:p w14:paraId="19503FBC" w14:textId="77777777" w:rsidR="00BF3A3A" w:rsidRDefault="00BF3A3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3A3A" w14:paraId="19503FBE" w14:textId="77777777">
        <w:trPr>
          <w:tblCellSpacing w:w="15" w:type="dxa"/>
        </w:trPr>
        <w:tc>
          <w:tcPr>
            <w:tcW w:w="0" w:type="auto"/>
            <w:shd w:val="clear" w:color="auto" w:fill="auto"/>
            <w:vAlign w:val="center"/>
          </w:tcPr>
          <w:p w14:paraId="19503FBD" w14:textId="77777777" w:rsidR="00BF3A3A" w:rsidRDefault="00BF3A3A">
            <w:pPr>
              <w:rPr>
                <w:rFonts w:ascii="宋体"/>
              </w:rPr>
            </w:pPr>
          </w:p>
        </w:tc>
      </w:tr>
    </w:tbl>
    <w:p w14:paraId="19503FBF" w14:textId="77777777" w:rsidR="00BF3A3A" w:rsidRDefault="00BF3A3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3A3A" w14:paraId="19503FC1" w14:textId="77777777">
        <w:trPr>
          <w:tblCellSpacing w:w="15" w:type="dxa"/>
        </w:trPr>
        <w:tc>
          <w:tcPr>
            <w:tcW w:w="0" w:type="auto"/>
            <w:shd w:val="clear" w:color="auto" w:fill="auto"/>
            <w:vAlign w:val="center"/>
          </w:tcPr>
          <w:p w14:paraId="19503FC0" w14:textId="77777777" w:rsidR="00BF3A3A" w:rsidRDefault="00BF3A3A">
            <w:pPr>
              <w:rPr>
                <w:rFonts w:ascii="宋体"/>
              </w:rPr>
            </w:pPr>
          </w:p>
        </w:tc>
      </w:tr>
    </w:tbl>
    <w:p w14:paraId="19503FC2" w14:textId="77777777" w:rsidR="00BF3A3A" w:rsidRDefault="00A76802">
      <w:r>
        <w:rPr>
          <w:rFonts w:ascii="宋体" w:eastAsia="宋体" w:hAnsi="宋体" w:cs="宋体"/>
        </w:rPr>
        <w:t xml:space="preserve">Previous Next </w:t>
      </w:r>
    </w:p>
    <w:p w14:paraId="19503FC3" w14:textId="77777777" w:rsidR="00BF3A3A" w:rsidRDefault="00BF3A3A"/>
    <w:sectPr w:rsidR="00BF3A3A">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8C236" w14:textId="77777777" w:rsidR="00A76802" w:rsidRDefault="00A76802" w:rsidP="00A76802">
      <w:r>
        <w:separator/>
      </w:r>
    </w:p>
  </w:endnote>
  <w:endnote w:type="continuationSeparator" w:id="0">
    <w:p w14:paraId="3AE838A8" w14:textId="77777777" w:rsidR="00A76802" w:rsidRDefault="00A76802" w:rsidP="00A76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D24BB" w14:textId="77777777" w:rsidR="00A76802" w:rsidRDefault="00A76802" w:rsidP="00A76802">
      <w:r>
        <w:separator/>
      </w:r>
    </w:p>
  </w:footnote>
  <w:footnote w:type="continuationSeparator" w:id="0">
    <w:p w14:paraId="30064C76" w14:textId="77777777" w:rsidR="00A76802" w:rsidRDefault="00A76802" w:rsidP="00A76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9CF9430"/>
    <w:rsid w:val="F9CF9430"/>
    <w:rsid w:val="00A76802"/>
    <w:rsid w:val="00BF3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501EF5"/>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A7680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A76802"/>
    <w:rPr>
      <w:rFonts w:asciiTheme="minorEastAsia" w:hAnsiTheme="minorEastAsia" w:cs="Times New Roman"/>
      <w:sz w:val="18"/>
      <w:szCs w:val="18"/>
    </w:rPr>
  </w:style>
  <w:style w:type="paragraph" w:styleId="a8">
    <w:name w:val="footer"/>
    <w:basedOn w:val="a"/>
    <w:link w:val="a9"/>
    <w:rsid w:val="00A76802"/>
    <w:pPr>
      <w:tabs>
        <w:tab w:val="center" w:pos="4153"/>
        <w:tab w:val="right" w:pos="8306"/>
      </w:tabs>
      <w:snapToGrid w:val="0"/>
    </w:pPr>
    <w:rPr>
      <w:sz w:val="18"/>
      <w:szCs w:val="18"/>
    </w:rPr>
  </w:style>
  <w:style w:type="character" w:customStyle="1" w:styleId="a9">
    <w:name w:val="页脚 字符"/>
    <w:basedOn w:val="a0"/>
    <w:link w:val="a8"/>
    <w:rsid w:val="00A76802"/>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sec.gov/ix?doc=/Archives/edgar/data/0001045810/000104581022000147/nvda-20220731.htm" TargetMode="External"/><Relationship Id="rId18" Type="http://schemas.openxmlformats.org/officeDocument/2006/relationships/hyperlink" Target="https://www.sec.gov/ix?doc=/Archives/edgar/data/0001045810/000104581022000147/nvda-20220731.htm" TargetMode="External"/><Relationship Id="rId26" Type="http://schemas.openxmlformats.org/officeDocument/2006/relationships/hyperlink" Target="https://www.sec.gov/ix?doc=/Archives/edgar/data/0001045810/000104581022000147/nvda-20220731.htm" TargetMode="External"/><Relationship Id="rId39" Type="http://schemas.openxmlformats.org/officeDocument/2006/relationships/theme" Target="theme/theme1.xml"/><Relationship Id="rId21" Type="http://schemas.openxmlformats.org/officeDocument/2006/relationships/hyperlink" Target="https://www.sec.gov/ix?doc=/Archives/edgar/data/0001045810/000104581022000147/nvda-20220731.htm" TargetMode="External"/><Relationship Id="rId34" Type="http://schemas.openxmlformats.org/officeDocument/2006/relationships/hyperlink" Target="https://www.sec.gov/Archives/edgar/data/0001045810/000104581022000147/nvda2023q2ex311.htm" TargetMode="External"/><Relationship Id="rId7" Type="http://schemas.openxmlformats.org/officeDocument/2006/relationships/hyperlink" Target="https://www.sec.gov/ix?doc=/Archives/edgar/data/0001045810/000104581022000147/nvda-20220731.htm" TargetMode="External"/><Relationship Id="rId12" Type="http://schemas.openxmlformats.org/officeDocument/2006/relationships/hyperlink" Target="https://www.sec.gov/ix?doc=/Archives/edgar/data/0001045810/000104581022000147/nvda-20220731.htm" TargetMode="External"/><Relationship Id="rId17" Type="http://schemas.openxmlformats.org/officeDocument/2006/relationships/hyperlink" Target="https://www.sec.gov/ix?doc=/Archives/edgar/data/0001045810/000104581022000147/nvda-20220731.htm" TargetMode="External"/><Relationship Id="rId25" Type="http://schemas.openxmlformats.org/officeDocument/2006/relationships/hyperlink" Target="https://www.sec.gov/ix?doc=/Archives/edgar/data/0001045810/000104581022000147/nvda-20220731.htm" TargetMode="External"/><Relationship Id="rId33" Type="http://schemas.openxmlformats.org/officeDocument/2006/relationships/hyperlink" Target="https://www.sec.gov/Archives/edgar/data/1045810/000104581022000088/exhibit101-amendedandresta.htm"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sec.gov/ix?doc=/Archives/edgar/data/0001045810/000104581022000147/nvda-20220731.htm" TargetMode="External"/><Relationship Id="rId20" Type="http://schemas.openxmlformats.org/officeDocument/2006/relationships/hyperlink" Target="https://www.sec.gov/ix?doc=/Archives/edgar/data/0001045810/000104581022000147/nvda-20220731.htm" TargetMode="External"/><Relationship Id="rId29" Type="http://schemas.openxmlformats.org/officeDocument/2006/relationships/hyperlink" Target="https://www.sec.gov/ix?doc=/Archives/edgar/data/0001045810/000104581022000147/nvda-20220731.htm" TargetMode="External"/><Relationship Id="rId1" Type="http://schemas.openxmlformats.org/officeDocument/2006/relationships/styles" Target="styles.xml"/><Relationship Id="rId11" Type="http://schemas.openxmlformats.org/officeDocument/2006/relationships/hyperlink" Target="https://www.sec.gov/ix?doc=/Archives/edgar/data/0001045810/000104581022000147/nvda-20220731.htm" TargetMode="External"/><Relationship Id="rId24" Type="http://schemas.openxmlformats.org/officeDocument/2006/relationships/hyperlink" Target="https://www.sec.gov/ix?doc=/Archives/edgar/data/0001045810/000104581022000147/nvda-20220731.htm" TargetMode="External"/><Relationship Id="rId32" Type="http://schemas.openxmlformats.org/officeDocument/2006/relationships/hyperlink" Target="https://www.sec.gov/Archives/edgar/data/1045810/000104581022000088/exhibit31-amendmenttoresta.htm" TargetMode="External"/><Relationship Id="rId37" Type="http://schemas.openxmlformats.org/officeDocument/2006/relationships/hyperlink" Target="https://www.sec.gov/Archives/edgar/data/0001045810/000104581022000147/nvda2023q2ex322.htm" TargetMode="External"/><Relationship Id="rId5" Type="http://schemas.openxmlformats.org/officeDocument/2006/relationships/endnotes" Target="endnotes.xml"/><Relationship Id="rId15" Type="http://schemas.openxmlformats.org/officeDocument/2006/relationships/hyperlink" Target="https://www.sec.gov/ix?doc=/Archives/edgar/data/0001045810/000104581022000147/nvda-20220731.htm" TargetMode="External"/><Relationship Id="rId23" Type="http://schemas.openxmlformats.org/officeDocument/2006/relationships/hyperlink" Target="https://www.sec.gov/ix?doc=/Archives/edgar/data/0001045810/000104581022000147/nvda-20220731.htm" TargetMode="External"/><Relationship Id="rId28" Type="http://schemas.openxmlformats.org/officeDocument/2006/relationships/hyperlink" Target="https://www.sec.gov/ix?doc=/Archives/edgar/data/0001045810/000104581022000147/nvda-20220731.htm" TargetMode="External"/><Relationship Id="rId36" Type="http://schemas.openxmlformats.org/officeDocument/2006/relationships/hyperlink" Target="https://www.sec.gov/Archives/edgar/data/0001045810/000104581022000147/nvda2023q2ex321.htm" TargetMode="External"/><Relationship Id="rId10" Type="http://schemas.openxmlformats.org/officeDocument/2006/relationships/hyperlink" Target="https://www.sec.gov/ix?doc=/Archives/edgar/data/0001045810/000104581022000147/nvda-20220731.htm" TargetMode="External"/><Relationship Id="rId19" Type="http://schemas.openxmlformats.org/officeDocument/2006/relationships/hyperlink" Target="https://www.sec.gov/ix?doc=/Archives/edgar/data/0001045810/000104581022000147/nvda-20220731.htm" TargetMode="External"/><Relationship Id="rId31" Type="http://schemas.openxmlformats.org/officeDocument/2006/relationships/hyperlink" Target="https://www.sec.gov/ix?doc=/Archives/edgar/data/0001045810/000104581022000147/nvda-20220731.htm" TargetMode="External"/><Relationship Id="rId4" Type="http://schemas.openxmlformats.org/officeDocument/2006/relationships/footnotes" Target="footnotes.xml"/><Relationship Id="rId9" Type="http://schemas.openxmlformats.org/officeDocument/2006/relationships/hyperlink" Target="https://www.sec.gov/ix?doc=/Archives/edgar/data/0001045810/000104581022000147/nvda-20220731.htm" TargetMode="External"/><Relationship Id="rId14" Type="http://schemas.openxmlformats.org/officeDocument/2006/relationships/hyperlink" Target="https://www.sec.gov/ix?doc=/Archives/edgar/data/0001045810/000104581022000147/nvda-20220731.htm" TargetMode="External"/><Relationship Id="rId22" Type="http://schemas.openxmlformats.org/officeDocument/2006/relationships/hyperlink" Target="https://www.sec.gov/ix?doc=/Archives/edgar/data/0001045810/000104581022000147/nvda-20220731.htm" TargetMode="External"/><Relationship Id="rId27" Type="http://schemas.openxmlformats.org/officeDocument/2006/relationships/hyperlink" Target="https://www.sec.gov/ix?doc=/Archives/edgar/data/0001045810/000104581022000147/nvda-20220731.htm" TargetMode="External"/><Relationship Id="rId30" Type="http://schemas.openxmlformats.org/officeDocument/2006/relationships/hyperlink" Target="https://www.sec.gov/ix?doc=/Archives/edgar/data/0001045810/000104581022000147/nvda-20220731.htm" TargetMode="External"/><Relationship Id="rId35" Type="http://schemas.openxmlformats.org/officeDocument/2006/relationships/hyperlink" Target="https://www.sec.gov/Archives/edgar/data/0001045810/000104581022000147/nvda2023q2ex312.htm" TargetMode="External"/><Relationship Id="rId8" Type="http://schemas.openxmlformats.org/officeDocument/2006/relationships/hyperlink" Target="https://www.sec.gov/ix?doc=/Archives/edgar/data/0001045810/000104581022000147/nvda-20220731.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26621</Words>
  <Characters>151740</Characters>
  <Application>Microsoft Office Word</Application>
  <DocSecurity>0</DocSecurity>
  <Lines>1264</Lines>
  <Paragraphs>356</Paragraphs>
  <ScaleCrop>false</ScaleCrop>
  <Company/>
  <LinksUpToDate>false</LinksUpToDate>
  <CharactersWithSpaces>178005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2023-02-11T21:57:00Z</dcterms:created>
  <dcterms:modified xsi:type="dcterms:W3CDTF">2023-02-13T11:28:00Z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7E147C13737F6CF0D99EE763748C614B</vt:lpwstr>
  </property>
</Properties>
</file>