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134F">
      <w:pPr>
        <w:divId w:val="59643140"/>
        <w:rPr>
          <w:rFonts w:eastAsia="Times New Roman"/>
          <w:vanish/>
        </w:rPr>
      </w:pPr>
      <w:r>
        <w:rPr>
          <w:rFonts w:eastAsia="Times New Roman"/>
          <w:vanish/>
        </w:rPr>
        <w:t>00017101551/22020Q3falseP7DP3MP1YP1YP1YP1YP5YP1YP3M</w:t>
      </w:r>
      <w:r>
        <w:rPr>
          <w:rFonts w:eastAsia="Times New Roman"/>
          <w:vanish/>
        </w:rPr>
        <w:t>us-gaap:PropertyPlantAndEquipmentAndFinanceLeaseRightOfUseAssetAfterAccumulatedDepreciationAndAmortizationus-gaap:PropertyPlantAndEquipmentAndFinanceLeaseRightOfUseAssetAfterAccumulatedDepreciationAndAmortizationus-gaap:LongTermDebtAndCapitalLeaseObligatio</w:t>
      </w:r>
      <w:r>
        <w:rPr>
          <w:rFonts w:eastAsia="Times New Roman"/>
          <w:vanish/>
        </w:rPr>
        <w:t>nsCurrentus-gaap:LongTermDebtAndCapitalLeaseObligationsCurrentus-gaap:LongTermDebtAndCapitalLeaseObligationsus-gaap:LongTermDebtAndCapitalLeaseObligationsP3Y00017101552019-12-292020-09-26xbrli:shares00017101552020-10-30iso4217:USD00017101552020-09-26000171</w:t>
      </w:r>
      <w:r>
        <w:rPr>
          <w:rFonts w:eastAsia="Times New Roman"/>
          <w:vanish/>
        </w:rPr>
        <w:t>01552019-12-28iso4217:USDxbrli:shares0001710155eye:ProductSalesMember2020-06-282020-09-260001710155eye:ProductSalesMember2019-06-302019-09-280001710155eye:ProductSalesMember2019-12-292020-09-260001710155eye:ProductSalesMember2018-12-302019-09-280001710155e</w:t>
      </w:r>
      <w:r>
        <w:rPr>
          <w:rFonts w:eastAsia="Times New Roman"/>
          <w:vanish/>
        </w:rPr>
        <w:t>ye:ServicesAndPlansMember2020-06-282020-09-260001710155eye:ServicesAndPlansMember2019-06-302019-09-280001710155eye:ServicesAndPlansMember2019-12-292020-09-260001710155eye:ServicesAndPlansMember2018-12-302019-09-2800017101552020-06-282020-09-260001710155201</w:t>
      </w:r>
      <w:r>
        <w:rPr>
          <w:rFonts w:eastAsia="Times New Roman"/>
          <w:vanish/>
        </w:rPr>
        <w:t>9-06-302019-09-2800017101552018-12-302019-09-280001710155us-gaap:CommonStockMember2019-12-280001710155us-gaap:AdditionalPaidInCapitalMember2019-12-280001710155us-gaap:AccumulatedOtherComprehensiveIncomeMember2019-12-280001710155us-gaap:RetainedEarningsMemb</w:t>
      </w:r>
      <w:r>
        <w:rPr>
          <w:rFonts w:eastAsia="Times New Roman"/>
          <w:vanish/>
        </w:rPr>
        <w:t>er2019-12-280001710155us-gaap:TreasuryStockMember2019-12-280001710155us-gaap:RetainedEarningsMembersrt:CumulativeEffectPeriodOfAdoptionAdjustmentMember2019-12-280001710155srt:CumulativeEffectPeriodOfAdoptionAdjustmentMember2019-12-280001710155us-gaap:Commo</w:t>
      </w:r>
      <w:r>
        <w:rPr>
          <w:rFonts w:eastAsia="Times New Roman"/>
          <w:vanish/>
        </w:rPr>
        <w:t>nStockMembersrt:CumulativeEffectPeriodOfAdoptionAdjustedBalanceMember2019-12-280001710155us-gaap:AdditionalPaidInCapitalMembersrt:CumulativeEffectPeriodOfAdoptionAdjustedBalanceMember2019-12-280001710155us-gaap:AccumulatedOtherComprehensiveIncomeMembersrt:</w:t>
      </w:r>
      <w:r>
        <w:rPr>
          <w:rFonts w:eastAsia="Times New Roman"/>
          <w:vanish/>
        </w:rPr>
        <w:t>CumulativeEffectPeriodOfAdoptionAdjustedBalanceMember2019-12-280001710155srt:CumulativeEffectPeriodOfAdoptionAdjustedBalanceMemberus-gaap:RetainedEarningsMember2019-12-280001710155srt:CumulativeEffectPeriodOfAdoptionAdjustedBalanceMemberus-gaap:TreasurySto</w:t>
      </w:r>
      <w:r>
        <w:rPr>
          <w:rFonts w:eastAsia="Times New Roman"/>
          <w:vanish/>
        </w:rPr>
        <w:t>ckMember2019-12-280001710155srt:CumulativeEffectPeriodOfAdoptionAdjustedBalanceMember2019-12-280001710155us-gaap:CommonStockMember2019-12-292020-03-280001710155us-gaap:AdditionalPaidInCapitalMember2019-12-292020-03-2800017101552019-12-292020-03-28000171015</w:t>
      </w:r>
      <w:r>
        <w:rPr>
          <w:rFonts w:eastAsia="Times New Roman"/>
          <w:vanish/>
        </w:rPr>
        <w:t>5us-gaap:TreasuryStockMember2019-12-292020-03-280001710155us-gaap:AccumulatedOtherComprehensiveIncomeMember2019-12-292020-03-280001710155us-gaap:RetainedEarningsMember2019-12-292020-03-280001710155us-gaap:CommonStockMember2020-03-280001710155us-gaap:Additi</w:t>
      </w:r>
      <w:r>
        <w:rPr>
          <w:rFonts w:eastAsia="Times New Roman"/>
          <w:vanish/>
        </w:rPr>
        <w:t>onalPaidInCapitalMember2020-03-280001710155us-gaap:AccumulatedOtherComprehensiveIncomeMember2020-03-280001710155us-gaap:RetainedEarningsMember2020-03-280001710155us-gaap:TreasuryStockMember2020-03-2800017101552020-03-280001710155us-gaap:CommonStockMember20</w:t>
      </w:r>
      <w:r>
        <w:rPr>
          <w:rFonts w:eastAsia="Times New Roman"/>
          <w:vanish/>
        </w:rPr>
        <w:t>20-03-292020-06-270001710155us-gaap:AdditionalPaidInCapitalMember2020-03-292020-06-2700017101552020-03-292020-06-270001710155us-gaap:AccumulatedOtherComprehensiveIncomeMember2020-03-292020-06-270001710155us-gaap:RetainedEarningsMember2020-03-292020-06-2700</w:t>
      </w:r>
      <w:r>
        <w:rPr>
          <w:rFonts w:eastAsia="Times New Roman"/>
          <w:vanish/>
        </w:rPr>
        <w:t>01710155us-gaap:CommonStockMember2020-06-270001710155us-gaap:AdditionalPaidInCapitalMember2020-06-270001710155us-gaap:AccumulatedOtherComprehensiveIncomeMember2020-06-270001710155us-gaap:RetainedEarningsMember2020-06-270001710155us-gaap:TreasuryStockMember</w:t>
      </w:r>
      <w:r>
        <w:rPr>
          <w:rFonts w:eastAsia="Times New Roman"/>
          <w:vanish/>
        </w:rPr>
        <w:t>2020-06-2700017101552020-06-270001710155us-gaap:CommonStockMember2020-06-282020-09-260001710155us-gaap:AdditionalPaidInCapitalMember2020-06-282020-09-260001710155us-gaap:TreasuryStockMember2020-06-282020-09-260001710155us-gaap:AccumulatedOtherComprehensive</w:t>
      </w:r>
      <w:r>
        <w:rPr>
          <w:rFonts w:eastAsia="Times New Roman"/>
          <w:vanish/>
        </w:rPr>
        <w:t>IncomeMember2020-06-282020-09-260001710155us-gaap:RetainedEarningsMember2020-06-282020-09-260001710155us-gaap:CommonStockMember2020-09-260001710155us-gaap:AdditionalPaidInCapitalMember2020-09-260001710155us-gaap:AccumulatedOtherComprehensiveIncomeMember202</w:t>
      </w:r>
      <w:r>
        <w:rPr>
          <w:rFonts w:eastAsia="Times New Roman"/>
          <w:vanish/>
        </w:rPr>
        <w:t>0-09-260001710155us-gaap:RetainedEarningsMember2020-09-260001710155us-gaap:TreasuryStockMember2020-09-260001710155us-gaap:CommonStockMember2018-12-290001710155us-gaap:AdditionalPaidInCapitalMember2018-12-290001710155us-gaap:AccumulatedOtherComprehensiveInc</w:t>
      </w:r>
      <w:r>
        <w:rPr>
          <w:rFonts w:eastAsia="Times New Roman"/>
          <w:vanish/>
        </w:rPr>
        <w:t>omeMember2018-12-290001710155us-gaap:RetainedEarningsMember2018-12-290001710155us-gaap:TreasuryStockMember2018-12-2900017101552018-12-290001710155us-gaap:RetainedEarningsMembersrt:CumulativeEffectPeriodOfAdoptionAdjustmentMember2018-12-290001710155srt:Cumu</w:t>
      </w:r>
      <w:r>
        <w:rPr>
          <w:rFonts w:eastAsia="Times New Roman"/>
          <w:vanish/>
        </w:rPr>
        <w:t>lativeEffectPeriodOfAdoptionAdjustmentMember2018-12-290001710155us-gaap:CommonStockMembersrt:CumulativeEffectPeriodOfAdoptionAdjustedBalanceMember2018-12-290001710155us-gaap:AdditionalPaidInCapitalMembersrt:CumulativeEffectPeriodOfAdoptionAdjustedBalanceMe</w:t>
      </w:r>
      <w:r>
        <w:rPr>
          <w:rFonts w:eastAsia="Times New Roman"/>
          <w:vanish/>
        </w:rPr>
        <w:t>mber2018-12-290001710155us-gaap:AccumulatedOtherComprehensiveIncomeMembersrt:CumulativeEffectPeriodOfAdoptionAdjustedBalanceMember2018-12-290001710155srt:CumulativeEffectPeriodOfAdoptionAdjustedBalanceMemberus-gaap:RetainedEarningsMember2018-12-29000171015</w:t>
      </w:r>
      <w:r>
        <w:rPr>
          <w:rFonts w:eastAsia="Times New Roman"/>
          <w:vanish/>
        </w:rPr>
        <w:t>5srt:CumulativeEffectPeriodOfAdoptionAdjustedBalanceMemberus-gaap:TreasuryStockMember2018-12-290001710155srt:CumulativeEffectPeriodOfAdoptionAdjustedBalanceMember2018-12-290001710155us-gaap:CommonStockMember2018-12-302019-03-300001710155us-gaap:AdditionalP</w:t>
      </w:r>
      <w:r>
        <w:rPr>
          <w:rFonts w:eastAsia="Times New Roman"/>
          <w:vanish/>
        </w:rPr>
        <w:t>aidInCapitalMember2018-12-302019-03-3000017101552018-12-302019-03-300001710155us-gaap:AccumulatedOtherComprehensiveIncomeMember2018-12-302019-03-300001710155us-gaap:RetainedEarningsMember2018-12-302019-03-300001710155us-gaap:CommonStockMember2019-03-300001</w:t>
      </w:r>
      <w:r>
        <w:rPr>
          <w:rFonts w:eastAsia="Times New Roman"/>
          <w:vanish/>
        </w:rPr>
        <w:t>710155us-gaap:AdditionalPaidInCapitalMember2019-03-300001710155us-gaap:AccumulatedOtherComprehensiveIncomeMember2019-03-300001710155us-gaap:RetainedEarningsMember2019-03-300001710155us-gaap:TreasuryStockMember2019-03-3000017101552019-03-300001710155us-gaap</w:t>
      </w:r>
      <w:r>
        <w:rPr>
          <w:rFonts w:eastAsia="Times New Roman"/>
          <w:vanish/>
        </w:rPr>
        <w:t>:CommonStockMember2019-03-312019-06-290001710155us-gaap:AdditionalPaidInCapitalMember2019-03-312019-06-2900017101552019-03-312019-06-290001710155us-gaap:AccumulatedOtherComprehensiveIncomeMember2019-03-312019-06-290001710155us-gaap:RetainedEarningsMember20</w:t>
      </w:r>
      <w:r>
        <w:rPr>
          <w:rFonts w:eastAsia="Times New Roman"/>
          <w:vanish/>
        </w:rPr>
        <w:t>19-03-312019-06-290001710155us-gaap:CommonStockMember2019-06-290001710155us-gaap:AdditionalPaidInCapitalMember2019-06-290001710155us-gaap:AccumulatedOtherComprehensiveIncomeMember2019-06-290001710155us-gaap:RetainedEarningsMember2019-06-290001710155us-gaap</w:t>
      </w:r>
      <w:r>
        <w:rPr>
          <w:rFonts w:eastAsia="Times New Roman"/>
          <w:vanish/>
        </w:rPr>
        <w:t>:TreasuryStockMember2019-06-2900017101552019-06-290001710155us-gaap:CommonStockMember2019-06-302019-09-280001710155us-gaap:AdditionalPaidInCapitalMember2019-06-302019-09-280001710155us-gaap:TreasuryStockMember2019-06-302019-09-280001710155us-gaap:Accumulat</w:t>
      </w:r>
      <w:r>
        <w:rPr>
          <w:rFonts w:eastAsia="Times New Roman"/>
          <w:vanish/>
        </w:rPr>
        <w:t>edOtherComprehensiveIncomeMember2019-06-302019-09-280001710155us-gaap:RetainedEarningsMember2019-06-302019-09-280001710155us-gaap:CommonStockMember2019-09-280001710155us-gaap:AdditionalPaidInCapitalMember2019-09-280001710155us-gaap:AccumulatedOtherComprehe</w:t>
      </w:r>
      <w:r>
        <w:rPr>
          <w:rFonts w:eastAsia="Times New Roman"/>
          <w:vanish/>
        </w:rPr>
        <w:t>nsiveIncomeMember2019-09-280001710155us-gaap:RetainedEarningsMember2019-09-280001710155us-gaap:TreasuryStockMember2019-09-2800017101552019-09-28eye:storeeye:store_brandxbrli:pure0001710155srt:MinimumMember2019-12-292020-09-260001710155srt:MaximumMember2019</w:t>
      </w:r>
      <w:r>
        <w:rPr>
          <w:rFonts w:eastAsia="Times New Roman"/>
          <w:vanish/>
        </w:rPr>
        <w:t>-12-292020-09-260001710155us-gaap:SellingGeneralAndAdministrativeExpensesMember2020-06-282020-09-260001710155eye:ProductSalesMember2019-12-292020-09-260001710155eye:ServicesAndPlansMember2019-12-292020-09-260001710155us-gaap:SellingGeneralAndAdministrative</w:t>
      </w:r>
      <w:r>
        <w:rPr>
          <w:rFonts w:eastAsia="Times New Roman"/>
          <w:vanish/>
        </w:rPr>
        <w:t>ExpensesMember2019-12-292020-09-260001710155us-gaap:AccountingStandardsUpdate201613Membersrt:CumulativeEffectPeriodOfAdoptionAdjustmentMember2019-12-290001710155us-gaap:AccountingStandardsUpdate201613Memberus-gaap:RetainedEarningsMembersrt:CumulativeEffect</w:t>
      </w:r>
      <w:r>
        <w:rPr>
          <w:rFonts w:eastAsia="Times New Roman"/>
          <w:vanish/>
        </w:rPr>
        <w:t>PeriodOfAdoptionAdjustmentMember2019-12-290001710155us-gaap:TradeAccountsReceivableMember2020-09-260001710155us-gaap:TradeAccountsReceivableMember2019-12-280001710155us-gaap:CreditCardReceivablesMember2020-09-260001710155us-gaap:CreditCardReceivablesMember</w:t>
      </w:r>
      <w:r>
        <w:rPr>
          <w:rFonts w:eastAsia="Times New Roman"/>
          <w:vanish/>
        </w:rPr>
        <w:t>2019-12-280001710155eye:OtherReceivablesMember2020-09-260001710155eye:OtherReceivablesMember2019-12-280001710155us-gaap:LandAndBuildingMember2020-09-260001710155us-gaap:LandAndBuildingMember2019-12-280001710155us-gaap:EquipmentMember2020-09-260001710155us-</w:t>
      </w:r>
      <w:r>
        <w:rPr>
          <w:rFonts w:eastAsia="Times New Roman"/>
          <w:vanish/>
        </w:rPr>
        <w:t>gaap:EquipmentMember2019-12-280001710155eye:InformationSystemsHardwareAndSoftwareMember2020-09-260001710155eye:InformationSystemsHardwareAndSoftwareMember2019-12-280001710155us-gaap:FurnitureAndFixturesMember2020-09-260001710155us-gaap:FurnitureAndFixtures</w:t>
      </w:r>
      <w:r>
        <w:rPr>
          <w:rFonts w:eastAsia="Times New Roman"/>
          <w:vanish/>
        </w:rPr>
        <w:t>Member2019-12-280001710155us-gaap:LeaseholdImprovementsMember2020-09-260001710155us-gaap:LeaseholdImprovementsMember2019-12-280001710155us-gaap:ConstructionInProgressMember2020-09-260001710155us-gaap:ConstructionInProgressMember2019-12-280001710155eye:Asse</w:t>
      </w:r>
      <w:r>
        <w:rPr>
          <w:rFonts w:eastAsia="Times New Roman"/>
          <w:vanish/>
        </w:rPr>
        <w:t>tsHeldUnderFinanceLeasesMember2020-09-260001710155eye:AssetsHeldUnderFinanceLeasesMember2019-12-280001710155us-gaap:ConvertibleDebtMembereye:ConvertibleSeniorNotesDueIn2025Member2020-09-260001710155us-gaap:EstimateOfFairValueFairValueDisclosureMemberus-gaa</w:t>
      </w:r>
      <w:r>
        <w:rPr>
          <w:rFonts w:eastAsia="Times New Roman"/>
          <w:vanish/>
        </w:rPr>
        <w:t>p:FairValueInputsLevel2Memberus-gaap:ConvertibleDebtMembereye:ConvertibleSeniorNotesDueIn2025Member2020-09-260001710155eye:FinanceLeaseObligationsMemberus-gaap:EstimateOfFairValueFairValueDisclosureMemberus-gaap:FairValueInputsLevel2Member2020-09-260001710</w:t>
      </w:r>
      <w:r>
        <w:rPr>
          <w:rFonts w:eastAsia="Times New Roman"/>
          <w:vanish/>
        </w:rPr>
        <w:t>155eye:FinanceLeaseObligationsMemberus-gaap:EstimateOfFairValueFairValueDisclosureMemberus-gaap:FairValueInputsLevel2Member2019-12-280001710155us-gaap:ConvertibleDebtMembereye:ConvertibleSeniorNotesDueIn2025Member2019-12-280001710155us-gaap:LoansPayableMem</w:t>
      </w:r>
      <w:r>
        <w:rPr>
          <w:rFonts w:eastAsia="Times New Roman"/>
          <w:vanish/>
        </w:rPr>
        <w:t>bereye:FirstLienTermALoanDueJuly182024Member2020-09-260001710155us-gaap:LoansPayableMembereye:FirstLienTermALoanDueJuly182024Member2019-12-280001710155us-gaap:LineOfCreditMemberus-gaap:RevolvingCreditFacilityMember2020-09-260001710155us-gaap:LineOfCreditMe</w:t>
      </w:r>
      <w:r>
        <w:rPr>
          <w:rFonts w:eastAsia="Times New Roman"/>
          <w:vanish/>
        </w:rPr>
        <w:t>mberus-gaap:RevolvingCreditFacilityMember2019-12-280001710155us-gaap:ConvertibleDebtMembereye:ConvertibleSeniorNotesDueIn2025Member2020-05-310001710155us-gaap:ConvertibleDebtMembereye:ConvertibleSeniorNotesDueIn2025Member2020-05-012020-05-310001710155us-ga</w:t>
      </w:r>
      <w:r>
        <w:rPr>
          <w:rFonts w:eastAsia="Times New Roman"/>
          <w:vanish/>
        </w:rPr>
        <w:t>ap:LineOfCreditMemberus-gaap:RevolvingCreditFacilityMember2020-05-122020-05-120001710155us-gaap:LoansPayableMembereye:FirstLienTermALoanDueJuly182024Member2020-05-122020-05-120001710155srt:ScenarioForecastMemberus-gaap:ConvertibleDebtMembereye:ConvertibleS</w:t>
      </w:r>
      <w:r>
        <w:rPr>
          <w:rFonts w:eastAsia="Times New Roman"/>
          <w:vanish/>
        </w:rPr>
        <w:t>eniorNotesDueIn2025Member2020-10-012025-02-14eye:day0001710155srt:ScenarioForecastMemberus-gaap:ConvertibleDebtMembereye:ConvertibleSeniorNotesDueIn2025Member2020-05-012025-02-14eye:common_share0001710155srt:MaximumMemberus-gaap:ConvertibleDebtMembereye:Co</w:t>
      </w:r>
      <w:r>
        <w:rPr>
          <w:rFonts w:eastAsia="Times New Roman"/>
          <w:vanish/>
        </w:rPr>
        <w:t>nvertibleSeniorNotesDueIn2025Member2020-05-012020-05-310001710155us-gaap:ConvertibleDebtMembereye:ConvertibleSeniorNotesDueIn2025Member2020-09-262020-09-260001710155us-gaap:ConvertibleDebtMembereye:ConvertibleSeniorNotesDueIn2025Membereye:ConvertibleDebtEq</w:t>
      </w:r>
      <w:r>
        <w:rPr>
          <w:rFonts w:eastAsia="Times New Roman"/>
          <w:vanish/>
        </w:rPr>
        <w:t>uityComponentMember2020-05-310001710155eye:ConvertibleDebtDebtComponentMemberus-gaap:ConvertibleDebtMembereye:ConvertibleSeniorNotesDueIn2025Member2020-05-310001710155us-gaap:ConvertibleDebtMembereye:ConvertibleSeniorNotesDueIn2025Member2020-06-282020-09-2</w:t>
      </w:r>
      <w:r>
        <w:rPr>
          <w:rFonts w:eastAsia="Times New Roman"/>
          <w:vanish/>
        </w:rPr>
        <w:t>60001710155us-gaap:ConvertibleDebtMembereye:ConvertibleSeniorNotesDueIn2025Member2019-12-292020-09-260001710155us-gaap:LineOfCreditMemberus-gaap:RevolvingCreditFacilityMember2020-03-172020-03-170001710155srt:ScenarioForecastMembereye:AmendedCreditFacilityJ</w:t>
      </w:r>
      <w:r>
        <w:rPr>
          <w:rFonts w:eastAsia="Times New Roman"/>
          <w:vanish/>
        </w:rPr>
        <w:t>uly2019Member2021-04-042021-10-020001710155srt:ScenarioForecastMembereye:AmendedCreditFacilityJuly2019Member2021-10-032022-01-010001710155srt:ScenarioForecastMembereye:AmendedCreditFacilityJuly2019Member2021-04-042024-07-180001710155eye:AmendedCreditFacili</w:t>
      </w:r>
      <w:r>
        <w:rPr>
          <w:rFonts w:eastAsia="Times New Roman"/>
          <w:vanish/>
        </w:rPr>
        <w:t>tyJuly2019Member2020-05-052020-05-050001710155eye:AmendedCreditFacilityJuly2019Member2020-05-050001710155us-gaap:LoansPayableMembereye:FirstLienTermALoanDueJuly182024Member2020-05-052020-05-050001710155us-gaap:RevolvingCreditFacilityMember2020-05-050001710</w:t>
      </w:r>
      <w:r>
        <w:rPr>
          <w:rFonts w:eastAsia="Times New Roman"/>
          <w:vanish/>
        </w:rPr>
        <w:t>155us-gaap:LoansPayableMemberus-gaap:LondonInterbankOfferedRateLIBORMembereye:FirstLienTermALoanDueJuly182024Membersrt:MinimumMember2020-05-052020-05-050001710155us-gaap:LoansPayableMembersrt:MaximumMemberus-gaap:LondonInterbankOfferedRateLIBORMembereye:Fi</w:t>
      </w:r>
      <w:r>
        <w:rPr>
          <w:rFonts w:eastAsia="Times New Roman"/>
          <w:vanish/>
        </w:rPr>
        <w:t>rstLienTermALoanDueJuly182024Member2020-05-052020-05-050001710155us-gaap:LoansPayableMemberus-gaap:BaseRateMembereye:FirstLienTermALoanDueJuly182024Membersrt:MinimumMember2020-05-052020-05-050001710155us-gaap:LoansPayableMemberus-gaap:BaseRateMembersrt:Max</w:t>
      </w:r>
      <w:r>
        <w:rPr>
          <w:rFonts w:eastAsia="Times New Roman"/>
          <w:vanish/>
        </w:rPr>
        <w:t>imumMembereye:FirstLienTermALoanDueJuly182024Member2020-05-052020-05-050001710155us-gaap:LoansPayableMembereye:FirstLienTermALoanDueJuly182024Member2020-05-050001710155us-gaap:LoansPayableMembereye:FirstLienTermALoanDueJuly182024Member2018-12-302019-12-280</w:t>
      </w:r>
      <w:r>
        <w:rPr>
          <w:rFonts w:eastAsia="Times New Roman"/>
          <w:vanish/>
        </w:rPr>
        <w:t>001710155us-gaap:InterestRateSwapMemberus-gaap:CashFlowHedgingMember2020-09-260001710155us-gaap:DesignatedAsHedgingInstrumentMembereye:InterestRateSwapOneMemberus-gaap:CashFlowHedgingMember2019-12-280001710155us-gaap:DesignatedAsHedgingInstrumentMembereye:</w:t>
      </w:r>
      <w:r>
        <w:rPr>
          <w:rFonts w:eastAsia="Times New Roman"/>
          <w:vanish/>
        </w:rPr>
        <w:t>InterestRateSwapOneMemberus-gaap:CashFlowHedgingMember2020-03-280001710155eye:InterestRateCollarMemberus-gaap:DesignatedAsHedgingInstrumentMemberus-gaap:CashFlowHedgingMember2020-06-270001710155us-gaap:NondesignatedMemberus-gaap:InterestRateSwapMember2020-</w:t>
      </w:r>
      <w:r>
        <w:rPr>
          <w:rFonts w:eastAsia="Times New Roman"/>
          <w:vanish/>
        </w:rPr>
        <w:t>09-260001710155eye:InterestRateCollarMemberus-gaap:NondesignatedMember2020-09-260001710155eye:InterestRateSwapAndInterestRateCollarMemberus-gaap:InterestExpenseMember2019-12-292020-09-260001710155us-gaap:AccruedLiabilitiesMemberus-gaap:InterestRateSwapMemb</w:t>
      </w:r>
      <w:r>
        <w:rPr>
          <w:rFonts w:eastAsia="Times New Roman"/>
          <w:vanish/>
        </w:rPr>
        <w:t>erus-gaap:DesignatedAsHedgingInstrumentMember2020-09-260001710155us-gaap:AccruedLiabilitiesMemberus-gaap:InterestRateSwapMemberus-gaap:DesignatedAsHedgingInstrumentMember2019-12-280001710155us-gaap:InterestRateSwapMemberus-gaap:DesignatedAsHedgingInstrumen</w:t>
      </w:r>
      <w:r>
        <w:rPr>
          <w:rFonts w:eastAsia="Times New Roman"/>
          <w:vanish/>
        </w:rPr>
        <w:t>tMemberus-gaap:OtherNoncurrentLiabilitiesMember2020-09-260001710155us-gaap:InterestRateSwapMemberus-gaap:DesignatedAsHedgingInstrumentMemberus-gaap:OtherNoncurrentLiabilitiesMember2019-12-280001710155us-gaap:DesignatedAsHedgingInstrumentMember2020-09-26000</w:t>
      </w:r>
      <w:r>
        <w:rPr>
          <w:rFonts w:eastAsia="Times New Roman"/>
          <w:vanish/>
        </w:rPr>
        <w:t>1710155us-gaap:DesignatedAsHedgingInstrumentMember2019-12-280001710155us-gaap:AccruedLiabilitiesMemberus-gaap:NondesignatedMemberus-gaap:InterestRateSwapMember2020-09-260001710155us-gaap:AccruedLiabilitiesMemberus-gaap:NondesignatedMemberus-gaap:InterestRa</w:t>
      </w:r>
      <w:r>
        <w:rPr>
          <w:rFonts w:eastAsia="Times New Roman"/>
          <w:vanish/>
        </w:rPr>
        <w:t>teSwapMember2019-12-280001710155us-gaap:AccruedLiabilitiesMembereye:InterestRateCollarMemberus-gaap:NondesignatedMember2020-09-260001710155us-gaap:AccruedLiabilitiesMembereye:InterestRateCollarMemberus-gaap:NondesignatedMember2019-12-280001710155eye:Intere</w:t>
      </w:r>
      <w:r>
        <w:rPr>
          <w:rFonts w:eastAsia="Times New Roman"/>
          <w:vanish/>
        </w:rPr>
        <w:t>stRateCollarMemberus-gaap:NondesignatedMemberus-gaap:OtherNoncurrentLiabilitiesMember2020-09-260001710155eye:InterestRateCollarMemberus-gaap:NondesignatedMemberus-gaap:OtherNoncurrentLiabilitiesMember2019-12-280001710155us-gaap:NondesignatedMember2020-09-2</w:t>
      </w:r>
      <w:r>
        <w:rPr>
          <w:rFonts w:eastAsia="Times New Roman"/>
          <w:vanish/>
        </w:rPr>
        <w:t>60001710155us-gaap:NondesignatedMember2019-12-280001710155eye:TwoThousandSeventeenOmnibusIncentivePlanMember2019-12-292020-09-260001710155eye:TwoThousandSeventeenOmnibusIncentivePlanMembereye:RestrictedStockUnitsPSUsPerformanceBasedMember2019-12-292020-09-</w:t>
      </w:r>
      <w:r>
        <w:rPr>
          <w:rFonts w:eastAsia="Times New Roman"/>
          <w:vanish/>
        </w:rPr>
        <w:t>260001710155eye:TwoThousandSeventeenOmnibusIncentivePlanMembereye:RestrictedStockUnitsRSUsServiceBasedMember2019-12-292020-09-26eye:installment0001710155us-gaap:EmployeeStockOptionMembereye:TwoThousandSeventeenOmnibusIncentivePlanMember2019-12-292020-09-26</w:t>
      </w:r>
      <w:r>
        <w:rPr>
          <w:rFonts w:eastAsia="Times New Roman"/>
          <w:vanish/>
        </w:rPr>
        <w:t>0001710155eye:TwoThousandSeventeenOmnibusIncentivePlanMemberus-gaap:RestrictedStockMember2019-12-292020-09-260001710155us-gaap:EquityMethodInvestmentNonconsolidatedInvesteeOrGroupOfInvesteesMember2020-09-260001710155us-gaap:EquityMethodInvesteeMember2017-0</w:t>
      </w:r>
      <w:r>
        <w:rPr>
          <w:rFonts w:eastAsia="Times New Roman"/>
          <w:vanish/>
        </w:rPr>
        <w:t>8-290001710155us-gaap:EquityMethodInvesteeMemberus-gaap:NotesReceivableMember2020-09-260001710155us-gaap:TransferredAtPointInTimeMember2020-06-282020-09-260001710155us-gaap:TransferredAtPointInTimeMember2019-06-302019-09-280001710155us-gaap:TransferredAtPo</w:t>
      </w:r>
      <w:r>
        <w:rPr>
          <w:rFonts w:eastAsia="Times New Roman"/>
          <w:vanish/>
        </w:rPr>
        <w:t>intInTimeMember2019-12-292020-09-260001710155us-gaap:TransferredAtPointInTimeMember2018-12-302019-09-280001710155us-gaap:TransferredOverTimeMember2020-06-282020-09-260001710155us-gaap:TransferredOverTimeMember2019-06-302019-09-280001710155us-gaap:Transferr</w:t>
      </w:r>
      <w:r>
        <w:rPr>
          <w:rFonts w:eastAsia="Times New Roman"/>
          <w:vanish/>
        </w:rPr>
        <w:t>edOverTimeMember2019-12-292020-09-260001710155us-gaap:TransferredOverTimeMember2018-12-302019-09-2800017101552020-09-272020-09-2600017101552021-01-032020-09-2600017101552022-01-022020-09-2600017101552023-01-012020-09-2600017101552023-12-312020-09-260001710</w:t>
      </w:r>
      <w:r>
        <w:rPr>
          <w:rFonts w:eastAsia="Times New Roman"/>
          <w:vanish/>
        </w:rPr>
        <w:t>155srt:MinimumMemberus-gaap:BuildingAndBuildingImprovementsMember2019-12-292020-09-260001710155srt:MaximumMemberus-gaap:BuildingAndBuildingImprovementsMember2019-12-292020-09-260001710155srt:MinimumMember2020-03-292020-06-270001710155srt:MaximumMember2020-</w:t>
      </w:r>
      <w:r>
        <w:rPr>
          <w:rFonts w:eastAsia="Times New Roman"/>
          <w:vanish/>
        </w:rPr>
        <w:t>03-292020-06-270001710155eye:OneEightHundredContactsMatterMember2017-04-022017-07-010001710155eye:OneEightHundredContactsMatterMember2017-05-012017-05-310001710155eye:OneEightHundredContactsMatterMember2017-11-082017-11-080001710155eye:OneEightHundredConta</w:t>
      </w:r>
      <w:r>
        <w:rPr>
          <w:rFonts w:eastAsia="Times New Roman"/>
          <w:vanish/>
        </w:rPr>
        <w:t>ctsMatterMemberus-gaap:SubsequentEventMember2020-10-202020-10-200001710155eye:WageAndHoursCaseMember2020-02-272020-02-27eye:plaintiff0001710155eye:ClassActionFairLaborStandardsActMember2019-11-012019-11-300001710155srt:MaximumMembereye:ClassActionFairLabor</w:t>
      </w:r>
      <w:r>
        <w:rPr>
          <w:rFonts w:eastAsia="Times New Roman"/>
          <w:vanish/>
        </w:rPr>
        <w:t>StandardsActMember2019-11-012019-11-30eye:segment0001710155eye:WalmartIncMember2020-07-172020-07-170001710155eye:ProductSalesMembereye:OwnedAndHostStoreBrandsMemberus-gaap:OperatingSegmentsMember2020-06-282020-09-260001710155eye:ProductSalesMemberus-gaap:O</w:t>
      </w:r>
      <w:r>
        <w:rPr>
          <w:rFonts w:eastAsia="Times New Roman"/>
          <w:vanish/>
        </w:rPr>
        <w:t>peratingSegmentsMembereye:LegacyMember2020-06-282020-09-260001710155us-gaap:CorporateAndOtherMembereye:ProductSalesMemberus-gaap:OperatingSegmentsMember2020-06-282020-09-260001710155us-gaap:MaterialReconcilingItemsMembereye:ProductSalesMember2020-06-282020</w:t>
      </w:r>
      <w:r>
        <w:rPr>
          <w:rFonts w:eastAsia="Times New Roman"/>
          <w:vanish/>
        </w:rPr>
        <w:t>-09-260001710155eye:OwnedAndHostStoreBrandsMembereye:ServicesAndPlansMemberus-gaap:OperatingSegmentsMember2020-06-282020-09-260001710155eye:ServicesAndPlansMemberus-gaap:OperatingSegmentsMembereye:LegacyMember2020-06-282020-09-260001710155us-gaap:Corporate</w:t>
      </w:r>
      <w:r>
        <w:rPr>
          <w:rFonts w:eastAsia="Times New Roman"/>
          <w:vanish/>
        </w:rPr>
        <w:t>AndOtherMembereye:ServicesAndPlansMemberus-gaap:OperatingSegmentsMember2020-06-282020-09-260001710155us-gaap:MaterialReconcilingItemsMembereye:ServicesAndPlansMember2020-06-282020-09-260001710155eye:OwnedAndHostStoreBrandsMemberus-gaap:OperatingSegmentsMem</w:t>
      </w:r>
      <w:r>
        <w:rPr>
          <w:rFonts w:eastAsia="Times New Roman"/>
          <w:vanish/>
        </w:rPr>
        <w:t>ber2020-06-282020-09-260001710155us-gaap:OperatingSegmentsMembereye:LegacyMember2020-06-282020-09-260001710155us-gaap:CorporateAndOtherMemberus-gaap:OperatingSegmentsMember2020-06-282020-09-260001710155us-gaap:MaterialReconcilingItemsMember2020-06-282020-0</w:t>
      </w:r>
      <w:r>
        <w:rPr>
          <w:rFonts w:eastAsia="Times New Roman"/>
          <w:vanish/>
        </w:rPr>
        <w:t>9-260001710155eye:ProductSalesMembereye:OwnedAndHostStoreBrandsMemberus-gaap:OperatingSegmentsMember2019-06-302019-09-280001710155eye:ProductSalesMemberus-gaap:OperatingSegmentsMembereye:LegacyMember2019-06-302019-09-280001710155us-gaap:CorporateAndOtherMe</w:t>
      </w:r>
      <w:r>
        <w:rPr>
          <w:rFonts w:eastAsia="Times New Roman"/>
          <w:vanish/>
        </w:rPr>
        <w:t>mbereye:ProductSalesMemberus-gaap:OperatingSegmentsMember2019-06-302019-09-280001710155us-gaap:MaterialReconcilingItemsMembereye:ProductSalesMember2019-06-302019-09-280001710155eye:OwnedAndHostStoreBrandsMembereye:ServicesAndPlansMemberus-gaap:OperatingSeg</w:t>
      </w:r>
      <w:r>
        <w:rPr>
          <w:rFonts w:eastAsia="Times New Roman"/>
          <w:vanish/>
        </w:rPr>
        <w:t>mentsMember2019-06-302019-09-280001710155eye:ServicesAndPlansMemberus-gaap:OperatingSegmentsMembereye:LegacyMember2019-06-302019-09-280001710155us-gaap:CorporateAndOtherMembereye:ServicesAndPlansMemberus-gaap:OperatingSegmentsMember2019-06-302019-09-280001</w:t>
      </w:r>
      <w:r>
        <w:rPr>
          <w:rFonts w:eastAsia="Times New Roman"/>
          <w:vanish/>
        </w:rPr>
        <w:t>710155us-gaap:MaterialReconcilingItemsMembereye:ServicesAndPlansMember2019-06-302019-09-280001710155eye:OwnedAndHostStoreBrandsMemberus-gaap:OperatingSegmentsMember2019-06-302019-09-280001710155us-gaap:OperatingSegmentsMembereye:LegacyMember2019-06-302019-</w:t>
      </w:r>
      <w:r>
        <w:rPr>
          <w:rFonts w:eastAsia="Times New Roman"/>
          <w:vanish/>
        </w:rPr>
        <w:t>09-280001710155us-gaap:CorporateAndOtherMemberus-gaap:OperatingSegmentsMember2019-06-302019-09-280001710155us-gaap:MaterialReconcilingItemsMember2019-06-302019-09-280001710155eye:ProductSalesMembereye:OwnedAndHostStoreBrandsMemberus-gaap:OperatingSegmentsM</w:t>
      </w:r>
      <w:r>
        <w:rPr>
          <w:rFonts w:eastAsia="Times New Roman"/>
          <w:vanish/>
        </w:rPr>
        <w:t>ember2019-12-292020-09-260001710155eye:ProductSalesMemberus-gaap:OperatingSegmentsMembereye:LegacyMember2019-12-292020-09-260001710155us-gaap:CorporateAndOtherMembereye:ProductSalesMemberus-gaap:OperatingSegmentsMember2019-12-292020-09-260001710155us-gaap:</w:t>
      </w:r>
      <w:r>
        <w:rPr>
          <w:rFonts w:eastAsia="Times New Roman"/>
          <w:vanish/>
        </w:rPr>
        <w:t>MaterialReconcilingItemsMembereye:ProductSalesMember2019-12-292020-09-260001710155eye:OwnedAndHostStoreBrandsMembereye:ServicesAndPlansMemberus-gaap:OperatingSegmentsMember2019-12-292020-09-260001710155eye:ServicesAndPlansMemberus-gaap:OperatingSegmentsMem</w:t>
      </w:r>
      <w:r>
        <w:rPr>
          <w:rFonts w:eastAsia="Times New Roman"/>
          <w:vanish/>
        </w:rPr>
        <w:t>bereye:LegacyMember2019-12-292020-09-260001710155us-gaap:CorporateAndOtherMembereye:ServicesAndPlansMemberus-gaap:OperatingSegmentsMember2019-12-292020-09-260001710155us-gaap:MaterialReconcilingItemsMembereye:ServicesAndPlansMember2019-12-292020-09-2600017</w:t>
      </w:r>
      <w:r>
        <w:rPr>
          <w:rFonts w:eastAsia="Times New Roman"/>
          <w:vanish/>
        </w:rPr>
        <w:t>10155eye:OwnedAndHostStoreBrandsMemberus-gaap:OperatingSegmentsMember2019-12-292020-09-260001710155us-gaap:OperatingSegmentsMembereye:LegacyMember2019-12-292020-09-260001710155us-gaap:CorporateAndOtherMemberus-gaap:OperatingSegmentsMember2019-12-292020-09-</w:t>
      </w:r>
      <w:r>
        <w:rPr>
          <w:rFonts w:eastAsia="Times New Roman"/>
          <w:vanish/>
        </w:rPr>
        <w:t>260001710155us-gaap:MaterialReconcilingItemsMember2019-12-292020-09-260001710155eye:ProductSalesMembereye:OwnedAndHostStoreBrandsMemberus-gaap:OperatingSegmentsMember2018-12-302019-09-280001710155eye:ProductSalesMemberus-gaap:OperatingSegmentsMembereye:Leg</w:t>
      </w:r>
      <w:r>
        <w:rPr>
          <w:rFonts w:eastAsia="Times New Roman"/>
          <w:vanish/>
        </w:rPr>
        <w:t>acyMember2018-12-302019-09-280001710155us-gaap:CorporateAndOtherMembereye:ProductSalesMemberus-gaap:OperatingSegmentsMember2018-12-302019-09-280001710155us-gaap:MaterialReconcilingItemsMembereye:ProductSalesMember2018-12-302019-09-280001710155eye:OwnedAndH</w:t>
      </w:r>
      <w:r>
        <w:rPr>
          <w:rFonts w:eastAsia="Times New Roman"/>
          <w:vanish/>
        </w:rPr>
        <w:t>ostStoreBrandsMembereye:ServicesAndPlansMemberus-gaap:OperatingSegmentsMember2018-12-302019-09-280001710155eye:ServicesAndPlansMemberus-gaap:OperatingSegmentsMembereye:LegacyMember2018-12-302019-09-280001710155us-gaap:CorporateAndOtherMembereye:ServicesAnd</w:t>
      </w:r>
      <w:r>
        <w:rPr>
          <w:rFonts w:eastAsia="Times New Roman"/>
          <w:vanish/>
        </w:rPr>
        <w:t>PlansMemberus-gaap:OperatingSegmentsMember2018-12-302019-09-280001710155us-gaap:MaterialReconcilingItemsMembereye:ServicesAndPlansMember2018-12-302019-09-280001710155eye:OwnedAndHostStoreBrandsMemberus-gaap:OperatingSegmentsMember2018-12-302019-09-28000171</w:t>
      </w:r>
      <w:r>
        <w:rPr>
          <w:rFonts w:eastAsia="Times New Roman"/>
          <w:vanish/>
        </w:rPr>
        <w:t>0155us-gaap:OperatingSegmentsMembereye:LegacyMember2018-12-302019-09-280001710155us-gaap:CorporateAndOtherMemberus-gaap:OperatingSegmentsMember2018-12-302019-09-280001710155us-gaap:MaterialReconcilingItemsMember2018-12-302019-09-280001710155eye:ManagementO</w:t>
      </w:r>
      <w:r>
        <w:rPr>
          <w:rFonts w:eastAsia="Times New Roman"/>
          <w:vanish/>
        </w:rPr>
        <w:t>fOperationsMembereye:LegacyMember2020-06-282020-09-260001710155eye:ManagementOfOperationsMembereye:LegacyMember2019-12-292020-09-260001710155eye:ManagementOfOperationsMembereye:LegacyMember2019-06-302019-09-280001710155eye:ManagementOfOperationsMembereye:L</w:t>
      </w:r>
      <w:r>
        <w:rPr>
          <w:rFonts w:eastAsia="Times New Roman"/>
          <w:vanish/>
        </w:rPr>
        <w:t>egacyMember2018-12-302019-09-280001710155eye:LegacyPartnerMemberus-gaap:SalesRevenueNetMemberus-gaap:CustomerConcentrationRiskMember2019-12-292020-09-260001710155us-gaap:SalesRevenueNetMembereye:ACLensWalmartSamsClubContactLensesDistributionArrangementsMem</w:t>
      </w:r>
      <w:r>
        <w:rPr>
          <w:rFonts w:eastAsia="Times New Roman"/>
          <w:vanish/>
        </w:rPr>
        <w:t>berus-gaap:CustomerConcentrationRiskMember2019-12-292020-09-260001710155eye:StockOptionsAndRestrictedStockUnitsRSUsMember2020-06-282020-09-260001710155eye:StockOptionsAndRestrictedStockUnitsRSUsMember2019-06-302019-09-280001710155eye:StockOptionsAndRestric</w:t>
      </w:r>
      <w:r>
        <w:rPr>
          <w:rFonts w:eastAsia="Times New Roman"/>
          <w:vanish/>
        </w:rPr>
        <w:t>tedStockUnitsRSUsMember2019-12-292020-09-260001710155eye:StockOptionsAndRestrictedStockUnitsRSUsMember2018-12-302019-09-280001710155us-gaap:AccumulatedGainLossNetCashFlowHedgeParentMember2020-06-270001710155us-gaap:AccumulatedGainLossNetCashFlowHedgeParent</w:t>
      </w:r>
      <w:r>
        <w:rPr>
          <w:rFonts w:eastAsia="Times New Roman"/>
          <w:vanish/>
        </w:rPr>
        <w:t>Member2019-06-290001710155us-gaap:AccumulatedGainLossNetCashFlowHedgeParentMember2019-12-280001710155us-gaap:AccumulatedGainLossNetCashFlowHedgeParentMember2018-12-290001710155us-gaap:AccumulatedGainLossNetCashFlowHedgeParentMember2020-06-282020-09-2600017</w:t>
      </w:r>
      <w:r>
        <w:rPr>
          <w:rFonts w:eastAsia="Times New Roman"/>
          <w:vanish/>
        </w:rPr>
        <w:t>10155us-gaap:AccumulatedGainLossNetCashFlowHedgeParentMember2019-06-302019-09-280001710155us-gaap:AccumulatedGainLossNetCashFlowHedgeParentMember2019-12-292020-09-260001710155us-gaap:AccumulatedGainLossNetCashFlowHedgeParentMember2018-12-302019-09-28000171</w:t>
      </w:r>
      <w:r>
        <w:rPr>
          <w:rFonts w:eastAsia="Times New Roman"/>
          <w:vanish/>
        </w:rPr>
        <w:t>0155us-gaap:AccumulatedGainLossNetCashFlowHedgeParentMember2020-09-260001710155us-gaap:AccumulatedGainLossNetCashFlowHedgeParentMember2019-09-28</w:t>
      </w:r>
    </w:p>
    <w:p w:rsidR="00000000" w:rsidRDefault="0039134F">
      <w:pPr>
        <w:divId w:val="12899676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19038704"/>
        </w:trPr>
        <w:tc>
          <w:tcPr>
            <w:tcW w:w="50" w:type="pct"/>
            <w:vAlign w:val="center"/>
            <w:hideMark/>
          </w:tcPr>
          <w:p w:rsidR="00000000" w:rsidRDefault="0039134F">
            <w:pPr>
              <w:rPr>
                <w:rFonts w:eastAsia="Times New Roman"/>
              </w:rPr>
            </w:pPr>
          </w:p>
        </w:tc>
        <w:tc>
          <w:tcPr>
            <w:tcW w:w="494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019038704"/>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jc w:val="center"/>
        <w:rPr>
          <w:rFonts w:eastAsia="Times New Roman"/>
        </w:rPr>
      </w:pPr>
      <w:r>
        <w:rPr>
          <w:rFonts w:eastAsia="Times New Roman"/>
          <w:b/>
          <w:bCs/>
          <w:color w:val="000000"/>
          <w:sz w:val="34"/>
          <w:szCs w:val="34"/>
        </w:rPr>
        <w:t>UNITED STATES</w:t>
      </w:r>
    </w:p>
    <w:p w:rsidR="00000000" w:rsidRDefault="0039134F">
      <w:pPr>
        <w:jc w:val="center"/>
        <w:rPr>
          <w:rFonts w:eastAsia="Times New Roman"/>
        </w:rPr>
      </w:pPr>
      <w:r>
        <w:rPr>
          <w:rFonts w:eastAsia="Times New Roman"/>
          <w:b/>
          <w:bCs/>
          <w:color w:val="000000"/>
          <w:sz w:val="34"/>
          <w:szCs w:val="34"/>
        </w:rPr>
        <w:t>SECURITIES AND EXCHANGE COMMISSION</w:t>
      </w:r>
    </w:p>
    <w:p w:rsidR="00000000" w:rsidRDefault="0039134F">
      <w:pPr>
        <w:jc w:val="center"/>
        <w:divId w:val="1547375410"/>
        <w:rPr>
          <w:rFonts w:eastAsia="Times New Roman"/>
        </w:rPr>
      </w:pPr>
      <w:r>
        <w:rPr>
          <w:rFonts w:eastAsia="Times New Roman"/>
          <w:b/>
          <w:bCs/>
          <w:color w:val="000000"/>
          <w:sz w:val="18"/>
          <w:szCs w:val="18"/>
        </w:rPr>
        <w:t>Washington, D.C. 20549</w:t>
      </w:r>
    </w:p>
    <w:p w:rsidR="00000000" w:rsidRDefault="0039134F">
      <w:pPr>
        <w:jc w:val="center"/>
        <w:divId w:val="1935817781"/>
        <w:rPr>
          <w:rFonts w:eastAsia="Times New Roman"/>
        </w:rPr>
      </w:pPr>
      <w:r>
        <w:rPr>
          <w:rFonts w:eastAsia="Times New Roman"/>
          <w:b/>
          <w:bCs/>
          <w:color w:val="000000"/>
          <w:sz w:val="12"/>
          <w:szCs w:val="12"/>
        </w:rPr>
        <w:t>_______________________________________________________________________</w:t>
      </w:r>
    </w:p>
    <w:p w:rsidR="00000000" w:rsidRDefault="0039134F">
      <w:pPr>
        <w:jc w:val="center"/>
        <w:rPr>
          <w:rFonts w:eastAsia="Times New Roman"/>
        </w:rPr>
      </w:pPr>
      <w:r>
        <w:rPr>
          <w:rFonts w:eastAsia="Times New Roman"/>
          <w:b/>
          <w:bCs/>
          <w:color w:val="000000"/>
          <w:sz w:val="34"/>
          <w:szCs w:val="34"/>
        </w:rPr>
        <w:t xml:space="preserve">FORM 10-Q </w:t>
      </w:r>
    </w:p>
    <w:p w:rsidR="00000000" w:rsidRDefault="0039134F">
      <w:pPr>
        <w:jc w:val="center"/>
        <w:divId w:val="1299920587"/>
        <w:rPr>
          <w:rFonts w:eastAsia="Times New Roman"/>
        </w:rPr>
      </w:pPr>
      <w:r>
        <w:rPr>
          <w:rFonts w:eastAsia="Times New Roman"/>
          <w:b/>
          <w:bCs/>
          <w:color w:val="000000"/>
          <w:sz w:val="12"/>
          <w:szCs w:val="12"/>
        </w:rPr>
        <w:t>_______________________________________________________________________</w:t>
      </w:r>
    </w:p>
    <w:p w:rsidR="00000000" w:rsidRDefault="0039134F">
      <w:pPr>
        <w:divId w:val="458844558"/>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rsidR="00000000" w:rsidRDefault="0039134F">
      <w:pPr>
        <w:jc w:val="center"/>
        <w:divId w:val="413286295"/>
        <w:rPr>
          <w:rFonts w:eastAsia="Times New Roman"/>
        </w:rPr>
      </w:pPr>
      <w:r>
        <w:rPr>
          <w:rFonts w:eastAsia="Times New Roman"/>
          <w:b/>
          <w:bCs/>
          <w:color w:val="000000"/>
          <w:sz w:val="18"/>
          <w:szCs w:val="18"/>
        </w:rPr>
        <w:t>For the qua</w:t>
      </w:r>
      <w:r>
        <w:rPr>
          <w:rFonts w:eastAsia="Times New Roman"/>
          <w:b/>
          <w:bCs/>
          <w:color w:val="000000"/>
          <w:sz w:val="18"/>
          <w:szCs w:val="18"/>
        </w:rPr>
        <w:t xml:space="preserve">rterly period ended September 26, 2020 </w:t>
      </w:r>
    </w:p>
    <w:p w:rsidR="00000000" w:rsidRDefault="0039134F">
      <w:pPr>
        <w:jc w:val="center"/>
        <w:divId w:val="751270662"/>
        <w:rPr>
          <w:rFonts w:eastAsia="Times New Roman"/>
        </w:rPr>
      </w:pPr>
      <w:r>
        <w:rPr>
          <w:rFonts w:eastAsia="Times New Roman"/>
          <w:b/>
          <w:bCs/>
          <w:color w:val="000000"/>
          <w:sz w:val="18"/>
          <w:szCs w:val="18"/>
        </w:rPr>
        <w:t>OR</w:t>
      </w:r>
    </w:p>
    <w:p w:rsidR="00000000" w:rsidRDefault="0039134F">
      <w:pPr>
        <w:divId w:val="1329168046"/>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15(d) OF THE SECURITIES EXCHANGE ACT OF 1934</w:t>
      </w:r>
    </w:p>
    <w:p w:rsidR="00000000" w:rsidRDefault="0039134F">
      <w:pPr>
        <w:jc w:val="center"/>
        <w:divId w:val="195703889"/>
        <w:rPr>
          <w:rFonts w:eastAsia="Times New Roman"/>
        </w:rPr>
      </w:pPr>
      <w:r>
        <w:rPr>
          <w:rFonts w:eastAsia="Times New Roman"/>
          <w:b/>
          <w:bCs/>
          <w:color w:val="000000"/>
          <w:sz w:val="18"/>
          <w:szCs w:val="18"/>
        </w:rPr>
        <w:t>For the transition period from           to         </w:t>
      </w:r>
    </w:p>
    <w:p w:rsidR="00000000" w:rsidRDefault="0039134F">
      <w:pPr>
        <w:jc w:val="center"/>
        <w:divId w:val="312876048"/>
        <w:rPr>
          <w:rFonts w:eastAsia="Times New Roman"/>
        </w:rPr>
      </w:pPr>
      <w:r>
        <w:rPr>
          <w:rFonts w:eastAsia="Times New Roman"/>
          <w:b/>
          <w:bCs/>
          <w:color w:val="000000"/>
          <w:sz w:val="18"/>
          <w:szCs w:val="18"/>
        </w:rPr>
        <w:t xml:space="preserve">Commission file number 001-38257 </w:t>
      </w:r>
    </w:p>
    <w:p w:rsidR="00000000" w:rsidRDefault="0039134F">
      <w:pPr>
        <w:jc w:val="center"/>
        <w:divId w:val="719986077"/>
        <w:rPr>
          <w:rFonts w:eastAsia="Times New Roman"/>
        </w:rPr>
      </w:pPr>
      <w:r>
        <w:rPr>
          <w:rFonts w:eastAsia="Times New Roman"/>
          <w:b/>
          <w:bCs/>
          <w:color w:val="000000"/>
          <w:sz w:val="12"/>
          <w:szCs w:val="12"/>
        </w:rPr>
        <w:t>___________________________________</w:t>
      </w:r>
      <w:r>
        <w:rPr>
          <w:rFonts w:eastAsia="Times New Roman"/>
          <w:b/>
          <w:bCs/>
          <w:color w:val="000000"/>
          <w:sz w:val="12"/>
          <w:szCs w:val="12"/>
        </w:rPr>
        <w:t>____________________________________</w:t>
      </w:r>
    </w:p>
    <w:p w:rsidR="00000000" w:rsidRDefault="0039134F">
      <w:pPr>
        <w:jc w:val="center"/>
        <w:rPr>
          <w:rFonts w:eastAsia="Times New Roman"/>
        </w:rPr>
      </w:pPr>
      <w:r>
        <w:rPr>
          <w:rFonts w:eastAsia="Times New Roman"/>
          <w:b/>
          <w:bCs/>
          <w:color w:val="000000"/>
          <w:sz w:val="32"/>
          <w:szCs w:val="32"/>
        </w:rPr>
        <w:t>National Vision Holdings, Inc.</w:t>
      </w:r>
    </w:p>
    <w:p w:rsidR="00000000" w:rsidRDefault="0039134F">
      <w:pPr>
        <w:jc w:val="center"/>
        <w:divId w:val="800073343"/>
        <w:rPr>
          <w:rFonts w:eastAsia="Times New Roman"/>
        </w:rPr>
      </w:pPr>
      <w:r>
        <w:rPr>
          <w:rFonts w:eastAsia="Times New Roman"/>
          <w:color w:val="000000"/>
          <w:sz w:val="20"/>
          <w:szCs w:val="20"/>
        </w:rPr>
        <w:t>(Exact name of registrant as specified in its charter)</w:t>
      </w:r>
    </w:p>
    <w:p w:rsidR="00000000" w:rsidRDefault="0039134F">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1127696790"/>
          <w:jc w:val="center"/>
        </w:trPr>
        <w:tc>
          <w:tcPr>
            <w:tcW w:w="20" w:type="dxa"/>
            <w:vAlign w:val="center"/>
            <w:hideMark/>
          </w:tcPr>
          <w:p w:rsidR="00000000" w:rsidRDefault="0039134F">
            <w:pPr>
              <w:jc w:val="center"/>
              <w:rPr>
                <w:rFonts w:eastAsia="Times New Roman"/>
              </w:rPr>
            </w:pPr>
          </w:p>
        </w:tc>
        <w:tc>
          <w:tcPr>
            <w:tcW w:w="488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56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488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r>
      <w:tr w:rsidR="00000000">
        <w:trPr>
          <w:divId w:val="1127696790"/>
          <w:trHeight w:val="2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46-4841717</w:t>
            </w:r>
          </w:p>
        </w:tc>
      </w:tr>
      <w:tr w:rsidR="00000000">
        <w:trPr>
          <w:divId w:val="1127696790"/>
          <w:trHeight w:val="46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(I.R.S. Employer</w:t>
            </w:r>
            <w:r>
              <w:rPr>
                <w:rFonts w:eastAsia="Times New Roman"/>
                <w:color w:val="000000"/>
                <w:sz w:val="18"/>
                <w:szCs w:val="18"/>
              </w:rPr>
              <w:br/>
              <w:t>Identification No.)</w:t>
            </w:r>
          </w:p>
        </w:tc>
      </w:tr>
      <w:tr w:rsidR="00000000">
        <w:trPr>
          <w:divId w:val="1127696790"/>
          <w:trHeight w:val="6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0"/>
                <w:szCs w:val="1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0"/>
                <w:szCs w:val="10"/>
              </w:rPr>
              <w:t> </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0"/>
                <w:szCs w:val="10"/>
              </w:rPr>
              <w:t> </w:t>
            </w:r>
          </w:p>
        </w:tc>
      </w:tr>
      <w:tr w:rsidR="00000000">
        <w:trPr>
          <w:divId w:val="1127696790"/>
          <w:trHeight w:val="2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r>
      <w:tr w:rsidR="00000000">
        <w:trPr>
          <w:divId w:val="1127696790"/>
          <w:trHeight w:val="2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30096</w:t>
            </w:r>
          </w:p>
        </w:tc>
      </w:tr>
      <w:tr w:rsidR="00000000">
        <w:trPr>
          <w:divId w:val="1127696790"/>
          <w:trHeight w:val="2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(Zip Code)</w:t>
            </w:r>
          </w:p>
        </w:tc>
      </w:tr>
      <w:tr w:rsidR="00000000">
        <w:trPr>
          <w:divId w:val="1127696790"/>
          <w:trHeight w:val="2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rsidR="00000000" w:rsidRDefault="0039134F">
      <w:pPr>
        <w:jc w:val="center"/>
        <w:divId w:val="716011262"/>
        <w:rPr>
          <w:rFonts w:eastAsia="Times New Roman"/>
        </w:rPr>
      </w:pPr>
      <w:r>
        <w:rPr>
          <w:rFonts w:eastAsia="Times New Roman"/>
          <w:color w:val="000000"/>
          <w:sz w:val="18"/>
          <w:szCs w:val="18"/>
        </w:rPr>
        <w:t>(Registrant’s telephone number, including area code)</w:t>
      </w:r>
    </w:p>
    <w:p w:rsidR="00000000" w:rsidRDefault="0039134F">
      <w:pPr>
        <w:jc w:val="center"/>
        <w:rPr>
          <w:rFonts w:eastAsia="Times New Roman"/>
        </w:rPr>
      </w:pPr>
      <w:r>
        <w:rPr>
          <w:rFonts w:eastAsia="Times New Roman"/>
          <w:b/>
          <w:bCs/>
          <w:color w:val="000000"/>
          <w:sz w:val="18"/>
          <w:szCs w:val="18"/>
        </w:rPr>
        <w:t>Not Applicable</w:t>
      </w:r>
    </w:p>
    <w:p w:rsidR="00000000" w:rsidRDefault="0039134F">
      <w:pPr>
        <w:jc w:val="center"/>
        <w:divId w:val="541484580"/>
        <w:rPr>
          <w:rFonts w:eastAsia="Times New Roman"/>
        </w:rPr>
      </w:pPr>
      <w:r>
        <w:rPr>
          <w:rFonts w:eastAsia="Times New Roman"/>
          <w:color w:val="000000"/>
          <w:sz w:val="18"/>
          <w:szCs w:val="18"/>
        </w:rPr>
        <w:t>(Former name, former address and former fiscal year, if changed since last report)</w:t>
      </w:r>
    </w:p>
    <w:p w:rsidR="00000000" w:rsidRDefault="0039134F">
      <w:pPr>
        <w:jc w:val="center"/>
        <w:divId w:val="534120703"/>
        <w:rPr>
          <w:rFonts w:eastAsia="Times New Roman"/>
        </w:rPr>
      </w:pPr>
      <w:r>
        <w:rPr>
          <w:rFonts w:eastAsia="Times New Roman"/>
          <w:b/>
          <w:bCs/>
          <w:color w:val="000000"/>
          <w:sz w:val="12"/>
          <w:szCs w:val="12"/>
        </w:rPr>
        <w:t>_______________________________________________________________________</w:t>
      </w:r>
    </w:p>
    <w:p w:rsidR="00000000" w:rsidRDefault="0039134F">
      <w:pPr>
        <w:jc w:val="center"/>
        <w:divId w:val="431899416"/>
        <w:rPr>
          <w:rFonts w:eastAsia="Times New Roman"/>
        </w:rPr>
      </w:pPr>
      <w:r>
        <w:rPr>
          <w:rFonts w:eastAsia="Times New Roman"/>
          <w:b/>
          <w:bCs/>
          <w:color w:val="000000"/>
          <w:sz w:val="18"/>
          <w:szCs w:val="18"/>
        </w:rPr>
        <w:t>Securities registered pursuant to Section 12(b)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trPr>
          <w:divId w:val="1707023640"/>
          <w:jc w:val="center"/>
        </w:trPr>
        <w:tc>
          <w:tcPr>
            <w:tcW w:w="50" w:type="pct"/>
            <w:vAlign w:val="center"/>
            <w:hideMark/>
          </w:tcPr>
          <w:p w:rsidR="00000000" w:rsidRDefault="0039134F">
            <w:pPr>
              <w:jc w:val="center"/>
              <w:rPr>
                <w:rFonts w:eastAsia="Times New Roman"/>
              </w:rPr>
            </w:pPr>
          </w:p>
        </w:tc>
        <w:tc>
          <w:tcPr>
            <w:tcW w:w="195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3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95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707023640"/>
          <w:jc w:val="center"/>
        </w:trPr>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8"/>
                <w:szCs w:val="18"/>
              </w:rPr>
              <w:t>Name of each exchange on which registered</w:t>
            </w:r>
          </w:p>
        </w:tc>
      </w:tr>
      <w:tr w:rsidR="00000000">
        <w:trPr>
          <w:divId w:val="170702364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NASDAQ</w:t>
            </w:r>
          </w:p>
        </w:tc>
      </w:tr>
    </w:tbl>
    <w:p w:rsidR="00000000" w:rsidRDefault="0039134F">
      <w:pPr>
        <w:divId w:val="1007828162"/>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39134F">
      <w:pPr>
        <w:divId w:val="41835319"/>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39134F">
      <w:pPr>
        <w:divId w:val="1627155445"/>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definitions of “large accelerated </w:t>
      </w:r>
      <w:r>
        <w:rPr>
          <w:rFonts w:eastAsia="Times New Roman"/>
          <w:color w:val="000000"/>
          <w:sz w:val="18"/>
          <w:szCs w:val="18"/>
        </w:rPr>
        <w:lastRenderedPageBreak/>
        <w:t>filer,” “accelerated filer,” “s</w:t>
      </w:r>
      <w:r>
        <w:rPr>
          <w:rFonts w:eastAsia="Times New Roman"/>
          <w:color w:val="000000"/>
          <w:sz w:val="18"/>
          <w:szCs w:val="18"/>
        </w:rPr>
        <w:t>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2091460717"/>
        </w:trPr>
        <w:tc>
          <w:tcPr>
            <w:tcW w:w="20" w:type="dxa"/>
            <w:vAlign w:val="center"/>
            <w:hideMark/>
          </w:tcPr>
          <w:p w:rsidR="00000000" w:rsidRDefault="0039134F">
            <w:pPr>
              <w:rPr>
                <w:rFonts w:eastAsia="Times New Roman"/>
              </w:rPr>
            </w:pPr>
          </w:p>
        </w:tc>
        <w:tc>
          <w:tcPr>
            <w:tcW w:w="164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36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305"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1415"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36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3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c>
          <w:tcPr>
            <w:tcW w:w="1640" w:type="dxa"/>
            <w:vAlign w:val="center"/>
            <w:hideMark/>
          </w:tcPr>
          <w:p w:rsidR="00000000" w:rsidRDefault="0039134F">
            <w:pPr>
              <w:rPr>
                <w:rFonts w:eastAsia="Times New Roman"/>
                <w:sz w:val="20"/>
                <w:szCs w:val="20"/>
              </w:rPr>
            </w:pPr>
          </w:p>
        </w:tc>
        <w:tc>
          <w:tcPr>
            <w:tcW w:w="20" w:type="dxa"/>
            <w:vAlign w:val="center"/>
            <w:hideMark/>
          </w:tcPr>
          <w:p w:rsidR="00000000" w:rsidRDefault="0039134F">
            <w:pPr>
              <w:rPr>
                <w:rFonts w:eastAsia="Times New Roman"/>
                <w:sz w:val="20"/>
                <w:szCs w:val="20"/>
              </w:rPr>
            </w:pPr>
          </w:p>
        </w:tc>
      </w:tr>
      <w:tr w:rsidR="00000000">
        <w:trPr>
          <w:divId w:val="2091460717"/>
          <w:trHeight w:val="240"/>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r>
      <w:tr w:rsidR="00000000">
        <w:trPr>
          <w:divId w:val="2091460717"/>
          <w:trHeight w:val="240"/>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hideMark/>
          </w:tcPr>
          <w:p w:rsidR="00000000" w:rsidRDefault="0039134F">
            <w:pPr>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39134F">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r>
      <w:tr w:rsidR="00000000">
        <w:trPr>
          <w:divId w:val="2091460717"/>
          <w:trHeight w:val="240"/>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r>
    </w:tbl>
    <w:p w:rsidR="00000000" w:rsidRDefault="0039134F">
      <w:pPr>
        <w:divId w:val="162261305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39134F">
      <w:pPr>
        <w:divId w:val="1960794207"/>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39134F">
      <w:pPr>
        <w:divId w:val="1210920281"/>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trPr>
          <w:divId w:val="1155804151"/>
        </w:trPr>
        <w:tc>
          <w:tcPr>
            <w:tcW w:w="50" w:type="pct"/>
            <w:vAlign w:val="center"/>
            <w:hideMark/>
          </w:tcPr>
          <w:p w:rsidR="00000000" w:rsidRDefault="0039134F">
            <w:pPr>
              <w:rPr>
                <w:rFonts w:eastAsia="Times New Roman"/>
              </w:rPr>
            </w:pPr>
          </w:p>
        </w:tc>
        <w:tc>
          <w:tcPr>
            <w:tcW w:w="2128"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7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128"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155804151"/>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Outstanding at October 30, 2020</w:t>
            </w:r>
          </w:p>
        </w:tc>
      </w:tr>
      <w:tr w:rsidR="00000000">
        <w:trPr>
          <w:divId w:val="115580415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81,020,333</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39134F">
            <w:pPr>
              <w:rPr>
                <w:rFonts w:eastAsia="Times New Roman"/>
              </w:rPr>
            </w:pPr>
          </w:p>
        </w:tc>
        <w:tc>
          <w:tcPr>
            <w:tcW w:w="494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divId w:val="306932666"/>
        <w:rPr>
          <w:rFonts w:eastAsia="Times New Roman"/>
        </w:rPr>
      </w:pPr>
    </w:p>
    <w:p w:rsidR="00000000" w:rsidRDefault="0039134F">
      <w:pPr>
        <w:rPr>
          <w:rFonts w:eastAsia="Times New Roman"/>
        </w:rPr>
      </w:pPr>
      <w:r>
        <w:rPr>
          <w:rFonts w:eastAsia="Times New Roman"/>
        </w:rPr>
        <w:pict>
          <v:rect id="_x0000_i1025" style="width:0;height:1.5pt" o:hralign="center" o:hrstd="t" o:hr="t" fillcolor="#a0a0a0" stroked="f"/>
        </w:pict>
      </w:r>
    </w:p>
    <w:p w:rsidR="00000000" w:rsidRDefault="0039134F">
      <w:pPr>
        <w:divId w:val="473913262"/>
        <w:rPr>
          <w:rFonts w:eastAsia="Times New Roman"/>
        </w:rPr>
      </w:pPr>
    </w:p>
    <w:p w:rsidR="00000000" w:rsidRDefault="0039134F">
      <w:pPr>
        <w:jc w:val="center"/>
        <w:divId w:val="689264361"/>
        <w:rPr>
          <w:rFonts w:eastAsia="Times New Roman"/>
        </w:rPr>
      </w:pPr>
      <w:r>
        <w:rPr>
          <w:rFonts w:eastAsia="Times New Roman"/>
          <w:b/>
          <w:bCs/>
          <w:color w:val="000000"/>
          <w:sz w:val="22"/>
          <w:szCs w:val="22"/>
        </w:rPr>
        <w:t>NATIONAL VISION HOLDINGS, INC. AND SUBSIDIARIES</w:t>
      </w:r>
    </w:p>
    <w:p w:rsidR="00000000" w:rsidRDefault="0039134F">
      <w:pPr>
        <w:jc w:val="both"/>
        <w:rPr>
          <w:rFonts w:eastAsia="Times New Roman"/>
        </w:rPr>
      </w:pPr>
    </w:p>
    <w:p w:rsidR="00000000" w:rsidRDefault="0039134F">
      <w:pPr>
        <w:jc w:val="both"/>
        <w:rPr>
          <w:rFonts w:eastAsia="Times New Roman"/>
        </w:rPr>
      </w:pPr>
    </w:p>
    <w:p w:rsidR="00000000" w:rsidRDefault="0039134F">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trPr>
          <w:divId w:val="151878288"/>
          <w:jc w:val="center"/>
        </w:trPr>
        <w:tc>
          <w:tcPr>
            <w:tcW w:w="50" w:type="pct"/>
            <w:vAlign w:val="center"/>
            <w:hideMark/>
          </w:tcPr>
          <w:p w:rsidR="00000000" w:rsidRDefault="0039134F">
            <w:pPr>
              <w:jc w:val="center"/>
              <w:rPr>
                <w:rFonts w:eastAsia="Times New Roman"/>
              </w:rPr>
            </w:pPr>
          </w:p>
        </w:tc>
        <w:tc>
          <w:tcPr>
            <w:tcW w:w="15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4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1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divId w:val="1310017691"/>
              <w:rPr>
                <w:rFonts w:eastAsia="Times New Roman"/>
              </w:rPr>
            </w:pPr>
            <w:r>
              <w:rPr>
                <w:rFonts w:eastAsia="Times New Roman"/>
                <w:color w:val="000000"/>
                <w:sz w:val="20"/>
                <w:szCs w:val="20"/>
              </w:rPr>
              <w:t>Page</w:t>
            </w:r>
          </w:p>
        </w:tc>
      </w:tr>
      <w:tr w:rsidR="00000000">
        <w:trPr>
          <w:divId w:val="151878288"/>
          <w:jc w:val="center"/>
        </w:trPr>
        <w:tc>
          <w:tcPr>
            <w:tcW w:w="0" w:type="auto"/>
            <w:gridSpan w:val="9"/>
            <w:tcMar>
              <w:top w:w="30" w:type="dxa"/>
              <w:left w:w="20" w:type="dxa"/>
              <w:bottom w:w="30" w:type="dxa"/>
              <w:right w:w="20" w:type="dxa"/>
            </w:tcMar>
            <w:vAlign w:val="center"/>
            <w:hideMark/>
          </w:tcPr>
          <w:p w:rsidR="00000000" w:rsidRDefault="0039134F">
            <w:pPr>
              <w:divId w:val="2067797629"/>
              <w:rPr>
                <w:rFonts w:eastAsia="Times New Roman"/>
              </w:rPr>
            </w:pPr>
            <w:hyperlink w:anchor="i50336ee56f43460a9be6f65c8cd49c0c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rsidR="00000000" w:rsidRDefault="0039134F">
            <w:pPr>
              <w:divId w:val="1421752228"/>
              <w:rPr>
                <w:rFonts w:eastAsia="Times New Roman"/>
              </w:rPr>
            </w:pPr>
            <w:hyperlink w:anchor="i50336ee56f43460a9be6f65c8cd49c0c_10" w:history="1">
              <w:r>
                <w:rPr>
                  <w:rStyle w:val="a3"/>
                  <w:rFonts w:eastAsia="Times New Roman"/>
                  <w:sz w:val="20"/>
                  <w:szCs w:val="20"/>
                </w:rPr>
                <w:t>3</w:t>
              </w:r>
            </w:hyperlink>
          </w:p>
        </w:tc>
      </w:tr>
      <w:tr w:rsidR="00000000">
        <w:trPr>
          <w:divId w:val="151878288"/>
          <w:jc w:val="center"/>
        </w:trPr>
        <w:tc>
          <w:tcPr>
            <w:tcW w:w="0" w:type="auto"/>
            <w:gridSpan w:val="9"/>
            <w:tcMar>
              <w:top w:w="30" w:type="dxa"/>
              <w:left w:w="20" w:type="dxa"/>
              <w:bottom w:w="30" w:type="dxa"/>
              <w:right w:w="20" w:type="dxa"/>
            </w:tcMar>
            <w:vAlign w:val="center"/>
            <w:hideMark/>
          </w:tcPr>
          <w:p w:rsidR="00000000" w:rsidRDefault="0039134F">
            <w:pPr>
              <w:divId w:val="969288620"/>
              <w:rPr>
                <w:rFonts w:eastAsia="Times New Roman"/>
              </w:rPr>
            </w:pPr>
            <w:hyperlink w:anchor="i50336ee56f43460a9be6f65c8cd49c0c_13"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rsidR="00000000" w:rsidRDefault="0039134F">
            <w:pPr>
              <w:divId w:val="123889906"/>
              <w:rPr>
                <w:rFonts w:eastAsia="Times New Roman"/>
              </w:rPr>
            </w:pPr>
            <w:hyperlink w:anchor="i50336ee56f43460a9be6f65c8cd49c0c_13" w:history="1">
              <w:r>
                <w:rPr>
                  <w:rStyle w:val="a3"/>
                  <w:rFonts w:eastAsia="Times New Roman"/>
                  <w:sz w:val="20"/>
                  <w:szCs w:val="20"/>
                </w:rPr>
                <w:t>5</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702049928"/>
              <w:rPr>
                <w:rFonts w:eastAsia="Times New Roman"/>
              </w:rPr>
            </w:pPr>
            <w:hyperlink w:anchor="i50336ee56f43460a9be6f65c8cd49c0c_1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39134F">
            <w:pPr>
              <w:divId w:val="148593003"/>
              <w:rPr>
                <w:rFonts w:eastAsia="Times New Roman"/>
              </w:rPr>
            </w:pPr>
            <w:hyperlink w:anchor="i50336ee56f43460a9be6f65c8cd49c0c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39134F">
            <w:pPr>
              <w:divId w:val="2054192252"/>
              <w:rPr>
                <w:rFonts w:eastAsia="Times New Roman"/>
              </w:rPr>
            </w:pPr>
            <w:hyperlink w:anchor="i50336ee56f43460a9be6f65c8cd49c0c_16" w:history="1">
              <w:r>
                <w:rPr>
                  <w:rStyle w:val="a3"/>
                  <w:rFonts w:eastAsia="Times New Roman"/>
                  <w:sz w:val="20"/>
                  <w:szCs w:val="20"/>
                </w:rPr>
                <w:t>5</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ind w:hanging="360"/>
              <w:divId w:val="1245532219"/>
              <w:rPr>
                <w:rFonts w:eastAsia="Times New Roman"/>
              </w:rPr>
            </w:pPr>
            <w:hyperlink w:anchor="i50336ee56f43460a9be6f65c8cd49c0c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39134F">
            <w:pPr>
              <w:divId w:val="1960449830"/>
              <w:rPr>
                <w:rFonts w:eastAsia="Times New Roman"/>
              </w:rPr>
            </w:pPr>
            <w:hyperlink w:anchor="i50336ee56f43460a9be6f65c8cd49c0c_19" w:history="1">
              <w:r>
                <w:rPr>
                  <w:rStyle w:val="a3"/>
                  <w:rFonts w:eastAsia="Times New Roman"/>
                  <w:sz w:val="20"/>
                  <w:szCs w:val="20"/>
                </w:rPr>
                <w:t>5</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divId w:val="470052134"/>
              <w:rPr>
                <w:rFonts w:eastAsia="Times New Roman"/>
              </w:rPr>
            </w:pPr>
            <w:hyperlink w:anchor="i50336ee56f43460a9be6f65c8cd49c0c_22"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39134F">
            <w:pPr>
              <w:divId w:val="2053573902"/>
              <w:rPr>
                <w:rFonts w:eastAsia="Times New Roman"/>
              </w:rPr>
            </w:pPr>
            <w:hyperlink w:anchor="i50336ee56f43460a9be6f65c8cd49c0c_22" w:history="1">
              <w:r>
                <w:rPr>
                  <w:rStyle w:val="a3"/>
                  <w:rFonts w:eastAsia="Times New Roman"/>
                  <w:sz w:val="20"/>
                  <w:szCs w:val="20"/>
                </w:rPr>
                <w:t>6</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ind w:hanging="360"/>
              <w:divId w:val="1471821828"/>
              <w:rPr>
                <w:rFonts w:eastAsia="Times New Roman"/>
              </w:rPr>
            </w:pPr>
            <w:hyperlink w:anchor="i50336ee56f43460a9be6f65c8cd49c0c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39134F">
            <w:pPr>
              <w:divId w:val="207034348"/>
              <w:rPr>
                <w:rFonts w:eastAsia="Times New Roman"/>
              </w:rPr>
            </w:pPr>
            <w:hyperlink w:anchor="i50336ee56f43460a9be6f65c8cd49c0c_25" w:history="1">
              <w:r>
                <w:rPr>
                  <w:rStyle w:val="a3"/>
                  <w:rFonts w:eastAsia="Times New Roman"/>
                  <w:sz w:val="20"/>
                  <w:szCs w:val="20"/>
                </w:rPr>
                <w:t>7</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ind w:hanging="360"/>
              <w:divId w:val="1121152050"/>
              <w:rPr>
                <w:rFonts w:eastAsia="Times New Roman"/>
              </w:rPr>
            </w:pPr>
            <w:hyperlink w:anchor="i50336ee56f43460a9be6f65c8cd49c0c_28" w:history="1">
              <w:r>
                <w:rPr>
                  <w:rStyle w:val="a3"/>
                  <w:rFonts w:eastAsia="Times New Roman"/>
                  <w:sz w:val="20"/>
                  <w:szCs w:val="20"/>
                </w:rPr>
                <w:t>Condense</w:t>
              </w:r>
              <w:r>
                <w:rPr>
                  <w:rStyle w:val="a3"/>
                  <w:rFonts w:eastAsia="Times New Roman"/>
                  <w:sz w:val="20"/>
                  <w:szCs w:val="20"/>
                </w:rPr>
                <w:t>d Consolidated Statements of Cash Flows</w:t>
              </w:r>
            </w:hyperlink>
          </w:p>
        </w:tc>
        <w:tc>
          <w:tcPr>
            <w:tcW w:w="0" w:type="auto"/>
            <w:gridSpan w:val="3"/>
            <w:tcMar>
              <w:top w:w="30" w:type="dxa"/>
              <w:left w:w="20" w:type="dxa"/>
              <w:bottom w:w="30" w:type="dxa"/>
              <w:right w:w="20" w:type="dxa"/>
            </w:tcMar>
            <w:vAlign w:val="center"/>
            <w:hideMark/>
          </w:tcPr>
          <w:p w:rsidR="00000000" w:rsidRDefault="0039134F">
            <w:pPr>
              <w:divId w:val="1811166637"/>
              <w:rPr>
                <w:rFonts w:eastAsia="Times New Roman"/>
              </w:rPr>
            </w:pPr>
            <w:hyperlink w:anchor="i50336ee56f43460a9be6f65c8cd49c0c_28" w:history="1">
              <w:r>
                <w:rPr>
                  <w:rStyle w:val="a3"/>
                  <w:rFonts w:eastAsia="Times New Roman"/>
                  <w:sz w:val="20"/>
                  <w:szCs w:val="20"/>
                </w:rPr>
                <w:t>9</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ind w:hanging="360"/>
              <w:divId w:val="1004551143"/>
              <w:rPr>
                <w:rFonts w:eastAsia="Times New Roman"/>
              </w:rPr>
            </w:pPr>
            <w:hyperlink w:anchor="i50336ee56f43460a9be6f65c8cd49c0c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center"/>
            <w:hideMark/>
          </w:tcPr>
          <w:p w:rsidR="00000000" w:rsidRDefault="0039134F">
            <w:pPr>
              <w:divId w:val="426080228"/>
              <w:rPr>
                <w:rFonts w:eastAsia="Times New Roman"/>
              </w:rPr>
            </w:pPr>
            <w:hyperlink w:anchor="i50336ee56f43460a9be6f65c8cd49c0c_31" w:history="1">
              <w:r>
                <w:rPr>
                  <w:rStyle w:val="a3"/>
                  <w:rFonts w:eastAsia="Times New Roman"/>
                  <w:sz w:val="20"/>
                  <w:szCs w:val="20"/>
                </w:rPr>
                <w:t>10</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259267335"/>
              <w:rPr>
                <w:rFonts w:eastAsia="Times New Roman"/>
              </w:rPr>
            </w:pPr>
            <w:hyperlink w:anchor="i50336ee56f43460a9be6f65c8cd49c0c_91"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39134F">
            <w:pPr>
              <w:divId w:val="1666203071"/>
              <w:rPr>
                <w:rFonts w:eastAsia="Times New Roman"/>
              </w:rPr>
            </w:pPr>
            <w:hyperlink w:anchor="i50336ee56f43460a9be6f65c8cd49c0c_91" w:history="1">
              <w:r>
                <w:rPr>
                  <w:rStyle w:val="a3"/>
                  <w:rFonts w:eastAsia="Times New Roman"/>
                  <w:sz w:val="20"/>
                  <w:szCs w:val="20"/>
                </w:rPr>
                <w:t>Manag</w:t>
              </w:r>
              <w:r>
                <w:rPr>
                  <w:rStyle w:val="a3"/>
                  <w:rFonts w:eastAsia="Times New Roman"/>
                  <w:sz w:val="20"/>
                  <w:szCs w:val="20"/>
                </w:rPr>
                <w:t>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39134F">
            <w:pPr>
              <w:divId w:val="1444763930"/>
              <w:rPr>
                <w:rFonts w:eastAsia="Times New Roman"/>
              </w:rPr>
            </w:pPr>
            <w:hyperlink w:anchor="i50336ee56f43460a9be6f65c8cd49c0c_91" w:history="1">
              <w:r>
                <w:rPr>
                  <w:rStyle w:val="a3"/>
                  <w:rFonts w:eastAsia="Times New Roman"/>
                  <w:sz w:val="20"/>
                  <w:szCs w:val="20"/>
                </w:rPr>
                <w:t>31</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1807619907"/>
              <w:rPr>
                <w:rFonts w:eastAsia="Times New Roman"/>
              </w:rPr>
            </w:pPr>
            <w:hyperlink w:anchor="i50336ee56f43460a9be6f65c8cd49c0c_11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39134F">
            <w:pPr>
              <w:divId w:val="1874994825"/>
              <w:rPr>
                <w:rFonts w:eastAsia="Times New Roman"/>
              </w:rPr>
            </w:pPr>
            <w:hyperlink w:anchor="i50336ee56f43460a9be6f65c8cd49c0c_115"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39134F">
            <w:pPr>
              <w:divId w:val="1854758553"/>
              <w:rPr>
                <w:rFonts w:eastAsia="Times New Roman"/>
              </w:rPr>
            </w:pPr>
            <w:hyperlink w:anchor="i50336ee56f43460a9be6f65c8cd49c0c_115" w:history="1">
              <w:r>
                <w:rPr>
                  <w:rStyle w:val="a3"/>
                  <w:rFonts w:eastAsia="Times New Roman"/>
                  <w:sz w:val="20"/>
                  <w:szCs w:val="20"/>
                </w:rPr>
                <w:t>52</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732122571"/>
              <w:rPr>
                <w:rFonts w:eastAsia="Times New Roman"/>
              </w:rPr>
            </w:pPr>
            <w:hyperlink w:anchor="i50336ee56f43460a9be6f65c8cd49c0c_11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39134F">
            <w:pPr>
              <w:divId w:val="1962491598"/>
              <w:rPr>
                <w:rFonts w:eastAsia="Times New Roman"/>
              </w:rPr>
            </w:pPr>
            <w:hyperlink w:anchor="i50336ee56f43460a9be6f65c8cd49c0c_11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39134F">
            <w:pPr>
              <w:divId w:val="2124884128"/>
              <w:rPr>
                <w:rFonts w:eastAsia="Times New Roman"/>
              </w:rPr>
            </w:pPr>
            <w:hyperlink w:anchor="i50336ee56f43460a9be6f65c8cd49c0c_118" w:history="1">
              <w:r>
                <w:rPr>
                  <w:rStyle w:val="a3"/>
                  <w:rFonts w:eastAsia="Times New Roman"/>
                  <w:sz w:val="20"/>
                  <w:szCs w:val="20"/>
                </w:rPr>
                <w:t>52</w:t>
              </w:r>
            </w:hyperlink>
          </w:p>
        </w:tc>
      </w:tr>
      <w:tr w:rsidR="00000000">
        <w:trPr>
          <w:divId w:val="151878288"/>
          <w:jc w:val="center"/>
        </w:trPr>
        <w:tc>
          <w:tcPr>
            <w:tcW w:w="0" w:type="auto"/>
            <w:gridSpan w:val="9"/>
            <w:tcMar>
              <w:top w:w="30" w:type="dxa"/>
              <w:left w:w="20" w:type="dxa"/>
              <w:bottom w:w="30" w:type="dxa"/>
              <w:right w:w="20" w:type="dxa"/>
            </w:tcMar>
            <w:vAlign w:val="center"/>
            <w:hideMark/>
          </w:tcPr>
          <w:p w:rsidR="00000000" w:rsidRDefault="0039134F">
            <w:pPr>
              <w:divId w:val="236744164"/>
              <w:rPr>
                <w:rFonts w:eastAsia="Times New Roman"/>
              </w:rPr>
            </w:pPr>
            <w:hyperlink w:anchor="i50336ee56f43460a9be6f65c8cd49c0c_121"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rsidR="00000000" w:rsidRDefault="0039134F">
            <w:pPr>
              <w:divId w:val="1782796031"/>
              <w:rPr>
                <w:rFonts w:eastAsia="Times New Roman"/>
              </w:rPr>
            </w:pPr>
            <w:hyperlink w:anchor="i50336ee56f43460a9be6f65c8cd49c0c_121" w:history="1">
              <w:r>
                <w:rPr>
                  <w:rStyle w:val="a3"/>
                  <w:rFonts w:eastAsia="Times New Roman"/>
                  <w:sz w:val="20"/>
                  <w:szCs w:val="20"/>
                </w:rPr>
                <w:t>53</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685716029"/>
              <w:rPr>
                <w:rFonts w:eastAsia="Times New Roman"/>
              </w:rPr>
            </w:pPr>
            <w:hyperlink w:anchor="i50336ee56f43460a9be6f65c8cd49c0c_124"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39134F">
            <w:pPr>
              <w:divId w:val="1690256136"/>
              <w:rPr>
                <w:rFonts w:eastAsia="Times New Roman"/>
              </w:rPr>
            </w:pPr>
            <w:hyperlink w:anchor="i50336ee56f43460a9be6f65c8cd49c0c_124"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39134F">
            <w:pPr>
              <w:divId w:val="416832506"/>
              <w:rPr>
                <w:rFonts w:eastAsia="Times New Roman"/>
              </w:rPr>
            </w:pPr>
            <w:hyperlink w:anchor="i50336ee56f43460a9be6f65c8cd49c0c_124" w:history="1">
              <w:r>
                <w:rPr>
                  <w:rStyle w:val="a3"/>
                  <w:rFonts w:eastAsia="Times New Roman"/>
                  <w:sz w:val="20"/>
                  <w:szCs w:val="20"/>
                </w:rPr>
                <w:t>53</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801920795"/>
              <w:rPr>
                <w:rFonts w:eastAsia="Times New Roman"/>
              </w:rPr>
            </w:pPr>
            <w:hyperlink w:anchor="i50336ee56f43460a9be6f65c8cd49c0c_127"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39134F">
            <w:pPr>
              <w:divId w:val="1540821015"/>
              <w:rPr>
                <w:rFonts w:eastAsia="Times New Roman"/>
              </w:rPr>
            </w:pPr>
            <w:hyperlink w:anchor="i50336ee56f43460a9be6f65c8cd49c0c_127"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39134F">
            <w:pPr>
              <w:divId w:val="1455365184"/>
              <w:rPr>
                <w:rFonts w:eastAsia="Times New Roman"/>
              </w:rPr>
            </w:pPr>
            <w:hyperlink w:anchor="i50336ee56f43460a9be6f65c8cd49c0c_127" w:history="1">
              <w:r>
                <w:rPr>
                  <w:rStyle w:val="a3"/>
                  <w:rFonts w:eastAsia="Times New Roman"/>
                  <w:sz w:val="20"/>
                  <w:szCs w:val="20"/>
                </w:rPr>
                <w:t>53</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1227228967"/>
              <w:rPr>
                <w:rFonts w:eastAsia="Times New Roman"/>
              </w:rPr>
            </w:pPr>
            <w:hyperlink w:anchor="i50336ee56f43460a9be6f65c8cd49c0c_130"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39134F">
            <w:pPr>
              <w:divId w:val="2023975047"/>
              <w:rPr>
                <w:rFonts w:eastAsia="Times New Roman"/>
              </w:rPr>
            </w:pPr>
            <w:hyperlink w:anchor="i50336ee56f43460a9be6f65c8cd49c0c_130"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39134F">
            <w:pPr>
              <w:divId w:val="462429352"/>
              <w:rPr>
                <w:rFonts w:eastAsia="Times New Roman"/>
              </w:rPr>
            </w:pPr>
            <w:hyperlink w:anchor="i50336ee56f43460a9be6f65c8cd49c0c_130" w:history="1">
              <w:r>
                <w:rPr>
                  <w:rStyle w:val="a3"/>
                  <w:rFonts w:eastAsia="Times New Roman"/>
                  <w:sz w:val="20"/>
                  <w:szCs w:val="20"/>
                </w:rPr>
                <w:t>57</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1590306591"/>
              <w:rPr>
                <w:rFonts w:eastAsia="Times New Roman"/>
              </w:rPr>
            </w:pPr>
            <w:hyperlink w:anchor="i50336ee56f43460a9be6f65c8cd49c0c_133"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39134F">
            <w:pPr>
              <w:divId w:val="1827821022"/>
              <w:rPr>
                <w:rFonts w:eastAsia="Times New Roman"/>
              </w:rPr>
            </w:pPr>
            <w:hyperlink w:anchor="i50336ee56f43460a9be6f65c8cd49c0c_133"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39134F">
            <w:pPr>
              <w:divId w:val="922490165"/>
              <w:rPr>
                <w:rFonts w:eastAsia="Times New Roman"/>
              </w:rPr>
            </w:pPr>
            <w:hyperlink w:anchor="i50336ee56f43460a9be6f65c8cd49c0c_133" w:history="1">
              <w:r>
                <w:rPr>
                  <w:rStyle w:val="a3"/>
                  <w:rFonts w:eastAsia="Times New Roman"/>
                  <w:sz w:val="20"/>
                  <w:szCs w:val="20"/>
                </w:rPr>
                <w:t>57</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796073578"/>
              <w:rPr>
                <w:rFonts w:eastAsia="Times New Roman"/>
              </w:rPr>
            </w:pPr>
            <w:hyperlink w:anchor="i50336ee56f43460a9be6f65c8cd49c0c_136"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39134F">
            <w:pPr>
              <w:divId w:val="1300644072"/>
              <w:rPr>
                <w:rFonts w:eastAsia="Times New Roman"/>
              </w:rPr>
            </w:pPr>
            <w:hyperlink w:anchor="i50336ee56f43460a9be6f65c8cd49c0c_136"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39134F">
            <w:pPr>
              <w:divId w:val="760373571"/>
              <w:rPr>
                <w:rFonts w:eastAsia="Times New Roman"/>
              </w:rPr>
            </w:pPr>
            <w:hyperlink w:anchor="i50336ee56f43460a9be6f65c8cd49c0c_136" w:history="1">
              <w:r>
                <w:rPr>
                  <w:rStyle w:val="a3"/>
                  <w:rFonts w:eastAsia="Times New Roman"/>
                  <w:sz w:val="20"/>
                  <w:szCs w:val="20"/>
                </w:rPr>
                <w:t>57</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1959527511"/>
              <w:rPr>
                <w:rFonts w:eastAsia="Times New Roman"/>
              </w:rPr>
            </w:pPr>
            <w:hyperlink w:anchor="i50336ee56f43460a9be6f65c8cd49c0c_139"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39134F">
            <w:pPr>
              <w:divId w:val="40635854"/>
              <w:rPr>
                <w:rFonts w:eastAsia="Times New Roman"/>
              </w:rPr>
            </w:pPr>
            <w:hyperlink w:anchor="i50336ee56f43460a9be6f65c8cd49c0c_139"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39134F">
            <w:pPr>
              <w:divId w:val="885802729"/>
              <w:rPr>
                <w:rFonts w:eastAsia="Times New Roman"/>
              </w:rPr>
            </w:pPr>
            <w:hyperlink w:anchor="i50336ee56f43460a9be6f65c8cd49c0c_139" w:history="1">
              <w:r>
                <w:rPr>
                  <w:rStyle w:val="a3"/>
                  <w:rFonts w:eastAsia="Times New Roman"/>
                  <w:sz w:val="20"/>
                  <w:szCs w:val="20"/>
                </w:rPr>
                <w:t>57</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center"/>
            <w:hideMark/>
          </w:tcPr>
          <w:p w:rsidR="00000000" w:rsidRDefault="0039134F">
            <w:pPr>
              <w:divId w:val="129980723"/>
              <w:rPr>
                <w:rFonts w:eastAsia="Times New Roman"/>
              </w:rPr>
            </w:pPr>
            <w:hyperlink w:anchor="i50336ee56f43460a9be6f65c8cd49c0c_142"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39134F">
            <w:pPr>
              <w:divId w:val="547837249"/>
              <w:rPr>
                <w:rFonts w:eastAsia="Times New Roman"/>
              </w:rPr>
            </w:pPr>
            <w:hyperlink w:anchor="i50336ee56f43460a9be6f65c8cd49c0c_142"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39134F">
            <w:pPr>
              <w:divId w:val="1326127214"/>
              <w:rPr>
                <w:rFonts w:eastAsia="Times New Roman"/>
              </w:rPr>
            </w:pPr>
            <w:hyperlink w:anchor="i50336ee56f43460a9be6f65c8cd49c0c_142" w:history="1">
              <w:r>
                <w:rPr>
                  <w:rStyle w:val="a3"/>
                  <w:rFonts w:eastAsia="Times New Roman"/>
                  <w:sz w:val="20"/>
                  <w:szCs w:val="20"/>
                </w:rPr>
                <w:t>58</w:t>
              </w:r>
            </w:hyperlink>
          </w:p>
        </w:tc>
      </w:tr>
      <w:tr w:rsidR="00000000">
        <w:trPr>
          <w:divId w:val="151878288"/>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134F">
            <w:pPr>
              <w:divId w:val="829175031"/>
              <w:rPr>
                <w:rFonts w:eastAsia="Times New Roman"/>
              </w:rPr>
            </w:pPr>
            <w:hyperlink w:anchor="i50336ee56f43460a9be6f65c8cd49c0c_145"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39134F">
            <w:pPr>
              <w:divId w:val="89787056"/>
              <w:rPr>
                <w:rFonts w:eastAsia="Times New Roman"/>
              </w:rPr>
            </w:pPr>
            <w:hyperlink w:anchor="i50336ee56f43460a9be6f65c8cd49c0c_145" w:history="1">
              <w:r>
                <w:rPr>
                  <w:rStyle w:val="a3"/>
                  <w:rFonts w:eastAsia="Times New Roman"/>
                  <w:sz w:val="20"/>
                  <w:szCs w:val="20"/>
                </w:rPr>
                <w:t>59</w:t>
              </w:r>
            </w:hyperlink>
          </w:p>
        </w:tc>
      </w:tr>
    </w:tbl>
    <w:p w:rsidR="00000000" w:rsidRDefault="0039134F">
      <w:pPr>
        <w:divId w:val="614288063"/>
        <w:rPr>
          <w:rFonts w:eastAsia="Times New Roman"/>
        </w:rPr>
      </w:pPr>
    </w:p>
    <w:p w:rsidR="00000000" w:rsidRDefault="0039134F">
      <w:pPr>
        <w:divId w:val="751974661"/>
        <w:rPr>
          <w:rFonts w:eastAsia="Times New Roman"/>
        </w:rPr>
      </w:pPr>
    </w:p>
    <w:p w:rsidR="00000000" w:rsidRDefault="0039134F">
      <w:pPr>
        <w:rPr>
          <w:rFonts w:eastAsia="Times New Roman"/>
        </w:rPr>
      </w:pPr>
      <w:r>
        <w:rPr>
          <w:rFonts w:eastAsia="Times New Roman"/>
        </w:rPr>
        <w:pict>
          <v:rect id="_x0000_i1026" style="width:0;height:1.5pt" o:hralign="center" o:hrstd="t" o:hr="t" fillcolor="#a0a0a0" stroked="f"/>
        </w:pict>
      </w:r>
    </w:p>
    <w:p w:rsidR="00000000" w:rsidRDefault="0039134F">
      <w:pPr>
        <w:divId w:val="373311176"/>
        <w:rPr>
          <w:rFonts w:eastAsia="Times New Roman"/>
        </w:rPr>
      </w:pPr>
    </w:p>
    <w:p w:rsidR="00000000" w:rsidRDefault="0039134F">
      <w:pPr>
        <w:divId w:val="1904556780"/>
        <w:rPr>
          <w:rFonts w:eastAsia="Times New Roman"/>
        </w:rPr>
      </w:pPr>
    </w:p>
    <w:p w:rsidR="00000000" w:rsidRDefault="0039134F">
      <w:pPr>
        <w:divId w:val="95906517"/>
        <w:rPr>
          <w:rFonts w:eastAsia="Times New Roman"/>
        </w:rPr>
      </w:pPr>
      <w:r>
        <w:rPr>
          <w:rFonts w:eastAsia="Times New Roman"/>
          <w:b/>
          <w:bCs/>
          <w:color w:val="000000"/>
          <w:sz w:val="20"/>
          <w:szCs w:val="20"/>
        </w:rPr>
        <w:t>SPECIAL NOTE REGARDING FORWARD-LOOKING STATEMENTS</w:t>
      </w:r>
    </w:p>
    <w:p w:rsidR="00000000" w:rsidRDefault="0039134F">
      <w:pPr>
        <w:jc w:val="both"/>
        <w:divId w:val="429349923"/>
        <w:rPr>
          <w:rFonts w:eastAsia="Times New Roman"/>
        </w:rPr>
      </w:pPr>
      <w:r>
        <w:rPr>
          <w:rFonts w:eastAsia="Times New Roman"/>
          <w:color w:val="000000"/>
          <w:sz w:val="20"/>
          <w:szCs w:val="20"/>
        </w:rPr>
        <w:t>This Quarterly Report on Form 10-Q (this “Form 10-Q”) contains “forward-looking statements” within the meaning of Section 27A of the Securities Act of 1933, as amende</w:t>
      </w:r>
      <w:r>
        <w:rPr>
          <w:rFonts w:eastAsia="Times New Roman"/>
          <w:color w:val="000000"/>
          <w:sz w:val="20"/>
          <w:szCs w:val="20"/>
        </w:rPr>
        <w:t xml:space="preserve">d (the “Securities Act”), and Section 21E of the Securities Exchange Act of 1934, as amended (the “Exchange Act”), which are subject to the “safe harbor” created by those sections. All statements, other than statements of historical facts included in this </w:t>
      </w:r>
      <w:r>
        <w:rPr>
          <w:rFonts w:eastAsia="Times New Roman"/>
          <w:color w:val="000000"/>
          <w:sz w:val="20"/>
          <w:szCs w:val="20"/>
        </w:rPr>
        <w:t>Form 10-Q, including statements concerning our plans, objectives, goals, beliefs, business strategies, future events, business conditions, results of operations, financial position, business outlook, business trends and other information, may be forward-lo</w:t>
      </w:r>
      <w:r>
        <w:rPr>
          <w:rFonts w:eastAsia="Times New Roman"/>
          <w:color w:val="000000"/>
          <w:sz w:val="20"/>
          <w:szCs w:val="20"/>
        </w:rPr>
        <w:t>oking statements.</w:t>
      </w:r>
    </w:p>
    <w:p w:rsidR="00000000" w:rsidRDefault="0039134F">
      <w:pPr>
        <w:jc w:val="both"/>
        <w:divId w:val="1347632582"/>
        <w:rPr>
          <w:rFonts w:eastAsia="Times New Roman"/>
        </w:rPr>
      </w:pPr>
      <w:r>
        <w:rPr>
          <w:rFonts w:eastAsia="Times New Roman"/>
          <w:color w:val="000000"/>
          <w:sz w:val="20"/>
          <w:szCs w:val="20"/>
        </w:rPr>
        <w:t>Words such as “believes,” “expects,” “may,” “will,” “should,” “seeks,” “intends,” “plans,” “estimates,” or “anticipates,” and variations of such words or similar expressions are intended to identify forward-looking statements. The forward</w:t>
      </w:r>
      <w:r>
        <w:rPr>
          <w:rFonts w:eastAsia="Times New Roman"/>
          <w:color w:val="000000"/>
          <w:sz w:val="20"/>
          <w:szCs w:val="20"/>
        </w:rPr>
        <w:t>-looking statements are not historical facts or guarantees of future performance and are based upon our current expectations, beliefs, estimates and projections, and various assumptions, many of which, by their nature, are inherently uncertain and beyond o</w:t>
      </w:r>
      <w:r>
        <w:rPr>
          <w:rFonts w:eastAsia="Times New Roman"/>
          <w:color w:val="000000"/>
          <w:sz w:val="20"/>
          <w:szCs w:val="20"/>
        </w:rPr>
        <w:t>ur control. Our expectations, beliefs, and projections are expressed in good faith and we believe there is a reasonable basis for them. However, there can be no assurance that management’s expectations, beliefs and projections will result or be achieved an</w:t>
      </w:r>
      <w:r>
        <w:rPr>
          <w:rFonts w:eastAsia="Times New Roman"/>
          <w:color w:val="000000"/>
          <w:sz w:val="20"/>
          <w:szCs w:val="20"/>
        </w:rPr>
        <w:t>d actual results may vary materially from what is expressed in or indicated by the forward-looking statements.</w:t>
      </w:r>
    </w:p>
    <w:p w:rsidR="00000000" w:rsidRDefault="0039134F">
      <w:pPr>
        <w:jc w:val="both"/>
        <w:divId w:val="2082754440"/>
        <w:rPr>
          <w:rFonts w:eastAsia="Times New Roman"/>
        </w:rPr>
      </w:pPr>
      <w:r>
        <w:rPr>
          <w:rFonts w:eastAsia="Times New Roman"/>
          <w:color w:val="000000"/>
          <w:sz w:val="20"/>
          <w:szCs w:val="20"/>
        </w:rPr>
        <w:t>There are a number of risks, uncertainties and other important factors, many of which are beyond our control, that could cause our actual results</w:t>
      </w:r>
      <w:r>
        <w:rPr>
          <w:rFonts w:eastAsia="Times New Roman"/>
          <w:color w:val="000000"/>
          <w:sz w:val="20"/>
          <w:szCs w:val="20"/>
        </w:rPr>
        <w:t xml:space="preserve"> to differ materially from the forward-looking statements contained in this Form 10-Q. Such risks, uncertainties and other important factors that could cause actual results to differ include, among others, the risks, uncertainties and factors set forth in </w:t>
      </w:r>
      <w:r>
        <w:rPr>
          <w:rFonts w:eastAsia="Times New Roman"/>
          <w:color w:val="000000"/>
          <w:sz w:val="20"/>
          <w:szCs w:val="20"/>
        </w:rPr>
        <w:t>Part II, Item 1A - “Risk Factors” in this Form 10-Q, the Form 10-Q filed on May 7, 2020, and the Form 10-Q filed on August 6, 2020, Part I, Item 1A - “Risk Factors” in the Company’s Annual Report on Form 10-K for the year ended December 28, 2019 (the “2019</w:t>
      </w:r>
      <w:r>
        <w:rPr>
          <w:rFonts w:eastAsia="Times New Roman"/>
          <w:color w:val="000000"/>
          <w:sz w:val="20"/>
          <w:szCs w:val="20"/>
        </w:rPr>
        <w:t xml:space="preserve"> Annual Report on Form 10-K”) and Item 8.01 - “Supplemental Risk Factor” on Form 8-K filed on March 19, 2020, as filed with the Securities and Exchange Commission (the “SEC”), as such risk factors may be updated from time to time in our periodic filings wi</w:t>
      </w:r>
      <w:r>
        <w:rPr>
          <w:rFonts w:eastAsia="Times New Roman"/>
          <w:color w:val="000000"/>
          <w:sz w:val="20"/>
          <w:szCs w:val="20"/>
        </w:rPr>
        <w:t>th the SEC, which are accessible on the SEC’s website at www.sec.gov, and also include the following:</w:t>
      </w:r>
    </w:p>
    <w:p w:rsidR="00000000" w:rsidRDefault="0039134F">
      <w:pPr>
        <w:ind w:hanging="180"/>
        <w:jc w:val="both"/>
        <w:rPr>
          <w:rFonts w:eastAsia="Times New Roman"/>
        </w:rPr>
      </w:pPr>
      <w:r>
        <w:rPr>
          <w:rFonts w:eastAsia="Times New Roman"/>
          <w:color w:val="000000"/>
          <w:sz w:val="20"/>
          <w:szCs w:val="20"/>
        </w:rPr>
        <w:t>•the scale, scope and duration of the novel coronavirus, or COVID-19, pandemic and its resurgence, and the impact of evolving federal, state, and local go</w:t>
      </w:r>
      <w:r>
        <w:rPr>
          <w:rFonts w:eastAsia="Times New Roman"/>
          <w:color w:val="000000"/>
          <w:sz w:val="20"/>
          <w:szCs w:val="20"/>
        </w:rPr>
        <w:t>vernmental actions in response thereto;</w:t>
      </w:r>
    </w:p>
    <w:p w:rsidR="00000000" w:rsidRDefault="0039134F">
      <w:pPr>
        <w:ind w:hanging="180"/>
        <w:jc w:val="both"/>
        <w:rPr>
          <w:rFonts w:eastAsia="Times New Roman"/>
        </w:rPr>
      </w:pPr>
      <w:r>
        <w:rPr>
          <w:rFonts w:eastAsia="Times New Roman"/>
          <w:color w:val="000000"/>
          <w:sz w:val="20"/>
          <w:szCs w:val="20"/>
        </w:rPr>
        <w:t>•customer behavior in response to the continuing pandemic and its resurgence, and evolving federal, state, and local governmental actions, including the impact of such behavior on in-store traffic and sales;</w:t>
      </w:r>
    </w:p>
    <w:p w:rsidR="00000000" w:rsidRDefault="0039134F">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keep our reopened stores open in a safe and cost-effective manner, or at all, in light of the continuing COVID-19 pandemic and its resurgence, and to open and operate new stores, and to successfully enter new markets in a timely and cost-eff</w:t>
      </w:r>
      <w:r>
        <w:rPr>
          <w:rFonts w:eastAsia="Times New Roman"/>
          <w:color w:val="000000"/>
          <w:sz w:val="20"/>
          <w:szCs w:val="20"/>
        </w:rPr>
        <w:t>ective manner;</w:t>
      </w:r>
    </w:p>
    <w:p w:rsidR="00000000" w:rsidRDefault="0039134F">
      <w:pPr>
        <w:ind w:hanging="180"/>
        <w:jc w:val="both"/>
        <w:rPr>
          <w:rFonts w:eastAsia="Times New Roman"/>
        </w:rPr>
      </w:pPr>
      <w:r>
        <w:rPr>
          <w:rFonts w:eastAsia="Times New Roman"/>
          <w:color w:val="000000"/>
          <w:sz w:val="20"/>
          <w:szCs w:val="20"/>
        </w:rPr>
        <w:t>•operational disruptions if a significant percentage of our workforce is unable to work or we experience labor shortages, including because of illness or travel or government restrictions in connection with the pandemic;</w:t>
      </w:r>
    </w:p>
    <w:p w:rsidR="00000000" w:rsidRDefault="0039134F">
      <w:pPr>
        <w:ind w:hanging="180"/>
        <w:jc w:val="both"/>
        <w:rPr>
          <w:rFonts w:eastAsia="Times New Roman"/>
        </w:rPr>
      </w:pPr>
      <w:r>
        <w:rPr>
          <w:rFonts w:eastAsia="Times New Roman"/>
          <w:color w:val="000000"/>
          <w:sz w:val="20"/>
          <w:szCs w:val="20"/>
        </w:rPr>
        <w:t>•the impact on our b</w:t>
      </w:r>
      <w:r>
        <w:rPr>
          <w:rFonts w:eastAsia="Times New Roman"/>
          <w:color w:val="000000"/>
          <w:sz w:val="20"/>
          <w:szCs w:val="20"/>
        </w:rPr>
        <w:t>usiness of civil unrest, implementation of curfews and protests in certain locations, and related store closures or damage;</w:t>
      </w:r>
    </w:p>
    <w:p w:rsidR="00000000" w:rsidRDefault="0039134F">
      <w:pPr>
        <w:ind w:hanging="180"/>
        <w:divId w:val="752362199"/>
        <w:rPr>
          <w:rFonts w:eastAsia="Times New Roman"/>
        </w:rPr>
      </w:pPr>
      <w:r>
        <w:rPr>
          <w:rFonts w:eastAsia="Times New Roman"/>
          <w:color w:val="000000"/>
          <w:sz w:val="20"/>
          <w:szCs w:val="20"/>
        </w:rPr>
        <w:t>•our ability to recruit and retain vision care professionals for our stores in general and in light of the pandemic;</w:t>
      </w:r>
    </w:p>
    <w:p w:rsidR="00000000" w:rsidRDefault="0039134F">
      <w:pPr>
        <w:ind w:hanging="180"/>
        <w:jc w:val="both"/>
        <w:rPr>
          <w:rFonts w:eastAsia="Times New Roman"/>
        </w:rPr>
      </w:pPr>
      <w:r>
        <w:rPr>
          <w:rFonts w:eastAsia="Times New Roman"/>
          <w:color w:val="000000"/>
          <w:sz w:val="20"/>
          <w:szCs w:val="20"/>
        </w:rPr>
        <w:t>•our ability to</w:t>
      </w:r>
      <w:r>
        <w:rPr>
          <w:rFonts w:eastAsia="Times New Roman"/>
          <w:color w:val="000000"/>
          <w:sz w:val="20"/>
          <w:szCs w:val="20"/>
        </w:rPr>
        <w:t xml:space="preserve"> develop and maintain relationships with managed vision care companies, vision insurance providers and other third-party payors;</w:t>
      </w:r>
    </w:p>
    <w:p w:rsidR="00000000" w:rsidRDefault="0039134F">
      <w:pPr>
        <w:ind w:hanging="180"/>
        <w:divId w:val="927926990"/>
        <w:rPr>
          <w:rFonts w:eastAsia="Times New Roman"/>
        </w:rPr>
      </w:pPr>
      <w:r>
        <w:rPr>
          <w:rFonts w:eastAsia="Times New Roman"/>
          <w:color w:val="000000"/>
          <w:sz w:val="20"/>
          <w:szCs w:val="20"/>
        </w:rPr>
        <w:t>•our ability to maintain the performance of our host and legacy brands and our current operating relationships with our host an</w:t>
      </w:r>
      <w:r>
        <w:rPr>
          <w:rFonts w:eastAsia="Times New Roman"/>
          <w:color w:val="000000"/>
          <w:sz w:val="20"/>
          <w:szCs w:val="20"/>
        </w:rPr>
        <w:t>d legacy partners;</w:t>
      </w:r>
    </w:p>
    <w:p w:rsidR="00000000" w:rsidRDefault="0039134F">
      <w:pPr>
        <w:ind w:hanging="180"/>
        <w:divId w:val="2067531545"/>
        <w:rPr>
          <w:rFonts w:eastAsia="Times New Roman"/>
        </w:rPr>
      </w:pPr>
      <w:r>
        <w:rPr>
          <w:rFonts w:eastAsia="Times New Roman"/>
          <w:color w:val="000000"/>
          <w:sz w:val="20"/>
          <w:szCs w:val="20"/>
        </w:rPr>
        <w:t>•our ability to adhere to extensive state, local and federal vision care and healthcare laws and regulations;</w:t>
      </w:r>
    </w:p>
    <w:p w:rsidR="00000000" w:rsidRDefault="0039134F">
      <w:pPr>
        <w:ind w:hanging="180"/>
        <w:divId w:val="1607888765"/>
        <w:rPr>
          <w:rFonts w:eastAsia="Times New Roman"/>
        </w:rPr>
      </w:pPr>
      <w:r>
        <w:rPr>
          <w:rFonts w:eastAsia="Times New Roman"/>
          <w:color w:val="000000"/>
          <w:sz w:val="20"/>
          <w:szCs w:val="20"/>
        </w:rPr>
        <w:t>•our compliance with managed vision care laws and regulations;</w:t>
      </w:r>
    </w:p>
    <w:p w:rsidR="00000000" w:rsidRDefault="0039134F">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maintain sufficient levels of cash flow from our operations to execute or sustain our growth strategy;</w:t>
      </w:r>
    </w:p>
    <w:p w:rsidR="00000000" w:rsidRDefault="0039134F">
      <w:pPr>
        <w:ind w:hanging="180"/>
        <w:jc w:val="both"/>
        <w:rPr>
          <w:rFonts w:eastAsia="Times New Roman"/>
        </w:rPr>
      </w:pPr>
      <w:r>
        <w:rPr>
          <w:rFonts w:eastAsia="Times New Roman"/>
          <w:color w:val="000000"/>
          <w:sz w:val="20"/>
          <w:szCs w:val="20"/>
        </w:rPr>
        <w:t>•the loss of, or disruption in the operations of, one or more of our distribution centers and/or optical laboratories,</w:t>
      </w:r>
      <w:r>
        <w:rPr>
          <w:rFonts w:eastAsia="Times New Roman"/>
          <w:b/>
          <w:bCs/>
          <w:color w:val="0000FF"/>
          <w:sz w:val="20"/>
          <w:szCs w:val="20"/>
        </w:rPr>
        <w:t xml:space="preserve"> </w:t>
      </w:r>
      <w:r>
        <w:rPr>
          <w:rFonts w:eastAsia="Times New Roman"/>
          <w:color w:val="000000"/>
          <w:sz w:val="20"/>
          <w:szCs w:val="20"/>
        </w:rPr>
        <w:t>resulting in the in</w:t>
      </w:r>
      <w:r>
        <w:rPr>
          <w:rFonts w:eastAsia="Times New Roman"/>
          <w:color w:val="000000"/>
          <w:sz w:val="20"/>
          <w:szCs w:val="20"/>
        </w:rPr>
        <w:t>ability to fulfill customer orders and deliver our products in a timely manner;</w:t>
      </w:r>
    </w:p>
    <w:p w:rsidR="00000000" w:rsidRDefault="0039134F">
      <w:pPr>
        <w:ind w:hanging="180"/>
        <w:jc w:val="both"/>
        <w:rPr>
          <w:rFonts w:eastAsia="Times New Roman"/>
        </w:rPr>
      </w:pPr>
      <w:r>
        <w:rPr>
          <w:rFonts w:eastAsia="Times New Roman"/>
          <w:color w:val="000000"/>
          <w:sz w:val="20"/>
          <w:szCs w:val="20"/>
        </w:rPr>
        <w:t>•risks associated with vendors from whom our products are sourced, including our dependence on a limited number of suppliers;</w:t>
      </w:r>
    </w:p>
    <w:p w:rsidR="00000000" w:rsidRDefault="0039134F">
      <w:pPr>
        <w:ind w:hanging="180"/>
        <w:jc w:val="both"/>
        <w:rPr>
          <w:rFonts w:eastAsia="Times New Roman"/>
        </w:rPr>
      </w:pPr>
      <w:r>
        <w:rPr>
          <w:rFonts w:eastAsia="Times New Roman"/>
          <w:color w:val="000000"/>
          <w:sz w:val="20"/>
          <w:szCs w:val="20"/>
        </w:rPr>
        <w:t>•our ability to successfully compete in the highly</w:t>
      </w:r>
      <w:r>
        <w:rPr>
          <w:rFonts w:eastAsia="Times New Roman"/>
          <w:color w:val="000000"/>
          <w:sz w:val="20"/>
          <w:szCs w:val="20"/>
        </w:rPr>
        <w:t xml:space="preserve"> competitive optical retail industry;</w:t>
      </w:r>
    </w:p>
    <w:p w:rsidR="00000000" w:rsidRDefault="0039134F">
      <w:pPr>
        <w:ind w:hanging="180"/>
        <w:jc w:val="both"/>
        <w:rPr>
          <w:rFonts w:eastAsia="Times New Roman"/>
        </w:rPr>
      </w:pPr>
      <w:r>
        <w:rPr>
          <w:rFonts w:eastAsia="Times New Roman"/>
          <w:color w:val="000000"/>
          <w:sz w:val="20"/>
          <w:szCs w:val="20"/>
        </w:rPr>
        <w:t>•any failure, inadequacy, interruption, security failure or breach of our information technology systems;</w:t>
      </w:r>
    </w:p>
    <w:p w:rsidR="00000000" w:rsidRDefault="0039134F">
      <w:pPr>
        <w:ind w:hanging="180"/>
        <w:jc w:val="both"/>
        <w:rPr>
          <w:rFonts w:eastAsia="Times New Roman"/>
        </w:rPr>
      </w:pPr>
      <w:r>
        <w:rPr>
          <w:rFonts w:eastAsia="Times New Roman"/>
          <w:color w:val="000000"/>
          <w:sz w:val="20"/>
          <w:szCs w:val="20"/>
        </w:rPr>
        <w:lastRenderedPageBreak/>
        <w:t>•our growth strategy straining our existing resources and causing the performance of our existing stores to suff</w:t>
      </w:r>
      <w:r>
        <w:rPr>
          <w:rFonts w:eastAsia="Times New Roman"/>
          <w:color w:val="000000"/>
          <w:sz w:val="20"/>
          <w:szCs w:val="20"/>
        </w:rPr>
        <w:t>er;</w:t>
      </w:r>
    </w:p>
    <w:p w:rsidR="00000000" w:rsidRDefault="0039134F">
      <w:pPr>
        <w:ind w:hanging="180"/>
        <w:jc w:val="both"/>
        <w:rPr>
          <w:rFonts w:eastAsia="Times New Roman"/>
        </w:rPr>
      </w:pPr>
      <w:r>
        <w:rPr>
          <w:rFonts w:eastAsia="Times New Roman"/>
          <w:color w:val="000000"/>
          <w:sz w:val="20"/>
          <w:szCs w:val="20"/>
        </w:rPr>
        <w:t>•the impact of wage rate increases, inflation, cost increases and increases in raw material prices and energy prices;</w:t>
      </w:r>
    </w:p>
    <w:p w:rsidR="00000000" w:rsidRDefault="0039134F">
      <w:pPr>
        <w:ind w:hanging="180"/>
        <w:jc w:val="both"/>
        <w:rPr>
          <w:rFonts w:eastAsia="Times New Roman"/>
        </w:rPr>
      </w:pPr>
      <w:r>
        <w:rPr>
          <w:rFonts w:eastAsia="Times New Roman"/>
          <w:color w:val="000000"/>
          <w:sz w:val="20"/>
          <w:szCs w:val="20"/>
        </w:rPr>
        <w:t>•our ability to successfully implement our marketing, advertising and promotional efforts;</w:t>
      </w:r>
    </w:p>
    <w:p w:rsidR="00000000" w:rsidRDefault="0039134F">
      <w:pPr>
        <w:ind w:hanging="180"/>
        <w:jc w:val="both"/>
        <w:rPr>
          <w:rFonts w:eastAsia="Times New Roman"/>
        </w:rPr>
      </w:pPr>
      <w:r>
        <w:rPr>
          <w:rFonts w:eastAsia="Times New Roman"/>
          <w:color w:val="000000"/>
          <w:sz w:val="20"/>
          <w:szCs w:val="20"/>
        </w:rPr>
        <w:t xml:space="preserve">•risks associated with leasing substantial </w:t>
      </w:r>
      <w:r>
        <w:rPr>
          <w:rFonts w:eastAsia="Times New Roman"/>
          <w:color w:val="000000"/>
          <w:sz w:val="20"/>
          <w:szCs w:val="20"/>
        </w:rPr>
        <w:t>amounts of space, including future increases in occupancy costs;</w:t>
      </w:r>
    </w:p>
    <w:p w:rsidR="00000000" w:rsidRDefault="0039134F">
      <w:pPr>
        <w:ind w:hanging="180"/>
        <w:jc w:val="both"/>
        <w:rPr>
          <w:rFonts w:eastAsia="Times New Roman"/>
        </w:rPr>
      </w:pPr>
      <w:r>
        <w:rPr>
          <w:rFonts w:eastAsia="Times New Roman"/>
          <w:color w:val="000000"/>
          <w:sz w:val="20"/>
          <w:szCs w:val="20"/>
        </w:rPr>
        <w:t>•the impact of certain technological advances, and the greater availability of, or increased consumer preferences for, vision correction alternatives to prescription eyeglasses or contact len</w:t>
      </w:r>
      <w:r>
        <w:rPr>
          <w:rFonts w:eastAsia="Times New Roman"/>
          <w:color w:val="000000"/>
          <w:sz w:val="20"/>
          <w:szCs w:val="20"/>
        </w:rPr>
        <w:t>ses, and future drug development for the correction of vision-related problems;</w:t>
      </w:r>
    </w:p>
    <w:p w:rsidR="00000000" w:rsidRDefault="0039134F">
      <w:pPr>
        <w:jc w:val="center"/>
        <w:divId w:val="822236206"/>
        <w:rPr>
          <w:rFonts w:eastAsia="Times New Roman"/>
        </w:rPr>
      </w:pPr>
      <w:r>
        <w:rPr>
          <w:rFonts w:eastAsia="Times New Roman"/>
          <w:color w:val="000000"/>
          <w:sz w:val="20"/>
          <w:szCs w:val="20"/>
        </w:rPr>
        <w:t>3</w:t>
      </w:r>
    </w:p>
    <w:p w:rsidR="00000000" w:rsidRDefault="0039134F">
      <w:pPr>
        <w:rPr>
          <w:rFonts w:eastAsia="Times New Roman"/>
        </w:rPr>
      </w:pPr>
      <w:r>
        <w:rPr>
          <w:rFonts w:eastAsia="Times New Roman"/>
        </w:rPr>
        <w:pict>
          <v:rect id="_x0000_i1027" style="width:0;height:1.5pt" o:hralign="center" o:hrstd="t" o:hr="t" fillcolor="#a0a0a0" stroked="f"/>
        </w:pict>
      </w:r>
    </w:p>
    <w:p w:rsidR="00000000" w:rsidRDefault="0039134F">
      <w:pPr>
        <w:divId w:val="1681397671"/>
        <w:rPr>
          <w:rFonts w:eastAsia="Times New Roman"/>
        </w:rPr>
      </w:pPr>
    </w:p>
    <w:p w:rsidR="00000000" w:rsidRDefault="0039134F">
      <w:pPr>
        <w:ind w:hanging="180"/>
        <w:jc w:val="both"/>
        <w:rPr>
          <w:rFonts w:eastAsia="Times New Roman"/>
        </w:rPr>
      </w:pPr>
      <w:r>
        <w:rPr>
          <w:rFonts w:eastAsia="Times New Roman"/>
          <w:color w:val="000000"/>
          <w:sz w:val="20"/>
          <w:szCs w:val="20"/>
        </w:rPr>
        <w:t>•our ability to retain our existing senior management team and attract qualified new personnel;</w:t>
      </w:r>
    </w:p>
    <w:p w:rsidR="00000000" w:rsidRDefault="0039134F">
      <w:pPr>
        <w:ind w:hanging="180"/>
        <w:jc w:val="both"/>
        <w:rPr>
          <w:rFonts w:eastAsia="Times New Roman"/>
        </w:rPr>
      </w:pPr>
      <w:r>
        <w:rPr>
          <w:rFonts w:eastAsia="Times New Roman"/>
          <w:color w:val="000000"/>
          <w:sz w:val="20"/>
          <w:szCs w:val="20"/>
        </w:rPr>
        <w:t>•overall decline in the health of the ec</w:t>
      </w:r>
      <w:r>
        <w:rPr>
          <w:rFonts w:eastAsia="Times New Roman"/>
          <w:color w:val="000000"/>
          <w:sz w:val="20"/>
          <w:szCs w:val="20"/>
        </w:rPr>
        <w:t>onomy and consumer spending affecting consumer purchases;</w:t>
      </w:r>
    </w:p>
    <w:p w:rsidR="00000000" w:rsidRDefault="0039134F">
      <w:pPr>
        <w:ind w:hanging="180"/>
        <w:jc w:val="both"/>
        <w:rPr>
          <w:rFonts w:eastAsia="Times New Roman"/>
        </w:rPr>
      </w:pPr>
      <w:r>
        <w:rPr>
          <w:rFonts w:eastAsia="Times New Roman"/>
          <w:color w:val="000000"/>
          <w:sz w:val="20"/>
          <w:szCs w:val="20"/>
        </w:rPr>
        <w:t>•our ability to manage our inventory balances and inventory shrinkage;</w:t>
      </w:r>
    </w:p>
    <w:p w:rsidR="00000000" w:rsidRDefault="0039134F">
      <w:pPr>
        <w:ind w:hanging="180"/>
        <w:jc w:val="both"/>
        <w:rPr>
          <w:rFonts w:eastAsia="Times New Roman"/>
        </w:rPr>
      </w:pPr>
      <w:r>
        <w:rPr>
          <w:rFonts w:eastAsia="Times New Roman"/>
          <w:color w:val="000000"/>
          <w:sz w:val="20"/>
          <w:szCs w:val="20"/>
        </w:rPr>
        <w:t>•seasonal fluctuations in our operating results and inventory levels;</w:t>
      </w:r>
    </w:p>
    <w:p w:rsidR="00000000" w:rsidRDefault="0039134F">
      <w:pPr>
        <w:ind w:hanging="180"/>
        <w:jc w:val="both"/>
        <w:rPr>
          <w:rFonts w:eastAsia="Times New Roman"/>
        </w:rPr>
      </w:pPr>
      <w:r>
        <w:rPr>
          <w:rFonts w:eastAsia="Times New Roman"/>
          <w:color w:val="000000"/>
          <w:sz w:val="20"/>
          <w:szCs w:val="20"/>
        </w:rPr>
        <w:t xml:space="preserve">•our reliance on third-party coverage and reimbursement, </w:t>
      </w:r>
      <w:r>
        <w:rPr>
          <w:rFonts w:eastAsia="Times New Roman"/>
          <w:color w:val="000000"/>
          <w:sz w:val="20"/>
          <w:szCs w:val="20"/>
        </w:rPr>
        <w:t>including government programs, for an increasing portion of our revenues;</w:t>
      </w:r>
    </w:p>
    <w:p w:rsidR="00000000" w:rsidRDefault="0039134F">
      <w:pPr>
        <w:ind w:hanging="180"/>
        <w:jc w:val="both"/>
        <w:rPr>
          <w:rFonts w:eastAsia="Times New Roman"/>
        </w:rPr>
      </w:pPr>
      <w:r>
        <w:rPr>
          <w:rFonts w:eastAsia="Times New Roman"/>
          <w:color w:val="000000"/>
          <w:sz w:val="20"/>
          <w:szCs w:val="20"/>
        </w:rPr>
        <w:t>•risks associated with our e-commerce business;</w:t>
      </w:r>
    </w:p>
    <w:p w:rsidR="00000000" w:rsidRDefault="0039134F">
      <w:pPr>
        <w:ind w:hanging="180"/>
        <w:jc w:val="both"/>
        <w:rPr>
          <w:rFonts w:eastAsia="Times New Roman"/>
        </w:rPr>
      </w:pPr>
      <w:r>
        <w:rPr>
          <w:rFonts w:eastAsia="Times New Roman"/>
          <w:color w:val="000000"/>
          <w:sz w:val="20"/>
          <w:szCs w:val="20"/>
        </w:rPr>
        <w:t>•product liability, product recall or personal injury issues;</w:t>
      </w:r>
    </w:p>
    <w:p w:rsidR="00000000" w:rsidRDefault="0039134F">
      <w:pPr>
        <w:ind w:hanging="180"/>
        <w:jc w:val="both"/>
        <w:rPr>
          <w:rFonts w:eastAsia="Times New Roman"/>
        </w:rPr>
      </w:pPr>
      <w:r>
        <w:rPr>
          <w:rFonts w:eastAsia="Times New Roman"/>
          <w:color w:val="000000"/>
          <w:sz w:val="20"/>
          <w:szCs w:val="20"/>
        </w:rPr>
        <w:t>•our failure to comply with, or changes in, laws, regulations, enforceme</w:t>
      </w:r>
      <w:r>
        <w:rPr>
          <w:rFonts w:eastAsia="Times New Roman"/>
          <w:color w:val="000000"/>
          <w:sz w:val="20"/>
          <w:szCs w:val="20"/>
        </w:rPr>
        <w:t>nt activities and other requirements;</w:t>
      </w:r>
    </w:p>
    <w:p w:rsidR="00000000" w:rsidRDefault="0039134F">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rsidR="00000000" w:rsidRDefault="0039134F">
      <w:pPr>
        <w:ind w:hanging="180"/>
        <w:jc w:val="both"/>
        <w:rPr>
          <w:rFonts w:eastAsia="Times New Roman"/>
        </w:rPr>
      </w:pPr>
      <w:r>
        <w:rPr>
          <w:rFonts w:eastAsia="Times New Roman"/>
          <w:color w:val="000000"/>
          <w:sz w:val="20"/>
          <w:szCs w:val="20"/>
        </w:rPr>
        <w:t>•risks of losses arising from our investments in technological innovators in the opti</w:t>
      </w:r>
      <w:r>
        <w:rPr>
          <w:rFonts w:eastAsia="Times New Roman"/>
          <w:color w:val="000000"/>
          <w:sz w:val="20"/>
          <w:szCs w:val="20"/>
        </w:rPr>
        <w:t>cal retail industry;</w:t>
      </w:r>
    </w:p>
    <w:p w:rsidR="00000000" w:rsidRDefault="0039134F">
      <w:pPr>
        <w:ind w:hanging="180"/>
        <w:jc w:val="both"/>
        <w:rPr>
          <w:rFonts w:eastAsia="Times New Roman"/>
        </w:rPr>
      </w:pPr>
      <w:r>
        <w:rPr>
          <w:rFonts w:eastAsia="Times New Roman"/>
          <w:color w:val="000000"/>
          <w:sz w:val="20"/>
          <w:szCs w:val="20"/>
        </w:rPr>
        <w:t>•our ability to adequately protect our intellectual property;</w:t>
      </w:r>
    </w:p>
    <w:p w:rsidR="00000000" w:rsidRDefault="0039134F">
      <w:pPr>
        <w:ind w:hanging="180"/>
        <w:jc w:val="both"/>
        <w:rPr>
          <w:rFonts w:eastAsia="Times New Roman"/>
        </w:rPr>
      </w:pPr>
      <w:r>
        <w:rPr>
          <w:rFonts w:eastAsia="Times New Roman"/>
          <w:color w:val="000000"/>
          <w:sz w:val="20"/>
          <w:szCs w:val="20"/>
        </w:rPr>
        <w:t>•our significant amount of indebtedness and our ability to generate sufficient cash flow to satisfy our significant debt service obligations;</w:t>
      </w:r>
    </w:p>
    <w:p w:rsidR="00000000" w:rsidRDefault="0039134F">
      <w:pPr>
        <w:ind w:hanging="180"/>
        <w:jc w:val="both"/>
        <w:rPr>
          <w:rFonts w:eastAsia="Times New Roman"/>
        </w:rPr>
      </w:pPr>
      <w:r>
        <w:rPr>
          <w:rFonts w:eastAsia="Times New Roman"/>
          <w:color w:val="000000"/>
          <w:sz w:val="20"/>
          <w:szCs w:val="20"/>
        </w:rPr>
        <w:t xml:space="preserve">•an increase in interest rates </w:t>
      </w:r>
      <w:r>
        <w:rPr>
          <w:rFonts w:eastAsia="Times New Roman"/>
          <w:color w:val="000000"/>
          <w:sz w:val="20"/>
          <w:szCs w:val="20"/>
        </w:rPr>
        <w:t>as well as changes in benchmark rates and uncertainty related to the foregoing;</w:t>
      </w:r>
    </w:p>
    <w:p w:rsidR="00000000" w:rsidRDefault="0039134F">
      <w:pPr>
        <w:ind w:hanging="180"/>
        <w:jc w:val="both"/>
        <w:rPr>
          <w:rFonts w:eastAsia="Times New Roman"/>
        </w:rPr>
      </w:pPr>
      <w:r>
        <w:rPr>
          <w:rFonts w:eastAsia="Times New Roman"/>
          <w:color w:val="000000"/>
          <w:sz w:val="20"/>
          <w:szCs w:val="20"/>
        </w:rPr>
        <w:t>•</w:t>
      </w:r>
      <w:r>
        <w:rPr>
          <w:rFonts w:eastAsia="Times New Roman"/>
          <w:color w:val="000000"/>
          <w:sz w:val="20"/>
          <w:szCs w:val="20"/>
        </w:rPr>
        <w:t>restrictions in our credit agreement that limits our flexibility in operating our business;</w:t>
      </w:r>
    </w:p>
    <w:p w:rsidR="00000000" w:rsidRDefault="0039134F">
      <w:pPr>
        <w:ind w:hanging="180"/>
        <w:jc w:val="both"/>
        <w:rPr>
          <w:rFonts w:eastAsia="Times New Roman"/>
        </w:rPr>
      </w:pPr>
      <w:r>
        <w:rPr>
          <w:rFonts w:eastAsia="Times New Roman"/>
          <w:color w:val="000000"/>
          <w:sz w:val="20"/>
          <w:szCs w:val="20"/>
        </w:rPr>
        <w:t>•potential dilution to existing stockholders upon the conversion of our convertible notes; and</w:t>
      </w:r>
    </w:p>
    <w:p w:rsidR="00000000" w:rsidRDefault="0039134F">
      <w:pPr>
        <w:ind w:hanging="180"/>
        <w:jc w:val="both"/>
        <w:divId w:val="643699229"/>
        <w:rPr>
          <w:rFonts w:eastAsia="Times New Roman"/>
        </w:rPr>
      </w:pPr>
      <w:r>
        <w:rPr>
          <w:rFonts w:eastAsia="Times New Roman"/>
          <w:color w:val="000000"/>
          <w:sz w:val="20"/>
          <w:szCs w:val="20"/>
        </w:rPr>
        <w:t>•risks related to owning our common stock, including our ability to c</w:t>
      </w:r>
      <w:r>
        <w:rPr>
          <w:rFonts w:eastAsia="Times New Roman"/>
          <w:color w:val="000000"/>
          <w:sz w:val="20"/>
          <w:szCs w:val="20"/>
        </w:rPr>
        <w:t>omply with requirements to design and implement and maintain effective internal controls.</w:t>
      </w:r>
    </w:p>
    <w:p w:rsidR="00000000" w:rsidRDefault="0039134F">
      <w:pPr>
        <w:jc w:val="both"/>
        <w:divId w:val="2045666809"/>
        <w:rPr>
          <w:rFonts w:eastAsia="Times New Roman"/>
        </w:rPr>
      </w:pPr>
      <w:r>
        <w:rPr>
          <w:rFonts w:eastAsia="Times New Roman"/>
          <w:color w:val="000000"/>
          <w:sz w:val="20"/>
          <w:szCs w:val="20"/>
        </w:rPr>
        <w:t>We caution you that the risks, uncertainties and other factors referenced above may not contain all of the risks, uncertainties and other factors that are important t</w:t>
      </w:r>
      <w:r>
        <w:rPr>
          <w:rFonts w:eastAsia="Times New Roman"/>
          <w:color w:val="000000"/>
          <w:sz w:val="20"/>
          <w:szCs w:val="20"/>
        </w:rPr>
        <w:t>o you. In addition, we cannot assure you that we will realize the results, benefits or developments that we expect or anticipate or, even if substantially realized, that they will result in the consequences or affect us or our business in the way expected.</w:t>
      </w:r>
      <w:r>
        <w:rPr>
          <w:rFonts w:eastAsia="Times New Roman"/>
          <w:color w:val="000000"/>
          <w:sz w:val="20"/>
          <w:szCs w:val="20"/>
        </w:rPr>
        <w:t xml:space="preserve"> There can be no assurance that (i) we have correctly measured or identified all of the factors affecting our business or the extent of these factors’ likely impact, (ii) the available information with respect to these factors on which such analysis is bas</w:t>
      </w:r>
      <w:r>
        <w:rPr>
          <w:rFonts w:eastAsia="Times New Roman"/>
          <w:color w:val="000000"/>
          <w:sz w:val="20"/>
          <w:szCs w:val="20"/>
        </w:rPr>
        <w:t>ed is complete or accurate, (iii) such analysis is correct or (iv) our strategy, which is based in part on this analysis, will be successful. All forward-looking statements in this Form 10-Q apply only as of the date of this Form 10-Q or as of the date the</w:t>
      </w:r>
      <w:r>
        <w:rPr>
          <w:rFonts w:eastAsia="Times New Roman"/>
          <w:color w:val="000000"/>
          <w:sz w:val="20"/>
          <w:szCs w:val="20"/>
        </w:rPr>
        <w:t>y were made and, except as required by applicable law, we undertake no obligation to publicly update or revise any forward-looking statement, whether as a result of new information, future developments or otherwise.</w:t>
      </w:r>
    </w:p>
    <w:p w:rsidR="00000000" w:rsidRDefault="0039134F">
      <w:pPr>
        <w:jc w:val="both"/>
        <w:divId w:val="439107251"/>
        <w:rPr>
          <w:rFonts w:eastAsia="Times New Roman"/>
        </w:rPr>
      </w:pPr>
      <w:r>
        <w:rPr>
          <w:rFonts w:eastAsia="Times New Roman"/>
          <w:color w:val="000000"/>
          <w:sz w:val="20"/>
          <w:szCs w:val="20"/>
        </w:rPr>
        <w:t xml:space="preserve">All references to “we,” “us,” “our,” or </w:t>
      </w:r>
      <w:r>
        <w:rPr>
          <w:rFonts w:eastAsia="Times New Roman"/>
          <w:color w:val="000000"/>
          <w:sz w:val="20"/>
          <w:szCs w:val="20"/>
        </w:rPr>
        <w:t xml:space="preserve">the “Company” in this Form 10-Q mean National Vision Holdings, Inc. and its subsidiaries, unless the context otherwise requires. References to “eye care practitioners” in this Form 10-Q mean optometrists and ophthalmologists and references to “vision care </w:t>
      </w:r>
      <w:r>
        <w:rPr>
          <w:rFonts w:eastAsia="Times New Roman"/>
          <w:color w:val="000000"/>
          <w:sz w:val="20"/>
          <w:szCs w:val="20"/>
        </w:rPr>
        <w:t>professionals” mean optometrists (including optometrists employed by us or by professional corporations owned by eye care practitioners with which we have arrangements) and opticians.</w:t>
      </w:r>
    </w:p>
    <w:p w:rsidR="00000000" w:rsidRDefault="0039134F">
      <w:pPr>
        <w:jc w:val="both"/>
        <w:divId w:val="2013951639"/>
        <w:rPr>
          <w:rFonts w:eastAsia="Times New Roman"/>
        </w:rPr>
      </w:pPr>
      <w:r>
        <w:rPr>
          <w:rFonts w:eastAsia="Times New Roman"/>
          <w:b/>
          <w:bCs/>
          <w:color w:val="000000"/>
          <w:sz w:val="20"/>
          <w:szCs w:val="20"/>
        </w:rPr>
        <w:t>Website Disclosure</w:t>
      </w:r>
    </w:p>
    <w:p w:rsidR="00000000" w:rsidRDefault="0039134F">
      <w:pPr>
        <w:jc w:val="both"/>
        <w:divId w:val="851914983"/>
        <w:rPr>
          <w:rFonts w:eastAsia="Times New Roman"/>
        </w:rPr>
      </w:pPr>
      <w:r>
        <w:rPr>
          <w:rFonts w:eastAsia="Times New Roman"/>
          <w:color w:val="000000"/>
          <w:sz w:val="20"/>
          <w:szCs w:val="20"/>
        </w:rPr>
        <w:t xml:space="preserve">We use our website www.nationalvision.com as a channel of distribution of Company information. Financial and other important information regarding the Company is routinely accessible through and posted on our website. Accordingly, investors should monitor </w:t>
      </w:r>
      <w:r>
        <w:rPr>
          <w:rFonts w:eastAsia="Times New Roman"/>
          <w:color w:val="000000"/>
          <w:sz w:val="20"/>
          <w:szCs w:val="20"/>
        </w:rPr>
        <w:t xml:space="preserve">our website, in addition to following our press releases, SEC filings and public conference calls and webcasts. In addition, you may automatically receive e-mail alerts and other information about National Vision Holdings, Inc. when you enroll your e-mail </w:t>
      </w:r>
      <w:r>
        <w:rPr>
          <w:rFonts w:eastAsia="Times New Roman"/>
          <w:color w:val="000000"/>
          <w:sz w:val="20"/>
          <w:szCs w:val="20"/>
        </w:rPr>
        <w:t>address by visiting the “Email Alerts” page of the Investor Resources section of our website at www.nationalvision.com/investors. The contents of our website are not, however, a part of this Form 10-Q.</w:t>
      </w:r>
    </w:p>
    <w:p w:rsidR="00000000" w:rsidRDefault="0039134F">
      <w:pPr>
        <w:jc w:val="center"/>
        <w:divId w:val="720175430"/>
        <w:rPr>
          <w:rFonts w:eastAsia="Times New Roman"/>
        </w:rPr>
      </w:pPr>
      <w:r>
        <w:rPr>
          <w:rFonts w:eastAsia="Times New Roman"/>
          <w:color w:val="000000"/>
          <w:sz w:val="20"/>
          <w:szCs w:val="20"/>
        </w:rPr>
        <w:lastRenderedPageBreak/>
        <w:t>4</w:t>
      </w:r>
    </w:p>
    <w:p w:rsidR="00000000" w:rsidRDefault="0039134F">
      <w:pPr>
        <w:rPr>
          <w:rFonts w:eastAsia="Times New Roman"/>
        </w:rPr>
      </w:pPr>
      <w:r>
        <w:rPr>
          <w:rFonts w:eastAsia="Times New Roman"/>
        </w:rPr>
        <w:pict>
          <v:rect id="_x0000_i1028" style="width:0;height:1.5pt" o:hralign="center" o:hrstd="t" o:hr="t" fillcolor="#a0a0a0" stroked="f"/>
        </w:pict>
      </w:r>
    </w:p>
    <w:p w:rsidR="00000000" w:rsidRDefault="0039134F">
      <w:pPr>
        <w:divId w:val="827285906"/>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917448040"/>
        <w:rPr>
          <w:rFonts w:eastAsia="Times New Roman"/>
        </w:rPr>
      </w:pPr>
    </w:p>
    <w:p w:rsidR="00000000" w:rsidRDefault="0039134F">
      <w:pPr>
        <w:divId w:val="367798820"/>
        <w:rPr>
          <w:rFonts w:eastAsia="Times New Roman"/>
        </w:rPr>
      </w:pPr>
      <w:r>
        <w:rPr>
          <w:rFonts w:eastAsia="Times New Roman"/>
          <w:b/>
          <w:bCs/>
          <w:color w:val="000000"/>
          <w:sz w:val="20"/>
          <w:szCs w:val="20"/>
        </w:rPr>
        <w:t>PART I – FINANCIAL INFORMATION</w:t>
      </w:r>
    </w:p>
    <w:p w:rsidR="00000000" w:rsidRDefault="0039134F">
      <w:pPr>
        <w:divId w:val="937442750"/>
        <w:rPr>
          <w:rFonts w:eastAsia="Times New Roman"/>
        </w:rPr>
      </w:pPr>
    </w:p>
    <w:p w:rsidR="00000000" w:rsidRDefault="0039134F">
      <w:pPr>
        <w:divId w:val="1167205593"/>
        <w:rPr>
          <w:rFonts w:eastAsia="Times New Roman"/>
        </w:rPr>
      </w:pPr>
      <w:r>
        <w:rPr>
          <w:rFonts w:eastAsia="Times New Roman"/>
          <w:b/>
          <w:bCs/>
          <w:color w:val="000000"/>
          <w:sz w:val="20"/>
          <w:szCs w:val="20"/>
        </w:rPr>
        <w:t>Item 1.  Financial Statements (Unaudited)</w:t>
      </w:r>
    </w:p>
    <w:p w:rsidR="00000000" w:rsidRDefault="0039134F">
      <w:pPr>
        <w:divId w:val="953556278"/>
        <w:rPr>
          <w:rFonts w:eastAsia="Times New Roman"/>
        </w:rPr>
      </w:pPr>
    </w:p>
    <w:p w:rsidR="00000000" w:rsidRDefault="0039134F">
      <w:pPr>
        <w:jc w:val="center"/>
        <w:rPr>
          <w:rFonts w:eastAsia="Times New Roman"/>
        </w:rPr>
      </w:pPr>
      <w:r>
        <w:rPr>
          <w:rFonts w:eastAsia="Times New Roman"/>
          <w:b/>
          <w:bCs/>
          <w:color w:val="000000"/>
          <w:sz w:val="20"/>
          <w:szCs w:val="20"/>
        </w:rPr>
        <w:t>National Vision Holdings, Inc. and Subsidiaries</w:t>
      </w:r>
    </w:p>
    <w:p w:rsidR="00000000" w:rsidRDefault="0039134F">
      <w:pPr>
        <w:jc w:val="center"/>
        <w:rPr>
          <w:rFonts w:eastAsia="Times New Roman"/>
        </w:rPr>
      </w:pPr>
      <w:r>
        <w:rPr>
          <w:rFonts w:eastAsia="Times New Roman"/>
          <w:b/>
          <w:bCs/>
          <w:color w:val="000000"/>
          <w:sz w:val="20"/>
          <w:szCs w:val="20"/>
        </w:rPr>
        <w:t>Condensed Consolidated Balance Sheets</w:t>
      </w:r>
    </w:p>
    <w:p w:rsidR="00000000" w:rsidRDefault="0039134F">
      <w:pPr>
        <w:jc w:val="center"/>
        <w:rPr>
          <w:rFonts w:eastAsia="Times New Roman"/>
        </w:rPr>
      </w:pPr>
      <w:r>
        <w:rPr>
          <w:rFonts w:eastAsia="Times New Roman"/>
          <w:b/>
          <w:bCs/>
          <w:color w:val="000000"/>
          <w:sz w:val="20"/>
          <w:szCs w:val="20"/>
        </w:rPr>
        <w:t>As of September 26, 2020 and De</w:t>
      </w:r>
      <w:r>
        <w:rPr>
          <w:rFonts w:eastAsia="Times New Roman"/>
          <w:b/>
          <w:bCs/>
          <w:color w:val="000000"/>
          <w:sz w:val="20"/>
          <w:szCs w:val="20"/>
        </w:rPr>
        <w:t xml:space="preserve">cember 28, 2019 </w:t>
      </w:r>
    </w:p>
    <w:p w:rsidR="00000000" w:rsidRDefault="0039134F">
      <w:pPr>
        <w:jc w:val="center"/>
        <w:rPr>
          <w:rFonts w:eastAsia="Times New Roman"/>
        </w:rPr>
      </w:pPr>
      <w:r>
        <w:rPr>
          <w:rFonts w:eastAsia="Times New Roman"/>
          <w:i/>
          <w:iCs/>
          <w:color w:val="000000"/>
          <w:sz w:val="20"/>
          <w:szCs w:val="20"/>
        </w:rPr>
        <w:t>In Thousands, Except Par Value</w:t>
      </w:r>
    </w:p>
    <w:p w:rsidR="00000000" w:rsidRDefault="0039134F">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trPr>
          <w:divId w:val="1921602425"/>
        </w:trPr>
        <w:tc>
          <w:tcPr>
            <w:tcW w:w="50" w:type="pct"/>
            <w:vAlign w:val="center"/>
            <w:hideMark/>
          </w:tcPr>
          <w:p w:rsidR="00000000" w:rsidRDefault="0039134F">
            <w:pPr>
              <w:jc w:val="center"/>
              <w:rPr>
                <w:rFonts w:eastAsia="Times New Roman"/>
              </w:rPr>
            </w:pPr>
          </w:p>
        </w:tc>
        <w:tc>
          <w:tcPr>
            <w:tcW w:w="298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921602425"/>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 xml:space="preserve">ASSETS </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377,007 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39,342 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49,678 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44,475 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111,700 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127,556 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17,050 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23,266 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49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555,435 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234,639 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Height w:val="24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330,356 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366,767 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Trademarks and trade names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51,384 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56,940 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Right of use assets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335,860 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348,090 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16,318 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1,752,078 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1,798,086 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2,307,513 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2,032,725 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68,629 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40,782 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125,278 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82,829 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44,723 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28,002 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56,846 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55,870 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13,759 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57,036 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51,937 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49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356,049 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273,179 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Height w:val="240"/>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Long-term debt and finance lease obligations, less current portion and debt discount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648,138 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555,933 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Non-current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320,155 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331,769 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20,773 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21,530 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23,686 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13,731 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lastRenderedPageBreak/>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73,749 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60,146 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49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Total other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118,208 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95,407 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Commitments and contingencies (See Note 10)</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1602425"/>
        </w:trPr>
        <w:tc>
          <w:tcPr>
            <w:tcW w:w="0" w:type="auto"/>
            <w:gridSpan w:val="3"/>
            <w:shd w:val="clear" w:color="auto" w:fill="FFFFFF"/>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20"/>
                <w:szCs w:val="20"/>
              </w:rPr>
              <w:t xml:space="preserve">Common stock, $0.01 par value; 200,000 shares authorized; 81,917 and 80,603 </w:t>
            </w:r>
            <w:r>
              <w:rPr>
                <w:rFonts w:eastAsia="Times New Roman"/>
                <w:color w:val="000000"/>
                <w:sz w:val="20"/>
                <w:szCs w:val="20"/>
              </w:rPr>
              <w:t>shares issued as of September 26, 2020 and December 28, 2019, respectively; 80,989 and 79,678 shares outstanding as of September 26, 2020 and December 28, 2019, respectively</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790,188 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700,121 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(5,944)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225" w:type="dxa"/>
              <w:bottom w:w="30" w:type="dxa"/>
              <w:right w:w="20" w:type="dxa"/>
            </w:tcMar>
            <w:vAlign w:val="center"/>
            <w:hideMark/>
          </w:tcPr>
          <w:p w:rsidR="00000000" w:rsidRDefault="0039134F">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107,801 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107,132 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20"/>
                <w:szCs w:val="20"/>
              </w:rPr>
              <w:t xml:space="preserve">Treasury stock, at cost; 928 and 925 </w:t>
            </w:r>
            <w:r>
              <w:rPr>
                <w:rFonts w:eastAsia="Times New Roman"/>
                <w:color w:val="000000"/>
                <w:sz w:val="20"/>
                <w:szCs w:val="20"/>
              </w:rPr>
              <w:t>shares as of September 26, 2020 and December 28, 2019, respectively</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(27,900)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(27,807)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1602425"/>
        </w:trPr>
        <w:tc>
          <w:tcPr>
            <w:tcW w:w="0" w:type="auto"/>
            <w:gridSpan w:val="3"/>
            <w:shd w:val="clear" w:color="auto" w:fill="CCEEFF"/>
            <w:tcMar>
              <w:top w:w="30" w:type="dxa"/>
              <w:left w:w="49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864,963 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921602425"/>
        </w:trPr>
        <w:tc>
          <w:tcPr>
            <w:tcW w:w="0" w:type="auto"/>
            <w:gridSpan w:val="3"/>
            <w:shd w:val="clear" w:color="auto" w:fill="FFFF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2,307,513 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2,032,725 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bl>
    <w:p w:rsidR="00000000" w:rsidRDefault="0039134F">
      <w:pPr>
        <w:jc w:val="center"/>
        <w:divId w:val="1600917533"/>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39134F">
      <w:pPr>
        <w:jc w:val="center"/>
        <w:divId w:val="763720145"/>
        <w:rPr>
          <w:rFonts w:eastAsia="Times New Roman"/>
        </w:rPr>
      </w:pPr>
      <w:r>
        <w:rPr>
          <w:rFonts w:eastAsia="Times New Roman"/>
          <w:color w:val="000000"/>
          <w:sz w:val="20"/>
          <w:szCs w:val="20"/>
        </w:rPr>
        <w:t>5</w:t>
      </w:r>
    </w:p>
    <w:p w:rsidR="00000000" w:rsidRDefault="0039134F">
      <w:pPr>
        <w:rPr>
          <w:rFonts w:eastAsia="Times New Roman"/>
        </w:rPr>
      </w:pPr>
      <w:r>
        <w:rPr>
          <w:rFonts w:eastAsia="Times New Roman"/>
        </w:rPr>
        <w:pict>
          <v:rect id="_x0000_i1029" style="width:0;height:1.5pt" o:hralign="center" o:hrstd="t" o:hr="t" fillcolor="#a0a0a0" stroked="f"/>
        </w:pict>
      </w:r>
    </w:p>
    <w:p w:rsidR="00000000" w:rsidRDefault="0039134F">
      <w:pPr>
        <w:divId w:val="1516580945"/>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rPr>
          <w:rFonts w:eastAsia="Times New Roman"/>
        </w:rPr>
      </w:pPr>
      <w:r>
        <w:rPr>
          <w:rFonts w:eastAsia="Times New Roman"/>
          <w:b/>
          <w:bCs/>
          <w:color w:val="000000"/>
          <w:sz w:val="20"/>
          <w:szCs w:val="20"/>
        </w:rPr>
        <w:t>National Vision Holdings, Inc. and Subsidiaries</w:t>
      </w:r>
    </w:p>
    <w:p w:rsidR="00000000" w:rsidRDefault="0039134F">
      <w:pPr>
        <w:jc w:val="center"/>
        <w:rPr>
          <w:rFonts w:eastAsia="Times New Roman"/>
        </w:rPr>
      </w:pPr>
      <w:r>
        <w:rPr>
          <w:rFonts w:eastAsia="Times New Roman"/>
          <w:b/>
          <w:bCs/>
          <w:color w:val="000000"/>
          <w:sz w:val="20"/>
          <w:szCs w:val="20"/>
        </w:rPr>
        <w:t>Condensed Consolidated Statements of Operations and Comprehensive Income</w:t>
      </w:r>
    </w:p>
    <w:p w:rsidR="00000000" w:rsidRDefault="0039134F">
      <w:pPr>
        <w:jc w:val="center"/>
        <w:rPr>
          <w:rFonts w:eastAsia="Times New Roman"/>
        </w:rPr>
      </w:pPr>
      <w:r>
        <w:rPr>
          <w:rFonts w:eastAsia="Times New Roman"/>
          <w:b/>
          <w:bCs/>
          <w:color w:val="000000"/>
          <w:sz w:val="20"/>
          <w:szCs w:val="20"/>
        </w:rPr>
        <w:t xml:space="preserve">For the Three and Nine </w:t>
      </w:r>
      <w:r>
        <w:rPr>
          <w:rFonts w:eastAsia="Times New Roman"/>
          <w:b/>
          <w:bCs/>
          <w:color w:val="000000"/>
          <w:sz w:val="20"/>
          <w:szCs w:val="20"/>
        </w:rPr>
        <w:t>Months Ended September 26, 2020 and September 28, 2019</w:t>
      </w:r>
    </w:p>
    <w:p w:rsidR="00000000" w:rsidRDefault="0039134F">
      <w:pPr>
        <w:jc w:val="center"/>
        <w:rPr>
          <w:rFonts w:eastAsia="Times New Roman"/>
        </w:rPr>
      </w:pPr>
      <w:r>
        <w:rPr>
          <w:rFonts w:eastAsia="Times New Roman"/>
          <w:i/>
          <w:iCs/>
          <w:color w:val="000000"/>
          <w:sz w:val="20"/>
          <w:szCs w:val="20"/>
        </w:rPr>
        <w:t>In Thousands, Except Earnings Per Share</w:t>
      </w:r>
    </w:p>
    <w:p w:rsidR="00000000" w:rsidRDefault="0039134F">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229"/>
        <w:gridCol w:w="40"/>
        <w:gridCol w:w="121"/>
        <w:gridCol w:w="1042"/>
        <w:gridCol w:w="36"/>
        <w:gridCol w:w="36"/>
        <w:gridCol w:w="36"/>
        <w:gridCol w:w="36"/>
        <w:gridCol w:w="121"/>
        <w:gridCol w:w="992"/>
        <w:gridCol w:w="36"/>
        <w:gridCol w:w="36"/>
        <w:gridCol w:w="36"/>
        <w:gridCol w:w="36"/>
        <w:gridCol w:w="120"/>
        <w:gridCol w:w="1005"/>
        <w:gridCol w:w="36"/>
        <w:gridCol w:w="36"/>
        <w:gridCol w:w="36"/>
        <w:gridCol w:w="36"/>
        <w:gridCol w:w="120"/>
        <w:gridCol w:w="1007"/>
        <w:gridCol w:w="36"/>
      </w:tblGrid>
      <w:tr w:rsidR="00000000">
        <w:trPr>
          <w:divId w:val="1519267915"/>
          <w:jc w:val="center"/>
        </w:trPr>
        <w:tc>
          <w:tcPr>
            <w:tcW w:w="50" w:type="pct"/>
            <w:vAlign w:val="center"/>
            <w:hideMark/>
          </w:tcPr>
          <w:p w:rsidR="00000000" w:rsidRDefault="0039134F">
            <w:pPr>
              <w:jc w:val="center"/>
              <w:rPr>
                <w:rFonts w:eastAsia="Times New Roman"/>
              </w:rPr>
            </w:pPr>
          </w:p>
        </w:tc>
        <w:tc>
          <w:tcPr>
            <w:tcW w:w="198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58"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5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58"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58"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519267915"/>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519267915"/>
          <w:jc w:val="center"/>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403,336 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355,789 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1,005,884 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1,096,482 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82,017 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76,113 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209,180 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226,086 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485,353 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431,902 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1,215,064 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1,322,568 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148,274 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144,518 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402,279 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444,177 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62,535 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59,984 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167,864 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174,801 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210,809 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204,502 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570,143 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618,978 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190,518 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190,290 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520,841 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566,444 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22,236 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22,336 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68,970 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63,570 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219,750 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216,288 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614,810 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638,376 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54,794 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12,475 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35,432 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25,902 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Loss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Earnings (loss)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29,526 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(7,739)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(6,655)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Earnings per share:</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80,676 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78,474 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80,376 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83,795 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81,561 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82,718 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81,510 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28,879 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(2,853)</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(2,837)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Tax provision (benefit) of unrealized gain (loss)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(723)</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1926791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Comprehensive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divId w:val="1364014327"/>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39134F">
      <w:pPr>
        <w:jc w:val="center"/>
        <w:divId w:val="44523313"/>
        <w:rPr>
          <w:rFonts w:eastAsia="Times New Roman"/>
        </w:rPr>
      </w:pPr>
      <w:r>
        <w:rPr>
          <w:rFonts w:eastAsia="Times New Roman"/>
          <w:color w:val="000000"/>
          <w:sz w:val="20"/>
          <w:szCs w:val="20"/>
        </w:rPr>
        <w:t>6</w:t>
      </w:r>
    </w:p>
    <w:p w:rsidR="00000000" w:rsidRDefault="0039134F">
      <w:pPr>
        <w:rPr>
          <w:rFonts w:eastAsia="Times New Roman"/>
        </w:rPr>
      </w:pPr>
      <w:r>
        <w:rPr>
          <w:rFonts w:eastAsia="Times New Roman"/>
        </w:rPr>
        <w:pict>
          <v:rect id="_x0000_i1030" style="width:0;height:1.5pt" o:hralign="center" o:hrstd="t" o:hr="t" fillcolor="#a0a0a0" stroked="f"/>
        </w:pict>
      </w:r>
    </w:p>
    <w:p w:rsidR="00000000" w:rsidRDefault="0039134F">
      <w:pPr>
        <w:divId w:val="377514738"/>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divId w:val="1944655172"/>
        <w:rPr>
          <w:rFonts w:eastAsia="Times New Roman"/>
        </w:rPr>
      </w:pPr>
    </w:p>
    <w:p w:rsidR="00000000" w:rsidRDefault="0039134F">
      <w:pPr>
        <w:jc w:val="center"/>
        <w:rPr>
          <w:rFonts w:eastAsia="Times New Roman"/>
        </w:rPr>
      </w:pPr>
      <w:r>
        <w:rPr>
          <w:rFonts w:eastAsia="Times New Roman"/>
          <w:b/>
          <w:bCs/>
          <w:color w:val="000000"/>
          <w:sz w:val="20"/>
          <w:szCs w:val="20"/>
        </w:rPr>
        <w:t>National Vision Holdings, Inc. and Subsidiaries</w:t>
      </w:r>
    </w:p>
    <w:p w:rsidR="00000000" w:rsidRDefault="0039134F">
      <w:pPr>
        <w:jc w:val="center"/>
        <w:rPr>
          <w:rFonts w:eastAsia="Times New Roman"/>
        </w:rPr>
      </w:pPr>
      <w:r>
        <w:rPr>
          <w:rFonts w:eastAsia="Times New Roman"/>
          <w:b/>
          <w:bCs/>
          <w:color w:val="000000"/>
          <w:sz w:val="20"/>
          <w:szCs w:val="20"/>
        </w:rPr>
        <w:t>Condensed Consolidated Statements of Stockholders’ Equity</w:t>
      </w:r>
    </w:p>
    <w:p w:rsidR="00000000" w:rsidRDefault="0039134F">
      <w:pPr>
        <w:jc w:val="center"/>
        <w:rPr>
          <w:rFonts w:eastAsia="Times New Roman"/>
        </w:rPr>
      </w:pPr>
      <w:r>
        <w:rPr>
          <w:rFonts w:eastAsia="Times New Roman"/>
          <w:b/>
          <w:bCs/>
          <w:color w:val="000000"/>
          <w:sz w:val="20"/>
          <w:szCs w:val="20"/>
        </w:rPr>
        <w:t>For the Three and Nine Months Ended September 26, 2020</w:t>
      </w:r>
    </w:p>
    <w:p w:rsidR="00000000" w:rsidRDefault="0039134F">
      <w:pPr>
        <w:jc w:val="center"/>
        <w:rPr>
          <w:rFonts w:eastAsia="Times New Roman"/>
        </w:rPr>
      </w:pPr>
      <w:r>
        <w:rPr>
          <w:rFonts w:eastAsia="Times New Roman"/>
          <w:i/>
          <w:iCs/>
          <w:color w:val="000000"/>
          <w:sz w:val="20"/>
          <w:szCs w:val="20"/>
        </w:rPr>
        <w:t>In Thousands</w:t>
      </w:r>
    </w:p>
    <w:p w:rsidR="00000000" w:rsidRDefault="0039134F">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618"/>
        <w:gridCol w:w="38"/>
        <w:gridCol w:w="75"/>
        <w:gridCol w:w="545"/>
        <w:gridCol w:w="39"/>
        <w:gridCol w:w="122"/>
        <w:gridCol w:w="604"/>
        <w:gridCol w:w="37"/>
        <w:gridCol w:w="121"/>
        <w:gridCol w:w="798"/>
        <w:gridCol w:w="36"/>
        <w:gridCol w:w="121"/>
        <w:gridCol w:w="1192"/>
        <w:gridCol w:w="36"/>
        <w:gridCol w:w="120"/>
        <w:gridCol w:w="700"/>
        <w:gridCol w:w="36"/>
        <w:gridCol w:w="120"/>
        <w:gridCol w:w="684"/>
        <w:gridCol w:w="36"/>
        <w:gridCol w:w="121"/>
        <w:gridCol w:w="1025"/>
        <w:gridCol w:w="36"/>
      </w:tblGrid>
      <w:tr w:rsidR="00000000">
        <w:trPr>
          <w:divId w:val="1100836421"/>
          <w:jc w:val="center"/>
        </w:trPr>
        <w:tc>
          <w:tcPr>
            <w:tcW w:w="50" w:type="pct"/>
            <w:vAlign w:val="center"/>
            <w:hideMark/>
          </w:tcPr>
          <w:p w:rsidR="00000000" w:rsidRDefault="0039134F">
            <w:pPr>
              <w:jc w:val="center"/>
              <w:rPr>
                <w:rFonts w:eastAsia="Times New Roman"/>
              </w:rPr>
            </w:pPr>
          </w:p>
        </w:tc>
        <w:tc>
          <w:tcPr>
            <w:tcW w:w="133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4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3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1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1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8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100836421"/>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and Nine Months Ended September 26, 2020</w:t>
            </w:r>
          </w:p>
        </w:tc>
      </w:tr>
      <w:tr w:rsidR="00000000">
        <w:trPr>
          <w:divId w:val="1100836421"/>
          <w:trHeight w:val="300"/>
          <w:jc w:val="center"/>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r>
            <w:r>
              <w:rPr>
                <w:rFonts w:eastAsia="Times New Roman"/>
                <w:color w:val="000000"/>
                <w:sz w:val="20"/>
                <w:szCs w:val="20"/>
              </w:rP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1100836421"/>
          <w:trHeight w:val="540"/>
          <w:jc w:val="center"/>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r>
      <w:tr w:rsidR="00000000">
        <w:trPr>
          <w:divId w:val="110083642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107,132 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December 28, 2019 - as adjusted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106,603 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775,908 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5,120 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March 28,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707,301 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(10,416)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116,345 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27,881)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786,160 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878 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Conversion option related to convertible senior notes, net of allocated costs and tax</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71,349 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3,061 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(43,833)</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June 27,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782,851 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(27,881)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820,939 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4,480 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2,863 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2,863 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083642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September 26,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790,188 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107,801 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(27,900)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864,963 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39134F">
      <w:pPr>
        <w:jc w:val="center"/>
        <w:divId w:val="1990288102"/>
        <w:rPr>
          <w:rFonts w:eastAsia="Times New Roman"/>
        </w:rPr>
      </w:pPr>
      <w:r>
        <w:rPr>
          <w:rFonts w:eastAsia="Times New Roman"/>
          <w:color w:val="000000"/>
          <w:sz w:val="20"/>
          <w:szCs w:val="20"/>
        </w:rPr>
        <w:t>7</w:t>
      </w:r>
    </w:p>
    <w:p w:rsidR="00000000" w:rsidRDefault="0039134F">
      <w:pPr>
        <w:rPr>
          <w:rFonts w:eastAsia="Times New Roman"/>
        </w:rPr>
      </w:pPr>
      <w:r>
        <w:rPr>
          <w:rFonts w:eastAsia="Times New Roman"/>
        </w:rPr>
        <w:pict>
          <v:rect id="_x0000_i1031" style="width:0;height:1.5pt" o:hralign="center" o:hrstd="t" o:hr="t" fillcolor="#a0a0a0" stroked="f"/>
        </w:pict>
      </w:r>
    </w:p>
    <w:p w:rsidR="00000000" w:rsidRDefault="0039134F">
      <w:pPr>
        <w:divId w:val="35743707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divId w:val="1933732287"/>
        <w:rPr>
          <w:rFonts w:eastAsia="Times New Roman"/>
        </w:rPr>
      </w:pPr>
    </w:p>
    <w:p w:rsidR="00000000" w:rsidRDefault="0039134F">
      <w:pPr>
        <w:jc w:val="center"/>
        <w:rPr>
          <w:rFonts w:eastAsia="Times New Roman"/>
        </w:rPr>
      </w:pPr>
      <w:r>
        <w:rPr>
          <w:rFonts w:eastAsia="Times New Roman"/>
          <w:b/>
          <w:bCs/>
          <w:color w:val="000000"/>
          <w:sz w:val="20"/>
          <w:szCs w:val="20"/>
        </w:rPr>
        <w:t>National Vision Holdings, Inc. a</w:t>
      </w:r>
      <w:r>
        <w:rPr>
          <w:rFonts w:eastAsia="Times New Roman"/>
          <w:b/>
          <w:bCs/>
          <w:color w:val="000000"/>
          <w:sz w:val="20"/>
          <w:szCs w:val="20"/>
        </w:rPr>
        <w:t>nd Subsidiaries</w:t>
      </w:r>
    </w:p>
    <w:p w:rsidR="00000000" w:rsidRDefault="0039134F">
      <w:pPr>
        <w:jc w:val="center"/>
        <w:rPr>
          <w:rFonts w:eastAsia="Times New Roman"/>
        </w:rPr>
      </w:pPr>
      <w:r>
        <w:rPr>
          <w:rFonts w:eastAsia="Times New Roman"/>
          <w:b/>
          <w:bCs/>
          <w:color w:val="000000"/>
          <w:sz w:val="20"/>
          <w:szCs w:val="20"/>
        </w:rPr>
        <w:t>Condensed Consolidated Statements of Stockholders’ Equity</w:t>
      </w:r>
    </w:p>
    <w:p w:rsidR="00000000" w:rsidRDefault="0039134F">
      <w:pPr>
        <w:jc w:val="center"/>
        <w:rPr>
          <w:rFonts w:eastAsia="Times New Roman"/>
        </w:rPr>
      </w:pPr>
      <w:r>
        <w:rPr>
          <w:rFonts w:eastAsia="Times New Roman"/>
          <w:b/>
          <w:bCs/>
          <w:color w:val="000000"/>
          <w:sz w:val="20"/>
          <w:szCs w:val="20"/>
        </w:rPr>
        <w:t>For the Three and Nine Months Ended September 28, 2019</w:t>
      </w:r>
    </w:p>
    <w:p w:rsidR="00000000" w:rsidRDefault="0039134F">
      <w:pPr>
        <w:jc w:val="center"/>
        <w:rPr>
          <w:rFonts w:eastAsia="Times New Roman"/>
        </w:rPr>
      </w:pPr>
      <w:r>
        <w:rPr>
          <w:rFonts w:eastAsia="Times New Roman"/>
          <w:i/>
          <w:iCs/>
          <w:color w:val="000000"/>
          <w:sz w:val="20"/>
          <w:szCs w:val="20"/>
        </w:rPr>
        <w:t>In Thousands</w:t>
      </w:r>
    </w:p>
    <w:p w:rsidR="00000000" w:rsidRDefault="0039134F">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1623"/>
        <w:gridCol w:w="38"/>
        <w:gridCol w:w="76"/>
        <w:gridCol w:w="544"/>
        <w:gridCol w:w="39"/>
        <w:gridCol w:w="121"/>
        <w:gridCol w:w="604"/>
        <w:gridCol w:w="37"/>
        <w:gridCol w:w="121"/>
        <w:gridCol w:w="798"/>
        <w:gridCol w:w="36"/>
        <w:gridCol w:w="121"/>
        <w:gridCol w:w="1192"/>
        <w:gridCol w:w="36"/>
        <w:gridCol w:w="120"/>
        <w:gridCol w:w="700"/>
        <w:gridCol w:w="36"/>
        <w:gridCol w:w="120"/>
        <w:gridCol w:w="684"/>
        <w:gridCol w:w="36"/>
        <w:gridCol w:w="121"/>
        <w:gridCol w:w="1024"/>
        <w:gridCol w:w="36"/>
      </w:tblGrid>
      <w:tr w:rsidR="00000000">
        <w:trPr>
          <w:divId w:val="741832265"/>
          <w:jc w:val="center"/>
        </w:trPr>
        <w:tc>
          <w:tcPr>
            <w:tcW w:w="50" w:type="pct"/>
            <w:vAlign w:val="center"/>
            <w:hideMark/>
          </w:tcPr>
          <w:p w:rsidR="00000000" w:rsidRDefault="0039134F">
            <w:pPr>
              <w:jc w:val="center"/>
              <w:rPr>
                <w:rFonts w:eastAsia="Times New Roman"/>
              </w:rPr>
            </w:pPr>
          </w:p>
        </w:tc>
        <w:tc>
          <w:tcPr>
            <w:tcW w:w="143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4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3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7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741832265"/>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and Nine Months Ended September 28, 2019</w:t>
            </w:r>
          </w:p>
        </w:tc>
      </w:tr>
      <w:tr w:rsidR="00000000">
        <w:trPr>
          <w:divId w:val="741832265"/>
          <w:trHeight w:val="300"/>
          <w:jc w:val="center"/>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741832265"/>
          <w:trHeight w:val="600"/>
          <w:jc w:val="center"/>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c>
          <w:tcPr>
            <w:tcW w:w="0" w:type="auto"/>
            <w:gridSpan w:val="3"/>
            <w:vMerge/>
            <w:tcBorders>
              <w:top w:val="single" w:sz="8" w:space="0" w:color="000000"/>
            </w:tcBorders>
            <w:vAlign w:val="center"/>
            <w:hideMark/>
          </w:tcPr>
          <w:p w:rsidR="00000000" w:rsidRDefault="0039134F">
            <w:pPr>
              <w:rPr>
                <w:rFonts w:eastAsia="Times New Roman"/>
              </w:rPr>
            </w:pPr>
          </w:p>
        </w:tc>
      </w:tr>
      <w:tr w:rsidR="00000000">
        <w:trPr>
          <w:divId w:val="74183226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December 29,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672,503 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743,154 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December 30, 2018 - as adjusted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672,503 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742,648 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vAlign w:val="center"/>
            <w:hideMark/>
          </w:tcPr>
          <w:p w:rsidR="00000000" w:rsidRDefault="0039134F">
            <w:pPr>
              <w:jc w:val="right"/>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741832265"/>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(947)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(947)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March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675,952 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91,763 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762,580 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1,550 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1,553 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(1,670)</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(1,670)</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10,257 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10,257 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June 29,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679,216 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102,020 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2,161)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774,434 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8,224 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8,238 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(25,000)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(25,000)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FFFFFF"/>
            <w:tcMar>
              <w:top w:w="30" w:type="dxa"/>
              <w:left w:w="9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741832265"/>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Balances at September 28,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693,541 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103,212 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(27,161)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765,471 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divId w:val="2062706670"/>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39134F">
      <w:pPr>
        <w:jc w:val="center"/>
        <w:divId w:val="1160342515"/>
        <w:rPr>
          <w:rFonts w:eastAsia="Times New Roman"/>
        </w:rPr>
      </w:pPr>
      <w:r>
        <w:rPr>
          <w:rFonts w:eastAsia="Times New Roman"/>
          <w:color w:val="000000"/>
          <w:sz w:val="20"/>
          <w:szCs w:val="20"/>
        </w:rPr>
        <w:t>8</w:t>
      </w:r>
    </w:p>
    <w:p w:rsidR="00000000" w:rsidRDefault="0039134F">
      <w:pPr>
        <w:rPr>
          <w:rFonts w:eastAsia="Times New Roman"/>
        </w:rPr>
      </w:pPr>
      <w:r>
        <w:rPr>
          <w:rFonts w:eastAsia="Times New Roman"/>
        </w:rPr>
        <w:pict>
          <v:rect id="_x0000_i1032" style="width:0;height:1.5pt" o:hralign="center" o:hrstd="t" o:hr="t" fillcolor="#a0a0a0" stroked="f"/>
        </w:pict>
      </w:r>
    </w:p>
    <w:p w:rsidR="00000000" w:rsidRDefault="0039134F">
      <w:pPr>
        <w:divId w:val="1716192956"/>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rPr>
          <w:rFonts w:eastAsia="Times New Roman"/>
        </w:rPr>
      </w:pPr>
      <w:r>
        <w:rPr>
          <w:rFonts w:eastAsia="Times New Roman"/>
          <w:b/>
          <w:bCs/>
          <w:color w:val="000000"/>
          <w:sz w:val="20"/>
          <w:szCs w:val="20"/>
        </w:rPr>
        <w:t>National Vision Holdings, Inc. and Subsidiaries</w:t>
      </w:r>
    </w:p>
    <w:p w:rsidR="00000000" w:rsidRDefault="0039134F">
      <w:pPr>
        <w:jc w:val="center"/>
        <w:rPr>
          <w:rFonts w:eastAsia="Times New Roman"/>
        </w:rPr>
      </w:pPr>
      <w:r>
        <w:rPr>
          <w:rFonts w:eastAsia="Times New Roman"/>
          <w:b/>
          <w:bCs/>
          <w:color w:val="000000"/>
          <w:sz w:val="20"/>
          <w:szCs w:val="20"/>
        </w:rPr>
        <w:t>Condensed Consolidated Statements of Cash Flows</w:t>
      </w:r>
    </w:p>
    <w:p w:rsidR="00000000" w:rsidRDefault="0039134F">
      <w:pPr>
        <w:jc w:val="center"/>
        <w:rPr>
          <w:rFonts w:eastAsia="Times New Roman"/>
        </w:rPr>
      </w:pPr>
      <w:r>
        <w:rPr>
          <w:rFonts w:eastAsia="Times New Roman"/>
          <w:b/>
          <w:bCs/>
          <w:color w:val="000000"/>
          <w:sz w:val="20"/>
          <w:szCs w:val="20"/>
        </w:rPr>
        <w:t>For the Nine Months Ended September 26, 2020 and</w:t>
      </w:r>
      <w:r>
        <w:rPr>
          <w:rFonts w:eastAsia="Times New Roman"/>
          <w:b/>
          <w:bCs/>
          <w:color w:val="000000"/>
          <w:sz w:val="20"/>
          <w:szCs w:val="20"/>
        </w:rPr>
        <w:t xml:space="preserve"> September 28, 2019</w:t>
      </w:r>
    </w:p>
    <w:p w:rsidR="00000000" w:rsidRDefault="0039134F">
      <w:pPr>
        <w:jc w:val="center"/>
        <w:rPr>
          <w:rFonts w:eastAsia="Times New Roman"/>
        </w:rPr>
      </w:pPr>
      <w:r>
        <w:rPr>
          <w:rFonts w:eastAsia="Times New Roman"/>
          <w:i/>
          <w:iCs/>
          <w:color w:val="000000"/>
          <w:sz w:val="20"/>
          <w:szCs w:val="20"/>
        </w:rPr>
        <w:t>In Thousands</w:t>
      </w:r>
    </w:p>
    <w:p w:rsidR="00000000" w:rsidRDefault="0039134F">
      <w:pPr>
        <w:jc w:val="center"/>
        <w:rPr>
          <w:rFonts w:eastAsia="Times New Roman"/>
        </w:rPr>
      </w:pPr>
      <w:r>
        <w:rPr>
          <w:rFonts w:eastAsia="Times New Roman"/>
          <w:b/>
          <w:bCs/>
          <w:color w:val="000000"/>
          <w:sz w:val="20"/>
          <w:szCs w:val="20"/>
        </w:rPr>
        <w:t>(Unaudited)</w:t>
      </w:r>
    </w:p>
    <w:tbl>
      <w:tblPr>
        <w:tblW w:w="4991" w:type="pct"/>
        <w:tblCellMar>
          <w:top w:w="15" w:type="dxa"/>
          <w:left w:w="15" w:type="dxa"/>
          <w:bottom w:w="15" w:type="dxa"/>
          <w:right w:w="15" w:type="dxa"/>
        </w:tblCellMar>
        <w:tblLook w:val="04A0" w:firstRow="1" w:lastRow="0" w:firstColumn="1" w:lastColumn="0" w:noHBand="0" w:noVBand="1"/>
      </w:tblPr>
      <w:tblGrid>
        <w:gridCol w:w="43"/>
        <w:gridCol w:w="5619"/>
        <w:gridCol w:w="40"/>
        <w:gridCol w:w="111"/>
        <w:gridCol w:w="1106"/>
        <w:gridCol w:w="36"/>
        <w:gridCol w:w="36"/>
        <w:gridCol w:w="36"/>
        <w:gridCol w:w="36"/>
        <w:gridCol w:w="111"/>
        <w:gridCol w:w="1081"/>
        <w:gridCol w:w="36"/>
      </w:tblGrid>
      <w:tr w:rsidR="00000000">
        <w:trPr>
          <w:divId w:val="1926572051"/>
        </w:trPr>
        <w:tc>
          <w:tcPr>
            <w:tcW w:w="50" w:type="pct"/>
            <w:vAlign w:val="center"/>
            <w:hideMark/>
          </w:tcPr>
          <w:p w:rsidR="00000000" w:rsidRDefault="0039134F">
            <w:pPr>
              <w:jc w:val="center"/>
              <w:rPr>
                <w:rFonts w:eastAsia="Times New Roman"/>
              </w:rPr>
            </w:pPr>
          </w:p>
        </w:tc>
        <w:tc>
          <w:tcPr>
            <w:tcW w:w="34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926572051"/>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Nine Months Ended</w:t>
            </w:r>
          </w:p>
        </w:tc>
      </w:tr>
      <w:tr w:rsidR="00000000">
        <w:trPr>
          <w:divId w:val="1926572051"/>
        </w:trPr>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18"/>
                <w:szCs w:val="18"/>
              </w:rPr>
              <w:t>September 28, 2019</w:t>
            </w: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1,198 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28,879 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68,970 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63,570 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7,248 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1,071 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20,916 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 xml:space="preserve">Deferred income tax expense (benefit) </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(6,735)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651 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8,335 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10,840 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4,596 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3,502 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Credit loss expense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482 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6,265 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1,665 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1,963 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(5,685)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(6,023)</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12,354 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1,063 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2,538 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11,373 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27,847 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1,694 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7,068 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56,266 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22,286 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203,716 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170,938 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(40,837)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(76,472)</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564 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(40,514)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(75,908)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Borrowings on long-term debt, net of discounts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548,769 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566,550 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Repayments on long-term debt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(369,269)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w:t>
            </w:r>
            <w:r>
              <w:rPr>
                <w:rFonts w:eastAsia="Times New Roman"/>
                <w:color w:val="000000"/>
                <w:sz w:val="18"/>
                <w:szCs w:val="18"/>
              </w:rPr>
              <w:t>564,300)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 xml:space="preserve">Proceeds from exercise of stock options </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10,478 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9,992 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(25,000)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Payments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(12,462)</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(2,930)</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18"/>
                <w:szCs w:val="18"/>
              </w:rPr>
              <w:t>Payments on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(2,517)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(2,054)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Net cash provided by (used for)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174,906 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(17,742)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338,108 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77,288 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40,307 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17,998 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378,415 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95,286 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Height w:val="18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Cash paid for interest</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19,508 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25,182 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Capital expenditures accrued at the end of the period</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13,808 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Right of use assets acquired under finance leases</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1,257 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9,551 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92657205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Right of use assets acquired under operating leases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45,154 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84,643 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divId w:val="101608182"/>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39134F">
      <w:pPr>
        <w:jc w:val="center"/>
        <w:divId w:val="415981393"/>
        <w:rPr>
          <w:rFonts w:eastAsia="Times New Roman"/>
        </w:rPr>
      </w:pPr>
      <w:r>
        <w:rPr>
          <w:rFonts w:eastAsia="Times New Roman"/>
          <w:color w:val="000000"/>
          <w:sz w:val="20"/>
          <w:szCs w:val="20"/>
        </w:rPr>
        <w:t>9</w:t>
      </w:r>
    </w:p>
    <w:p w:rsidR="00000000" w:rsidRDefault="0039134F">
      <w:pPr>
        <w:rPr>
          <w:rFonts w:eastAsia="Times New Roman"/>
        </w:rPr>
      </w:pPr>
      <w:r>
        <w:rPr>
          <w:rFonts w:eastAsia="Times New Roman"/>
        </w:rPr>
        <w:pict>
          <v:rect id="_x0000_i1033" style="width:0;height:1.5pt" o:hralign="center" o:hrstd="t" o:hr="t" fillcolor="#a0a0a0" stroked="f"/>
        </w:pict>
      </w:r>
    </w:p>
    <w:p w:rsidR="00000000" w:rsidRDefault="0039134F">
      <w:pPr>
        <w:divId w:val="17199654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333192881"/>
        <w:rPr>
          <w:rFonts w:eastAsia="Times New Roman"/>
        </w:rPr>
      </w:pPr>
      <w:r>
        <w:rPr>
          <w:rFonts w:eastAsia="Times New Roman"/>
          <w:b/>
          <w:bCs/>
          <w:color w:val="000000"/>
          <w:sz w:val="20"/>
          <w:szCs w:val="20"/>
        </w:rPr>
        <w:t>National Vision Holdings, Inc. and Subsidiaries</w:t>
      </w:r>
    </w:p>
    <w:p w:rsidR="00000000" w:rsidRDefault="0039134F">
      <w:pPr>
        <w:jc w:val="center"/>
        <w:divId w:val="640161656"/>
        <w:rPr>
          <w:rFonts w:eastAsia="Times New Roman"/>
        </w:rPr>
      </w:pPr>
      <w:r>
        <w:rPr>
          <w:rFonts w:eastAsia="Times New Roman"/>
          <w:b/>
          <w:bCs/>
          <w:color w:val="000000"/>
          <w:sz w:val="20"/>
          <w:szCs w:val="20"/>
        </w:rPr>
        <w:t>Notes to Condensed Consolidated Financial Statements (Unaudited)</w:t>
      </w:r>
    </w:p>
    <w:p w:rsidR="00000000" w:rsidRDefault="0039134F">
      <w:pPr>
        <w:divId w:val="1972704505"/>
        <w:rPr>
          <w:rFonts w:eastAsia="Times New Roman"/>
        </w:rPr>
      </w:pPr>
      <w:r>
        <w:rPr>
          <w:rFonts w:eastAsia="Times New Roman"/>
          <w:b/>
          <w:bCs/>
          <w:color w:val="000000"/>
          <w:sz w:val="20"/>
          <w:szCs w:val="20"/>
        </w:rPr>
        <w:t>1. Description of Business and Basis of Presentation</w:t>
      </w:r>
    </w:p>
    <w:p w:rsidR="00000000" w:rsidRDefault="0039134F">
      <w:pPr>
        <w:divId w:val="1823934909"/>
        <w:rPr>
          <w:rFonts w:eastAsia="Times New Roman"/>
        </w:rPr>
      </w:pPr>
    </w:p>
    <w:p w:rsidR="00000000" w:rsidRDefault="0039134F">
      <w:pPr>
        <w:divId w:val="539509641"/>
        <w:rPr>
          <w:rFonts w:eastAsia="Times New Roman"/>
        </w:rPr>
      </w:pPr>
      <w:r>
        <w:rPr>
          <w:rFonts w:eastAsia="Times New Roman"/>
          <w:i/>
          <w:iCs/>
          <w:color w:val="000000"/>
          <w:sz w:val="20"/>
          <w:szCs w:val="20"/>
        </w:rPr>
        <w:t>Nature of Operations</w:t>
      </w:r>
    </w:p>
    <w:p w:rsidR="00000000" w:rsidRDefault="0039134F">
      <w:pPr>
        <w:jc w:val="both"/>
        <w:divId w:val="1813937410"/>
        <w:rPr>
          <w:rFonts w:eastAsia="Times New Roman"/>
        </w:rPr>
      </w:pPr>
      <w:r>
        <w:rPr>
          <w:rFonts w:eastAsia="Times New Roman"/>
          <w:color w:val="000000"/>
          <w:sz w:val="20"/>
          <w:szCs w:val="20"/>
        </w:rPr>
        <w:t>National Vision Holdings, Inc. (“NVHI,” the “Company,” “we,” “</w:t>
      </w:r>
      <w:r>
        <w:rPr>
          <w:rFonts w:eastAsia="Times New Roman"/>
          <w:color w:val="000000"/>
          <w:sz w:val="20"/>
          <w:szCs w:val="20"/>
        </w:rPr>
        <w:t>our,” or “us”) is a holding company whose operating subsidiaries include its indirect wholly owned subsidiary, National Vision, Inc. (“NVI”) and NVI’s direct wholly owned subsidiaries. We are a leading value retailer of eyeglasses and contact lenses in the</w:t>
      </w:r>
      <w:r>
        <w:rPr>
          <w:rFonts w:eastAsia="Times New Roman"/>
          <w:color w:val="000000"/>
          <w:sz w:val="20"/>
          <w:szCs w:val="20"/>
        </w:rPr>
        <w:t xml:space="preserve"> United States and its territories. We operated 1,201 and 1,151 retail optical locations as of September 26, 2020 and December 28, 2019, respectively, through our five store brands, including America’s Best Contacts and Eyeglasses (“America’s Best”), Eyegl</w:t>
      </w:r>
      <w:r>
        <w:rPr>
          <w:rFonts w:eastAsia="Times New Roman"/>
          <w:color w:val="000000"/>
          <w:sz w:val="20"/>
          <w:szCs w:val="20"/>
        </w:rPr>
        <w:t>ass World, Vista Optical locations on select U.S. Army/Air Force military bases (“Military”) and within select Fred Meyer stores, and our management &amp; services arrangement with Walmart (“Legacy”).</w:t>
      </w:r>
    </w:p>
    <w:p w:rsidR="00000000" w:rsidRDefault="0039134F">
      <w:pPr>
        <w:jc w:val="both"/>
        <w:divId w:val="1610772743"/>
        <w:rPr>
          <w:rFonts w:eastAsia="Times New Roman"/>
        </w:rPr>
      </w:pPr>
      <w:r>
        <w:rPr>
          <w:rFonts w:eastAsia="Times New Roman"/>
          <w:i/>
          <w:iCs/>
          <w:color w:val="000000"/>
          <w:sz w:val="20"/>
          <w:szCs w:val="20"/>
        </w:rPr>
        <w:t xml:space="preserve">Basis of Presentation </w:t>
      </w:r>
    </w:p>
    <w:p w:rsidR="00000000" w:rsidRDefault="0039134F">
      <w:pPr>
        <w:jc w:val="both"/>
        <w:divId w:val="1269464226"/>
        <w:rPr>
          <w:rFonts w:eastAsia="Times New Roman"/>
        </w:rPr>
      </w:pPr>
      <w:r>
        <w:rPr>
          <w:rFonts w:eastAsia="Times New Roman"/>
          <w:color w:val="000000"/>
          <w:sz w:val="20"/>
          <w:szCs w:val="20"/>
        </w:rPr>
        <w:t>We prepared the accompanying unaudit</w:t>
      </w:r>
      <w:r>
        <w:rPr>
          <w:rFonts w:eastAsia="Times New Roman"/>
          <w:color w:val="000000"/>
          <w:sz w:val="20"/>
          <w:szCs w:val="20"/>
        </w:rPr>
        <w:t>ed interim condensed consolidated financial statements in accordance with accounting principles generally accepted in the United States of America (“U.S. GAAP”) for interim financial information and, therefore, do not include all information and disclosure</w:t>
      </w:r>
      <w:r>
        <w:rPr>
          <w:rFonts w:eastAsia="Times New Roman"/>
          <w:color w:val="000000"/>
          <w:sz w:val="20"/>
          <w:szCs w:val="20"/>
        </w:rPr>
        <w:t>s required by U.S. GAAP for complete consolidated financial statements. The condensed consolidated balance sheet as of December 28, 2019 has been derived from the audited consolidated balance sheet for the fiscal year then ended. These condensed consolidat</w:t>
      </w:r>
      <w:r>
        <w:rPr>
          <w:rFonts w:eastAsia="Times New Roman"/>
          <w:color w:val="000000"/>
          <w:sz w:val="20"/>
          <w:szCs w:val="20"/>
        </w:rPr>
        <w:t>ed financial statements reflect all normal and recurring adjustments which are, in the opinion of management, necessary to present fairly the Company’s consolidated financial position as of September 26, 2020, the consolidated results of operations and com</w:t>
      </w:r>
      <w:r>
        <w:rPr>
          <w:rFonts w:eastAsia="Times New Roman"/>
          <w:color w:val="000000"/>
          <w:sz w:val="20"/>
          <w:szCs w:val="20"/>
        </w:rPr>
        <w:t xml:space="preserve">prehensive income, the statements of changes in stockholders’ equity for the three and nine months ended September 26, 2020 and September 28, 2019, and its statements of cash flows for the nine months ended September 26, 2020 and September 28, 2019. </w:t>
      </w:r>
    </w:p>
    <w:p w:rsidR="00000000" w:rsidRDefault="0039134F">
      <w:pPr>
        <w:jc w:val="both"/>
        <w:divId w:val="129712638"/>
        <w:rPr>
          <w:rFonts w:eastAsia="Times New Roman"/>
        </w:rPr>
      </w:pPr>
      <w:r>
        <w:rPr>
          <w:rFonts w:eastAsia="Times New Roman"/>
          <w:color w:val="000000"/>
          <w:sz w:val="20"/>
          <w:szCs w:val="20"/>
        </w:rPr>
        <w:t>Certa</w:t>
      </w:r>
      <w:r>
        <w:rPr>
          <w:rFonts w:eastAsia="Times New Roman"/>
          <w:color w:val="000000"/>
          <w:sz w:val="20"/>
          <w:szCs w:val="20"/>
        </w:rPr>
        <w:t>in information and disclosures normally included in our annual consolidated financial statements have been condensed or omitted; however, we believe that the disclosures included herein are sufficient for a fair presentation of the information presented. T</w:t>
      </w:r>
      <w:r>
        <w:rPr>
          <w:rFonts w:eastAsia="Times New Roman"/>
          <w:color w:val="000000"/>
          <w:sz w:val="20"/>
          <w:szCs w:val="20"/>
        </w:rPr>
        <w:t>hese condensed consolidated financial statements should be read in conjunction with our audited consolidated financial statements and the notes thereto for the fiscal year ended December 28, 2019 included in the 2019 Annual Report on Form 10-K. The Company</w:t>
      </w:r>
      <w:r>
        <w:rPr>
          <w:rFonts w:eastAsia="Times New Roman"/>
          <w:color w:val="000000"/>
          <w:sz w:val="20"/>
          <w:szCs w:val="20"/>
        </w:rPr>
        <w:t>’s significant accounting policies are set forth in Note 1 within those consolidated financial statements. We use the same accounting policies in preparing interim condensed consolidated financial information and annual consolidated financial statements. T</w:t>
      </w:r>
      <w:r>
        <w:rPr>
          <w:rFonts w:eastAsia="Times New Roman"/>
          <w:color w:val="000000"/>
          <w:sz w:val="20"/>
          <w:szCs w:val="20"/>
        </w:rPr>
        <w:t>here were no changes to our significant accounting policies during the nine months ended September 26, 2020, except for the adoption of Accounting Standards Update (“ASU”) No. 2018-15,</w:t>
      </w:r>
      <w:r>
        <w:rPr>
          <w:rFonts w:eastAsia="Times New Roman"/>
          <w:i/>
          <w:iCs/>
          <w:color w:val="000000"/>
          <w:sz w:val="20"/>
          <w:szCs w:val="20"/>
        </w:rPr>
        <w:t xml:space="preserve"> Customer’s Accounting for Implementation Costs Incurred in a Cloud Comp</w:t>
      </w:r>
      <w:r>
        <w:rPr>
          <w:rFonts w:eastAsia="Times New Roman"/>
          <w:i/>
          <w:iCs/>
          <w:color w:val="000000"/>
          <w:sz w:val="20"/>
          <w:szCs w:val="20"/>
        </w:rPr>
        <w:t>uting Arrangement That Is a Service Contract</w:t>
      </w:r>
      <w:r>
        <w:rPr>
          <w:rFonts w:eastAsia="Times New Roman"/>
          <w:color w:val="000000"/>
          <w:sz w:val="20"/>
          <w:szCs w:val="20"/>
        </w:rPr>
        <w:t xml:space="preserve"> and ASU No. 2016-13, </w:t>
      </w:r>
      <w:r>
        <w:rPr>
          <w:rFonts w:eastAsia="Times New Roman"/>
          <w:i/>
          <w:iCs/>
          <w:color w:val="000000"/>
          <w:sz w:val="20"/>
          <w:szCs w:val="20"/>
        </w:rPr>
        <w:t>Measurement of Credit Losses on Financial Instruments</w:t>
      </w:r>
      <w:r>
        <w:rPr>
          <w:rFonts w:eastAsia="Times New Roman"/>
          <w:color w:val="000000"/>
          <w:sz w:val="20"/>
          <w:szCs w:val="20"/>
        </w:rPr>
        <w:t>. See “Adoption of New Accounting Pronouncements” below for further discussion.</w:t>
      </w:r>
    </w:p>
    <w:p w:rsidR="00000000" w:rsidRDefault="0039134F">
      <w:pPr>
        <w:jc w:val="both"/>
        <w:divId w:val="1514033918"/>
        <w:rPr>
          <w:rFonts w:eastAsia="Times New Roman"/>
        </w:rPr>
      </w:pPr>
      <w:r>
        <w:rPr>
          <w:rFonts w:eastAsia="Times New Roman"/>
          <w:color w:val="000000"/>
          <w:sz w:val="20"/>
          <w:szCs w:val="20"/>
        </w:rPr>
        <w:t>The condensed consolidated financial statements include o</w:t>
      </w:r>
      <w:r>
        <w:rPr>
          <w:rFonts w:eastAsia="Times New Roman"/>
          <w:color w:val="000000"/>
          <w:sz w:val="20"/>
          <w:szCs w:val="20"/>
        </w:rPr>
        <w:t>ur accounts and those of our subsidiaries, all of which are wholly-owned. All intercompany balances and transactions have been eliminated in consolidation.</w:t>
      </w:r>
    </w:p>
    <w:p w:rsidR="00000000" w:rsidRDefault="0039134F">
      <w:pPr>
        <w:jc w:val="both"/>
        <w:divId w:val="93790390"/>
        <w:rPr>
          <w:rFonts w:eastAsia="Times New Roman"/>
        </w:rPr>
      </w:pPr>
      <w:r>
        <w:rPr>
          <w:rFonts w:eastAsia="Times New Roman"/>
          <w:color w:val="000000"/>
          <w:sz w:val="20"/>
          <w:szCs w:val="20"/>
        </w:rPr>
        <w:t>Refer to Note 4. “Long-term Debt” for information on convertible debt issued in the second quarter o</w:t>
      </w:r>
      <w:r>
        <w:rPr>
          <w:rFonts w:eastAsia="Times New Roman"/>
          <w:color w:val="000000"/>
          <w:sz w:val="20"/>
          <w:szCs w:val="20"/>
        </w:rPr>
        <w:t>f 2020.</w:t>
      </w:r>
    </w:p>
    <w:p w:rsidR="00000000" w:rsidRDefault="0039134F">
      <w:pPr>
        <w:jc w:val="both"/>
        <w:divId w:val="53311764"/>
        <w:rPr>
          <w:rFonts w:eastAsia="Times New Roman"/>
        </w:rPr>
      </w:pPr>
      <w:r>
        <w:rPr>
          <w:rFonts w:eastAsia="Times New Roman"/>
          <w:color w:val="000000"/>
          <w:sz w:val="20"/>
          <w:szCs w:val="20"/>
        </w:rPr>
        <w:t>Refer to Note 5. “Interest Rate Derivatives” for information on changes in our assessment of hedge effectiveness in fiscal year 2020 and for information on our accounting for hedge ineffectiveness.</w:t>
      </w:r>
    </w:p>
    <w:p w:rsidR="00000000" w:rsidRDefault="0039134F">
      <w:pPr>
        <w:jc w:val="both"/>
        <w:divId w:val="376510133"/>
        <w:rPr>
          <w:rFonts w:eastAsia="Times New Roman"/>
        </w:rPr>
      </w:pPr>
      <w:r>
        <w:rPr>
          <w:rFonts w:eastAsia="Times New Roman"/>
          <w:i/>
          <w:iCs/>
          <w:color w:val="000000"/>
          <w:sz w:val="20"/>
          <w:szCs w:val="20"/>
        </w:rPr>
        <w:t>Fiscal Year</w:t>
      </w:r>
    </w:p>
    <w:p w:rsidR="00000000" w:rsidRDefault="0039134F">
      <w:pPr>
        <w:jc w:val="both"/>
        <w:divId w:val="763458575"/>
        <w:rPr>
          <w:rFonts w:eastAsia="Times New Roman"/>
        </w:rPr>
      </w:pPr>
      <w:r>
        <w:rPr>
          <w:rFonts w:eastAsia="Times New Roman"/>
          <w:color w:val="000000"/>
          <w:sz w:val="20"/>
          <w:szCs w:val="20"/>
        </w:rPr>
        <w:t>Our fiscal year consists of 52 or 53 w</w:t>
      </w:r>
      <w:r>
        <w:rPr>
          <w:rFonts w:eastAsia="Times New Roman"/>
          <w:color w:val="000000"/>
          <w:sz w:val="20"/>
          <w:szCs w:val="20"/>
        </w:rPr>
        <w:t xml:space="preserve">eeks ending on the Saturday closest to December 31. Fiscal year 2020 contains 53 weeks and will end on January 2, 2021. All three and nine month periods presented herein contain 13 and 39 weeks, respectively. All references to years and quarters relate to </w:t>
      </w:r>
      <w:r>
        <w:rPr>
          <w:rFonts w:eastAsia="Times New Roman"/>
          <w:color w:val="000000"/>
          <w:sz w:val="20"/>
          <w:szCs w:val="20"/>
        </w:rPr>
        <w:t>fiscal periods rather than calendar periods.</w:t>
      </w:r>
    </w:p>
    <w:p w:rsidR="00000000" w:rsidRDefault="0039134F">
      <w:pPr>
        <w:jc w:val="center"/>
        <w:divId w:val="39978838"/>
        <w:rPr>
          <w:rFonts w:eastAsia="Times New Roman"/>
        </w:rPr>
      </w:pPr>
      <w:r>
        <w:rPr>
          <w:rFonts w:eastAsia="Times New Roman"/>
          <w:color w:val="000000"/>
          <w:sz w:val="20"/>
          <w:szCs w:val="20"/>
        </w:rPr>
        <w:t>10</w:t>
      </w:r>
    </w:p>
    <w:p w:rsidR="00000000" w:rsidRDefault="0039134F">
      <w:pPr>
        <w:rPr>
          <w:rFonts w:eastAsia="Times New Roman"/>
        </w:rPr>
      </w:pPr>
      <w:r>
        <w:rPr>
          <w:rFonts w:eastAsia="Times New Roman"/>
        </w:rPr>
        <w:pict>
          <v:rect id="_x0000_i1034" style="width:0;height:1.5pt" o:hralign="center" o:hrstd="t" o:hr="t" fillcolor="#a0a0a0" stroked="f"/>
        </w:pict>
      </w:r>
    </w:p>
    <w:p w:rsidR="00000000" w:rsidRDefault="0039134F">
      <w:pPr>
        <w:divId w:val="1280445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552040987"/>
        <w:rPr>
          <w:rFonts w:eastAsia="Times New Roman"/>
        </w:rPr>
      </w:pPr>
      <w:r>
        <w:rPr>
          <w:rFonts w:eastAsia="Times New Roman"/>
          <w:i/>
          <w:iCs/>
          <w:color w:val="000000"/>
          <w:sz w:val="20"/>
          <w:szCs w:val="20"/>
        </w:rPr>
        <w:t>Seasonality</w:t>
      </w:r>
    </w:p>
    <w:p w:rsidR="00000000" w:rsidRDefault="0039134F">
      <w:pPr>
        <w:jc w:val="both"/>
        <w:divId w:val="1457944978"/>
        <w:rPr>
          <w:rFonts w:eastAsia="Times New Roman"/>
        </w:rPr>
      </w:pPr>
      <w:r>
        <w:rPr>
          <w:rFonts w:eastAsia="Times New Roman"/>
          <w:color w:val="000000"/>
          <w:sz w:val="20"/>
          <w:szCs w:val="20"/>
        </w:rPr>
        <w:t>The consolidated results of operations for the three and nine months ended September</w:t>
      </w:r>
      <w:r>
        <w:rPr>
          <w:rFonts w:eastAsia="Times New Roman"/>
          <w:color w:val="000000"/>
          <w:sz w:val="20"/>
          <w:szCs w:val="20"/>
        </w:rPr>
        <w:t xml:space="preserve"> 26, 2020 and September 28, 2019, are not necessarily indicative of the results to be expected for the full fiscal year due to seasonality and uncertainty of general economic conditions that may impact our key end markets. Historically, our business has re</w:t>
      </w:r>
      <w:r>
        <w:rPr>
          <w:rFonts w:eastAsia="Times New Roman"/>
          <w:color w:val="000000"/>
          <w:sz w:val="20"/>
          <w:szCs w:val="20"/>
        </w:rPr>
        <w:t>alized a higher portion of net revenue, income from operations, and cash flows from operations in the first half of the year, and a lower portion of net revenue, income from operations, and cash flows from operations in the fourth fiscal quarter. The first</w:t>
      </w:r>
      <w:r>
        <w:rPr>
          <w:rFonts w:eastAsia="Times New Roman"/>
          <w:color w:val="000000"/>
          <w:sz w:val="20"/>
          <w:szCs w:val="20"/>
        </w:rPr>
        <w:t xml:space="preserve"> half seasonality is attributable primarily to the timing of our customers’ personal income tax refunds and annual health insurance program start/reset periods. Seasonality related to fourth quarter holiday spending by retail customers generally does not i</w:t>
      </w:r>
      <w:r>
        <w:rPr>
          <w:rFonts w:eastAsia="Times New Roman"/>
          <w:color w:val="000000"/>
          <w:sz w:val="20"/>
          <w:szCs w:val="20"/>
        </w:rPr>
        <w:t>mpact our business. Our quarterly consolidated results generally may also be affected by the timing of new store openings, store closings, and certain holidays. Due to the temporary closure of our stores for a portion of the first half of 2020, the COVID-1</w:t>
      </w:r>
      <w:r>
        <w:rPr>
          <w:rFonts w:eastAsia="Times New Roman"/>
          <w:color w:val="000000"/>
          <w:sz w:val="20"/>
          <w:szCs w:val="20"/>
        </w:rPr>
        <w:t>9 pandemic has caused changes in fiscal year 2020 seasonality and may cause changes beyond 2020 to the seasonality we have historically experienced.</w:t>
      </w:r>
    </w:p>
    <w:p w:rsidR="00000000" w:rsidRDefault="0039134F">
      <w:pPr>
        <w:jc w:val="both"/>
        <w:divId w:val="2092963341"/>
        <w:rPr>
          <w:rFonts w:eastAsia="Times New Roman"/>
        </w:rPr>
      </w:pPr>
      <w:r>
        <w:rPr>
          <w:rFonts w:eastAsia="Times New Roman"/>
          <w:i/>
          <w:iCs/>
          <w:color w:val="000000"/>
          <w:sz w:val="20"/>
          <w:szCs w:val="20"/>
        </w:rPr>
        <w:t>Use of Estimates</w:t>
      </w:r>
    </w:p>
    <w:p w:rsidR="00000000" w:rsidRDefault="0039134F">
      <w:pPr>
        <w:jc w:val="both"/>
        <w:divId w:val="60178076"/>
        <w:rPr>
          <w:rFonts w:eastAsia="Times New Roman"/>
        </w:rPr>
      </w:pPr>
      <w:r>
        <w:rPr>
          <w:rFonts w:eastAsia="Times New Roman"/>
          <w:color w:val="000000"/>
          <w:sz w:val="20"/>
          <w:szCs w:val="20"/>
        </w:rPr>
        <w:t>The preparation of financial statements in conformity with U.S. GAAP requires management t</w:t>
      </w:r>
      <w:r>
        <w:rPr>
          <w:rFonts w:eastAsia="Times New Roman"/>
          <w:color w:val="000000"/>
          <w:sz w:val="20"/>
          <w:szCs w:val="20"/>
        </w:rPr>
        <w:t>o make estimates and assumptions that affect the reported amounts of assets and liabilities and disclosure of contingent assets and liabilities at the date of the financial statements and the reported amounts of revenues and expenses during the reporting p</w:t>
      </w:r>
      <w:r>
        <w:rPr>
          <w:rFonts w:eastAsia="Times New Roman"/>
          <w:color w:val="000000"/>
          <w:sz w:val="20"/>
          <w:szCs w:val="20"/>
        </w:rPr>
        <w:t>eriod. Actual results could differ from those estimates.</w:t>
      </w:r>
    </w:p>
    <w:p w:rsidR="00000000" w:rsidRDefault="0039134F">
      <w:pPr>
        <w:divId w:val="20084605"/>
        <w:rPr>
          <w:rFonts w:eastAsia="Times New Roman"/>
        </w:rPr>
      </w:pPr>
      <w:r>
        <w:rPr>
          <w:rFonts w:eastAsia="Times New Roman"/>
          <w:i/>
          <w:iCs/>
          <w:color w:val="000000"/>
          <w:sz w:val="20"/>
          <w:szCs w:val="20"/>
        </w:rPr>
        <w:t>Asset Impairment</w:t>
      </w:r>
    </w:p>
    <w:p w:rsidR="00000000" w:rsidRDefault="0039134F">
      <w:pPr>
        <w:jc w:val="both"/>
        <w:divId w:val="817376643"/>
        <w:rPr>
          <w:rFonts w:eastAsia="Times New Roman"/>
        </w:rPr>
      </w:pPr>
      <w:r>
        <w:rPr>
          <w:rFonts w:eastAsia="Times New Roman"/>
          <w:color w:val="000000"/>
          <w:sz w:val="20"/>
          <w:szCs w:val="20"/>
        </w:rPr>
        <w:t>We evaluate impairment of long-lived tangible and right of use (“ROU”) store assets at the store level, which is the lowest level at which independent cash flows can be identified, w</w:t>
      </w:r>
      <w:r>
        <w:rPr>
          <w:rFonts w:eastAsia="Times New Roman"/>
          <w:color w:val="000000"/>
          <w:sz w:val="20"/>
          <w:szCs w:val="20"/>
        </w:rPr>
        <w:t>hen events or conditions indicate the carrying values of such assets may not be recoverable. In making this evaluation, we may consider multiple factors including financial performance of the stores, regional and local business climates, future plans for t</w:t>
      </w:r>
      <w:r>
        <w:rPr>
          <w:rFonts w:eastAsia="Times New Roman"/>
          <w:color w:val="000000"/>
          <w:sz w:val="20"/>
          <w:szCs w:val="20"/>
        </w:rPr>
        <w:t>he store operations and other qualitative factors. If the store’s projected undiscounted net cash flows expected to be generated by the related assets over the life of the primary asset within the asset group (generally leasehold improvements) are less tha</w:t>
      </w:r>
      <w:r>
        <w:rPr>
          <w:rFonts w:eastAsia="Times New Roman"/>
          <w:color w:val="000000"/>
          <w:sz w:val="20"/>
          <w:szCs w:val="20"/>
        </w:rPr>
        <w:t xml:space="preserve">n the carrying value of the subject assets, we determine an estimate of the fair value of the asset group using an income approach based on discounted cash flows, which require estimates and assumptions related to forecasted store revenue growth rates and </w:t>
      </w:r>
      <w:r>
        <w:rPr>
          <w:rFonts w:eastAsia="Times New Roman"/>
          <w:color w:val="000000"/>
          <w:sz w:val="20"/>
          <w:szCs w:val="20"/>
        </w:rPr>
        <w:t>store profitability. The cash flows used in estimating fair value were discounted using market rates from 6.3% to 8%. If the fair value of the asset group is less than its carrying value, the loss is allocated to the long-lived assets of the group on a pro</w:t>
      </w:r>
      <w:r>
        <w:rPr>
          <w:rFonts w:eastAsia="Times New Roman"/>
          <w:color w:val="000000"/>
          <w:sz w:val="20"/>
          <w:szCs w:val="20"/>
        </w:rPr>
        <w:t xml:space="preserve"> rata basis using the relative carrying amounts of those assets, except that the loss allocated to an individual long lived asset of the group shall not reduce the carrying amount of that asset below its fair value. We consider market-based indications of </w:t>
      </w:r>
      <w:r>
        <w:rPr>
          <w:rFonts w:eastAsia="Times New Roman"/>
          <w:color w:val="000000"/>
          <w:sz w:val="20"/>
          <w:szCs w:val="20"/>
        </w:rPr>
        <w:t>prevailing rental rates for retail space when estimating the fair values of ROU assets. A decrease in the estimated cash flows would lead to a lower fair value measurement, as would an increase in the discount rate. These non-recurring fair value measureme</w:t>
      </w:r>
      <w:r>
        <w:rPr>
          <w:rFonts w:eastAsia="Times New Roman"/>
          <w:color w:val="000000"/>
          <w:sz w:val="20"/>
          <w:szCs w:val="20"/>
        </w:rPr>
        <w:t>nts are classified as Level 3 measurements in the fair value hierarchy.</w:t>
      </w:r>
    </w:p>
    <w:p w:rsidR="00000000" w:rsidRDefault="0039134F">
      <w:pPr>
        <w:jc w:val="both"/>
        <w:divId w:val="67769216"/>
        <w:rPr>
          <w:rFonts w:eastAsia="Times New Roman"/>
        </w:rPr>
      </w:pPr>
      <w:r>
        <w:rPr>
          <w:rFonts w:eastAsia="Times New Roman"/>
          <w:color w:val="000000"/>
          <w:sz w:val="20"/>
          <w:szCs w:val="20"/>
        </w:rPr>
        <w:t>We identified indicators of impairment of certain st</w:t>
      </w:r>
      <w:r>
        <w:rPr>
          <w:rFonts w:eastAsia="Times New Roman"/>
          <w:color w:val="000000"/>
          <w:sz w:val="20"/>
          <w:szCs w:val="20"/>
          <w:shd w:val="clear" w:color="auto" w:fill="FFFFFF"/>
        </w:rPr>
        <w:t xml:space="preserve">ores and other assets and </w:t>
      </w:r>
      <w:r>
        <w:rPr>
          <w:rFonts w:eastAsia="Times New Roman"/>
          <w:color w:val="000000"/>
          <w:sz w:val="20"/>
          <w:szCs w:val="20"/>
        </w:rPr>
        <w:t xml:space="preserve">recorded $7.2 million and $20.9 </w:t>
      </w:r>
      <w:r>
        <w:rPr>
          <w:rFonts w:eastAsia="Times New Roman"/>
          <w:color w:val="000000"/>
          <w:sz w:val="20"/>
          <w:szCs w:val="20"/>
        </w:rPr>
        <w:t>million of related asset impairment charges during the three and nine months ended September 26, 2020, respectively, in Corporate/Other segment. These impairment charges were primarily driven by lower t</w:t>
      </w:r>
      <w:r>
        <w:rPr>
          <w:rFonts w:eastAsia="Times New Roman"/>
          <w:color w:val="000000"/>
          <w:sz w:val="20"/>
          <w:szCs w:val="20"/>
          <w:shd w:val="clear" w:color="auto" w:fill="FFFFFF"/>
        </w:rPr>
        <w:t>han projected customer sales volume in certain stores;</w:t>
      </w:r>
      <w:r>
        <w:rPr>
          <w:rFonts w:eastAsia="Times New Roman"/>
          <w:color w:val="000000"/>
          <w:sz w:val="20"/>
          <w:szCs w:val="20"/>
          <w:shd w:val="clear" w:color="auto" w:fill="FFFFFF"/>
        </w:rPr>
        <w:t xml:space="preserve"> we also considere</w:t>
      </w:r>
      <w:r>
        <w:rPr>
          <w:rFonts w:eastAsia="Times New Roman"/>
          <w:color w:val="000000"/>
          <w:sz w:val="20"/>
          <w:szCs w:val="20"/>
        </w:rPr>
        <w:t>d the historical performance of the stores before the temporary store closures in response to the COVID-19 pandemic, the effect of store closures and uncertainty in store revenues over the remaining useful life of the asset group as a res</w:t>
      </w:r>
      <w:r>
        <w:rPr>
          <w:rFonts w:eastAsia="Times New Roman"/>
          <w:color w:val="000000"/>
          <w:sz w:val="20"/>
          <w:szCs w:val="20"/>
        </w:rPr>
        <w:t>ult of the COVID-19 pandemic. The estimated remaining fair value of the impaired assets was $28.1 million as of September 26, 2020; this value includes fair value estimates related to impairments recorded in the first and second quarters of 2020. Substanti</w:t>
      </w:r>
      <w:r>
        <w:rPr>
          <w:rFonts w:eastAsia="Times New Roman"/>
          <w:color w:val="000000"/>
          <w:sz w:val="20"/>
          <w:szCs w:val="20"/>
        </w:rPr>
        <w:t>ally all of the remaining fair value of the impaired store assets in fiscal year 2020 represents the fair value of ROU assets. The asset impairment expense for the nine months ended September 26, 2020 also includes $1.1 million related to a write-off of ce</w:t>
      </w:r>
      <w:r>
        <w:rPr>
          <w:rFonts w:eastAsia="Times New Roman"/>
          <w:color w:val="000000"/>
          <w:sz w:val="20"/>
          <w:szCs w:val="20"/>
        </w:rPr>
        <w:t>rtain software assets that were deemed to be obsolete due to a decision to cease further development.</w:t>
      </w:r>
    </w:p>
    <w:p w:rsidR="00000000" w:rsidRDefault="0039134F">
      <w:pPr>
        <w:jc w:val="both"/>
        <w:divId w:val="560991358"/>
        <w:rPr>
          <w:rFonts w:eastAsia="Times New Roman"/>
        </w:rPr>
      </w:pPr>
      <w:r>
        <w:rPr>
          <w:rFonts w:eastAsia="Times New Roman"/>
          <w:i/>
          <w:iCs/>
          <w:color w:val="000000"/>
          <w:sz w:val="20"/>
          <w:szCs w:val="20"/>
        </w:rPr>
        <w:t>Income Taxes</w:t>
      </w:r>
    </w:p>
    <w:p w:rsidR="00000000" w:rsidRDefault="0039134F">
      <w:pPr>
        <w:jc w:val="both"/>
        <w:divId w:val="940142929"/>
        <w:rPr>
          <w:rFonts w:eastAsia="Times New Roman"/>
        </w:rPr>
      </w:pPr>
      <w:r>
        <w:rPr>
          <w:rFonts w:eastAsia="Times New Roman"/>
          <w:color w:val="000000"/>
          <w:sz w:val="20"/>
          <w:szCs w:val="20"/>
        </w:rPr>
        <w:t>Our income tax provision for the three months ended September 26, 2020 reflected our statutory federal and state rate of 25.5%, offset by a d</w:t>
      </w:r>
      <w:r>
        <w:rPr>
          <w:rFonts w:eastAsia="Times New Roman"/>
          <w:color w:val="000000"/>
          <w:sz w:val="20"/>
          <w:szCs w:val="20"/>
        </w:rPr>
        <w:t xml:space="preserve">iscrete benefit of $3.0 million associated primarily with stock option exercises. Our income tax benefit for the nine months ended September 26, 2020 reflected our statutory federal and state rate of 25.5%, combined with a discrete benefit of $6.0 million </w:t>
      </w:r>
      <w:r>
        <w:rPr>
          <w:rFonts w:eastAsia="Times New Roman"/>
          <w:color w:val="000000"/>
          <w:sz w:val="20"/>
          <w:szCs w:val="20"/>
        </w:rPr>
        <w:t xml:space="preserve">associated primarily with stock option exercises. In comparison, the income tax provision associated with the three and nine months ended September 28, 2019 reflected </w:t>
      </w:r>
    </w:p>
    <w:p w:rsidR="00000000" w:rsidRDefault="0039134F">
      <w:pPr>
        <w:jc w:val="center"/>
        <w:divId w:val="1477339967"/>
        <w:rPr>
          <w:rFonts w:eastAsia="Times New Roman"/>
        </w:rPr>
      </w:pPr>
      <w:r>
        <w:rPr>
          <w:rFonts w:eastAsia="Times New Roman"/>
          <w:color w:val="000000"/>
          <w:sz w:val="20"/>
          <w:szCs w:val="20"/>
        </w:rPr>
        <w:t>11</w:t>
      </w:r>
    </w:p>
    <w:p w:rsidR="00000000" w:rsidRDefault="0039134F">
      <w:pPr>
        <w:rPr>
          <w:rFonts w:eastAsia="Times New Roman"/>
        </w:rPr>
      </w:pPr>
      <w:r>
        <w:rPr>
          <w:rFonts w:eastAsia="Times New Roman"/>
        </w:rPr>
        <w:pict>
          <v:rect id="_x0000_i1035" style="width:0;height:1.5pt" o:hralign="center" o:hrstd="t" o:hr="t" fillcolor="#a0a0a0" stroked="f"/>
        </w:pict>
      </w:r>
    </w:p>
    <w:p w:rsidR="00000000" w:rsidRDefault="0039134F">
      <w:pPr>
        <w:divId w:val="498471350"/>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598903854"/>
        <w:rPr>
          <w:rFonts w:eastAsia="Times New Roman"/>
        </w:rPr>
      </w:pPr>
      <w:r>
        <w:rPr>
          <w:rFonts w:eastAsia="Times New Roman"/>
          <w:color w:val="000000"/>
          <w:sz w:val="20"/>
          <w:szCs w:val="20"/>
        </w:rPr>
        <w:t>income tax expense at our statutory federal and state rate of 25.6% and was reduced by discrete benefits resulting from stock option exercises of $6.3 million and a $7.7 million, respectively.</w:t>
      </w:r>
    </w:p>
    <w:p w:rsidR="00000000" w:rsidRDefault="0039134F">
      <w:pPr>
        <w:jc w:val="both"/>
        <w:divId w:val="1351839019"/>
        <w:rPr>
          <w:rFonts w:eastAsia="Times New Roman"/>
        </w:rPr>
      </w:pPr>
      <w:r>
        <w:rPr>
          <w:rFonts w:eastAsia="Times New Roman"/>
          <w:i/>
          <w:iCs/>
          <w:color w:val="000000"/>
          <w:sz w:val="20"/>
          <w:szCs w:val="20"/>
        </w:rPr>
        <w:t>CARES Act</w:t>
      </w:r>
    </w:p>
    <w:p w:rsidR="00000000" w:rsidRDefault="0039134F">
      <w:pPr>
        <w:jc w:val="both"/>
        <w:divId w:val="1164735286"/>
        <w:rPr>
          <w:rFonts w:eastAsia="Times New Roman"/>
        </w:rPr>
      </w:pPr>
      <w:r>
        <w:rPr>
          <w:rFonts w:eastAsia="Times New Roman"/>
          <w:color w:val="000000"/>
          <w:sz w:val="20"/>
          <w:szCs w:val="20"/>
        </w:rPr>
        <w:t>On March 27, 2020, the Coronavirus Aid, Relief, and Economic Security (“CARES”) Act was enacted in response to the COVID-19 pandemic. The CARES Act, among other things, accelerates a company’s ability to recover Alternative Minimum Tax (“AMT”) refundable c</w:t>
      </w:r>
      <w:r>
        <w:rPr>
          <w:rFonts w:eastAsia="Times New Roman"/>
          <w:color w:val="000000"/>
          <w:sz w:val="20"/>
          <w:szCs w:val="20"/>
        </w:rPr>
        <w:t>redits that otherwise could have been claimed in 2020 and 2021, to 2018 and 2019, with an option to elect recovery of the full credit amount for 2018. The Company has elected to apply the AMT refundable credit provision of the CARES Act and has reclassifie</w:t>
      </w:r>
      <w:r>
        <w:rPr>
          <w:rFonts w:eastAsia="Times New Roman"/>
          <w:color w:val="000000"/>
          <w:sz w:val="20"/>
          <w:szCs w:val="20"/>
        </w:rPr>
        <w:t>d $1.3 million of AMT credits from Deferred income taxes, net as of December 28, 2019 to Prepaid expenses and other assets as of September 26, 2020. The CARES Act also includes a technical correction wherein qualified improvement property placed in service</w:t>
      </w:r>
      <w:r>
        <w:rPr>
          <w:rFonts w:eastAsia="Times New Roman"/>
          <w:color w:val="000000"/>
          <w:sz w:val="20"/>
          <w:szCs w:val="20"/>
        </w:rPr>
        <w:t xml:space="preserve"> in 2018 and after is eligible for 100% bonus depreciation. This provision of the CARES Act resulted in an increase in our NOL carry-forwards with an offsetting increase in our gross deferred tax liability relating to property and equipment of approximatel</w:t>
      </w:r>
      <w:r>
        <w:rPr>
          <w:rFonts w:eastAsia="Times New Roman"/>
          <w:color w:val="000000"/>
          <w:sz w:val="20"/>
          <w:szCs w:val="20"/>
        </w:rPr>
        <w:t>y $25.0 million as of September 26, 2020. In addition, as a result of the employee retention credits made available under the CARES Act for U.S. employees the Company recognized $0.2 million as a reduction to SG&amp;A during the three months ended September 26</w:t>
      </w:r>
      <w:r>
        <w:rPr>
          <w:rFonts w:eastAsia="Times New Roman"/>
          <w:color w:val="000000"/>
          <w:sz w:val="20"/>
          <w:szCs w:val="20"/>
        </w:rPr>
        <w:t xml:space="preserve">, 2020, and recognized $0.4 million as a reduction to costs of products, $6.2 million as a reduction to costs of services and plans, and $4.4 million as a reduction to SG&amp;A during the nine months ended September 26, 2020. The Company recognizes government </w:t>
      </w:r>
      <w:r>
        <w:rPr>
          <w:rFonts w:eastAsia="Times New Roman"/>
          <w:color w:val="000000"/>
          <w:sz w:val="20"/>
          <w:szCs w:val="20"/>
        </w:rPr>
        <w:t xml:space="preserve">grants for which there is a reasonable assurance of compliance with grant conditions and receipt of credits. We believe there is a reasonable assurance that the Company will comply with the relevant conditions of the employee retention credit provision of </w:t>
      </w:r>
      <w:r>
        <w:rPr>
          <w:rFonts w:eastAsia="Times New Roman"/>
          <w:color w:val="000000"/>
          <w:sz w:val="20"/>
          <w:szCs w:val="20"/>
        </w:rPr>
        <w:t xml:space="preserve">the CARES Act, and that we will receive the credits for which we have applied. We elected to offset credits recognized under the CARES against against payroll taxes that would otherwise be payable. We will continue to assess our treatment of the CARES Act </w:t>
      </w:r>
      <w:r>
        <w:rPr>
          <w:rFonts w:eastAsia="Times New Roman"/>
          <w:color w:val="000000"/>
          <w:sz w:val="20"/>
          <w:szCs w:val="20"/>
        </w:rPr>
        <w:t>to the extent additional guidance and regulations are issued, the further applicability of the CARES Act to the Company, and the potential impacts on our business.</w:t>
      </w:r>
    </w:p>
    <w:p w:rsidR="00000000" w:rsidRDefault="0039134F">
      <w:pPr>
        <w:jc w:val="both"/>
        <w:divId w:val="310015983"/>
        <w:rPr>
          <w:rFonts w:eastAsia="Times New Roman"/>
        </w:rPr>
      </w:pPr>
      <w:r>
        <w:rPr>
          <w:rFonts w:eastAsia="Times New Roman"/>
          <w:i/>
          <w:iCs/>
          <w:color w:val="252525"/>
          <w:sz w:val="20"/>
          <w:szCs w:val="20"/>
        </w:rPr>
        <w:t>Adoption of New Accounting Pronouncements</w:t>
      </w:r>
    </w:p>
    <w:p w:rsidR="00000000" w:rsidRDefault="0039134F">
      <w:pPr>
        <w:jc w:val="both"/>
        <w:divId w:val="952708486"/>
        <w:rPr>
          <w:rFonts w:eastAsia="Times New Roman"/>
        </w:rPr>
      </w:pPr>
      <w:r>
        <w:rPr>
          <w:rFonts w:eastAsia="Times New Roman"/>
          <w:i/>
          <w:iCs/>
          <w:color w:val="252525"/>
          <w:sz w:val="20"/>
          <w:szCs w:val="20"/>
        </w:rPr>
        <w:t xml:space="preserve">Cloud Computing. </w:t>
      </w:r>
      <w:r>
        <w:rPr>
          <w:rFonts w:eastAsia="Times New Roman"/>
          <w:color w:val="000000"/>
          <w:sz w:val="20"/>
          <w:szCs w:val="20"/>
        </w:rPr>
        <w:t>In August 2018, the FASB issued A</w:t>
      </w:r>
      <w:r>
        <w:rPr>
          <w:rFonts w:eastAsia="Times New Roman"/>
          <w:color w:val="000000"/>
          <w:sz w:val="20"/>
          <w:szCs w:val="20"/>
        </w:rPr>
        <w:t>SU No. 2018-15,</w:t>
      </w:r>
      <w:r>
        <w:rPr>
          <w:rFonts w:eastAsia="Times New Roman"/>
          <w:i/>
          <w:iCs/>
          <w:color w:val="000000"/>
          <w:sz w:val="20"/>
          <w:szCs w:val="20"/>
        </w:rPr>
        <w:t xml:space="preserve"> Customer’s Accounting for Implementation Costs Incurred in a Cloud Computing Arrangement That Is a Service Contract.</w:t>
      </w:r>
      <w:r>
        <w:rPr>
          <w:rFonts w:eastAsia="Times New Roman"/>
          <w:color w:val="000000"/>
          <w:sz w:val="20"/>
          <w:szCs w:val="20"/>
        </w:rPr>
        <w:t> This new guidance aligns the requirements for capitalizing implementation costs incurred in a hosting arrangement that is a</w:t>
      </w:r>
      <w:r>
        <w:rPr>
          <w:rFonts w:eastAsia="Times New Roman"/>
          <w:color w:val="000000"/>
          <w:sz w:val="20"/>
          <w:szCs w:val="20"/>
        </w:rPr>
        <w:t xml:space="preserve"> service contract with the requirements for capitalizing implementation costs incurred to develop or obtain internal-use software (and hosting arrangements that include an internal-use software license). This new guidance is effective for fiscal years begi</w:t>
      </w:r>
      <w:r>
        <w:rPr>
          <w:rFonts w:eastAsia="Times New Roman"/>
          <w:color w:val="000000"/>
          <w:sz w:val="20"/>
          <w:szCs w:val="20"/>
        </w:rPr>
        <w:t>nning after December 15, 2019, and for interim periods within those fiscal years and may be adopted on a prospective or retrospective basis. We adopted the accounting standard on a prospective basis in the first quarter of 2020. The adoption of this guidan</w:t>
      </w:r>
      <w:r>
        <w:rPr>
          <w:rFonts w:eastAsia="Times New Roman"/>
          <w:color w:val="000000"/>
          <w:sz w:val="20"/>
          <w:szCs w:val="20"/>
        </w:rPr>
        <w:t>ce did not have a material impact on the Company’s financial condition, results of operations or cash flows.</w:t>
      </w:r>
    </w:p>
    <w:p w:rsidR="00000000" w:rsidRDefault="0039134F">
      <w:pPr>
        <w:jc w:val="both"/>
        <w:divId w:val="349063275"/>
        <w:rPr>
          <w:rFonts w:eastAsia="Times New Roman"/>
        </w:rPr>
      </w:pPr>
      <w:r>
        <w:rPr>
          <w:rFonts w:eastAsia="Times New Roman"/>
          <w:i/>
          <w:iCs/>
          <w:color w:val="000000"/>
          <w:sz w:val="20"/>
          <w:szCs w:val="20"/>
        </w:rPr>
        <w:t>Credit Losses</w:t>
      </w:r>
      <w:r>
        <w:rPr>
          <w:rFonts w:eastAsia="Times New Roman"/>
          <w:color w:val="000000"/>
          <w:sz w:val="20"/>
          <w:szCs w:val="20"/>
        </w:rPr>
        <w:t>. In June 2016, the FASB issued ASU No. 2016-13, </w:t>
      </w:r>
      <w:r>
        <w:rPr>
          <w:rFonts w:eastAsia="Times New Roman"/>
          <w:i/>
          <w:iCs/>
          <w:color w:val="000000"/>
          <w:sz w:val="20"/>
          <w:szCs w:val="20"/>
        </w:rPr>
        <w:t xml:space="preserve">Measurement of Credit Losses on Financial Instruments. </w:t>
      </w:r>
      <w:r>
        <w:rPr>
          <w:rFonts w:eastAsia="Times New Roman"/>
          <w:color w:val="000000"/>
          <w:sz w:val="20"/>
          <w:szCs w:val="20"/>
        </w:rPr>
        <w:t xml:space="preserve">This new guidance requires an </w:t>
      </w:r>
      <w:r>
        <w:rPr>
          <w:rFonts w:eastAsia="Times New Roman"/>
          <w:color w:val="000000"/>
          <w:sz w:val="20"/>
          <w:szCs w:val="20"/>
        </w:rPr>
        <w:t>entity to assess impairment of its financial instruments based on its estimate of expected credit losses. Initial adoption of ASU 2016-13 is required to be reported on a modified retrospective basis, with a cumulative-effect adjustment to retained earnings</w:t>
      </w:r>
      <w:r>
        <w:rPr>
          <w:rFonts w:eastAsia="Times New Roman"/>
          <w:color w:val="000000"/>
          <w:sz w:val="20"/>
          <w:szCs w:val="20"/>
        </w:rPr>
        <w:t xml:space="preserve"> as of the beginning of the year of adoption, except for certain provisions that are required to be applied prospectively. This guidance is effective for fiscal years beginning after December 15, 2019, and for interim reporting periods within those fiscal </w:t>
      </w:r>
      <w:r>
        <w:rPr>
          <w:rFonts w:eastAsia="Times New Roman"/>
          <w:color w:val="000000"/>
          <w:sz w:val="20"/>
          <w:szCs w:val="20"/>
        </w:rPr>
        <w:t xml:space="preserve">years. </w:t>
      </w:r>
    </w:p>
    <w:p w:rsidR="00000000" w:rsidRDefault="0039134F">
      <w:pPr>
        <w:jc w:val="both"/>
        <w:divId w:val="1410465821"/>
        <w:rPr>
          <w:rFonts w:eastAsia="Times New Roman"/>
        </w:rPr>
      </w:pPr>
      <w:r>
        <w:rPr>
          <w:rFonts w:eastAsia="Times New Roman"/>
          <w:color w:val="000000"/>
          <w:sz w:val="20"/>
          <w:szCs w:val="20"/>
        </w:rPr>
        <w:t>We adopted ASU No. 2016-13 as of December 29, 2019 (the first day of fiscal year 2020), using the modified retrospective approach without adjusting the comparative periods presented. Upon adoption, the Company recorded a $0.7 million increase to th</w:t>
      </w:r>
      <w:r>
        <w:rPr>
          <w:rFonts w:eastAsia="Times New Roman"/>
          <w:color w:val="000000"/>
          <w:sz w:val="20"/>
          <w:szCs w:val="20"/>
        </w:rPr>
        <w:t>e allowance for credit losses as a result of increases in our allowance for credit losses of notes receivable. Refer to Note 7. “Equity in Assets of Non-Consolidated Investee” for more information on our non-consolidated investee’s secured convertible prom</w:t>
      </w:r>
      <w:r>
        <w:rPr>
          <w:rFonts w:eastAsia="Times New Roman"/>
          <w:color w:val="000000"/>
          <w:sz w:val="20"/>
          <w:szCs w:val="20"/>
        </w:rPr>
        <w:t xml:space="preserve">issory note. After adjusting for deferred taxes, we recorded a $0.5 million decrease in Retained earnings through a cumulative-effect adjustment. Adoption of this new guidance did not have a material impact on the Company’s financial condition, results of </w:t>
      </w:r>
      <w:r>
        <w:rPr>
          <w:rFonts w:eastAsia="Times New Roman"/>
          <w:color w:val="000000"/>
          <w:sz w:val="20"/>
          <w:szCs w:val="20"/>
        </w:rPr>
        <w:t>operations or cash flows.</w:t>
      </w:r>
    </w:p>
    <w:p w:rsidR="00000000" w:rsidRDefault="0039134F">
      <w:pPr>
        <w:jc w:val="both"/>
        <w:divId w:val="1918898357"/>
        <w:rPr>
          <w:rFonts w:eastAsia="Times New Roman"/>
        </w:rPr>
      </w:pPr>
      <w:r>
        <w:rPr>
          <w:rFonts w:eastAsia="Times New Roman"/>
          <w:i/>
          <w:iCs/>
          <w:color w:val="000000"/>
          <w:sz w:val="20"/>
          <w:szCs w:val="20"/>
        </w:rPr>
        <w:t>Future Adoption of Accounting Pronouncements</w:t>
      </w:r>
    </w:p>
    <w:p w:rsidR="00000000" w:rsidRDefault="0039134F">
      <w:pPr>
        <w:jc w:val="both"/>
        <w:divId w:val="1982297585"/>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w:t>
      </w:r>
      <w:r>
        <w:rPr>
          <w:rFonts w:eastAsia="Times New Roman"/>
          <w:color w:val="000000"/>
          <w:sz w:val="20"/>
          <w:szCs w:val="20"/>
        </w:rPr>
        <w:t xml:space="preserve">s optional expedients and exceptions for applying U.S. GAAP to contracts, hedging relationships, and other transactions that may be affected by the cessation of the London Inter-bank Offered Rate (“LIBOR.”) ASU 2020-04 is effective from March 2020 through </w:t>
      </w:r>
      <w:r>
        <w:rPr>
          <w:rFonts w:eastAsia="Times New Roman"/>
          <w:color w:val="000000"/>
          <w:sz w:val="20"/>
          <w:szCs w:val="20"/>
        </w:rPr>
        <w:t xml:space="preserve">December 2022. A substantial portion of our debt is subject to interest payments that are indexed to LIBOR; </w:t>
      </w:r>
    </w:p>
    <w:p w:rsidR="00000000" w:rsidRDefault="0039134F">
      <w:pPr>
        <w:jc w:val="center"/>
        <w:divId w:val="1318924316"/>
        <w:rPr>
          <w:rFonts w:eastAsia="Times New Roman"/>
        </w:rPr>
      </w:pPr>
      <w:r>
        <w:rPr>
          <w:rFonts w:eastAsia="Times New Roman"/>
          <w:color w:val="000000"/>
          <w:sz w:val="20"/>
          <w:szCs w:val="20"/>
        </w:rPr>
        <w:t>12</w:t>
      </w:r>
    </w:p>
    <w:p w:rsidR="00000000" w:rsidRDefault="0039134F">
      <w:pPr>
        <w:rPr>
          <w:rFonts w:eastAsia="Times New Roman"/>
        </w:rPr>
      </w:pPr>
      <w:r>
        <w:rPr>
          <w:rFonts w:eastAsia="Times New Roman"/>
        </w:rPr>
        <w:pict>
          <v:rect id="_x0000_i1036" style="width:0;height:1.5pt" o:hralign="center" o:hrstd="t" o:hr="t" fillcolor="#a0a0a0" stroked="f"/>
        </w:pict>
      </w:r>
    </w:p>
    <w:p w:rsidR="00000000" w:rsidRDefault="0039134F">
      <w:pPr>
        <w:divId w:val="187970434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90317211"/>
        <w:rPr>
          <w:rFonts w:eastAsia="Times New Roman"/>
        </w:rPr>
      </w:pPr>
      <w:r>
        <w:rPr>
          <w:rFonts w:eastAsia="Times New Roman"/>
          <w:color w:val="000000"/>
          <w:sz w:val="20"/>
          <w:szCs w:val="20"/>
        </w:rPr>
        <w:t>additionally, we are party to multiple interest rate derivatives based on LIBOR. We are currently evaluating the effect of this guidance.</w:t>
      </w:r>
    </w:p>
    <w:p w:rsidR="00000000" w:rsidRDefault="0039134F">
      <w:pPr>
        <w:jc w:val="both"/>
        <w:divId w:val="1265579572"/>
        <w:rPr>
          <w:rFonts w:eastAsia="Times New Roman"/>
        </w:rPr>
      </w:pPr>
      <w:r>
        <w:rPr>
          <w:rFonts w:eastAsia="Times New Roman"/>
          <w:i/>
          <w:iCs/>
          <w:color w:val="000000"/>
          <w:sz w:val="20"/>
          <w:szCs w:val="20"/>
        </w:rPr>
        <w:t>Convertible Instruments and Contracts in an Entity’s Own Equity.</w:t>
      </w:r>
      <w:r>
        <w:rPr>
          <w:rFonts w:eastAsia="Times New Roman"/>
          <w:color w:val="000000"/>
          <w:sz w:val="20"/>
          <w:szCs w:val="20"/>
        </w:rPr>
        <w:t xml:space="preserve"> In August 2020, the FASB issued ASU No. 2020-06, </w:t>
      </w:r>
      <w:r>
        <w:rPr>
          <w:rFonts w:eastAsia="Times New Roman"/>
          <w:i/>
          <w:iCs/>
          <w:color w:val="000000"/>
          <w:sz w:val="20"/>
          <w:szCs w:val="20"/>
        </w:rPr>
        <w:t>Debt</w:t>
      </w:r>
      <w:r>
        <w:rPr>
          <w:rFonts w:eastAsia="Times New Roman"/>
          <w:i/>
          <w:iCs/>
          <w:color w:val="000000"/>
          <w:sz w:val="20"/>
          <w:szCs w:val="20"/>
        </w:rPr>
        <w:t>—Debt with Conversion and Other Options (Subtopic 470-20) and Derivatives and Hedging—Contracts in Entity’s Own Equity (Subtopic 815-40): Accounting for Convertible Instruments and Contracts in an Entity’s Own Equity</w:t>
      </w:r>
      <w:r>
        <w:rPr>
          <w:rFonts w:eastAsia="Times New Roman"/>
          <w:color w:val="000000"/>
          <w:sz w:val="20"/>
          <w:szCs w:val="20"/>
        </w:rPr>
        <w:t xml:space="preserve"> (“ASU 2020-06”). This new guidance simp</w:t>
      </w:r>
      <w:r>
        <w:rPr>
          <w:rFonts w:eastAsia="Times New Roman"/>
          <w:color w:val="000000"/>
          <w:sz w:val="20"/>
          <w:szCs w:val="20"/>
        </w:rPr>
        <w:t>lifies and adds disclosure requirements for the accounting and measurement of convertible instruments and the settlement assessment for contracts in an entity’s own equity. ASU 2020-06 is effective for fiscal years, and for interim periods within those fis</w:t>
      </w:r>
      <w:r>
        <w:rPr>
          <w:rFonts w:eastAsia="Times New Roman"/>
          <w:color w:val="000000"/>
          <w:sz w:val="20"/>
          <w:szCs w:val="20"/>
        </w:rPr>
        <w:t>cal years, beginning after December 15, 2021, with early adoption possible for fiscal years, and for interim periods within those fiscal years, beginning after December 15, 2020. We are currently evaluating the effect of this guidance and are considering e</w:t>
      </w:r>
      <w:r>
        <w:rPr>
          <w:rFonts w:eastAsia="Times New Roman"/>
          <w:color w:val="000000"/>
          <w:sz w:val="20"/>
          <w:szCs w:val="20"/>
        </w:rPr>
        <w:t>arly adoption of this guidance in our fiscal year beginning January 3, 2021; ultimate decisions regarding the timing of adoption are subject to further evaluation.</w:t>
      </w:r>
    </w:p>
    <w:p w:rsidR="00000000" w:rsidRDefault="0039134F">
      <w:pPr>
        <w:jc w:val="both"/>
        <w:divId w:val="2101481343"/>
        <w:rPr>
          <w:rFonts w:eastAsia="Times New Roman"/>
        </w:rPr>
      </w:pPr>
    </w:p>
    <w:p w:rsidR="00000000" w:rsidRDefault="0039134F">
      <w:pPr>
        <w:divId w:val="2127194110"/>
        <w:rPr>
          <w:rFonts w:eastAsia="Times New Roman"/>
        </w:rPr>
      </w:pPr>
      <w:r>
        <w:rPr>
          <w:rFonts w:eastAsia="Times New Roman"/>
          <w:b/>
          <w:bCs/>
          <w:color w:val="000000"/>
          <w:sz w:val="20"/>
          <w:szCs w:val="20"/>
        </w:rPr>
        <w:t>2. Details of Certain Balance Sheet Accounts</w:t>
      </w:r>
    </w:p>
    <w:tbl>
      <w:tblPr>
        <w:tblW w:w="4991" w:type="pct"/>
        <w:tblCellMar>
          <w:top w:w="15" w:type="dxa"/>
          <w:left w:w="15" w:type="dxa"/>
          <w:bottom w:w="15" w:type="dxa"/>
          <w:right w:w="15" w:type="dxa"/>
        </w:tblCellMar>
        <w:tblLook w:val="04A0" w:firstRow="1" w:lastRow="0" w:firstColumn="1" w:lastColumn="0" w:noHBand="0" w:noVBand="1"/>
      </w:tblPr>
      <w:tblGrid>
        <w:gridCol w:w="39"/>
        <w:gridCol w:w="4551"/>
        <w:gridCol w:w="38"/>
        <w:gridCol w:w="121"/>
        <w:gridCol w:w="1635"/>
        <w:gridCol w:w="36"/>
        <w:gridCol w:w="36"/>
        <w:gridCol w:w="36"/>
        <w:gridCol w:w="36"/>
        <w:gridCol w:w="121"/>
        <w:gridCol w:w="1606"/>
        <w:gridCol w:w="36"/>
      </w:tblGrid>
      <w:tr w:rsidR="00000000">
        <w:trPr>
          <w:divId w:val="524293309"/>
        </w:trPr>
        <w:tc>
          <w:tcPr>
            <w:tcW w:w="50" w:type="pct"/>
            <w:vAlign w:val="center"/>
            <w:hideMark/>
          </w:tcPr>
          <w:p w:rsidR="00000000" w:rsidRDefault="0039134F">
            <w:pPr>
              <w:rPr>
                <w:rFonts w:eastAsia="Times New Roman"/>
              </w:rPr>
            </w:pPr>
          </w:p>
        </w:tc>
        <w:tc>
          <w:tcPr>
            <w:tcW w:w="27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524293309"/>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524293309"/>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524293309"/>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25,448 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28,635 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524293309"/>
        </w:trPr>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18,470 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14,173 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524293309"/>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Other receivables</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6,300 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4,707 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524293309"/>
        </w:trPr>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(3,040)</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524293309"/>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49,678 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44,475 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93"/>
        <w:gridCol w:w="144"/>
        <w:gridCol w:w="144"/>
        <w:gridCol w:w="1678"/>
        <w:gridCol w:w="144"/>
        <w:gridCol w:w="144"/>
        <w:gridCol w:w="144"/>
        <w:gridCol w:w="144"/>
        <w:gridCol w:w="144"/>
        <w:gridCol w:w="1678"/>
        <w:gridCol w:w="144"/>
      </w:tblGrid>
      <w:tr w:rsidR="00000000">
        <w:tc>
          <w:tcPr>
            <w:tcW w:w="50" w:type="pct"/>
            <w:vAlign w:val="center"/>
            <w:hideMark/>
          </w:tcPr>
          <w:p w:rsidR="00000000" w:rsidRDefault="0039134F">
            <w:pPr>
              <w:rPr>
                <w:rFonts w:eastAsia="Times New Roman"/>
              </w:rPr>
            </w:pPr>
          </w:p>
        </w:tc>
        <w:tc>
          <w:tcPr>
            <w:tcW w:w="27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39134F">
            <w:pPr>
              <w:divId w:val="707218910"/>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50,394 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65,179 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61,306 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62,377 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111,700 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127,556 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c>
          <w:tcPr>
            <w:tcW w:w="0" w:type="auto"/>
            <w:gridSpan w:val="12"/>
            <w:tcMar>
              <w:top w:w="30" w:type="dxa"/>
              <w:left w:w="20" w:type="dxa"/>
              <w:bottom w:w="30" w:type="dxa"/>
              <w:right w:w="20" w:type="dxa"/>
            </w:tcMar>
            <w:vAlign w:val="center"/>
            <w:hideMark/>
          </w:tcPr>
          <w:p w:rsidR="00000000" w:rsidRDefault="0039134F">
            <w:pPr>
              <w:ind w:hanging="270"/>
              <w:jc w:val="both"/>
              <w:rPr>
                <w:rFonts w:eastAsia="Times New Roman"/>
              </w:rPr>
            </w:pPr>
            <w:r>
              <w:rPr>
                <w:rFonts w:eastAsia="Times New Roman"/>
                <w:color w:val="000000"/>
                <w:sz w:val="16"/>
                <w:szCs w:val="16"/>
              </w:rPr>
              <w:t>(1)</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p>
        </w:tc>
      </w:tr>
    </w:tbl>
    <w:p w:rsidR="00000000" w:rsidRDefault="0039134F">
      <w:pPr>
        <w:divId w:val="1889411408"/>
        <w:rPr>
          <w:rFonts w:eastAsia="Times New Roman"/>
          <w:vanish/>
        </w:rPr>
      </w:pPr>
    </w:p>
    <w:tbl>
      <w:tblPr>
        <w:tblW w:w="4991" w:type="pct"/>
        <w:tblCellMar>
          <w:top w:w="15" w:type="dxa"/>
          <w:left w:w="15" w:type="dxa"/>
          <w:bottom w:w="15" w:type="dxa"/>
          <w:right w:w="15" w:type="dxa"/>
        </w:tblCellMar>
        <w:tblLook w:val="04A0" w:firstRow="1" w:lastRow="0" w:firstColumn="1" w:lastColumn="0" w:noHBand="0" w:noVBand="1"/>
      </w:tblPr>
      <w:tblGrid>
        <w:gridCol w:w="40"/>
        <w:gridCol w:w="4550"/>
        <w:gridCol w:w="39"/>
        <w:gridCol w:w="121"/>
        <w:gridCol w:w="1634"/>
        <w:gridCol w:w="36"/>
        <w:gridCol w:w="36"/>
        <w:gridCol w:w="36"/>
        <w:gridCol w:w="36"/>
        <w:gridCol w:w="121"/>
        <w:gridCol w:w="1606"/>
        <w:gridCol w:w="36"/>
      </w:tblGrid>
      <w:tr w:rsidR="00000000">
        <w:trPr>
          <w:divId w:val="1889411408"/>
        </w:trPr>
        <w:tc>
          <w:tcPr>
            <w:tcW w:w="50" w:type="pct"/>
            <w:vAlign w:val="center"/>
            <w:hideMark/>
          </w:tcPr>
          <w:p w:rsidR="00000000" w:rsidRDefault="0039134F">
            <w:pPr>
              <w:rPr>
                <w:rFonts w:eastAsia="Times New Roman"/>
              </w:rPr>
            </w:pPr>
          </w:p>
        </w:tc>
        <w:tc>
          <w:tcPr>
            <w:tcW w:w="27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889411408"/>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1889411408"/>
        </w:trPr>
        <w:tc>
          <w:tcPr>
            <w:tcW w:w="0" w:type="auto"/>
            <w:gridSpan w:val="3"/>
            <w:shd w:val="clear" w:color="auto" w:fill="CCEEFF"/>
            <w:tcMar>
              <w:top w:w="30" w:type="dxa"/>
              <w:left w:w="20" w:type="dxa"/>
              <w:bottom w:w="30" w:type="dxa"/>
              <w:right w:w="20" w:type="dxa"/>
            </w:tcMar>
            <w:vAlign w:val="center"/>
            <w:hideMark/>
          </w:tcPr>
          <w:p w:rsidR="00000000" w:rsidRDefault="0039134F">
            <w:pPr>
              <w:rPr>
                <w:rFonts w:eastAsia="Times New Roman"/>
              </w:rPr>
            </w:pPr>
            <w:r>
              <w:rPr>
                <w:rFonts w:eastAsia="Times New Roman"/>
                <w:b/>
                <w:bCs/>
                <w:color w:val="000000"/>
                <w:sz w:val="20"/>
                <w:szCs w:val="20"/>
              </w:rPr>
              <w:t>Property and equipment,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889411408"/>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Land and building</w:t>
            </w: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3,624 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3,632 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Equipment</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198,601 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188,593 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Information technology hardware and software</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116,232 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115,283 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55,068 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55,146 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Leasehold improvements</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215,598 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213,124 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CCEE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21,743 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26,517 </w:t>
            </w:r>
          </w:p>
        </w:tc>
        <w:tc>
          <w:tcPr>
            <w:tcW w:w="0" w:type="auto"/>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Right of use assets under finance leases</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37,162 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36,437 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648,028 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638,732 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FFFFFF"/>
            <w:tcMar>
              <w:top w:w="30" w:type="dxa"/>
              <w:left w:w="135" w:type="dxa"/>
              <w:bottom w:w="30" w:type="dxa"/>
              <w:right w:w="20" w:type="dxa"/>
            </w:tcMar>
            <w:vAlign w:val="center"/>
            <w:hideMark/>
          </w:tcPr>
          <w:p w:rsidR="00000000" w:rsidRDefault="0039134F">
            <w:pPr>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317,672 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271,965 </w:t>
            </w:r>
          </w:p>
        </w:tc>
        <w:tc>
          <w:tcPr>
            <w:tcW w:w="0" w:type="auto"/>
            <w:shd w:val="clear" w:color="auto" w:fill="FFFF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889411408"/>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330,356 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366,767 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bl>
    <w:p w:rsidR="00000000" w:rsidRDefault="0039134F">
      <w:pPr>
        <w:jc w:val="center"/>
        <w:divId w:val="516433523"/>
        <w:rPr>
          <w:rFonts w:eastAsia="Times New Roman"/>
        </w:rPr>
      </w:pPr>
      <w:r>
        <w:rPr>
          <w:rFonts w:eastAsia="Times New Roman"/>
          <w:color w:val="000000"/>
          <w:sz w:val="20"/>
          <w:szCs w:val="20"/>
        </w:rPr>
        <w:t>13</w:t>
      </w:r>
    </w:p>
    <w:p w:rsidR="00000000" w:rsidRDefault="0039134F">
      <w:pPr>
        <w:rPr>
          <w:rFonts w:eastAsia="Times New Roman"/>
        </w:rPr>
      </w:pPr>
      <w:r>
        <w:rPr>
          <w:rFonts w:eastAsia="Times New Roman"/>
        </w:rPr>
        <w:pict>
          <v:rect id="_x0000_i1037" style="width:0;height:1.5pt" o:hralign="center" o:hrstd="t" o:hr="t" fillcolor="#a0a0a0" stroked="f"/>
        </w:pict>
      </w:r>
    </w:p>
    <w:p w:rsidR="00000000" w:rsidRDefault="0039134F">
      <w:pPr>
        <w:divId w:val="1898324486"/>
        <w:rPr>
          <w:rFonts w:eastAsia="Times New Roman"/>
        </w:rPr>
      </w:pPr>
    </w:p>
    <w:p w:rsidR="00000000" w:rsidRDefault="0039134F">
      <w:pPr>
        <w:divId w:val="1458573369"/>
        <w:rPr>
          <w:rFonts w:eastAsia="Times New Roman"/>
        </w:rPr>
      </w:pPr>
      <w:hyperlink w:anchor="i50336ee56f43460a9be6f65c8cd49c0c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4552"/>
        <w:gridCol w:w="37"/>
        <w:gridCol w:w="121"/>
        <w:gridCol w:w="1635"/>
        <w:gridCol w:w="36"/>
        <w:gridCol w:w="36"/>
        <w:gridCol w:w="36"/>
        <w:gridCol w:w="36"/>
        <w:gridCol w:w="121"/>
        <w:gridCol w:w="1606"/>
        <w:gridCol w:w="36"/>
      </w:tblGrid>
      <w:tr w:rsidR="00000000">
        <w:trPr>
          <w:divId w:val="433675480"/>
        </w:trPr>
        <w:tc>
          <w:tcPr>
            <w:tcW w:w="50" w:type="pct"/>
            <w:vAlign w:val="center"/>
            <w:hideMark/>
          </w:tcPr>
          <w:p w:rsidR="00000000" w:rsidRDefault="0039134F">
            <w:pPr>
              <w:rPr>
                <w:rFonts w:eastAsia="Times New Roman"/>
              </w:rPr>
            </w:pPr>
          </w:p>
        </w:tc>
        <w:tc>
          <w:tcPr>
            <w:tcW w:w="27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433675480"/>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43367548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Employee compensation and benefits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45,532 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28,347 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2,164 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Self-insurance liabilities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9,378 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8,403 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Reserves for customer returns and remakes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7,266 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6,782 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4,461 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6,109 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6,382 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3,098 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2,926 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Lease concessions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18,564 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11,611 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125,278 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33675480"/>
        </w:trPr>
        <w:tc>
          <w:tcPr>
            <w:tcW w:w="0" w:type="auto"/>
            <w:gridSpan w:val="3"/>
            <w:vAlign w:val="center"/>
            <w:hideMark/>
          </w:tcPr>
          <w:p w:rsidR="00000000" w:rsidRDefault="0039134F">
            <w:pPr>
              <w:jc w:val="right"/>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433675480"/>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93"/>
        <w:gridCol w:w="144"/>
        <w:gridCol w:w="144"/>
        <w:gridCol w:w="1678"/>
        <w:gridCol w:w="144"/>
        <w:gridCol w:w="144"/>
        <w:gridCol w:w="144"/>
        <w:gridCol w:w="144"/>
        <w:gridCol w:w="144"/>
        <w:gridCol w:w="1678"/>
        <w:gridCol w:w="144"/>
      </w:tblGrid>
      <w:tr w:rsidR="00000000">
        <w:tc>
          <w:tcPr>
            <w:tcW w:w="50" w:type="pct"/>
            <w:vAlign w:val="center"/>
            <w:hideMark/>
          </w:tcPr>
          <w:p w:rsidR="00000000" w:rsidRDefault="0039134F">
            <w:pPr>
              <w:rPr>
                <w:rFonts w:eastAsia="Times New Roman"/>
              </w:rPr>
            </w:pPr>
          </w:p>
        </w:tc>
        <w:tc>
          <w:tcPr>
            <w:tcW w:w="27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9,324 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8,360 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7,283 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divId w:val="1908030008"/>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6,002 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4,845 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23,686 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13,731 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39134F">
            <w:pPr>
              <w:divId w:val="75440336"/>
              <w:rPr>
                <w:rFonts w:eastAsia="Times New Roman"/>
              </w:rPr>
            </w:pPr>
            <w:r>
              <w:rPr>
                <w:rFonts w:eastAsia="Times New Roman"/>
                <w:color w:val="000000"/>
                <w:sz w:val="16"/>
                <w:szCs w:val="16"/>
              </w:rPr>
              <w:t> </w:t>
            </w:r>
            <w:r>
              <w:rPr>
                <w:rFonts w:eastAsia="Times New Roman"/>
                <w:color w:val="000000"/>
                <w:sz w:val="16"/>
                <w:szCs w:val="16"/>
              </w:rPr>
              <w:t>(1) Includes CARES Act deferred employer payroll taxes in the amount of $3.5 million as of September 26, 2020.</w:t>
            </w:r>
          </w:p>
        </w:tc>
      </w:tr>
      <w:tr w:rsidR="00000000">
        <w:tc>
          <w:tcPr>
            <w:tcW w:w="0" w:type="auto"/>
            <w:gridSpan w:val="3"/>
            <w:vAlign w:val="center"/>
            <w:hideMark/>
          </w:tcPr>
          <w:p w:rsidR="00000000" w:rsidRDefault="0039134F">
            <w:pP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bl>
    <w:p w:rsidR="00000000" w:rsidRDefault="0039134F">
      <w:pPr>
        <w:divId w:val="43800938"/>
        <w:rPr>
          <w:rFonts w:eastAsia="Times New Roman"/>
        </w:rPr>
      </w:pPr>
    </w:p>
    <w:p w:rsidR="00000000" w:rsidRDefault="0039134F">
      <w:pPr>
        <w:jc w:val="both"/>
        <w:rPr>
          <w:rFonts w:eastAsia="Times New Roman"/>
        </w:rPr>
      </w:pPr>
      <w:r>
        <w:rPr>
          <w:rFonts w:eastAsia="Times New Roman"/>
          <w:b/>
          <w:bCs/>
          <w:color w:val="000000"/>
          <w:sz w:val="20"/>
          <w:szCs w:val="20"/>
        </w:rPr>
        <w:t xml:space="preserve">3. </w:t>
      </w:r>
      <w:r>
        <w:rPr>
          <w:rFonts w:eastAsia="Times New Roman"/>
          <w:b/>
          <w:bCs/>
          <w:color w:val="000000"/>
          <w:sz w:val="20"/>
          <w:szCs w:val="20"/>
        </w:rPr>
        <w:t>Fair Value Measurements of Financial Assets and Liabilities</w:t>
      </w:r>
    </w:p>
    <w:p w:rsidR="00000000" w:rsidRDefault="0039134F">
      <w:pPr>
        <w:jc w:val="both"/>
        <w:rPr>
          <w:rFonts w:eastAsia="Times New Roman"/>
        </w:rPr>
      </w:pPr>
    </w:p>
    <w:p w:rsidR="00000000" w:rsidRDefault="0039134F">
      <w:pPr>
        <w:jc w:val="both"/>
        <w:divId w:val="1628855307"/>
        <w:rPr>
          <w:rFonts w:eastAsia="Times New Roman"/>
        </w:rPr>
      </w:pPr>
      <w:r>
        <w:rPr>
          <w:rFonts w:eastAsia="Times New Roman"/>
          <w:color w:val="000000"/>
          <w:sz w:val="20"/>
          <w:szCs w:val="20"/>
        </w:rPr>
        <w:t>The Company uses a fair value hierarchy that is intended to increase consistency and comparability in fair value measurements and related disclosures. The fair value hierarchy is based on inputs</w:t>
      </w:r>
      <w:r>
        <w:rPr>
          <w:rFonts w:eastAsia="Times New Roman"/>
          <w:color w:val="000000"/>
          <w:sz w:val="20"/>
          <w:szCs w:val="20"/>
        </w:rPr>
        <w:t xml:space="preserve"> to valuation techniques that are used to measure fair value that are either observable or unobservable. Observable inputs reflect assumptions market participants would use in pricing an asset or liability based on market data obtained from independent sou</w:t>
      </w:r>
      <w:r>
        <w:rPr>
          <w:rFonts w:eastAsia="Times New Roman"/>
          <w:color w:val="000000"/>
          <w:sz w:val="20"/>
          <w:szCs w:val="20"/>
        </w:rPr>
        <w:t>rces while unobservable inputs reflect pricing based upon a reporting entity’s own market assumptions.</w:t>
      </w:r>
    </w:p>
    <w:p w:rsidR="00000000" w:rsidRDefault="0039134F">
      <w:pPr>
        <w:jc w:val="both"/>
        <w:divId w:val="974289109"/>
        <w:rPr>
          <w:rFonts w:eastAsia="Times New Roman"/>
        </w:rPr>
      </w:pPr>
      <w:r>
        <w:rPr>
          <w:rFonts w:eastAsia="Times New Roman"/>
          <w:color w:val="000000"/>
          <w:sz w:val="20"/>
          <w:szCs w:val="20"/>
        </w:rPr>
        <w:t>The Company is required to measure certain assets and liabilities at fair value or disclose the fair values of certain assets and liabilities recorded at</w:t>
      </w:r>
      <w:r>
        <w:rPr>
          <w:rFonts w:eastAsia="Times New Roman"/>
          <w:color w:val="000000"/>
          <w:sz w:val="20"/>
          <w:szCs w:val="20"/>
        </w:rPr>
        <w:t xml:space="preserve"> cost. Accounting standards define fair value as the price that would be received to sell an asset or paid to transfer a liability in an orderly transaction between market participants at the measurement date. Fair value is estimated assuming the transacti</w:t>
      </w:r>
      <w:r>
        <w:rPr>
          <w:rFonts w:eastAsia="Times New Roman"/>
          <w:color w:val="000000"/>
          <w:sz w:val="20"/>
          <w:szCs w:val="20"/>
        </w:rPr>
        <w:t>on occurs in the principal or most advantageous market for the asset or liability and includes consideration of non-performance risk and credit risk of both parties. A three-tier fair value hierarchy prioritizes the inputs used in measuring fair value. The</w:t>
      </w:r>
      <w:r>
        <w:rPr>
          <w:rFonts w:eastAsia="Times New Roman"/>
          <w:color w:val="000000"/>
          <w:sz w:val="20"/>
          <w:szCs w:val="20"/>
        </w:rPr>
        <w:t>se tiers include:</w:t>
      </w:r>
    </w:p>
    <w:p w:rsidR="00000000" w:rsidRDefault="0039134F">
      <w:pPr>
        <w:ind w:hanging="360"/>
        <w:jc w:val="both"/>
        <w:divId w:val="596602870"/>
        <w:rPr>
          <w:rFonts w:eastAsia="Times New Roman"/>
        </w:rPr>
      </w:pPr>
      <w:r>
        <w:rPr>
          <w:rFonts w:eastAsia="Times New Roman"/>
          <w:color w:val="000000"/>
          <w:sz w:val="20"/>
          <w:szCs w:val="20"/>
        </w:rPr>
        <w:t>•Level 1 - Valuation inputs are based upon unadjusted quoted prices for identical instruments traded in active markets.</w:t>
      </w:r>
    </w:p>
    <w:p w:rsidR="00000000" w:rsidRDefault="0039134F">
      <w:pPr>
        <w:ind w:hanging="360"/>
        <w:jc w:val="both"/>
        <w:divId w:val="1328509680"/>
        <w:rPr>
          <w:rFonts w:eastAsia="Times New Roman"/>
        </w:rPr>
      </w:pPr>
      <w:r>
        <w:rPr>
          <w:rFonts w:eastAsia="Times New Roman"/>
          <w:color w:val="000000"/>
          <w:sz w:val="20"/>
          <w:szCs w:val="20"/>
        </w:rPr>
        <w:t xml:space="preserve">•Level 2 - Valuation inputs are based upon quoted prices for similar instruments in active markets, quoted prices for </w:t>
      </w:r>
      <w:r>
        <w:rPr>
          <w:rFonts w:eastAsia="Times New Roman"/>
          <w:color w:val="000000"/>
          <w:sz w:val="20"/>
          <w:szCs w:val="20"/>
        </w:rPr>
        <w:t>identical or similar instruments in inactive markets, and model-based valuation techniques for which all significant assumptions are observable in the market or can be corroborated by observable market data for substantially the full term of the instrument</w:t>
      </w:r>
      <w:r>
        <w:rPr>
          <w:rFonts w:eastAsia="Times New Roman"/>
          <w:color w:val="000000"/>
          <w:sz w:val="20"/>
          <w:szCs w:val="20"/>
        </w:rPr>
        <w:t>s.</w:t>
      </w:r>
    </w:p>
    <w:p w:rsidR="00000000" w:rsidRDefault="0039134F">
      <w:pPr>
        <w:ind w:hanging="360"/>
        <w:jc w:val="both"/>
        <w:divId w:val="76945245"/>
        <w:rPr>
          <w:rFonts w:eastAsia="Times New Roman"/>
        </w:rPr>
      </w:pPr>
      <w:r>
        <w:rPr>
          <w:rFonts w:eastAsia="Times New Roman"/>
          <w:color w:val="000000"/>
          <w:sz w:val="20"/>
          <w:szCs w:val="20"/>
        </w:rPr>
        <w:t>•Level 3 - Valuation inputs are unobservable and typically reflect management’s estimates of assumptions that market participants would use in pricing the asset or liability. The fair values are determined using model-based techniques that include disco</w:t>
      </w:r>
      <w:r>
        <w:rPr>
          <w:rFonts w:eastAsia="Times New Roman"/>
          <w:color w:val="000000"/>
          <w:sz w:val="20"/>
          <w:szCs w:val="20"/>
        </w:rPr>
        <w:t>unted cash flow models and similar techniques.</w:t>
      </w:r>
    </w:p>
    <w:p w:rsidR="00000000" w:rsidRDefault="0039134F">
      <w:pPr>
        <w:jc w:val="both"/>
        <w:divId w:val="1492679499"/>
        <w:rPr>
          <w:rFonts w:eastAsia="Times New Roman"/>
        </w:rPr>
      </w:pPr>
      <w:r>
        <w:rPr>
          <w:rFonts w:eastAsia="Times New Roman"/>
          <w:color w:val="000000"/>
          <w:sz w:val="20"/>
          <w:szCs w:val="20"/>
        </w:rPr>
        <w:t xml:space="preserve">The fair value estimates of financial instruments are not necessarily indicative of the amounts we might pay or receive in actual market transactions. The use of different market assumptions and/or estimation </w:t>
      </w:r>
      <w:r>
        <w:rPr>
          <w:rFonts w:eastAsia="Times New Roman"/>
          <w:color w:val="000000"/>
          <w:sz w:val="20"/>
          <w:szCs w:val="20"/>
        </w:rPr>
        <w:t xml:space="preserve">methodologies may have a material impact on the estimated fair value amounts. </w:t>
      </w:r>
    </w:p>
    <w:p w:rsidR="00000000" w:rsidRDefault="0039134F">
      <w:pPr>
        <w:jc w:val="center"/>
        <w:divId w:val="682442964"/>
        <w:rPr>
          <w:rFonts w:eastAsia="Times New Roman"/>
        </w:rPr>
      </w:pPr>
      <w:r>
        <w:rPr>
          <w:rFonts w:eastAsia="Times New Roman"/>
          <w:color w:val="000000"/>
          <w:sz w:val="20"/>
          <w:szCs w:val="20"/>
        </w:rPr>
        <w:t>14</w:t>
      </w:r>
    </w:p>
    <w:p w:rsidR="00000000" w:rsidRDefault="0039134F">
      <w:pPr>
        <w:rPr>
          <w:rFonts w:eastAsia="Times New Roman"/>
        </w:rPr>
      </w:pPr>
      <w:r>
        <w:rPr>
          <w:rFonts w:eastAsia="Times New Roman"/>
        </w:rPr>
        <w:pict>
          <v:rect id="_x0000_i1038" style="width:0;height:1.5pt" o:hralign="center" o:hrstd="t" o:hr="t" fillcolor="#a0a0a0" stroked="f"/>
        </w:pict>
      </w:r>
    </w:p>
    <w:p w:rsidR="00000000" w:rsidRDefault="0039134F">
      <w:pPr>
        <w:divId w:val="2072848961"/>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926302767"/>
        <w:rPr>
          <w:rFonts w:eastAsia="Times New Roman"/>
        </w:rPr>
      </w:pPr>
      <w:r>
        <w:rPr>
          <w:rFonts w:eastAsia="Times New Roman"/>
          <w:i/>
          <w:iCs/>
          <w:color w:val="000000"/>
          <w:sz w:val="20"/>
          <w:szCs w:val="20"/>
        </w:rPr>
        <w:t>Cash Equivalents and Restricted Cash</w:t>
      </w:r>
    </w:p>
    <w:p w:rsidR="00000000" w:rsidRDefault="0039134F">
      <w:pPr>
        <w:jc w:val="both"/>
        <w:divId w:val="1624383879"/>
        <w:rPr>
          <w:rFonts w:eastAsia="Times New Roman"/>
        </w:rPr>
      </w:pPr>
      <w:r>
        <w:rPr>
          <w:rFonts w:eastAsia="Times New Roman"/>
          <w:color w:val="000000"/>
          <w:sz w:val="20"/>
          <w:szCs w:val="20"/>
        </w:rPr>
        <w:t>The carrying amount of cash equivalents approximates fair value due to the short-term maturity of the instruments. All cash and cash equivalents are denominated in U.S. currency.</w:t>
      </w:r>
    </w:p>
    <w:p w:rsidR="00000000" w:rsidRDefault="0039134F">
      <w:pPr>
        <w:jc w:val="both"/>
        <w:divId w:val="989214393"/>
        <w:rPr>
          <w:rFonts w:eastAsia="Times New Roman"/>
        </w:rPr>
      </w:pPr>
      <w:r>
        <w:rPr>
          <w:rFonts w:eastAsia="Times New Roman"/>
          <w:i/>
          <w:iCs/>
          <w:color w:val="000000"/>
          <w:sz w:val="20"/>
          <w:szCs w:val="20"/>
        </w:rPr>
        <w:t>Accounts Receivable, Net</w:t>
      </w:r>
    </w:p>
    <w:p w:rsidR="00000000" w:rsidRDefault="0039134F">
      <w:pPr>
        <w:jc w:val="both"/>
        <w:divId w:val="1639264537"/>
        <w:rPr>
          <w:rFonts w:eastAsia="Times New Roman"/>
        </w:rPr>
      </w:pPr>
      <w:r>
        <w:rPr>
          <w:rFonts w:eastAsia="Times New Roman"/>
          <w:color w:val="000000"/>
          <w:sz w:val="20"/>
          <w:szCs w:val="20"/>
        </w:rPr>
        <w:t>The carrying am</w:t>
      </w:r>
      <w:r>
        <w:rPr>
          <w:rFonts w:eastAsia="Times New Roman"/>
          <w:color w:val="000000"/>
          <w:sz w:val="20"/>
          <w:szCs w:val="20"/>
        </w:rPr>
        <w:t>ount of accounts receivable approximates fair value due to the short-term nature of those items and the effect of related allowances for credit losses.</w:t>
      </w:r>
    </w:p>
    <w:p w:rsidR="00000000" w:rsidRDefault="0039134F">
      <w:pPr>
        <w:jc w:val="both"/>
        <w:divId w:val="384565776"/>
        <w:rPr>
          <w:rFonts w:eastAsia="Times New Roman"/>
        </w:rPr>
      </w:pPr>
      <w:r>
        <w:rPr>
          <w:rFonts w:eastAsia="Times New Roman"/>
          <w:i/>
          <w:iCs/>
          <w:color w:val="000000"/>
          <w:sz w:val="20"/>
          <w:szCs w:val="20"/>
        </w:rPr>
        <w:t>Accounts Payable and Other Payables and Accrued Expenses</w:t>
      </w:r>
    </w:p>
    <w:p w:rsidR="00000000" w:rsidRDefault="0039134F">
      <w:pPr>
        <w:jc w:val="both"/>
        <w:divId w:val="495923944"/>
        <w:rPr>
          <w:rFonts w:eastAsia="Times New Roman"/>
        </w:rPr>
      </w:pPr>
      <w:r>
        <w:rPr>
          <w:rFonts w:eastAsia="Times New Roman"/>
          <w:color w:val="000000"/>
          <w:sz w:val="20"/>
          <w:szCs w:val="20"/>
        </w:rPr>
        <w:t>The carrying amounts of accounts payable and ot</w:t>
      </w:r>
      <w:r>
        <w:rPr>
          <w:rFonts w:eastAsia="Times New Roman"/>
          <w:color w:val="000000"/>
          <w:sz w:val="20"/>
          <w:szCs w:val="20"/>
        </w:rPr>
        <w:t>her payables and accrued expenses approximate fair value due to the short-term nature of those items.</w:t>
      </w:r>
    </w:p>
    <w:p w:rsidR="00000000" w:rsidRDefault="0039134F">
      <w:pPr>
        <w:jc w:val="both"/>
        <w:divId w:val="2013947228"/>
        <w:rPr>
          <w:rFonts w:eastAsia="Times New Roman"/>
        </w:rPr>
      </w:pPr>
      <w:r>
        <w:rPr>
          <w:rFonts w:eastAsia="Times New Roman"/>
          <w:i/>
          <w:iCs/>
          <w:color w:val="000000"/>
          <w:sz w:val="20"/>
          <w:szCs w:val="20"/>
        </w:rPr>
        <w:t>Tangible Long-lived and Right of Use (“ROU”) Store Assets</w:t>
      </w:r>
    </w:p>
    <w:p w:rsidR="00000000" w:rsidRDefault="0039134F">
      <w:pPr>
        <w:jc w:val="both"/>
        <w:divId w:val="803735766"/>
        <w:rPr>
          <w:rFonts w:eastAsia="Times New Roman"/>
        </w:rPr>
      </w:pPr>
      <w:r>
        <w:rPr>
          <w:rFonts w:eastAsia="Times New Roman"/>
          <w:color w:val="000000"/>
          <w:sz w:val="20"/>
          <w:szCs w:val="20"/>
        </w:rPr>
        <w:t>The non-recurring fair value measurements associated with these tangible long-lived and ROU stor</w:t>
      </w:r>
      <w:r>
        <w:rPr>
          <w:rFonts w:eastAsia="Times New Roman"/>
          <w:color w:val="000000"/>
          <w:sz w:val="20"/>
          <w:szCs w:val="20"/>
        </w:rPr>
        <w:t>e assets are classified as Level 3 measurements in the fair value hierarchy. Refer to Note 1. “Description of Business and Basis of Presentation”.</w:t>
      </w:r>
    </w:p>
    <w:p w:rsidR="00000000" w:rsidRDefault="0039134F">
      <w:pPr>
        <w:jc w:val="both"/>
        <w:divId w:val="213808508"/>
        <w:rPr>
          <w:rFonts w:eastAsia="Times New Roman"/>
        </w:rPr>
      </w:pPr>
      <w:r>
        <w:rPr>
          <w:rFonts w:eastAsia="Times New Roman"/>
          <w:i/>
          <w:iCs/>
          <w:color w:val="000000"/>
          <w:sz w:val="20"/>
          <w:szCs w:val="20"/>
        </w:rPr>
        <w:t>Long-term Debt - Term Loan and Revolving Credit Facility</w:t>
      </w:r>
    </w:p>
    <w:p w:rsidR="00000000" w:rsidRDefault="0039134F">
      <w:pPr>
        <w:jc w:val="both"/>
        <w:divId w:val="1078402454"/>
        <w:rPr>
          <w:rFonts w:eastAsia="Times New Roman"/>
        </w:rPr>
      </w:pPr>
      <w:r>
        <w:rPr>
          <w:rFonts w:eastAsia="Times New Roman"/>
          <w:color w:val="000000"/>
          <w:sz w:val="20"/>
          <w:szCs w:val="20"/>
        </w:rPr>
        <w:t>Since the borrowings under our term loan and revolvi</w:t>
      </w:r>
      <w:r>
        <w:rPr>
          <w:rFonts w:eastAsia="Times New Roman"/>
          <w:color w:val="000000"/>
          <w:sz w:val="20"/>
          <w:szCs w:val="20"/>
        </w:rPr>
        <w:t xml:space="preserve">ng credit facility utilize variable interest rate setting mechanisms such as LIBOR, the fair values of these borrowings are deemed to approximate the carrying values. We also considered the effect of our own credit risk on the fair values of our term loan </w:t>
      </w:r>
      <w:r>
        <w:rPr>
          <w:rFonts w:eastAsia="Times New Roman"/>
          <w:color w:val="000000"/>
          <w:sz w:val="20"/>
          <w:szCs w:val="20"/>
        </w:rPr>
        <w:t>and revolving credit facility. Refer to Note 4. “Long-term Debt”.</w:t>
      </w:r>
    </w:p>
    <w:p w:rsidR="00000000" w:rsidRDefault="0039134F">
      <w:pPr>
        <w:jc w:val="both"/>
        <w:divId w:val="198518492"/>
        <w:rPr>
          <w:rFonts w:eastAsia="Times New Roman"/>
        </w:rPr>
      </w:pPr>
      <w:r>
        <w:rPr>
          <w:rFonts w:eastAsia="Times New Roman"/>
          <w:i/>
          <w:iCs/>
          <w:color w:val="000000"/>
          <w:sz w:val="20"/>
          <w:szCs w:val="20"/>
        </w:rPr>
        <w:t>Long-term Debt - 2025 Notes</w:t>
      </w:r>
    </w:p>
    <w:p w:rsidR="00000000" w:rsidRDefault="0039134F">
      <w:pPr>
        <w:jc w:val="both"/>
        <w:divId w:val="1788691743"/>
        <w:rPr>
          <w:rFonts w:eastAsia="Times New Roman"/>
        </w:rPr>
      </w:pPr>
      <w:r>
        <w:rPr>
          <w:rFonts w:eastAsia="Times New Roman"/>
          <w:color w:val="000000"/>
          <w:sz w:val="20"/>
          <w:szCs w:val="20"/>
        </w:rPr>
        <w:t>The Company has $402.5 million in aggregate principal amount of 2.50% convertible senior notes due on May 15, 2025 (the “2025 Notes”) issued and outstanding as of</w:t>
      </w:r>
      <w:r>
        <w:rPr>
          <w:rFonts w:eastAsia="Times New Roman"/>
          <w:color w:val="000000"/>
          <w:sz w:val="20"/>
          <w:szCs w:val="20"/>
        </w:rPr>
        <w:t xml:space="preserve"> September 26, 2020. The estimated fair value of the 2025 Notes was approximately $560.9 million as of September 26, 2020. The estimated fair value of the 2025 Notes is based on the prices the 2025 Notes have traded in the market as of September 26, 2020, </w:t>
      </w:r>
      <w:r>
        <w:rPr>
          <w:rFonts w:eastAsia="Times New Roman"/>
          <w:color w:val="000000"/>
          <w:sz w:val="20"/>
          <w:szCs w:val="20"/>
        </w:rPr>
        <w:t>as well as overall market conditions on the date of valuation, stated coupon rates, the number of coupon payments each year and the maturity dates, and represents a Level 2 measurement. Refer to Note 4. “Long-term Debt” for more information on the 2025 Not</w:t>
      </w:r>
      <w:r>
        <w:rPr>
          <w:rFonts w:eastAsia="Times New Roman"/>
          <w:color w:val="000000"/>
          <w:sz w:val="20"/>
          <w:szCs w:val="20"/>
        </w:rPr>
        <w:t>es.</w:t>
      </w:r>
    </w:p>
    <w:p w:rsidR="00000000" w:rsidRDefault="0039134F">
      <w:pPr>
        <w:jc w:val="both"/>
        <w:divId w:val="1200164072"/>
        <w:rPr>
          <w:rFonts w:eastAsia="Times New Roman"/>
        </w:rPr>
      </w:pPr>
      <w:r>
        <w:rPr>
          <w:rFonts w:eastAsia="Times New Roman"/>
          <w:i/>
          <w:iCs/>
          <w:color w:val="000000"/>
          <w:sz w:val="20"/>
          <w:szCs w:val="20"/>
        </w:rPr>
        <w:t>Finance Lease Obligations</w:t>
      </w:r>
    </w:p>
    <w:p w:rsidR="00000000" w:rsidRDefault="0039134F">
      <w:pPr>
        <w:jc w:val="both"/>
        <w:divId w:val="677200541"/>
        <w:rPr>
          <w:rFonts w:eastAsia="Times New Roman"/>
        </w:rPr>
      </w:pPr>
      <w:r>
        <w:rPr>
          <w:rFonts w:eastAsia="Times New Roman"/>
          <w:color w:val="000000"/>
          <w:sz w:val="20"/>
          <w:szCs w:val="20"/>
        </w:rPr>
        <w:t xml:space="preserve">The fair value of finance lease obligations is based on estimated future contractual cash flows discounted at an appropriate market rate of interest (Level 2 inputs). The estimated fair values of our finance leases were $35.6 </w:t>
      </w:r>
      <w:r>
        <w:rPr>
          <w:rFonts w:eastAsia="Times New Roman"/>
          <w:color w:val="000000"/>
          <w:sz w:val="20"/>
          <w:szCs w:val="20"/>
        </w:rPr>
        <w:t>million and $38.2 million as of September 26, 2020 and December 28, 2019, respectively, compared to carrying values of $31.6 million and $33.3 million, respectively.</w:t>
      </w:r>
    </w:p>
    <w:p w:rsidR="00000000" w:rsidRDefault="0039134F">
      <w:pPr>
        <w:jc w:val="both"/>
        <w:divId w:val="324239347"/>
        <w:rPr>
          <w:rFonts w:eastAsia="Times New Roman"/>
        </w:rPr>
      </w:pPr>
      <w:r>
        <w:rPr>
          <w:rFonts w:eastAsia="Times New Roman"/>
          <w:i/>
          <w:iCs/>
          <w:color w:val="000000"/>
          <w:sz w:val="20"/>
          <w:szCs w:val="20"/>
        </w:rPr>
        <w:t>Interest Rate Derivatives</w:t>
      </w:r>
    </w:p>
    <w:p w:rsidR="00000000" w:rsidRDefault="0039134F">
      <w:pPr>
        <w:jc w:val="both"/>
        <w:divId w:val="693919269"/>
        <w:rPr>
          <w:rFonts w:eastAsia="Times New Roman"/>
        </w:rPr>
      </w:pPr>
      <w:r>
        <w:rPr>
          <w:rFonts w:eastAsia="Times New Roman"/>
          <w:color w:val="000000"/>
          <w:sz w:val="20"/>
          <w:szCs w:val="20"/>
        </w:rPr>
        <w:t>We recognize as assets or liabilities at fair value the estimate</w:t>
      </w:r>
      <w:r>
        <w:rPr>
          <w:rFonts w:eastAsia="Times New Roman"/>
          <w:color w:val="000000"/>
          <w:sz w:val="20"/>
          <w:szCs w:val="20"/>
        </w:rPr>
        <w:t>d amounts we would receive or pay upon a termination of interest rate derivatives prior to their scheduled expiration dates. Fair value is based on information that is model-driven and whose inputs are observable (Level 2 inputs). Refer to Note 5. “Interes</w:t>
      </w:r>
      <w:r>
        <w:rPr>
          <w:rFonts w:eastAsia="Times New Roman"/>
          <w:color w:val="000000"/>
          <w:sz w:val="20"/>
          <w:szCs w:val="20"/>
        </w:rPr>
        <w:t>t Rate Derivatives” for more information.</w:t>
      </w:r>
    </w:p>
    <w:p w:rsidR="00000000" w:rsidRDefault="0039134F">
      <w:pPr>
        <w:jc w:val="both"/>
        <w:rPr>
          <w:rFonts w:eastAsia="Times New Roman"/>
        </w:rPr>
      </w:pPr>
    </w:p>
    <w:p w:rsidR="00000000" w:rsidRDefault="0039134F">
      <w:pPr>
        <w:jc w:val="center"/>
        <w:divId w:val="1537504713"/>
        <w:rPr>
          <w:rFonts w:eastAsia="Times New Roman"/>
        </w:rPr>
      </w:pPr>
      <w:r>
        <w:rPr>
          <w:rFonts w:eastAsia="Times New Roman"/>
          <w:color w:val="000000"/>
          <w:sz w:val="20"/>
          <w:szCs w:val="20"/>
        </w:rPr>
        <w:t>15</w:t>
      </w:r>
    </w:p>
    <w:p w:rsidR="00000000" w:rsidRDefault="0039134F">
      <w:pPr>
        <w:rPr>
          <w:rFonts w:eastAsia="Times New Roman"/>
        </w:rPr>
      </w:pPr>
      <w:r>
        <w:rPr>
          <w:rFonts w:eastAsia="Times New Roman"/>
        </w:rPr>
        <w:pict>
          <v:rect id="_x0000_i1039" style="width:0;height:1.5pt" o:hralign="center" o:hrstd="t" o:hr="t" fillcolor="#a0a0a0" stroked="f"/>
        </w:pict>
      </w:r>
    </w:p>
    <w:p w:rsidR="00000000" w:rsidRDefault="0039134F">
      <w:pPr>
        <w:divId w:val="1396900090"/>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rPr>
          <w:rFonts w:eastAsia="Times New Roman"/>
        </w:rPr>
      </w:pPr>
      <w:r>
        <w:rPr>
          <w:rFonts w:eastAsia="Times New Roman"/>
          <w:b/>
          <w:bCs/>
          <w:color w:val="000000"/>
          <w:sz w:val="20"/>
          <w:szCs w:val="20"/>
        </w:rPr>
        <w:t>4. Long-term Debt</w:t>
      </w:r>
    </w:p>
    <w:p w:rsidR="00000000" w:rsidRDefault="0039134F">
      <w:pPr>
        <w:jc w:val="both"/>
        <w:rPr>
          <w:rFonts w:eastAsia="Times New Roman"/>
        </w:rPr>
      </w:pPr>
    </w:p>
    <w:p w:rsidR="00000000" w:rsidRDefault="0039134F">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1"/>
        <w:gridCol w:w="1462"/>
        <w:gridCol w:w="36"/>
        <w:gridCol w:w="36"/>
        <w:gridCol w:w="36"/>
        <w:gridCol w:w="36"/>
        <w:gridCol w:w="121"/>
        <w:gridCol w:w="1434"/>
        <w:gridCol w:w="36"/>
      </w:tblGrid>
      <w:tr w:rsidR="00000000">
        <w:trPr>
          <w:divId w:val="1743327462"/>
          <w:jc w:val="center"/>
        </w:trPr>
        <w:tc>
          <w:tcPr>
            <w:tcW w:w="50" w:type="pct"/>
            <w:vAlign w:val="center"/>
            <w:hideMark/>
          </w:tcPr>
          <w:p w:rsidR="00000000" w:rsidRDefault="0039134F">
            <w:pPr>
              <w:jc w:val="both"/>
              <w:rPr>
                <w:rFonts w:eastAsia="Times New Roman"/>
              </w:rPr>
            </w:pPr>
          </w:p>
        </w:tc>
        <w:tc>
          <w:tcPr>
            <w:tcW w:w="298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743327462"/>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1743327462"/>
          <w:jc w:val="center"/>
        </w:trPr>
        <w:tc>
          <w:tcPr>
            <w:tcW w:w="0" w:type="auto"/>
            <w:gridSpan w:val="3"/>
            <w:vAlign w:val="center"/>
            <w:hideMark/>
          </w:tcPr>
          <w:p w:rsidR="00000000" w:rsidRDefault="0039134F">
            <w:pPr>
              <w:jc w:val="cente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317,375 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392,375 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Revolving credit facility, due July 18, 2024</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148,000 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719,875 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540,375 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Unamortized discount and issuance costs - 2025 Notes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(97,507)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Unamortized discount and issuance costs - term loan</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(2,303)</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(3,979)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Long-term debt less debt discount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620,065 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536,396 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(10,500)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Long-term debt - non-current portion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620,065 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525,896 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31,610 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33,296 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(3,537)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(3,259)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743327462"/>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648,138 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555,933 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both"/>
        <w:divId w:val="1540774641"/>
        <w:rPr>
          <w:rFonts w:eastAsia="Times New Roman"/>
        </w:rPr>
      </w:pPr>
      <w:r>
        <w:rPr>
          <w:rFonts w:eastAsia="Times New Roman"/>
          <w:i/>
          <w:iCs/>
          <w:color w:val="000000"/>
          <w:sz w:val="20"/>
          <w:szCs w:val="20"/>
        </w:rPr>
        <w:t>2025 Notes</w:t>
      </w:r>
    </w:p>
    <w:p w:rsidR="00000000" w:rsidRDefault="0039134F">
      <w:pPr>
        <w:jc w:val="both"/>
        <w:divId w:val="1779640273"/>
        <w:rPr>
          <w:rFonts w:eastAsia="Times New Roman"/>
        </w:rPr>
      </w:pPr>
      <w:r>
        <w:rPr>
          <w:rFonts w:eastAsia="Times New Roman"/>
          <w:color w:val="000000"/>
          <w:sz w:val="20"/>
          <w:szCs w:val="20"/>
        </w:rPr>
        <w:t>In May 2020, we completed the issuance of the 2025 Notes, pursuant to an indenture (the “Indenture”), dated as of May 12, 2020, between the Company and U.S. Bank National Association, as trustee (the “Trustee”). The 2025 Notes were sold only to persons rea</w:t>
      </w:r>
      <w:r>
        <w:rPr>
          <w:rFonts w:eastAsia="Times New Roman"/>
          <w:color w:val="000000"/>
          <w:sz w:val="20"/>
          <w:szCs w:val="20"/>
        </w:rPr>
        <w:t>sonably believed to be qualified institutional buyers in reliance on Rule 144A under the Securities Act of 1933, as amended (the “Securities Act”). The 2025 Notes will pay interest semi-annually in arrears on May 15 and November 15 of each year, commencing</w:t>
      </w:r>
      <w:r>
        <w:rPr>
          <w:rFonts w:eastAsia="Times New Roman"/>
          <w:color w:val="000000"/>
          <w:sz w:val="20"/>
          <w:szCs w:val="20"/>
        </w:rPr>
        <w:t xml:space="preserve"> on November 15, 2020, at an annual rate of 2.50% and will be convertible into cash, shares of common stock or a combination of cash and shares of common stock, at our election, based on the applicable conversion rate at such time. </w:t>
      </w:r>
    </w:p>
    <w:p w:rsidR="00000000" w:rsidRDefault="0039134F">
      <w:pPr>
        <w:jc w:val="both"/>
        <w:divId w:val="243876039"/>
        <w:rPr>
          <w:rFonts w:eastAsia="Times New Roman"/>
        </w:rPr>
      </w:pPr>
      <w:r>
        <w:rPr>
          <w:rFonts w:eastAsia="Times New Roman"/>
          <w:color w:val="000000"/>
          <w:sz w:val="20"/>
          <w:szCs w:val="20"/>
          <w:shd w:val="clear" w:color="auto" w:fill="FFFFFF"/>
        </w:rPr>
        <w:t>We received proce</w:t>
      </w:r>
      <w:r>
        <w:rPr>
          <w:rFonts w:eastAsia="Times New Roman"/>
          <w:color w:val="000000"/>
          <w:sz w:val="20"/>
          <w:szCs w:val="20"/>
        </w:rPr>
        <w:t>eds fr</w:t>
      </w:r>
      <w:r>
        <w:rPr>
          <w:rFonts w:eastAsia="Times New Roman"/>
          <w:color w:val="000000"/>
          <w:sz w:val="20"/>
          <w:szCs w:val="20"/>
        </w:rPr>
        <w:t>om the offering of $390.9 million, net of $11.6 million in underwriter fees and other issuance costs. We used $294.3 million of the net proceeds from the offering to repay all outstanding amounts of the revolving credit facility and $75.0 million to partia</w:t>
      </w:r>
      <w:r>
        <w:rPr>
          <w:rFonts w:eastAsia="Times New Roman"/>
          <w:color w:val="000000"/>
          <w:sz w:val="20"/>
          <w:szCs w:val="20"/>
        </w:rPr>
        <w:t xml:space="preserve">lly repay the term loan. We intend to use the remainder of the net proceeds for general corporate purposes. </w:t>
      </w:r>
    </w:p>
    <w:p w:rsidR="00000000" w:rsidRDefault="0039134F">
      <w:pPr>
        <w:jc w:val="both"/>
        <w:divId w:val="831871903"/>
        <w:rPr>
          <w:rFonts w:eastAsia="Times New Roman"/>
        </w:rPr>
      </w:pPr>
      <w:r>
        <w:rPr>
          <w:rFonts w:eastAsia="Times New Roman"/>
          <w:color w:val="000000"/>
          <w:sz w:val="20"/>
          <w:szCs w:val="20"/>
        </w:rPr>
        <w:t>Prior to February 15, 2025, the 2025 Notes will be convertible at the option of the holder only under the following circumstances:</w:t>
      </w:r>
    </w:p>
    <w:p w:rsidR="00000000" w:rsidRDefault="0039134F">
      <w:pPr>
        <w:jc w:val="both"/>
        <w:divId w:val="200362115"/>
        <w:rPr>
          <w:rFonts w:eastAsia="Times New Roman"/>
        </w:rPr>
      </w:pPr>
      <w:r>
        <w:rPr>
          <w:rFonts w:eastAsia="Times New Roman"/>
          <w:color w:val="000000"/>
          <w:sz w:val="20"/>
          <w:szCs w:val="20"/>
        </w:rPr>
        <w:t>(i) during any c</w:t>
      </w:r>
      <w:r>
        <w:rPr>
          <w:rFonts w:eastAsia="Times New Roman"/>
          <w:color w:val="000000"/>
          <w:sz w:val="20"/>
          <w:szCs w:val="20"/>
        </w:rPr>
        <w:t>alendar quarter commencing after the calendar quarter ending on September 30, 2020 (and only during such calendar quarter), if the Last Reported Sale Price (as defined in the Indenture) per share of the Company’s common stock exceeds 130% of the Conversion</w:t>
      </w:r>
      <w:r>
        <w:rPr>
          <w:rFonts w:eastAsia="Times New Roman"/>
          <w:color w:val="000000"/>
          <w:sz w:val="20"/>
          <w:szCs w:val="20"/>
        </w:rPr>
        <w:t xml:space="preserve"> Price (as defined in the Indenture) for each of at least 20 Trading Days (as defined in the Indenture), whether or not consecutive, during the 30 consecutive Trading Days ending on, and including, the last Trading Day of the immediately preceding calendar</w:t>
      </w:r>
      <w:r>
        <w:rPr>
          <w:rFonts w:eastAsia="Times New Roman"/>
          <w:color w:val="000000"/>
          <w:sz w:val="20"/>
          <w:szCs w:val="20"/>
        </w:rPr>
        <w:t xml:space="preserve"> quarter; </w:t>
      </w:r>
    </w:p>
    <w:p w:rsidR="00000000" w:rsidRDefault="0039134F">
      <w:pPr>
        <w:jc w:val="both"/>
        <w:divId w:val="2043630011"/>
        <w:rPr>
          <w:rFonts w:eastAsia="Times New Roman"/>
        </w:rPr>
      </w:pPr>
      <w:r>
        <w:rPr>
          <w:rFonts w:eastAsia="Times New Roman"/>
          <w:color w:val="000000"/>
          <w:sz w:val="20"/>
          <w:szCs w:val="20"/>
        </w:rPr>
        <w:t>(ii) during the five consecutive business days immediately after any ten consecutive Trading Day period (such ten consecutive trading day period, the “measurement period”) in which the Trading Price (as defined in the Indenture) per $1,000 princ</w:t>
      </w:r>
      <w:r>
        <w:rPr>
          <w:rFonts w:eastAsia="Times New Roman"/>
          <w:color w:val="000000"/>
          <w:sz w:val="20"/>
          <w:szCs w:val="20"/>
        </w:rPr>
        <w:t>ipal amount of the 2025 Notes for each Trading Day of the measurement period was less than 98% of the product of the Last Reported Sale Price per share of the Company’s common stock on such Trading Day and the conversion rate (as described below) on such T</w:t>
      </w:r>
      <w:r>
        <w:rPr>
          <w:rFonts w:eastAsia="Times New Roman"/>
          <w:color w:val="000000"/>
          <w:sz w:val="20"/>
          <w:szCs w:val="20"/>
        </w:rPr>
        <w:t xml:space="preserve">rading Day; </w:t>
      </w:r>
    </w:p>
    <w:p w:rsidR="00000000" w:rsidRDefault="0039134F">
      <w:pPr>
        <w:jc w:val="both"/>
        <w:divId w:val="297802635"/>
        <w:rPr>
          <w:rFonts w:eastAsia="Times New Roman"/>
        </w:rPr>
      </w:pPr>
      <w:r>
        <w:rPr>
          <w:rFonts w:eastAsia="Times New Roman"/>
          <w:color w:val="000000"/>
          <w:sz w:val="20"/>
          <w:szCs w:val="20"/>
        </w:rPr>
        <w:t xml:space="preserve">(iii) upon the occurrence of certain corporate events or distributions on the Company’s common stock, as described in the Indenture; or </w:t>
      </w:r>
    </w:p>
    <w:p w:rsidR="00000000" w:rsidRDefault="0039134F">
      <w:pPr>
        <w:jc w:val="both"/>
        <w:divId w:val="1136293424"/>
        <w:rPr>
          <w:rFonts w:eastAsia="Times New Roman"/>
        </w:rPr>
      </w:pPr>
      <w:r>
        <w:rPr>
          <w:rFonts w:eastAsia="Times New Roman"/>
          <w:color w:val="000000"/>
          <w:sz w:val="20"/>
          <w:szCs w:val="20"/>
        </w:rPr>
        <w:t>(iv) if the Company calls such Notes for redemption.</w:t>
      </w:r>
    </w:p>
    <w:p w:rsidR="00000000" w:rsidRDefault="0039134F">
      <w:pPr>
        <w:jc w:val="both"/>
        <w:divId w:val="743647312"/>
        <w:rPr>
          <w:rFonts w:eastAsia="Times New Roman"/>
        </w:rPr>
      </w:pPr>
      <w:r>
        <w:rPr>
          <w:rFonts w:eastAsia="Times New Roman"/>
          <w:color w:val="000000"/>
          <w:sz w:val="20"/>
          <w:szCs w:val="20"/>
        </w:rPr>
        <w:t>On or after February 15, 2025 until 5:00 p.m., New Yo</w:t>
      </w:r>
      <w:r>
        <w:rPr>
          <w:rFonts w:eastAsia="Times New Roman"/>
          <w:color w:val="000000"/>
          <w:sz w:val="20"/>
          <w:szCs w:val="20"/>
        </w:rPr>
        <w:t>rk City time, on the second Scheduled Trading Day (as defined in the Indenture) immediately before the maturity date, the 2025 Notes will be convertible at the option of the holder at any time.</w:t>
      </w:r>
    </w:p>
    <w:p w:rsidR="00000000" w:rsidRDefault="0039134F">
      <w:pPr>
        <w:jc w:val="center"/>
        <w:divId w:val="156380609"/>
        <w:rPr>
          <w:rFonts w:eastAsia="Times New Roman"/>
        </w:rPr>
      </w:pPr>
      <w:r>
        <w:rPr>
          <w:rFonts w:eastAsia="Times New Roman"/>
          <w:color w:val="000000"/>
          <w:sz w:val="20"/>
          <w:szCs w:val="20"/>
        </w:rPr>
        <w:t>16</w:t>
      </w:r>
    </w:p>
    <w:p w:rsidR="00000000" w:rsidRDefault="0039134F">
      <w:pPr>
        <w:rPr>
          <w:rFonts w:eastAsia="Times New Roman"/>
        </w:rPr>
      </w:pPr>
      <w:r>
        <w:rPr>
          <w:rFonts w:eastAsia="Times New Roman"/>
        </w:rPr>
        <w:pict>
          <v:rect id="_x0000_i1040" style="width:0;height:1.5pt" o:hralign="center" o:hrstd="t" o:hr="t" fillcolor="#a0a0a0" stroked="f"/>
        </w:pict>
      </w:r>
    </w:p>
    <w:p w:rsidR="00000000" w:rsidRDefault="0039134F">
      <w:pPr>
        <w:divId w:val="972489153"/>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905220385"/>
        <w:rPr>
          <w:rFonts w:eastAsia="Times New Roman"/>
        </w:rPr>
      </w:pPr>
      <w:r>
        <w:rPr>
          <w:rFonts w:eastAsia="Times New Roman"/>
          <w:color w:val="000000"/>
          <w:sz w:val="20"/>
          <w:szCs w:val="20"/>
        </w:rPr>
        <w:t>The 2025 Notes will initially be convertible at a conversion rate of 32.0783 shares of common stock per $1,000 principal amount of 2025 Notes, which is equivalent to an initial conversion price of appro</w:t>
      </w:r>
      <w:r>
        <w:rPr>
          <w:rFonts w:eastAsia="Times New Roman"/>
          <w:color w:val="000000"/>
          <w:sz w:val="20"/>
          <w:szCs w:val="20"/>
        </w:rPr>
        <w:t>ximately $31.17 per share of common stock. The conversion rate is subject to adjustment upon certain events. The Company can choose to settle upon conversion in cash, shares or a combination. Based on the initial conversion rate, the 2025 Notes are convert</w:t>
      </w:r>
      <w:r>
        <w:rPr>
          <w:rFonts w:eastAsia="Times New Roman"/>
          <w:color w:val="000000"/>
          <w:sz w:val="20"/>
          <w:szCs w:val="20"/>
        </w:rPr>
        <w:t xml:space="preserve">ible into 12.9 million shares of our common stock and we reserved for the possible issuance of 16.5 million shares, which is the maximum amount that could be issued upon conversion. As of September 26, 2020, the “if-converted value” exceeded the principal </w:t>
      </w:r>
      <w:r>
        <w:rPr>
          <w:rFonts w:eastAsia="Times New Roman"/>
          <w:color w:val="000000"/>
          <w:sz w:val="20"/>
          <w:szCs w:val="20"/>
        </w:rPr>
        <w:t>amount of the 2025 Notes by $73.3 million. See Note 12. “Earnings Per Share” for the treatment of earnings per share in relation to the 2025 Notes.</w:t>
      </w:r>
    </w:p>
    <w:p w:rsidR="00000000" w:rsidRDefault="0039134F">
      <w:pPr>
        <w:jc w:val="both"/>
        <w:divId w:val="410128925"/>
        <w:rPr>
          <w:rFonts w:eastAsia="Times New Roman"/>
        </w:rPr>
      </w:pPr>
      <w:r>
        <w:rPr>
          <w:rFonts w:eastAsia="Times New Roman"/>
          <w:color w:val="000000"/>
          <w:sz w:val="20"/>
          <w:szCs w:val="20"/>
          <w:shd w:val="clear" w:color="auto" w:fill="FFFFFF"/>
        </w:rPr>
        <w:t>In accordance with accounting guidanc</w:t>
      </w:r>
      <w:r>
        <w:rPr>
          <w:rFonts w:eastAsia="Times New Roman"/>
          <w:color w:val="000000"/>
          <w:sz w:val="20"/>
          <w:szCs w:val="20"/>
        </w:rPr>
        <w:t>e on embedded conversion features</w:t>
      </w:r>
      <w:r>
        <w:rPr>
          <w:rFonts w:eastAsia="Times New Roman"/>
          <w:color w:val="000000"/>
          <w:sz w:val="20"/>
          <w:szCs w:val="20"/>
          <w:shd w:val="clear" w:color="auto" w:fill="FFFFFF"/>
        </w:rPr>
        <w:t xml:space="preserve"> indexed to and settled in equity, t</w:t>
      </w:r>
      <w:r>
        <w:rPr>
          <w:rFonts w:eastAsia="Times New Roman"/>
          <w:color w:val="000000"/>
          <w:sz w:val="20"/>
          <w:szCs w:val="20"/>
        </w:rPr>
        <w:t>he</w:t>
      </w:r>
      <w:r>
        <w:rPr>
          <w:rFonts w:eastAsia="Times New Roman"/>
          <w:color w:val="000000"/>
          <w:sz w:val="20"/>
          <w:szCs w:val="20"/>
        </w:rPr>
        <w:t xml:space="preserve"> Company valued and bifurcated the conversion option associated with the 2025 Notes from the respective host debt instrument, which is referred to as debt discount, and initially recorded the post-tax conversion option of $73.5 million ($95.2 million pre-t</w:t>
      </w:r>
      <w:r>
        <w:rPr>
          <w:rFonts w:eastAsia="Times New Roman"/>
          <w:color w:val="000000"/>
          <w:sz w:val="20"/>
          <w:szCs w:val="20"/>
        </w:rPr>
        <w:t>ax) for the 2025 Notes in stockholders’ equity. The resulting debt discount on the 2025 Notes is amortized to interest expense using the effective interest rate method over the contractual term of the 2025 Notes. The Company allocated post-tax debt issuanc</w:t>
      </w:r>
      <w:r>
        <w:rPr>
          <w:rFonts w:eastAsia="Times New Roman"/>
          <w:color w:val="000000"/>
          <w:sz w:val="20"/>
          <w:szCs w:val="20"/>
        </w:rPr>
        <w:t>e costs of $2.2 million ($2.7 million pre-tax) to the equity component and the remaining debt issuance costs of $8.9 million are amortized to interest expense under the effective interest rate method at 9.09% over the contractual term of the 2025 Notes. We</w:t>
      </w:r>
      <w:r>
        <w:rPr>
          <w:rFonts w:eastAsia="Times New Roman"/>
          <w:color w:val="000000"/>
          <w:sz w:val="20"/>
          <w:szCs w:val="20"/>
        </w:rPr>
        <w:t xml:space="preserve"> recognized $6.8 million and $10.4 million in interest expense for the interest coupon and amortization of debt discount and issuance costs during the three and nine months ended September 26, 2020, respectively. As of September 26, 2020, the remaining per</w:t>
      </w:r>
      <w:r>
        <w:rPr>
          <w:rFonts w:eastAsia="Times New Roman"/>
          <w:color w:val="000000"/>
          <w:sz w:val="20"/>
          <w:szCs w:val="20"/>
        </w:rPr>
        <w:t>iod for the unamortized debt discount balance was approximately five years.</w:t>
      </w:r>
    </w:p>
    <w:p w:rsidR="00000000" w:rsidRDefault="0039134F">
      <w:pPr>
        <w:jc w:val="both"/>
        <w:divId w:val="1723868811"/>
        <w:rPr>
          <w:rFonts w:eastAsia="Times New Roman"/>
        </w:rPr>
      </w:pPr>
      <w:r>
        <w:rPr>
          <w:rFonts w:eastAsia="Times New Roman"/>
          <w:i/>
          <w:iCs/>
          <w:color w:val="000000"/>
          <w:sz w:val="20"/>
          <w:szCs w:val="20"/>
        </w:rPr>
        <w:t>May 2020 Amendment to Credit Agreement</w:t>
      </w:r>
    </w:p>
    <w:p w:rsidR="00000000" w:rsidRDefault="0039134F">
      <w:pPr>
        <w:jc w:val="both"/>
        <w:divId w:val="886842385"/>
        <w:rPr>
          <w:rFonts w:eastAsia="Times New Roman"/>
        </w:rPr>
      </w:pPr>
      <w:r>
        <w:rPr>
          <w:rFonts w:eastAsia="Times New Roman"/>
          <w:color w:val="000000"/>
          <w:sz w:val="20"/>
          <w:szCs w:val="20"/>
        </w:rPr>
        <w:t>On March 17, 2020, as a precautionary measure to preserve financial flexibility during the COVID-19 pandemic, we borrowed the remaining $146.</w:t>
      </w:r>
      <w:r>
        <w:rPr>
          <w:rFonts w:eastAsia="Times New Roman"/>
          <w:color w:val="000000"/>
          <w:sz w:val="20"/>
          <w:szCs w:val="20"/>
        </w:rPr>
        <w:t>3 million in available funds under our revolving credit facility. On May 5, 2020, certain of the Company’s subsidiaries entered into an agreement (the “Credit Agreement Amendment”) with the lenders under their existing secured credit facility in order to a</w:t>
      </w:r>
      <w:r>
        <w:rPr>
          <w:rFonts w:eastAsia="Times New Roman"/>
          <w:color w:val="000000"/>
          <w:sz w:val="20"/>
          <w:szCs w:val="20"/>
        </w:rPr>
        <w:t>mend certain provisions of the Amended and Restated Credit Agreement, dated as of July 18, 2019 (as amended by the Credit Agreement Amendment, the “Credit Agreement”), by and among Nautilus Acquisition Holdings, Inc. (“Holdings”), National Vision, Inc. (“N</w:t>
      </w:r>
      <w:r>
        <w:rPr>
          <w:rFonts w:eastAsia="Times New Roman"/>
          <w:color w:val="000000"/>
          <w:sz w:val="20"/>
          <w:szCs w:val="20"/>
        </w:rPr>
        <w:t>VI”), the other subsidiaries of the Company party thereto, as guarantors, each lender party thereto and Bank of America, N.A., in its capacity as administrative agent and as collateral agent. Capitalized terms used but not defined herein shall have the mea</w:t>
      </w:r>
      <w:r>
        <w:rPr>
          <w:rFonts w:eastAsia="Times New Roman"/>
          <w:color w:val="000000"/>
          <w:sz w:val="20"/>
          <w:szCs w:val="20"/>
        </w:rPr>
        <w:t>nings assigned to such terms in the Credit Agreement and Amendment, as applicable.</w:t>
      </w:r>
    </w:p>
    <w:p w:rsidR="00000000" w:rsidRDefault="0039134F">
      <w:pPr>
        <w:jc w:val="both"/>
        <w:divId w:val="638221779"/>
        <w:rPr>
          <w:rFonts w:eastAsia="Times New Roman"/>
        </w:rPr>
      </w:pPr>
      <w:r>
        <w:rPr>
          <w:rFonts w:eastAsia="Times New Roman"/>
          <w:color w:val="000000"/>
          <w:sz w:val="20"/>
          <w:szCs w:val="20"/>
        </w:rPr>
        <w:t>This Credit Agreement Amendment is intended to prevent the effects of the COVID-19 pandemic, including the temporary closure of our stores, from creating uncertainty relativ</w:t>
      </w:r>
      <w:r>
        <w:rPr>
          <w:rFonts w:eastAsia="Times New Roman"/>
          <w:color w:val="000000"/>
          <w:sz w:val="20"/>
          <w:szCs w:val="20"/>
        </w:rPr>
        <w:t>e to our ability to comply with certain financial covenants and allow the Company to focus on prudent management of the business over the quarters ahead. As set forth in greater detail below, the Amendment suspends certain financial maintenance covenants c</w:t>
      </w:r>
      <w:r>
        <w:rPr>
          <w:rFonts w:eastAsia="Times New Roman"/>
          <w:color w:val="000000"/>
          <w:sz w:val="20"/>
          <w:szCs w:val="20"/>
        </w:rPr>
        <w:t>ontained in the Credit Agreement until testing at the end of the second fiscal quarter of 2021. Based on our current plans and management operational assumptions, we anticipate we will be in compliance with these amended covenants.</w:t>
      </w:r>
    </w:p>
    <w:p w:rsidR="00000000" w:rsidRDefault="0039134F">
      <w:pPr>
        <w:jc w:val="both"/>
        <w:divId w:val="878401065"/>
        <w:rPr>
          <w:rFonts w:eastAsia="Times New Roman"/>
        </w:rPr>
      </w:pPr>
      <w:r>
        <w:rPr>
          <w:rFonts w:eastAsia="Times New Roman"/>
          <w:color w:val="000000"/>
          <w:sz w:val="20"/>
          <w:szCs w:val="20"/>
        </w:rPr>
        <w:t>Pursuant to the Credit Agreement Amendment, the financial covenants relating to maintenance of a maximum Consolidated Total Debt to Consolidated EBITDA Ratio and a minimum Consolidated Interest Coverage Ratio are suspended until testing at the end of the s</w:t>
      </w:r>
      <w:r>
        <w:rPr>
          <w:rFonts w:eastAsia="Times New Roman"/>
          <w:color w:val="000000"/>
          <w:sz w:val="20"/>
          <w:szCs w:val="20"/>
        </w:rPr>
        <w:t>econd fiscal quarter of 2021. From and after such time, such covenants will be reinstated on a modified basis so that, subject to certain exceptions and limitations as described in the Credit Agreement Amendment, (i) with respect to the second and third fi</w:t>
      </w:r>
      <w:r>
        <w:rPr>
          <w:rFonts w:eastAsia="Times New Roman"/>
          <w:color w:val="000000"/>
          <w:sz w:val="20"/>
          <w:szCs w:val="20"/>
        </w:rPr>
        <w:t>scal quarters of 2021, the Consolidated Total Debt to Consolidated EBITDA Ratio shall not exceed 4.50 to 1.00 and, with respect to the fourth fiscal quarter of fiscal 2021 and thereafter, the Consolidated Total Debt to Consolidated EBITDA Ratio shall not e</w:t>
      </w:r>
      <w:r>
        <w:rPr>
          <w:rFonts w:eastAsia="Times New Roman"/>
          <w:color w:val="000000"/>
          <w:sz w:val="20"/>
          <w:szCs w:val="20"/>
        </w:rPr>
        <w:t>xceed 4.00 to 1.00, in each case with NVI being able to elect to annualize certain quarterly periods so that quarterly performance from fiscal 2020 is excluded and (ii) with respect to the second fiscal quarter of 2021 and thereafter, the Consolidated Inte</w:t>
      </w:r>
      <w:r>
        <w:rPr>
          <w:rFonts w:eastAsia="Times New Roman"/>
          <w:color w:val="000000"/>
          <w:sz w:val="20"/>
          <w:szCs w:val="20"/>
        </w:rPr>
        <w:t>rest Coverage Ratio shall not be less than 3.00 to 1.00. In lieu of such financial covenants, pursuant to the Credit Agreement Amendment NVI has agreed during the suspension period, (i) not to have Consolidated EBITDA for any six fiscal quarter period be l</w:t>
      </w:r>
      <w:r>
        <w:rPr>
          <w:rFonts w:eastAsia="Times New Roman"/>
          <w:color w:val="000000"/>
          <w:sz w:val="20"/>
          <w:szCs w:val="20"/>
        </w:rPr>
        <w:t>ess than $0, with the second fiscal quarter of 2020 permitted to be excluded in certain circumstances, and (ii) to have a minimum level of liquidity (defined as cash and cash equivalents plus the unused portion of the revolving credit facility) equal to th</w:t>
      </w:r>
      <w:r>
        <w:rPr>
          <w:rFonts w:eastAsia="Times New Roman"/>
          <w:color w:val="000000"/>
          <w:sz w:val="20"/>
          <w:szCs w:val="20"/>
        </w:rPr>
        <w:t>e lesser of (x) $100,000,000 and (y) $40,000,000 plus the amount of any net proceeds from capital markets financings during such period in excess of $75,000,000.</w:t>
      </w:r>
    </w:p>
    <w:p w:rsidR="00000000" w:rsidRDefault="0039134F">
      <w:pPr>
        <w:jc w:val="center"/>
        <w:divId w:val="125436758"/>
        <w:rPr>
          <w:rFonts w:eastAsia="Times New Roman"/>
        </w:rPr>
      </w:pPr>
      <w:r>
        <w:rPr>
          <w:rFonts w:eastAsia="Times New Roman"/>
          <w:color w:val="000000"/>
          <w:sz w:val="20"/>
          <w:szCs w:val="20"/>
        </w:rPr>
        <w:t>17</w:t>
      </w:r>
    </w:p>
    <w:p w:rsidR="00000000" w:rsidRDefault="0039134F">
      <w:pPr>
        <w:rPr>
          <w:rFonts w:eastAsia="Times New Roman"/>
        </w:rPr>
      </w:pPr>
      <w:r>
        <w:rPr>
          <w:rFonts w:eastAsia="Times New Roman"/>
        </w:rPr>
        <w:pict>
          <v:rect id="_x0000_i1041" style="width:0;height:1.5pt" o:hralign="center" o:hrstd="t" o:hr="t" fillcolor="#a0a0a0" stroked="f"/>
        </w:pict>
      </w:r>
    </w:p>
    <w:p w:rsidR="00000000" w:rsidRDefault="0039134F">
      <w:pPr>
        <w:divId w:val="977035513"/>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806700156"/>
        <w:rPr>
          <w:rFonts w:eastAsia="Times New Roman"/>
        </w:rPr>
      </w:pPr>
      <w:r>
        <w:rPr>
          <w:rFonts w:eastAsia="Times New Roman"/>
          <w:color w:val="000000"/>
          <w:sz w:val="20"/>
          <w:szCs w:val="20"/>
        </w:rPr>
        <w:t>In addition, the Credit Agreement was amended pursuant to the Credit Agreement Amendment to, among other things, (i) limit the flexibility of NVI and Holdings with respect to certain transactions during the covenant suspension period,</w:t>
      </w:r>
      <w:r>
        <w:rPr>
          <w:rFonts w:eastAsia="Times New Roman"/>
          <w:color w:val="000000"/>
          <w:sz w:val="20"/>
          <w:szCs w:val="20"/>
        </w:rPr>
        <w:t xml:space="preserve"> including the ability to declare or pay dividends, incur debt and make investments and dispositions, (ii) require prepayments of the term loans under certain circumstances during the covenant suspension period from the net proceeds from debt or equity cap</w:t>
      </w:r>
      <w:r>
        <w:rPr>
          <w:rFonts w:eastAsia="Times New Roman"/>
          <w:color w:val="000000"/>
          <w:sz w:val="20"/>
          <w:szCs w:val="20"/>
        </w:rPr>
        <w:t>ital markets transactions by the Company (with the amount of the term loans to be paid down equal to $75 million from the first $400 million of capital raised and 50% of any proceeds above such amount) and (iii) restrict NVI’s ability to borrow under the r</w:t>
      </w:r>
      <w:r>
        <w:rPr>
          <w:rFonts w:eastAsia="Times New Roman"/>
          <w:color w:val="000000"/>
          <w:sz w:val="20"/>
          <w:szCs w:val="20"/>
        </w:rPr>
        <w:t>evolving credit facility if unrestricted cash and cash equivalents exceeds $50 million (and, in the event of any such excess, to require a mandatory prepayment of such amount). Also pursuant to the Credit Agreement Amendment, the margins upon which interes</w:t>
      </w:r>
      <w:r>
        <w:rPr>
          <w:rFonts w:eastAsia="Times New Roman"/>
          <w:color w:val="000000"/>
          <w:sz w:val="20"/>
          <w:szCs w:val="20"/>
        </w:rPr>
        <w:t>t is calculated for the term loans were amended to a range of 1.75% to 2.75% (for LIBOR Loans) and 0.75% to 1.75% (for ABR Loans), in each case based on NVI’s Consolidated First Lien Secured Debt to Consolidated EBITDA Ratio at such time, with such margins</w:t>
      </w:r>
      <w:r>
        <w:rPr>
          <w:rFonts w:eastAsia="Times New Roman"/>
          <w:color w:val="000000"/>
          <w:sz w:val="20"/>
          <w:szCs w:val="20"/>
        </w:rPr>
        <w:t xml:space="preserve"> subject to an increase of 50 basis points in the event that either (i) the Company has not raised at least $135 million in additional proceeds from certain capital markets transactions within 30 days of the date of the Credit Agreement Amendment or (ii) C</w:t>
      </w:r>
      <w:r>
        <w:rPr>
          <w:rFonts w:eastAsia="Times New Roman"/>
          <w:color w:val="000000"/>
          <w:sz w:val="20"/>
          <w:szCs w:val="20"/>
        </w:rPr>
        <w:t>onsolidated EBITDA for the most recently ended four quarters is less than $0.</w:t>
      </w:r>
    </w:p>
    <w:p w:rsidR="00000000" w:rsidRDefault="0039134F">
      <w:pPr>
        <w:jc w:val="both"/>
        <w:divId w:val="718869571"/>
        <w:rPr>
          <w:rFonts w:eastAsia="Times New Roman"/>
        </w:rPr>
      </w:pPr>
      <w:r>
        <w:rPr>
          <w:rFonts w:eastAsia="Times New Roman"/>
          <w:color w:val="000000"/>
          <w:sz w:val="20"/>
          <w:szCs w:val="20"/>
        </w:rPr>
        <w:t>On May 12, 2020, we fully repaid the outstanding amount on our revolving credit facility of $294.3 million and partially repaid $75 million on the term loan. As a result of the r</w:t>
      </w:r>
      <w:r>
        <w:rPr>
          <w:rFonts w:eastAsia="Times New Roman"/>
          <w:color w:val="000000"/>
          <w:sz w:val="20"/>
          <w:szCs w:val="20"/>
        </w:rPr>
        <w:t>epayments made in 2020 and the $25.0 million principal prepayment in 2019, the Company has no additional mandatory principal payments on the term loan until maturity on July 18, 2024. As a result of the repayment of the outstanding balance on our revolving</w:t>
      </w:r>
      <w:r>
        <w:rPr>
          <w:rFonts w:eastAsia="Times New Roman"/>
          <w:color w:val="000000"/>
          <w:sz w:val="20"/>
          <w:szCs w:val="20"/>
        </w:rPr>
        <w:t xml:space="preserve"> credit facility, the Company reclassified a proportionate share of unamortized debt issuance costs to Other assets.</w:t>
      </w:r>
    </w:p>
    <w:p w:rsidR="00000000" w:rsidRDefault="0039134F">
      <w:pPr>
        <w:jc w:val="both"/>
        <w:divId w:val="1697076433"/>
        <w:rPr>
          <w:rFonts w:eastAsia="Times New Roman"/>
        </w:rPr>
      </w:pPr>
      <w:r>
        <w:rPr>
          <w:rFonts w:eastAsia="Times New Roman"/>
          <w:color w:val="000000"/>
          <w:sz w:val="20"/>
          <w:szCs w:val="20"/>
        </w:rPr>
        <w:t>We were in compliance with all covenants related to our long-term debt as of September 26, 2020.</w:t>
      </w:r>
    </w:p>
    <w:p w:rsidR="00000000" w:rsidRDefault="0039134F">
      <w:pPr>
        <w:jc w:val="both"/>
        <w:divId w:val="1819029480"/>
        <w:rPr>
          <w:rFonts w:eastAsia="Times New Roman"/>
        </w:rPr>
      </w:pPr>
      <w:r>
        <w:rPr>
          <w:rFonts w:eastAsia="Times New Roman"/>
          <w:color w:val="000000"/>
          <w:sz w:val="20"/>
          <w:szCs w:val="20"/>
        </w:rPr>
        <w:t>Scheduled annual maturities of debt are as</w:t>
      </w:r>
      <w:r>
        <w:rPr>
          <w:rFonts w:eastAsia="Times New Roman"/>
          <w:color w:val="000000"/>
          <w:sz w:val="20"/>
          <w:szCs w:val="20"/>
        </w:rPr>
        <w:t xml:space="preserve">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6515"/>
        <w:gridCol w:w="37"/>
        <w:gridCol w:w="36"/>
        <w:gridCol w:w="36"/>
        <w:gridCol w:w="36"/>
        <w:gridCol w:w="120"/>
        <w:gridCol w:w="1445"/>
        <w:gridCol w:w="36"/>
      </w:tblGrid>
      <w:tr w:rsidR="00000000">
        <w:trPr>
          <w:divId w:val="329187597"/>
          <w:jc w:val="center"/>
        </w:trPr>
        <w:tc>
          <w:tcPr>
            <w:tcW w:w="50" w:type="pct"/>
            <w:vAlign w:val="center"/>
            <w:hideMark/>
          </w:tcPr>
          <w:p w:rsidR="00000000" w:rsidRDefault="0039134F">
            <w:pPr>
              <w:jc w:val="both"/>
              <w:rPr>
                <w:rFonts w:eastAsia="Times New Roman"/>
              </w:rPr>
            </w:pPr>
          </w:p>
        </w:tc>
        <w:tc>
          <w:tcPr>
            <w:tcW w:w="394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329187597"/>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Fiscal Period</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right"/>
              <w:rPr>
                <w:rFonts w:eastAsia="Times New Roman"/>
              </w:rPr>
            </w:pPr>
            <w:r>
              <w:rPr>
                <w:rFonts w:eastAsia="Times New Roman"/>
                <w:i/>
                <w:iCs/>
                <w:color w:val="000000"/>
                <w:sz w:val="20"/>
                <w:szCs w:val="20"/>
              </w:rPr>
              <w:t>In thousands</w:t>
            </w:r>
          </w:p>
        </w:tc>
      </w:tr>
      <w:tr w:rsidR="00000000">
        <w:trPr>
          <w:divId w:val="32918759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2020 - remaining fiscal year</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317,375 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402,500 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329187597"/>
          <w:jc w:val="center"/>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719,875 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both"/>
        <w:rPr>
          <w:rFonts w:eastAsia="Times New Roman"/>
        </w:rPr>
      </w:pPr>
    </w:p>
    <w:p w:rsidR="00000000" w:rsidRDefault="0039134F">
      <w:pPr>
        <w:jc w:val="center"/>
        <w:divId w:val="1202865044"/>
        <w:rPr>
          <w:rFonts w:eastAsia="Times New Roman"/>
        </w:rPr>
      </w:pPr>
      <w:r>
        <w:rPr>
          <w:rFonts w:eastAsia="Times New Roman"/>
          <w:color w:val="000000"/>
          <w:sz w:val="20"/>
          <w:szCs w:val="20"/>
        </w:rPr>
        <w:t>18</w:t>
      </w:r>
    </w:p>
    <w:p w:rsidR="00000000" w:rsidRDefault="0039134F">
      <w:pPr>
        <w:rPr>
          <w:rFonts w:eastAsia="Times New Roman"/>
        </w:rPr>
      </w:pPr>
      <w:r>
        <w:rPr>
          <w:rFonts w:eastAsia="Times New Roman"/>
        </w:rPr>
        <w:pict>
          <v:rect id="_x0000_i1042" style="width:0;height:1.5pt" o:hralign="center" o:hrstd="t" o:hr="t" fillcolor="#a0a0a0" stroked="f"/>
        </w:pict>
      </w:r>
    </w:p>
    <w:p w:rsidR="00000000" w:rsidRDefault="0039134F">
      <w:pPr>
        <w:divId w:val="258368546"/>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2078044143"/>
        <w:rPr>
          <w:rFonts w:eastAsia="Times New Roman"/>
        </w:rPr>
      </w:pPr>
      <w:r>
        <w:rPr>
          <w:rFonts w:eastAsia="Times New Roman"/>
          <w:b/>
          <w:bCs/>
          <w:color w:val="000000"/>
          <w:sz w:val="20"/>
          <w:szCs w:val="20"/>
        </w:rPr>
        <w:t>5. Interest Rate Derivatives</w:t>
      </w:r>
    </w:p>
    <w:p w:rsidR="00000000" w:rsidRDefault="0039134F">
      <w:pPr>
        <w:jc w:val="both"/>
        <w:divId w:val="1445659744"/>
        <w:rPr>
          <w:rFonts w:eastAsia="Times New Roman"/>
        </w:rPr>
      </w:pPr>
      <w:r>
        <w:rPr>
          <w:rFonts w:eastAsia="Times New Roman"/>
          <w:color w:val="000000"/>
          <w:sz w:val="20"/>
          <w:szCs w:val="20"/>
        </w:rPr>
        <w:t>The Company is party to pay-fixed and receive-floating interest rate swap agreements to offset the variability of c</w:t>
      </w:r>
      <w:r>
        <w:rPr>
          <w:rFonts w:eastAsia="Times New Roman"/>
          <w:color w:val="000000"/>
          <w:sz w:val="20"/>
          <w:szCs w:val="20"/>
        </w:rPr>
        <w:t>ash flows in LIBOR-indexed debt interest payments, subject to a 1.0% floor, attributable to changes in the benchmark interest rate from March 13, 2017 to March 13, 2021 related to its credit agreement. During the first quarter of 2020, in accordance with t</w:t>
      </w:r>
      <w:r>
        <w:rPr>
          <w:rFonts w:eastAsia="Times New Roman"/>
          <w:color w:val="000000"/>
          <w:sz w:val="20"/>
          <w:szCs w:val="20"/>
        </w:rPr>
        <w:t>he original agreements with the counterparties, the notional amount of one swap decreased from $105.0 million to $70.0 million. There were no other changes in the terms of the agreements. Also, during the first quarter of 2020, the Company entered into a f</w:t>
      </w:r>
      <w:r>
        <w:rPr>
          <w:rFonts w:eastAsia="Times New Roman"/>
          <w:color w:val="000000"/>
          <w:sz w:val="20"/>
          <w:szCs w:val="20"/>
        </w:rPr>
        <w:t>orward-starting interest rate collar that will hedge variability of cash flows of LIBOR-indexed debt interest payments from March 13, 2021 to July 18, 2024, following the maturity of the interest rate swap agreements, with an aggregate notional amount of $</w:t>
      </w:r>
      <w:r>
        <w:rPr>
          <w:rFonts w:eastAsia="Times New Roman"/>
          <w:color w:val="000000"/>
          <w:sz w:val="20"/>
          <w:szCs w:val="20"/>
        </w:rPr>
        <w:t>375 million.</w:t>
      </w:r>
    </w:p>
    <w:p w:rsidR="00000000" w:rsidRDefault="0039134F">
      <w:pPr>
        <w:jc w:val="both"/>
        <w:divId w:val="1529681848"/>
        <w:rPr>
          <w:rFonts w:eastAsia="Times New Roman"/>
        </w:rPr>
      </w:pPr>
      <w:r>
        <w:rPr>
          <w:rFonts w:eastAsia="Times New Roman"/>
          <w:color w:val="000000"/>
          <w:sz w:val="20"/>
          <w:szCs w:val="20"/>
        </w:rPr>
        <w:t>During the second quarter of 2020, as a result of the partial repayment of the Company’s LIBOR based debt balances, certain forecasted hedged transactions were deemed not probable of occurring. The Company subsequently discontinued hedge accou</w:t>
      </w:r>
      <w:r>
        <w:rPr>
          <w:rFonts w:eastAsia="Times New Roman"/>
          <w:color w:val="000000"/>
          <w:sz w:val="20"/>
          <w:szCs w:val="20"/>
        </w:rPr>
        <w:t xml:space="preserve">nting on $78.0 million of interest rate swap notional and $58.0 million of interest rate collar notional, reclassifying net unrealized losses of approximately $2.5 million from AOCL to interest expense, net during the nine months ended September 26, 2020. </w:t>
      </w:r>
      <w:r>
        <w:rPr>
          <w:rFonts w:eastAsia="Times New Roman"/>
          <w:color w:val="000000"/>
          <w:sz w:val="20"/>
          <w:szCs w:val="20"/>
        </w:rPr>
        <w:t>Additionally, due to changes in the interest rates applicable to the Company’s term loan and revolver, the interest rate collar ceased to be a highly effective hedge. Losses on the change in fair value of the interest rate collar of approximately $2.6 mill</w:t>
      </w:r>
      <w:r>
        <w:rPr>
          <w:rFonts w:eastAsia="Times New Roman"/>
          <w:color w:val="000000"/>
          <w:sz w:val="20"/>
          <w:szCs w:val="20"/>
        </w:rPr>
        <w:t>ion were recorded in interest expense, net during the nine months ended September 26, 2020. Interest expense, net related to derivatives considered to be highly effective hedges for the three and nine months ended September 26, 2020 was $2.0 million and $5</w:t>
      </w:r>
      <w:r>
        <w:rPr>
          <w:rFonts w:eastAsia="Times New Roman"/>
          <w:color w:val="000000"/>
          <w:sz w:val="20"/>
          <w:szCs w:val="20"/>
        </w:rPr>
        <w:t>.9 million, respectively.</w:t>
      </w:r>
    </w:p>
    <w:p w:rsidR="00000000" w:rsidRDefault="0039134F">
      <w:pPr>
        <w:jc w:val="both"/>
        <w:divId w:val="1849759177"/>
        <w:rPr>
          <w:rFonts w:eastAsia="Times New Roman"/>
        </w:rPr>
      </w:pPr>
      <w:r>
        <w:rPr>
          <w:rFonts w:eastAsia="Times New Roman"/>
          <w:color w:val="000000"/>
          <w:sz w:val="20"/>
          <w:szCs w:val="20"/>
          <w:shd w:val="clear" w:color="auto" w:fill="FFFFFF"/>
        </w:rPr>
        <w:t>Changes in the cash flows of interest rate swap derivatives designated as hedges are expected to be highly effective in offsetting the changes in interest payments on a principal balance equal to the designated derivative’s notion</w:t>
      </w:r>
      <w:r>
        <w:rPr>
          <w:rFonts w:eastAsia="Times New Roman"/>
          <w:color w:val="000000"/>
          <w:sz w:val="20"/>
          <w:szCs w:val="20"/>
          <w:shd w:val="clear" w:color="auto" w:fill="FFFFFF"/>
        </w:rPr>
        <w:t xml:space="preserve">al amount, attributable to the hedged risk. Derivatives qualifying as hedges are included in the same section of the Condensed Consolidated Statements of Cash Flows as the underlying assets and liabilities being hedged. Cash flows during the </w:t>
      </w:r>
      <w:r>
        <w:rPr>
          <w:rFonts w:eastAsia="Times New Roman"/>
          <w:color w:val="000000"/>
          <w:sz w:val="20"/>
          <w:szCs w:val="20"/>
        </w:rPr>
        <w:t>nine</w:t>
      </w:r>
      <w:r>
        <w:rPr>
          <w:rFonts w:eastAsia="Times New Roman"/>
          <w:color w:val="000000"/>
          <w:sz w:val="20"/>
          <w:szCs w:val="20"/>
          <w:shd w:val="clear" w:color="auto" w:fill="FFFFFF"/>
        </w:rPr>
        <w:t xml:space="preserve"> months en</w:t>
      </w:r>
      <w:r>
        <w:rPr>
          <w:rFonts w:eastAsia="Times New Roman"/>
          <w:color w:val="000000"/>
          <w:sz w:val="20"/>
          <w:szCs w:val="20"/>
          <w:shd w:val="clear" w:color="auto" w:fill="FFFFFF"/>
        </w:rPr>
        <w:t>ded September 26, 2020 related to derivatives not qualifying as hedges were included in the operating section of the Condensed Consolidated Statements of Cash Flows</w:t>
      </w:r>
      <w:r>
        <w:rPr>
          <w:rFonts w:eastAsia="Times New Roman"/>
          <w:color w:val="000000"/>
          <w:sz w:val="20"/>
          <w:szCs w:val="20"/>
        </w:rPr>
        <w:t xml:space="preserve"> and were not material. As of September 26, 2020, the Company expects to reclassify approxim</w:t>
      </w:r>
      <w:r>
        <w:rPr>
          <w:rFonts w:eastAsia="Times New Roman"/>
          <w:color w:val="000000"/>
          <w:sz w:val="20"/>
          <w:szCs w:val="20"/>
        </w:rPr>
        <w:t>ately $3.5 million of</w:t>
      </w:r>
      <w:r>
        <w:rPr>
          <w:rFonts w:eastAsia="Times New Roman"/>
          <w:color w:val="000000"/>
          <w:sz w:val="20"/>
          <w:szCs w:val="20"/>
          <w:shd w:val="clear" w:color="auto" w:fill="FFFFFF"/>
        </w:rPr>
        <w:t xml:space="preserve"> unrealized losses on derivative instruments, net of tax, from AOCL into earnings in the next 12 months as the derivative instruments mature. See Note 14. “Accumulated Other Comprehensive Loss” for further details.</w:t>
      </w:r>
    </w:p>
    <w:p w:rsidR="00000000" w:rsidRDefault="0039134F">
      <w:pPr>
        <w:jc w:val="both"/>
        <w:divId w:val="1576889364"/>
        <w:rPr>
          <w:rFonts w:eastAsia="Times New Roman"/>
        </w:rPr>
      </w:pPr>
      <w:r>
        <w:rPr>
          <w:rFonts w:eastAsia="Times New Roman"/>
          <w:color w:val="000000"/>
          <w:sz w:val="20"/>
          <w:szCs w:val="20"/>
          <w:shd w:val="clear" w:color="auto" w:fill="FFFFFF"/>
        </w:rPr>
        <w:t>Our positions relate</w:t>
      </w:r>
      <w:r>
        <w:rPr>
          <w:rFonts w:eastAsia="Times New Roman"/>
          <w:color w:val="000000"/>
          <w:sz w:val="20"/>
          <w:szCs w:val="20"/>
          <w:shd w:val="clear" w:color="auto" w:fill="FFFFFF"/>
        </w:rPr>
        <w:t>d to interest rate derivative contracts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116"/>
        <w:gridCol w:w="38"/>
        <w:gridCol w:w="43"/>
        <w:gridCol w:w="2385"/>
        <w:gridCol w:w="37"/>
        <w:gridCol w:w="43"/>
        <w:gridCol w:w="2359"/>
        <w:gridCol w:w="36"/>
        <w:gridCol w:w="36"/>
        <w:gridCol w:w="36"/>
        <w:gridCol w:w="36"/>
        <w:gridCol w:w="121"/>
        <w:gridCol w:w="1360"/>
        <w:gridCol w:w="36"/>
        <w:gridCol w:w="36"/>
        <w:gridCol w:w="36"/>
        <w:gridCol w:w="36"/>
        <w:gridCol w:w="121"/>
        <w:gridCol w:w="1321"/>
        <w:gridCol w:w="36"/>
      </w:tblGrid>
      <w:tr w:rsidR="00000000">
        <w:tc>
          <w:tcPr>
            <w:tcW w:w="5" w:type="pct"/>
            <w:vAlign w:val="center"/>
            <w:hideMark/>
          </w:tcPr>
          <w:p w:rsidR="00000000" w:rsidRDefault="0039134F">
            <w:pPr>
              <w:jc w:val="both"/>
              <w:rPr>
                <w:rFonts w:eastAsia="Times New Roman"/>
              </w:rPr>
            </w:pPr>
          </w:p>
        </w:tc>
        <w:tc>
          <w:tcPr>
            <w:tcW w:w="9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45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44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6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4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c>
          <w:tcPr>
            <w:tcW w:w="0" w:type="auto"/>
            <w:gridSpan w:val="6"/>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 Sheet Classification</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Derivatives designated as hedging instruments under ASC 815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rate swaps</w:t>
            </w: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Payables and Accrued Expenses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6,382 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rate swaps</w:t>
            </w: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9"/>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derivative liabilities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trHeight w:val="60"/>
        </w:trPr>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6"/>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Derivatives not designated as hedging instruments under ASC 815</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rate swap</w:t>
            </w: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Payables and Accrued Expenses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584 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rate collar</w:t>
            </w: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Payables and Accrued Expenses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1,923 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rate collar</w:t>
            </w: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9,324 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9"/>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derivative liabilities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divId w:val="7484462"/>
        <w:rPr>
          <w:rFonts w:eastAsia="Times New Roman"/>
        </w:rPr>
      </w:pPr>
      <w:r>
        <w:rPr>
          <w:rFonts w:eastAsia="Times New Roman"/>
          <w:color w:val="000000"/>
          <w:sz w:val="20"/>
          <w:szCs w:val="20"/>
        </w:rPr>
        <w:t>19</w:t>
      </w:r>
    </w:p>
    <w:p w:rsidR="00000000" w:rsidRDefault="0039134F">
      <w:pPr>
        <w:rPr>
          <w:rFonts w:eastAsia="Times New Roman"/>
        </w:rPr>
      </w:pPr>
      <w:r>
        <w:rPr>
          <w:rFonts w:eastAsia="Times New Roman"/>
        </w:rPr>
        <w:pict>
          <v:rect id="_x0000_i1043" style="width:0;height:1.5pt" o:hralign="center" o:hrstd="t" o:hr="t" fillcolor="#a0a0a0" stroked="f"/>
        </w:pict>
      </w:r>
    </w:p>
    <w:p w:rsidR="00000000" w:rsidRDefault="0039134F">
      <w:pPr>
        <w:divId w:val="1508669796"/>
        <w:rPr>
          <w:rFonts w:eastAsia="Times New Roman"/>
        </w:rPr>
      </w:pPr>
      <w:r>
        <w:rPr>
          <w:rFonts w:eastAsia="Times New Roman"/>
          <w:color w:val="0000FF"/>
          <w:sz w:val="20"/>
          <w:szCs w:val="20"/>
          <w:u w:val="single"/>
        </w:rPr>
        <w:t>Table of contents</w:t>
      </w:r>
    </w:p>
    <w:p w:rsidR="00000000" w:rsidRDefault="0039134F">
      <w:pPr>
        <w:divId w:val="364142704"/>
        <w:rPr>
          <w:rFonts w:eastAsia="Times New Roman"/>
        </w:rPr>
      </w:pPr>
      <w:r>
        <w:rPr>
          <w:rFonts w:eastAsia="Times New Roman"/>
          <w:b/>
          <w:bCs/>
          <w:color w:val="000000"/>
          <w:sz w:val="20"/>
          <w:szCs w:val="20"/>
        </w:rPr>
        <w:t>6. Stock Incentive Plans</w:t>
      </w:r>
    </w:p>
    <w:p w:rsidR="00000000" w:rsidRDefault="0039134F">
      <w:pPr>
        <w:jc w:val="both"/>
        <w:divId w:val="997148533"/>
        <w:rPr>
          <w:rFonts w:eastAsia="Times New Roman"/>
        </w:rPr>
      </w:pPr>
      <w:r>
        <w:rPr>
          <w:rFonts w:eastAsia="Times New Roman"/>
          <w:color w:val="000000"/>
          <w:sz w:val="20"/>
          <w:szCs w:val="20"/>
        </w:rPr>
        <w:t xml:space="preserve">During the nine months ended September 26, 2020, the Company granted 158,206 stock options, 124,863 </w:t>
      </w:r>
      <w:r>
        <w:rPr>
          <w:rFonts w:eastAsia="Times New Roman"/>
          <w:color w:val="000000"/>
          <w:sz w:val="20"/>
          <w:szCs w:val="20"/>
        </w:rPr>
        <w:t xml:space="preserve">performance-based restricted stock units (“PSUs”) and 157,860 time-based restricted stock units (“RSUs”) to eligible employees under the National Vision Holdings, Inc. 2017 Omnibus Incentive Plan (the “2017 Omnibus Incentive Plan”). The time-based options </w:t>
      </w:r>
      <w:r>
        <w:rPr>
          <w:rFonts w:eastAsia="Times New Roman"/>
          <w:color w:val="000000"/>
          <w:sz w:val="20"/>
          <w:szCs w:val="20"/>
        </w:rPr>
        <w:t>granted in fiscal 2020 vest in three equal annual installments, with one-third of the total options vesting on each of the first, second, and third anniversaries of the grant date, subject to continued employment through the applicable vesting date. The PS</w:t>
      </w:r>
      <w:r>
        <w:rPr>
          <w:rFonts w:eastAsia="Times New Roman"/>
          <w:color w:val="000000"/>
          <w:sz w:val="20"/>
          <w:szCs w:val="20"/>
        </w:rPr>
        <w:t>Us granted in fiscal 2020 are settled after the end of the performance period (i.e., cliff vesting), which begins on the first day of our 2020 fiscal year and ends on the last day of our 2022 fiscal year, and are based on the Company’s achievement of certa</w:t>
      </w:r>
      <w:r>
        <w:rPr>
          <w:rFonts w:eastAsia="Times New Roman"/>
          <w:color w:val="000000"/>
          <w:sz w:val="20"/>
          <w:szCs w:val="20"/>
        </w:rPr>
        <w:t>in performance targets. The RSUs granted in fiscal 2020 vest primarily in three equal installments.</w:t>
      </w:r>
    </w:p>
    <w:p w:rsidR="00000000" w:rsidRDefault="0039134F">
      <w:pPr>
        <w:jc w:val="both"/>
        <w:divId w:val="2006277928"/>
        <w:rPr>
          <w:rFonts w:eastAsia="Times New Roman"/>
        </w:rPr>
      </w:pPr>
      <w:r>
        <w:rPr>
          <w:rFonts w:eastAsia="Times New Roman"/>
          <w:color w:val="000000"/>
          <w:sz w:val="20"/>
          <w:szCs w:val="20"/>
        </w:rPr>
        <w:t>During the nine months ended September 26, 2020, the Company granted 17,215 restricted stock awards (“RSAs”) to eligible members of the Company’s Board of D</w:t>
      </w:r>
      <w:r>
        <w:rPr>
          <w:rFonts w:eastAsia="Times New Roman"/>
          <w:color w:val="000000"/>
          <w:sz w:val="20"/>
          <w:szCs w:val="20"/>
        </w:rPr>
        <w:t>irectors under the 2017 Omnibus Incentive Plan. The awards vest one year from the grant date.</w:t>
      </w:r>
    </w:p>
    <w:p w:rsidR="00000000" w:rsidRDefault="0039134F">
      <w:pPr>
        <w:jc w:val="both"/>
        <w:divId w:val="852261444"/>
        <w:rPr>
          <w:rFonts w:eastAsia="Times New Roman"/>
        </w:rPr>
      </w:pPr>
    </w:p>
    <w:p w:rsidR="00000000" w:rsidRDefault="0039134F">
      <w:pPr>
        <w:jc w:val="both"/>
        <w:rPr>
          <w:rFonts w:eastAsia="Times New Roman"/>
        </w:rPr>
      </w:pPr>
      <w:r>
        <w:rPr>
          <w:rFonts w:eastAsia="Times New Roman"/>
          <w:b/>
          <w:bCs/>
          <w:color w:val="000000"/>
          <w:sz w:val="20"/>
          <w:szCs w:val="20"/>
        </w:rPr>
        <w:t>7. Equity in Net Assets of Non-Consolidated Investee</w:t>
      </w:r>
    </w:p>
    <w:p w:rsidR="00000000" w:rsidRDefault="0039134F">
      <w:pPr>
        <w:jc w:val="both"/>
        <w:rPr>
          <w:rFonts w:eastAsia="Times New Roman"/>
        </w:rPr>
      </w:pPr>
    </w:p>
    <w:p w:rsidR="00000000" w:rsidRDefault="0039134F">
      <w:pPr>
        <w:jc w:val="both"/>
        <w:divId w:val="530143847"/>
        <w:rPr>
          <w:rFonts w:eastAsia="Times New Roman"/>
        </w:rPr>
      </w:pPr>
      <w:r>
        <w:rPr>
          <w:rFonts w:eastAsia="Times New Roman"/>
          <w:color w:val="000000"/>
          <w:sz w:val="20"/>
          <w:szCs w:val="20"/>
        </w:rPr>
        <w:t>The Company has an investment in a private start-up company whose principal business is licensing softwar</w:t>
      </w:r>
      <w:r>
        <w:rPr>
          <w:rFonts w:eastAsia="Times New Roman"/>
          <w:color w:val="000000"/>
          <w:sz w:val="20"/>
          <w:szCs w:val="20"/>
        </w:rPr>
        <w:t>e to eyeglass retailers. We account for our interest in the investee’s reported net income or loss under the equity method of accounting and present these results in other expense (income), net in the Company’s condensed consolidated statements of operatio</w:t>
      </w:r>
      <w:r>
        <w:rPr>
          <w:rFonts w:eastAsia="Times New Roman"/>
          <w:color w:val="000000"/>
          <w:sz w:val="20"/>
          <w:szCs w:val="20"/>
        </w:rPr>
        <w:t>ns. After adjusting the carrying value of our interest in the investee’s reported net losses, there is no remaining equity investment balance associated with this investee as of September 26, 2020.</w:t>
      </w:r>
    </w:p>
    <w:p w:rsidR="00000000" w:rsidRDefault="0039134F">
      <w:pPr>
        <w:jc w:val="both"/>
        <w:divId w:val="872156211"/>
        <w:rPr>
          <w:rFonts w:eastAsia="Times New Roman"/>
        </w:rPr>
      </w:pPr>
      <w:r>
        <w:rPr>
          <w:rFonts w:eastAsia="Times New Roman"/>
          <w:color w:val="000000"/>
          <w:sz w:val="20"/>
          <w:szCs w:val="20"/>
        </w:rPr>
        <w:t>On August 29, 2017, the investee issued a secured converti</w:t>
      </w:r>
      <w:r>
        <w:rPr>
          <w:rFonts w:eastAsia="Times New Roman"/>
          <w:color w:val="000000"/>
          <w:sz w:val="20"/>
          <w:szCs w:val="20"/>
        </w:rPr>
        <w:t>ble promissory note to the Company, in the principal amount of $1.5 million, due on August 29, 2020. Upon adoption of ASU No. 2016-13, </w:t>
      </w:r>
      <w:r>
        <w:rPr>
          <w:rFonts w:eastAsia="Times New Roman"/>
          <w:i/>
          <w:iCs/>
          <w:color w:val="000000"/>
          <w:sz w:val="20"/>
          <w:szCs w:val="20"/>
        </w:rPr>
        <w:t>Measurement of Credit Losses on Financial Instruments</w:t>
      </w:r>
      <w:r>
        <w:rPr>
          <w:rFonts w:eastAsia="Times New Roman"/>
          <w:color w:val="000000"/>
          <w:sz w:val="20"/>
          <w:szCs w:val="20"/>
        </w:rPr>
        <w:t xml:space="preserve"> in the first quarter of 2020, the Company increased the allowance f</w:t>
      </w:r>
      <w:r>
        <w:rPr>
          <w:rFonts w:eastAsia="Times New Roman"/>
          <w:color w:val="000000"/>
          <w:sz w:val="20"/>
          <w:szCs w:val="20"/>
        </w:rPr>
        <w:t>or credit losses related to the convertible promissory note to $1.5 million. After adjusting for the estimated credit losses, there was no remaining carrying value of the convertible promissory note as of September 26, 2020. Interest income associated with</w:t>
      </w:r>
      <w:r>
        <w:rPr>
          <w:rFonts w:eastAsia="Times New Roman"/>
          <w:color w:val="000000"/>
          <w:sz w:val="20"/>
          <w:szCs w:val="20"/>
        </w:rPr>
        <w:t xml:space="preserve"> the note was immaterial for the three and nine months ended September 26, 2020 and September 28, 2019. In April 2020, the Company converted the promissory note to an equity investment. The equity investment has a carrying value of zero as of September 26,</w:t>
      </w:r>
      <w:r>
        <w:rPr>
          <w:rFonts w:eastAsia="Times New Roman"/>
          <w:color w:val="000000"/>
          <w:sz w:val="20"/>
          <w:szCs w:val="20"/>
        </w:rPr>
        <w:t xml:space="preserve"> 2020.</w:t>
      </w:r>
    </w:p>
    <w:p w:rsidR="00000000" w:rsidRDefault="0039134F">
      <w:pPr>
        <w:jc w:val="both"/>
        <w:divId w:val="52773955"/>
        <w:rPr>
          <w:rFonts w:eastAsia="Times New Roman"/>
        </w:rPr>
      </w:pPr>
    </w:p>
    <w:p w:rsidR="00000000" w:rsidRDefault="0039134F">
      <w:pPr>
        <w:jc w:val="both"/>
        <w:divId w:val="1360666813"/>
        <w:rPr>
          <w:rFonts w:eastAsia="Times New Roman"/>
        </w:rPr>
      </w:pPr>
      <w:r>
        <w:rPr>
          <w:rFonts w:eastAsia="Times New Roman"/>
          <w:b/>
          <w:bCs/>
          <w:color w:val="000000"/>
          <w:sz w:val="20"/>
          <w:szCs w:val="20"/>
        </w:rPr>
        <w:t>8. Revenue from Contracts with Customers</w:t>
      </w:r>
    </w:p>
    <w:p w:rsidR="00000000" w:rsidRDefault="0039134F">
      <w:pPr>
        <w:jc w:val="both"/>
        <w:divId w:val="284314416"/>
        <w:rPr>
          <w:rFonts w:eastAsia="Times New Roman"/>
        </w:rPr>
      </w:pPr>
      <w:r>
        <w:rPr>
          <w:rFonts w:eastAsia="Times New Roman"/>
          <w:color w:val="000000"/>
          <w:sz w:val="20"/>
          <w:szCs w:val="20"/>
        </w:rPr>
        <w:t>The Company’s revenues are recognized either at the point of sale or upon delivery and customer acceptance, paid for at the time of sale in cash, credit card, or on account with managed care payors having t</w:t>
      </w:r>
      <w:r>
        <w:rPr>
          <w:rFonts w:eastAsia="Times New Roman"/>
          <w:color w:val="000000"/>
          <w:sz w:val="20"/>
          <w:szCs w:val="20"/>
        </w:rPr>
        <w:t>erms generally between 14 and 120 days, with most paying within 90 days. Our point in time revenues include 1) retail sales of prescription and non-prescription eyewear, contact lenses and related accessories to retail customers (including those covered by</w:t>
      </w:r>
      <w:r>
        <w:rPr>
          <w:rFonts w:eastAsia="Times New Roman"/>
          <w:color w:val="000000"/>
          <w:sz w:val="20"/>
          <w:szCs w:val="20"/>
        </w:rPr>
        <w:t xml:space="preserve"> managed care), 2) eye exams and 3) wholesale sales of inventory in which our customer is another retail entity. Revenues recognized over time primarily include product protection plans, eye care club memberships and management fees earned from our legacy </w:t>
      </w:r>
      <w:r>
        <w:rPr>
          <w:rFonts w:eastAsia="Times New Roman"/>
          <w:color w:val="000000"/>
          <w:sz w:val="20"/>
          <w:szCs w:val="20"/>
        </w:rPr>
        <w:t>partner.</w:t>
      </w:r>
    </w:p>
    <w:p w:rsidR="00000000" w:rsidRDefault="0039134F">
      <w:pPr>
        <w:jc w:val="both"/>
        <w:divId w:val="333650785"/>
        <w:rPr>
          <w:rFonts w:eastAsia="Times New Roman"/>
        </w:rPr>
      </w:pPr>
      <w:r>
        <w:rPr>
          <w:rFonts w:eastAsia="Times New Roman"/>
          <w:color w:val="000000"/>
          <w:sz w:val="20"/>
          <w:szCs w:val="20"/>
        </w:rPr>
        <w:t>The following disaggregation of revenues is based on the 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3006"/>
        <w:gridCol w:w="37"/>
        <w:gridCol w:w="121"/>
        <w:gridCol w:w="1095"/>
        <w:gridCol w:w="36"/>
        <w:gridCol w:w="36"/>
        <w:gridCol w:w="36"/>
        <w:gridCol w:w="36"/>
        <w:gridCol w:w="121"/>
        <w:gridCol w:w="1060"/>
        <w:gridCol w:w="36"/>
        <w:gridCol w:w="36"/>
        <w:gridCol w:w="36"/>
        <w:gridCol w:w="36"/>
        <w:gridCol w:w="120"/>
        <w:gridCol w:w="1060"/>
        <w:gridCol w:w="36"/>
        <w:gridCol w:w="36"/>
        <w:gridCol w:w="36"/>
        <w:gridCol w:w="36"/>
        <w:gridCol w:w="120"/>
        <w:gridCol w:w="1060"/>
        <w:gridCol w:w="36"/>
      </w:tblGrid>
      <w:tr w:rsidR="00000000">
        <w:trPr>
          <w:divId w:val="1485000941"/>
        </w:trPr>
        <w:tc>
          <w:tcPr>
            <w:tcW w:w="50" w:type="pct"/>
            <w:vAlign w:val="center"/>
            <w:hideMark/>
          </w:tcPr>
          <w:p w:rsidR="00000000" w:rsidRDefault="0039134F">
            <w:pPr>
              <w:jc w:val="both"/>
              <w:rPr>
                <w:rFonts w:eastAsia="Times New Roman"/>
              </w:rPr>
            </w:pPr>
          </w:p>
        </w:tc>
        <w:tc>
          <w:tcPr>
            <w:tcW w:w="184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485000941"/>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485000941"/>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485000941"/>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Revenues recognized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447,403 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394,709 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1,111,118 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1,211,942 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85000941"/>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Revenues recognized over time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37,950 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37,193 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103,946 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110,626 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85000941"/>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Total net revenue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485,353 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431,902 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1,215,064 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1,322,568 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both"/>
        <w:divId w:val="1029918796"/>
        <w:rPr>
          <w:rFonts w:eastAsia="Times New Roman"/>
        </w:rPr>
      </w:pPr>
      <w:r>
        <w:rPr>
          <w:rFonts w:eastAsia="Times New Roman"/>
          <w:color w:val="000000"/>
          <w:sz w:val="20"/>
          <w:szCs w:val="20"/>
        </w:rPr>
        <w:t>Refer to Note 11. “Segment Reporting” f</w:t>
      </w:r>
      <w:r>
        <w:rPr>
          <w:rFonts w:eastAsia="Times New Roman"/>
          <w:color w:val="000000"/>
          <w:sz w:val="20"/>
          <w:szCs w:val="20"/>
        </w:rPr>
        <w:t>or the Company’s disaggregation of net revenue by reportable segment. As the reportable segments are aligned by similar economic factors, trends and customers, the reportable segment disaggregation view best depicts how the nature, amount and uncertainty o</w:t>
      </w:r>
      <w:r>
        <w:rPr>
          <w:rFonts w:eastAsia="Times New Roman"/>
          <w:color w:val="000000"/>
          <w:sz w:val="20"/>
          <w:szCs w:val="20"/>
        </w:rPr>
        <w:t>f revenue and cash flows are affected by economic factors.</w:t>
      </w:r>
    </w:p>
    <w:p w:rsidR="00000000" w:rsidRDefault="0039134F">
      <w:pPr>
        <w:jc w:val="center"/>
        <w:divId w:val="514806043"/>
        <w:rPr>
          <w:rFonts w:eastAsia="Times New Roman"/>
        </w:rPr>
      </w:pPr>
      <w:r>
        <w:rPr>
          <w:rFonts w:eastAsia="Times New Roman"/>
          <w:color w:val="000000"/>
          <w:sz w:val="20"/>
          <w:szCs w:val="20"/>
        </w:rPr>
        <w:t>20</w:t>
      </w:r>
    </w:p>
    <w:p w:rsidR="00000000" w:rsidRDefault="0039134F">
      <w:pPr>
        <w:rPr>
          <w:rFonts w:eastAsia="Times New Roman"/>
        </w:rPr>
      </w:pPr>
      <w:r>
        <w:rPr>
          <w:rFonts w:eastAsia="Times New Roman"/>
        </w:rPr>
        <w:pict>
          <v:rect id="_x0000_i1044" style="width:0;height:1.5pt" o:hralign="center" o:hrstd="t" o:hr="t" fillcolor="#a0a0a0" stroked="f"/>
        </w:pict>
      </w:r>
    </w:p>
    <w:p w:rsidR="00000000" w:rsidRDefault="0039134F">
      <w:pPr>
        <w:divId w:val="1777209733"/>
        <w:rPr>
          <w:rFonts w:eastAsia="Times New Roman"/>
        </w:rPr>
      </w:pPr>
      <w:r>
        <w:rPr>
          <w:rFonts w:eastAsia="Times New Roman"/>
          <w:color w:val="0000FF"/>
          <w:sz w:val="20"/>
          <w:szCs w:val="20"/>
          <w:u w:val="single"/>
        </w:rPr>
        <w:t>Table of contents</w:t>
      </w:r>
    </w:p>
    <w:p w:rsidR="00000000" w:rsidRDefault="0039134F">
      <w:pPr>
        <w:jc w:val="center"/>
        <w:divId w:val="662780975"/>
        <w:rPr>
          <w:rFonts w:eastAsia="Times New Roman"/>
        </w:rPr>
      </w:pPr>
    </w:p>
    <w:p w:rsidR="00000000" w:rsidRDefault="0039134F">
      <w:pPr>
        <w:jc w:val="both"/>
        <w:divId w:val="1932812839"/>
        <w:rPr>
          <w:rFonts w:eastAsia="Times New Roman"/>
        </w:rPr>
      </w:pPr>
      <w:r>
        <w:rPr>
          <w:rFonts w:eastAsia="Times New Roman"/>
          <w:i/>
          <w:iCs/>
          <w:color w:val="000000"/>
          <w:sz w:val="20"/>
          <w:szCs w:val="20"/>
        </w:rPr>
        <w:t>Contract Assets and Liabilities</w:t>
      </w:r>
    </w:p>
    <w:p w:rsidR="00000000" w:rsidRDefault="0039134F">
      <w:pPr>
        <w:jc w:val="both"/>
        <w:divId w:val="282349418"/>
        <w:rPr>
          <w:rFonts w:eastAsia="Times New Roman"/>
        </w:rPr>
      </w:pPr>
      <w:r>
        <w:rPr>
          <w:rFonts w:eastAsia="Times New Roman"/>
          <w:color w:val="000000"/>
          <w:sz w:val="20"/>
          <w:szCs w:val="20"/>
        </w:rPr>
        <w:t>The Company’s contract assets and contract liabilities primarily result from timing differences between th</w:t>
      </w:r>
      <w:r>
        <w:rPr>
          <w:rFonts w:eastAsia="Times New Roman"/>
          <w:color w:val="000000"/>
          <w:sz w:val="20"/>
          <w:szCs w:val="20"/>
        </w:rPr>
        <w:t xml:space="preserve">e performance of our obligations and the customer’s payment. </w:t>
      </w:r>
    </w:p>
    <w:p w:rsidR="00000000" w:rsidRDefault="0039134F">
      <w:pPr>
        <w:jc w:val="both"/>
        <w:divId w:val="1060985447"/>
        <w:rPr>
          <w:rFonts w:eastAsia="Times New Roman"/>
        </w:rPr>
      </w:pPr>
      <w:r>
        <w:rPr>
          <w:rFonts w:eastAsia="Times New Roman"/>
          <w:color w:val="000000"/>
          <w:sz w:val="20"/>
          <w:szCs w:val="20"/>
          <w:u w:val="single"/>
        </w:rPr>
        <w:t>Accounts Receivable</w:t>
      </w:r>
    </w:p>
    <w:p w:rsidR="00000000" w:rsidRDefault="0039134F">
      <w:pPr>
        <w:jc w:val="both"/>
        <w:divId w:val="1364751775"/>
        <w:rPr>
          <w:rFonts w:eastAsia="Times New Roman"/>
        </w:rPr>
      </w:pPr>
      <w:r>
        <w:rPr>
          <w:rFonts w:eastAsia="Times New Roman"/>
          <w:color w:val="000000"/>
          <w:sz w:val="20"/>
          <w:szCs w:val="20"/>
        </w:rPr>
        <w:t>Accounts receivable associated with revenues consist primarily of trade receivables and credit card receivables. Trade receivables consist primarily of receivables from manag</w:t>
      </w:r>
      <w:r>
        <w:rPr>
          <w:rFonts w:eastAsia="Times New Roman"/>
          <w:color w:val="000000"/>
          <w:sz w:val="20"/>
          <w:szCs w:val="20"/>
        </w:rPr>
        <w:t>ed care payors and receivables from major retailers. While we have relationships with almost all vision care insurers in the United States and with all of the major carriers, currently, a relatively small number of payors comprise the majority of our manag</w:t>
      </w:r>
      <w:r>
        <w:rPr>
          <w:rFonts w:eastAsia="Times New Roman"/>
          <w:color w:val="000000"/>
          <w:sz w:val="20"/>
          <w:szCs w:val="20"/>
        </w:rPr>
        <w:t xml:space="preserve">ed care revenues, subjecting us to concentration risk. Accounts receivable are reduced by allowances for credit losses. Estimates of our allowance for credit losses are based on our historical and current operating, billing, and collection trends, as well </w:t>
      </w:r>
      <w:r>
        <w:rPr>
          <w:rFonts w:eastAsia="Times New Roman"/>
          <w:color w:val="000000"/>
          <w:sz w:val="20"/>
          <w:szCs w:val="20"/>
        </w:rPr>
        <w:t>as current conditions and reasonable and supportable forecasts about the future. Accounts receivable are written off after all collection attempts have been exhausted. Credit loss expense recognized on our receivables, which is presented in SG&amp;A expenses i</w:t>
      </w:r>
      <w:r>
        <w:rPr>
          <w:rFonts w:eastAsia="Times New Roman"/>
          <w:color w:val="000000"/>
          <w:sz w:val="20"/>
          <w:szCs w:val="20"/>
        </w:rPr>
        <w:t>n the Company’s condensed consolidated statements of operations, were approximately $0.1 million for the three months ended September 26, 2020 and $0.5 million for the nine months ended September 26, 2020 as compared to $2.4 million and $6.3 million for th</w:t>
      </w:r>
      <w:r>
        <w:rPr>
          <w:rFonts w:eastAsia="Times New Roman"/>
          <w:color w:val="000000"/>
          <w:sz w:val="20"/>
          <w:szCs w:val="20"/>
        </w:rPr>
        <w:t>e three and nine months ended September 28, 2019, respectively.</w:t>
      </w:r>
    </w:p>
    <w:p w:rsidR="00000000" w:rsidRDefault="0039134F">
      <w:pPr>
        <w:jc w:val="both"/>
        <w:divId w:val="128940840"/>
        <w:rPr>
          <w:rFonts w:eastAsia="Times New Roman"/>
        </w:rPr>
      </w:pPr>
      <w:r>
        <w:rPr>
          <w:rFonts w:eastAsia="Times New Roman"/>
          <w:color w:val="000000"/>
          <w:sz w:val="20"/>
          <w:szCs w:val="20"/>
        </w:rPr>
        <w:t>The following table summarizes the activity of allowance for expected credit losses for the nine months ended September 26,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21"/>
        <w:gridCol w:w="37"/>
        <w:gridCol w:w="121"/>
        <w:gridCol w:w="1540"/>
        <w:gridCol w:w="36"/>
      </w:tblGrid>
      <w:tr w:rsidR="00000000">
        <w:trPr>
          <w:divId w:val="1107651467"/>
          <w:jc w:val="center"/>
        </w:trPr>
        <w:tc>
          <w:tcPr>
            <w:tcW w:w="50" w:type="pct"/>
            <w:vAlign w:val="center"/>
            <w:hideMark/>
          </w:tcPr>
          <w:p w:rsidR="00000000" w:rsidRDefault="0039134F">
            <w:pPr>
              <w:jc w:val="both"/>
              <w:rPr>
                <w:rFonts w:eastAsia="Times New Roman"/>
              </w:rPr>
            </w:pPr>
          </w:p>
        </w:tc>
        <w:tc>
          <w:tcPr>
            <w:tcW w:w="394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94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107651467"/>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Nine Months Ended</w:t>
            </w:r>
            <w:r>
              <w:rPr>
                <w:rFonts w:eastAsia="Times New Roman"/>
                <w:color w:val="000000"/>
                <w:sz w:val="20"/>
                <w:szCs w:val="20"/>
              </w:rPr>
              <w:br/>
            </w:r>
            <w:r>
              <w:rPr>
                <w:rFonts w:eastAsia="Times New Roman"/>
                <w:color w:val="000000"/>
                <w:sz w:val="20"/>
                <w:szCs w:val="20"/>
              </w:rPr>
              <w:t>September 26, 2020</w:t>
            </w:r>
          </w:p>
        </w:tc>
      </w:tr>
      <w:tr w:rsidR="00000000">
        <w:trPr>
          <w:divId w:val="110765146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260874023"/>
              <w:rPr>
                <w:rFonts w:eastAsia="Times New Roman"/>
              </w:rPr>
            </w:pPr>
            <w:r>
              <w:rPr>
                <w:rFonts w:eastAsia="Times New Roman"/>
                <w:color w:val="000000"/>
                <w:sz w:val="20"/>
                <w:szCs w:val="20"/>
              </w:rPr>
              <w:t>Beginning balance as of December 28, 2019</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9134F">
            <w:pPr>
              <w:jc w:val="right"/>
              <w:rPr>
                <w:rFonts w:eastAsia="Times New Roman"/>
              </w:rPr>
            </w:pPr>
            <w:r>
              <w:rPr>
                <w:rFonts w:eastAsia="Times New Roman"/>
                <w:color w:val="000000"/>
                <w:sz w:val="20"/>
                <w:szCs w:val="20"/>
              </w:rPr>
              <w:t>(3,040)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9134F">
            <w:pPr>
              <w:jc w:val="right"/>
              <w:rPr>
                <w:rFonts w:eastAsia="Times New Roman"/>
              </w:rPr>
            </w:pPr>
          </w:p>
        </w:tc>
      </w:tr>
      <w:tr w:rsidR="00000000">
        <w:trPr>
          <w:divId w:val="110765146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Current-period provision for expected credit losses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765146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Write-offs charged against the allowance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765146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928466834"/>
              <w:rPr>
                <w:rFonts w:eastAsia="Times New Roman"/>
              </w:rPr>
            </w:pPr>
            <w:r>
              <w:rPr>
                <w:rFonts w:eastAsia="Times New Roman"/>
                <w:color w:val="000000"/>
                <w:sz w:val="20"/>
                <w:szCs w:val="20"/>
              </w:rPr>
              <w:t>Other adjustments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2,207 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765146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152404426"/>
              <w:rPr>
                <w:rFonts w:eastAsia="Times New Roman"/>
              </w:rPr>
            </w:pPr>
            <w:r>
              <w:rPr>
                <w:rFonts w:eastAsia="Times New Roman"/>
                <w:color w:val="000000"/>
                <w:sz w:val="20"/>
                <w:szCs w:val="20"/>
              </w:rPr>
              <w:t>Ending balance as of September 26,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07651467"/>
          <w:jc w:val="center"/>
        </w:trPr>
        <w:tc>
          <w:tcPr>
            <w:tcW w:w="0" w:type="auto"/>
            <w:gridSpan w:val="6"/>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As part of our adoption of ASU 2016-13, we adjusted the allowance for certain amounts recognized in prior periods that no longer represented an allowance for credit losses. The adjustment was immateri</w:t>
            </w:r>
            <w:r>
              <w:rPr>
                <w:rFonts w:eastAsia="Times New Roman"/>
                <w:color w:val="000000"/>
                <w:sz w:val="16"/>
                <w:szCs w:val="16"/>
              </w:rPr>
              <w:t>al to the financial results of current and prior periods. See Note 2. “Details of Certain Balance Sheet Accounts” for further details.</w:t>
            </w:r>
          </w:p>
        </w:tc>
      </w:tr>
    </w:tbl>
    <w:p w:rsidR="00000000" w:rsidRDefault="0039134F">
      <w:pPr>
        <w:jc w:val="both"/>
        <w:divId w:val="1578589944"/>
        <w:rPr>
          <w:rFonts w:eastAsia="Times New Roman"/>
        </w:rPr>
      </w:pPr>
      <w:r>
        <w:rPr>
          <w:rFonts w:eastAsia="Times New Roman"/>
          <w:color w:val="000000"/>
          <w:sz w:val="20"/>
          <w:szCs w:val="20"/>
          <w:u w:val="single"/>
        </w:rPr>
        <w:t>Unsatisfied Performance Obligations (Contract Liabilities)</w:t>
      </w:r>
    </w:p>
    <w:p w:rsidR="00000000" w:rsidRDefault="0039134F">
      <w:pPr>
        <w:jc w:val="both"/>
        <w:divId w:val="79910820"/>
        <w:rPr>
          <w:rFonts w:eastAsia="Times New Roman"/>
        </w:rPr>
      </w:pPr>
      <w:r>
        <w:rPr>
          <w:rFonts w:eastAsia="Times New Roman"/>
          <w:color w:val="000000"/>
          <w:sz w:val="20"/>
          <w:szCs w:val="20"/>
        </w:rPr>
        <w:t>Our retail customers generally make payments for prescription eyewear products at the time they place an order. Amounts we collect in advance for undelivered merchandise are reported as unearned re</w:t>
      </w:r>
      <w:r>
        <w:rPr>
          <w:rFonts w:eastAsia="Times New Roman"/>
          <w:color w:val="000000"/>
          <w:sz w:val="20"/>
          <w:szCs w:val="20"/>
        </w:rPr>
        <w:t>venue in the accompanying condensed consolidated balance sheets. Unearned revenue at the end of a reporting period is estimated based on delivery times throughout the current month which generally range from approximately</w:t>
      </w:r>
      <w:r>
        <w:rPr>
          <w:rFonts w:eastAsia="Times New Roman"/>
          <w:color w:val="1F497D"/>
          <w:sz w:val="22"/>
          <w:szCs w:val="22"/>
        </w:rPr>
        <w:t>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to 10 days; all unearned rev</w:t>
      </w:r>
      <w:r>
        <w:rPr>
          <w:rFonts w:eastAsia="Times New Roman"/>
          <w:color w:val="000000"/>
          <w:sz w:val="20"/>
          <w:szCs w:val="20"/>
        </w:rPr>
        <w:t>enue at the end of a reporting period is recognized in the next fiscal period.</w:t>
      </w:r>
    </w:p>
    <w:p w:rsidR="00000000" w:rsidRDefault="0039134F">
      <w:pPr>
        <w:jc w:val="both"/>
        <w:rPr>
          <w:rFonts w:eastAsia="Times New Roman"/>
        </w:rPr>
      </w:pPr>
      <w:r>
        <w:rPr>
          <w:rFonts w:eastAsia="Times New Roman"/>
          <w:color w:val="000000"/>
          <w:sz w:val="20"/>
          <w:szCs w:val="20"/>
        </w:rPr>
        <w:t>Our contract liabilities also consist of deferred revenue on services and plans obligations, primarily product protection plans and eyecare club memberships. The unamortized por</w:t>
      </w:r>
      <w:r>
        <w:rPr>
          <w:rFonts w:eastAsia="Times New Roman"/>
          <w:color w:val="000000"/>
          <w:sz w:val="20"/>
          <w:szCs w:val="20"/>
        </w:rPr>
        <w:t>tion of amounts we collect in advance for these services and plans is reported as deferred revenue in the accompanying condensed consolidated balance sheets (current and non-current portions). Our deferred revenue balance as of September 26, 2020 was $77.6</w:t>
      </w:r>
      <w:r>
        <w:rPr>
          <w:rFonts w:eastAsia="Times New Roman"/>
          <w:color w:val="000000"/>
          <w:sz w:val="20"/>
          <w:szCs w:val="20"/>
        </w:rPr>
        <w:t xml:space="preserve"> million. We expect future revenue recognition of this balance of $20.4 million, $41.6 million, $12.5 million, $3.0 million, and $0.1 million in fiscal years 2020, 2021, 2022, 2023, and 2024, respectively. We recognized $27.9 million and $80.0 million of p</w:t>
      </w:r>
      <w:r>
        <w:rPr>
          <w:rFonts w:eastAsia="Times New Roman"/>
          <w:color w:val="000000"/>
          <w:sz w:val="20"/>
          <w:szCs w:val="20"/>
        </w:rPr>
        <w:t>reviously deferred revenues during the three and nine months ended September 26, 2020, respectively, and $27.9 million and $83.2 million during the three and nine months ended September 28, 2019, respectively.</w:t>
      </w:r>
    </w:p>
    <w:p w:rsidR="00000000" w:rsidRDefault="0039134F">
      <w:pPr>
        <w:jc w:val="both"/>
        <w:rPr>
          <w:rFonts w:eastAsia="Times New Roman"/>
        </w:rPr>
      </w:pPr>
    </w:p>
    <w:p w:rsidR="00000000" w:rsidRDefault="0039134F">
      <w:pPr>
        <w:jc w:val="center"/>
        <w:divId w:val="1043481160"/>
        <w:rPr>
          <w:rFonts w:eastAsia="Times New Roman"/>
        </w:rPr>
      </w:pPr>
      <w:r>
        <w:rPr>
          <w:rFonts w:eastAsia="Times New Roman"/>
          <w:color w:val="000000"/>
          <w:sz w:val="20"/>
          <w:szCs w:val="20"/>
        </w:rPr>
        <w:t>21</w:t>
      </w:r>
    </w:p>
    <w:p w:rsidR="00000000" w:rsidRDefault="0039134F">
      <w:pPr>
        <w:rPr>
          <w:rFonts w:eastAsia="Times New Roman"/>
        </w:rPr>
      </w:pPr>
      <w:r>
        <w:rPr>
          <w:rFonts w:eastAsia="Times New Roman"/>
        </w:rPr>
        <w:pict>
          <v:rect id="_x0000_i1045" style="width:0;height:1.5pt" o:hralign="center" o:hrstd="t" o:hr="t" fillcolor="#a0a0a0" stroked="f"/>
        </w:pict>
      </w:r>
    </w:p>
    <w:p w:rsidR="00000000" w:rsidRDefault="0039134F">
      <w:pPr>
        <w:divId w:val="1266621879"/>
        <w:rPr>
          <w:rFonts w:eastAsia="Times New Roman"/>
        </w:rPr>
      </w:pPr>
      <w:r>
        <w:rPr>
          <w:rFonts w:eastAsia="Times New Roman"/>
          <w:color w:val="0000FF"/>
          <w:sz w:val="20"/>
          <w:szCs w:val="20"/>
          <w:u w:val="single"/>
        </w:rPr>
        <w:t>Table of contents</w:t>
      </w:r>
    </w:p>
    <w:p w:rsidR="00000000" w:rsidRDefault="0039134F">
      <w:pPr>
        <w:divId w:val="1940217334"/>
        <w:rPr>
          <w:rFonts w:eastAsia="Times New Roman"/>
        </w:rPr>
      </w:pPr>
    </w:p>
    <w:p w:rsidR="00000000" w:rsidRDefault="0039134F">
      <w:pPr>
        <w:jc w:val="both"/>
        <w:rPr>
          <w:rFonts w:eastAsia="Times New Roman"/>
        </w:rPr>
      </w:pPr>
      <w:r>
        <w:rPr>
          <w:rFonts w:eastAsia="Times New Roman"/>
          <w:b/>
          <w:bCs/>
          <w:color w:val="000000"/>
          <w:sz w:val="20"/>
          <w:szCs w:val="20"/>
        </w:rPr>
        <w:t>9. Leases</w:t>
      </w:r>
    </w:p>
    <w:p w:rsidR="00000000" w:rsidRDefault="0039134F">
      <w:pPr>
        <w:jc w:val="both"/>
        <w:rPr>
          <w:rFonts w:eastAsia="Times New Roman"/>
        </w:rPr>
      </w:pPr>
    </w:p>
    <w:p w:rsidR="00000000" w:rsidRDefault="0039134F">
      <w:pPr>
        <w:jc w:val="both"/>
        <w:divId w:val="1141312443"/>
        <w:rPr>
          <w:rFonts w:eastAsia="Times New Roman"/>
        </w:rPr>
      </w:pPr>
      <w:r>
        <w:rPr>
          <w:rFonts w:eastAsia="Times New Roman"/>
          <w:color w:val="000000"/>
          <w:sz w:val="20"/>
          <w:szCs w:val="20"/>
        </w:rPr>
        <w:t>We lease our stores, laboratories, distribution centers, and corporate offices. These leases generally have noncancelable lease terms of between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and 10 years, with an option to renew </w:t>
      </w:r>
      <w:r>
        <w:rPr>
          <w:rFonts w:eastAsia="Times New Roman"/>
          <w:color w:val="000000"/>
          <w:sz w:val="20"/>
          <w:szCs w:val="20"/>
        </w:rPr>
        <w:t>for additional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10 years or more. The lease term includes renewal option periods when the renewal is deemed reasonably certain after considering the value of the leasehold improvements at the end of the noncancelable lease period. Most lease</w:t>
      </w:r>
      <w:r>
        <w:rPr>
          <w:rFonts w:eastAsia="Times New Roman"/>
          <w:color w:val="000000"/>
          <w:sz w:val="20"/>
          <w:szCs w:val="20"/>
        </w:rPr>
        <w:t>s for our stores provide for a minimum rent and typically include escalating rent over time with the exception of Military for which lease payments are variable and based on a percentage of sales. For Vista Optical locations in Fred Meyer stores, we pay fi</w:t>
      </w:r>
      <w:r>
        <w:rPr>
          <w:rFonts w:eastAsia="Times New Roman"/>
          <w:color w:val="000000"/>
          <w:sz w:val="20"/>
          <w:szCs w:val="20"/>
        </w:rPr>
        <w:t xml:space="preserve">xed rent plus a percentage of sales after certain minimum thresholds are achieved. The Company’s leases generally require us to pay insurance, real estate taxes and common area maintenance expenses, substantially all of which are variable and not included </w:t>
      </w:r>
      <w:r>
        <w:rPr>
          <w:rFonts w:eastAsia="Times New Roman"/>
          <w:color w:val="000000"/>
          <w:sz w:val="20"/>
          <w:szCs w:val="20"/>
        </w:rPr>
        <w:t>in the measurement of the lease liability. Our lease agreements do not contain any material residual value guarantees or material restrictive covenants. With respect to lease accounting guidance, the Company’s management &amp; services agreement with its legac</w:t>
      </w:r>
      <w:r>
        <w:rPr>
          <w:rFonts w:eastAsia="Times New Roman"/>
          <w:color w:val="000000"/>
          <w:sz w:val="20"/>
          <w:szCs w:val="20"/>
        </w:rPr>
        <w:t>y partner does not contain a lease arrangement.</w:t>
      </w:r>
    </w:p>
    <w:p w:rsidR="00000000" w:rsidRDefault="0039134F">
      <w:pPr>
        <w:jc w:val="both"/>
        <w:divId w:val="35814499"/>
        <w:rPr>
          <w:rFonts w:eastAsia="Times New Roman"/>
        </w:rPr>
      </w:pPr>
      <w:r>
        <w:rPr>
          <w:rFonts w:eastAsia="Times New Roman"/>
          <w:color w:val="000000"/>
          <w:sz w:val="20"/>
          <w:szCs w:val="20"/>
        </w:rPr>
        <w:t xml:space="preserve">Our lease arrangements frequently include Tenant Improvement Allowances (“TIAs”), which are contractual amounts received from a lessor for improvements made to leased properties by the Company. For operating </w:t>
      </w:r>
      <w:r>
        <w:rPr>
          <w:rFonts w:eastAsia="Times New Roman"/>
          <w:color w:val="000000"/>
          <w:sz w:val="20"/>
          <w:szCs w:val="20"/>
        </w:rPr>
        <w:t xml:space="preserve">leases, TIAs are treated as a reduction of the lease payments used to measure the ROU assets in the accompanying consolidated balance sheets, and are amortized as a reduction in rental expense over the life of the respective leases. </w:t>
      </w:r>
    </w:p>
    <w:p w:rsidR="00000000" w:rsidRDefault="0039134F">
      <w:pPr>
        <w:jc w:val="both"/>
        <w:divId w:val="2094083058"/>
        <w:rPr>
          <w:rFonts w:eastAsia="Times New Roman"/>
        </w:rPr>
      </w:pPr>
      <w:r>
        <w:rPr>
          <w:rFonts w:eastAsia="Times New Roman"/>
          <w:color w:val="000000"/>
          <w:sz w:val="20"/>
          <w:szCs w:val="20"/>
        </w:rPr>
        <w:t>We rent or sublease ce</w:t>
      </w:r>
      <w:r>
        <w:rPr>
          <w:rFonts w:eastAsia="Times New Roman"/>
          <w:color w:val="000000"/>
          <w:sz w:val="20"/>
          <w:szCs w:val="20"/>
        </w:rPr>
        <w:t>rtain parts of our stores to third parties. Our sublease portfolio consists mainly of operating leases with our ophthalmologists and optometrists within our stores.</w:t>
      </w:r>
    </w:p>
    <w:p w:rsidR="00000000" w:rsidRDefault="0039134F">
      <w:pPr>
        <w:jc w:val="both"/>
        <w:divId w:val="85153889"/>
        <w:rPr>
          <w:rFonts w:eastAsia="Times New Roman"/>
        </w:rPr>
      </w:pPr>
      <w:r>
        <w:rPr>
          <w:rFonts w:eastAsia="Times New Roman"/>
          <w:color w:val="000000"/>
          <w:sz w:val="20"/>
          <w:szCs w:val="20"/>
        </w:rPr>
        <w:t xml:space="preserve">In response to the COVID-19 pandemic, we began seeking relief from our landlords while our </w:t>
      </w:r>
      <w:r>
        <w:rPr>
          <w:rFonts w:eastAsia="Times New Roman"/>
          <w:color w:val="000000"/>
          <w:sz w:val="20"/>
          <w:szCs w:val="20"/>
        </w:rPr>
        <w:t xml:space="preserve">stores were temporarily closed to the public. On April 10, 2020, the Financial Accounting Standards Board staff issued a question-and-answer document providing guidance for lease concessions provided to lessees in response to the effects of COVID-19. Such </w:t>
      </w:r>
      <w:r>
        <w:rPr>
          <w:rFonts w:eastAsia="Times New Roman"/>
          <w:color w:val="000000"/>
          <w:sz w:val="20"/>
          <w:szCs w:val="20"/>
        </w:rPr>
        <w:t>guidance allows lessees to make an election to account for lease concessions as though the enforceable rights and obligations existed in the original lease. This election is only available when the concessions do not result in a substantial increase in the</w:t>
      </w:r>
      <w:r>
        <w:rPr>
          <w:rFonts w:eastAsia="Times New Roman"/>
          <w:color w:val="000000"/>
          <w:sz w:val="20"/>
          <w:szCs w:val="20"/>
        </w:rPr>
        <w:t xml:space="preserve"> obligations of the lessee.</w:t>
      </w:r>
    </w:p>
    <w:p w:rsidR="00000000" w:rsidRDefault="0039134F">
      <w:pPr>
        <w:jc w:val="both"/>
        <w:divId w:val="427890599"/>
        <w:rPr>
          <w:rFonts w:eastAsia="Times New Roman"/>
        </w:rPr>
      </w:pPr>
      <w:r>
        <w:rPr>
          <w:rFonts w:eastAsia="Times New Roman"/>
          <w:color w:val="000000"/>
          <w:sz w:val="20"/>
          <w:szCs w:val="20"/>
        </w:rPr>
        <w:t>During the second quarter of 2020, we reached rent concession agreements where certain of these concession arrangements included lease term extensions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12 months. The Company has elected to account for lease con</w:t>
      </w:r>
      <w:r>
        <w:rPr>
          <w:rFonts w:eastAsia="Times New Roman"/>
          <w:color w:val="000000"/>
          <w:sz w:val="20"/>
          <w:szCs w:val="20"/>
        </w:rPr>
        <w:t>cessions and deferrals resulting directly from the COVID-19 pandemic as though the enforceable rights and obligations to the deferrals existed in the respective contracts at lease inception and will not account for the concessions as lease modifications, u</w:t>
      </w:r>
      <w:r>
        <w:rPr>
          <w:rFonts w:eastAsia="Times New Roman"/>
          <w:color w:val="000000"/>
          <w:sz w:val="20"/>
          <w:szCs w:val="20"/>
        </w:rPr>
        <w:t>nless the concession results in a substantial increase in the Company’s obligations. The majority of leases where we received a concession did not result in a substantial increase in our obligations. Lease concessions of $6.3 million were recorded in Other</w:t>
      </w:r>
      <w:r>
        <w:rPr>
          <w:rFonts w:eastAsia="Times New Roman"/>
          <w:color w:val="000000"/>
          <w:sz w:val="20"/>
          <w:szCs w:val="20"/>
        </w:rPr>
        <w:t xml:space="preserve"> payables and accrued expenses as of September 26, 2020. See Note 2. “Details of Certain Balance Sheet Accounts” for further details.</w:t>
      </w:r>
    </w:p>
    <w:p w:rsidR="00000000" w:rsidRDefault="0039134F">
      <w:pPr>
        <w:jc w:val="center"/>
        <w:divId w:val="1870026207"/>
        <w:rPr>
          <w:rFonts w:eastAsia="Times New Roman"/>
        </w:rPr>
      </w:pPr>
      <w:r>
        <w:rPr>
          <w:rFonts w:eastAsia="Times New Roman"/>
          <w:color w:val="000000"/>
          <w:sz w:val="20"/>
          <w:szCs w:val="20"/>
        </w:rPr>
        <w:t>22</w:t>
      </w:r>
    </w:p>
    <w:p w:rsidR="00000000" w:rsidRDefault="0039134F">
      <w:pPr>
        <w:rPr>
          <w:rFonts w:eastAsia="Times New Roman"/>
        </w:rPr>
      </w:pPr>
      <w:r>
        <w:rPr>
          <w:rFonts w:eastAsia="Times New Roman"/>
        </w:rPr>
        <w:pict>
          <v:rect id="_x0000_i1046" style="width:0;height:1.5pt" o:hralign="center" o:hrstd="t" o:hr="t" fillcolor="#a0a0a0" stroked="f"/>
        </w:pict>
      </w:r>
    </w:p>
    <w:p w:rsidR="00000000" w:rsidRDefault="0039134F">
      <w:pPr>
        <w:divId w:val="1978686074"/>
        <w:rPr>
          <w:rFonts w:eastAsia="Times New Roman"/>
        </w:rPr>
      </w:pPr>
      <w:r>
        <w:rPr>
          <w:rFonts w:eastAsia="Times New Roman"/>
          <w:color w:val="0000FF"/>
          <w:sz w:val="20"/>
          <w:szCs w:val="20"/>
          <w:u w:val="single"/>
        </w:rPr>
        <w:t>Table of contents</w:t>
      </w:r>
    </w:p>
    <w:p w:rsidR="00000000" w:rsidRDefault="0039134F">
      <w:pPr>
        <w:jc w:val="center"/>
        <w:divId w:val="677850009"/>
        <w:rPr>
          <w:rFonts w:eastAsia="Times New Roman"/>
        </w:rPr>
      </w:pPr>
    </w:p>
    <w:tbl>
      <w:tblPr>
        <w:tblW w:w="4975" w:type="pct"/>
        <w:jc w:val="center"/>
        <w:tblCellMar>
          <w:top w:w="15" w:type="dxa"/>
          <w:left w:w="15" w:type="dxa"/>
          <w:bottom w:w="15" w:type="dxa"/>
          <w:right w:w="15" w:type="dxa"/>
        </w:tblCellMar>
        <w:tblLook w:val="04A0" w:firstRow="1" w:lastRow="0" w:firstColumn="1" w:lastColumn="0" w:noHBand="0" w:noVBand="1"/>
      </w:tblPr>
      <w:tblGrid>
        <w:gridCol w:w="86"/>
        <w:gridCol w:w="746"/>
        <w:gridCol w:w="37"/>
        <w:gridCol w:w="38"/>
        <w:gridCol w:w="4103"/>
        <w:gridCol w:w="37"/>
        <w:gridCol w:w="36"/>
        <w:gridCol w:w="36"/>
        <w:gridCol w:w="36"/>
        <w:gridCol w:w="121"/>
        <w:gridCol w:w="1342"/>
        <w:gridCol w:w="36"/>
        <w:gridCol w:w="36"/>
        <w:gridCol w:w="36"/>
        <w:gridCol w:w="36"/>
        <w:gridCol w:w="121"/>
        <w:gridCol w:w="1345"/>
        <w:gridCol w:w="36"/>
      </w:tblGrid>
      <w:tr w:rsidR="00000000">
        <w:trPr>
          <w:divId w:val="207256876"/>
          <w:jc w:val="center"/>
        </w:trPr>
        <w:tc>
          <w:tcPr>
            <w:tcW w:w="50" w:type="pct"/>
            <w:vAlign w:val="center"/>
            <w:hideMark/>
          </w:tcPr>
          <w:p w:rsidR="00000000" w:rsidRDefault="0039134F">
            <w:pPr>
              <w:jc w:val="center"/>
              <w:rPr>
                <w:rFonts w:eastAsia="Times New Roman"/>
              </w:rPr>
            </w:pPr>
          </w:p>
        </w:tc>
        <w:tc>
          <w:tcPr>
            <w:tcW w:w="43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52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7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207256876"/>
          <w:jc w:val="center"/>
        </w:trPr>
        <w:tc>
          <w:tcPr>
            <w:tcW w:w="0" w:type="auto"/>
            <w:gridSpan w:val="6"/>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207256876"/>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Type</w:t>
            </w: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Classification</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07256876"/>
          <w:jc w:val="center"/>
        </w:trPr>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07256876"/>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39134F">
            <w:pPr>
              <w:divId w:val="300117655"/>
              <w:rPr>
                <w:rFonts w:eastAsia="Times New Roman"/>
              </w:rPr>
            </w:pPr>
            <w:r>
              <w:rPr>
                <w:rFonts w:eastAsia="Times New Roman"/>
                <w:color w:val="000000"/>
                <w:sz w:val="20"/>
                <w:szCs w:val="20"/>
              </w:rPr>
              <w:t>Property and equipment, net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25,537 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28,128 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39134F">
            <w:pPr>
              <w:divId w:val="1124083272"/>
              <w:rPr>
                <w:rFonts w:eastAsia="Times New Roman"/>
              </w:rPr>
            </w:pPr>
            <w:r>
              <w:rPr>
                <w:rFonts w:eastAsia="Times New Roman"/>
                <w:color w:val="000000"/>
                <w:sz w:val="20"/>
                <w:szCs w:val="20"/>
              </w:rPr>
              <w:t>Right of use asset</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335,860 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348,090 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361,397 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376,218 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07256876"/>
          <w:jc w:val="center"/>
        </w:trPr>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07256876"/>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Current maturities of long-term debt and finance lease obligations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3,537 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3,259 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39134F">
            <w:pPr>
              <w:divId w:val="735395532"/>
              <w:rPr>
                <w:rFonts w:eastAsia="Times New Roman"/>
              </w:rPr>
            </w:pPr>
            <w:r>
              <w:rPr>
                <w:rFonts w:eastAsia="Times New Roman"/>
                <w:color w:val="000000"/>
                <w:sz w:val="20"/>
                <w:szCs w:val="20"/>
              </w:rPr>
              <w:t>Current operating lease obligations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57,036 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51,937 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07256876"/>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Long-term debt and finance lease obligations, less current portion and debt discount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28,073 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30,037 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Non-current operating lease obligations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320,155 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331,769 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408,801 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417,002 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07256876"/>
          <w:jc w:val="center"/>
        </w:trPr>
        <w:tc>
          <w:tcPr>
            <w:tcW w:w="0" w:type="auto"/>
            <w:gridSpan w:val="18"/>
            <w:shd w:val="clear" w:color="auto" w:fill="FFFFFF"/>
            <w:tcMar>
              <w:top w:w="30" w:type="dxa"/>
              <w:left w:w="20" w:type="dxa"/>
              <w:bottom w:w="30" w:type="dxa"/>
              <w:right w:w="20" w:type="dxa"/>
            </w:tcMar>
            <w:vAlign w:val="bottom"/>
            <w:hideMark/>
          </w:tcPr>
          <w:p w:rsidR="00000000" w:rsidRDefault="0039134F">
            <w:pPr>
              <w:jc w:val="both"/>
              <w:divId w:val="713969722"/>
              <w:rPr>
                <w:rFonts w:eastAsia="Times New Roman"/>
              </w:rPr>
            </w:pPr>
            <w:r>
              <w:rPr>
                <w:rFonts w:eastAsia="Times New Roman"/>
                <w:color w:val="000000"/>
                <w:sz w:val="16"/>
                <w:szCs w:val="16"/>
              </w:rPr>
              <w:t>As most of our leases do not provide an implicit rate, we use our incremental borrowing rate based on the information available at commencement date in determining the net present value of minimum lease payments. We used the incremental borrowin</w:t>
            </w:r>
            <w:r>
              <w:rPr>
                <w:rFonts w:eastAsia="Times New Roman"/>
                <w:color w:val="000000"/>
                <w:sz w:val="16"/>
                <w:szCs w:val="16"/>
              </w:rPr>
              <w:t>g rate on December 30, 2018, for operating leases that commenced prior to that date.</w:t>
            </w:r>
          </w:p>
        </w:tc>
      </w:tr>
    </w:tbl>
    <w:p w:rsidR="00000000" w:rsidRDefault="0039134F">
      <w:pPr>
        <w:divId w:val="709379264"/>
        <w:rPr>
          <w:rFonts w:eastAsia="Times New Roman"/>
        </w:rPr>
      </w:pPr>
      <w:r>
        <w:rPr>
          <w:rFonts w:eastAsia="Times New Roman"/>
          <w:color w:val="000000"/>
          <w:sz w:val="16"/>
          <w:szCs w:val="16"/>
        </w:rPr>
        <w:t>_________</w:t>
      </w:r>
    </w:p>
    <w:p w:rsidR="00000000" w:rsidRDefault="0039134F">
      <w:pPr>
        <w:jc w:val="both"/>
        <w:rPr>
          <w:rFonts w:eastAsia="Times New Roman"/>
        </w:rPr>
      </w:pPr>
      <w:r>
        <w:rPr>
          <w:rFonts w:eastAsia="Times New Roman"/>
          <w:color w:val="000000"/>
          <w:sz w:val="16"/>
          <w:szCs w:val="16"/>
        </w:rPr>
        <w:t xml:space="preserve">(a) Finance lease assets are recorded net of accumulated amortization of $11.6 million and $8.3 </w:t>
      </w:r>
      <w:r>
        <w:rPr>
          <w:rFonts w:eastAsia="Times New Roman"/>
          <w:color w:val="000000"/>
          <w:sz w:val="16"/>
          <w:szCs w:val="16"/>
        </w:rPr>
        <w:t>million as of September 26, 2020 and December 28, 2019, respectively.</w:t>
      </w:r>
    </w:p>
    <w:p w:rsidR="00000000" w:rsidRDefault="0039134F">
      <w:pPr>
        <w:jc w:val="both"/>
        <w:rPr>
          <w:rFonts w:eastAsia="Times New Roman"/>
        </w:rPr>
      </w:pPr>
      <w:r>
        <w:rPr>
          <w:rFonts w:eastAsia="Times New Roman"/>
          <w:color w:val="000000"/>
          <w:sz w:val="16"/>
          <w:szCs w:val="16"/>
        </w:rPr>
        <w:t>(b) TIA of $34.9 million and $35.2 million are treated as reductions of lease payments used to measure ROU assets as of September 26, 2020 and December 28, 2019, respectively. Deferred r</w:t>
      </w:r>
      <w:r>
        <w:rPr>
          <w:rFonts w:eastAsia="Times New Roman"/>
          <w:color w:val="000000"/>
          <w:sz w:val="16"/>
          <w:szCs w:val="16"/>
        </w:rPr>
        <w:t>ent of $17.0 million and $15.0 million are treated as reductions of lease payments used to measure ROU assets as of September 26, 2020 and December 28, 2019, respectively.</w:t>
      </w:r>
    </w:p>
    <w:p w:rsidR="00000000" w:rsidRDefault="0039134F">
      <w:pPr>
        <w:jc w:val="both"/>
        <w:divId w:val="560750083"/>
        <w:rPr>
          <w:rFonts w:eastAsia="Times New Roman"/>
        </w:rPr>
      </w:pPr>
      <w:r>
        <w:rPr>
          <w:rFonts w:eastAsia="Times New Roman"/>
          <w:color w:val="000000"/>
          <w:sz w:val="16"/>
          <w:szCs w:val="16"/>
        </w:rPr>
        <w:t xml:space="preserve">(c) Current operating lease liabilities are measured net of TIA receivables of $3.9 </w:t>
      </w:r>
      <w:r>
        <w:rPr>
          <w:rFonts w:eastAsia="Times New Roman"/>
          <w:color w:val="000000"/>
          <w:sz w:val="16"/>
          <w:szCs w:val="16"/>
        </w:rPr>
        <w:t>million and $5.9 million as of September 26, 2020 and December 28,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887"/>
        <w:gridCol w:w="37"/>
        <w:gridCol w:w="121"/>
        <w:gridCol w:w="868"/>
        <w:gridCol w:w="36"/>
        <w:gridCol w:w="36"/>
        <w:gridCol w:w="36"/>
        <w:gridCol w:w="36"/>
        <w:gridCol w:w="121"/>
        <w:gridCol w:w="831"/>
        <w:gridCol w:w="36"/>
        <w:gridCol w:w="36"/>
        <w:gridCol w:w="36"/>
        <w:gridCol w:w="36"/>
        <w:gridCol w:w="121"/>
        <w:gridCol w:w="832"/>
        <w:gridCol w:w="36"/>
        <w:gridCol w:w="36"/>
        <w:gridCol w:w="36"/>
        <w:gridCol w:w="36"/>
        <w:gridCol w:w="121"/>
        <w:gridCol w:w="861"/>
        <w:gridCol w:w="36"/>
      </w:tblGrid>
      <w:tr w:rsidR="00000000">
        <w:trPr>
          <w:divId w:val="1452868146"/>
        </w:trPr>
        <w:tc>
          <w:tcPr>
            <w:tcW w:w="50" w:type="pct"/>
            <w:vAlign w:val="center"/>
            <w:hideMark/>
          </w:tcPr>
          <w:p w:rsidR="00000000" w:rsidRDefault="0039134F">
            <w:pPr>
              <w:jc w:val="both"/>
              <w:rPr>
                <w:rFonts w:eastAsia="Times New Roman"/>
              </w:rPr>
            </w:pPr>
          </w:p>
        </w:tc>
        <w:tc>
          <w:tcPr>
            <w:tcW w:w="237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7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452868146"/>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452868146"/>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45286814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i/>
                <w:iCs/>
                <w:color w:val="000000"/>
                <w:sz w:val="20"/>
                <w:szCs w:val="20"/>
              </w:rPr>
              <w:t>Operating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FFFFFF"/>
            <w:tcMar>
              <w:top w:w="30" w:type="dxa"/>
              <w:left w:w="20" w:type="dxa"/>
              <w:bottom w:w="30" w:type="dxa"/>
              <w:right w:w="20" w:type="dxa"/>
            </w:tcMar>
            <w:vAlign w:val="bottom"/>
            <w:hideMark/>
          </w:tcPr>
          <w:p w:rsidR="00000000" w:rsidRDefault="0039134F">
            <w:pPr>
              <w:divId w:val="729620995"/>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19,473 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18,542 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57,885 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54,955 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Pr>
        <w:tc>
          <w:tcPr>
            <w:tcW w:w="0" w:type="auto"/>
            <w:gridSpan w:val="3"/>
            <w:shd w:val="clear" w:color="auto" w:fill="CCEEFF"/>
            <w:tcMar>
              <w:top w:w="30" w:type="dxa"/>
              <w:left w:w="20" w:type="dxa"/>
              <w:bottom w:w="30" w:type="dxa"/>
              <w:right w:w="20" w:type="dxa"/>
            </w:tcMar>
            <w:vAlign w:val="bottom"/>
            <w:hideMark/>
          </w:tcPr>
          <w:p w:rsidR="00000000" w:rsidRDefault="0039134F">
            <w:pPr>
              <w:divId w:val="1305089466"/>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6,745 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20,369 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19,803 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Pr>
        <w:tc>
          <w:tcPr>
            <w:tcW w:w="0" w:type="auto"/>
            <w:gridSpan w:val="3"/>
            <w:shd w:val="clear" w:color="auto" w:fill="FFFFFF"/>
            <w:tcMar>
              <w:top w:w="30" w:type="dxa"/>
              <w:left w:w="20" w:type="dxa"/>
              <w:bottom w:w="30" w:type="dxa"/>
              <w:right w:w="20" w:type="dxa"/>
            </w:tcMar>
            <w:vAlign w:val="bottom"/>
            <w:hideMark/>
          </w:tcPr>
          <w:p w:rsidR="00000000" w:rsidRDefault="0039134F">
            <w:pPr>
              <w:divId w:val="360206503"/>
              <w:rPr>
                <w:rFonts w:eastAsia="Times New Roman"/>
              </w:rPr>
            </w:pPr>
            <w:r>
              <w:rPr>
                <w:rFonts w:eastAsia="Times New Roman"/>
                <w:color w:val="000000"/>
                <w:sz w:val="20"/>
                <w:szCs w:val="20"/>
              </w:rPr>
              <w:t>Sublease incom</w:t>
            </w:r>
            <w:r>
              <w:rPr>
                <w:rFonts w:eastAsia="Times New Roman"/>
                <w:color w:val="000000"/>
                <w:sz w:val="20"/>
                <w:szCs w:val="20"/>
              </w:rPr>
              <w:t>e</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(896)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(965)</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(1,778)</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(2,881)</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Height w:val="28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i/>
                <w:iCs/>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Amortization of finance lease assets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1,176 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3,424 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3,231 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Height w:val="280"/>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i/>
                <w:iCs/>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on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Height w:val="28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Net lease cost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27,749 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77,797 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452868146"/>
          <w:trHeight w:val="180"/>
        </w:trPr>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452868146"/>
        </w:trPr>
        <w:tc>
          <w:tcPr>
            <w:tcW w:w="0" w:type="auto"/>
            <w:gridSpan w:val="24"/>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16"/>
                <w:szCs w:val="16"/>
              </w:rPr>
              <w:t>(a) Includes short-term leases, which are immaterial.</w:t>
            </w:r>
          </w:p>
        </w:tc>
      </w:tr>
      <w:tr w:rsidR="00000000">
        <w:trPr>
          <w:divId w:val="1452868146"/>
        </w:trPr>
        <w:tc>
          <w:tcPr>
            <w:tcW w:w="0" w:type="auto"/>
            <w:gridSpan w:val="24"/>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r>
      <w:tr w:rsidR="00000000">
        <w:trPr>
          <w:divId w:val="1452868146"/>
        </w:trPr>
        <w:tc>
          <w:tcPr>
            <w:tcW w:w="0" w:type="auto"/>
            <w:gridSpan w:val="24"/>
            <w:tcMar>
              <w:top w:w="30" w:type="dxa"/>
              <w:left w:w="20" w:type="dxa"/>
              <w:bottom w:w="30" w:type="dxa"/>
              <w:right w:w="20" w:type="dxa"/>
            </w:tcMar>
            <w:vAlign w:val="bottom"/>
            <w:hideMark/>
          </w:tcPr>
          <w:p w:rsidR="00000000" w:rsidRDefault="0039134F">
            <w:pPr>
              <w:jc w:val="both"/>
              <w:rPr>
                <w:rFonts w:eastAsia="Times New Roman"/>
              </w:rPr>
            </w:pPr>
            <w:r>
              <w:rPr>
                <w:rFonts w:eastAsia="Times New Roman"/>
                <w:color w:val="000000"/>
                <w:sz w:val="16"/>
                <w:szCs w:val="16"/>
              </w:rPr>
              <w:t>(c) Income from sub-leasing of stores includes rental income from operating lease properties to ophthalmologists and optometrists who are independent contractors.</w:t>
            </w:r>
          </w:p>
        </w:tc>
      </w:tr>
    </w:tbl>
    <w:p w:rsidR="00000000" w:rsidRDefault="0039134F">
      <w:pPr>
        <w:jc w:val="center"/>
        <w:divId w:val="860751128"/>
        <w:rPr>
          <w:rFonts w:eastAsia="Times New Roman"/>
        </w:rPr>
      </w:pPr>
      <w:r>
        <w:rPr>
          <w:rFonts w:eastAsia="Times New Roman"/>
          <w:color w:val="000000"/>
          <w:sz w:val="20"/>
          <w:szCs w:val="20"/>
        </w:rPr>
        <w:t>23</w:t>
      </w:r>
    </w:p>
    <w:p w:rsidR="00000000" w:rsidRDefault="0039134F">
      <w:pPr>
        <w:rPr>
          <w:rFonts w:eastAsia="Times New Roman"/>
        </w:rPr>
      </w:pPr>
      <w:r>
        <w:rPr>
          <w:rFonts w:eastAsia="Times New Roman"/>
        </w:rPr>
        <w:pict>
          <v:rect id="_x0000_i1047" style="width:0;height:1.5pt" o:hralign="center" o:hrstd="t" o:hr="t" fillcolor="#a0a0a0" stroked="f"/>
        </w:pict>
      </w:r>
    </w:p>
    <w:p w:rsidR="00000000" w:rsidRDefault="0039134F">
      <w:pPr>
        <w:divId w:val="1496990386"/>
        <w:rPr>
          <w:rFonts w:eastAsia="Times New Roman"/>
        </w:rPr>
      </w:pPr>
      <w:r>
        <w:rPr>
          <w:rFonts w:eastAsia="Times New Roman"/>
          <w:color w:val="0000FF"/>
          <w:sz w:val="20"/>
          <w:szCs w:val="20"/>
          <w:u w:val="single"/>
        </w:rPr>
        <w:t>Table of contents</w:t>
      </w:r>
    </w:p>
    <w:p w:rsidR="00000000" w:rsidRDefault="0039134F">
      <w:pPr>
        <w:jc w:val="center"/>
        <w:divId w:val="141112248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47"/>
        <w:gridCol w:w="37"/>
        <w:gridCol w:w="36"/>
        <w:gridCol w:w="36"/>
        <w:gridCol w:w="36"/>
        <w:gridCol w:w="36"/>
        <w:gridCol w:w="36"/>
        <w:gridCol w:w="36"/>
        <w:gridCol w:w="58"/>
        <w:gridCol w:w="1035"/>
        <w:gridCol w:w="187"/>
        <w:gridCol w:w="36"/>
        <w:gridCol w:w="36"/>
        <w:gridCol w:w="36"/>
        <w:gridCol w:w="56"/>
        <w:gridCol w:w="1037"/>
        <w:gridCol w:w="187"/>
      </w:tblGrid>
      <w:tr w:rsidR="00000000">
        <w:trPr>
          <w:divId w:val="1204559080"/>
          <w:jc w:val="center"/>
        </w:trPr>
        <w:tc>
          <w:tcPr>
            <w:tcW w:w="50" w:type="pct"/>
            <w:vAlign w:val="center"/>
            <w:hideMark/>
          </w:tcPr>
          <w:p w:rsidR="00000000" w:rsidRDefault="0039134F">
            <w:pPr>
              <w:jc w:val="center"/>
              <w:rPr>
                <w:rFonts w:eastAsia="Times New Roman"/>
              </w:rPr>
            </w:pPr>
          </w:p>
        </w:tc>
        <w:tc>
          <w:tcPr>
            <w:tcW w:w="33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7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7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204559080"/>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Lease Term and Discount Rate</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September 26, 2020</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As of</w:t>
            </w:r>
            <w:r>
              <w:rPr>
                <w:rFonts w:eastAsia="Times New Roman"/>
                <w:color w:val="000000"/>
                <w:sz w:val="20"/>
                <w:szCs w:val="20"/>
              </w:rPr>
              <w:br/>
              <w:t>December 28, 2019</w:t>
            </w:r>
          </w:p>
        </w:tc>
      </w:tr>
      <w:tr w:rsidR="00000000">
        <w:trPr>
          <w:divId w:val="120455908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Weighted average remaining lease term (months)</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204559080"/>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 leases</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78</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82</w:t>
            </w:r>
          </w:p>
        </w:tc>
      </w:tr>
      <w:tr w:rsidR="00000000">
        <w:trPr>
          <w:divId w:val="1204559080"/>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Finance leases</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83</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88</w:t>
            </w:r>
          </w:p>
        </w:tc>
      </w:tr>
      <w:tr w:rsidR="00000000">
        <w:trPr>
          <w:divId w:val="1204559080"/>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147086247"/>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204559080"/>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 leases</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204559080"/>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267471582"/>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204559080"/>
          <w:trHeight w:val="180"/>
          <w:jc w:val="center"/>
        </w:trPr>
        <w:tc>
          <w:tcPr>
            <w:tcW w:w="0" w:type="auto"/>
            <w:gridSpan w:val="3"/>
            <w:tcMar>
              <w:top w:w="0" w:type="dxa"/>
              <w:left w:w="20" w:type="dxa"/>
              <w:bottom w:w="0" w:type="dxa"/>
              <w:right w:w="20" w:type="dxa"/>
            </w:tcMar>
            <w:vAlign w:val="center"/>
            <w:hideMark/>
          </w:tcPr>
          <w:p w:rsidR="00000000" w:rsidRDefault="0039134F">
            <w:pPr>
              <w:jc w:val="right"/>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204559080"/>
          <w:jc w:val="center"/>
        </w:trPr>
        <w:tc>
          <w:tcPr>
            <w:tcW w:w="0" w:type="auto"/>
            <w:gridSpan w:val="9"/>
            <w:tcMar>
              <w:top w:w="30" w:type="dxa"/>
              <w:left w:w="20" w:type="dxa"/>
              <w:bottom w:w="30" w:type="dxa"/>
              <w:right w:w="20" w:type="dxa"/>
            </w:tcMar>
            <w:vAlign w:val="bottom"/>
            <w:hideMark/>
          </w:tcPr>
          <w:p w:rsidR="00000000" w:rsidRDefault="0039134F">
            <w:pPr>
              <w:divId w:val="1111129755"/>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we pay on our interest rate swaps; (iii) LIBOR marg</w:t>
            </w:r>
            <w:r>
              <w:rPr>
                <w:rFonts w:eastAsia="Times New Roman"/>
                <w:color w:val="000000"/>
                <w:sz w:val="16"/>
                <w:szCs w:val="16"/>
              </w:rPr>
              <w:t>ins for issuers of similar credit rating; and (iv) effect of collateralization. As a majority of our leases are five-year and 10-year leases, we determined a lease discount rate for such tenors and determined this discount rate is reasonable for leases tha</w:t>
            </w:r>
            <w:r>
              <w:rPr>
                <w:rFonts w:eastAsia="Times New Roman"/>
                <w:color w:val="000000"/>
                <w:sz w:val="16"/>
                <w:szCs w:val="16"/>
              </w:rPr>
              <w:t>t were entered into during the period.</w:t>
            </w: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r>
      <w:tr w:rsidR="00000000">
        <w:trPr>
          <w:divId w:val="1204559080"/>
          <w:jc w:val="center"/>
        </w:trPr>
        <w:tc>
          <w:tcPr>
            <w:tcW w:w="0" w:type="auto"/>
            <w:gridSpan w:val="9"/>
            <w:tcMar>
              <w:top w:w="30" w:type="dxa"/>
              <w:left w:w="20" w:type="dxa"/>
              <w:bottom w:w="30" w:type="dxa"/>
              <w:right w:w="20" w:type="dxa"/>
            </w:tcMar>
            <w:vAlign w:val="bottom"/>
            <w:hideMark/>
          </w:tcPr>
          <w:p w:rsidR="00000000" w:rsidRDefault="0039134F">
            <w:pPr>
              <w:divId w:val="740367084"/>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498"/>
        <w:gridCol w:w="144"/>
        <w:gridCol w:w="480"/>
        <w:gridCol w:w="480"/>
        <w:gridCol w:w="480"/>
        <w:gridCol w:w="480"/>
        <w:gridCol w:w="480"/>
        <w:gridCol w:w="480"/>
        <w:gridCol w:w="480"/>
        <w:gridCol w:w="144"/>
        <w:gridCol w:w="144"/>
        <w:gridCol w:w="144"/>
        <w:gridCol w:w="144"/>
        <w:gridCol w:w="1199"/>
        <w:gridCol w:w="144"/>
        <w:gridCol w:w="144"/>
        <w:gridCol w:w="144"/>
        <w:gridCol w:w="144"/>
        <w:gridCol w:w="144"/>
        <w:gridCol w:w="1199"/>
        <w:gridCol w:w="144"/>
      </w:tblGrid>
      <w:tr w:rsidR="00000000">
        <w:trPr>
          <w:jc w:val="center"/>
        </w:trPr>
        <w:tc>
          <w:tcPr>
            <w:tcW w:w="50" w:type="pct"/>
            <w:vAlign w:val="center"/>
            <w:hideMark/>
          </w:tcPr>
          <w:p w:rsidR="00000000" w:rsidRDefault="0039134F">
            <w:pPr>
              <w:jc w:val="center"/>
              <w:rPr>
                <w:rFonts w:eastAsia="Times New Roman"/>
              </w:rPr>
            </w:pPr>
          </w:p>
        </w:tc>
        <w:tc>
          <w:tcPr>
            <w:tcW w:w="33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7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7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trHeight w:val="520"/>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vAlign w:val="center"/>
            <w:hideMark/>
          </w:tcPr>
          <w:p w:rsidR="00000000" w:rsidRDefault="0039134F">
            <w:pP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 September 26, 2020</w:t>
            </w:r>
          </w:p>
        </w:tc>
        <w:tc>
          <w:tcPr>
            <w:tcW w:w="0" w:type="auto"/>
            <w:gridSpan w:val="3"/>
            <w:vMerge w:val="restart"/>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 September 28, 2019</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 xml:space="preserve">Other Information </w:t>
            </w:r>
          </w:p>
        </w:tc>
        <w:tc>
          <w:tcPr>
            <w:tcW w:w="0" w:type="auto"/>
            <w:vAlign w:val="center"/>
            <w:hideMark/>
          </w:tcPr>
          <w:p w:rsidR="00000000" w:rsidRDefault="0039134F">
            <w:pPr>
              <w:rPr>
                <w:rFonts w:eastAsia="Times New Roman"/>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vAlign w:val="center"/>
            <w:hideMark/>
          </w:tcPr>
          <w:p w:rsidR="00000000" w:rsidRDefault="0039134F">
            <w:pPr>
              <w:rPr>
                <w:rFonts w:eastAsia="Times New Roman"/>
                <w:sz w:val="20"/>
                <w:szCs w:val="20"/>
              </w:rPr>
            </w:pPr>
          </w:p>
        </w:tc>
        <w:tc>
          <w:tcPr>
            <w:tcW w:w="0" w:type="auto"/>
            <w:gridSpan w:val="3"/>
            <w:vMerge/>
            <w:vAlign w:val="center"/>
            <w:hideMark/>
          </w:tcPr>
          <w:p w:rsidR="00000000" w:rsidRDefault="0039134F">
            <w:pPr>
              <w:rPr>
                <w:rFonts w:eastAsia="Times New Roman"/>
                <w:sz w:val="20"/>
                <w:szCs w:val="20"/>
              </w:rPr>
            </w:pPr>
          </w:p>
        </w:tc>
        <w:tc>
          <w:tcPr>
            <w:tcW w:w="0" w:type="auto"/>
            <w:gridSpan w:val="3"/>
            <w:vMerge/>
            <w:vAlign w:val="center"/>
            <w:hideMark/>
          </w:tcPr>
          <w:p w:rsidR="00000000" w:rsidRDefault="0039134F">
            <w:pPr>
              <w:rPr>
                <w:rFonts w:eastAsia="Times New Roman"/>
              </w:rPr>
            </w:pPr>
          </w:p>
        </w:tc>
        <w:tc>
          <w:tcPr>
            <w:tcW w:w="0" w:type="auto"/>
            <w:gridSpan w:val="3"/>
            <w:vMerge/>
            <w:vAlign w:val="center"/>
            <w:hideMark/>
          </w:tcPr>
          <w:p w:rsidR="00000000" w:rsidRDefault="0039134F">
            <w:pPr>
              <w:rPr>
                <w:rFonts w:eastAsia="Times New Roman"/>
              </w:rPr>
            </w:pPr>
          </w:p>
        </w:tc>
        <w:tc>
          <w:tcPr>
            <w:tcW w:w="0" w:type="auto"/>
            <w:gridSpan w:val="3"/>
            <w:vMerge/>
            <w:vAlign w:val="center"/>
            <w:hideMark/>
          </w:tcPr>
          <w:p w:rsidR="00000000" w:rsidRDefault="0039134F">
            <w:pPr>
              <w:rPr>
                <w:rFonts w:eastAsia="Times New Roman"/>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Cash paid for amounts included in the measurement of lease liabilities</w:t>
            </w:r>
          </w:p>
        </w:tc>
        <w:tc>
          <w:tcPr>
            <w:tcW w:w="0" w:type="auto"/>
            <w:vAlign w:val="center"/>
            <w:hideMark/>
          </w:tcPr>
          <w:p w:rsidR="00000000" w:rsidRDefault="0039134F">
            <w:pP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 cash outflows - operating leases</w:t>
            </w:r>
          </w:p>
        </w:tc>
        <w:tc>
          <w:tcPr>
            <w:tcW w:w="0" w:type="auto"/>
            <w:vAlign w:val="center"/>
            <w:hideMark/>
          </w:tcPr>
          <w:p w:rsidR="00000000" w:rsidRDefault="0039134F">
            <w:pP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53,816 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55,817 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divId w:val="177741866"/>
        <w:rPr>
          <w:rFonts w:eastAsia="Times New Roman"/>
        </w:rPr>
      </w:pPr>
      <w:r>
        <w:rPr>
          <w:rFonts w:eastAsia="Times New Roman"/>
          <w:color w:val="000000"/>
          <w:sz w:val="20"/>
          <w:szCs w:val="20"/>
        </w:rPr>
        <w:t>The foll</w:t>
      </w:r>
      <w:r>
        <w:rPr>
          <w:rFonts w:eastAsia="Times New Roman"/>
          <w:color w:val="000000"/>
          <w:sz w:val="20"/>
          <w:szCs w:val="20"/>
        </w:rPr>
        <w:t>owing table summarizes the maturity of our lease liabilities as of September 26, 2020:</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7"/>
        <w:gridCol w:w="36"/>
        <w:gridCol w:w="36"/>
        <w:gridCol w:w="36"/>
        <w:gridCol w:w="120"/>
        <w:gridCol w:w="1602"/>
        <w:gridCol w:w="36"/>
        <w:gridCol w:w="36"/>
        <w:gridCol w:w="36"/>
        <w:gridCol w:w="36"/>
        <w:gridCol w:w="120"/>
        <w:gridCol w:w="1604"/>
        <w:gridCol w:w="36"/>
      </w:tblGrid>
      <w:tr w:rsidR="00000000">
        <w:trPr>
          <w:divId w:val="429205762"/>
        </w:trPr>
        <w:tc>
          <w:tcPr>
            <w:tcW w:w="50" w:type="pct"/>
            <w:vAlign w:val="center"/>
            <w:hideMark/>
          </w:tcPr>
          <w:p w:rsidR="00000000" w:rsidRDefault="0039134F">
            <w:pPr>
              <w:rPr>
                <w:rFonts w:eastAsia="Times New Roman"/>
              </w:rPr>
            </w:pPr>
          </w:p>
        </w:tc>
        <w:tc>
          <w:tcPr>
            <w:tcW w:w="272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0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429205762"/>
          <w:trHeight w:val="300"/>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39134F">
            <w:pP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429205762"/>
          <w:trHeight w:val="280"/>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39134F">
            <w:pPr>
              <w:rPr>
                <w:rFonts w:eastAsia="Times New Roman"/>
              </w:rPr>
            </w:pPr>
          </w:p>
        </w:tc>
        <w:tc>
          <w:tcPr>
            <w:tcW w:w="0" w:type="auto"/>
            <w:gridSpan w:val="3"/>
            <w:vMerge/>
            <w:vAlign w:val="center"/>
            <w:hideMark/>
          </w:tcPr>
          <w:p w:rsidR="00000000" w:rsidRDefault="0039134F">
            <w:pPr>
              <w:rPr>
                <w:rFonts w:eastAsia="Times New Roman"/>
              </w:rPr>
            </w:pPr>
          </w:p>
        </w:tc>
        <w:tc>
          <w:tcPr>
            <w:tcW w:w="0" w:type="auto"/>
            <w:gridSpan w:val="3"/>
            <w:vMerge/>
            <w:vAlign w:val="center"/>
            <w:hideMark/>
          </w:tcPr>
          <w:p w:rsidR="00000000" w:rsidRDefault="0039134F">
            <w:pPr>
              <w:rPr>
                <w:rFonts w:eastAsia="Times New Roman"/>
              </w:rPr>
            </w:pPr>
          </w:p>
        </w:tc>
        <w:tc>
          <w:tcPr>
            <w:tcW w:w="0" w:type="auto"/>
            <w:gridSpan w:val="3"/>
            <w:vMerge/>
            <w:vAlign w:val="center"/>
            <w:hideMark/>
          </w:tcPr>
          <w:p w:rsidR="00000000" w:rsidRDefault="0039134F">
            <w:pPr>
              <w:rPr>
                <w:rFonts w:eastAsia="Times New Roman"/>
              </w:rPr>
            </w:pPr>
          </w:p>
        </w:tc>
      </w:tr>
      <w:tr w:rsidR="00000000">
        <w:trPr>
          <w:divId w:val="4292057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82,019 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7,280 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74,613 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7,215 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66,867 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6,241 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57,690 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151,914 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16,459 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442,416 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65,225 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11,616 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Pr>
        <w:tc>
          <w:tcPr>
            <w:tcW w:w="0" w:type="auto"/>
            <w:gridSpan w:val="3"/>
            <w:shd w:val="clear" w:color="auto" w:fill="CCEEFF"/>
            <w:tcMar>
              <w:top w:w="30" w:type="dxa"/>
              <w:left w:w="20" w:type="dxa"/>
              <w:bottom w:w="30" w:type="dxa"/>
              <w:right w:w="20" w:type="dxa"/>
            </w:tcMar>
            <w:vAlign w:val="bottom"/>
            <w:hideMark/>
          </w:tcPr>
          <w:p w:rsidR="00000000" w:rsidRDefault="0039134F">
            <w:pPr>
              <w:divId w:val="1775981122"/>
              <w:rPr>
                <w:rFonts w:eastAsia="Times New Roman"/>
              </w:rPr>
            </w:pPr>
            <w:r>
              <w:rPr>
                <w:rFonts w:eastAsia="Times New Roman"/>
                <w:color w:val="000000"/>
                <w:sz w:val="20"/>
                <w:szCs w:val="20"/>
              </w:rPr>
              <w:t>Present value of lease liabilitie</w:t>
            </w:r>
            <w:r>
              <w:rPr>
                <w:rFonts w:eastAsia="Times New Roman"/>
                <w:color w:val="000000"/>
                <w:sz w:val="20"/>
                <w:szCs w:val="20"/>
              </w:rPr>
              <w:t>s</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377,191 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429205762"/>
          <w:trHeight w:val="160"/>
        </w:trPr>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429205762"/>
        </w:trPr>
        <w:tc>
          <w:tcPr>
            <w:tcW w:w="0" w:type="auto"/>
            <w:gridSpan w:val="15"/>
            <w:tcMar>
              <w:top w:w="30" w:type="dxa"/>
              <w:left w:w="20" w:type="dxa"/>
              <w:bottom w:w="30" w:type="dxa"/>
              <w:right w:w="20" w:type="dxa"/>
            </w:tcMar>
            <w:vAlign w:val="bottom"/>
            <w:hideMark/>
          </w:tcPr>
          <w:p w:rsidR="00000000" w:rsidRDefault="0039134F">
            <w:pPr>
              <w:divId w:val="1292205443"/>
              <w:rPr>
                <w:rFonts w:eastAsia="Times New Roman"/>
              </w:rPr>
            </w:pPr>
            <w:r>
              <w:rPr>
                <w:rFonts w:eastAsia="Times New Roman"/>
                <w:color w:val="000000"/>
                <w:sz w:val="16"/>
                <w:szCs w:val="16"/>
              </w:rPr>
              <w:t>(a) Operating lease payments include $63.0 million </w:t>
            </w:r>
            <w:r>
              <w:rPr>
                <w:rFonts w:eastAsia="Times New Roman"/>
                <w:color w:val="000000"/>
                <w:sz w:val="16"/>
                <w:szCs w:val="16"/>
              </w:rPr>
              <w:t>related to options to extend lease terms that are reasonably certain of being exercised.</w:t>
            </w:r>
          </w:p>
        </w:tc>
      </w:tr>
      <w:tr w:rsidR="00000000">
        <w:trPr>
          <w:divId w:val="429205762"/>
        </w:trPr>
        <w:tc>
          <w:tcPr>
            <w:tcW w:w="0" w:type="auto"/>
            <w:gridSpan w:val="15"/>
            <w:tcMar>
              <w:top w:w="30" w:type="dxa"/>
              <w:left w:w="20" w:type="dxa"/>
              <w:bottom w:w="30" w:type="dxa"/>
              <w:right w:w="20" w:type="dxa"/>
            </w:tcMar>
            <w:vAlign w:val="bottom"/>
            <w:hideMark/>
          </w:tcPr>
          <w:p w:rsidR="00000000" w:rsidRDefault="0039134F">
            <w:pPr>
              <w:divId w:val="1128280661"/>
              <w:rPr>
                <w:rFonts w:eastAsia="Times New Roman"/>
              </w:rPr>
            </w:pPr>
            <w:r>
              <w:rPr>
                <w:rFonts w:eastAsia="Times New Roman"/>
                <w:color w:val="000000"/>
                <w:sz w:val="16"/>
                <w:szCs w:val="16"/>
              </w:rPr>
              <w:t>(b) Finance lease payments include $1.7 million related to options to extend lease terms that are reasonably certain of being exercised.</w:t>
            </w:r>
          </w:p>
        </w:tc>
      </w:tr>
      <w:tr w:rsidR="00000000">
        <w:trPr>
          <w:divId w:val="429205762"/>
        </w:trPr>
        <w:tc>
          <w:tcPr>
            <w:tcW w:w="0" w:type="auto"/>
            <w:gridSpan w:val="15"/>
            <w:tcMar>
              <w:top w:w="30" w:type="dxa"/>
              <w:left w:w="20" w:type="dxa"/>
              <w:bottom w:w="30" w:type="dxa"/>
              <w:right w:w="20" w:type="dxa"/>
            </w:tcMar>
            <w:vAlign w:val="bottom"/>
            <w:hideMark/>
          </w:tcPr>
          <w:p w:rsidR="00000000" w:rsidRDefault="0039134F">
            <w:pPr>
              <w:divId w:val="1840458317"/>
              <w:rPr>
                <w:rFonts w:eastAsia="Times New Roman"/>
              </w:rPr>
            </w:pPr>
            <w:r>
              <w:rPr>
                <w:rFonts w:eastAsia="Times New Roman"/>
                <w:color w:val="000000"/>
                <w:sz w:val="16"/>
                <w:szCs w:val="16"/>
              </w:rPr>
              <w:t>(c) The present value of lease liabilities excludes $29.2 million of legally binding minimum lease payments for leases signed but not yet commenced.</w:t>
            </w:r>
          </w:p>
        </w:tc>
      </w:tr>
    </w:tbl>
    <w:p w:rsidR="00000000" w:rsidRDefault="0039134F">
      <w:pPr>
        <w:divId w:val="868294311"/>
        <w:rPr>
          <w:rFonts w:eastAsia="Times New Roman"/>
        </w:rPr>
      </w:pPr>
    </w:p>
    <w:p w:rsidR="00000000" w:rsidRDefault="0039134F">
      <w:pPr>
        <w:jc w:val="both"/>
        <w:rPr>
          <w:rFonts w:eastAsia="Times New Roman"/>
        </w:rPr>
      </w:pPr>
      <w:r>
        <w:rPr>
          <w:rFonts w:eastAsia="Times New Roman"/>
          <w:b/>
          <w:bCs/>
          <w:color w:val="000000"/>
          <w:sz w:val="20"/>
          <w:szCs w:val="20"/>
        </w:rPr>
        <w:t>10. Commitments and Contingencies</w:t>
      </w:r>
    </w:p>
    <w:p w:rsidR="00000000" w:rsidRDefault="0039134F">
      <w:pPr>
        <w:jc w:val="both"/>
        <w:rPr>
          <w:rFonts w:eastAsia="Times New Roman"/>
        </w:rPr>
      </w:pPr>
    </w:p>
    <w:p w:rsidR="00000000" w:rsidRDefault="0039134F">
      <w:pPr>
        <w:divId w:val="191958690"/>
        <w:rPr>
          <w:rFonts w:eastAsia="Times New Roman"/>
        </w:rPr>
      </w:pPr>
      <w:r>
        <w:rPr>
          <w:rFonts w:eastAsia="Times New Roman"/>
          <w:i/>
          <w:iCs/>
          <w:color w:val="000000"/>
          <w:sz w:val="20"/>
          <w:szCs w:val="20"/>
        </w:rPr>
        <w:t>Legal Proceedings</w:t>
      </w:r>
    </w:p>
    <w:p w:rsidR="00000000" w:rsidRDefault="0039134F">
      <w:pPr>
        <w:divId w:val="1844583297"/>
        <w:rPr>
          <w:rFonts w:eastAsia="Times New Roman"/>
        </w:rPr>
      </w:pPr>
    </w:p>
    <w:p w:rsidR="00000000" w:rsidRDefault="0039134F">
      <w:pPr>
        <w:jc w:val="both"/>
        <w:divId w:val="782652040"/>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 the ultimate resolution of these actions and, should the ou</w:t>
      </w:r>
      <w:r>
        <w:rPr>
          <w:rFonts w:eastAsia="Times New Roman"/>
          <w:color w:val="000000"/>
          <w:sz w:val="20"/>
          <w:szCs w:val="20"/>
        </w:rPr>
        <w:t>tcome of these actions be unfavorable, the Company’s business, financial position, results of operations or cash flows could be materially and adversely affected.</w:t>
      </w:r>
    </w:p>
    <w:p w:rsidR="00000000" w:rsidRDefault="0039134F">
      <w:pPr>
        <w:jc w:val="center"/>
        <w:divId w:val="966282865"/>
        <w:rPr>
          <w:rFonts w:eastAsia="Times New Roman"/>
        </w:rPr>
      </w:pPr>
      <w:r>
        <w:rPr>
          <w:rFonts w:eastAsia="Times New Roman"/>
          <w:color w:val="000000"/>
          <w:sz w:val="20"/>
          <w:szCs w:val="20"/>
        </w:rPr>
        <w:t>24</w:t>
      </w:r>
    </w:p>
    <w:p w:rsidR="00000000" w:rsidRDefault="0039134F">
      <w:pPr>
        <w:rPr>
          <w:rFonts w:eastAsia="Times New Roman"/>
        </w:rPr>
      </w:pPr>
      <w:r>
        <w:rPr>
          <w:rFonts w:eastAsia="Times New Roman"/>
        </w:rPr>
        <w:pict>
          <v:rect id="_x0000_i1048" style="width:0;height:1.5pt" o:hralign="center" o:hrstd="t" o:hr="t" fillcolor="#a0a0a0" stroked="f"/>
        </w:pict>
      </w:r>
    </w:p>
    <w:p w:rsidR="00000000" w:rsidRDefault="0039134F">
      <w:pPr>
        <w:divId w:val="159273990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877811836"/>
        <w:rPr>
          <w:rFonts w:eastAsia="Times New Roman"/>
        </w:rPr>
      </w:pPr>
      <w:r>
        <w:rPr>
          <w:rFonts w:eastAsia="Times New Roman"/>
          <w:color w:val="000000"/>
          <w:sz w:val="20"/>
          <w:szCs w:val="20"/>
        </w:rPr>
        <w:t>The Company reviews the status of its legal proceedings and records a provision for a liability when it is considered probable that both a liability has been incurred and the amount of the loss can be reasonably estimated. This review is updated periodical</w:t>
      </w:r>
      <w:r>
        <w:rPr>
          <w:rFonts w:eastAsia="Times New Roman"/>
          <w:color w:val="000000"/>
          <w:sz w:val="20"/>
          <w:szCs w:val="20"/>
        </w:rPr>
        <w:t>ly as additional information becomes available. If either or both of the criteria are not met, we reassess whether there is at least a reasonable possibility that a loss, or additional losses, may be incurred. If there is a reasonable possibility that a lo</w:t>
      </w:r>
      <w:r>
        <w:rPr>
          <w:rFonts w:eastAsia="Times New Roman"/>
          <w:color w:val="000000"/>
          <w:sz w:val="20"/>
          <w:szCs w:val="20"/>
        </w:rPr>
        <w:t>ss may be incurred, we disclose the estimate of the amount of the loss or range of losses, or that an estimate of loss cannot be made. The Company expenses its legal fees as incurred.</w:t>
      </w:r>
    </w:p>
    <w:p w:rsidR="00000000" w:rsidRDefault="0039134F">
      <w:pPr>
        <w:jc w:val="both"/>
        <w:divId w:val="274678766"/>
        <w:rPr>
          <w:rFonts w:eastAsia="Times New Roman"/>
        </w:rPr>
      </w:pPr>
      <w:r>
        <w:rPr>
          <w:rFonts w:eastAsia="Times New Roman"/>
          <w:color w:val="000000"/>
          <w:sz w:val="20"/>
          <w:szCs w:val="20"/>
        </w:rPr>
        <w:t xml:space="preserve">We are currently and may in the future become subject to various claims </w:t>
      </w:r>
      <w:r>
        <w:rPr>
          <w:rFonts w:eastAsia="Times New Roman"/>
          <w:color w:val="000000"/>
          <w:sz w:val="20"/>
          <w:szCs w:val="20"/>
        </w:rPr>
        <w:t>and pending or threatened lawsuits in the ordinary course of our business.</w:t>
      </w:r>
    </w:p>
    <w:p w:rsidR="00000000" w:rsidRDefault="0039134F">
      <w:pPr>
        <w:jc w:val="both"/>
        <w:divId w:val="728109586"/>
        <w:rPr>
          <w:rFonts w:eastAsia="Times New Roman"/>
        </w:rPr>
      </w:pPr>
      <w:r>
        <w:rPr>
          <w:rFonts w:eastAsia="Times New Roman"/>
          <w:color w:val="000000"/>
          <w:sz w:val="20"/>
          <w:szCs w:val="20"/>
        </w:rPr>
        <w:t>Our subsidiary, FirstSight Vision Services, Inc. (“FirstSight”), is a defendant in a purported class action in the U.S. District Court for the Southern District of California that a</w:t>
      </w:r>
      <w:r>
        <w:rPr>
          <w:rFonts w:eastAsia="Times New Roman"/>
          <w:color w:val="000000"/>
          <w:sz w:val="20"/>
          <w:szCs w:val="20"/>
        </w:rPr>
        <w:t>lleges that FirstSight participated in arrangements that caused the illegal delivery of eye examinations and that FirstSight thereby violated, among other laws, the corporate practice of optometry and the unfair competition and false advertising laws of Ca</w:t>
      </w:r>
      <w:r>
        <w:rPr>
          <w:rFonts w:eastAsia="Times New Roman"/>
          <w:color w:val="000000"/>
          <w:sz w:val="20"/>
          <w:szCs w:val="20"/>
        </w:rPr>
        <w:t>lifornia. The lawsuit was filed in 2013 and FirstSight was added as a defendant in 2016. In March 2017, the court granted the motion to dismiss previously filed by FirstSight and dismissed the complaint with prejudice. The plaintiffs filed an appeal with t</w:t>
      </w:r>
      <w:r>
        <w:rPr>
          <w:rFonts w:eastAsia="Times New Roman"/>
          <w:color w:val="000000"/>
          <w:sz w:val="20"/>
          <w:szCs w:val="20"/>
        </w:rPr>
        <w:t>he U.S. Court of Appeals for the Ninth Circuit in April 2017. In July 2018, the U.S. Court of Appeals for the Ninth Circuit vacated in part, and reversed in part, the district court’s dismissal and remanded for further proceedings. In October 2018, the pla</w:t>
      </w:r>
      <w:r>
        <w:rPr>
          <w:rFonts w:eastAsia="Times New Roman"/>
          <w:color w:val="000000"/>
          <w:sz w:val="20"/>
          <w:szCs w:val="20"/>
        </w:rPr>
        <w:t>intiffs filed a second amended complaint with the district court, and, in November 2018, FirstSight filed a motion to dismiss. On March 23, 2020, the district court granted FirstSight’s motion to dismiss the second amended complaint. On April 24, 2020, the</w:t>
      </w:r>
      <w:r>
        <w:rPr>
          <w:rFonts w:eastAsia="Times New Roman"/>
          <w:color w:val="000000"/>
          <w:sz w:val="20"/>
          <w:szCs w:val="20"/>
        </w:rPr>
        <w:t xml:space="preserve"> plaintiffs filed a third amended complaint. FirstSight filed a motion to dismiss the third amended complaint on May 8, 2020. We believe that the claims alleged are without merit and intend to continue to defend the litigation vigorously.</w:t>
      </w:r>
    </w:p>
    <w:p w:rsidR="00000000" w:rsidRDefault="0039134F">
      <w:pPr>
        <w:jc w:val="both"/>
        <w:divId w:val="1418937984"/>
        <w:rPr>
          <w:rFonts w:eastAsia="Times New Roman"/>
        </w:rPr>
      </w:pPr>
      <w:r>
        <w:rPr>
          <w:rFonts w:eastAsia="Times New Roman"/>
          <w:color w:val="000000"/>
          <w:sz w:val="20"/>
          <w:szCs w:val="20"/>
        </w:rPr>
        <w:t>In May 2017, a co</w:t>
      </w:r>
      <w:r>
        <w:rPr>
          <w:rFonts w:eastAsia="Times New Roman"/>
          <w:color w:val="000000"/>
          <w:sz w:val="20"/>
          <w:szCs w:val="20"/>
        </w:rPr>
        <w:t xml:space="preserve">mplaint was filed against us and other defendants alleging, on behalf of a proposed class of consumers who purchased contact lenses online, that 1-800 Contacts, Inc. entered into a series of agreements with the other defendants, including our wholly-owned </w:t>
      </w:r>
      <w:r>
        <w:rPr>
          <w:rFonts w:eastAsia="Times New Roman"/>
          <w:color w:val="000000"/>
          <w:sz w:val="20"/>
          <w:szCs w:val="20"/>
        </w:rPr>
        <w:t>subsidiary, Arlington Contact Lens Service, Inc. (“AC Lens”), to suppress certain online advertising and that each defendant thereby engaged in anticompetitive conduct in violation of the Sherman Antitrust Act. We have settled this litigation for $7.0 mill</w:t>
      </w:r>
      <w:r>
        <w:rPr>
          <w:rFonts w:eastAsia="Times New Roman"/>
          <w:color w:val="000000"/>
          <w:sz w:val="20"/>
          <w:szCs w:val="20"/>
        </w:rPr>
        <w:t>ion, without admitting liability. Accordingly, we recorded a charge for this amount in litigation settlement in the consolidated statement of operations during the second quarter of fiscal year 2017. On November 8, 2017, the court in the 1-800 Contacts mat</w:t>
      </w:r>
      <w:r>
        <w:rPr>
          <w:rFonts w:eastAsia="Times New Roman"/>
          <w:color w:val="000000"/>
          <w:sz w:val="20"/>
          <w:szCs w:val="20"/>
        </w:rPr>
        <w:t>ter entered an order preliminarily approving the settlement agreement, subject to a settlement hearing. Pursuant to this order, we deposited 50% of the settlement amount, or $3.5 million, into an escrow account, to be distributed subject to and in accordan</w:t>
      </w:r>
      <w:r>
        <w:rPr>
          <w:rFonts w:eastAsia="Times New Roman"/>
          <w:color w:val="000000"/>
          <w:sz w:val="20"/>
          <w:szCs w:val="20"/>
        </w:rPr>
        <w:t>ce the terms of the settlement agreement and any further order of the court. On May 15, 2020, the plaintiffs filed a motion seeking preliminary approval of their settlement with the remaining defendant, 1-800 Contacts, Inc., as well as conditional certific</w:t>
      </w:r>
      <w:r>
        <w:rPr>
          <w:rFonts w:eastAsia="Times New Roman"/>
          <w:color w:val="000000"/>
          <w:sz w:val="20"/>
          <w:szCs w:val="20"/>
        </w:rPr>
        <w:t>ation of the class and approval of the plan of distribution of settlement funds. This motion was granted by the court on June 3, 2020. The court held a hearing on plaintiffs’ motion for final approval of class action settlements, approval of the plan of di</w:t>
      </w:r>
      <w:r>
        <w:rPr>
          <w:rFonts w:eastAsia="Times New Roman"/>
          <w:color w:val="000000"/>
          <w:sz w:val="20"/>
          <w:szCs w:val="20"/>
        </w:rPr>
        <w:t>stribution, and final certification of the settlement classes on October 20, 2020. There were no objections and the court entered final judgment and order of dismissal following the hearing. Based on that order, we deposited the final 50% of the settlement</w:t>
      </w:r>
      <w:r>
        <w:rPr>
          <w:rFonts w:eastAsia="Times New Roman"/>
          <w:color w:val="000000"/>
          <w:sz w:val="20"/>
          <w:szCs w:val="20"/>
        </w:rPr>
        <w:t xml:space="preserve"> amount, $3.5 million, into the designated escrow account to be distributed subject to and in accordance with the settlement agreement.</w:t>
      </w:r>
    </w:p>
    <w:p w:rsidR="00000000" w:rsidRDefault="0039134F">
      <w:pPr>
        <w:jc w:val="center"/>
        <w:divId w:val="1021669162"/>
        <w:rPr>
          <w:rFonts w:eastAsia="Times New Roman"/>
        </w:rPr>
      </w:pPr>
      <w:r>
        <w:rPr>
          <w:rFonts w:eastAsia="Times New Roman"/>
          <w:color w:val="000000"/>
          <w:sz w:val="20"/>
          <w:szCs w:val="20"/>
        </w:rPr>
        <w:t>25</w:t>
      </w:r>
    </w:p>
    <w:p w:rsidR="00000000" w:rsidRDefault="0039134F">
      <w:pPr>
        <w:rPr>
          <w:rFonts w:eastAsia="Times New Roman"/>
        </w:rPr>
      </w:pPr>
      <w:r>
        <w:rPr>
          <w:rFonts w:eastAsia="Times New Roman"/>
        </w:rPr>
        <w:pict>
          <v:rect id="_x0000_i1049" style="width:0;height:1.5pt" o:hralign="center" o:hrstd="t" o:hr="t" fillcolor="#a0a0a0" stroked="f"/>
        </w:pict>
      </w:r>
    </w:p>
    <w:p w:rsidR="00000000" w:rsidRDefault="0039134F">
      <w:pPr>
        <w:divId w:val="1922254305"/>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939093311"/>
        <w:rPr>
          <w:rFonts w:eastAsia="Times New Roman"/>
        </w:rPr>
      </w:pPr>
      <w:r>
        <w:rPr>
          <w:rFonts w:eastAsia="Times New Roman"/>
          <w:color w:val="000000"/>
          <w:sz w:val="20"/>
          <w:szCs w:val="20"/>
        </w:rPr>
        <w:t>In F</w:t>
      </w:r>
      <w:r>
        <w:rPr>
          <w:rFonts w:eastAsia="Times New Roman"/>
          <w:color w:val="000000"/>
          <w:sz w:val="20"/>
          <w:szCs w:val="20"/>
        </w:rPr>
        <w:t>ebruary 2019, we were served with a lawsuit by a former employee who alleges, on behalf of himself and a proposed class, several violations of California wage and hour laws and seeks unspecified alleged unpaid wages, monetary damages, injunctive relief and</w:t>
      </w:r>
      <w:r>
        <w:rPr>
          <w:rFonts w:eastAsia="Times New Roman"/>
          <w:color w:val="000000"/>
          <w:sz w:val="20"/>
          <w:szCs w:val="20"/>
        </w:rPr>
        <w:t xml:space="preserve"> attorneys’ fees. On March 21, 2019, we removed the lawsuit from state court to the United States District Court for the Northern District of California. The plaintiff moved to remand the action to state court on April 18, 2019, and the Court denied this m</w:t>
      </w:r>
      <w:r>
        <w:rPr>
          <w:rFonts w:eastAsia="Times New Roman"/>
          <w:color w:val="000000"/>
          <w:sz w:val="20"/>
          <w:szCs w:val="20"/>
        </w:rPr>
        <w:t xml:space="preserve">otion on July 8, 2019. On July 22, 2019, the plaintiff filed an amended complaint. On July 26, 2019, the parties filed a joint stipulation wherein the Company denied all claims in the amended complaint but joined the plaintiff in seeking a stay of further </w:t>
      </w:r>
      <w:r>
        <w:rPr>
          <w:rFonts w:eastAsia="Times New Roman"/>
          <w:color w:val="000000"/>
          <w:sz w:val="20"/>
          <w:szCs w:val="20"/>
        </w:rPr>
        <w:t>proceedings in the lawsuit based on the parties’ agreement to attend early mediation in an effort to avoid further costs and expenses of protracted litigation. The parties participated in mediation on February 19, 2020, but a resolution of the matter was n</w:t>
      </w:r>
      <w:r>
        <w:rPr>
          <w:rFonts w:eastAsia="Times New Roman"/>
          <w:color w:val="000000"/>
          <w:sz w:val="20"/>
          <w:szCs w:val="20"/>
        </w:rPr>
        <w:t xml:space="preserve">ot reached at that time. On February 27, 2020, following mediation, the parties agreed to a settlement of all claims alleged by the named claimant on behalf of himself and all putative class members and other aggrieved employees. The Company will pay $3.5 </w:t>
      </w:r>
      <w:r>
        <w:rPr>
          <w:rFonts w:eastAsia="Times New Roman"/>
          <w:color w:val="000000"/>
          <w:sz w:val="20"/>
          <w:szCs w:val="20"/>
        </w:rPr>
        <w:t>million as the gross settlement fund in connection with this settlement. This settlement was preliminarily approved by the court on April 29, 2020. A final approval hearing was conducted by the court on October 27, 2020. The court approved the settlement a</w:t>
      </w:r>
      <w:r>
        <w:rPr>
          <w:rFonts w:eastAsia="Times New Roman"/>
          <w:color w:val="000000"/>
          <w:sz w:val="20"/>
          <w:szCs w:val="20"/>
        </w:rPr>
        <w:t>ccording to the terms of the parties’ agreement and final judgment and order of dismissal was then entered. The Company deposited the settlement amount, or $3.5 million, into the designated account pursuant to the terms of the settlement agreement.</w:t>
      </w:r>
    </w:p>
    <w:p w:rsidR="00000000" w:rsidRDefault="0039134F">
      <w:pPr>
        <w:jc w:val="both"/>
        <w:rPr>
          <w:rFonts w:eastAsia="Times New Roman"/>
        </w:rPr>
      </w:pPr>
      <w:r>
        <w:rPr>
          <w:rFonts w:eastAsia="Times New Roman"/>
          <w:color w:val="000000"/>
          <w:sz w:val="20"/>
          <w:szCs w:val="20"/>
        </w:rPr>
        <w:t>In Nove</w:t>
      </w:r>
      <w:r>
        <w:rPr>
          <w:rFonts w:eastAsia="Times New Roman"/>
          <w:color w:val="000000"/>
          <w:sz w:val="20"/>
          <w:szCs w:val="20"/>
        </w:rPr>
        <w:t>mber 2019, the Company agreed to enter into a pre-litigation settlement with six former employees who asserted, on behalf of themselves and a proposed class, violations of the Fair Labor Standards Act and of California wage and hour laws. In order to avoid</w:t>
      </w:r>
      <w:r>
        <w:rPr>
          <w:rFonts w:eastAsia="Times New Roman"/>
          <w:color w:val="000000"/>
          <w:sz w:val="20"/>
          <w:szCs w:val="20"/>
        </w:rPr>
        <w:t xml:space="preserve"> the burden, expense and uncertainty of litigation, and without admitting liability, the Company agreed to a settlement with the named claimants and all participating class members for a maximum settlement amount of $895,000. This settlement is subject to </w:t>
      </w:r>
      <w:r>
        <w:rPr>
          <w:rFonts w:eastAsia="Times New Roman"/>
          <w:color w:val="000000"/>
          <w:sz w:val="20"/>
          <w:szCs w:val="20"/>
        </w:rPr>
        <w:t>approval by a tribunal following a fairness hearing.</w:t>
      </w:r>
    </w:p>
    <w:p w:rsidR="00000000" w:rsidRDefault="0039134F">
      <w:pPr>
        <w:jc w:val="both"/>
        <w:rPr>
          <w:rFonts w:eastAsia="Times New Roman"/>
        </w:rPr>
      </w:pPr>
    </w:p>
    <w:p w:rsidR="00000000" w:rsidRDefault="0039134F">
      <w:pPr>
        <w:jc w:val="both"/>
        <w:rPr>
          <w:rFonts w:eastAsia="Times New Roman"/>
        </w:rPr>
      </w:pPr>
      <w:r>
        <w:rPr>
          <w:rFonts w:eastAsia="Times New Roman"/>
          <w:b/>
          <w:bCs/>
          <w:color w:val="000000"/>
          <w:sz w:val="20"/>
          <w:szCs w:val="20"/>
        </w:rPr>
        <w:t>11. Segment Reporting</w:t>
      </w:r>
    </w:p>
    <w:p w:rsidR="00000000" w:rsidRDefault="0039134F">
      <w:pPr>
        <w:jc w:val="both"/>
        <w:rPr>
          <w:rFonts w:eastAsia="Times New Roman"/>
        </w:rPr>
      </w:pPr>
    </w:p>
    <w:p w:rsidR="00000000" w:rsidRDefault="0039134F">
      <w:pPr>
        <w:jc w:val="both"/>
        <w:divId w:val="367609854"/>
        <w:rPr>
          <w:rFonts w:eastAsia="Times New Roman"/>
        </w:rPr>
      </w:pPr>
      <w:r>
        <w:rPr>
          <w:rFonts w:eastAsia="Times New Roman"/>
          <w:color w:val="000000"/>
          <w:sz w:val="20"/>
          <w:szCs w:val="20"/>
        </w:rPr>
        <w:t>The Company provides its principal products and services through two reportable segments: Owned &amp; Host and Legacy. The Corporate/Other category includes the results of operation</w:t>
      </w:r>
      <w:r>
        <w:rPr>
          <w:rFonts w:eastAsia="Times New Roman"/>
          <w:color w:val="000000"/>
          <w:sz w:val="20"/>
          <w:szCs w:val="20"/>
        </w:rPr>
        <w:t>s of our other operating segments, AC Lens and FirstSight, as well as corporate overhead support. The Reconciliations category represents other adjustments to reportable segment results necessary for the presentation of consolidated financial results in ac</w:t>
      </w:r>
      <w:r>
        <w:rPr>
          <w:rFonts w:eastAsia="Times New Roman"/>
          <w:color w:val="000000"/>
          <w:sz w:val="20"/>
          <w:szCs w:val="20"/>
        </w:rPr>
        <w:t>cordance with U.S. GAAP. We incurred $4.7 million and $7.8 million of costs in the three and nine months ended September 26, 2020, respectively, primarily for a tangible appreciation bonus paid to our customer-facing doctors and associates, as well as pers</w:t>
      </w:r>
      <w:r>
        <w:rPr>
          <w:rFonts w:eastAsia="Times New Roman"/>
          <w:color w:val="000000"/>
          <w:sz w:val="20"/>
          <w:szCs w:val="20"/>
        </w:rPr>
        <w:t>onal protective equipment and other supplies needed to operate our stores safely. Incremental expenses related to the COVID-19 pandemic are not allocated to the reportable segments, but are included in the Corporate/Other category.</w:t>
      </w:r>
    </w:p>
    <w:p w:rsidR="00000000" w:rsidRDefault="0039134F">
      <w:pPr>
        <w:jc w:val="both"/>
        <w:divId w:val="78866949"/>
        <w:rPr>
          <w:rFonts w:eastAsia="Times New Roman"/>
        </w:rPr>
      </w:pPr>
      <w:r>
        <w:rPr>
          <w:rFonts w:eastAsia="Times New Roman"/>
          <w:color w:val="000000"/>
          <w:sz w:val="20"/>
          <w:szCs w:val="20"/>
        </w:rPr>
        <w:t>On July 17, 2020, NVI an</w:t>
      </w:r>
      <w:r>
        <w:rPr>
          <w:rFonts w:eastAsia="Times New Roman"/>
          <w:color w:val="000000"/>
          <w:sz w:val="20"/>
          <w:szCs w:val="20"/>
        </w:rPr>
        <w:t xml:space="preserve">d Walmart entered into Amendment 4 (“Walmart Amendment”) to the management &amp; services agreement, to extend the current term and economics of the agreement by three years, to February 23, 2024, and provide that the agreement will automatically renew for an </w:t>
      </w:r>
      <w:r>
        <w:rPr>
          <w:rFonts w:eastAsia="Times New Roman"/>
          <w:color w:val="000000"/>
          <w:sz w:val="20"/>
          <w:szCs w:val="20"/>
        </w:rPr>
        <w:t>additional</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year term unless, no later than seven months prior to the end of the term, one party gives the other party written notice of non-renewal. In addition, the Walmart Amendment deletes certain provisions that are no longer applicable and updat</w:t>
      </w:r>
      <w:r>
        <w:rPr>
          <w:rFonts w:eastAsia="Times New Roman"/>
          <w:color w:val="000000"/>
          <w:sz w:val="20"/>
          <w:szCs w:val="20"/>
        </w:rPr>
        <w:t>es certain administrative provisions, including with respect to background checks, and adds an obligation for the Company to provide Walmart an annual compliance certificate regarding certain of the Company’s obligations and to provide Walmart certain insp</w:t>
      </w:r>
      <w:r>
        <w:rPr>
          <w:rFonts w:eastAsia="Times New Roman"/>
          <w:color w:val="000000"/>
          <w:sz w:val="20"/>
          <w:szCs w:val="20"/>
        </w:rPr>
        <w:t>ection and audit rights. All other terms and conditions of the agreement remain in effect.</w:t>
      </w:r>
    </w:p>
    <w:p w:rsidR="00000000" w:rsidRDefault="0039134F">
      <w:pPr>
        <w:jc w:val="center"/>
        <w:divId w:val="1778599855"/>
        <w:rPr>
          <w:rFonts w:eastAsia="Times New Roman"/>
        </w:rPr>
      </w:pPr>
      <w:r>
        <w:rPr>
          <w:rFonts w:eastAsia="Times New Roman"/>
          <w:color w:val="000000"/>
          <w:sz w:val="20"/>
          <w:szCs w:val="20"/>
        </w:rPr>
        <w:t>26</w:t>
      </w:r>
    </w:p>
    <w:p w:rsidR="00000000" w:rsidRDefault="0039134F">
      <w:pPr>
        <w:rPr>
          <w:rFonts w:eastAsia="Times New Roman"/>
        </w:rPr>
      </w:pPr>
      <w:r>
        <w:rPr>
          <w:rFonts w:eastAsia="Times New Roman"/>
        </w:rPr>
        <w:pict>
          <v:rect id="_x0000_i1050" style="width:0;height:1.5pt" o:hralign="center" o:hrstd="t" o:hr="t" fillcolor="#a0a0a0" stroked="f"/>
        </w:pict>
      </w:r>
    </w:p>
    <w:p w:rsidR="00000000" w:rsidRDefault="0039134F">
      <w:pPr>
        <w:divId w:val="9544159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51466223"/>
        <w:rPr>
          <w:rFonts w:eastAsia="Times New Roman"/>
        </w:rPr>
      </w:pPr>
      <w:r>
        <w:rPr>
          <w:rFonts w:eastAsia="Times New Roman"/>
          <w:color w:val="000000"/>
          <w:sz w:val="20"/>
          <w:szCs w:val="20"/>
        </w:rPr>
        <w:t>The following is a summary of certain financial da</w:t>
      </w:r>
      <w:r>
        <w:rPr>
          <w:rFonts w:eastAsia="Times New Roman"/>
          <w:color w:val="000000"/>
          <w:sz w:val="20"/>
          <w:szCs w:val="20"/>
        </w:rPr>
        <w:t>ta for each of our segments. Reportable segment information is presented on the same basis as our condensed consolidated financial statements, except for net revenue and associated costs applicable to revenue, which are presented on a cash basis, including</w:t>
      </w:r>
      <w:r>
        <w:rPr>
          <w:rFonts w:eastAsia="Times New Roman"/>
          <w:color w:val="000000"/>
          <w:sz w:val="20"/>
          <w:szCs w:val="20"/>
        </w:rPr>
        <w:t xml:space="preserve"> point of sales for managed care payors and excluding the effects of unearned and deferred revenue, consistent with what the chief operating decision maker (“CODM”) regularly reviews. Asset information is not included in the following summary since the COD</w:t>
      </w:r>
      <w:r>
        <w:rPr>
          <w:rFonts w:eastAsia="Times New Roman"/>
          <w:color w:val="000000"/>
          <w:sz w:val="20"/>
          <w:szCs w:val="20"/>
        </w:rPr>
        <w:t>M does not regularly review such information for the reportable segments. Our reportable segment profit measure is earnings before interest, tax, depreciation and amortization (“EBITDA”), or net revenue, less costs applicable to revenue, less SG&amp;A expenses</w:t>
      </w:r>
      <w:r>
        <w:rPr>
          <w:rFonts w:eastAsia="Times New Roman"/>
          <w:color w:val="000000"/>
          <w:sz w:val="20"/>
          <w:szCs w:val="20"/>
        </w:rPr>
        <w:t>. Depreciation and amortization, asset impairment, litigation settlement and other corporate costs that are not allocated to the reportable segments, including interest expense are excluded from segment EBITDA. There are no revenue transactions between our</w:t>
      </w:r>
      <w:r>
        <w:rPr>
          <w:rFonts w:eastAsia="Times New Roman"/>
          <w:color w:val="000000"/>
          <w:sz w:val="20"/>
          <w:szCs w:val="20"/>
        </w:rPr>
        <w:t xml:space="preserve"> reportable segments. We measure assets in our reportable segments on the same basis as consolidated assets. There have been no changes from prior periods in the measurement methods used to determine reportable segment profit or loss, and there have been n</w:t>
      </w:r>
      <w:r>
        <w:rPr>
          <w:rFonts w:eastAsia="Times New Roman"/>
          <w:color w:val="000000"/>
          <w:sz w:val="20"/>
          <w:szCs w:val="20"/>
        </w:rPr>
        <w:t>o asymmetrical allocations to segments.</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092434051"/>
          <w:jc w:val="center"/>
        </w:trPr>
        <w:tc>
          <w:tcPr>
            <w:tcW w:w="50" w:type="pct"/>
            <w:vAlign w:val="center"/>
            <w:hideMark/>
          </w:tcPr>
          <w:p w:rsidR="00000000" w:rsidRDefault="0039134F">
            <w:pPr>
              <w:jc w:val="both"/>
              <w:rPr>
                <w:rFonts w:eastAsia="Times New Roman"/>
              </w:rPr>
            </w:pPr>
          </w:p>
        </w:tc>
        <w:tc>
          <w:tcPr>
            <w:tcW w:w="16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8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092434051"/>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 September 26, 2020</w:t>
            </w:r>
          </w:p>
        </w:tc>
      </w:tr>
      <w:tr w:rsidR="00000000">
        <w:trPr>
          <w:divId w:val="1092434051"/>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Total</w:t>
            </w: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product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323,159 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24,900 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403,336 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services and plans revenues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73,241 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15,332 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(6,556)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82,017 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396,400 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9,185)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485,353 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86,945 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11,676 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50,154 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(501)</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148,274 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55,680 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62,535 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142,625 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17,784 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210,809 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128,206 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13,068 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49,244 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190,518 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vAlign w:val="center"/>
            <w:hideMark/>
          </w:tcPr>
          <w:p w:rsidR="00000000" w:rsidRDefault="0039134F">
            <w:pPr>
              <w:jc w:val="right"/>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1092434051"/>
          <w:jc w:val="center"/>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125,569 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(49,235)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(8,684)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22,236 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92434051"/>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42,319 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tbl>
      <w:tblPr>
        <w:tblW w:w="4991"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rPr>
          <w:jc w:val="center"/>
        </w:trPr>
        <w:tc>
          <w:tcPr>
            <w:tcW w:w="50" w:type="pct"/>
            <w:vAlign w:val="center"/>
            <w:hideMark/>
          </w:tcPr>
          <w:p w:rsidR="00000000" w:rsidRDefault="0039134F">
            <w:pPr>
              <w:jc w:val="center"/>
              <w:rPr>
                <w:rFonts w:eastAsia="Times New Roman"/>
              </w:rPr>
            </w:pPr>
          </w:p>
        </w:tc>
        <w:tc>
          <w:tcPr>
            <w:tcW w:w="16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8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 September 28, 2019</w:t>
            </w:r>
          </w:p>
        </w:tc>
      </w:tr>
      <w:tr w:rsidR="00000000">
        <w:trPr>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Total</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product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270,171 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355,789 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services and plans revenues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63,267 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14,103 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(1,258)</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76,113 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431,902 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77,670 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11,681 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55,684 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517)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144,518 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53,465 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59,984 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131,135 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55,684 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204,502 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128,054 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13,920 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48,316 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190,290 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(54,274)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22,336 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center"/>
        <w:divId w:val="745952777"/>
        <w:rPr>
          <w:rFonts w:eastAsia="Times New Roman"/>
        </w:rPr>
      </w:pPr>
      <w:r>
        <w:rPr>
          <w:rFonts w:eastAsia="Times New Roman"/>
          <w:color w:val="000000"/>
          <w:sz w:val="20"/>
          <w:szCs w:val="20"/>
        </w:rPr>
        <w:t>27</w:t>
      </w:r>
    </w:p>
    <w:p w:rsidR="00000000" w:rsidRDefault="0039134F">
      <w:pPr>
        <w:rPr>
          <w:rFonts w:eastAsia="Times New Roman"/>
        </w:rPr>
      </w:pPr>
      <w:r>
        <w:rPr>
          <w:rFonts w:eastAsia="Times New Roman"/>
        </w:rPr>
        <w:pict>
          <v:rect id="_x0000_i1051" style="width:0;height:1.5pt" o:hralign="center" o:hrstd="t" o:hr="t" fillcolor="#a0a0a0" stroked="f"/>
        </w:pict>
      </w:r>
    </w:p>
    <w:p w:rsidR="00000000" w:rsidRDefault="0039134F">
      <w:pPr>
        <w:divId w:val="1290284124"/>
        <w:rPr>
          <w:rFonts w:eastAsia="Times New Roman"/>
        </w:rPr>
      </w:pPr>
      <w:hyperlink w:anchor="i50336ee56f43460a9be6f65c8cd49c0c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397"/>
        <w:gridCol w:w="38"/>
        <w:gridCol w:w="120"/>
        <w:gridCol w:w="713"/>
        <w:gridCol w:w="36"/>
        <w:gridCol w:w="36"/>
        <w:gridCol w:w="36"/>
        <w:gridCol w:w="36"/>
        <w:gridCol w:w="120"/>
        <w:gridCol w:w="622"/>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1110663087"/>
        </w:trPr>
        <w:tc>
          <w:tcPr>
            <w:tcW w:w="50" w:type="pct"/>
            <w:vAlign w:val="center"/>
            <w:hideMark/>
          </w:tcPr>
          <w:p w:rsidR="00000000" w:rsidRDefault="0039134F">
            <w:pPr>
              <w:rPr>
                <w:rFonts w:eastAsia="Times New Roman"/>
              </w:rPr>
            </w:pPr>
          </w:p>
        </w:tc>
        <w:tc>
          <w:tcPr>
            <w:tcW w:w="16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8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110663087"/>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 September 26, 2020</w:t>
            </w:r>
          </w:p>
        </w:tc>
      </w:tr>
      <w:tr w:rsidR="00000000">
        <w:trPr>
          <w:divId w:val="1110663087"/>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Total</w:t>
            </w: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product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782,502 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65,572 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1,005,884 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services and plans revenues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172,829 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36,530 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209,180 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955,331 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102,102 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(17,319)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1,215,064 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223,759 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32,173 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150,198 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(3,851)</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402,279 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149,847 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17,270 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167,864 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373,606 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150,945 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570,143 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349,624 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37,260 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133,957 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520,841 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Litigation settlement </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Debt issuance costs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232,101 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135,087)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(13,468)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68,970 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11066308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c>
          <w:tcPr>
            <w:tcW w:w="50" w:type="pct"/>
            <w:vAlign w:val="center"/>
            <w:hideMark/>
          </w:tcPr>
          <w:p w:rsidR="00000000" w:rsidRDefault="0039134F">
            <w:pPr>
              <w:rPr>
                <w:rFonts w:eastAsia="Times New Roman"/>
              </w:rPr>
            </w:pPr>
          </w:p>
        </w:tc>
        <w:tc>
          <w:tcPr>
            <w:tcW w:w="160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8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5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 September 28, 2019</w:t>
            </w:r>
          </w:p>
        </w:tc>
      </w:tr>
      <w:tr w:rsidR="00000000">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product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827,957 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189,389 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1,096,482 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Segment services and plans revenues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191,117 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42,019 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(7,062)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226,086 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1,019,074 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123,197 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189,401 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1,322,568 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239,975 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38,123 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166,533 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(454)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444,177 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155,710 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19,090 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174,801 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395,685 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166,534 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618,978 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387,345 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42,041 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137,058 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566,444 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236,044 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(132,339)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(8,650)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63,570 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25,902 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both"/>
        <w:divId w:val="1955669074"/>
        <w:rPr>
          <w:rFonts w:eastAsia="Times New Roman"/>
        </w:rPr>
      </w:pPr>
      <w:r>
        <w:rPr>
          <w:rFonts w:eastAsia="Times New Roman"/>
          <w:color w:val="000000"/>
          <w:sz w:val="20"/>
          <w:szCs w:val="20"/>
        </w:rPr>
        <w:t>Revenues associated with managing operations of our legacy partner were $10.1 million and $23.9 million for the three and nine months ended September 26, 2020, respectively, and $9.3 million and $27.5 million for the three and nine months ended September 2</w:t>
      </w:r>
      <w:r>
        <w:rPr>
          <w:rFonts w:eastAsia="Times New Roman"/>
          <w:color w:val="000000"/>
          <w:sz w:val="20"/>
          <w:szCs w:val="20"/>
        </w:rPr>
        <w:t>8, 2019, respectively. During the nine months ended September 26, 2020, sales associated with our Legacy partner arrangement represented 8.4% of consolidated net revenue. During the nine months ended September 26, 2020, sales associated with Walmart and Sa</w:t>
      </w:r>
      <w:r>
        <w:rPr>
          <w:rFonts w:eastAsia="Times New Roman"/>
          <w:color w:val="000000"/>
          <w:sz w:val="20"/>
          <w:szCs w:val="20"/>
        </w:rPr>
        <w:t>m’s Club contact lenses distribution arrangements represented 7.7% of consolidated net revenue. This exposes us to concentration of customer risk.</w:t>
      </w:r>
    </w:p>
    <w:p w:rsidR="00000000" w:rsidRDefault="0039134F">
      <w:pPr>
        <w:jc w:val="center"/>
        <w:divId w:val="1895311496"/>
        <w:rPr>
          <w:rFonts w:eastAsia="Times New Roman"/>
        </w:rPr>
      </w:pPr>
      <w:r>
        <w:rPr>
          <w:rFonts w:eastAsia="Times New Roman"/>
          <w:color w:val="000000"/>
          <w:sz w:val="20"/>
          <w:szCs w:val="20"/>
        </w:rPr>
        <w:t>28</w:t>
      </w:r>
    </w:p>
    <w:p w:rsidR="00000000" w:rsidRDefault="0039134F">
      <w:pPr>
        <w:rPr>
          <w:rFonts w:eastAsia="Times New Roman"/>
        </w:rPr>
      </w:pPr>
      <w:r>
        <w:rPr>
          <w:rFonts w:eastAsia="Times New Roman"/>
        </w:rPr>
        <w:pict>
          <v:rect id="_x0000_i1052" style="width:0;height:1.5pt" o:hralign="center" o:hrstd="t" o:hr="t" fillcolor="#a0a0a0" stroked="f"/>
        </w:pict>
      </w:r>
    </w:p>
    <w:p w:rsidR="00000000" w:rsidRDefault="0039134F">
      <w:pPr>
        <w:divId w:val="710614574"/>
        <w:rPr>
          <w:rFonts w:eastAsia="Times New Roman"/>
        </w:rPr>
      </w:pPr>
      <w:r>
        <w:rPr>
          <w:rFonts w:eastAsia="Times New Roman"/>
          <w:color w:val="0000FF"/>
          <w:sz w:val="20"/>
          <w:szCs w:val="20"/>
          <w:u w:val="single"/>
        </w:rPr>
        <w:t>Table of contents</w:t>
      </w:r>
    </w:p>
    <w:p w:rsidR="00000000" w:rsidRDefault="0039134F">
      <w:pPr>
        <w:jc w:val="both"/>
        <w:rPr>
          <w:rFonts w:eastAsia="Times New Roman"/>
        </w:rPr>
      </w:pPr>
      <w:r>
        <w:rPr>
          <w:rFonts w:eastAsia="Times New Roman"/>
          <w:b/>
          <w:bCs/>
          <w:color w:val="000000"/>
          <w:sz w:val="20"/>
          <w:szCs w:val="20"/>
        </w:rPr>
        <w:t>12. Earnings Per Share</w:t>
      </w:r>
    </w:p>
    <w:p w:rsidR="00000000" w:rsidRDefault="0039134F">
      <w:pPr>
        <w:jc w:val="both"/>
        <w:rPr>
          <w:rFonts w:eastAsia="Times New Roman"/>
        </w:rPr>
      </w:pPr>
    </w:p>
    <w:p w:rsidR="00000000" w:rsidRDefault="0039134F">
      <w:pPr>
        <w:jc w:val="both"/>
        <w:divId w:val="384765324"/>
        <w:rPr>
          <w:rFonts w:eastAsia="Times New Roman"/>
        </w:rPr>
      </w:pPr>
      <w:r>
        <w:rPr>
          <w:rFonts w:eastAsia="Times New Roman"/>
          <w:color w:val="000000"/>
          <w:sz w:val="20"/>
          <w:szCs w:val="20"/>
        </w:rPr>
        <w:t xml:space="preserve">Basic earnings per share (“EPS”) is computed by dividing net income by the weighted average number of common shares outstanding for the period. Diluted EPS is computed by dividing net income by the weighted average common shares outstanding for the period </w:t>
      </w:r>
      <w:r>
        <w:rPr>
          <w:rFonts w:eastAsia="Times New Roman"/>
          <w:color w:val="000000"/>
          <w:sz w:val="20"/>
          <w:szCs w:val="20"/>
        </w:rPr>
        <w:t>and includes the dilutive impact of potential new common shares issuable upon vesting and exercise of stock options, vesting of restricted stock units, and assumed conversion of $402.5 million of aggregate principal amount of the 2025 Notes. Potential shar</w:t>
      </w:r>
      <w:r>
        <w:rPr>
          <w:rFonts w:eastAsia="Times New Roman"/>
          <w:color w:val="000000"/>
          <w:sz w:val="20"/>
          <w:szCs w:val="20"/>
        </w:rPr>
        <w:t xml:space="preserve">es of common stock are excluded from the computation of diluted EPS if their effect is anti-dilutive. </w:t>
      </w:r>
    </w:p>
    <w:p w:rsidR="00000000" w:rsidRDefault="0039134F">
      <w:pPr>
        <w:jc w:val="both"/>
        <w:divId w:val="941843835"/>
        <w:rPr>
          <w:rFonts w:eastAsia="Times New Roman"/>
        </w:rPr>
      </w:pPr>
      <w:r>
        <w:rPr>
          <w:rFonts w:eastAsia="Times New Roman"/>
          <w:color w:val="000000"/>
          <w:sz w:val="20"/>
          <w:szCs w:val="20"/>
        </w:rPr>
        <w:t>We have the intent to settle the principal amount of the 2025 Notes in cash upon conversion, and to pay the conversion premium in cash or stock at our op</w:t>
      </w:r>
      <w:r>
        <w:rPr>
          <w:rFonts w:eastAsia="Times New Roman"/>
          <w:color w:val="000000"/>
          <w:sz w:val="20"/>
          <w:szCs w:val="20"/>
        </w:rPr>
        <w:t>tion; potentially dilutive common shares related to the 2025 Notes will be determined by applying the treasury stock method. See Note 4. “Long-term Debt” for more information on the 2025 Notes.</w:t>
      </w:r>
    </w:p>
    <w:p w:rsidR="00000000" w:rsidRDefault="0039134F">
      <w:pPr>
        <w:jc w:val="both"/>
        <w:divId w:val="962148489"/>
        <w:rPr>
          <w:rFonts w:eastAsia="Times New Roman"/>
        </w:rPr>
      </w:pPr>
      <w:r>
        <w:rPr>
          <w:rFonts w:eastAsia="Times New Roman"/>
          <w:color w:val="000000"/>
          <w:sz w:val="20"/>
          <w:szCs w:val="20"/>
        </w:rPr>
        <w:t xml:space="preserve">The shares underlying the conversion option of the 2025 Notes </w:t>
      </w:r>
      <w:r>
        <w:rPr>
          <w:rFonts w:eastAsia="Times New Roman"/>
          <w:color w:val="000000"/>
          <w:sz w:val="20"/>
          <w:szCs w:val="20"/>
        </w:rPr>
        <w:t>will have an impact on our diluted EPS when net income is reported and when the average market price of our common stock for the period exceeds the conversion price of $31.17 per share.</w:t>
      </w:r>
    </w:p>
    <w:p w:rsidR="00000000" w:rsidRDefault="0039134F">
      <w:pPr>
        <w:jc w:val="both"/>
        <w:divId w:val="170217742"/>
        <w:rPr>
          <w:rFonts w:eastAsia="Times New Roman"/>
        </w:rPr>
      </w:pPr>
      <w:r>
        <w:rPr>
          <w:rFonts w:eastAsia="Times New Roman"/>
          <w:color w:val="000000"/>
          <w:sz w:val="20"/>
          <w:szCs w:val="20"/>
        </w:rPr>
        <w:t>A reconciliation of the numerators and denominators of the basic and d</w:t>
      </w:r>
      <w:r>
        <w:rPr>
          <w:rFonts w:eastAsia="Times New Roman"/>
          <w:color w:val="000000"/>
          <w:sz w:val="20"/>
          <w:szCs w:val="20"/>
        </w:rPr>
        <w:t>iluted EPS calculations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550"/>
        <w:gridCol w:w="38"/>
        <w:gridCol w:w="121"/>
        <w:gridCol w:w="962"/>
        <w:gridCol w:w="36"/>
        <w:gridCol w:w="36"/>
        <w:gridCol w:w="36"/>
        <w:gridCol w:w="36"/>
        <w:gridCol w:w="121"/>
        <w:gridCol w:w="912"/>
        <w:gridCol w:w="36"/>
        <w:gridCol w:w="36"/>
        <w:gridCol w:w="36"/>
        <w:gridCol w:w="36"/>
        <w:gridCol w:w="121"/>
        <w:gridCol w:w="926"/>
        <w:gridCol w:w="36"/>
        <w:gridCol w:w="36"/>
        <w:gridCol w:w="36"/>
        <w:gridCol w:w="36"/>
        <w:gridCol w:w="121"/>
        <w:gridCol w:w="927"/>
        <w:gridCol w:w="36"/>
      </w:tblGrid>
      <w:tr w:rsidR="00000000">
        <w:trPr>
          <w:divId w:val="1033306750"/>
        </w:trPr>
        <w:tc>
          <w:tcPr>
            <w:tcW w:w="50" w:type="pct"/>
            <w:vAlign w:val="center"/>
            <w:hideMark/>
          </w:tcPr>
          <w:p w:rsidR="00000000" w:rsidRDefault="0039134F">
            <w:pPr>
              <w:jc w:val="both"/>
              <w:rPr>
                <w:rFonts w:eastAsia="Times New Roman"/>
              </w:rPr>
            </w:pPr>
          </w:p>
        </w:tc>
        <w:tc>
          <w:tcPr>
            <w:tcW w:w="217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1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033306750"/>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033306750"/>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 xml:space="preserve">In thousands, except EPS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03330675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80,676 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78,474 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80,376 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03330675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1,694 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3,024 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3,074 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Restricted stock </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1,230 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03330675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Anti-dilutive options, RSUs outstanding excluded from EPS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divId w:val="664019763"/>
        <w:rPr>
          <w:rFonts w:eastAsia="Times New Roman"/>
        </w:rPr>
      </w:pPr>
    </w:p>
    <w:p w:rsidR="00000000" w:rsidRDefault="0039134F">
      <w:pPr>
        <w:jc w:val="both"/>
        <w:rPr>
          <w:rFonts w:eastAsia="Times New Roman"/>
        </w:rPr>
      </w:pPr>
      <w:r>
        <w:rPr>
          <w:rFonts w:eastAsia="Times New Roman"/>
          <w:b/>
          <w:bCs/>
          <w:color w:val="000000"/>
          <w:sz w:val="20"/>
          <w:szCs w:val="20"/>
        </w:rPr>
        <w:t>13. Restricted Cash</w:t>
      </w:r>
    </w:p>
    <w:p w:rsidR="00000000" w:rsidRDefault="0039134F">
      <w:pPr>
        <w:jc w:val="both"/>
        <w:rPr>
          <w:rFonts w:eastAsia="Times New Roman"/>
        </w:rPr>
      </w:pPr>
    </w:p>
    <w:p w:rsidR="00000000" w:rsidRDefault="0039134F">
      <w:pPr>
        <w:jc w:val="both"/>
        <w:rPr>
          <w:rFonts w:eastAsia="Times New Roman"/>
        </w:rPr>
      </w:pPr>
      <w:r>
        <w:rPr>
          <w:rFonts w:eastAsia="Times New Roman"/>
          <w:color w:val="000000"/>
          <w:sz w:val="20"/>
          <w:szCs w:val="20"/>
        </w:rPr>
        <w:t>The following table provides a reconciliation of cash and cash equivalents reported within the condensed consolidated balance sheets to the total of cash, cash equivalents and restricted cash shown in the condensed consolidated statement of cash flows:</w:t>
      </w:r>
    </w:p>
    <w:tbl>
      <w:tblPr>
        <w:tblW w:w="4991" w:type="pct"/>
        <w:tblCellMar>
          <w:top w:w="15" w:type="dxa"/>
          <w:left w:w="15" w:type="dxa"/>
          <w:bottom w:w="15" w:type="dxa"/>
          <w:right w:w="15" w:type="dxa"/>
        </w:tblCellMar>
        <w:tblLook w:val="04A0" w:firstRow="1" w:lastRow="0" w:firstColumn="1" w:lastColumn="0" w:noHBand="0" w:noVBand="1"/>
      </w:tblPr>
      <w:tblGrid>
        <w:gridCol w:w="40"/>
        <w:gridCol w:w="5616"/>
        <w:gridCol w:w="36"/>
        <w:gridCol w:w="121"/>
        <w:gridCol w:w="1103"/>
        <w:gridCol w:w="36"/>
        <w:gridCol w:w="36"/>
        <w:gridCol w:w="36"/>
        <w:gridCol w:w="36"/>
        <w:gridCol w:w="121"/>
        <w:gridCol w:w="1074"/>
        <w:gridCol w:w="36"/>
      </w:tblGrid>
      <w:tr w:rsidR="00000000">
        <w:trPr>
          <w:divId w:val="1599219663"/>
        </w:trPr>
        <w:tc>
          <w:tcPr>
            <w:tcW w:w="50" w:type="pct"/>
            <w:vAlign w:val="center"/>
            <w:hideMark/>
          </w:tcPr>
          <w:p w:rsidR="00000000" w:rsidRDefault="0039134F">
            <w:pPr>
              <w:jc w:val="both"/>
              <w:rPr>
                <w:rFonts w:eastAsia="Times New Roman"/>
              </w:rPr>
            </w:pPr>
          </w:p>
        </w:tc>
        <w:tc>
          <w:tcPr>
            <w:tcW w:w="341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9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599219663"/>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599219663"/>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599219663"/>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377,007 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94,086 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99219663"/>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Restricted cash included in other assets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1599219663"/>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378,415 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95,286 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divId w:val="1348756743"/>
        <w:rPr>
          <w:rFonts w:eastAsia="Times New Roman"/>
        </w:rPr>
      </w:pPr>
    </w:p>
    <w:p w:rsidR="00000000" w:rsidRDefault="0039134F">
      <w:pPr>
        <w:jc w:val="center"/>
        <w:divId w:val="1923491056"/>
        <w:rPr>
          <w:rFonts w:eastAsia="Times New Roman"/>
        </w:rPr>
      </w:pPr>
      <w:r>
        <w:rPr>
          <w:rFonts w:eastAsia="Times New Roman"/>
          <w:color w:val="000000"/>
          <w:sz w:val="20"/>
          <w:szCs w:val="20"/>
        </w:rPr>
        <w:t>29</w:t>
      </w:r>
    </w:p>
    <w:p w:rsidR="00000000" w:rsidRDefault="0039134F">
      <w:pPr>
        <w:rPr>
          <w:rFonts w:eastAsia="Times New Roman"/>
        </w:rPr>
      </w:pPr>
      <w:r>
        <w:rPr>
          <w:rFonts w:eastAsia="Times New Roman"/>
        </w:rPr>
        <w:pict>
          <v:rect id="_x0000_i1053" style="width:0;height:1.5pt" o:hralign="center" o:hrstd="t" o:hr="t" fillcolor="#a0a0a0" stroked="f"/>
        </w:pict>
      </w:r>
    </w:p>
    <w:p w:rsidR="00000000" w:rsidRDefault="0039134F">
      <w:pPr>
        <w:divId w:val="1343119510"/>
        <w:rPr>
          <w:rFonts w:eastAsia="Times New Roman"/>
        </w:rPr>
      </w:pPr>
      <w:r>
        <w:rPr>
          <w:rFonts w:eastAsia="Times New Roman"/>
          <w:color w:val="0000FF"/>
          <w:sz w:val="20"/>
          <w:szCs w:val="20"/>
          <w:u w:val="single"/>
        </w:rPr>
        <w:t>Table of contents</w:t>
      </w:r>
    </w:p>
    <w:p w:rsidR="00000000" w:rsidRDefault="0039134F">
      <w:pPr>
        <w:jc w:val="both"/>
        <w:rPr>
          <w:rFonts w:eastAsia="Times New Roman"/>
        </w:rPr>
      </w:pPr>
      <w:r>
        <w:rPr>
          <w:rFonts w:eastAsia="Times New Roman"/>
          <w:b/>
          <w:bCs/>
          <w:color w:val="000000"/>
          <w:sz w:val="20"/>
          <w:szCs w:val="20"/>
        </w:rPr>
        <w:t>14. Accumulated Other Comprehensive Loss</w:t>
      </w:r>
    </w:p>
    <w:p w:rsidR="00000000" w:rsidRDefault="0039134F">
      <w:pPr>
        <w:jc w:val="both"/>
        <w:rPr>
          <w:rFonts w:eastAsia="Times New Roman"/>
        </w:rPr>
      </w:pPr>
    </w:p>
    <w:p w:rsidR="00000000" w:rsidRDefault="0039134F">
      <w:pPr>
        <w:jc w:val="both"/>
        <w:divId w:val="1747416370"/>
        <w:rPr>
          <w:rFonts w:eastAsia="Times New Roman"/>
        </w:rPr>
      </w:pPr>
      <w:r>
        <w:rPr>
          <w:rFonts w:eastAsia="Times New Roman"/>
          <w:color w:val="000000"/>
          <w:sz w:val="20"/>
          <w:szCs w:val="20"/>
        </w:rPr>
        <w:t>Changes in the fair value of the Company’s cash flow hedge derivative instruments from their inception are recorded in AOCL if the instruments are deemed to be</w:t>
      </w:r>
      <w:r>
        <w:rPr>
          <w:rFonts w:eastAsia="Times New Roman"/>
          <w:color w:val="000000"/>
          <w:sz w:val="20"/>
          <w:szCs w:val="20"/>
        </w:rPr>
        <w:t xml:space="preserve"> highly effective as cash flow hedges. The following table presents the changes in AOCL during the three and nine months ended September 26, 2020 and September 28,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352"/>
        <w:gridCol w:w="37"/>
        <w:gridCol w:w="121"/>
        <w:gridCol w:w="989"/>
        <w:gridCol w:w="36"/>
        <w:gridCol w:w="36"/>
        <w:gridCol w:w="36"/>
        <w:gridCol w:w="36"/>
        <w:gridCol w:w="121"/>
        <w:gridCol w:w="978"/>
        <w:gridCol w:w="36"/>
        <w:gridCol w:w="36"/>
        <w:gridCol w:w="36"/>
        <w:gridCol w:w="36"/>
        <w:gridCol w:w="121"/>
        <w:gridCol w:w="980"/>
        <w:gridCol w:w="36"/>
        <w:gridCol w:w="36"/>
        <w:gridCol w:w="36"/>
        <w:gridCol w:w="36"/>
        <w:gridCol w:w="121"/>
        <w:gridCol w:w="980"/>
        <w:gridCol w:w="36"/>
      </w:tblGrid>
      <w:tr w:rsidR="00000000">
        <w:trPr>
          <w:divId w:val="2132703495"/>
        </w:trPr>
        <w:tc>
          <w:tcPr>
            <w:tcW w:w="50" w:type="pct"/>
            <w:vAlign w:val="center"/>
            <w:hideMark/>
          </w:tcPr>
          <w:p w:rsidR="00000000" w:rsidRDefault="0039134F">
            <w:pPr>
              <w:jc w:val="both"/>
              <w:rPr>
                <w:rFonts w:eastAsia="Times New Roman"/>
              </w:rPr>
            </w:pPr>
          </w:p>
        </w:tc>
        <w:tc>
          <w:tcPr>
            <w:tcW w:w="205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2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4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4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4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2132703495"/>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2132703495"/>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2132703495"/>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2132703495"/>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(7,355)</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(5,427)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w:t>
            </w: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(2,810)</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(11,088)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Tax effect of other comprehensive income (loss) before reclassification</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1,476 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Amount reclassified from AOCL into interest expense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1,941 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1,120 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8,235 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2,922 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Tax effect of amount reclassified from AOCL into interest expense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(495)</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(2,102)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(749)</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2132703495"/>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jc w:val="both"/>
        <w:divId w:val="693766764"/>
        <w:rPr>
          <w:rFonts w:eastAsia="Times New Roman"/>
        </w:rPr>
      </w:pPr>
      <w:r>
        <w:rPr>
          <w:rFonts w:eastAsia="Times New Roman"/>
          <w:color w:val="000000"/>
          <w:sz w:val="20"/>
          <w:szCs w:val="20"/>
        </w:rPr>
        <w:t>See Note 5. “Interest Rate Derivatives” for a description of the Company’s use of cash flow hedging derivatives.</w:t>
      </w:r>
    </w:p>
    <w:p w:rsidR="00000000" w:rsidRDefault="0039134F">
      <w:pPr>
        <w:jc w:val="both"/>
        <w:divId w:val="1750467311"/>
        <w:rPr>
          <w:rFonts w:eastAsia="Times New Roman"/>
        </w:rPr>
      </w:pPr>
    </w:p>
    <w:p w:rsidR="00000000" w:rsidRDefault="0039134F">
      <w:pPr>
        <w:jc w:val="center"/>
        <w:divId w:val="1497259444"/>
        <w:rPr>
          <w:rFonts w:eastAsia="Times New Roman"/>
        </w:rPr>
      </w:pPr>
      <w:r>
        <w:rPr>
          <w:rFonts w:eastAsia="Times New Roman"/>
          <w:color w:val="000000"/>
          <w:sz w:val="20"/>
          <w:szCs w:val="20"/>
        </w:rPr>
        <w:t>30</w:t>
      </w:r>
    </w:p>
    <w:p w:rsidR="00000000" w:rsidRDefault="0039134F">
      <w:pPr>
        <w:divId w:val="629552374"/>
        <w:rPr>
          <w:rFonts w:eastAsia="Times New Roman"/>
        </w:rPr>
      </w:pPr>
    </w:p>
    <w:p w:rsidR="00000000" w:rsidRDefault="0039134F">
      <w:pPr>
        <w:rPr>
          <w:rFonts w:eastAsia="Times New Roman"/>
        </w:rPr>
      </w:pPr>
      <w:r>
        <w:rPr>
          <w:rFonts w:eastAsia="Times New Roman"/>
        </w:rPr>
        <w:pict>
          <v:rect id="_x0000_i1054" style="width:0;height:1.5pt" o:hralign="center" o:hrstd="t" o:hr="t" fillcolor="#a0a0a0" stroked="f"/>
        </w:pict>
      </w:r>
    </w:p>
    <w:p w:rsidR="00000000" w:rsidRDefault="0039134F">
      <w:pPr>
        <w:divId w:val="755442332"/>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divId w:val="2015107598"/>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39134F">
      <w:pPr>
        <w:jc w:val="both"/>
        <w:divId w:val="276378473"/>
        <w:rPr>
          <w:rFonts w:eastAsia="Times New Roman"/>
        </w:rPr>
      </w:pPr>
      <w:r>
        <w:rPr>
          <w:rFonts w:eastAsia="Times New Roman"/>
          <w:i/>
          <w:iCs/>
          <w:color w:val="000000"/>
          <w:sz w:val="20"/>
          <w:szCs w:val="20"/>
        </w:rPr>
        <w:t xml:space="preserve">The following contains management’s discussion and analysis of our financial condition and results of operations and should be read together with the unaudited condensed consolidated financial statements and the related notes thereto included elsewhere in </w:t>
      </w:r>
      <w:r>
        <w:rPr>
          <w:rFonts w:eastAsia="Times New Roman"/>
          <w:i/>
          <w:iCs/>
          <w:color w:val="000000"/>
          <w:sz w:val="20"/>
          <w:szCs w:val="20"/>
        </w:rPr>
        <w:t>this Form 10-Q (this “Form 10-Q”) and the audited consolidated financial statements and “Management’s Discussion and Analysis of Financial Condition and Results of Operations” included in our Annual Report on Form 10-K filed with the Securities and Exchang</w:t>
      </w:r>
      <w:r>
        <w:rPr>
          <w:rFonts w:eastAsia="Times New Roman"/>
          <w:i/>
          <w:iCs/>
          <w:color w:val="000000"/>
          <w:sz w:val="20"/>
          <w:szCs w:val="20"/>
        </w:rPr>
        <w:t>e Commission (the “SEC”) on February 26, 2020 (the “2019 Annual Report on Form 10-K”). This discussion contains forward-looking statements that reflect our plans, estimates and beliefs and involve numerous risks and uncertainties, including, but not limite</w:t>
      </w:r>
      <w:r>
        <w:rPr>
          <w:rFonts w:eastAsia="Times New Roman"/>
          <w:i/>
          <w:iCs/>
          <w:color w:val="000000"/>
          <w:sz w:val="20"/>
          <w:szCs w:val="20"/>
        </w:rPr>
        <w:t>d to, those described in the “Risk Factors” section of the 2019 Annual Report on Form 10-K and in the “Risk Factors” section of this Form 10-Q, as such risk factors may be updated from time to time in our periodic filings with the SEC. Actual results may d</w:t>
      </w:r>
      <w:r>
        <w:rPr>
          <w:rFonts w:eastAsia="Times New Roman"/>
          <w:i/>
          <w:iCs/>
          <w:color w:val="000000"/>
          <w:sz w:val="20"/>
          <w:szCs w:val="20"/>
        </w:rPr>
        <w:t>iffer materially from those contained in any forward-looking statements. You should carefully read “Special Note Regarding Forward-Looking Statements” in this Form 10-Q.</w:t>
      </w:r>
    </w:p>
    <w:p w:rsidR="00000000" w:rsidRDefault="0039134F">
      <w:pPr>
        <w:jc w:val="both"/>
        <w:divId w:val="1744451548"/>
        <w:rPr>
          <w:rFonts w:eastAsia="Times New Roman"/>
        </w:rPr>
      </w:pPr>
      <w:r>
        <w:rPr>
          <w:rFonts w:eastAsia="Times New Roman"/>
          <w:b/>
          <w:bCs/>
          <w:color w:val="000000"/>
          <w:sz w:val="20"/>
          <w:szCs w:val="20"/>
        </w:rPr>
        <w:t>Overview    </w:t>
      </w:r>
    </w:p>
    <w:p w:rsidR="00000000" w:rsidRDefault="0039134F">
      <w:pPr>
        <w:jc w:val="both"/>
        <w:divId w:val="116418683"/>
        <w:rPr>
          <w:rFonts w:eastAsia="Times New Roman"/>
        </w:rPr>
      </w:pPr>
      <w:r>
        <w:rPr>
          <w:rFonts w:eastAsia="Times New Roman"/>
          <w:color w:val="000000"/>
          <w:sz w:val="20"/>
          <w:szCs w:val="20"/>
        </w:rPr>
        <w:t>We are one of the largest and fastest growing optical retailers in the Un</w:t>
      </w:r>
      <w:r>
        <w:rPr>
          <w:rFonts w:eastAsia="Times New Roman"/>
          <w:color w:val="000000"/>
          <w:sz w:val="20"/>
          <w:szCs w:val="20"/>
        </w:rPr>
        <w:t>ited States and a leader in the attractive value segment of the U.S. optical retail industry. We believe that vision is central to quality of life and that people deserve to see their best to live their best, regardless of their budget. Our mission is to m</w:t>
      </w:r>
      <w:r>
        <w:rPr>
          <w:rFonts w:eastAsia="Times New Roman"/>
          <w:color w:val="000000"/>
          <w:sz w:val="20"/>
          <w:szCs w:val="20"/>
        </w:rPr>
        <w:t>ake quality eye care and eyewear affordable and accessible to all Americans. We achieve this by providing eye exams, eyeglasses and contact lenses to value seeking and lower income consumers. We deliver exceptional value and convenience to our customers, w</w:t>
      </w:r>
      <w:r>
        <w:rPr>
          <w:rFonts w:eastAsia="Times New Roman"/>
          <w:color w:val="000000"/>
          <w:sz w:val="20"/>
          <w:szCs w:val="20"/>
        </w:rPr>
        <w:t>ith an opening price point that strives to be among the lowest in the industry, enabled by our low-cost operating platform. We reach our customers through a diverse portfolio of 1,201 retail stores across five brands an</w:t>
      </w:r>
      <w:r>
        <w:rPr>
          <w:rFonts w:eastAsia="Times New Roman"/>
          <w:color w:val="000000"/>
          <w:sz w:val="20"/>
          <w:szCs w:val="20"/>
          <w:shd w:val="clear" w:color="auto" w:fill="FFFFFF"/>
        </w:rPr>
        <w:t>d</w:t>
      </w:r>
      <w:r>
        <w:rPr>
          <w:rFonts w:eastAsia="Times New Roman"/>
          <w:color w:val="000000"/>
          <w:sz w:val="20"/>
          <w:szCs w:val="20"/>
        </w:rPr>
        <w:t xml:space="preserve"> 19 </w:t>
      </w:r>
      <w:r>
        <w:rPr>
          <w:rFonts w:eastAsia="Times New Roman"/>
          <w:color w:val="000000"/>
          <w:sz w:val="20"/>
          <w:szCs w:val="20"/>
          <w:shd w:val="clear" w:color="auto" w:fill="FFFFFF"/>
        </w:rPr>
        <w:t>consumer websites as of Septembe</w:t>
      </w:r>
      <w:r>
        <w:rPr>
          <w:rFonts w:eastAsia="Times New Roman"/>
          <w:color w:val="000000"/>
          <w:sz w:val="20"/>
          <w:szCs w:val="20"/>
          <w:shd w:val="clear" w:color="auto" w:fill="FFFFFF"/>
        </w:rPr>
        <w:t>r 26, 2020.</w:t>
      </w:r>
    </w:p>
    <w:p w:rsidR="00000000" w:rsidRDefault="0039134F">
      <w:pPr>
        <w:jc w:val="both"/>
        <w:divId w:val="1255357470"/>
        <w:rPr>
          <w:rFonts w:eastAsia="Times New Roman"/>
        </w:rPr>
      </w:pPr>
      <w:r>
        <w:rPr>
          <w:rFonts w:eastAsia="Times New Roman"/>
          <w:b/>
          <w:bCs/>
          <w:color w:val="000000"/>
          <w:sz w:val="20"/>
          <w:szCs w:val="20"/>
        </w:rPr>
        <w:t>COVID-19</w:t>
      </w:r>
    </w:p>
    <w:p w:rsidR="00000000" w:rsidRDefault="0039134F">
      <w:pPr>
        <w:jc w:val="both"/>
        <w:divId w:val="1511093398"/>
        <w:rPr>
          <w:rFonts w:eastAsia="Times New Roman"/>
        </w:rPr>
      </w:pPr>
      <w:r>
        <w:rPr>
          <w:rFonts w:eastAsia="Times New Roman"/>
          <w:color w:val="000000"/>
          <w:sz w:val="20"/>
          <w:szCs w:val="20"/>
        </w:rPr>
        <w:t xml:space="preserve">The COVID-19 pandemic and related federal, state and local governmental and healthcare authority guidelines continue to impact our business results and cause business disruption in the U.S. and globally. To date, the COVID-19 pandemic </w:t>
      </w:r>
      <w:r>
        <w:rPr>
          <w:rFonts w:eastAsia="Times New Roman"/>
          <w:color w:val="000000"/>
          <w:sz w:val="20"/>
          <w:szCs w:val="20"/>
        </w:rPr>
        <w:t>and related healthcare authority actions have directly and indirectly impacted our operations, including the temporary closure of our stores to the public between March and June 2020, and on consumer behavior, comparable store sales, our employees and opto</w:t>
      </w:r>
      <w:r>
        <w:rPr>
          <w:rFonts w:eastAsia="Times New Roman"/>
          <w:color w:val="000000"/>
          <w:sz w:val="20"/>
          <w:szCs w:val="20"/>
        </w:rPr>
        <w:t>metrists and the overall market. The COVID-19 pandemic has resulted in, and may continue to result in, state, city or local quarantines, labor stoppages and shortages, changes in consumer purchasing patterns, mandatory or voluntary shut-downs of retail loc</w:t>
      </w:r>
      <w:r>
        <w:rPr>
          <w:rFonts w:eastAsia="Times New Roman"/>
          <w:color w:val="000000"/>
          <w:sz w:val="20"/>
          <w:szCs w:val="20"/>
        </w:rPr>
        <w:t>ations, severe market volatility, liquidity disruptions, and overall economic instability, which, in many cases, have had, and we expect will continue to have, material adverse impacts on our business, financial condition and results of operations. The sco</w:t>
      </w:r>
      <w:r>
        <w:rPr>
          <w:rFonts w:eastAsia="Times New Roman"/>
          <w:color w:val="000000"/>
          <w:sz w:val="20"/>
          <w:szCs w:val="20"/>
        </w:rPr>
        <w:t>pe and nature of these impacts continue to evolve on a daily basis, including with a potential resurgence in COVID-19 cases for the latter portion of this fiscal year.</w:t>
      </w:r>
    </w:p>
    <w:p w:rsidR="00000000" w:rsidRDefault="0039134F">
      <w:pPr>
        <w:jc w:val="both"/>
        <w:divId w:val="1518614242"/>
        <w:rPr>
          <w:rFonts w:eastAsia="Times New Roman"/>
        </w:rPr>
      </w:pPr>
      <w:r>
        <w:rPr>
          <w:rFonts w:eastAsia="Times New Roman"/>
          <w:color w:val="000000"/>
          <w:sz w:val="20"/>
          <w:szCs w:val="20"/>
        </w:rPr>
        <w:t>Since the onset of the COVID-19 pandemic, we have focused on ensuring the health and saf</w:t>
      </w:r>
      <w:r>
        <w:rPr>
          <w:rFonts w:eastAsia="Times New Roman"/>
          <w:color w:val="000000"/>
          <w:sz w:val="20"/>
          <w:szCs w:val="20"/>
        </w:rPr>
        <w:t>ety of our employees and customers, securing liquidity, reducing expenses and deferring discretionary capital expenditures. In response to the pandemic, we temporarily closed all of our stores to the public across the U.S. on March 19, 2020 and successfull</w:t>
      </w:r>
      <w:r>
        <w:rPr>
          <w:rFonts w:eastAsia="Times New Roman"/>
          <w:color w:val="000000"/>
          <w:sz w:val="20"/>
          <w:szCs w:val="20"/>
        </w:rPr>
        <w:t>y re-opened all stores with enhanced safety and cleaning protocols by June 8, 2020. We also suspended all non-essential travel for our employees and have implemented a remote work policy for certain corporate employees. On March 17, 2020, as a precautionar</w:t>
      </w:r>
      <w:r>
        <w:rPr>
          <w:rFonts w:eastAsia="Times New Roman"/>
          <w:color w:val="000000"/>
          <w:sz w:val="20"/>
          <w:szCs w:val="20"/>
        </w:rPr>
        <w:t>y measure to preserve financial flexibility during the COVID-19 pandemic, we borrowed the remaining $146.3 million in available funds under our revolving credit facility and, on May 12, 2020, using proceeds from our issuance described below we repaid the f</w:t>
      </w:r>
      <w:r>
        <w:rPr>
          <w:rFonts w:eastAsia="Times New Roman"/>
          <w:color w:val="000000"/>
          <w:sz w:val="20"/>
          <w:szCs w:val="20"/>
        </w:rPr>
        <w:t>ull amount outstanding under our revolving credit facility. On May 12, 2020, we completed the issuance of 2.50% convertible senior notes due on May 15, 2025 (the “2025 Notes”) and used the net proceeds to repay our outstanding borrowings under our term loa</w:t>
      </w:r>
      <w:r>
        <w:rPr>
          <w:rFonts w:eastAsia="Times New Roman"/>
          <w:color w:val="000000"/>
          <w:sz w:val="20"/>
          <w:szCs w:val="20"/>
        </w:rPr>
        <w:t xml:space="preserve">n and revolving credit facility. We also entered into an amendment (“Credit Agreement Amendment”) of our Amended and Restated Credit Agreement, dated as of July 18, 2019 (“Credit Agreement”) to suspend certain financial maintenance covenants until testing </w:t>
      </w:r>
      <w:r>
        <w:rPr>
          <w:rFonts w:eastAsia="Times New Roman"/>
          <w:color w:val="000000"/>
          <w:sz w:val="20"/>
          <w:szCs w:val="20"/>
        </w:rPr>
        <w:t>at the end of the second fiscal quarter of 2021, allowing us to focus on the prudent management of the business. Since the beginning of the pandemic, we have also implemented capital spending and expense reduction initiatives, including a temporary pause i</w:t>
      </w:r>
      <w:r>
        <w:rPr>
          <w:rFonts w:eastAsia="Times New Roman"/>
          <w:color w:val="000000"/>
          <w:sz w:val="20"/>
          <w:szCs w:val="20"/>
        </w:rPr>
        <w:t>n new store openings between March and June 2020, reduced near term marketing, a temporary reduction in compensation across the organization until the second quarter of 2020, and working with a base of vendors and landlords to extend payment terms and modi</w:t>
      </w:r>
      <w:r>
        <w:rPr>
          <w:rFonts w:eastAsia="Times New Roman"/>
          <w:color w:val="000000"/>
          <w:sz w:val="20"/>
          <w:szCs w:val="20"/>
        </w:rPr>
        <w:t>fy existing contracts. In the third quarter of 2020 we paid a tangible appreciation bonus to our customer-facing doctors and associates.</w:t>
      </w:r>
    </w:p>
    <w:p w:rsidR="00000000" w:rsidRDefault="0039134F">
      <w:pPr>
        <w:jc w:val="both"/>
        <w:divId w:val="203373329"/>
        <w:rPr>
          <w:rFonts w:eastAsia="Times New Roman"/>
        </w:rPr>
      </w:pPr>
      <w:r>
        <w:rPr>
          <w:rFonts w:eastAsia="Times New Roman"/>
          <w:color w:val="000000"/>
          <w:sz w:val="20"/>
          <w:szCs w:val="20"/>
        </w:rPr>
        <w:t>We continue to monitor the evolving situation as there remain many uncertainties regarding the pandemic and its resurge</w:t>
      </w:r>
      <w:r>
        <w:rPr>
          <w:rFonts w:eastAsia="Times New Roman"/>
          <w:color w:val="000000"/>
          <w:sz w:val="20"/>
          <w:szCs w:val="20"/>
        </w:rPr>
        <w:t xml:space="preserve">nce, including its anticipated duration, and, related healthcare authority guidelines. We will continue to evaluate additional measures that we may elect to take as a response to the pandemic, including, where appropriate, </w:t>
      </w:r>
    </w:p>
    <w:p w:rsidR="00000000" w:rsidRDefault="0039134F">
      <w:pPr>
        <w:jc w:val="center"/>
        <w:divId w:val="575625106"/>
        <w:rPr>
          <w:rFonts w:eastAsia="Times New Roman"/>
        </w:rPr>
      </w:pPr>
      <w:r>
        <w:rPr>
          <w:rFonts w:eastAsia="Times New Roman"/>
          <w:color w:val="000000"/>
          <w:sz w:val="20"/>
          <w:szCs w:val="20"/>
        </w:rPr>
        <w:t>31</w:t>
      </w:r>
    </w:p>
    <w:p w:rsidR="00000000" w:rsidRDefault="0039134F">
      <w:pPr>
        <w:rPr>
          <w:rFonts w:eastAsia="Times New Roman"/>
        </w:rPr>
      </w:pPr>
      <w:r>
        <w:rPr>
          <w:rFonts w:eastAsia="Times New Roman"/>
        </w:rPr>
        <w:pict>
          <v:rect id="_x0000_i1055" style="width:0;height:1.5pt" o:hralign="center" o:hrstd="t" o:hr="t" fillcolor="#a0a0a0" stroked="f"/>
        </w:pict>
      </w:r>
    </w:p>
    <w:p w:rsidR="00000000" w:rsidRDefault="0039134F">
      <w:pPr>
        <w:divId w:val="196950699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2123529379"/>
        <w:rPr>
          <w:rFonts w:eastAsia="Times New Roman"/>
        </w:rPr>
      </w:pPr>
      <w:r>
        <w:rPr>
          <w:rFonts w:eastAsia="Times New Roman"/>
          <w:color w:val="000000"/>
          <w:sz w:val="20"/>
          <w:szCs w:val="20"/>
        </w:rPr>
        <w:t>future action to reduce store hours and patient appointments or temporarily close stores. There can be no assurance whether or when any such measures will be adopted.</w:t>
      </w:r>
    </w:p>
    <w:p w:rsidR="00000000" w:rsidRDefault="0039134F">
      <w:pPr>
        <w:jc w:val="both"/>
        <w:divId w:val="876427659"/>
        <w:rPr>
          <w:rFonts w:eastAsia="Times New Roman"/>
        </w:rPr>
      </w:pPr>
      <w:r>
        <w:rPr>
          <w:rFonts w:eastAsia="Times New Roman"/>
          <w:color w:val="000000"/>
          <w:sz w:val="20"/>
          <w:szCs w:val="20"/>
        </w:rPr>
        <w:t>The d</w:t>
      </w:r>
      <w:r>
        <w:rPr>
          <w:rFonts w:eastAsia="Times New Roman"/>
          <w:color w:val="000000"/>
          <w:sz w:val="20"/>
          <w:szCs w:val="20"/>
        </w:rPr>
        <w:t>isclosures contained in this Form 10-Q are made only as of the date hereof, and we undertake no obligation to publicly update or revise any forward-looking statement as a result of new information, future events or otherwise, except as required by law. For</w:t>
      </w:r>
      <w:r>
        <w:rPr>
          <w:rFonts w:eastAsia="Times New Roman"/>
          <w:color w:val="000000"/>
          <w:sz w:val="20"/>
          <w:szCs w:val="20"/>
        </w:rPr>
        <w:t xml:space="preserve"> further information, please see “Risk Factors” and “Forward-Looking Statements.”</w:t>
      </w:r>
    </w:p>
    <w:p w:rsidR="00000000" w:rsidRDefault="0039134F">
      <w:pPr>
        <w:divId w:val="508100640"/>
        <w:rPr>
          <w:rFonts w:eastAsia="Times New Roman"/>
        </w:rPr>
      </w:pPr>
      <w:r>
        <w:rPr>
          <w:rFonts w:eastAsia="Times New Roman"/>
          <w:b/>
          <w:bCs/>
          <w:color w:val="000000"/>
          <w:sz w:val="20"/>
          <w:szCs w:val="20"/>
        </w:rPr>
        <w:t>Brand and Segment Information</w:t>
      </w:r>
    </w:p>
    <w:p w:rsidR="00000000" w:rsidRDefault="0039134F">
      <w:pPr>
        <w:divId w:val="1306549222"/>
        <w:rPr>
          <w:rFonts w:eastAsia="Times New Roman"/>
        </w:rPr>
      </w:pPr>
      <w:r>
        <w:rPr>
          <w:rFonts w:eastAsia="Times New Roman"/>
          <w:color w:val="000000"/>
          <w:sz w:val="20"/>
          <w:szCs w:val="20"/>
        </w:rPr>
        <w:t>Our operations consist of two reportable segments:</w:t>
      </w:r>
    </w:p>
    <w:p w:rsidR="00000000" w:rsidRDefault="0039134F">
      <w:pPr>
        <w:ind w:hanging="360"/>
        <w:jc w:val="both"/>
        <w:divId w:val="487476044"/>
        <w:rPr>
          <w:rFonts w:eastAsia="Times New Roman"/>
        </w:rPr>
      </w:pPr>
      <w:r>
        <w:rPr>
          <w:rFonts w:eastAsia="Times New Roman"/>
          <w:color w:val="000000"/>
          <w:sz w:val="20"/>
          <w:szCs w:val="20"/>
        </w:rPr>
        <w:t>•Owned &amp; Host - As of September 26, 2020, our owned brands consisted of 769 America’s Best Co</w:t>
      </w:r>
      <w:r>
        <w:rPr>
          <w:rFonts w:eastAsia="Times New Roman"/>
          <w:color w:val="000000"/>
          <w:sz w:val="20"/>
          <w:szCs w:val="20"/>
        </w:rPr>
        <w:t>ntacts and Eyeglasses (“America’s Best”) retail stores and 119 Eyeglass World retail stores. In America’s Best stores, vision care services are provided by optometrists employed by us or by independent professional corporations or similar entities. America</w:t>
      </w:r>
      <w:r>
        <w:rPr>
          <w:rFonts w:eastAsia="Times New Roman"/>
          <w:color w:val="000000"/>
          <w:sz w:val="20"/>
          <w:szCs w:val="20"/>
        </w:rPr>
        <w:t>’s Best stores are primarily located in high-traffic strip centers next to value-focused retailers. Eyeglass World locations primarily feature vision care services provided by independent optometrists and optometrists employed by independent professional c</w:t>
      </w:r>
      <w:r>
        <w:rPr>
          <w:rFonts w:eastAsia="Times New Roman"/>
          <w:color w:val="000000"/>
          <w:sz w:val="20"/>
          <w:szCs w:val="20"/>
        </w:rPr>
        <w:t>orporations or similar entities and on-site optical laboratories that enable stores to quickly fulfill many customer orders and make repairs on site. Eyeglass World stores are primarily located in freestanding or in-line locations near high-foot-traffic sh</w:t>
      </w:r>
      <w:r>
        <w:rPr>
          <w:rFonts w:eastAsia="Times New Roman"/>
          <w:color w:val="000000"/>
          <w:sz w:val="20"/>
          <w:szCs w:val="20"/>
        </w:rPr>
        <w:t>opping centers. Our host brands consisted of 54 Vista Optical locations on select military bases and 29 Vista Optical locations within select Fred Meyer stores as of September 26, 2020. We have strong, long-standing relationships with our host partners and</w:t>
      </w:r>
      <w:r>
        <w:rPr>
          <w:rFonts w:eastAsia="Times New Roman"/>
          <w:color w:val="000000"/>
          <w:sz w:val="20"/>
          <w:szCs w:val="20"/>
        </w:rPr>
        <w:t xml:space="preserve"> have maintained each partnership for over 20 years. These brands provide eye exams primarily by independent optometrists. All brands utilize our centralized laboratories. This segment also includes sales from our America’s Best, Eyeglass World, and Milita</w:t>
      </w:r>
      <w:r>
        <w:rPr>
          <w:rFonts w:eastAsia="Times New Roman"/>
          <w:color w:val="000000"/>
          <w:sz w:val="20"/>
          <w:szCs w:val="20"/>
        </w:rPr>
        <w:t>ry omni-channel websites.</w:t>
      </w:r>
    </w:p>
    <w:p w:rsidR="00000000" w:rsidRDefault="0039134F">
      <w:pPr>
        <w:ind w:hanging="360"/>
        <w:jc w:val="both"/>
        <w:divId w:val="960653046"/>
        <w:rPr>
          <w:rFonts w:eastAsia="Times New Roman"/>
        </w:rPr>
      </w:pPr>
      <w:r>
        <w:rPr>
          <w:rFonts w:eastAsia="Times New Roman"/>
          <w:color w:val="000000"/>
          <w:sz w:val="20"/>
          <w:szCs w:val="20"/>
        </w:rPr>
        <w:t>•Legacy - We manage the operations of, and supply inventory and laboratory processing services to, 230 Vision Centers in Walmart retail locations as of September 26, 2020. This strategic relationship with Walmart is in its 3</w:t>
      </w:r>
      <w:r>
        <w:rPr>
          <w:rFonts w:eastAsia="Times New Roman"/>
          <w:color w:val="000000"/>
          <w:sz w:val="20"/>
          <w:szCs w:val="20"/>
        </w:rPr>
        <w:t>0</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ye</w:t>
      </w:r>
      <w:r>
        <w:rPr>
          <w:rFonts w:eastAsia="Times New Roman"/>
          <w:color w:val="000000"/>
          <w:sz w:val="20"/>
          <w:szCs w:val="20"/>
        </w:rPr>
        <w:t>ar. Pursuant to a January 2020 amendment to our management &amp; services agreement with Walmart, we added five additional Vision Centers in Walmart stores in fiscal year 2020. On July 17, 2020, NVI and Walmart extended the current term and economics of the ma</w:t>
      </w:r>
      <w:r>
        <w:rPr>
          <w:rFonts w:eastAsia="Times New Roman"/>
          <w:color w:val="000000"/>
          <w:sz w:val="20"/>
          <w:szCs w:val="20"/>
        </w:rPr>
        <w:t>nagement &amp; services agreement by three years to February 23, 2024; refer to Note 11. “Segment Reporting” included in Part I. Item 1. of this Form 10-Q for further information. Under the management &amp; services agreement, our responsibilities include ordering</w:t>
      </w:r>
      <w:r>
        <w:rPr>
          <w:rFonts w:eastAsia="Times New Roman"/>
          <w:color w:val="000000"/>
          <w:sz w:val="20"/>
          <w:szCs w:val="20"/>
        </w:rPr>
        <w:t xml:space="preserve"> and maintaining merchandise inventory; arranging the provision of optometry services; providing managers and staff at each location; training personnel; providing sales receipts to customers; maintaining necessary insurance; obtaining and holding required</w:t>
      </w:r>
      <w:r>
        <w:rPr>
          <w:rFonts w:eastAsia="Times New Roman"/>
          <w:color w:val="000000"/>
          <w:sz w:val="20"/>
          <w:szCs w:val="20"/>
        </w:rPr>
        <w:t xml:space="preserve"> licenses, permits and accreditations; owning and maintaining store furniture, fixtures and equipment; and developing annual operating budgets and reporting. We earn management fees as a result of providing such services and therefore we record revenue rel</w:t>
      </w:r>
      <w:r>
        <w:rPr>
          <w:rFonts w:eastAsia="Times New Roman"/>
          <w:color w:val="000000"/>
          <w:sz w:val="20"/>
          <w:szCs w:val="20"/>
        </w:rPr>
        <w:t>ated to sales of products and product protection plans to our legacy partner’s customers on a net basis. Our management &amp; services agreement also allows our legacy partner to collect penalties if the Vision Centers do not generate a requisite amount of rev</w:t>
      </w:r>
      <w:r>
        <w:rPr>
          <w:rFonts w:eastAsia="Times New Roman"/>
          <w:color w:val="000000"/>
          <w:sz w:val="20"/>
          <w:szCs w:val="20"/>
        </w:rPr>
        <w:t xml:space="preserve">enues. No such penalties have been assessed under our current arrangement, which began in 2012. We also sell to our legacy partner merchandise that is stocked in retail locations we manage pursuant to a separate supplier agreement, and provide centralized </w:t>
      </w:r>
      <w:r>
        <w:rPr>
          <w:rFonts w:eastAsia="Times New Roman"/>
          <w:color w:val="000000"/>
          <w:sz w:val="20"/>
          <w:szCs w:val="20"/>
        </w:rPr>
        <w:t>laboratory services for the finished eyeglasses for our legacy partner’s customers in stores that we manage. We lease space from Walmart within or adjacent to each of the locations we manage and use this space for vision care services provided by independe</w:t>
      </w:r>
      <w:r>
        <w:rPr>
          <w:rFonts w:eastAsia="Times New Roman"/>
          <w:color w:val="000000"/>
          <w:sz w:val="20"/>
          <w:szCs w:val="20"/>
        </w:rPr>
        <w:t>nt optometrists or optometrists employed by us or by independent professional corporations or similar entities. During the nine months ended September 26, 2020, sales associated with our legacy partner arrangement represented 8.4% of consolidated net reven</w:t>
      </w:r>
      <w:r>
        <w:rPr>
          <w:rFonts w:eastAsia="Times New Roman"/>
          <w:color w:val="000000"/>
          <w:sz w:val="20"/>
          <w:szCs w:val="20"/>
        </w:rPr>
        <w:t>ue. This exposes us to concentration of customer risk.</w:t>
      </w:r>
    </w:p>
    <w:p w:rsidR="00000000" w:rsidRDefault="0039134F">
      <w:pPr>
        <w:jc w:val="both"/>
        <w:divId w:val="360593402"/>
        <w:rPr>
          <w:rFonts w:eastAsia="Times New Roman"/>
        </w:rPr>
      </w:pPr>
    </w:p>
    <w:p w:rsidR="00000000" w:rsidRDefault="0039134F">
      <w:pPr>
        <w:jc w:val="center"/>
        <w:divId w:val="2006399807"/>
        <w:rPr>
          <w:rFonts w:eastAsia="Times New Roman"/>
        </w:rPr>
      </w:pPr>
      <w:r>
        <w:rPr>
          <w:rFonts w:eastAsia="Times New Roman"/>
          <w:color w:val="000000"/>
          <w:sz w:val="20"/>
          <w:szCs w:val="20"/>
        </w:rPr>
        <w:t>32</w:t>
      </w:r>
    </w:p>
    <w:p w:rsidR="00000000" w:rsidRDefault="0039134F">
      <w:pPr>
        <w:rPr>
          <w:rFonts w:eastAsia="Times New Roman"/>
        </w:rPr>
      </w:pPr>
      <w:r>
        <w:rPr>
          <w:rFonts w:eastAsia="Times New Roman"/>
        </w:rPr>
        <w:pict>
          <v:rect id="_x0000_i1056" style="width:0;height:1.5pt" o:hralign="center" o:hrstd="t" o:hr="t" fillcolor="#a0a0a0" stroked="f"/>
        </w:pict>
      </w:r>
    </w:p>
    <w:p w:rsidR="00000000" w:rsidRDefault="0039134F">
      <w:pPr>
        <w:divId w:val="1089084990"/>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666082804"/>
        <w:rPr>
          <w:rFonts w:eastAsia="Times New Roman"/>
        </w:rPr>
      </w:pPr>
      <w:r>
        <w:rPr>
          <w:rFonts w:eastAsia="Times New Roman"/>
          <w:color w:val="000000"/>
          <w:sz w:val="20"/>
          <w:szCs w:val="20"/>
        </w:rPr>
        <w:t>Our consolidated results also include the following activity recorded in our Corporate/Other category:</w:t>
      </w:r>
    </w:p>
    <w:p w:rsidR="00000000" w:rsidRDefault="0039134F">
      <w:pPr>
        <w:ind w:hanging="360"/>
        <w:jc w:val="both"/>
        <w:divId w:val="646478471"/>
        <w:rPr>
          <w:rFonts w:eastAsia="Times New Roman"/>
        </w:rPr>
      </w:pPr>
      <w:r>
        <w:rPr>
          <w:rFonts w:eastAsia="Times New Roman"/>
          <w:color w:val="000000"/>
          <w:sz w:val="20"/>
          <w:szCs w:val="20"/>
        </w:rPr>
        <w:t>•Our e-commerce platform of 15 dedicated websites managed by AC Lens. Our e-commerce business consists of six proprietary branded websites, including acl</w:t>
      </w:r>
      <w:r>
        <w:rPr>
          <w:rFonts w:eastAsia="Times New Roman"/>
          <w:color w:val="000000"/>
          <w:sz w:val="20"/>
          <w:szCs w:val="20"/>
        </w:rPr>
        <w:t>ens.com, discountglasses.com and discountcontactlenses.com, and nine third-party websites with established retailers, such as Walmart, Sam’s Club and Giant Eagle as well as mid-sized vision insurance providers. AC Lens handles site management, customer rel</w:t>
      </w:r>
      <w:r>
        <w:rPr>
          <w:rFonts w:eastAsia="Times New Roman"/>
          <w:color w:val="000000"/>
          <w:sz w:val="20"/>
          <w:szCs w:val="20"/>
        </w:rPr>
        <w:t>ationship management and order fulfillment and also sells a wide variety of contact lenses, eyeglasses and eye care accessories.</w:t>
      </w:r>
    </w:p>
    <w:p w:rsidR="00000000" w:rsidRDefault="0039134F">
      <w:pPr>
        <w:ind w:hanging="360"/>
        <w:jc w:val="both"/>
        <w:divId w:val="939142030"/>
        <w:rPr>
          <w:rFonts w:eastAsia="Times New Roman"/>
        </w:rPr>
      </w:pPr>
      <w:r>
        <w:rPr>
          <w:rFonts w:eastAsia="Times New Roman"/>
          <w:color w:val="000000"/>
          <w:sz w:val="20"/>
          <w:szCs w:val="20"/>
        </w:rPr>
        <w:t>•AC Lens also distributes contact lenses wholesale to Walmart and Sam’s Club. We incur costs at a higher percentage of sales th</w:t>
      </w:r>
      <w:r>
        <w:rPr>
          <w:rFonts w:eastAsia="Times New Roman"/>
          <w:color w:val="000000"/>
          <w:sz w:val="20"/>
          <w:szCs w:val="20"/>
        </w:rPr>
        <w:t>an other product categories. AC Lens sales associated with Walmart and Sam’s Club contact lenses distribution arrangements represented 7.7% of consolidated net revenue.</w:t>
      </w:r>
    </w:p>
    <w:p w:rsidR="00000000" w:rsidRDefault="0039134F">
      <w:pPr>
        <w:ind w:hanging="360"/>
        <w:jc w:val="both"/>
        <w:divId w:val="2364111"/>
        <w:rPr>
          <w:rFonts w:eastAsia="Times New Roman"/>
        </w:rPr>
      </w:pPr>
      <w:r>
        <w:rPr>
          <w:rFonts w:eastAsia="Times New Roman"/>
          <w:color w:val="000000"/>
          <w:sz w:val="20"/>
          <w:szCs w:val="20"/>
        </w:rPr>
        <w:t>•Managed care business conducted by FirstSight, our wholly-owned subsidiary that is lic</w:t>
      </w:r>
      <w:r>
        <w:rPr>
          <w:rFonts w:eastAsia="Times New Roman"/>
          <w:color w:val="000000"/>
          <w:sz w:val="20"/>
          <w:szCs w:val="20"/>
        </w:rPr>
        <w:t>ensed as a single-service health plan under California law, which arranges for the provision of optometric services at the offices next to certain Walmart stores throughout California, and also issues individual vision care benefit plans in connection with</w:t>
      </w:r>
      <w:r>
        <w:rPr>
          <w:rFonts w:eastAsia="Times New Roman"/>
          <w:color w:val="000000"/>
          <w:sz w:val="20"/>
          <w:szCs w:val="20"/>
        </w:rPr>
        <w:t xml:space="preserve"> our America’s Best operations in California.</w:t>
      </w:r>
    </w:p>
    <w:p w:rsidR="00000000" w:rsidRDefault="0039134F">
      <w:pPr>
        <w:ind w:hanging="360"/>
        <w:jc w:val="both"/>
        <w:divId w:val="678972916"/>
        <w:rPr>
          <w:rFonts w:eastAsia="Times New Roman"/>
        </w:rPr>
      </w:pPr>
      <w:r>
        <w:rPr>
          <w:rFonts w:eastAsia="Times New Roman"/>
          <w:color w:val="000000"/>
          <w:sz w:val="20"/>
          <w:szCs w:val="20"/>
        </w:rPr>
        <w:t>•Unallocated corporate overhead expenses, which are a component of selling, general and administrative expenses and are comprised of various home office expenses such as payroll, occupancy costs, and consulting</w:t>
      </w:r>
      <w:r>
        <w:rPr>
          <w:rFonts w:eastAsia="Times New Roman"/>
          <w:color w:val="000000"/>
          <w:sz w:val="20"/>
          <w:szCs w:val="20"/>
        </w:rPr>
        <w:t xml:space="preserve"> and professional fees. Corporate overhead expenses also include field services for our five retail brands.</w:t>
      </w:r>
    </w:p>
    <w:p w:rsidR="00000000" w:rsidRDefault="0039134F">
      <w:pPr>
        <w:jc w:val="both"/>
        <w:divId w:val="917666560"/>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w:t>
      </w:r>
      <w:r>
        <w:rPr>
          <w:rFonts w:eastAsia="Times New Roman"/>
          <w:color w:val="000000"/>
          <w:sz w:val="20"/>
          <w:szCs w:val="20"/>
        </w:rPr>
        <w:t>ich are presented on a cash basis including point of sales for managed care payors and excluding the effects of unearned and deferred revenue, consistent with what our chief operating decision maker (“CODM”) regularly reviews. Reconciliations of segment re</w:t>
      </w:r>
      <w:r>
        <w:rPr>
          <w:rFonts w:eastAsia="Times New Roman"/>
          <w:color w:val="000000"/>
          <w:sz w:val="20"/>
          <w:szCs w:val="20"/>
        </w:rPr>
        <w:t>sults to consolidated results include financial information necessary to adjust reportable segment revenues to a consolidated basis in accordance with U.S. GAAP, specifically the change in unearned and deferred revenues during the period. There are no reve</w:t>
      </w:r>
      <w:r>
        <w:rPr>
          <w:rFonts w:eastAsia="Times New Roman"/>
          <w:color w:val="000000"/>
          <w:sz w:val="20"/>
          <w:szCs w:val="20"/>
        </w:rPr>
        <w:t xml:space="preserve">nue transactions between reportable segments, and there are no other items in the reconciliations other than the effects of unearned and deferred revenue. See Note 11. “Segment Reporting” in our condensed consolidated financial statements included in Part </w:t>
      </w:r>
      <w:r>
        <w:rPr>
          <w:rFonts w:eastAsia="Times New Roman"/>
          <w:color w:val="000000"/>
          <w:sz w:val="20"/>
          <w:szCs w:val="20"/>
        </w:rPr>
        <w:t>I. Item 1. of this Form 10-Q.</w:t>
      </w:r>
    </w:p>
    <w:p w:rsidR="00000000" w:rsidRDefault="0039134F">
      <w:pPr>
        <w:jc w:val="both"/>
        <w:divId w:val="1269922764"/>
        <w:rPr>
          <w:rFonts w:eastAsia="Times New Roman"/>
        </w:rPr>
      </w:pPr>
      <w:r>
        <w:rPr>
          <w:rFonts w:eastAsia="Times New Roman"/>
          <w:color w:val="000000"/>
          <w:sz w:val="20"/>
          <w:szCs w:val="20"/>
        </w:rPr>
        <w:t>Deferred revenue represents the timing difference of when we collect the cash from the customer and when services related to product protection plans and eye care club memberships are performed. Increases or decreases in defer</w:t>
      </w:r>
      <w:r>
        <w:rPr>
          <w:rFonts w:eastAsia="Times New Roman"/>
          <w:color w:val="000000"/>
          <w:sz w:val="20"/>
          <w:szCs w:val="20"/>
        </w:rPr>
        <w:t>red revenue during the reporting period represent cash collections in excess of or below the recognition of previous deferrals. Unearned revenue represents the timing difference of when we collect cash from the customer and delivery/customer acceptance, an</w:t>
      </w:r>
      <w:r>
        <w:rPr>
          <w:rFonts w:eastAsia="Times New Roman"/>
          <w:color w:val="000000"/>
          <w:sz w:val="20"/>
          <w:szCs w:val="20"/>
        </w:rPr>
        <w:t>d includes sales of prescription eyewear during approximately the last seven to 10 days of the reporting period.</w:t>
      </w:r>
    </w:p>
    <w:p w:rsidR="00000000" w:rsidRDefault="0039134F">
      <w:pPr>
        <w:jc w:val="both"/>
        <w:divId w:val="2003269403"/>
        <w:rPr>
          <w:rFonts w:eastAsia="Times New Roman"/>
        </w:rPr>
      </w:pPr>
      <w:r>
        <w:rPr>
          <w:rFonts w:eastAsia="Times New Roman"/>
          <w:b/>
          <w:bCs/>
          <w:color w:val="000000"/>
          <w:sz w:val="20"/>
          <w:szCs w:val="20"/>
        </w:rPr>
        <w:t>Trends and Other Factors Affecting Our Business</w:t>
      </w:r>
    </w:p>
    <w:p w:rsidR="00000000" w:rsidRDefault="0039134F">
      <w:pPr>
        <w:divId w:val="2068607140"/>
        <w:rPr>
          <w:rFonts w:eastAsia="Times New Roman"/>
        </w:rPr>
      </w:pPr>
      <w:r>
        <w:rPr>
          <w:rFonts w:eastAsia="Times New Roman"/>
          <w:i/>
          <w:iCs/>
          <w:color w:val="000000"/>
          <w:sz w:val="20"/>
          <w:szCs w:val="20"/>
        </w:rPr>
        <w:t>COVID-19 Impact</w:t>
      </w:r>
    </w:p>
    <w:p w:rsidR="00000000" w:rsidRDefault="0039134F">
      <w:pPr>
        <w:jc w:val="both"/>
        <w:divId w:val="1534885111"/>
        <w:rPr>
          <w:rFonts w:eastAsia="Times New Roman"/>
        </w:rPr>
      </w:pPr>
      <w:r>
        <w:rPr>
          <w:rFonts w:eastAsia="Times New Roman"/>
          <w:color w:val="000000"/>
          <w:sz w:val="20"/>
          <w:szCs w:val="20"/>
        </w:rPr>
        <w:t>The COVID-19 pandemic has had far-reaching impacts, directly and indirectly, on</w:t>
      </w:r>
      <w:r>
        <w:rPr>
          <w:rFonts w:eastAsia="Times New Roman"/>
          <w:color w:val="000000"/>
          <w:sz w:val="20"/>
          <w:szCs w:val="20"/>
        </w:rPr>
        <w:t xml:space="preserve"> our operations. We are continuing to monitor the impacts COVID-19 has had, and continues to have, on our domestic labs and our outsourced third party optical laboratories in China and Mexico, including potential disruptions of product deliveries. To date,</w:t>
      </w:r>
      <w:r>
        <w:rPr>
          <w:rFonts w:eastAsia="Times New Roman"/>
          <w:color w:val="000000"/>
          <w:sz w:val="20"/>
          <w:szCs w:val="20"/>
        </w:rPr>
        <w:t xml:space="preserve"> we have been able to meet customer demand with operations at our laboratories. </w:t>
      </w:r>
      <w:r>
        <w:rPr>
          <w:rFonts w:eastAsia="Times New Roman"/>
          <w:color w:val="212529"/>
          <w:sz w:val="20"/>
          <w:szCs w:val="20"/>
        </w:rPr>
        <w:t>We source merchandise from suppliers located in China and a significant amount of domestically-purchased merchandise is manufactured in China</w:t>
      </w:r>
      <w:r>
        <w:rPr>
          <w:rFonts w:eastAsia="Times New Roman"/>
          <w:color w:val="000000"/>
          <w:sz w:val="20"/>
          <w:szCs w:val="20"/>
        </w:rPr>
        <w:t>. We have partnered with our suppli</w:t>
      </w:r>
      <w:r>
        <w:rPr>
          <w:rFonts w:eastAsia="Times New Roman"/>
          <w:color w:val="000000"/>
          <w:sz w:val="20"/>
          <w:szCs w:val="20"/>
        </w:rPr>
        <w:t>ers and third party laboratories to mitigate any potential significant delays in delivery of merchandise. Our e-commerce business remained open to serve our customers during the unprecedented period of temporary store closures.</w:t>
      </w:r>
    </w:p>
    <w:p w:rsidR="00000000" w:rsidRDefault="0039134F">
      <w:pPr>
        <w:jc w:val="both"/>
        <w:divId w:val="882408023"/>
        <w:rPr>
          <w:rFonts w:eastAsia="Times New Roman"/>
        </w:rPr>
      </w:pPr>
      <w:r>
        <w:rPr>
          <w:rFonts w:eastAsia="Times New Roman"/>
          <w:color w:val="000000"/>
          <w:sz w:val="20"/>
          <w:szCs w:val="20"/>
        </w:rPr>
        <w:t>We incurred costs of $4.7 mi</w:t>
      </w:r>
      <w:r>
        <w:rPr>
          <w:rFonts w:eastAsia="Times New Roman"/>
          <w:color w:val="000000"/>
          <w:sz w:val="20"/>
          <w:szCs w:val="20"/>
        </w:rPr>
        <w:t>llion and $7.8 million in the three and nine months ended September 26, 2020, respectively, primarily for a tangible appreciation bonus paid to our customer-facing doctors and associates, as well as personal protective equipment and other supplies needed t</w:t>
      </w:r>
      <w:r>
        <w:rPr>
          <w:rFonts w:eastAsia="Times New Roman"/>
          <w:color w:val="000000"/>
          <w:sz w:val="20"/>
          <w:szCs w:val="20"/>
        </w:rPr>
        <w:t>o operate our stores safely. Incremental expenses related to the COVID-19 pandemic are not allocated to the reportable segments, but are included in the Corporate/Other category.</w:t>
      </w:r>
    </w:p>
    <w:p w:rsidR="00000000" w:rsidRDefault="0039134F">
      <w:pPr>
        <w:jc w:val="center"/>
        <w:divId w:val="290793284"/>
        <w:rPr>
          <w:rFonts w:eastAsia="Times New Roman"/>
        </w:rPr>
      </w:pPr>
      <w:r>
        <w:rPr>
          <w:rFonts w:eastAsia="Times New Roman"/>
          <w:color w:val="000000"/>
          <w:sz w:val="20"/>
          <w:szCs w:val="20"/>
        </w:rPr>
        <w:t>33</w:t>
      </w:r>
    </w:p>
    <w:p w:rsidR="00000000" w:rsidRDefault="0039134F">
      <w:pPr>
        <w:rPr>
          <w:rFonts w:eastAsia="Times New Roman"/>
        </w:rPr>
      </w:pPr>
      <w:r>
        <w:rPr>
          <w:rFonts w:eastAsia="Times New Roman"/>
        </w:rPr>
        <w:pict>
          <v:rect id="_x0000_i1057" style="width:0;height:1.5pt" o:hralign="center" o:hrstd="t" o:hr="t" fillcolor="#a0a0a0" stroked="f"/>
        </w:pict>
      </w:r>
    </w:p>
    <w:p w:rsidR="00000000" w:rsidRDefault="0039134F">
      <w:pPr>
        <w:divId w:val="189092179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441408903"/>
        <w:rPr>
          <w:rFonts w:eastAsia="Times New Roman"/>
        </w:rPr>
      </w:pPr>
      <w:r>
        <w:rPr>
          <w:rFonts w:eastAsia="Times New Roman"/>
          <w:color w:val="000000"/>
          <w:sz w:val="20"/>
          <w:szCs w:val="20"/>
        </w:rPr>
        <w:t>We have seen, and may continue to see, material reductions in sales across brands and regions as a result of the COVID-19 pandemic. In addition, these reductions in revenue have not been offset by proportional decrease</w:t>
      </w:r>
      <w:r>
        <w:rPr>
          <w:rFonts w:eastAsia="Times New Roman"/>
          <w:color w:val="000000"/>
          <w:sz w:val="20"/>
          <w:szCs w:val="20"/>
        </w:rPr>
        <w:t>s in expense, as we continued to incur store occupancy costs even while stores were temporarily closed, incremental costs directly related to adapting the Company’s operations to the COVID-19 pandemic and certain other costs such as compensation and admini</w:t>
      </w:r>
      <w:r>
        <w:rPr>
          <w:rFonts w:eastAsia="Times New Roman"/>
          <w:color w:val="000000"/>
          <w:sz w:val="20"/>
          <w:szCs w:val="20"/>
        </w:rPr>
        <w:t>strative expenses, resulting in a negative effect on profitability. In addition, we could experience further material impacts as a result of COVID-19, including, but not limited to, charges from additional asset impairment, deferred tax valuation allowance</w:t>
      </w:r>
      <w:r>
        <w:rPr>
          <w:rFonts w:eastAsia="Times New Roman"/>
          <w:color w:val="000000"/>
          <w:sz w:val="20"/>
          <w:szCs w:val="20"/>
        </w:rPr>
        <w:t>s and further changes in the effectiveness of our hedging instruments. We believe our financial results in the third quarter of 2020 benefited from strong customer demand, including the effect of our stores being temporarily closed to the public earlier in</w:t>
      </w:r>
      <w:r>
        <w:rPr>
          <w:rFonts w:eastAsia="Times New Roman"/>
          <w:color w:val="000000"/>
          <w:sz w:val="20"/>
          <w:szCs w:val="20"/>
        </w:rPr>
        <w:t xml:space="preserve"> the year. However, the current circumstances are dynamic and the impacts of COVID-19 on our business operations, including the duration and impact on overall customer demand, are highly uncertain, although COVID-19 has had, and may continue to have, a mat</w:t>
      </w:r>
      <w:r>
        <w:rPr>
          <w:rFonts w:eastAsia="Times New Roman"/>
          <w:color w:val="000000"/>
          <w:sz w:val="20"/>
          <w:szCs w:val="20"/>
        </w:rPr>
        <w:t>erial adverse impact on our business, results of operations, financial condition and cash flows in fiscal 2020 to date and beyond.</w:t>
      </w:r>
    </w:p>
    <w:p w:rsidR="00000000" w:rsidRDefault="0039134F">
      <w:pPr>
        <w:jc w:val="both"/>
        <w:divId w:val="1805537797"/>
        <w:rPr>
          <w:rFonts w:eastAsia="Times New Roman"/>
        </w:rPr>
      </w:pPr>
      <w:r>
        <w:rPr>
          <w:rFonts w:eastAsia="Times New Roman"/>
          <w:color w:val="000000"/>
          <w:sz w:val="20"/>
          <w:szCs w:val="20"/>
        </w:rPr>
        <w:t>The Company recorded income totaling $0.2 million and $11.0 million as a result of the employee retention credits made availa</w:t>
      </w:r>
      <w:r>
        <w:rPr>
          <w:rFonts w:eastAsia="Times New Roman"/>
          <w:color w:val="000000"/>
          <w:sz w:val="20"/>
          <w:szCs w:val="20"/>
        </w:rPr>
        <w:t xml:space="preserve">ble under the CARES Act for U.S. employees during the three and nine months ended September 26, 2020; recognizing $0.2 million as a reduction to SG&amp;A during the three months ended September 26, 2020, and recognizing $0.4 million as a reduction to costs of </w:t>
      </w:r>
      <w:r>
        <w:rPr>
          <w:rFonts w:eastAsia="Times New Roman"/>
          <w:color w:val="000000"/>
          <w:sz w:val="20"/>
          <w:szCs w:val="20"/>
        </w:rPr>
        <w:t>products, $6.2 million as a reduction to costs of services and plans, and $4.4 million as a reduction to SG&amp;A during the nine months ended September 26, 2020.</w:t>
      </w:r>
    </w:p>
    <w:p w:rsidR="00000000" w:rsidRDefault="0039134F">
      <w:pPr>
        <w:jc w:val="both"/>
        <w:divId w:val="759987345"/>
        <w:rPr>
          <w:rFonts w:eastAsia="Times New Roman"/>
        </w:rPr>
      </w:pPr>
      <w:r>
        <w:rPr>
          <w:rFonts w:eastAsia="Times New Roman"/>
          <w:color w:val="000000"/>
          <w:sz w:val="20"/>
          <w:szCs w:val="20"/>
        </w:rPr>
        <w:t>It is possible that our preparations for the events listed above are not adequate to mitigate the</w:t>
      </w:r>
      <w:r>
        <w:rPr>
          <w:rFonts w:eastAsia="Times New Roman"/>
          <w:color w:val="000000"/>
          <w:sz w:val="20"/>
          <w:szCs w:val="20"/>
        </w:rPr>
        <w:t>ir impact, and that these events could further adversely affect our business and results of operations. For a discussion of significant risks that have the potential to cause our actual results to differ materially from our expectations, refer to “Item 1A.</w:t>
      </w:r>
      <w:r>
        <w:rPr>
          <w:rFonts w:eastAsia="Times New Roman"/>
          <w:color w:val="000000"/>
          <w:sz w:val="20"/>
          <w:szCs w:val="20"/>
        </w:rPr>
        <w:t xml:space="preserve"> Risk Factors,” included in our 2019 Annual Report on Form 10-K and in this Form 10-Q.</w:t>
      </w:r>
    </w:p>
    <w:p w:rsidR="00000000" w:rsidRDefault="0039134F">
      <w:pPr>
        <w:jc w:val="both"/>
        <w:divId w:val="2125072915"/>
        <w:rPr>
          <w:rFonts w:eastAsia="Times New Roman"/>
        </w:rPr>
      </w:pPr>
      <w:r>
        <w:rPr>
          <w:rFonts w:eastAsia="Times New Roman"/>
          <w:i/>
          <w:iCs/>
          <w:color w:val="000000"/>
          <w:sz w:val="20"/>
          <w:szCs w:val="20"/>
        </w:rPr>
        <w:t>Other developments</w:t>
      </w:r>
    </w:p>
    <w:p w:rsidR="00000000" w:rsidRDefault="0039134F">
      <w:pPr>
        <w:jc w:val="both"/>
        <w:divId w:val="87313648"/>
        <w:rPr>
          <w:rFonts w:eastAsia="Times New Roman"/>
        </w:rPr>
      </w:pPr>
      <w:r>
        <w:rPr>
          <w:rFonts w:eastAsia="Times New Roman"/>
          <w:color w:val="000000"/>
          <w:sz w:val="20"/>
          <w:szCs w:val="20"/>
        </w:rPr>
        <w:t>As a result of the U.S. government’s temporary reduction of tariff rates affecting certain of our products that originate in China, we recognized an i</w:t>
      </w:r>
      <w:r>
        <w:rPr>
          <w:rFonts w:eastAsia="Times New Roman"/>
          <w:color w:val="000000"/>
          <w:sz w:val="20"/>
          <w:szCs w:val="20"/>
        </w:rPr>
        <w:t>mmaterial reduction in costs of products for the three and nine months ended September 26, 2020. The temporary reduction of tariff rates expired in September, 2020. We are monitoring ongoing political developments between China and the United States. A wor</w:t>
      </w:r>
      <w:r>
        <w:rPr>
          <w:rFonts w:eastAsia="Times New Roman"/>
          <w:color w:val="000000"/>
          <w:sz w:val="20"/>
          <w:szCs w:val="20"/>
        </w:rPr>
        <w:t>sening of relations could lead to the imposition of additional tariffs, or may cause other disruptions in our supply of products from China.</w:t>
      </w:r>
    </w:p>
    <w:p w:rsidR="00000000" w:rsidRDefault="0039134F">
      <w:pPr>
        <w:jc w:val="both"/>
        <w:divId w:val="737897162"/>
        <w:rPr>
          <w:rFonts w:eastAsia="Times New Roman"/>
        </w:rPr>
      </w:pPr>
      <w:r>
        <w:rPr>
          <w:rFonts w:eastAsia="Times New Roman"/>
          <w:i/>
          <w:iCs/>
          <w:color w:val="000000"/>
          <w:sz w:val="20"/>
          <w:szCs w:val="20"/>
        </w:rPr>
        <w:t>Long-term trends and factors</w:t>
      </w:r>
    </w:p>
    <w:p w:rsidR="00000000" w:rsidRDefault="0039134F">
      <w:pPr>
        <w:jc w:val="both"/>
        <w:divId w:val="1882012356"/>
        <w:rPr>
          <w:rFonts w:eastAsia="Times New Roman"/>
        </w:rPr>
      </w:pPr>
      <w:r>
        <w:rPr>
          <w:rFonts w:eastAsia="Times New Roman"/>
          <w:color w:val="000000"/>
          <w:sz w:val="20"/>
          <w:szCs w:val="20"/>
        </w:rPr>
        <w:t>We remain committed to our long-term vision and continue to position ourselves to make</w:t>
      </w:r>
      <w:r>
        <w:rPr>
          <w:rFonts w:eastAsia="Times New Roman"/>
          <w:color w:val="000000"/>
          <w:sz w:val="20"/>
          <w:szCs w:val="20"/>
        </w:rPr>
        <w:t xml:space="preserve"> progress against our key initiatives while balancing the near-term challenges and unprecedented uncertainty presented by the COVID-19 pandemic. As a result of the COVID-19 pandemic, we implemented capital spending and expense reduction initiatives includi</w:t>
      </w:r>
      <w:r>
        <w:rPr>
          <w:rFonts w:eastAsia="Times New Roman"/>
          <w:color w:val="000000"/>
          <w:sz w:val="20"/>
          <w:szCs w:val="20"/>
        </w:rPr>
        <w:t xml:space="preserve">ng a temporary pause in new store openings between March and June 2020, reduced near term marketing spend, temporarily reduced compensation and work hours across the organization, and worked with a base of vendors and landlords to extend payment terms and </w:t>
      </w:r>
      <w:r>
        <w:rPr>
          <w:rFonts w:eastAsia="Times New Roman"/>
          <w:color w:val="000000"/>
          <w:sz w:val="20"/>
          <w:szCs w:val="20"/>
        </w:rPr>
        <w:t>modify existing contracts. We have also incurred and will continue to incur incremental costs directly related to adapting the Company's operations to the COVID-19 pandemic. While we experienced stronger comparable store sales growth in the third quarter o</w:t>
      </w:r>
      <w:r>
        <w:rPr>
          <w:rFonts w:eastAsia="Times New Roman"/>
          <w:color w:val="000000"/>
          <w:sz w:val="20"/>
          <w:szCs w:val="20"/>
        </w:rPr>
        <w:t>f 2020, we anticipate that comparable store sales growth figures for the fiscal years 2020 and 2021 will reflect the effects of store closures and the pandemic. We believe that the following areas will continue to be affected and relevant risk exposures ma</w:t>
      </w:r>
      <w:r>
        <w:rPr>
          <w:rFonts w:eastAsia="Times New Roman"/>
          <w:color w:val="000000"/>
          <w:sz w:val="20"/>
          <w:szCs w:val="20"/>
        </w:rPr>
        <w:t>y be exacerbated by the immediate and ongoing threat of the COVID-19 pandemic:</w:t>
      </w:r>
    </w:p>
    <w:p w:rsidR="00000000" w:rsidRDefault="0039134F">
      <w:pPr>
        <w:ind w:hanging="360"/>
        <w:jc w:val="both"/>
        <w:divId w:val="263848908"/>
        <w:rPr>
          <w:rFonts w:eastAsia="Times New Roman"/>
        </w:rPr>
      </w:pPr>
      <w:r>
        <w:rPr>
          <w:rFonts w:eastAsia="Times New Roman"/>
          <w:color w:val="000000"/>
          <w:sz w:val="20"/>
          <w:szCs w:val="20"/>
        </w:rPr>
        <w:t>•New store openings;</w:t>
      </w:r>
    </w:p>
    <w:p w:rsidR="00000000" w:rsidRDefault="0039134F">
      <w:pPr>
        <w:ind w:hanging="360"/>
        <w:jc w:val="both"/>
        <w:divId w:val="1114784021"/>
        <w:rPr>
          <w:rFonts w:eastAsia="Times New Roman"/>
        </w:rPr>
      </w:pPr>
      <w:r>
        <w:rPr>
          <w:rFonts w:eastAsia="Times New Roman"/>
          <w:color w:val="000000"/>
          <w:sz w:val="20"/>
          <w:szCs w:val="20"/>
        </w:rPr>
        <w:t>•Comparable store sales growth;</w:t>
      </w:r>
    </w:p>
    <w:p w:rsidR="00000000" w:rsidRDefault="0039134F">
      <w:pPr>
        <w:ind w:hanging="360"/>
        <w:jc w:val="both"/>
        <w:divId w:val="1447583478"/>
        <w:rPr>
          <w:rFonts w:eastAsia="Times New Roman"/>
        </w:rPr>
      </w:pPr>
      <w:r>
        <w:rPr>
          <w:rFonts w:eastAsia="Times New Roman"/>
          <w:color w:val="000000"/>
          <w:sz w:val="20"/>
          <w:szCs w:val="20"/>
        </w:rPr>
        <w:t>•Managed care and insurance;</w:t>
      </w:r>
    </w:p>
    <w:p w:rsidR="00000000" w:rsidRDefault="0039134F">
      <w:pPr>
        <w:ind w:hanging="360"/>
        <w:jc w:val="both"/>
        <w:divId w:val="645203877"/>
        <w:rPr>
          <w:rFonts w:eastAsia="Times New Roman"/>
        </w:rPr>
      </w:pPr>
      <w:r>
        <w:rPr>
          <w:rFonts w:eastAsia="Times New Roman"/>
          <w:color w:val="000000"/>
          <w:sz w:val="20"/>
          <w:szCs w:val="20"/>
        </w:rPr>
        <w:t>•Vision care professional recruitment and coverage;</w:t>
      </w:r>
    </w:p>
    <w:p w:rsidR="00000000" w:rsidRDefault="0039134F">
      <w:pPr>
        <w:ind w:hanging="360"/>
        <w:jc w:val="both"/>
        <w:divId w:val="1301963750"/>
        <w:rPr>
          <w:rFonts w:eastAsia="Times New Roman"/>
        </w:rPr>
      </w:pPr>
      <w:r>
        <w:rPr>
          <w:rFonts w:eastAsia="Times New Roman"/>
          <w:color w:val="000000"/>
          <w:sz w:val="20"/>
          <w:szCs w:val="20"/>
        </w:rPr>
        <w:t>•Overall economic trends;</w:t>
      </w:r>
    </w:p>
    <w:p w:rsidR="00000000" w:rsidRDefault="0039134F">
      <w:pPr>
        <w:ind w:hanging="360"/>
        <w:jc w:val="both"/>
        <w:divId w:val="581837809"/>
        <w:rPr>
          <w:rFonts w:eastAsia="Times New Roman"/>
        </w:rPr>
      </w:pPr>
      <w:r>
        <w:rPr>
          <w:rFonts w:eastAsia="Times New Roman"/>
          <w:color w:val="000000"/>
          <w:sz w:val="20"/>
          <w:szCs w:val="20"/>
        </w:rPr>
        <w:t>•</w:t>
      </w:r>
      <w:r>
        <w:rPr>
          <w:rFonts w:eastAsia="Times New Roman"/>
          <w:color w:val="000000"/>
          <w:sz w:val="20"/>
          <w:szCs w:val="20"/>
        </w:rPr>
        <w:t>Consumer preferences and demand;</w:t>
      </w:r>
    </w:p>
    <w:p w:rsidR="00000000" w:rsidRDefault="0039134F">
      <w:pPr>
        <w:ind w:hanging="360"/>
        <w:jc w:val="both"/>
        <w:divId w:val="1681614581"/>
        <w:rPr>
          <w:rFonts w:eastAsia="Times New Roman"/>
        </w:rPr>
      </w:pPr>
      <w:r>
        <w:rPr>
          <w:rFonts w:eastAsia="Times New Roman"/>
          <w:color w:val="000000"/>
          <w:sz w:val="20"/>
          <w:szCs w:val="20"/>
        </w:rPr>
        <w:t>•Infrastructure and investment;</w:t>
      </w:r>
    </w:p>
    <w:p w:rsidR="00000000" w:rsidRDefault="0039134F">
      <w:pPr>
        <w:ind w:hanging="360"/>
        <w:jc w:val="both"/>
        <w:divId w:val="2109697625"/>
        <w:rPr>
          <w:rFonts w:eastAsia="Times New Roman"/>
        </w:rPr>
      </w:pPr>
      <w:r>
        <w:rPr>
          <w:rFonts w:eastAsia="Times New Roman"/>
          <w:color w:val="000000"/>
          <w:sz w:val="20"/>
          <w:szCs w:val="20"/>
        </w:rPr>
        <w:t>•Pricing strategy;</w:t>
      </w:r>
    </w:p>
    <w:p w:rsidR="00000000" w:rsidRDefault="0039134F">
      <w:pPr>
        <w:ind w:hanging="360"/>
        <w:jc w:val="both"/>
        <w:divId w:val="1703700933"/>
        <w:rPr>
          <w:rFonts w:eastAsia="Times New Roman"/>
        </w:rPr>
      </w:pPr>
      <w:r>
        <w:rPr>
          <w:rFonts w:eastAsia="Times New Roman"/>
          <w:color w:val="000000"/>
          <w:sz w:val="20"/>
          <w:szCs w:val="20"/>
        </w:rPr>
        <w:t>•Inflation;</w:t>
      </w:r>
    </w:p>
    <w:p w:rsidR="00000000" w:rsidRDefault="0039134F">
      <w:pPr>
        <w:ind w:hanging="360"/>
        <w:jc w:val="both"/>
        <w:divId w:val="1658654065"/>
        <w:rPr>
          <w:rFonts w:eastAsia="Times New Roman"/>
        </w:rPr>
      </w:pPr>
      <w:r>
        <w:rPr>
          <w:rFonts w:eastAsia="Times New Roman"/>
          <w:color w:val="000000"/>
          <w:sz w:val="20"/>
          <w:szCs w:val="20"/>
        </w:rPr>
        <w:t>•Interim results and seasonality;</w:t>
      </w:r>
    </w:p>
    <w:p w:rsidR="00000000" w:rsidRDefault="0039134F">
      <w:pPr>
        <w:jc w:val="center"/>
        <w:divId w:val="1187984694"/>
        <w:rPr>
          <w:rFonts w:eastAsia="Times New Roman"/>
        </w:rPr>
      </w:pPr>
      <w:r>
        <w:rPr>
          <w:rFonts w:eastAsia="Times New Roman"/>
          <w:color w:val="000000"/>
          <w:sz w:val="20"/>
          <w:szCs w:val="20"/>
        </w:rPr>
        <w:t>34</w:t>
      </w:r>
    </w:p>
    <w:p w:rsidR="00000000" w:rsidRDefault="0039134F">
      <w:pPr>
        <w:rPr>
          <w:rFonts w:eastAsia="Times New Roman"/>
        </w:rPr>
      </w:pPr>
      <w:r>
        <w:rPr>
          <w:rFonts w:eastAsia="Times New Roman"/>
        </w:rPr>
        <w:pict>
          <v:rect id="_x0000_i1058" style="width:0;height:1.5pt" o:hralign="center" o:hrstd="t" o:hr="t" fillcolor="#a0a0a0" stroked="f"/>
        </w:pict>
      </w:r>
    </w:p>
    <w:p w:rsidR="00000000" w:rsidRDefault="0039134F">
      <w:pPr>
        <w:divId w:val="1441222255"/>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ind w:hanging="360"/>
        <w:jc w:val="both"/>
        <w:divId w:val="645203998"/>
        <w:rPr>
          <w:rFonts w:eastAsia="Times New Roman"/>
        </w:rPr>
      </w:pPr>
      <w:r>
        <w:rPr>
          <w:rFonts w:eastAsia="Times New Roman"/>
          <w:color w:val="000000"/>
          <w:sz w:val="20"/>
          <w:szCs w:val="20"/>
        </w:rPr>
        <w:t>•Competition; and</w:t>
      </w:r>
    </w:p>
    <w:p w:rsidR="00000000" w:rsidRDefault="0039134F">
      <w:pPr>
        <w:ind w:hanging="360"/>
        <w:jc w:val="both"/>
        <w:divId w:val="2115320074"/>
        <w:rPr>
          <w:rFonts w:eastAsia="Times New Roman"/>
        </w:rPr>
      </w:pPr>
      <w:r>
        <w:rPr>
          <w:rFonts w:eastAsia="Times New Roman"/>
          <w:color w:val="000000"/>
          <w:sz w:val="20"/>
          <w:szCs w:val="20"/>
        </w:rPr>
        <w:t>•Consolidation in the industry</w:t>
      </w:r>
    </w:p>
    <w:p w:rsidR="00000000" w:rsidRDefault="0039134F">
      <w:pPr>
        <w:jc w:val="both"/>
        <w:divId w:val="1389920137"/>
        <w:rPr>
          <w:rFonts w:eastAsia="Times New Roman"/>
        </w:rPr>
      </w:pPr>
      <w:r>
        <w:rPr>
          <w:rFonts w:eastAsia="Times New Roman"/>
          <w:b/>
          <w:bCs/>
          <w:color w:val="000000"/>
          <w:sz w:val="20"/>
          <w:szCs w:val="20"/>
        </w:rPr>
        <w:t>How We Assess the Performance of Our Business</w:t>
      </w:r>
    </w:p>
    <w:p w:rsidR="00000000" w:rsidRDefault="0039134F">
      <w:pPr>
        <w:jc w:val="both"/>
        <w:divId w:val="1224414739"/>
        <w:rPr>
          <w:rFonts w:eastAsia="Times New Roman"/>
        </w:rPr>
      </w:pPr>
      <w:r>
        <w:rPr>
          <w:rFonts w:eastAsia="Times New Roman"/>
          <w:color w:val="000000"/>
          <w:sz w:val="20"/>
          <w:szCs w:val="20"/>
        </w:rPr>
        <w:t xml:space="preserve">While we have historically attempted to exercise </w:t>
      </w:r>
      <w:r>
        <w:rPr>
          <w:rFonts w:eastAsia="Times New Roman"/>
          <w:color w:val="000000"/>
          <w:sz w:val="20"/>
          <w:szCs w:val="20"/>
        </w:rPr>
        <w:t>prudence in our use of cash, the COVID-19 pandemic has required us to closely monitor various items related to cash flow including, but not limited to, cash receipts, cash disbursements, payment terms and alternative sources of funding. We will continue to</w:t>
      </w:r>
      <w:r>
        <w:rPr>
          <w:rFonts w:eastAsia="Times New Roman"/>
          <w:color w:val="000000"/>
          <w:sz w:val="20"/>
          <w:szCs w:val="20"/>
        </w:rPr>
        <w:t xml:space="preserve"> be focused on these items in addition to the other key measures we use to determine how our consolidated business and operating segments are performing, including: net revenue, costs applicable to revenue, and selling, general, and administrative expenses</w:t>
      </w:r>
      <w:r>
        <w:rPr>
          <w:rFonts w:eastAsia="Times New Roman"/>
          <w:color w:val="000000"/>
          <w:sz w:val="20"/>
          <w:szCs w:val="20"/>
        </w:rPr>
        <w:t>. In addition, we also review store growth, Adjusted Comparable Store Sales Growth, Adjusted Operating Income, Adjusted Operating Margin, Adjusted EBITDA, Adjusted EBITDA Margin and Adjusted Diluted EPS.</w:t>
      </w:r>
    </w:p>
    <w:p w:rsidR="00000000" w:rsidRDefault="0039134F">
      <w:pPr>
        <w:jc w:val="both"/>
        <w:divId w:val="1982928149"/>
        <w:rPr>
          <w:rFonts w:eastAsia="Times New Roman"/>
        </w:rPr>
      </w:pPr>
      <w:r>
        <w:rPr>
          <w:rFonts w:eastAsia="Times New Roman"/>
          <w:i/>
          <w:iCs/>
          <w:color w:val="000000"/>
          <w:sz w:val="20"/>
          <w:szCs w:val="20"/>
        </w:rPr>
        <w:t>Net Revenue</w:t>
      </w:r>
    </w:p>
    <w:p w:rsidR="00000000" w:rsidRDefault="0039134F">
      <w:pPr>
        <w:jc w:val="both"/>
        <w:divId w:val="1132409893"/>
        <w:rPr>
          <w:rFonts w:eastAsia="Times New Roman"/>
        </w:rPr>
      </w:pPr>
      <w:r>
        <w:rPr>
          <w:rFonts w:eastAsia="Times New Roman"/>
          <w:color w:val="000000"/>
          <w:sz w:val="20"/>
          <w:szCs w:val="20"/>
        </w:rPr>
        <w:t>We report as net revenue amounts generat</w:t>
      </w:r>
      <w:r>
        <w:rPr>
          <w:rFonts w:eastAsia="Times New Roman"/>
          <w:color w:val="000000"/>
          <w:sz w:val="20"/>
          <w:szCs w:val="20"/>
        </w:rPr>
        <w:t>ed in transactions with retail customers who are the end users of our products, services, and plans. Net product sales include sales of prescription and non-prescription eyewear, contact lenses, and related accessories as well as eye exam services associat</w:t>
      </w:r>
      <w:r>
        <w:rPr>
          <w:rFonts w:eastAsia="Times New Roman"/>
          <w:color w:val="000000"/>
          <w:sz w:val="20"/>
          <w:szCs w:val="20"/>
        </w:rPr>
        <w:t>ed with our America’s Best brand’s signature offer of two pairs of eyeglasses and a free eye exam for one low price (“two-pair offer”) to retail customers and sales of inventory in which our customer is another retail entity. Net sales of services and plan</w:t>
      </w:r>
      <w:r>
        <w:rPr>
          <w:rFonts w:eastAsia="Times New Roman"/>
          <w:color w:val="000000"/>
          <w:sz w:val="20"/>
          <w:szCs w:val="20"/>
        </w:rPr>
        <w:t xml:space="preserve">s include sales of eye exams, eye care club memberships, product protection plans (i.e., warranties), and single service eye care plans in California. Net sales of services and plans also include fees we earn for managing certain Vision Centers located in </w:t>
      </w:r>
      <w:r>
        <w:rPr>
          <w:rFonts w:eastAsia="Times New Roman"/>
          <w:color w:val="000000"/>
          <w:sz w:val="20"/>
          <w:szCs w:val="20"/>
        </w:rPr>
        <w:t>Walmart stores and for laboratory services provided to Walmart.</w:t>
      </w:r>
    </w:p>
    <w:p w:rsidR="00000000" w:rsidRDefault="0039134F">
      <w:pPr>
        <w:jc w:val="both"/>
        <w:divId w:val="28796435"/>
        <w:rPr>
          <w:rFonts w:eastAsia="Times New Roman"/>
        </w:rPr>
      </w:pPr>
      <w:r>
        <w:rPr>
          <w:rFonts w:eastAsia="Times New Roman"/>
          <w:i/>
          <w:iCs/>
          <w:color w:val="000000"/>
          <w:sz w:val="20"/>
          <w:szCs w:val="20"/>
        </w:rPr>
        <w:t>Costs Applicable to Revenue</w:t>
      </w:r>
    </w:p>
    <w:p w:rsidR="00000000" w:rsidRDefault="0039134F">
      <w:pPr>
        <w:jc w:val="both"/>
        <w:divId w:val="421999956"/>
        <w:rPr>
          <w:rFonts w:eastAsia="Times New Roman"/>
        </w:rPr>
      </w:pPr>
      <w:r>
        <w:rPr>
          <w:rFonts w:eastAsia="Times New Roman"/>
          <w:color w:val="000000"/>
          <w:sz w:val="20"/>
          <w:szCs w:val="20"/>
        </w:rPr>
        <w:t>Costs applicable to revenue include both costs of net product sales and costs of net sales of services and plans. Costs of net product sales include (i) costs to pr</w:t>
      </w:r>
      <w:r>
        <w:rPr>
          <w:rFonts w:eastAsia="Times New Roman"/>
          <w:color w:val="000000"/>
          <w:sz w:val="20"/>
          <w:szCs w:val="20"/>
        </w:rPr>
        <w:t>ocure non-prescription eyewear, contact lenses, and accessories, which we purchase and sell in finished form, (ii) costs to manufacture finished prescription eyeglasses, including direct materials, labor, and overhead, and (iii) remake costs, warehousing a</w:t>
      </w:r>
      <w:r>
        <w:rPr>
          <w:rFonts w:eastAsia="Times New Roman"/>
          <w:color w:val="000000"/>
          <w:sz w:val="20"/>
          <w:szCs w:val="20"/>
        </w:rPr>
        <w:t>nd distribution expenses, and internal transfer costs. Costs of services and plans include costs associated with product protection plan programs, eye care club memberships, single service eye care plans in California, eye care practitioner and eye exam te</w:t>
      </w:r>
      <w:r>
        <w:rPr>
          <w:rFonts w:eastAsia="Times New Roman"/>
          <w:color w:val="000000"/>
          <w:sz w:val="20"/>
          <w:szCs w:val="20"/>
        </w:rPr>
        <w:t>chnician payroll, taxes and benefits and optometric and other service costs. Customer tastes and preferences, product mix, changes in technology, significant increases or slowdowns in production, and other factors impact costs applicable to revenue. The co</w:t>
      </w:r>
      <w:r>
        <w:rPr>
          <w:rFonts w:eastAsia="Times New Roman"/>
          <w:color w:val="000000"/>
          <w:sz w:val="20"/>
          <w:szCs w:val="20"/>
        </w:rPr>
        <w:t>mponents of our costs applicable to revenue may not be comparable to other retailers.</w:t>
      </w:r>
    </w:p>
    <w:p w:rsidR="00000000" w:rsidRDefault="0039134F">
      <w:pPr>
        <w:jc w:val="both"/>
        <w:divId w:val="1591967053"/>
        <w:rPr>
          <w:rFonts w:eastAsia="Times New Roman"/>
        </w:rPr>
      </w:pPr>
      <w:r>
        <w:rPr>
          <w:rFonts w:eastAsia="Times New Roman"/>
          <w:i/>
          <w:iCs/>
          <w:color w:val="000000"/>
          <w:sz w:val="20"/>
          <w:szCs w:val="20"/>
        </w:rPr>
        <w:t>Selling, General and Administrative</w:t>
      </w:r>
    </w:p>
    <w:p w:rsidR="00000000" w:rsidRDefault="0039134F">
      <w:pPr>
        <w:jc w:val="both"/>
        <w:divId w:val="262543507"/>
        <w:rPr>
          <w:rFonts w:eastAsia="Times New Roman"/>
        </w:rPr>
      </w:pPr>
      <w:r>
        <w:rPr>
          <w:rFonts w:eastAsia="Times New Roman"/>
          <w:color w:val="000000"/>
          <w:sz w:val="20"/>
          <w:szCs w:val="20"/>
        </w:rPr>
        <w:t>Selling, general and administrative expenses, or SG&amp;A, include store associate (including optician) payroll, taxes and benefits, occup</w:t>
      </w:r>
      <w:r>
        <w:rPr>
          <w:rFonts w:eastAsia="Times New Roman"/>
          <w:color w:val="000000"/>
          <w:sz w:val="20"/>
          <w:szCs w:val="20"/>
        </w:rPr>
        <w:t>ancy, advertising and promotion, field services, corporate support and other costs associated with the provision of vision care services. Non-capital expenditures associated with opening new stores, including rent, store maintenance, marketing expenses, tr</w:t>
      </w:r>
      <w:r>
        <w:rPr>
          <w:rFonts w:eastAsia="Times New Roman"/>
          <w:color w:val="000000"/>
          <w:sz w:val="20"/>
          <w:szCs w:val="20"/>
        </w:rPr>
        <w:t>avel and relocation costs, and training costs, are recorded in SG&amp;A as incurred. SG&amp;A generally fluctuates consistently with revenue due to the variable store, field office and corporate support costs; however, some fixed costs slightly improve as a percen</w:t>
      </w:r>
      <w:r>
        <w:rPr>
          <w:rFonts w:eastAsia="Times New Roman"/>
          <w:color w:val="000000"/>
          <w:sz w:val="20"/>
          <w:szCs w:val="20"/>
        </w:rPr>
        <w:t>tage of net revenue as our net revenues grow over time.</w:t>
      </w:r>
    </w:p>
    <w:p w:rsidR="00000000" w:rsidRDefault="0039134F">
      <w:pPr>
        <w:jc w:val="both"/>
        <w:divId w:val="1404838510"/>
        <w:rPr>
          <w:rFonts w:eastAsia="Times New Roman"/>
        </w:rPr>
      </w:pPr>
      <w:r>
        <w:rPr>
          <w:rFonts w:eastAsia="Times New Roman"/>
          <w:i/>
          <w:iCs/>
          <w:color w:val="000000"/>
          <w:sz w:val="20"/>
          <w:szCs w:val="20"/>
        </w:rPr>
        <w:t>New Store Openings</w:t>
      </w:r>
    </w:p>
    <w:p w:rsidR="00000000" w:rsidRDefault="0039134F">
      <w:pPr>
        <w:jc w:val="both"/>
        <w:divId w:val="1642808081"/>
        <w:rPr>
          <w:rFonts w:eastAsia="Times New Roman"/>
        </w:rPr>
      </w:pPr>
      <w:r>
        <w:rPr>
          <w:rFonts w:eastAsia="Times New Roman"/>
          <w:color w:val="000000"/>
          <w:sz w:val="20"/>
          <w:szCs w:val="20"/>
        </w:rPr>
        <w:t>The total number of new stores per year and the timing of store openings has, and will continue to have, an impact on our re</w:t>
      </w:r>
      <w:r>
        <w:rPr>
          <w:rFonts w:eastAsia="Times New Roman"/>
          <w:color w:val="000000"/>
          <w:sz w:val="20"/>
          <w:szCs w:val="20"/>
          <w:shd w:val="clear" w:color="auto" w:fill="FFFFFF"/>
        </w:rPr>
        <w:t xml:space="preserve">sults. In an effort to conserve cash during the COVID-19 </w:t>
      </w:r>
      <w:r>
        <w:rPr>
          <w:rFonts w:eastAsia="Times New Roman"/>
          <w:color w:val="000000"/>
          <w:sz w:val="20"/>
          <w:szCs w:val="20"/>
          <w:shd w:val="clear" w:color="auto" w:fill="FFFFFF"/>
        </w:rPr>
        <w:t xml:space="preserve">pandemic, </w:t>
      </w:r>
      <w:r>
        <w:rPr>
          <w:rFonts w:eastAsia="Times New Roman"/>
          <w:color w:val="000000"/>
          <w:sz w:val="20"/>
          <w:szCs w:val="20"/>
        </w:rPr>
        <w:t>we temporarily paused new store openings during a portion of the nine months ended September 26, 2020. We expect to open 57 stores in the current year. We will continue to monitor and determine our plans for future new store openings based on bas</w:t>
      </w:r>
      <w:r>
        <w:rPr>
          <w:rFonts w:eastAsia="Times New Roman"/>
          <w:color w:val="000000"/>
          <w:sz w:val="20"/>
          <w:szCs w:val="20"/>
        </w:rPr>
        <w:t>ed</w:t>
      </w:r>
      <w:r>
        <w:rPr>
          <w:rFonts w:eastAsia="Times New Roman"/>
          <w:color w:val="000000"/>
          <w:sz w:val="20"/>
          <w:szCs w:val="20"/>
          <w:shd w:val="clear" w:color="auto" w:fill="FFFFFF"/>
        </w:rPr>
        <w:t xml:space="preserve"> on health, safety and economic conditions.</w:t>
      </w:r>
    </w:p>
    <w:p w:rsidR="00000000" w:rsidRDefault="0039134F">
      <w:pPr>
        <w:jc w:val="center"/>
        <w:divId w:val="2059863964"/>
        <w:rPr>
          <w:rFonts w:eastAsia="Times New Roman"/>
        </w:rPr>
      </w:pPr>
      <w:r>
        <w:rPr>
          <w:rFonts w:eastAsia="Times New Roman"/>
          <w:color w:val="000000"/>
          <w:sz w:val="20"/>
          <w:szCs w:val="20"/>
        </w:rPr>
        <w:t>35</w:t>
      </w:r>
    </w:p>
    <w:p w:rsidR="00000000" w:rsidRDefault="0039134F">
      <w:pPr>
        <w:rPr>
          <w:rFonts w:eastAsia="Times New Roman"/>
        </w:rPr>
      </w:pPr>
      <w:r>
        <w:rPr>
          <w:rFonts w:eastAsia="Times New Roman"/>
        </w:rPr>
        <w:pict>
          <v:rect id="_x0000_i1059" style="width:0;height:1.5pt" o:hralign="center" o:hrstd="t" o:hr="t" fillcolor="#a0a0a0" stroked="f"/>
        </w:pict>
      </w:r>
    </w:p>
    <w:p w:rsidR="00000000" w:rsidRDefault="0039134F">
      <w:pPr>
        <w:divId w:val="1272395842"/>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988047021"/>
        <w:rPr>
          <w:rFonts w:eastAsia="Times New Roman"/>
        </w:rPr>
      </w:pPr>
      <w:r>
        <w:rPr>
          <w:rFonts w:eastAsia="Times New Roman"/>
          <w:i/>
          <w:iCs/>
          <w:color w:val="000000"/>
          <w:sz w:val="20"/>
          <w:szCs w:val="20"/>
        </w:rPr>
        <w:t>Adjusted Comparable Store Sales Growth</w:t>
      </w:r>
    </w:p>
    <w:p w:rsidR="00000000" w:rsidRDefault="0039134F">
      <w:pPr>
        <w:jc w:val="both"/>
        <w:divId w:val="2000036156"/>
        <w:rPr>
          <w:rFonts w:eastAsia="Times New Roman"/>
        </w:rPr>
      </w:pPr>
      <w:r>
        <w:rPr>
          <w:rFonts w:eastAsia="Times New Roman"/>
          <w:color w:val="000000"/>
          <w:sz w:val="20"/>
          <w:szCs w:val="20"/>
        </w:rPr>
        <w:t xml:space="preserve">We measure Adjusted Comparable Store Sales Growth as the increase or decrease in sales recorded by the comparable store base in any reporting period, compared to sales recorded by the comparable store base in the prior reporting period, which we calculate </w:t>
      </w:r>
      <w:r>
        <w:rPr>
          <w:rFonts w:eastAsia="Times New Roman"/>
          <w:color w:val="000000"/>
          <w:sz w:val="20"/>
          <w:szCs w:val="20"/>
        </w:rPr>
        <w:t>as follows: (i) sales are recorded on a cash basis (i.e., when the order is placed and paid for or submitted to a managed care payor, compared to when the order is delivered), utilizing cash basis point of sale information from stores; (ii) stores are adde</w:t>
      </w:r>
      <w:r>
        <w:rPr>
          <w:rFonts w:eastAsia="Times New Roman"/>
          <w:color w:val="000000"/>
          <w:sz w:val="20"/>
          <w:szCs w:val="20"/>
        </w:rPr>
        <w:t>d to the calculation during the 13th full fiscal month following the store’s opening; (iii) closed stores are removed from the calculation for time periods that are not comparable; (iv) sales from partial months of operation are excluded when stores do not</w:t>
      </w:r>
      <w:r>
        <w:rPr>
          <w:rFonts w:eastAsia="Times New Roman"/>
          <w:color w:val="000000"/>
          <w:sz w:val="20"/>
          <w:szCs w:val="20"/>
        </w:rPr>
        <w:t xml:space="preserve"> open or close on the first day of the month; and (v) when applicable, we adjust for the effect of the 53rd week. Quarterly, year-to-date and annual adjusted comparable store sales are aggregated using only sales from all whole months of operation included</w:t>
      </w:r>
      <w:r>
        <w:rPr>
          <w:rFonts w:eastAsia="Times New Roman"/>
          <w:color w:val="000000"/>
          <w:sz w:val="20"/>
          <w:szCs w:val="20"/>
        </w:rPr>
        <w:t xml:space="preserve"> in both the current reporting period and the prior reporting period. When a partial month is excluded from the calculation, the corresponding month in the subsequent period is also excluded from the calculation. There may be variations in the way in which</w:t>
      </w:r>
      <w:r>
        <w:rPr>
          <w:rFonts w:eastAsia="Times New Roman"/>
          <w:color w:val="000000"/>
          <w:sz w:val="20"/>
          <w:szCs w:val="20"/>
        </w:rPr>
        <w:t xml:space="preserve"> some of our competitors and other retailers calculate comparable store sales. As a result, our adjusted comparable store sales may not be comparable to similar data made available by other retailers. We did not adjust our calculation of Adjusted Comparabl</w:t>
      </w:r>
      <w:r>
        <w:rPr>
          <w:rFonts w:eastAsia="Times New Roman"/>
          <w:color w:val="000000"/>
          <w:sz w:val="20"/>
          <w:szCs w:val="20"/>
        </w:rPr>
        <w:t>e Store Sales Growth for the temporary closure of our stores to the public as a result of the COVID-19 pandemic.</w:t>
      </w:r>
    </w:p>
    <w:p w:rsidR="00000000" w:rsidRDefault="0039134F">
      <w:pPr>
        <w:jc w:val="both"/>
        <w:divId w:val="88549278"/>
        <w:rPr>
          <w:rFonts w:eastAsia="Times New Roman"/>
        </w:rPr>
      </w:pPr>
      <w:r>
        <w:rPr>
          <w:rFonts w:eastAsia="Times New Roman"/>
          <w:color w:val="000000"/>
          <w:sz w:val="20"/>
          <w:szCs w:val="20"/>
        </w:rPr>
        <w:t>Adjusted Comparable Store Sales Growth is a non-GAAP financial measure, which we believe is useful because it provides timely and accurate info</w:t>
      </w:r>
      <w:r>
        <w:rPr>
          <w:rFonts w:eastAsia="Times New Roman"/>
          <w:color w:val="000000"/>
          <w:sz w:val="20"/>
          <w:szCs w:val="20"/>
        </w:rPr>
        <w:t xml:space="preserve">rmation relating to the two core metrics of retail sales: number of transactions and value of transactions. We use Adjusted Comparable Store Sales Growth as the basis for key operating decisions, such as allocation of advertising to particular markets and </w:t>
      </w:r>
      <w:r>
        <w:rPr>
          <w:rFonts w:eastAsia="Times New Roman"/>
          <w:color w:val="000000"/>
          <w:sz w:val="20"/>
          <w:szCs w:val="20"/>
        </w:rPr>
        <w:t>implementation of special marketing programs. Accordingly, we believe that Adjusted Comparable Store Sales Growth provides timely and accurate information relating to the operational health and overall performance of each brand. We also believe that, for t</w:t>
      </w:r>
      <w:r>
        <w:rPr>
          <w:rFonts w:eastAsia="Times New Roman"/>
          <w:color w:val="000000"/>
          <w:sz w:val="20"/>
          <w:szCs w:val="20"/>
        </w:rPr>
        <w:t>he same reasons, investors find our calculation of Adjusted Comparable Stores Sales Growth to be meaningful.</w:t>
      </w:r>
    </w:p>
    <w:p w:rsidR="00000000" w:rsidRDefault="0039134F">
      <w:pPr>
        <w:jc w:val="both"/>
        <w:divId w:val="2075468227"/>
        <w:rPr>
          <w:rFonts w:eastAsia="Times New Roman"/>
        </w:rPr>
      </w:pPr>
      <w:r>
        <w:rPr>
          <w:rFonts w:eastAsia="Times New Roman"/>
          <w:i/>
          <w:iCs/>
          <w:color w:val="000000"/>
          <w:sz w:val="20"/>
          <w:szCs w:val="20"/>
        </w:rPr>
        <w:t xml:space="preserve">Adjusted EBITDA, Adjusted EBITDA Margin Adjusted Operating Income, Adjusted Operating Margin, and Adjusted Diluted EPS (collectively, the “Company </w:t>
      </w:r>
      <w:r>
        <w:rPr>
          <w:rFonts w:eastAsia="Times New Roman"/>
          <w:i/>
          <w:iCs/>
          <w:color w:val="000000"/>
          <w:sz w:val="20"/>
          <w:szCs w:val="20"/>
        </w:rPr>
        <w:t>Non-GAAP Measures”)</w:t>
      </w:r>
    </w:p>
    <w:p w:rsidR="00000000" w:rsidRDefault="0039134F">
      <w:pPr>
        <w:jc w:val="both"/>
        <w:divId w:val="1415780702"/>
        <w:rPr>
          <w:rFonts w:eastAsia="Times New Roman"/>
        </w:rPr>
      </w:pPr>
      <w:r>
        <w:rPr>
          <w:rFonts w:eastAsia="Times New Roman"/>
          <w:color w:val="000000"/>
          <w:sz w:val="20"/>
          <w:szCs w:val="20"/>
        </w:rPr>
        <w:t>The Company Non-GAAP Measures are key measures used by management to assess our financial performance. The Company Non-GAAP Measures are also frequently used by analysts, investors and other interested parties. We use The Company Non-GAAP Measures to suppl</w:t>
      </w:r>
      <w:r>
        <w:rPr>
          <w:rFonts w:eastAsia="Times New Roman"/>
          <w:color w:val="000000"/>
          <w:sz w:val="20"/>
          <w:szCs w:val="20"/>
        </w:rPr>
        <w:t>ement U.S. GAAP measures of performance to evaluate the effectiveness of our business strategies, to make budgeting decisions, to establish discretionary annual incentive compensation and to compare our performance against that of other peer companies usin</w:t>
      </w:r>
      <w:r>
        <w:rPr>
          <w:rFonts w:eastAsia="Times New Roman"/>
          <w:color w:val="000000"/>
          <w:sz w:val="20"/>
          <w:szCs w:val="20"/>
        </w:rPr>
        <w:t>g similar measures. See “Non-GAAP Financial Measures” for definitions of the Company Non-GAAP Measures and for additional information.</w:t>
      </w:r>
    </w:p>
    <w:p w:rsidR="00000000" w:rsidRDefault="0039134F">
      <w:pPr>
        <w:jc w:val="both"/>
        <w:rPr>
          <w:rFonts w:eastAsia="Times New Roman"/>
        </w:rPr>
      </w:pPr>
    </w:p>
    <w:p w:rsidR="00000000" w:rsidRDefault="0039134F">
      <w:pPr>
        <w:jc w:val="center"/>
        <w:divId w:val="992103806"/>
        <w:rPr>
          <w:rFonts w:eastAsia="Times New Roman"/>
        </w:rPr>
      </w:pPr>
      <w:r>
        <w:rPr>
          <w:rFonts w:eastAsia="Times New Roman"/>
          <w:color w:val="000000"/>
          <w:sz w:val="20"/>
          <w:szCs w:val="20"/>
        </w:rPr>
        <w:t>36</w:t>
      </w:r>
    </w:p>
    <w:p w:rsidR="00000000" w:rsidRDefault="0039134F">
      <w:pPr>
        <w:rPr>
          <w:rFonts w:eastAsia="Times New Roman"/>
        </w:rPr>
      </w:pPr>
      <w:r>
        <w:rPr>
          <w:rFonts w:eastAsia="Times New Roman"/>
        </w:rPr>
        <w:pict>
          <v:rect id="_x0000_i1060" style="width:0;height:1.5pt" o:hralign="center" o:hrstd="t" o:hr="t" fillcolor="#a0a0a0" stroked="f"/>
        </w:pict>
      </w:r>
    </w:p>
    <w:p w:rsidR="00000000" w:rsidRDefault="0039134F">
      <w:pPr>
        <w:divId w:val="60963239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568490363"/>
        <w:rPr>
          <w:rFonts w:eastAsia="Times New Roman"/>
        </w:rPr>
      </w:pPr>
      <w:r>
        <w:rPr>
          <w:rFonts w:eastAsia="Times New Roman"/>
          <w:b/>
          <w:bCs/>
          <w:color w:val="000000"/>
          <w:sz w:val="20"/>
          <w:szCs w:val="20"/>
        </w:rPr>
        <w:t>Resu</w:t>
      </w:r>
      <w:r>
        <w:rPr>
          <w:rFonts w:eastAsia="Times New Roman"/>
          <w:b/>
          <w:bCs/>
          <w:color w:val="000000"/>
          <w:sz w:val="20"/>
          <w:szCs w:val="20"/>
        </w:rPr>
        <w:t>lts of Operations</w:t>
      </w:r>
    </w:p>
    <w:p w:rsidR="00000000" w:rsidRDefault="0039134F">
      <w:pPr>
        <w:jc w:val="both"/>
        <w:divId w:val="1498691628"/>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1"/>
        <w:gridCol w:w="3115"/>
        <w:gridCol w:w="40"/>
        <w:gridCol w:w="121"/>
        <w:gridCol w:w="832"/>
        <w:gridCol w:w="187"/>
        <w:gridCol w:w="37"/>
        <w:gridCol w:w="109"/>
        <w:gridCol w:w="37"/>
        <w:gridCol w:w="121"/>
        <w:gridCol w:w="832"/>
        <w:gridCol w:w="187"/>
        <w:gridCol w:w="37"/>
        <w:gridCol w:w="109"/>
        <w:gridCol w:w="36"/>
        <w:gridCol w:w="121"/>
        <w:gridCol w:w="833"/>
        <w:gridCol w:w="187"/>
        <w:gridCol w:w="37"/>
        <w:gridCol w:w="109"/>
        <w:gridCol w:w="37"/>
        <w:gridCol w:w="121"/>
        <w:gridCol w:w="833"/>
        <w:gridCol w:w="187"/>
      </w:tblGrid>
      <w:tr w:rsidR="00000000">
        <w:trPr>
          <w:divId w:val="92167510"/>
        </w:trPr>
        <w:tc>
          <w:tcPr>
            <w:tcW w:w="50" w:type="pct"/>
            <w:vAlign w:val="center"/>
            <w:hideMark/>
          </w:tcPr>
          <w:p w:rsidR="00000000" w:rsidRDefault="0039134F">
            <w:pPr>
              <w:jc w:val="both"/>
              <w:rPr>
                <w:rFonts w:eastAsia="Times New Roman"/>
              </w:rPr>
            </w:pPr>
          </w:p>
        </w:tc>
        <w:tc>
          <w:tcPr>
            <w:tcW w:w="210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2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2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2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62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92167510"/>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92167510"/>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 except earnings per share, percentage and store data</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403,336</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355,789</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1,005,884</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1,096,482</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Net sales of services and plans </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82,017</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76,113</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209,180</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226,086</w:t>
            </w:r>
          </w:p>
        </w:tc>
      </w:tr>
      <w:tr w:rsidR="00000000">
        <w:trPr>
          <w:divId w:val="92167510"/>
        </w:trPr>
        <w:tc>
          <w:tcPr>
            <w:tcW w:w="0" w:type="auto"/>
            <w:gridSpan w:val="3"/>
            <w:shd w:val="clear" w:color="auto" w:fill="FFFF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net revenue</w:t>
            </w: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485,353</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431,902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1,215,064</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1,322,568</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Products</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148,274</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144,518</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402,279</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444,177</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Services and plans</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62,535</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59,984</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167,864</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174,801</w:t>
            </w:r>
          </w:p>
        </w:tc>
      </w:tr>
      <w:tr w:rsidR="00000000">
        <w:trPr>
          <w:divId w:val="92167510"/>
        </w:trPr>
        <w:tc>
          <w:tcPr>
            <w:tcW w:w="0" w:type="auto"/>
            <w:gridSpan w:val="3"/>
            <w:shd w:val="clear" w:color="auto" w:fill="FFFF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210,809</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204,502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570,143</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618,978</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Selling, general and administrative expenses</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190,518</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190,290</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520,841</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566,444</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22,236</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22,336</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68,970</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63,570</w:t>
            </w: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Asset impairment</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7,150</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3,516</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20,916</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7,387</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Litigation settlement</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4,395</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Other expense (income), net</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(154)</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146</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975</w:t>
            </w:r>
          </w:p>
        </w:tc>
      </w:tr>
      <w:tr w:rsidR="00000000">
        <w:trPr>
          <w:divId w:val="92167510"/>
        </w:trPr>
        <w:tc>
          <w:tcPr>
            <w:tcW w:w="0" w:type="auto"/>
            <w:gridSpan w:val="3"/>
            <w:shd w:val="clear" w:color="auto" w:fill="CCEEFF"/>
            <w:tcMar>
              <w:top w:w="30" w:type="dxa"/>
              <w:left w:w="36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xml:space="preserve">Total operating expenses </w:t>
            </w:r>
          </w:p>
        </w:tc>
        <w:tc>
          <w:tcPr>
            <w:tcW w:w="0" w:type="auto"/>
            <w:gridSpan w:val="3"/>
            <w:tcBorders>
              <w:top w:val="single" w:sz="8" w:space="0" w:color="000000"/>
            </w:tcBorders>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219,750</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216,288</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614,810</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638,376</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from operations</w:t>
            </w: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54,794</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11,112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30,111</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65,214</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 net</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12,475</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7,873</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35,432</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25,902</w:t>
            </w:r>
          </w:p>
        </w:tc>
      </w:tr>
      <w:tr w:rsidR="00000000">
        <w:trPr>
          <w:divId w:val="92167510"/>
        </w:trPr>
        <w:tc>
          <w:tcPr>
            <w:tcW w:w="0" w:type="auto"/>
            <w:gridSpan w:val="3"/>
            <w:shd w:val="clear" w:color="auto" w:fill="FFFF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Debt issuance costs</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136</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CCEEFF"/>
            <w:tcMar>
              <w:top w:w="30" w:type="dxa"/>
              <w:left w:w="225" w:type="dxa"/>
              <w:bottom w:w="30" w:type="dxa"/>
              <w:right w:w="20" w:type="dxa"/>
            </w:tcMar>
            <w:vAlign w:val="bottom"/>
            <w:hideMark/>
          </w:tcPr>
          <w:p w:rsidR="00000000" w:rsidRDefault="0039134F">
            <w:pPr>
              <w:rPr>
                <w:rFonts w:eastAsia="Times New Roman"/>
              </w:rPr>
            </w:pPr>
            <w:r>
              <w:rPr>
                <w:rFonts w:eastAsia="Times New Roman"/>
                <w:color w:val="000000"/>
                <w:sz w:val="20"/>
                <w:szCs w:val="20"/>
              </w:rPr>
              <w:t>Loss on extinguishment of debt</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1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9,786</w:t>
            </w:r>
          </w:p>
        </w:tc>
        <w:tc>
          <w:tcPr>
            <w:tcW w:w="0" w:type="auto"/>
            <w:gridSpan w:val="3"/>
            <w:shd w:val="clear" w:color="auto" w:fill="CCEEFF"/>
            <w:tcMar>
              <w:top w:w="0" w:type="dxa"/>
              <w:left w:w="20" w:type="dxa"/>
              <w:bottom w:w="0" w:type="dxa"/>
              <w:right w:w="1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1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9,786</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Earnings (loss) before income taxes</w:t>
            </w: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42,319</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(6,547)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(5,457)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29,526</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tax provision (benefit)</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7,030</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(7,739)</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(6,655)</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647</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35,289</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1,192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1,198</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28,879</w:t>
            </w:r>
          </w:p>
        </w:tc>
      </w:tr>
      <w:tr w:rsidR="00000000">
        <w:trPr>
          <w:divId w:val="92167510"/>
          <w:trHeight w:val="30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Operating data:</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Number of stores open at end of period</w:t>
            </w: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1,201</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1,145</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1,201</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1,145</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New stores opened</w:t>
            </w: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30" w:type="dxa"/>
              <w:left w:w="2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67</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Adjusted Operating Income</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67,742</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26,067</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71,381</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97,808</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Diluted EPS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0.42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0.01</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0.01</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0.35</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Adjusted Diluted EPS</w:t>
            </w: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0.54</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0.16</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0.42</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0.66</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Adjusted EBITDA</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88,127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46,552</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134,797</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20" w:type="dxa"/>
            </w:tcMar>
            <w:vAlign w:val="bottom"/>
            <w:hideMark/>
          </w:tcPr>
          <w:p w:rsidR="00000000" w:rsidRDefault="0039134F">
            <w:pPr>
              <w:jc w:val="right"/>
              <w:rPr>
                <w:rFonts w:eastAsia="Times New Roman"/>
              </w:rPr>
            </w:pPr>
            <w:r>
              <w:rPr>
                <w:rFonts w:eastAsia="Times New Roman"/>
                <w:color w:val="000000"/>
                <w:sz w:val="20"/>
                <w:szCs w:val="20"/>
              </w:rPr>
              <w:t>155,825</w:t>
            </w:r>
          </w:p>
        </w:tc>
      </w:tr>
      <w:tr w:rsidR="00000000">
        <w:trPr>
          <w:divId w:val="92167510"/>
          <w:trHeight w:val="300"/>
        </w:trPr>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Percentage of net revenue:</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costs applicable to revenue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39.3 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42.8 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Total operating expenses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45.3 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from operations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Adjusted Operating Income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92167510"/>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Adjusted EBITDA</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bl>
    <w:p w:rsidR="00000000" w:rsidRDefault="0039134F">
      <w:pPr>
        <w:divId w:val="1248809834"/>
        <w:rPr>
          <w:rFonts w:eastAsia="Times New Roman"/>
        </w:rPr>
      </w:pPr>
    </w:p>
    <w:p w:rsidR="00000000" w:rsidRDefault="0039134F">
      <w:pPr>
        <w:jc w:val="center"/>
        <w:divId w:val="458037316"/>
        <w:rPr>
          <w:rFonts w:eastAsia="Times New Roman"/>
        </w:rPr>
      </w:pPr>
      <w:r>
        <w:rPr>
          <w:rFonts w:eastAsia="Times New Roman"/>
          <w:color w:val="000000"/>
          <w:sz w:val="20"/>
          <w:szCs w:val="20"/>
        </w:rPr>
        <w:t>37</w:t>
      </w:r>
    </w:p>
    <w:p w:rsidR="00000000" w:rsidRDefault="0039134F">
      <w:pPr>
        <w:rPr>
          <w:rFonts w:eastAsia="Times New Roman"/>
        </w:rPr>
      </w:pPr>
      <w:r>
        <w:rPr>
          <w:rFonts w:eastAsia="Times New Roman"/>
        </w:rPr>
        <w:pict>
          <v:rect id="_x0000_i1061" style="width:0;height:1.5pt" o:hralign="center" o:hrstd="t" o:hr="t" fillcolor="#a0a0a0" stroked="f"/>
        </w:pict>
      </w:r>
    </w:p>
    <w:p w:rsidR="00000000" w:rsidRDefault="0039134F">
      <w:pPr>
        <w:divId w:val="79602936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829788297"/>
        <w:rPr>
          <w:rFonts w:eastAsia="Times New Roman"/>
        </w:rPr>
      </w:pPr>
      <w:r>
        <w:rPr>
          <w:rFonts w:eastAsia="Times New Roman"/>
          <w:b/>
          <w:bCs/>
          <w:color w:val="000000"/>
          <w:sz w:val="20"/>
          <w:szCs w:val="20"/>
        </w:rPr>
        <w:t>Three Months Ended September 26, 2020 compared to Three Months Ended September 28, 2019</w:t>
      </w:r>
    </w:p>
    <w:p w:rsidR="00000000" w:rsidRDefault="0039134F">
      <w:pPr>
        <w:jc w:val="both"/>
        <w:divId w:val="1472210950"/>
        <w:rPr>
          <w:rFonts w:eastAsia="Times New Roman"/>
        </w:rPr>
      </w:pPr>
      <w:r>
        <w:rPr>
          <w:rFonts w:eastAsia="Times New Roman"/>
          <w:i/>
          <w:iCs/>
          <w:color w:val="000000"/>
          <w:sz w:val="20"/>
          <w:szCs w:val="20"/>
        </w:rPr>
        <w:t>Net revenue</w:t>
      </w:r>
    </w:p>
    <w:p w:rsidR="00000000" w:rsidRDefault="0039134F">
      <w:pPr>
        <w:jc w:val="both"/>
        <w:divId w:val="75590624"/>
        <w:rPr>
          <w:rFonts w:eastAsia="Times New Roman"/>
        </w:rPr>
      </w:pPr>
      <w:r>
        <w:rPr>
          <w:rFonts w:eastAsia="Times New Roman"/>
          <w:color w:val="000000"/>
          <w:sz w:val="20"/>
          <w:szCs w:val="20"/>
        </w:rPr>
        <w:t>The following presents, by segment and by brand, comparable store sales growth, stores open at the end of the period and net revenue for the three months en</w:t>
      </w:r>
      <w:r>
        <w:rPr>
          <w:rFonts w:eastAsia="Times New Roman"/>
          <w:color w:val="000000"/>
          <w:sz w:val="20"/>
          <w:szCs w:val="20"/>
        </w:rPr>
        <w:t>ded September 26, 2020 compared to the three months ended September 28, 2019.</w:t>
      </w:r>
    </w:p>
    <w:tbl>
      <w:tblPr>
        <w:tblW w:w="4975" w:type="pct"/>
        <w:tblCellMar>
          <w:top w:w="15" w:type="dxa"/>
          <w:left w:w="15" w:type="dxa"/>
          <w:bottom w:w="15" w:type="dxa"/>
          <w:right w:w="15" w:type="dxa"/>
        </w:tblCellMar>
        <w:tblLook w:val="04A0" w:firstRow="1" w:lastRow="0" w:firstColumn="1" w:lastColumn="0" w:noHBand="0" w:noVBand="1"/>
      </w:tblPr>
      <w:tblGrid>
        <w:gridCol w:w="57"/>
        <w:gridCol w:w="1288"/>
        <w:gridCol w:w="38"/>
        <w:gridCol w:w="36"/>
        <w:gridCol w:w="36"/>
        <w:gridCol w:w="36"/>
        <w:gridCol w:w="84"/>
        <w:gridCol w:w="684"/>
        <w:gridCol w:w="173"/>
        <w:gridCol w:w="37"/>
        <w:gridCol w:w="37"/>
        <w:gridCol w:w="37"/>
        <w:gridCol w:w="84"/>
        <w:gridCol w:w="684"/>
        <w:gridCol w:w="172"/>
        <w:gridCol w:w="36"/>
        <w:gridCol w:w="36"/>
        <w:gridCol w:w="36"/>
        <w:gridCol w:w="85"/>
        <w:gridCol w:w="684"/>
        <w:gridCol w:w="38"/>
        <w:gridCol w:w="37"/>
        <w:gridCol w:w="36"/>
        <w:gridCol w:w="36"/>
        <w:gridCol w:w="85"/>
        <w:gridCol w:w="684"/>
        <w:gridCol w:w="37"/>
        <w:gridCol w:w="36"/>
        <w:gridCol w:w="36"/>
        <w:gridCol w:w="36"/>
        <w:gridCol w:w="110"/>
        <w:gridCol w:w="630"/>
        <w:gridCol w:w="36"/>
        <w:gridCol w:w="59"/>
        <w:gridCol w:w="411"/>
        <w:gridCol w:w="170"/>
        <w:gridCol w:w="36"/>
        <w:gridCol w:w="36"/>
        <w:gridCol w:w="36"/>
        <w:gridCol w:w="110"/>
        <w:gridCol w:w="630"/>
        <w:gridCol w:w="36"/>
        <w:gridCol w:w="56"/>
        <w:gridCol w:w="414"/>
        <w:gridCol w:w="170"/>
      </w:tblGrid>
      <w:tr w:rsidR="00000000">
        <w:trPr>
          <w:divId w:val="124546556"/>
        </w:trPr>
        <w:tc>
          <w:tcPr>
            <w:tcW w:w="50" w:type="pct"/>
            <w:vAlign w:val="center"/>
            <w:hideMark/>
          </w:tcPr>
          <w:p w:rsidR="00000000" w:rsidRDefault="0039134F">
            <w:pPr>
              <w:jc w:val="both"/>
              <w:rPr>
                <w:rFonts w:eastAsia="Times New Roman"/>
              </w:rPr>
            </w:pPr>
          </w:p>
        </w:tc>
        <w:tc>
          <w:tcPr>
            <w:tcW w:w="1136"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9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5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8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24546556"/>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124546556"/>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28, 2019</w:t>
            </w:r>
          </w:p>
        </w:tc>
      </w:tr>
      <w:tr w:rsidR="00000000">
        <w:trPr>
          <w:divId w:val="1245465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2454655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America’s Best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769 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334,716 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69.0 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279,883 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64.8 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18.4 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52,837 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44,178 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Military</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5,820 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6,097 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Fred Meyer</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3,027 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3,280 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396,400 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333,438 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77.2 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40,232 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39,355 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57,906 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63,174 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8"/>
                <w:szCs w:val="18"/>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(9,185)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(4,065)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(0.9)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485,353 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431,902 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r>
      <w:tr w:rsidR="00000000">
        <w:trPr>
          <w:divId w:val="124546556"/>
        </w:trPr>
        <w:tc>
          <w:tcPr>
            <w:tcW w:w="0" w:type="auto"/>
            <w:gridSpan w:val="3"/>
            <w:shd w:val="clear" w:color="auto" w:fill="CCEEFF"/>
            <w:tcMar>
              <w:top w:w="30" w:type="dxa"/>
              <w:left w:w="20" w:type="dxa"/>
              <w:bottom w:w="30" w:type="dxa"/>
              <w:right w:w="20" w:type="dxa"/>
            </w:tcMar>
            <w:vAlign w:val="bottom"/>
            <w:hideMark/>
          </w:tcPr>
          <w:p w:rsidR="00000000" w:rsidRDefault="0039134F">
            <w:pPr>
              <w:divId w:val="326176702"/>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ind w:hanging="360"/>
        <w:jc w:val="both"/>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from stores opened less than 1</w:t>
      </w:r>
      <w:r>
        <w:rPr>
          <w:rFonts w:eastAsia="Times New Roman"/>
          <w:color w:val="000000"/>
          <w:sz w:val="16"/>
          <w:szCs w:val="16"/>
        </w:rPr>
        <w:t>3 months, (iii) stores closed in the periods presented, (iv) sales from partial months of operation when stores do not open or close on the first day of the month and (v) if applicable, the impact of a 53rd week in a fiscal year. Brand-level comparable sto</w:t>
      </w:r>
      <w:r>
        <w:rPr>
          <w:rFonts w:eastAsia="Times New Roman"/>
          <w:color w:val="000000"/>
          <w:sz w:val="16"/>
          <w:szCs w:val="16"/>
        </w:rPr>
        <w:t>re sales growth is calculated based on cash basis revenues consistent with what the CODM reviews, and consistent with reportable segment revenues presented in Note 11. “Segment Reporting” in our unaudited condensed consolidated financial statements include</w:t>
      </w:r>
      <w:r>
        <w:rPr>
          <w:rFonts w:eastAsia="Times New Roman"/>
          <w:color w:val="000000"/>
          <w:sz w:val="16"/>
          <w:szCs w:val="16"/>
        </w:rPr>
        <w:t xml:space="preserve">d in Part I. Item 1. of this Form 10-Q, with the exception of the legacy segment, which is adjusted as noted in clause (ii) of footnote (3) below. </w:t>
      </w:r>
    </w:p>
    <w:p w:rsidR="00000000" w:rsidRDefault="0039134F">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39134F">
      <w:pPr>
        <w:ind w:hanging="360"/>
        <w:jc w:val="both"/>
        <w:divId w:val="2096240442"/>
        <w:rPr>
          <w:rFonts w:eastAsia="Times New Roman"/>
        </w:rPr>
      </w:pPr>
      <w:r>
        <w:rPr>
          <w:rFonts w:eastAsia="Times New Roman"/>
          <w:color w:val="000000"/>
          <w:sz w:val="16"/>
          <w:szCs w:val="16"/>
        </w:rPr>
        <w:t>(3)There are two dif</w:t>
      </w:r>
      <w:r>
        <w:rPr>
          <w:rFonts w:eastAsia="Times New Roman"/>
          <w:color w:val="000000"/>
          <w:sz w:val="16"/>
          <w:szCs w:val="16"/>
        </w:rPr>
        <w:t>ferences between total comparable store sales growth based on consolidated net revenue and Adjusted Comparable Store Sales Growth: (i) Adjusted Comparable Store Sales Growth includes the effect of deferred and unearned revenue as if such revenues were earn</w:t>
      </w:r>
      <w:r>
        <w:rPr>
          <w:rFonts w:eastAsia="Times New Roman"/>
          <w:color w:val="000000"/>
          <w:sz w:val="16"/>
          <w:szCs w:val="16"/>
        </w:rPr>
        <w:t>ed at the point of sale, resulting in an increase of 0.9% and an increase of 0.6% from total comparable store sales growth based on consolidated net revenue for the three months ended September 26, 2020 and September 28, 2019, respectively, and (ii) Adjust</w:t>
      </w:r>
      <w:r>
        <w:rPr>
          <w:rFonts w:eastAsia="Times New Roman"/>
          <w:color w:val="000000"/>
          <w:sz w:val="16"/>
          <w:szCs w:val="16"/>
        </w:rPr>
        <w:t>ed Comparable Store Sales Growth includes retail sales to the legacy partner’s customers (rather than the revenues recognized consistent with the management &amp; services agreement with the legacy partner), resulting in a decrease of 0.1% and a decrease of 0.</w:t>
      </w:r>
      <w:r>
        <w:rPr>
          <w:rFonts w:eastAsia="Times New Roman"/>
          <w:color w:val="000000"/>
          <w:sz w:val="16"/>
          <w:szCs w:val="16"/>
        </w:rPr>
        <w:t>1% from total comparable store sales growth based on consolidated net revenue for each of the three months ended September 26, 2020 and September 28, 2019.</w:t>
      </w:r>
    </w:p>
    <w:p w:rsidR="00000000" w:rsidRDefault="0039134F">
      <w:pPr>
        <w:jc w:val="both"/>
        <w:divId w:val="404650408"/>
        <w:rPr>
          <w:rFonts w:eastAsia="Times New Roman"/>
        </w:rPr>
      </w:pPr>
      <w:r>
        <w:rPr>
          <w:rFonts w:eastAsia="Times New Roman"/>
          <w:color w:val="000000"/>
          <w:sz w:val="20"/>
          <w:szCs w:val="20"/>
        </w:rPr>
        <w:t>Total net revenue of $485.4 million for the three months ended September 26, 2020 increased $53.5 mi</w:t>
      </w:r>
      <w:r>
        <w:rPr>
          <w:rFonts w:eastAsia="Times New Roman"/>
          <w:color w:val="000000"/>
          <w:sz w:val="20"/>
          <w:szCs w:val="20"/>
        </w:rPr>
        <w:t>llion, or 12.4%, from $431.9 million for the three months ended September 28, 2019. This increase was primarily driven by comparable store sales growth, partially offset by deferred revenue and wholesale fulfillment.</w:t>
      </w:r>
    </w:p>
    <w:p w:rsidR="00000000" w:rsidRDefault="0039134F">
      <w:pPr>
        <w:jc w:val="both"/>
        <w:divId w:val="1587423098"/>
        <w:rPr>
          <w:rFonts w:eastAsia="Times New Roman"/>
        </w:rPr>
      </w:pPr>
      <w:r>
        <w:rPr>
          <w:rFonts w:eastAsia="Times New Roman"/>
          <w:color w:val="000000"/>
          <w:sz w:val="20"/>
          <w:szCs w:val="20"/>
        </w:rPr>
        <w:t>In the three months ended September 26,</w:t>
      </w:r>
      <w:r>
        <w:rPr>
          <w:rFonts w:eastAsia="Times New Roman"/>
          <w:color w:val="000000"/>
          <w:sz w:val="20"/>
          <w:szCs w:val="20"/>
        </w:rPr>
        <w:t xml:space="preserve"> 2020, we opened 17 America’s Best stores and one Eyeglass World store and closed one Legacy store as a result of our Legacy partner’s decision to cease its overall operations at the location. Overall, store count grew 4.9% from September 28, 2019 to Septe</w:t>
      </w:r>
      <w:r>
        <w:rPr>
          <w:rFonts w:eastAsia="Times New Roman"/>
          <w:color w:val="000000"/>
          <w:sz w:val="20"/>
          <w:szCs w:val="20"/>
        </w:rPr>
        <w:t>mber 26, 2020 (51, one and four net new America’s Best, Eyeglass World and Legacy stores were added, respectively).</w:t>
      </w:r>
    </w:p>
    <w:p w:rsidR="00000000" w:rsidRDefault="0039134F">
      <w:pPr>
        <w:jc w:val="center"/>
        <w:divId w:val="1512722"/>
        <w:rPr>
          <w:rFonts w:eastAsia="Times New Roman"/>
        </w:rPr>
      </w:pPr>
      <w:r>
        <w:rPr>
          <w:rFonts w:eastAsia="Times New Roman"/>
          <w:color w:val="000000"/>
          <w:sz w:val="20"/>
          <w:szCs w:val="20"/>
        </w:rPr>
        <w:t>38</w:t>
      </w:r>
    </w:p>
    <w:p w:rsidR="00000000" w:rsidRDefault="0039134F">
      <w:pPr>
        <w:rPr>
          <w:rFonts w:eastAsia="Times New Roman"/>
        </w:rPr>
      </w:pPr>
      <w:r>
        <w:rPr>
          <w:rFonts w:eastAsia="Times New Roman"/>
        </w:rPr>
        <w:pict>
          <v:rect id="_x0000_i1062" style="width:0;height:1.5pt" o:hralign="center" o:hrstd="t" o:hr="t" fillcolor="#a0a0a0" stroked="f"/>
        </w:pict>
      </w:r>
    </w:p>
    <w:p w:rsidR="00000000" w:rsidRDefault="0039134F">
      <w:pPr>
        <w:divId w:val="33176593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211116533"/>
        <w:rPr>
          <w:rFonts w:eastAsia="Times New Roman"/>
        </w:rPr>
      </w:pPr>
      <w:r>
        <w:rPr>
          <w:rFonts w:eastAsia="Times New Roman"/>
          <w:color w:val="000000"/>
          <w:sz w:val="20"/>
          <w:szCs w:val="20"/>
        </w:rPr>
        <w:t>Comparable store sales g</w:t>
      </w:r>
      <w:r>
        <w:rPr>
          <w:rFonts w:eastAsia="Times New Roman"/>
          <w:color w:val="000000"/>
          <w:sz w:val="20"/>
          <w:szCs w:val="20"/>
        </w:rPr>
        <w:t>rowth and Adjusted Comparable Store Sales Growth for the three months ended September 26, 2020 were 11.6% and 12.4%, respectively and were driven by increases in average ticket. We also believe that comparable store sales growth and Adjusted Comparable Sto</w:t>
      </w:r>
      <w:r>
        <w:rPr>
          <w:rFonts w:eastAsia="Times New Roman"/>
          <w:color w:val="000000"/>
          <w:sz w:val="20"/>
          <w:szCs w:val="20"/>
        </w:rPr>
        <w:t>re Sales Growth benefited from strong customer demand, including the effect of our stores being temporarily closed to the public earlier in the year.</w:t>
      </w:r>
    </w:p>
    <w:p w:rsidR="00000000" w:rsidRDefault="0039134F">
      <w:pPr>
        <w:jc w:val="both"/>
        <w:divId w:val="1586919268"/>
        <w:rPr>
          <w:rFonts w:eastAsia="Times New Roman"/>
        </w:rPr>
      </w:pPr>
      <w:r>
        <w:rPr>
          <w:rFonts w:eastAsia="Times New Roman"/>
          <w:color w:val="000000"/>
          <w:sz w:val="20"/>
          <w:szCs w:val="20"/>
        </w:rPr>
        <w:t xml:space="preserve">Net product sales comprised 83.1% and 82.4% of total net revenue for the three months ended September 26, </w:t>
      </w:r>
      <w:r>
        <w:rPr>
          <w:rFonts w:eastAsia="Times New Roman"/>
          <w:color w:val="000000"/>
          <w:sz w:val="20"/>
          <w:szCs w:val="20"/>
        </w:rPr>
        <w:t xml:space="preserve">2020 and September 28, 2019, respectively. Net product sales increased $47.5 million, or 13.4%, in the three months ended September 26, 2020 compared to the three months ended September 28, 2019, driven primarily by eyeglass sales and, to a lesser extent, </w:t>
      </w:r>
      <w:r>
        <w:rPr>
          <w:rFonts w:eastAsia="Times New Roman"/>
          <w:color w:val="000000"/>
          <w:sz w:val="20"/>
          <w:szCs w:val="20"/>
        </w:rPr>
        <w:t>contact lens sales. Net sales of services and plans increased $5.9 million, or 7.8%, driven primarily by eye exam sales.</w:t>
      </w:r>
    </w:p>
    <w:p w:rsidR="00000000" w:rsidRDefault="0039134F">
      <w:pPr>
        <w:jc w:val="both"/>
        <w:divId w:val="1575818004"/>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increased $63.0 million, or 18.9%, driven primarily by comparable store sales growth and </w:t>
      </w:r>
      <w:r>
        <w:rPr>
          <w:rFonts w:eastAsia="Times New Roman"/>
          <w:color w:val="000000"/>
          <w:sz w:val="20"/>
          <w:szCs w:val="20"/>
        </w:rPr>
        <w:t>new store openings which increased sales across our product categories.</w:t>
      </w:r>
    </w:p>
    <w:p w:rsidR="00000000" w:rsidRDefault="0039134F">
      <w:pPr>
        <w:jc w:val="both"/>
        <w:divId w:val="1696425352"/>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increased $0.9 million, or 2.2%, driven by increases in fees from our Legacy partner and eye exams.</w:t>
      </w:r>
    </w:p>
    <w:p w:rsidR="00000000" w:rsidRDefault="0039134F">
      <w:pPr>
        <w:jc w:val="both"/>
        <w:divId w:val="1085759099"/>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decreased $5.3 million, or 8.3%, driven by reductions in wholesale fulfillment that was partially offset by increases in our online retail business.</w:t>
      </w:r>
    </w:p>
    <w:p w:rsidR="00000000" w:rsidRDefault="0039134F">
      <w:pPr>
        <w:jc w:val="both"/>
        <w:divId w:val="992874584"/>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impact of reconciliations</w:t>
      </w:r>
      <w:r>
        <w:rPr>
          <w:rFonts w:eastAsia="Times New Roman"/>
          <w:color w:val="000000"/>
          <w:sz w:val="20"/>
          <w:szCs w:val="20"/>
        </w:rPr>
        <w:t xml:space="preserve"> decreased net revenue by $5.1 million for the three months ended September 26, 2020 compared to the three months ended September 28, 2019. Reconciliations include an increase in unearned revenue of $2.6 million compared to a increase in unearned revenue o</w:t>
      </w:r>
      <w:r>
        <w:rPr>
          <w:rFonts w:eastAsia="Times New Roman"/>
          <w:color w:val="000000"/>
          <w:sz w:val="20"/>
          <w:szCs w:val="20"/>
        </w:rPr>
        <w:t>f $2.8 million for the three months ended September 26, 2020 and September 28, 2019, respectively, as well as an increase in deferred revenue of $6.6 million and an increase of $1.3 million for the three months ended September 26, 2020 and September 28, 20</w:t>
      </w:r>
      <w:r>
        <w:rPr>
          <w:rFonts w:eastAsia="Times New Roman"/>
          <w:color w:val="000000"/>
          <w:sz w:val="20"/>
          <w:szCs w:val="20"/>
        </w:rPr>
        <w:t>19, respectively.</w:t>
      </w:r>
    </w:p>
    <w:p w:rsidR="00000000" w:rsidRDefault="0039134F">
      <w:pPr>
        <w:jc w:val="both"/>
        <w:divId w:val="170609416"/>
        <w:rPr>
          <w:rFonts w:eastAsia="Times New Roman"/>
        </w:rPr>
      </w:pPr>
      <w:r>
        <w:rPr>
          <w:rFonts w:eastAsia="Times New Roman"/>
          <w:i/>
          <w:iCs/>
          <w:color w:val="000000"/>
          <w:sz w:val="20"/>
          <w:szCs w:val="20"/>
        </w:rPr>
        <w:t>Costs applicable to revenue</w:t>
      </w:r>
    </w:p>
    <w:p w:rsidR="00000000" w:rsidRDefault="0039134F">
      <w:pPr>
        <w:jc w:val="both"/>
        <w:divId w:val="2143234415"/>
        <w:rPr>
          <w:rFonts w:eastAsia="Times New Roman"/>
        </w:rPr>
      </w:pPr>
      <w:r>
        <w:rPr>
          <w:rFonts w:eastAsia="Times New Roman"/>
          <w:color w:val="000000"/>
          <w:sz w:val="20"/>
          <w:szCs w:val="20"/>
        </w:rPr>
        <w:t>Costs applicable to revenue of $210.8 million for the three months ended September 26, 2020 increased $6.3 million, or 3.1%, from $204.5 million for the three months ended September 28, 2019. As a percentage of</w:t>
      </w:r>
      <w:r>
        <w:rPr>
          <w:rFonts w:eastAsia="Times New Roman"/>
          <w:color w:val="000000"/>
          <w:sz w:val="20"/>
          <w:szCs w:val="20"/>
        </w:rPr>
        <w:t xml:space="preserve"> net revenue, costs applicable to revenue decreased from 47.3% for the three months ended September 28, 2019 to 43.4% for the three months ended September 26, 2020. This decrease as a percentage of net revenue was primarily driven by increased eyeglass mix</w:t>
      </w:r>
      <w:r>
        <w:rPr>
          <w:rFonts w:eastAsia="Times New Roman"/>
          <w:color w:val="000000"/>
          <w:sz w:val="20"/>
          <w:szCs w:val="20"/>
        </w:rPr>
        <w:t>, higher eyeglass margin and lower growth in optometrist costs.</w:t>
      </w:r>
    </w:p>
    <w:p w:rsidR="00000000" w:rsidRDefault="0039134F">
      <w:pPr>
        <w:jc w:val="both"/>
        <w:divId w:val="341779794"/>
        <w:rPr>
          <w:rFonts w:eastAsia="Times New Roman"/>
        </w:rPr>
      </w:pPr>
      <w:r>
        <w:rPr>
          <w:rFonts w:eastAsia="Times New Roman"/>
          <w:color w:val="000000"/>
          <w:sz w:val="20"/>
          <w:szCs w:val="20"/>
        </w:rPr>
        <w:t>Costs of products as a percentage of net pr</w:t>
      </w:r>
      <w:r>
        <w:rPr>
          <w:rFonts w:eastAsia="Times New Roman"/>
          <w:color w:val="000000"/>
          <w:sz w:val="20"/>
          <w:szCs w:val="20"/>
        </w:rPr>
        <w:t>oduct sales decreased from 40.6% for the three months ended September 28, 2019 to 36.8% for the three months ended September 26, 2020, primarily driven</w:t>
      </w:r>
      <w:r>
        <w:rPr>
          <w:rFonts w:eastAsia="Times New Roman"/>
          <w:color w:val="FF0000"/>
          <w:sz w:val="20"/>
          <w:szCs w:val="20"/>
        </w:rPr>
        <w:t xml:space="preserve"> </w:t>
      </w:r>
      <w:r>
        <w:rPr>
          <w:rFonts w:eastAsia="Times New Roman"/>
          <w:color w:val="000000"/>
          <w:sz w:val="20"/>
          <w:szCs w:val="20"/>
        </w:rPr>
        <w:t>by increased eyeglass mix and higher eyeglass margin.</w:t>
      </w:r>
    </w:p>
    <w:p w:rsidR="00000000" w:rsidRDefault="0039134F">
      <w:pPr>
        <w:jc w:val="both"/>
        <w:divId w:val="1193689736"/>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w:t>
      </w:r>
      <w:r>
        <w:rPr>
          <w:rFonts w:eastAsia="Times New Roman"/>
          <w:color w:val="000000"/>
          <w:sz w:val="20"/>
          <w:szCs w:val="20"/>
        </w:rPr>
        <w:t>roducts as a percentage of net product sales decreased from 28.7% for the three months ended September 28, 2019 to 26.9% for the three months ended September 26, 2020. The decrease was primarily driven by increased eyeglass mix and higher eyeglass margin i</w:t>
      </w:r>
      <w:r>
        <w:rPr>
          <w:rFonts w:eastAsia="Times New Roman"/>
          <w:color w:val="000000"/>
          <w:sz w:val="20"/>
          <w:szCs w:val="20"/>
        </w:rPr>
        <w:t>n the three months ended September 26, 2020.</w:t>
      </w:r>
    </w:p>
    <w:p w:rsidR="00000000" w:rsidRDefault="0039134F">
      <w:pPr>
        <w:jc w:val="both"/>
        <w:divId w:val="1769279108"/>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increased from 46.3% for the three months ended September 28, 2019 to 46.9% for the three months ended September 26, 2020.</w:t>
      </w:r>
      <w:r>
        <w:rPr>
          <w:rFonts w:eastAsia="Times New Roman"/>
          <w:color w:val="000000"/>
          <w:sz w:val="20"/>
          <w:szCs w:val="20"/>
        </w:rPr>
        <w:t xml:space="preserve"> The increase was primarily driven by a higher mix of non-managed care customer transactions versus managed care customer transactions. Legacy segment managed care net product revenue is recorded in net product sales while revenue associated with servicing</w:t>
      </w:r>
      <w:r>
        <w:rPr>
          <w:rFonts w:eastAsia="Times New Roman"/>
          <w:color w:val="000000"/>
          <w:sz w:val="20"/>
          <w:szCs w:val="20"/>
        </w:rPr>
        <w:t xml:space="preserve"> non-managed care customers is recorded in net sales of services and plans. Eyeglass and contact lens product costs for both managed care and non-managed care net revenue are recorded in costs of products. Decreases in managed care mix increase costs of pr</w:t>
      </w:r>
      <w:r>
        <w:rPr>
          <w:rFonts w:eastAsia="Times New Roman"/>
          <w:color w:val="000000"/>
          <w:sz w:val="20"/>
          <w:szCs w:val="20"/>
        </w:rPr>
        <w:t>oducts as a percentage of net product sales and have a corresponding positive impact on costs of services as a percentage of net sales of services and plans in our Legacy segment.</w:t>
      </w:r>
    </w:p>
    <w:p w:rsidR="00000000" w:rsidRDefault="0039134F">
      <w:pPr>
        <w:jc w:val="both"/>
        <w:divId w:val="1919168452"/>
        <w:rPr>
          <w:rFonts w:eastAsia="Times New Roman"/>
        </w:rPr>
      </w:pPr>
      <w:r>
        <w:rPr>
          <w:rFonts w:eastAsia="Times New Roman"/>
          <w:color w:val="000000"/>
          <w:sz w:val="20"/>
          <w:szCs w:val="20"/>
        </w:rPr>
        <w:t>Costs of services and plans as a percentage of net sales of services and pla</w:t>
      </w:r>
      <w:r>
        <w:rPr>
          <w:rFonts w:eastAsia="Times New Roman"/>
          <w:color w:val="000000"/>
          <w:sz w:val="20"/>
          <w:szCs w:val="20"/>
        </w:rPr>
        <w:t>ns decreased from 78.8% for the three months ended September 28, 2019 to 76.2% for the three months ended September 26, 2020. The decrease was primarily driven by higher eye exam sales.</w:t>
      </w:r>
    </w:p>
    <w:p w:rsidR="00000000" w:rsidRDefault="0039134F">
      <w:pPr>
        <w:jc w:val="both"/>
        <w:divId w:val="2135518905"/>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w:t>
      </w:r>
      <w:r>
        <w:rPr>
          <w:rFonts w:eastAsia="Times New Roman"/>
          <w:color w:val="000000"/>
          <w:sz w:val="20"/>
          <w:szCs w:val="20"/>
        </w:rPr>
        <w:t>d plans as a percentage of net sales of services and plans in the Owned &amp; Host segment decreased from 84.5% for the three months ended September 28, 2019 to 76.0% for the three months ended September 26, 2020. The decrease was driven primarily by higher ey</w:t>
      </w:r>
      <w:r>
        <w:rPr>
          <w:rFonts w:eastAsia="Times New Roman"/>
          <w:color w:val="000000"/>
          <w:sz w:val="20"/>
          <w:szCs w:val="20"/>
        </w:rPr>
        <w:t>e exam sales and lower growth in optometrist costs.</w:t>
      </w:r>
    </w:p>
    <w:p w:rsidR="00000000" w:rsidRDefault="0039134F">
      <w:pPr>
        <w:jc w:val="center"/>
        <w:divId w:val="1494102394"/>
        <w:rPr>
          <w:rFonts w:eastAsia="Times New Roman"/>
        </w:rPr>
      </w:pPr>
      <w:r>
        <w:rPr>
          <w:rFonts w:eastAsia="Times New Roman"/>
          <w:color w:val="000000"/>
          <w:sz w:val="20"/>
          <w:szCs w:val="20"/>
        </w:rPr>
        <w:t>39</w:t>
      </w:r>
    </w:p>
    <w:p w:rsidR="00000000" w:rsidRDefault="0039134F">
      <w:pPr>
        <w:rPr>
          <w:rFonts w:eastAsia="Times New Roman"/>
        </w:rPr>
      </w:pPr>
      <w:r>
        <w:rPr>
          <w:rFonts w:eastAsia="Times New Roman"/>
        </w:rPr>
        <w:pict>
          <v:rect id="_x0000_i1063" style="width:0;height:1.5pt" o:hralign="center" o:hrstd="t" o:hr="t" fillcolor="#a0a0a0" stroked="f"/>
        </w:pict>
      </w:r>
    </w:p>
    <w:p w:rsidR="00000000" w:rsidRDefault="0039134F">
      <w:pPr>
        <w:divId w:val="144391683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257204624"/>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 xml:space="preserve">Costs of services and plans as a percentage </w:t>
      </w:r>
      <w:r>
        <w:rPr>
          <w:rFonts w:eastAsia="Times New Roman"/>
          <w:color w:val="000000"/>
          <w:sz w:val="20"/>
          <w:szCs w:val="20"/>
        </w:rPr>
        <w:t xml:space="preserve">of net sales of services and plans in the Legacy segment decreased from 46.2% for the three months ended September 28, 2019 to 39.8% for the three months ended September 26, 2020. The decrease was driven primarily by higher management fees from our Legacy </w:t>
      </w:r>
      <w:r>
        <w:rPr>
          <w:rFonts w:eastAsia="Times New Roman"/>
          <w:color w:val="000000"/>
          <w:sz w:val="20"/>
          <w:szCs w:val="20"/>
        </w:rPr>
        <w:t>partner as well as improved optometrist coverage.</w:t>
      </w:r>
    </w:p>
    <w:p w:rsidR="00000000" w:rsidRDefault="0039134F">
      <w:pPr>
        <w:jc w:val="both"/>
        <w:divId w:val="531455700"/>
        <w:rPr>
          <w:rFonts w:eastAsia="Times New Roman"/>
        </w:rPr>
      </w:pPr>
      <w:r>
        <w:rPr>
          <w:rFonts w:eastAsia="Times New Roman"/>
          <w:i/>
          <w:iCs/>
          <w:color w:val="000000"/>
          <w:sz w:val="20"/>
          <w:szCs w:val="20"/>
        </w:rPr>
        <w:t>Selling, general and administrative</w:t>
      </w:r>
    </w:p>
    <w:p w:rsidR="00000000" w:rsidRDefault="0039134F">
      <w:pPr>
        <w:jc w:val="both"/>
        <w:divId w:val="88893291"/>
        <w:rPr>
          <w:rFonts w:eastAsia="Times New Roman"/>
        </w:rPr>
      </w:pPr>
      <w:r>
        <w:rPr>
          <w:rFonts w:eastAsia="Times New Roman"/>
          <w:color w:val="000000"/>
          <w:sz w:val="20"/>
          <w:szCs w:val="20"/>
        </w:rPr>
        <w:t>SG&amp;A of $190.5 million for the three months ended September 26, 2020 increased $0.2 million, or 0.1%, from the three months ended September 28, 2019. As a percentage of n</w:t>
      </w:r>
      <w:r>
        <w:rPr>
          <w:rFonts w:eastAsia="Times New Roman"/>
          <w:color w:val="000000"/>
          <w:sz w:val="20"/>
          <w:szCs w:val="20"/>
        </w:rPr>
        <w:t>et revenue, SG&amp;A decreased from 44.1% for the three months ended September 28, 2019 to 39.3% for the three months ended September 26, 2020. The decrease in SG&amp;A as a percentage of net revenue was primarily driven by lower advertising and stock-based compen</w:t>
      </w:r>
      <w:r>
        <w:rPr>
          <w:rFonts w:eastAsia="Times New Roman"/>
          <w:color w:val="000000"/>
          <w:sz w:val="20"/>
          <w:szCs w:val="20"/>
        </w:rPr>
        <w:t>sation expense. SG&amp;A for the three months ended September 26, 2020 includes $4.7 million of incremental costs directly related to adapting the Company’s operations during the COVID-19 pandemic; these costs were not reflected as adjustments for the Company’</w:t>
      </w:r>
      <w:r>
        <w:rPr>
          <w:rFonts w:eastAsia="Times New Roman"/>
          <w:color w:val="000000"/>
          <w:sz w:val="20"/>
          <w:szCs w:val="20"/>
        </w:rPr>
        <w:t>s presentation of non-GAAP measures below.</w:t>
      </w:r>
    </w:p>
    <w:p w:rsidR="00000000" w:rsidRDefault="0039134F">
      <w:pPr>
        <w:jc w:val="both"/>
        <w:divId w:val="372655373"/>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decreased from 38.4% for the three months ended September 28, 2019 to 32.3% for the three months ended September 26, 2020, driven primarily by lower advertisi</w:t>
      </w:r>
      <w:r>
        <w:rPr>
          <w:rFonts w:eastAsia="Times New Roman"/>
          <w:color w:val="000000"/>
          <w:sz w:val="20"/>
          <w:szCs w:val="20"/>
        </w:rPr>
        <w:t>ng costs and payroll and occupancy leverage.</w:t>
      </w:r>
    </w:p>
    <w:p w:rsidR="00000000" w:rsidRDefault="0039134F">
      <w:pPr>
        <w:jc w:val="both"/>
        <w:divId w:val="750203693"/>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decreased from 35.4% for the three months ended September 28, 2019 to 32.5% for the three months ended September 26, 2020, driven primarily by lower adver</w:t>
      </w:r>
      <w:r>
        <w:rPr>
          <w:rFonts w:eastAsia="Times New Roman"/>
          <w:color w:val="000000"/>
          <w:sz w:val="20"/>
          <w:szCs w:val="20"/>
        </w:rPr>
        <w:t>tising costs.</w:t>
      </w:r>
    </w:p>
    <w:p w:rsidR="00000000" w:rsidRDefault="0039134F">
      <w:pPr>
        <w:jc w:val="both"/>
        <w:divId w:val="1306467104"/>
        <w:rPr>
          <w:rFonts w:eastAsia="Times New Roman"/>
        </w:rPr>
      </w:pPr>
      <w:r>
        <w:rPr>
          <w:rFonts w:eastAsia="Times New Roman"/>
          <w:i/>
          <w:iCs/>
          <w:color w:val="000000"/>
          <w:sz w:val="20"/>
          <w:szCs w:val="20"/>
        </w:rPr>
        <w:t>Depreciation and amortization</w:t>
      </w:r>
    </w:p>
    <w:p w:rsidR="00000000" w:rsidRDefault="0039134F">
      <w:pPr>
        <w:jc w:val="both"/>
        <w:divId w:val="656688796"/>
        <w:rPr>
          <w:rFonts w:eastAsia="Times New Roman"/>
        </w:rPr>
      </w:pPr>
      <w:r>
        <w:rPr>
          <w:rFonts w:eastAsia="Times New Roman"/>
          <w:color w:val="000000"/>
          <w:sz w:val="20"/>
          <w:szCs w:val="20"/>
        </w:rPr>
        <w:t>Depreciation and amortization expense of $22.2 million for the three months ended September 26, 2020 decreased $0.1 million, or 0.4%, from $22.3 million for the three months ended September 28, 2019. Our property</w:t>
      </w:r>
      <w:r>
        <w:rPr>
          <w:rFonts w:eastAsia="Times New Roman"/>
          <w:color w:val="000000"/>
          <w:sz w:val="20"/>
          <w:szCs w:val="20"/>
        </w:rPr>
        <w:t xml:space="preserve"> and equipment balance, net, decreased $9.5 million, or 2.8%, during the three months ended September 26, 2020, reflective of $17.3 million in purchases of property and equipment less $20.4 million in depreciation expense and $6.4 million in impairment and</w:t>
      </w:r>
      <w:r>
        <w:rPr>
          <w:rFonts w:eastAsia="Times New Roman"/>
          <w:color w:val="000000"/>
          <w:sz w:val="20"/>
          <w:szCs w:val="20"/>
        </w:rPr>
        <w:t xml:space="preserve"> other adjustments. </w:t>
      </w:r>
    </w:p>
    <w:p w:rsidR="00000000" w:rsidRDefault="0039134F">
      <w:pPr>
        <w:jc w:val="both"/>
        <w:divId w:val="2050448061"/>
        <w:rPr>
          <w:rFonts w:eastAsia="Times New Roman"/>
        </w:rPr>
      </w:pPr>
      <w:r>
        <w:rPr>
          <w:rFonts w:eastAsia="Times New Roman"/>
          <w:i/>
          <w:iCs/>
          <w:color w:val="000000"/>
          <w:sz w:val="20"/>
          <w:szCs w:val="20"/>
        </w:rPr>
        <w:t>Asset Impairment</w:t>
      </w:r>
    </w:p>
    <w:p w:rsidR="00000000" w:rsidRDefault="0039134F">
      <w:pPr>
        <w:jc w:val="both"/>
        <w:divId w:val="975531010"/>
        <w:rPr>
          <w:rFonts w:eastAsia="Times New Roman"/>
        </w:rPr>
      </w:pPr>
      <w:r>
        <w:rPr>
          <w:rFonts w:eastAsia="Times New Roman"/>
          <w:color w:val="000000"/>
          <w:sz w:val="20"/>
          <w:szCs w:val="20"/>
        </w:rPr>
        <w:t>We recognized $7.2 million for impairment primarily of tangible long-lived assets and ROU assets associated with our retail stores during the three months ended September 26, 2020, compared to $3.5 million recognized d</w:t>
      </w:r>
      <w:r>
        <w:rPr>
          <w:rFonts w:eastAsia="Times New Roman"/>
          <w:color w:val="000000"/>
          <w:sz w:val="20"/>
          <w:szCs w:val="20"/>
        </w:rPr>
        <w:t>uring the three months ended September 28, 2019. The impairment charges were primarily related to our Owned &amp; Host segment, caused by lower than projected customer sales volume in certain stores, and were determined using entity-specific assumptions relate</w:t>
      </w:r>
      <w:r>
        <w:rPr>
          <w:rFonts w:eastAsia="Times New Roman"/>
          <w:color w:val="000000"/>
          <w:sz w:val="20"/>
          <w:szCs w:val="20"/>
        </w:rPr>
        <w:t>d to our anticipated use of store assets. W</w:t>
      </w:r>
      <w:r>
        <w:rPr>
          <w:rFonts w:eastAsia="Times New Roman"/>
          <w:color w:val="000000"/>
          <w:sz w:val="20"/>
          <w:szCs w:val="20"/>
          <w:shd w:val="clear" w:color="auto" w:fill="FFFFFF"/>
        </w:rPr>
        <w:t>e considered multiple factors including, but not limited to: forecasted scenarios related to store performance and likelihood that these scenarios would be ultimately realized; the historical performance of the st</w:t>
      </w:r>
      <w:r>
        <w:rPr>
          <w:rFonts w:eastAsia="Times New Roman"/>
          <w:color w:val="000000"/>
          <w:sz w:val="20"/>
          <w:szCs w:val="20"/>
          <w:shd w:val="clear" w:color="auto" w:fill="FFFFFF"/>
        </w:rPr>
        <w:t>ores before the temporary store closures in response to the COVID-19 pandemic; the effect of store closures and uncertainty in store revenues over the remaining useful life of the asset group as a result of the COVID-19 pandemic; and the remaining useful l</w:t>
      </w:r>
      <w:r>
        <w:rPr>
          <w:rFonts w:eastAsia="Times New Roman"/>
          <w:color w:val="000000"/>
          <w:sz w:val="20"/>
          <w:szCs w:val="20"/>
          <w:shd w:val="clear" w:color="auto" w:fill="FFFFFF"/>
        </w:rPr>
        <w:t>ives of the assets. A</w:t>
      </w:r>
      <w:r>
        <w:rPr>
          <w:rFonts w:eastAsia="Times New Roman"/>
          <w:color w:val="000000"/>
          <w:sz w:val="20"/>
          <w:szCs w:val="20"/>
        </w:rPr>
        <w:t>sset impairment expenses were recognized in Corporate/Other.</w:t>
      </w:r>
    </w:p>
    <w:p w:rsidR="00000000" w:rsidRDefault="0039134F">
      <w:pPr>
        <w:jc w:val="both"/>
        <w:divId w:val="912202487"/>
        <w:rPr>
          <w:rFonts w:eastAsia="Times New Roman"/>
        </w:rPr>
      </w:pPr>
      <w:r>
        <w:rPr>
          <w:rFonts w:eastAsia="Times New Roman"/>
          <w:i/>
          <w:iCs/>
          <w:color w:val="000000"/>
          <w:sz w:val="20"/>
          <w:szCs w:val="20"/>
        </w:rPr>
        <w:t xml:space="preserve">Interest expense, net </w:t>
      </w:r>
    </w:p>
    <w:p w:rsidR="00000000" w:rsidRDefault="0039134F">
      <w:pPr>
        <w:jc w:val="both"/>
        <w:divId w:val="244652681"/>
        <w:rPr>
          <w:rFonts w:eastAsia="Times New Roman"/>
        </w:rPr>
      </w:pPr>
      <w:r>
        <w:rPr>
          <w:rFonts w:eastAsia="Times New Roman"/>
          <w:color w:val="000000"/>
          <w:sz w:val="20"/>
          <w:szCs w:val="20"/>
        </w:rPr>
        <w:t>Interest expense, net, of $12.5 million for the three months ended September 26, 2020 increased $4.6 million, or 58.5%, from $7.9 million for the three</w:t>
      </w:r>
      <w:r>
        <w:rPr>
          <w:rFonts w:eastAsia="Times New Roman"/>
          <w:color w:val="000000"/>
          <w:sz w:val="20"/>
          <w:szCs w:val="20"/>
        </w:rPr>
        <w:t xml:space="preserve"> months ended September 28, 2019. The increase was primarily driven by interest payments and amortization of debt discounts related to the 2025 Notes of $6.8 million that were partially offset by a reduction in our term loan and revolving credit facility u</w:t>
      </w:r>
      <w:r>
        <w:rPr>
          <w:rFonts w:eastAsia="Times New Roman"/>
          <w:color w:val="000000"/>
          <w:sz w:val="20"/>
          <w:szCs w:val="20"/>
        </w:rPr>
        <w:t>tilization.</w:t>
      </w:r>
    </w:p>
    <w:p w:rsidR="00000000" w:rsidRDefault="0039134F">
      <w:pPr>
        <w:jc w:val="both"/>
        <w:divId w:val="2022051698"/>
        <w:rPr>
          <w:rFonts w:eastAsia="Times New Roman"/>
        </w:rPr>
      </w:pPr>
      <w:r>
        <w:rPr>
          <w:rFonts w:eastAsia="Times New Roman"/>
          <w:i/>
          <w:iCs/>
          <w:color w:val="000000"/>
          <w:sz w:val="20"/>
          <w:szCs w:val="20"/>
        </w:rPr>
        <w:t>Income tax provision</w:t>
      </w:r>
    </w:p>
    <w:p w:rsidR="00000000" w:rsidRDefault="0039134F">
      <w:pPr>
        <w:jc w:val="both"/>
        <w:divId w:val="29647862"/>
        <w:rPr>
          <w:rFonts w:eastAsia="Times New Roman"/>
        </w:rPr>
      </w:pPr>
      <w:r>
        <w:rPr>
          <w:rFonts w:eastAsia="Times New Roman"/>
          <w:color w:val="000000"/>
          <w:sz w:val="20"/>
          <w:szCs w:val="20"/>
          <w:shd w:val="clear" w:color="auto" w:fill="FFFFFF"/>
        </w:rPr>
        <w:t xml:space="preserve">Our income tax expense for the three </w:t>
      </w:r>
      <w:r>
        <w:rPr>
          <w:rFonts w:eastAsia="Times New Roman"/>
          <w:color w:val="000000"/>
          <w:sz w:val="20"/>
          <w:szCs w:val="20"/>
        </w:rPr>
        <w:t>months ended September 26, 2020 reflected our statutory federal and state rate of 25.5%, offset by a discrete benefit of $3.0 million associated primarily with the exercise of stock opti</w:t>
      </w:r>
      <w:r>
        <w:rPr>
          <w:rFonts w:eastAsia="Times New Roman"/>
          <w:color w:val="000000"/>
          <w:sz w:val="20"/>
          <w:szCs w:val="20"/>
        </w:rPr>
        <w:t>ons. In comparison, the income tax provision associated with the three months ended September 28, 2019 reflected income tax expense at our statutory federal and state rate of 25.6% and was reduced by a $6.3 million income tax benefit resulting from stock o</w:t>
      </w:r>
      <w:r>
        <w:rPr>
          <w:rFonts w:eastAsia="Times New Roman"/>
          <w:color w:val="000000"/>
          <w:sz w:val="20"/>
          <w:szCs w:val="20"/>
        </w:rPr>
        <w:t>ption exercises.</w:t>
      </w:r>
    </w:p>
    <w:p w:rsidR="00000000" w:rsidRDefault="0039134F">
      <w:pPr>
        <w:jc w:val="center"/>
        <w:divId w:val="13188032"/>
        <w:rPr>
          <w:rFonts w:eastAsia="Times New Roman"/>
        </w:rPr>
      </w:pPr>
      <w:r>
        <w:rPr>
          <w:rFonts w:eastAsia="Times New Roman"/>
          <w:color w:val="000000"/>
          <w:sz w:val="20"/>
          <w:szCs w:val="20"/>
        </w:rPr>
        <w:t>40</w:t>
      </w:r>
    </w:p>
    <w:p w:rsidR="00000000" w:rsidRDefault="0039134F">
      <w:pPr>
        <w:rPr>
          <w:rFonts w:eastAsia="Times New Roman"/>
        </w:rPr>
      </w:pPr>
      <w:r>
        <w:rPr>
          <w:rFonts w:eastAsia="Times New Roman"/>
        </w:rPr>
        <w:pict>
          <v:rect id="_x0000_i1064" style="width:0;height:1.5pt" o:hralign="center" o:hrstd="t" o:hr="t" fillcolor="#a0a0a0" stroked="f"/>
        </w:pict>
      </w:r>
    </w:p>
    <w:p w:rsidR="00000000" w:rsidRDefault="0039134F">
      <w:pPr>
        <w:divId w:val="127671187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480682388"/>
        <w:rPr>
          <w:rFonts w:eastAsia="Times New Roman"/>
        </w:rPr>
      </w:pPr>
      <w:r>
        <w:rPr>
          <w:rFonts w:eastAsia="Times New Roman"/>
          <w:b/>
          <w:bCs/>
          <w:color w:val="000000"/>
          <w:sz w:val="20"/>
          <w:szCs w:val="20"/>
        </w:rPr>
        <w:t>Nine Months Ended September 26, 2020 compared to Nine Months Ended September 28, 2019</w:t>
      </w:r>
    </w:p>
    <w:p w:rsidR="00000000" w:rsidRDefault="0039134F">
      <w:pPr>
        <w:jc w:val="both"/>
        <w:divId w:val="702899667"/>
        <w:rPr>
          <w:rFonts w:eastAsia="Times New Roman"/>
        </w:rPr>
      </w:pPr>
      <w:r>
        <w:rPr>
          <w:rFonts w:eastAsia="Times New Roman"/>
          <w:color w:val="000000"/>
          <w:sz w:val="20"/>
          <w:szCs w:val="20"/>
          <w:shd w:val="clear" w:color="auto" w:fill="FFFFFF"/>
        </w:rPr>
        <w:t>As a result of the COVID-19 pandemic, our retail stores closed to the public beginning on March 19, 2020. We began reopening our stores to the public on April 27, 2020, a</w:t>
      </w:r>
      <w:r>
        <w:rPr>
          <w:rFonts w:eastAsia="Times New Roman"/>
          <w:color w:val="000000"/>
          <w:sz w:val="20"/>
          <w:szCs w:val="20"/>
          <w:shd w:val="clear" w:color="auto" w:fill="FFFFFF"/>
        </w:rPr>
        <w:t>nd on June 8, 2020, we announced the successful completion of the reopening process.</w:t>
      </w:r>
    </w:p>
    <w:p w:rsidR="00000000" w:rsidRDefault="0039134F">
      <w:pPr>
        <w:jc w:val="both"/>
        <w:divId w:val="98069500"/>
        <w:rPr>
          <w:rFonts w:eastAsia="Times New Roman"/>
        </w:rPr>
      </w:pPr>
      <w:r>
        <w:rPr>
          <w:rFonts w:eastAsia="Times New Roman"/>
          <w:i/>
          <w:iCs/>
          <w:color w:val="000000"/>
          <w:sz w:val="20"/>
          <w:szCs w:val="20"/>
        </w:rPr>
        <w:t>Net revenue</w:t>
      </w:r>
    </w:p>
    <w:p w:rsidR="00000000" w:rsidRDefault="0039134F">
      <w:pPr>
        <w:jc w:val="both"/>
        <w:divId w:val="1205097310"/>
        <w:rPr>
          <w:rFonts w:eastAsia="Times New Roman"/>
        </w:rPr>
      </w:pPr>
      <w:r>
        <w:rPr>
          <w:rFonts w:eastAsia="Times New Roman"/>
          <w:color w:val="000000"/>
          <w:sz w:val="20"/>
          <w:szCs w:val="20"/>
        </w:rPr>
        <w:t xml:space="preserve">The following presents, by segment and by brand, comparable store sales growth, stores open at the end of the period and net revenue for the nine months ended </w:t>
      </w:r>
      <w:r>
        <w:rPr>
          <w:rFonts w:eastAsia="Times New Roman"/>
          <w:color w:val="000000"/>
          <w:sz w:val="20"/>
          <w:szCs w:val="20"/>
        </w:rPr>
        <w:t>September 26, 2020 compared to the nine months ended September 28,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215"/>
        <w:gridCol w:w="37"/>
        <w:gridCol w:w="36"/>
        <w:gridCol w:w="36"/>
        <w:gridCol w:w="36"/>
        <w:gridCol w:w="80"/>
        <w:gridCol w:w="690"/>
        <w:gridCol w:w="164"/>
        <w:gridCol w:w="36"/>
        <w:gridCol w:w="36"/>
        <w:gridCol w:w="36"/>
        <w:gridCol w:w="79"/>
        <w:gridCol w:w="690"/>
        <w:gridCol w:w="164"/>
        <w:gridCol w:w="36"/>
        <w:gridCol w:w="36"/>
        <w:gridCol w:w="36"/>
        <w:gridCol w:w="86"/>
        <w:gridCol w:w="684"/>
        <w:gridCol w:w="38"/>
        <w:gridCol w:w="37"/>
        <w:gridCol w:w="37"/>
        <w:gridCol w:w="36"/>
        <w:gridCol w:w="82"/>
        <w:gridCol w:w="688"/>
        <w:gridCol w:w="37"/>
        <w:gridCol w:w="36"/>
        <w:gridCol w:w="36"/>
        <w:gridCol w:w="36"/>
        <w:gridCol w:w="105"/>
        <w:gridCol w:w="723"/>
        <w:gridCol w:w="36"/>
        <w:gridCol w:w="56"/>
        <w:gridCol w:w="389"/>
        <w:gridCol w:w="162"/>
        <w:gridCol w:w="36"/>
        <w:gridCol w:w="36"/>
        <w:gridCol w:w="36"/>
        <w:gridCol w:w="105"/>
        <w:gridCol w:w="723"/>
        <w:gridCol w:w="36"/>
        <w:gridCol w:w="54"/>
        <w:gridCol w:w="391"/>
        <w:gridCol w:w="162"/>
      </w:tblGrid>
      <w:tr w:rsidR="00000000">
        <w:trPr>
          <w:divId w:val="596408117"/>
          <w:jc w:val="center"/>
        </w:trPr>
        <w:tc>
          <w:tcPr>
            <w:tcW w:w="50" w:type="pct"/>
            <w:vAlign w:val="center"/>
            <w:hideMark/>
          </w:tcPr>
          <w:p w:rsidR="00000000" w:rsidRDefault="0039134F">
            <w:pPr>
              <w:jc w:val="both"/>
              <w:rPr>
                <w:rFonts w:eastAsia="Times New Roman"/>
              </w:rPr>
            </w:pPr>
          </w:p>
        </w:tc>
        <w:tc>
          <w:tcPr>
            <w:tcW w:w="107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3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3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2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5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596408117"/>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596408117"/>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28, 2019</w:t>
            </w:r>
          </w:p>
        </w:tc>
      </w:tr>
      <w:tr w:rsidR="00000000">
        <w:trPr>
          <w:divId w:val="59640811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59640811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6.5 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769 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718 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805,081 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66.3 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851,759 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64.4 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(8.6)</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5.7 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119 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127,680 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138,451 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(20.2)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(0.7)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14,790 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18,540 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(24.6)</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(6.1)</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7,780 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10,324 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955,331 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78.6 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1,019,074 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(15.4)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226 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102,102 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8.4 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123,197 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9.3 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174,950 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14.4 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189,401 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14.3 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(17,319)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(9,104)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(0.7)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(11.7)</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5.5 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1,215,064 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1,322,568 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r>
      <w:tr w:rsidR="00000000">
        <w:trPr>
          <w:divId w:val="596408117"/>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829443253"/>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(11.1)</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17"/>
                <w:szCs w:val="17"/>
              </w:rPr>
              <w:t>5.6 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11.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rsidR="00000000" w:rsidRDefault="0039134F">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39134F">
      <w:pPr>
        <w:ind w:hanging="360"/>
        <w:jc w:val="both"/>
        <w:divId w:val="1216938905"/>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an increase of 0.5% and an increase of 0.3% from total comparable store sales growth based on consolidated net revenue for the nine months ended September 26, 2020 and September 28, 2019, respectively</w:t>
      </w:r>
      <w:r>
        <w:rPr>
          <w:rFonts w:eastAsia="Times New Roman"/>
          <w:color w:val="000000"/>
          <w:sz w:val="16"/>
          <w:szCs w:val="16"/>
        </w:rPr>
        <w:t>, and (ii) Adjusted Comparable Store Sales Growth includes retail sales to the legacy partner’s customers (rather than the revenues recognized consistent with the management &amp; services agreement with the legacy partner), resulting in an increase of 0.1% an</w:t>
      </w:r>
      <w:r>
        <w:rPr>
          <w:rFonts w:eastAsia="Times New Roman"/>
          <w:color w:val="000000"/>
          <w:sz w:val="16"/>
          <w:szCs w:val="16"/>
        </w:rPr>
        <w:t>d a decrease of 0.2% from total comparable store sales growth based on consolidated net revenue for the nine months ended September 26, 2020 and September 28, 2019, respectively.</w:t>
      </w:r>
    </w:p>
    <w:p w:rsidR="00000000" w:rsidRDefault="0039134F">
      <w:pPr>
        <w:jc w:val="both"/>
        <w:divId w:val="527762543"/>
        <w:rPr>
          <w:rFonts w:eastAsia="Times New Roman"/>
        </w:rPr>
      </w:pPr>
      <w:r>
        <w:rPr>
          <w:rFonts w:eastAsia="Times New Roman"/>
          <w:color w:val="000000"/>
          <w:sz w:val="20"/>
          <w:szCs w:val="20"/>
        </w:rPr>
        <w:t>Total net revenue of $1,215.1 million for the nine months ended September 26,</w:t>
      </w:r>
      <w:r>
        <w:rPr>
          <w:rFonts w:eastAsia="Times New Roman"/>
          <w:color w:val="000000"/>
          <w:sz w:val="20"/>
          <w:szCs w:val="20"/>
        </w:rPr>
        <w:t xml:space="preserve"> 2020 decreased $107.5 million, or 8.1%, from $1,322.6 million for the nine months ended September 28, 2019. This decrease was driven by the closure of our stores to the public for a portion of the nine months ended September 26, 2020 and was partially off</w:t>
      </w:r>
      <w:r>
        <w:rPr>
          <w:rFonts w:eastAsia="Times New Roman"/>
          <w:color w:val="000000"/>
          <w:sz w:val="20"/>
          <w:szCs w:val="20"/>
        </w:rPr>
        <w:t>set by new store sales. Total net revenue was also negatively impacted by changes in unearned revenue.</w:t>
      </w:r>
    </w:p>
    <w:p w:rsidR="00000000" w:rsidRDefault="0039134F">
      <w:pPr>
        <w:jc w:val="both"/>
        <w:divId w:val="225647849"/>
        <w:rPr>
          <w:rFonts w:eastAsia="Times New Roman"/>
        </w:rPr>
      </w:pPr>
      <w:r>
        <w:rPr>
          <w:rFonts w:eastAsia="Times New Roman"/>
          <w:color w:val="000000"/>
          <w:sz w:val="20"/>
          <w:szCs w:val="20"/>
        </w:rPr>
        <w:t xml:space="preserve">In the nine months ended September 26, 2020, we opened 50 new America’s Best stores and two Eyeglass World stores, and closed six America’s Best stores; </w:t>
      </w:r>
      <w:r>
        <w:rPr>
          <w:rFonts w:eastAsia="Times New Roman"/>
          <w:color w:val="000000"/>
          <w:sz w:val="20"/>
          <w:szCs w:val="20"/>
        </w:rPr>
        <w:t>we also transitioned five additional Legacy stores to our management and closed one Legacy store as a result of our Legacy partner’s decision to cease its overall operations at the location. Overall, store count grew 4.9% from September 28, 2019 to Septemb</w:t>
      </w:r>
      <w:r>
        <w:rPr>
          <w:rFonts w:eastAsia="Times New Roman"/>
          <w:color w:val="000000"/>
          <w:sz w:val="20"/>
          <w:szCs w:val="20"/>
        </w:rPr>
        <w:t>er 26, 2020 (51, one and four net new America’s Best, Eyeglass World and Legacy stores, respectively, were added during the same period).</w:t>
      </w:r>
    </w:p>
    <w:p w:rsidR="00000000" w:rsidRDefault="0039134F">
      <w:pPr>
        <w:jc w:val="both"/>
        <w:divId w:val="755395598"/>
        <w:rPr>
          <w:rFonts w:eastAsia="Times New Roman"/>
        </w:rPr>
      </w:pPr>
      <w:r>
        <w:rPr>
          <w:rFonts w:eastAsia="Times New Roman"/>
          <w:color w:val="000000"/>
          <w:sz w:val="20"/>
          <w:szCs w:val="20"/>
        </w:rPr>
        <w:t xml:space="preserve">Comparable store sales growth and Adjusted Comparable Store Sales Growth for the nine months ended September 26, 2020 </w:t>
      </w:r>
      <w:r>
        <w:rPr>
          <w:rFonts w:eastAsia="Times New Roman"/>
          <w:color w:val="000000"/>
          <w:sz w:val="20"/>
          <w:szCs w:val="20"/>
        </w:rPr>
        <w:t>were (11.7)% and (11.1)%, respectively. The decreases in comparable store sales growth and Adjusted Comparable Store Sales Growth were primarily driven by the temporary closure of our stores to the public in response to the COVID-19 pandemic.</w:t>
      </w:r>
    </w:p>
    <w:p w:rsidR="00000000" w:rsidRDefault="0039134F">
      <w:pPr>
        <w:jc w:val="center"/>
        <w:divId w:val="201285569"/>
        <w:rPr>
          <w:rFonts w:eastAsia="Times New Roman"/>
        </w:rPr>
      </w:pPr>
      <w:r>
        <w:rPr>
          <w:rFonts w:eastAsia="Times New Roman"/>
          <w:color w:val="000000"/>
          <w:sz w:val="20"/>
          <w:szCs w:val="20"/>
        </w:rPr>
        <w:t>41</w:t>
      </w:r>
    </w:p>
    <w:p w:rsidR="00000000" w:rsidRDefault="0039134F">
      <w:pPr>
        <w:rPr>
          <w:rFonts w:eastAsia="Times New Roman"/>
        </w:rPr>
      </w:pPr>
      <w:r>
        <w:rPr>
          <w:rFonts w:eastAsia="Times New Roman"/>
        </w:rPr>
        <w:pict>
          <v:rect id="_x0000_i1065" style="width:0;height:1.5pt" o:hralign="center" o:hrstd="t" o:hr="t" fillcolor="#a0a0a0" stroked="f"/>
        </w:pict>
      </w:r>
    </w:p>
    <w:p w:rsidR="00000000" w:rsidRDefault="0039134F">
      <w:pPr>
        <w:divId w:val="25483077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519388931"/>
        <w:rPr>
          <w:rFonts w:eastAsia="Times New Roman"/>
        </w:rPr>
      </w:pPr>
      <w:r>
        <w:rPr>
          <w:rFonts w:eastAsia="Times New Roman"/>
          <w:color w:val="000000"/>
          <w:sz w:val="20"/>
          <w:szCs w:val="20"/>
        </w:rPr>
        <w:t>Net product sales comprised 82.8% and 82.9% of total net revenue for the nine months ended September 26, 2020 and September 28, 2019, respectively. Net pr</w:t>
      </w:r>
      <w:r>
        <w:rPr>
          <w:rFonts w:eastAsia="Times New Roman"/>
          <w:color w:val="000000"/>
          <w:sz w:val="20"/>
          <w:szCs w:val="20"/>
        </w:rPr>
        <w:t>oduct sales decreased $90.6 million, or 8.3%, in the nine months ended September 26, 2020 compared to the nine months ended September 28, 2019, primarily due to decreased eyeglass sales as a result of the temporary closure of our stores to the public in re</w:t>
      </w:r>
      <w:r>
        <w:rPr>
          <w:rFonts w:eastAsia="Times New Roman"/>
          <w:color w:val="000000"/>
          <w:sz w:val="20"/>
          <w:szCs w:val="20"/>
        </w:rPr>
        <w:t>sponse to the COVID-19 pandemic. Net sales of services and plans decreased $16.9 million, or 7.5%, primarily due to the temporary closure of our stores to the public in response to the COVID-19 pandemic.</w:t>
      </w:r>
    </w:p>
    <w:p w:rsidR="00000000" w:rsidRDefault="0039134F">
      <w:pPr>
        <w:jc w:val="both"/>
        <w:divId w:val="1418558609"/>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decrea</w:t>
      </w:r>
      <w:r>
        <w:rPr>
          <w:rFonts w:eastAsia="Times New Roman"/>
          <w:color w:val="000000"/>
          <w:sz w:val="20"/>
          <w:szCs w:val="20"/>
        </w:rPr>
        <w:t>sed $63.7 million, or 6.3%, due to the temporary closure of our stores to the public in response to the COVID-19 pandemic.</w:t>
      </w:r>
    </w:p>
    <w:p w:rsidR="00000000" w:rsidRDefault="0039134F">
      <w:pPr>
        <w:jc w:val="both"/>
        <w:divId w:val="17195459"/>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decreased $21.1 million, or 17.1%, due to the temporary closure of our stores to the public i</w:t>
      </w:r>
      <w:r>
        <w:rPr>
          <w:rFonts w:eastAsia="Times New Roman"/>
          <w:color w:val="000000"/>
          <w:sz w:val="20"/>
          <w:szCs w:val="20"/>
        </w:rPr>
        <w:t>n response to the COVID-19 pandemic.</w:t>
      </w:r>
    </w:p>
    <w:p w:rsidR="00000000" w:rsidRDefault="0039134F">
      <w:pPr>
        <w:jc w:val="both"/>
        <w:divId w:val="624311439"/>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decreased $14.5 million, or 7.6%, due to lower wholesale fulfillment, partially offset by growth in our online retail business.</w:t>
      </w:r>
    </w:p>
    <w:p w:rsidR="00000000" w:rsidRDefault="0039134F">
      <w:pPr>
        <w:jc w:val="both"/>
        <w:divId w:val="1287809241"/>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impact of reconciliations decreased net revenue by $8.2 million in the nine months ended September 26, 2020 compared to the nine months ended September 28, 2019. Reconciliations include an increase in unearned revenue of $17.1 million for the nine mont</w:t>
      </w:r>
      <w:r>
        <w:rPr>
          <w:rFonts w:eastAsia="Times New Roman"/>
          <w:color w:val="000000"/>
          <w:sz w:val="20"/>
          <w:szCs w:val="20"/>
        </w:rPr>
        <w:t>hs ended September 26, 2020 compared to an increase in unearned revenue of $2.0 million for the nine months ended September 28, 2019, and an increase in deferred revenue of $0.2 million compared to an increase of $7.1 million, for the nine months ended Sep</w:t>
      </w:r>
      <w:r>
        <w:rPr>
          <w:rFonts w:eastAsia="Times New Roman"/>
          <w:color w:val="000000"/>
          <w:sz w:val="20"/>
          <w:szCs w:val="20"/>
        </w:rPr>
        <w:t xml:space="preserve">tember 26, 2020 and September 28, 2019, respectively. The increase in unearned revenue compared to the prior period is due to an increase in the number of days between customer orders and pick up of those orders as well as stronger sales at the end of the </w:t>
      </w:r>
      <w:r>
        <w:rPr>
          <w:rFonts w:eastAsia="Times New Roman"/>
          <w:color w:val="000000"/>
          <w:sz w:val="20"/>
          <w:szCs w:val="20"/>
        </w:rPr>
        <w:t>third quarter of 2020.</w:t>
      </w:r>
    </w:p>
    <w:p w:rsidR="00000000" w:rsidRDefault="0039134F">
      <w:pPr>
        <w:jc w:val="both"/>
        <w:divId w:val="1777479352"/>
        <w:rPr>
          <w:rFonts w:eastAsia="Times New Roman"/>
        </w:rPr>
      </w:pPr>
      <w:r>
        <w:rPr>
          <w:rFonts w:eastAsia="Times New Roman"/>
          <w:i/>
          <w:iCs/>
          <w:color w:val="000000"/>
          <w:sz w:val="20"/>
          <w:szCs w:val="20"/>
        </w:rPr>
        <w:t>Costs applicable to revenue</w:t>
      </w:r>
    </w:p>
    <w:p w:rsidR="00000000" w:rsidRDefault="0039134F">
      <w:pPr>
        <w:jc w:val="both"/>
        <w:divId w:val="1749116076"/>
        <w:rPr>
          <w:rFonts w:eastAsia="Times New Roman"/>
        </w:rPr>
      </w:pPr>
      <w:r>
        <w:rPr>
          <w:rFonts w:eastAsia="Times New Roman"/>
          <w:color w:val="000000"/>
          <w:sz w:val="20"/>
          <w:szCs w:val="20"/>
        </w:rPr>
        <w:t>Costs applicable to revenue of $570.1 million for the nine months ended September 26, 2020 decreased $48.8 million, or 7.9%, from $619.0 million for the nine months ended September 28, 2019. As a percentag</w:t>
      </w:r>
      <w:r>
        <w:rPr>
          <w:rFonts w:eastAsia="Times New Roman"/>
          <w:color w:val="000000"/>
          <w:sz w:val="20"/>
          <w:szCs w:val="20"/>
        </w:rPr>
        <w:t>e of net revenue, costs applicable to revenue increased from 46.8% for the nine months ended September 28, 2019 to 46.9% for the nine months ended September 26, 2020. This increase as a percentage of net revenue was primarily driven by optometrist costs in</w:t>
      </w:r>
      <w:r>
        <w:rPr>
          <w:rFonts w:eastAsia="Times New Roman"/>
          <w:color w:val="000000"/>
          <w:sz w:val="20"/>
          <w:szCs w:val="20"/>
        </w:rPr>
        <w:t>curred during the temporary closure of our stores to the public in response to the COVID-19 pandemic as well as increased contact lens mix that was partially offset by higher eyeglass margin.</w:t>
      </w:r>
    </w:p>
    <w:p w:rsidR="00000000" w:rsidRDefault="0039134F">
      <w:pPr>
        <w:jc w:val="both"/>
        <w:divId w:val="796752387"/>
        <w:rPr>
          <w:rFonts w:eastAsia="Times New Roman"/>
        </w:rPr>
      </w:pPr>
      <w:r>
        <w:rPr>
          <w:rFonts w:eastAsia="Times New Roman"/>
          <w:color w:val="000000"/>
          <w:sz w:val="20"/>
          <w:szCs w:val="20"/>
        </w:rPr>
        <w:t>Costs of products as a percentage of net product sales decreased</w:t>
      </w:r>
      <w:r>
        <w:rPr>
          <w:rFonts w:eastAsia="Times New Roman"/>
          <w:color w:val="000000"/>
          <w:sz w:val="20"/>
          <w:szCs w:val="20"/>
        </w:rPr>
        <w:t xml:space="preserve"> from 40.5% for the nine months ended September 28, 2019 to 40.0% for the nine months ended September 26, 2020, driven primarily by higher eyeglass margin that was partially offset by increased contact lens mix.</w:t>
      </w:r>
    </w:p>
    <w:p w:rsidR="00000000" w:rsidRDefault="0039134F">
      <w:pPr>
        <w:jc w:val="both"/>
        <w:divId w:val="1586499467"/>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w:t>
      </w:r>
      <w:r>
        <w:rPr>
          <w:rFonts w:eastAsia="Times New Roman"/>
          <w:color w:val="000000"/>
          <w:sz w:val="20"/>
          <w:szCs w:val="20"/>
        </w:rPr>
        <w:t xml:space="preserve">s of products as a percentage of net product sales decreased from 29.0% for the nine months ended September 28, 2019 to 28.6% for the nine months ended September 26, 2020 driven by higher eyeglass margin that was partially offset by increased contact lens </w:t>
      </w:r>
      <w:r>
        <w:rPr>
          <w:rFonts w:eastAsia="Times New Roman"/>
          <w:color w:val="000000"/>
          <w:sz w:val="20"/>
          <w:szCs w:val="20"/>
        </w:rPr>
        <w:t>mix.</w:t>
      </w:r>
    </w:p>
    <w:p w:rsidR="00000000" w:rsidRDefault="0039134F">
      <w:pPr>
        <w:jc w:val="both"/>
        <w:divId w:val="1201361963"/>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increased from 47.0% for the nine months ended September 28, 2019 to 49.1% for the nine months ended September 26, 2020. The increase was primarily driven by incr</w:t>
      </w:r>
      <w:r>
        <w:rPr>
          <w:rFonts w:eastAsia="Times New Roman"/>
          <w:color w:val="000000"/>
          <w:sz w:val="20"/>
          <w:szCs w:val="20"/>
        </w:rPr>
        <w:t>eased contact lens mix and by a higher mix of non-managed care customer transactions. Decreases in managed care mix increase costs of products as a percentage of net product sales and have a corresponding positive impact on costs of services as a percentag</w:t>
      </w:r>
      <w:r>
        <w:rPr>
          <w:rFonts w:eastAsia="Times New Roman"/>
          <w:color w:val="000000"/>
          <w:sz w:val="20"/>
          <w:szCs w:val="20"/>
        </w:rPr>
        <w:t xml:space="preserve">e of net sales of services and plans </w:t>
      </w:r>
      <w:r>
        <w:rPr>
          <w:rFonts w:eastAsia="Times New Roman"/>
          <w:color w:val="000000"/>
          <w:sz w:val="20"/>
          <w:szCs w:val="20"/>
          <w:shd w:val="clear" w:color="auto" w:fill="FFFFFF"/>
        </w:rPr>
        <w:t>in our Legacy segment.</w:t>
      </w:r>
      <w:r>
        <w:rPr>
          <w:rFonts w:eastAsia="Times New Roman"/>
          <w:color w:val="000000"/>
          <w:sz w:val="20"/>
          <w:szCs w:val="20"/>
        </w:rPr>
        <w:t xml:space="preserve"> Legacy segment managed care net product revenue is recorded in net product sales while revenue associated with servicing non-managed care customers is recorded in net sales of services and plans. </w:t>
      </w:r>
      <w:r>
        <w:rPr>
          <w:rFonts w:eastAsia="Times New Roman"/>
          <w:color w:val="000000"/>
          <w:sz w:val="20"/>
          <w:szCs w:val="20"/>
        </w:rPr>
        <w:t>Eyeglass and contact lens product costs for both managed care and non-managed care net revenue are recorded in costs of products.</w:t>
      </w:r>
    </w:p>
    <w:p w:rsidR="00000000" w:rsidRDefault="0039134F">
      <w:pPr>
        <w:jc w:val="both"/>
        <w:divId w:val="663630429"/>
        <w:rPr>
          <w:rFonts w:eastAsia="Times New Roman"/>
        </w:rPr>
      </w:pPr>
      <w:r>
        <w:rPr>
          <w:rFonts w:eastAsia="Times New Roman"/>
          <w:color w:val="000000"/>
          <w:sz w:val="20"/>
          <w:szCs w:val="20"/>
        </w:rPr>
        <w:t xml:space="preserve">Costs of services and plans as a percentage of net sales of services and plans increased from 77.3% for the nine months ended </w:t>
      </w:r>
      <w:r>
        <w:rPr>
          <w:rFonts w:eastAsia="Times New Roman"/>
          <w:color w:val="000000"/>
          <w:sz w:val="20"/>
          <w:szCs w:val="20"/>
        </w:rPr>
        <w:t>September 28, 2019 to 80.2% for the nine months ended September 26, 2020. The increase was primarily driven by optometrist costs incurred during the temporary closure of our stores to the public in response to the COVID-19 pandemic.</w:t>
      </w:r>
    </w:p>
    <w:p w:rsidR="00000000" w:rsidRDefault="0039134F">
      <w:pPr>
        <w:jc w:val="both"/>
        <w:divId w:val="857427896"/>
        <w:rPr>
          <w:rFonts w:eastAsia="Times New Roman"/>
        </w:rPr>
      </w:pPr>
      <w:r>
        <w:rPr>
          <w:rFonts w:eastAsia="Times New Roman"/>
          <w:i/>
          <w:iCs/>
          <w:color w:val="000000"/>
          <w:sz w:val="20"/>
          <w:szCs w:val="20"/>
        </w:rPr>
        <w:t>Owned &amp; Host segment co</w:t>
      </w:r>
      <w:r>
        <w:rPr>
          <w:rFonts w:eastAsia="Times New Roman"/>
          <w:i/>
          <w:iCs/>
          <w:color w:val="000000"/>
          <w:sz w:val="20"/>
          <w:szCs w:val="20"/>
        </w:rPr>
        <w:t xml:space="preserve">sts of services and plans. </w:t>
      </w:r>
      <w:r>
        <w:rPr>
          <w:rFonts w:eastAsia="Times New Roman"/>
          <w:color w:val="000000"/>
          <w:sz w:val="20"/>
          <w:szCs w:val="20"/>
        </w:rPr>
        <w:t>Costs of services and plans as a percentage of net sales of services and plans increased from 81.5% for the nine months ended September 28, 2019 to 86.7% for the nine months ended September 26, 2020. The increase was driven by op</w:t>
      </w:r>
      <w:r>
        <w:rPr>
          <w:rFonts w:eastAsia="Times New Roman"/>
          <w:color w:val="000000"/>
          <w:sz w:val="20"/>
          <w:szCs w:val="20"/>
        </w:rPr>
        <w:t>tometrist and technician costs incurred during the temporary closure of our stores to the public in response to the COVID-19 pandemic.</w:t>
      </w:r>
    </w:p>
    <w:p w:rsidR="00000000" w:rsidRDefault="0039134F">
      <w:pPr>
        <w:jc w:val="center"/>
        <w:divId w:val="1838223340"/>
        <w:rPr>
          <w:rFonts w:eastAsia="Times New Roman"/>
        </w:rPr>
      </w:pPr>
      <w:r>
        <w:rPr>
          <w:rFonts w:eastAsia="Times New Roman"/>
          <w:color w:val="000000"/>
          <w:sz w:val="20"/>
          <w:szCs w:val="20"/>
        </w:rPr>
        <w:t>42</w:t>
      </w:r>
    </w:p>
    <w:p w:rsidR="00000000" w:rsidRDefault="0039134F">
      <w:pPr>
        <w:rPr>
          <w:rFonts w:eastAsia="Times New Roman"/>
        </w:rPr>
      </w:pPr>
      <w:r>
        <w:rPr>
          <w:rFonts w:eastAsia="Times New Roman"/>
        </w:rPr>
        <w:pict>
          <v:rect id="_x0000_i1066" style="width:0;height:1.5pt" o:hralign="center" o:hrstd="t" o:hr="t" fillcolor="#a0a0a0" stroked="f"/>
        </w:pict>
      </w:r>
    </w:p>
    <w:p w:rsidR="00000000" w:rsidRDefault="0039134F">
      <w:pPr>
        <w:divId w:val="657460706"/>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1911960700"/>
        <w:rPr>
          <w:rFonts w:eastAsia="Times New Roman"/>
        </w:rPr>
      </w:pPr>
      <w:r>
        <w:rPr>
          <w:rFonts w:eastAsia="Times New Roman"/>
          <w:i/>
          <w:iCs/>
          <w:color w:val="000000"/>
          <w:sz w:val="20"/>
          <w:szCs w:val="20"/>
        </w:rPr>
        <w:t>Legacy</w:t>
      </w:r>
      <w:r>
        <w:rPr>
          <w:rFonts w:eastAsia="Times New Roman"/>
          <w:i/>
          <w:iCs/>
          <w:color w:val="000000"/>
          <w:sz w:val="20"/>
          <w:szCs w:val="20"/>
        </w:rPr>
        <w:t xml:space="preserve"> segment costs of services and plans. </w:t>
      </w:r>
      <w:r>
        <w:rPr>
          <w:rFonts w:eastAsia="Times New Roman"/>
          <w:color w:val="000000"/>
          <w:sz w:val="20"/>
          <w:szCs w:val="20"/>
        </w:rPr>
        <w:t>Costs of services and plans as a percentage of net sales of services and plans increased from 45.4% for the nine months ended September 28, 2019 to 47.3% for the nine months ended September 26, 2020. The increase was p</w:t>
      </w:r>
      <w:r>
        <w:rPr>
          <w:rFonts w:eastAsia="Times New Roman"/>
          <w:color w:val="000000"/>
          <w:sz w:val="20"/>
          <w:szCs w:val="20"/>
        </w:rPr>
        <w:t>rimarily driven by optometrist costs incurred during the temporary closure of our stores to the public in response to the COVID-19 pandemic.</w:t>
      </w:r>
    </w:p>
    <w:p w:rsidR="00000000" w:rsidRDefault="0039134F">
      <w:pPr>
        <w:jc w:val="both"/>
        <w:divId w:val="477724614"/>
        <w:rPr>
          <w:rFonts w:eastAsia="Times New Roman"/>
        </w:rPr>
      </w:pPr>
      <w:r>
        <w:rPr>
          <w:rFonts w:eastAsia="Times New Roman"/>
          <w:i/>
          <w:iCs/>
          <w:color w:val="000000"/>
          <w:sz w:val="20"/>
          <w:szCs w:val="20"/>
        </w:rPr>
        <w:t>Selling, general and administrative</w:t>
      </w:r>
    </w:p>
    <w:p w:rsidR="00000000" w:rsidRDefault="0039134F">
      <w:pPr>
        <w:jc w:val="both"/>
        <w:divId w:val="1813207029"/>
        <w:rPr>
          <w:rFonts w:eastAsia="Times New Roman"/>
        </w:rPr>
      </w:pPr>
      <w:r>
        <w:rPr>
          <w:rFonts w:eastAsia="Times New Roman"/>
          <w:color w:val="000000"/>
          <w:sz w:val="20"/>
          <w:szCs w:val="20"/>
        </w:rPr>
        <w:t>SG&amp;A of $520.8 million for the nine months ended September 26, 2020 decreased $</w:t>
      </w:r>
      <w:r>
        <w:rPr>
          <w:rFonts w:eastAsia="Times New Roman"/>
          <w:color w:val="000000"/>
          <w:sz w:val="20"/>
          <w:szCs w:val="20"/>
        </w:rPr>
        <w:t>45.6 million, or 8.1%, from the nine months ended September 28, 2019. As a percentage of net revenue, SG&amp;A increased from 42.8% for the nine months ended September 28, 2019 to 42.9% for the nine months ended September 26, 2020. The increase in SG&amp;A as a pe</w:t>
      </w:r>
      <w:r>
        <w:rPr>
          <w:rFonts w:eastAsia="Times New Roman"/>
          <w:color w:val="000000"/>
          <w:sz w:val="20"/>
          <w:szCs w:val="20"/>
        </w:rPr>
        <w:t>rcentage of net revenue was primarily due to store and corporate payroll and occupancy costs incurred during the temporary closure of our stores to the public in response to the COVID-19 pandemic, partially offset by lower advertising expense. SG&amp;A for the</w:t>
      </w:r>
      <w:r>
        <w:rPr>
          <w:rFonts w:eastAsia="Times New Roman"/>
          <w:color w:val="000000"/>
          <w:sz w:val="20"/>
          <w:szCs w:val="20"/>
        </w:rPr>
        <w:t xml:space="preserve"> nine months ended September 26, 2020 includes $7.8 million of incremental costs directly related to adapting the Company’s operations during the COVID-19 pandemic; of these costs, $0.6 million were reflected as adjustments for the Company’s presentation o</w:t>
      </w:r>
      <w:r>
        <w:rPr>
          <w:rFonts w:eastAsia="Times New Roman"/>
          <w:color w:val="000000"/>
          <w:sz w:val="20"/>
          <w:szCs w:val="20"/>
        </w:rPr>
        <w:t>f non-GAAP measures below.</w:t>
      </w:r>
    </w:p>
    <w:p w:rsidR="00000000" w:rsidRDefault="0039134F">
      <w:pPr>
        <w:jc w:val="both"/>
        <w:divId w:val="2106220632"/>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decreased from 38.0% for the nine months ended September 28, 2019 to 36.6% for the nine months ended September 26, 2020, driven primarily by reduced advertising expense which</w:t>
      </w:r>
      <w:r>
        <w:rPr>
          <w:rFonts w:eastAsia="Times New Roman"/>
          <w:color w:val="000000"/>
          <w:sz w:val="20"/>
          <w:szCs w:val="20"/>
        </w:rPr>
        <w:t xml:space="preserve"> was partially offset by store payroll and occupancy costs incurred during the temporary closure of our stores to the public in response to the COVID-19 pandemic.</w:t>
      </w:r>
    </w:p>
    <w:p w:rsidR="00000000" w:rsidRDefault="0039134F">
      <w:pPr>
        <w:jc w:val="both"/>
        <w:divId w:val="1098716573"/>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increased from 34.1% for the nine mo</w:t>
      </w:r>
      <w:r>
        <w:rPr>
          <w:rFonts w:eastAsia="Times New Roman"/>
          <w:color w:val="000000"/>
          <w:sz w:val="20"/>
          <w:szCs w:val="20"/>
        </w:rPr>
        <w:t>nths ended September 28, 2019 to 36.5% for the nine months ended September 26, 2020 primarily driven by store payroll costs incurred during the temporary closure of our stores to the public in response to the COVID-19 pandemic.</w:t>
      </w:r>
    </w:p>
    <w:p w:rsidR="00000000" w:rsidRDefault="0039134F">
      <w:pPr>
        <w:jc w:val="both"/>
        <w:divId w:val="901062844"/>
        <w:rPr>
          <w:rFonts w:eastAsia="Times New Roman"/>
        </w:rPr>
      </w:pPr>
      <w:r>
        <w:rPr>
          <w:rFonts w:eastAsia="Times New Roman"/>
          <w:i/>
          <w:iCs/>
          <w:color w:val="000000"/>
          <w:sz w:val="20"/>
          <w:szCs w:val="20"/>
        </w:rPr>
        <w:t>Depreciation and amortizatio</w:t>
      </w:r>
      <w:r>
        <w:rPr>
          <w:rFonts w:eastAsia="Times New Roman"/>
          <w:i/>
          <w:iCs/>
          <w:color w:val="000000"/>
          <w:sz w:val="20"/>
          <w:szCs w:val="20"/>
        </w:rPr>
        <w:t>n</w:t>
      </w:r>
    </w:p>
    <w:p w:rsidR="00000000" w:rsidRDefault="0039134F">
      <w:pPr>
        <w:jc w:val="both"/>
        <w:divId w:val="1563521274"/>
        <w:rPr>
          <w:rFonts w:eastAsia="Times New Roman"/>
        </w:rPr>
      </w:pPr>
      <w:r>
        <w:rPr>
          <w:rFonts w:eastAsia="Times New Roman"/>
          <w:color w:val="000000"/>
          <w:sz w:val="20"/>
          <w:szCs w:val="20"/>
        </w:rPr>
        <w:t>Depreciation and amortization expense of $69.0 million for the nine months ended September 26, 2020 increased $5.4 million, or 8.5%, from $63.6 million for the nine months ended September 28, 2019 primarily driven by new store openings and investments in</w:t>
      </w:r>
      <w:r>
        <w:rPr>
          <w:rFonts w:eastAsia="Times New Roman"/>
          <w:color w:val="000000"/>
          <w:sz w:val="20"/>
          <w:szCs w:val="20"/>
        </w:rPr>
        <w:t xml:space="preserve"> new lab equipment. Our property and equipment balance, net, decreased $36.4 million, or 9.9%, during the nine months ended September 26, 2020, reflective of $45.3 million in purchases of property and equipment, $1.3 million in new finance leases, less $63</w:t>
      </w:r>
      <w:r>
        <w:rPr>
          <w:rFonts w:eastAsia="Times New Roman"/>
          <w:color w:val="000000"/>
          <w:sz w:val="20"/>
          <w:szCs w:val="20"/>
        </w:rPr>
        <w:t>.4 million in depreciation expense, and $19.6 million in impairment expense and other adjustments.</w:t>
      </w:r>
    </w:p>
    <w:p w:rsidR="00000000" w:rsidRDefault="0039134F">
      <w:pPr>
        <w:jc w:val="both"/>
        <w:divId w:val="1626694664"/>
        <w:rPr>
          <w:rFonts w:eastAsia="Times New Roman"/>
        </w:rPr>
      </w:pPr>
      <w:r>
        <w:rPr>
          <w:rFonts w:eastAsia="Times New Roman"/>
          <w:i/>
          <w:iCs/>
          <w:color w:val="000000"/>
          <w:sz w:val="20"/>
          <w:szCs w:val="20"/>
        </w:rPr>
        <w:t>Asset Impairment</w:t>
      </w:r>
    </w:p>
    <w:p w:rsidR="00000000" w:rsidRDefault="0039134F">
      <w:pPr>
        <w:jc w:val="both"/>
        <w:divId w:val="984049710"/>
        <w:rPr>
          <w:rFonts w:eastAsia="Times New Roman"/>
        </w:rPr>
      </w:pPr>
      <w:r>
        <w:rPr>
          <w:rFonts w:eastAsia="Times New Roman"/>
          <w:color w:val="000000"/>
          <w:sz w:val="20"/>
          <w:szCs w:val="20"/>
        </w:rPr>
        <w:t>We recognized $20.9 million for impairment primarily of tangible long-lived assets and ROU assets associated with our retail stores during t</w:t>
      </w:r>
      <w:r>
        <w:rPr>
          <w:rFonts w:eastAsia="Times New Roman"/>
          <w:color w:val="000000"/>
          <w:sz w:val="20"/>
          <w:szCs w:val="20"/>
        </w:rPr>
        <w:t>he nine months ended September 26, 2020 compared to $7.4 million recognized during the nine months ended September 28, 2019. The impairment charges were primarily related to our Owned &amp; Host segment and were driven by lower than projected customer sales vo</w:t>
      </w:r>
      <w:r>
        <w:rPr>
          <w:rFonts w:eastAsia="Times New Roman"/>
          <w:color w:val="000000"/>
          <w:sz w:val="20"/>
          <w:szCs w:val="20"/>
        </w:rPr>
        <w:t>lume in certain stores, and were determined using entity-specific assumptions related to our anticipated use of store assets. We considered multiple factors including, but not limited to: forecasted scenarios related to store performance and likelihood tha</w:t>
      </w:r>
      <w:r>
        <w:rPr>
          <w:rFonts w:eastAsia="Times New Roman"/>
          <w:color w:val="000000"/>
          <w:sz w:val="20"/>
          <w:szCs w:val="20"/>
        </w:rPr>
        <w:t>t these scenarios would be ultimately realized; the historical performance of the stores before the temporary store closures in response to the COVID-19 pandemic; the effect of store closures and uncertainty in store revenues over the remaining useful life</w:t>
      </w:r>
      <w:r>
        <w:rPr>
          <w:rFonts w:eastAsia="Times New Roman"/>
          <w:color w:val="000000"/>
          <w:sz w:val="20"/>
          <w:szCs w:val="20"/>
        </w:rPr>
        <w:t xml:space="preserve"> of the asset group as a result of the COVID-19 pandemic; and the remaining useful lives of the assets. The asset impairment expense for the nine months ended September 26, 2020 also includes $1.1 million related to a write-off of certain software assets t</w:t>
      </w:r>
      <w:r>
        <w:rPr>
          <w:rFonts w:eastAsia="Times New Roman"/>
          <w:color w:val="000000"/>
          <w:sz w:val="20"/>
          <w:szCs w:val="20"/>
        </w:rPr>
        <w:t>hat were deemed to be obsolete. Asset impairment expenses were recognized in Corporate/Other.</w:t>
      </w:r>
    </w:p>
    <w:p w:rsidR="00000000" w:rsidRDefault="0039134F">
      <w:pPr>
        <w:jc w:val="both"/>
        <w:divId w:val="1451819188"/>
        <w:rPr>
          <w:rFonts w:eastAsia="Times New Roman"/>
        </w:rPr>
      </w:pPr>
      <w:r>
        <w:rPr>
          <w:rFonts w:eastAsia="Times New Roman"/>
          <w:i/>
          <w:iCs/>
          <w:color w:val="000000"/>
          <w:sz w:val="20"/>
          <w:szCs w:val="20"/>
        </w:rPr>
        <w:t>Interest expense, net</w:t>
      </w:r>
    </w:p>
    <w:p w:rsidR="00000000" w:rsidRDefault="0039134F">
      <w:pPr>
        <w:jc w:val="both"/>
        <w:divId w:val="1904216771"/>
        <w:rPr>
          <w:rFonts w:eastAsia="Times New Roman"/>
        </w:rPr>
      </w:pPr>
      <w:r>
        <w:rPr>
          <w:rFonts w:eastAsia="Times New Roman"/>
          <w:color w:val="000000"/>
          <w:sz w:val="20"/>
          <w:szCs w:val="20"/>
        </w:rPr>
        <w:t>Interest expense, net, of $35.4 million for the nine months ended September 26, 2020 increased $9.5 million, or 36.8%, from $25.9 million fo</w:t>
      </w:r>
      <w:r>
        <w:rPr>
          <w:rFonts w:eastAsia="Times New Roman"/>
          <w:color w:val="000000"/>
          <w:sz w:val="20"/>
          <w:szCs w:val="20"/>
        </w:rPr>
        <w:t>r the nine months ended September 28, 2019. The increase was primarily driven by losses related to changes in fair value of derivatives due to ineffectiveness of $4.6 million and charges related to interest payments and amortization of debt discounts relat</w:t>
      </w:r>
      <w:r>
        <w:rPr>
          <w:rFonts w:eastAsia="Times New Roman"/>
          <w:color w:val="000000"/>
          <w:sz w:val="20"/>
          <w:szCs w:val="20"/>
        </w:rPr>
        <w:t>ed to the 2025 Notes of $10.4 million that were partially offset by a reduction in our term loan and revolving credit facility utilization.</w:t>
      </w:r>
    </w:p>
    <w:p w:rsidR="00000000" w:rsidRDefault="0039134F">
      <w:pPr>
        <w:divId w:val="1763525120"/>
        <w:rPr>
          <w:rFonts w:eastAsia="Times New Roman"/>
        </w:rPr>
      </w:pPr>
      <w:r>
        <w:rPr>
          <w:rFonts w:eastAsia="Times New Roman"/>
          <w:i/>
          <w:iCs/>
          <w:color w:val="000000"/>
          <w:sz w:val="20"/>
          <w:szCs w:val="20"/>
        </w:rPr>
        <w:t>Income tax provision</w:t>
      </w:r>
    </w:p>
    <w:p w:rsidR="00000000" w:rsidRDefault="0039134F">
      <w:pPr>
        <w:jc w:val="both"/>
        <w:rPr>
          <w:rFonts w:eastAsia="Times New Roman"/>
        </w:rPr>
      </w:pPr>
      <w:r>
        <w:rPr>
          <w:rFonts w:eastAsia="Times New Roman"/>
          <w:color w:val="000000"/>
          <w:sz w:val="20"/>
          <w:szCs w:val="20"/>
        </w:rPr>
        <w:t>Our income tax benefit for the nine months ended September 26, 2020 reflected our statutory fed</w:t>
      </w:r>
      <w:r>
        <w:rPr>
          <w:rFonts w:eastAsia="Times New Roman"/>
          <w:color w:val="000000"/>
          <w:sz w:val="20"/>
          <w:szCs w:val="20"/>
        </w:rPr>
        <w:t>eral and state rate of 25.5%, combined with a discrete benefit of $6.0 million associated primarily with the exercise of stock options. In comparison, the income tax provision associated with the nine months ended September 28, 2019 reflected income tax ex</w:t>
      </w:r>
      <w:r>
        <w:rPr>
          <w:rFonts w:eastAsia="Times New Roman"/>
          <w:color w:val="000000"/>
          <w:sz w:val="20"/>
          <w:szCs w:val="20"/>
        </w:rPr>
        <w:t>pense at our statutory federal and state rate of 25.6% offset by a $7.7 million income tax benefit resulting from stock option exercises.</w:t>
      </w:r>
    </w:p>
    <w:p w:rsidR="00000000" w:rsidRDefault="0039134F">
      <w:pPr>
        <w:jc w:val="center"/>
        <w:divId w:val="501356727"/>
        <w:rPr>
          <w:rFonts w:eastAsia="Times New Roman"/>
        </w:rPr>
      </w:pPr>
      <w:r>
        <w:rPr>
          <w:rFonts w:eastAsia="Times New Roman"/>
          <w:color w:val="000000"/>
          <w:sz w:val="20"/>
          <w:szCs w:val="20"/>
        </w:rPr>
        <w:t>43</w:t>
      </w:r>
    </w:p>
    <w:p w:rsidR="00000000" w:rsidRDefault="0039134F">
      <w:pPr>
        <w:rPr>
          <w:rFonts w:eastAsia="Times New Roman"/>
        </w:rPr>
      </w:pPr>
      <w:r>
        <w:rPr>
          <w:rFonts w:eastAsia="Times New Roman"/>
        </w:rPr>
        <w:pict>
          <v:rect id="_x0000_i1067" style="width:0;height:1.5pt" o:hralign="center" o:hrstd="t" o:hr="t" fillcolor="#a0a0a0" stroked="f"/>
        </w:pict>
      </w:r>
    </w:p>
    <w:p w:rsidR="00000000" w:rsidRDefault="0039134F">
      <w:pPr>
        <w:divId w:val="211111860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rPr>
          <w:rFonts w:eastAsia="Times New Roman"/>
        </w:rPr>
      </w:pPr>
    </w:p>
    <w:p w:rsidR="00000000" w:rsidRDefault="0039134F">
      <w:pPr>
        <w:jc w:val="both"/>
        <w:divId w:val="2031754634"/>
        <w:rPr>
          <w:rFonts w:eastAsia="Times New Roman"/>
        </w:rPr>
      </w:pPr>
      <w:r>
        <w:rPr>
          <w:rFonts w:eastAsia="Times New Roman"/>
          <w:b/>
          <w:bCs/>
          <w:color w:val="000000"/>
          <w:sz w:val="20"/>
          <w:szCs w:val="20"/>
        </w:rPr>
        <w:t>Non-GAAP Financial Measures</w:t>
      </w:r>
    </w:p>
    <w:p w:rsidR="00000000" w:rsidRDefault="0039134F">
      <w:pPr>
        <w:jc w:val="both"/>
        <w:divId w:val="1204246064"/>
        <w:rPr>
          <w:rFonts w:eastAsia="Times New Roman"/>
        </w:rPr>
      </w:pPr>
      <w:r>
        <w:rPr>
          <w:rFonts w:eastAsia="Times New Roman"/>
          <w:i/>
          <w:iCs/>
          <w:color w:val="000000"/>
          <w:sz w:val="20"/>
          <w:szCs w:val="20"/>
        </w:rPr>
        <w:t>EBITDA, Adjusted EBITDA, Adjusted EBITDA Margin, Adjusted Operating Income, Adjusted Operating Margin and Adjusted Diluted EPS</w:t>
      </w:r>
    </w:p>
    <w:p w:rsidR="00000000" w:rsidRDefault="0039134F">
      <w:pPr>
        <w:jc w:val="both"/>
        <w:divId w:val="382951700"/>
        <w:rPr>
          <w:rFonts w:eastAsia="Times New Roman"/>
        </w:rPr>
      </w:pPr>
      <w:r>
        <w:rPr>
          <w:rFonts w:eastAsia="Times New Roman"/>
          <w:color w:val="000000"/>
          <w:sz w:val="20"/>
          <w:szCs w:val="20"/>
        </w:rPr>
        <w:t>We define EBITDA as net income, plus interest expense, income tax provision (benefit) and depreciation and amortization. We defin</w:t>
      </w:r>
      <w:r>
        <w:rPr>
          <w:rFonts w:eastAsia="Times New Roman"/>
          <w:color w:val="000000"/>
          <w:sz w:val="20"/>
          <w:szCs w:val="20"/>
        </w:rPr>
        <w:t>e Adjusted EBITDA as net income, plus interest expense, income tax provision (benefit) and depreciation and amortization, further adjusted to exclude stock compensation expense, loss on extinguishment of debt, asset impairment, litigation settlement, secon</w:t>
      </w:r>
      <w:r>
        <w:rPr>
          <w:rFonts w:eastAsia="Times New Roman"/>
          <w:color w:val="000000"/>
          <w:sz w:val="20"/>
          <w:szCs w:val="20"/>
        </w:rPr>
        <w:t>dary offering expenses, management realignment expenses, long-term incentive plan expenses, and other expenses. We define Adjusted EBITDA Margin as Adjusted EBITDA as a percentage of net revenue. We define Adjusted Operating Income as net income, plus inte</w:t>
      </w:r>
      <w:r>
        <w:rPr>
          <w:rFonts w:eastAsia="Times New Roman"/>
          <w:color w:val="000000"/>
          <w:sz w:val="20"/>
          <w:szCs w:val="20"/>
        </w:rPr>
        <w:t>rest expense and income tax provision (benefit), further adjusted to exclude stock compensation expense, loss on extinguishment of debt, asset impairment, litigation settlement, secondary offering expenses, management realignment expenses, long-term incent</w:t>
      </w:r>
      <w:r>
        <w:rPr>
          <w:rFonts w:eastAsia="Times New Roman"/>
          <w:color w:val="000000"/>
          <w:sz w:val="20"/>
          <w:szCs w:val="20"/>
        </w:rPr>
        <w:t xml:space="preserve">ive plan expenses, amortization of acquisition intangibles, and other expenses. We define Adjusted Operating Margin as Adjusted Operating Income as a percentage of net revenue. We define Adjusted Diluted EPS as diluted earnings per share, adjusted for the </w:t>
      </w:r>
      <w:r>
        <w:rPr>
          <w:rFonts w:eastAsia="Times New Roman"/>
          <w:color w:val="000000"/>
          <w:sz w:val="20"/>
          <w:szCs w:val="20"/>
        </w:rPr>
        <w:t>per share impact of stock compensation expense, loss on extinguishment of debt, asset impairment, litigation settlement, secondary offering expenses, management realignment expenses, long-term incentive plan expenses, amortization of acquisition intangible</w:t>
      </w:r>
      <w:r>
        <w:rPr>
          <w:rFonts w:eastAsia="Times New Roman"/>
          <w:color w:val="000000"/>
          <w:sz w:val="20"/>
          <w:szCs w:val="20"/>
        </w:rPr>
        <w:t>s, amortization of debt discount and deferred financing costs, losses (gains) on change in fair value of derivatives, other expenses, and tax benefit of stock option exercises, less the tax effect of these adjustments.</w:t>
      </w:r>
    </w:p>
    <w:p w:rsidR="00000000" w:rsidRDefault="0039134F">
      <w:pPr>
        <w:jc w:val="both"/>
        <w:divId w:val="1341397804"/>
        <w:rPr>
          <w:rFonts w:eastAsia="Times New Roman"/>
        </w:rPr>
      </w:pPr>
      <w:r>
        <w:rPr>
          <w:rFonts w:eastAsia="Times New Roman"/>
          <w:color w:val="000000"/>
          <w:sz w:val="20"/>
          <w:szCs w:val="20"/>
        </w:rPr>
        <w:t>In the first quarter of 2020, we intr</w:t>
      </w:r>
      <w:r>
        <w:rPr>
          <w:rFonts w:eastAsia="Times New Roman"/>
          <w:color w:val="000000"/>
          <w:sz w:val="20"/>
          <w:szCs w:val="20"/>
        </w:rPr>
        <w:t>oduced Adjusted Operating Income and Adjusted Operating Margin as measures of performance we will use in connection with Adjusted EBITDA, Adjusted EBITDA Margin and Adjusted Diluted EPS. Further, consistent with our presentation of Adjusted Operating Incom</w:t>
      </w:r>
      <w:r>
        <w:rPr>
          <w:rFonts w:eastAsia="Times New Roman"/>
          <w:color w:val="000000"/>
          <w:sz w:val="20"/>
          <w:szCs w:val="20"/>
        </w:rPr>
        <w:t>e, we no longer exclude new store pre-opening expenses and non-cash rent from our presentation of Adjusted EBITDA and Adjusted Diluted EPS. New store pre-opening expenses totaled $0.8 million and $0.8 million for the three months ended September 26, 2020 a</w:t>
      </w:r>
      <w:r>
        <w:rPr>
          <w:rFonts w:eastAsia="Times New Roman"/>
          <w:color w:val="000000"/>
          <w:sz w:val="20"/>
          <w:szCs w:val="20"/>
        </w:rPr>
        <w:t xml:space="preserve">nd September 28, 2019, respectively; $2.0 million and $2.9 million for the nine months ended September 26, 2020 and September 28, 2019, respectively; and non-cash rent totaled $0.6 million and $0.5 million for the three months ended September 26, 2020 and </w:t>
      </w:r>
      <w:r>
        <w:rPr>
          <w:rFonts w:eastAsia="Times New Roman"/>
          <w:color w:val="000000"/>
          <w:sz w:val="20"/>
          <w:szCs w:val="20"/>
        </w:rPr>
        <w:t>September 28, 2019, respectively; and $2.1 million and $2.4 million for the nine months ended September 26, 2020 and September 28, 2019, respectively. The presentation of Adjusted EBITDA and Adjusted Diluted EPS for the three and nine months ended Septembe</w:t>
      </w:r>
      <w:r>
        <w:rPr>
          <w:rFonts w:eastAsia="Times New Roman"/>
          <w:color w:val="000000"/>
          <w:sz w:val="20"/>
          <w:szCs w:val="20"/>
        </w:rPr>
        <w:t>r 28, 2019 has been recast to reflect these changes. See our Form 8-K filed with the SEC on February 26, 2020, which is incorporated herein by reference, for more information.</w:t>
      </w:r>
    </w:p>
    <w:p w:rsidR="00000000" w:rsidRDefault="0039134F">
      <w:pPr>
        <w:jc w:val="both"/>
        <w:divId w:val="2112699249"/>
        <w:rPr>
          <w:rFonts w:eastAsia="Times New Roman"/>
        </w:rPr>
      </w:pPr>
      <w:r>
        <w:rPr>
          <w:rFonts w:eastAsia="Times New Roman"/>
          <w:color w:val="000000"/>
          <w:sz w:val="20"/>
          <w:szCs w:val="20"/>
        </w:rPr>
        <w:t>EBITDA and the Company Non-GAAP Measures can vary substantially in size from one</w:t>
      </w:r>
      <w:r>
        <w:rPr>
          <w:rFonts w:eastAsia="Times New Roman"/>
          <w:color w:val="000000"/>
          <w:sz w:val="20"/>
          <w:szCs w:val="20"/>
        </w:rPr>
        <w:t xml:space="preserve"> period to the next, and certain types of expenses are non-recurring in nature and consequently may not have been incurred in any of the periods presented below.</w:t>
      </w:r>
    </w:p>
    <w:p w:rsidR="00000000" w:rsidRDefault="0039134F">
      <w:pPr>
        <w:jc w:val="both"/>
        <w:divId w:val="78723255"/>
        <w:rPr>
          <w:rFonts w:eastAsia="Times New Roman"/>
        </w:rPr>
      </w:pPr>
      <w:r>
        <w:rPr>
          <w:rFonts w:eastAsia="Times New Roman"/>
          <w:color w:val="000000"/>
          <w:sz w:val="20"/>
          <w:szCs w:val="20"/>
        </w:rPr>
        <w:t>EBITDA and the Company Non-GAAP Measures have been presented as supplemental measures of finan</w:t>
      </w:r>
      <w:r>
        <w:rPr>
          <w:rFonts w:eastAsia="Times New Roman"/>
          <w:color w:val="000000"/>
          <w:sz w:val="20"/>
          <w:szCs w:val="20"/>
        </w:rPr>
        <w:t xml:space="preserve">cial performance that are not required by, or presented in accordance with U.S. GAAP, because we believe they assist investors and analysts in comparing our operating performance across reporting periods on a consistent basis by excluding items that we do </w:t>
      </w:r>
      <w:r>
        <w:rPr>
          <w:rFonts w:eastAsia="Times New Roman"/>
          <w:color w:val="000000"/>
          <w:sz w:val="20"/>
          <w:szCs w:val="20"/>
        </w:rPr>
        <w:t xml:space="preserve">not believe are indicative of our core operating performance. Management believes EBITDA and the Company Non-GAAP Measures are useful to investors in highlighting trends in our operating performance, while other measures can differ significantly depending </w:t>
      </w:r>
      <w:r>
        <w:rPr>
          <w:rFonts w:eastAsia="Times New Roman"/>
          <w:color w:val="000000"/>
          <w:sz w:val="20"/>
          <w:szCs w:val="20"/>
        </w:rPr>
        <w:t>on long-term strategic decisions regarding capital structure, the tax jurisdictions in which we operate and capital investments. We also use EBITDA and the Company Non-GAAP Measures to supplement U.S. GAAP measures of performance in the evaluation of the e</w:t>
      </w:r>
      <w:r>
        <w:rPr>
          <w:rFonts w:eastAsia="Times New Roman"/>
          <w:color w:val="000000"/>
          <w:sz w:val="20"/>
          <w:szCs w:val="20"/>
        </w:rPr>
        <w:t>ffectiveness of our business strategies, to make budgeting decisions, to establish discretionary annual incentive compensation and to compare our performance against that of other peer companies using similar measures. Management supplements U.S. GAAP resu</w:t>
      </w:r>
      <w:r>
        <w:rPr>
          <w:rFonts w:eastAsia="Times New Roman"/>
          <w:color w:val="000000"/>
          <w:sz w:val="20"/>
          <w:szCs w:val="20"/>
        </w:rPr>
        <w:t>lts with Non-GAAP financial measures to provide a more complete understanding of the factors and trends affecting the business than U.S. GAAP results alone.</w:t>
      </w:r>
    </w:p>
    <w:p w:rsidR="00000000" w:rsidRDefault="0039134F">
      <w:pPr>
        <w:jc w:val="center"/>
        <w:divId w:val="1598706720"/>
        <w:rPr>
          <w:rFonts w:eastAsia="Times New Roman"/>
        </w:rPr>
      </w:pPr>
      <w:r>
        <w:rPr>
          <w:rFonts w:eastAsia="Times New Roman"/>
          <w:color w:val="000000"/>
          <w:sz w:val="20"/>
          <w:szCs w:val="20"/>
        </w:rPr>
        <w:t>44</w:t>
      </w:r>
    </w:p>
    <w:p w:rsidR="00000000" w:rsidRDefault="0039134F">
      <w:pPr>
        <w:rPr>
          <w:rFonts w:eastAsia="Times New Roman"/>
        </w:rPr>
      </w:pPr>
      <w:r>
        <w:rPr>
          <w:rFonts w:eastAsia="Times New Roman"/>
        </w:rPr>
        <w:pict>
          <v:rect id="_x0000_i1068" style="width:0;height:1.5pt" o:hralign="center" o:hrstd="t" o:hr="t" fillcolor="#a0a0a0" stroked="f"/>
        </w:pict>
      </w:r>
    </w:p>
    <w:p w:rsidR="00000000" w:rsidRDefault="0039134F">
      <w:pPr>
        <w:divId w:val="288317793"/>
        <w:rPr>
          <w:rFonts w:eastAsia="Times New Roman"/>
        </w:rPr>
      </w:pPr>
      <w:hyperlink w:anchor="i50336ee56f43460a9be6f65c8cd49c0c_7" w:history="1">
        <w:r>
          <w:rPr>
            <w:rStyle w:val="a3"/>
            <w:rFonts w:eastAsia="Times New Roman"/>
            <w:sz w:val="20"/>
            <w:szCs w:val="20"/>
          </w:rPr>
          <w:t>Ta</w:t>
        </w:r>
        <w:r>
          <w:rPr>
            <w:rStyle w:val="a3"/>
            <w:rFonts w:eastAsia="Times New Roman"/>
            <w:sz w:val="20"/>
            <w:szCs w:val="20"/>
          </w:rPr>
          <w:t>ble of Contents</w:t>
        </w:r>
      </w:hyperlink>
    </w:p>
    <w:p w:rsidR="00000000" w:rsidRDefault="0039134F">
      <w:pPr>
        <w:jc w:val="both"/>
        <w:divId w:val="2063602555"/>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income from operations as a measure of financial performance or cash flows provided by operati</w:t>
      </w:r>
      <w:r>
        <w:rPr>
          <w:rFonts w:eastAsia="Times New Roman"/>
          <w:color w:val="000000"/>
          <w:sz w:val="20"/>
          <w:szCs w:val="20"/>
        </w:rPr>
        <w:t>ng activities as a measure of liquidity, or any other performance measure derived in accordance with U.S. GAAP. Additionally, these measures are not intended to be a measure of free cash flow available for management’s discretionary use as they do not cons</w:t>
      </w:r>
      <w:r>
        <w:rPr>
          <w:rFonts w:eastAsia="Times New Roman"/>
          <w:color w:val="000000"/>
          <w:sz w:val="20"/>
          <w:szCs w:val="20"/>
        </w:rPr>
        <w:t>ider certain cash requirements such as interest payments, tax payments and debt service requirements. In evaluating EBITDA and the Company Non-GAAP Measures we may incur expenses in the future that are the same as or similar to some of the adjustments in t</w:t>
      </w:r>
      <w:r>
        <w:rPr>
          <w:rFonts w:eastAsia="Times New Roman"/>
          <w:color w:val="000000"/>
          <w:sz w:val="20"/>
          <w:szCs w:val="20"/>
        </w:rPr>
        <w:t>his presentation. Our presentation of EBITDA and the Company Non-GAAP Measures should not be construed to imply that our future results will be unaffected by any such adjustments. Management compensates for these limitations by primarily relying on our U.S</w:t>
      </w:r>
      <w:r>
        <w:rPr>
          <w:rFonts w:eastAsia="Times New Roman"/>
          <w:color w:val="000000"/>
          <w:sz w:val="20"/>
          <w:szCs w:val="20"/>
        </w:rPr>
        <w:t>. GAAP results in addition to using EBITDA and the Company Non-GAAP Measures.</w:t>
      </w:r>
    </w:p>
    <w:p w:rsidR="00000000" w:rsidRDefault="0039134F">
      <w:pPr>
        <w:jc w:val="both"/>
        <w:divId w:val="1839347959"/>
        <w:rPr>
          <w:rFonts w:eastAsia="Times New Roman"/>
        </w:rPr>
      </w:pPr>
      <w:r>
        <w:rPr>
          <w:rFonts w:eastAsia="Times New Roman"/>
          <w:color w:val="000000"/>
          <w:sz w:val="20"/>
          <w:szCs w:val="20"/>
        </w:rPr>
        <w:t>The presentations of these measures have limitations as analytical tools and should not be considered in isolation, or as a substitute for analysis of our results as reported und</w:t>
      </w:r>
      <w:r>
        <w:rPr>
          <w:rFonts w:eastAsia="Times New Roman"/>
          <w:color w:val="000000"/>
          <w:sz w:val="20"/>
          <w:szCs w:val="20"/>
        </w:rPr>
        <w:t>er U.S. GAAP. Some of these limitations are:</w:t>
      </w:r>
    </w:p>
    <w:p w:rsidR="00000000" w:rsidRDefault="0039134F">
      <w:pPr>
        <w:ind w:hanging="360"/>
        <w:jc w:val="both"/>
        <w:rPr>
          <w:rFonts w:eastAsia="Times New Roman"/>
        </w:rPr>
      </w:pPr>
      <w:r>
        <w:rPr>
          <w:rFonts w:eastAsia="Times New Roman"/>
          <w:color w:val="000000"/>
          <w:sz w:val="20"/>
          <w:szCs w:val="20"/>
        </w:rPr>
        <w:t>•they do not reflect costs or cash outlays for capital expenditures or contractual commitments;</w:t>
      </w:r>
    </w:p>
    <w:p w:rsidR="00000000" w:rsidRDefault="0039134F">
      <w:pPr>
        <w:ind w:hanging="360"/>
        <w:jc w:val="both"/>
        <w:rPr>
          <w:rFonts w:eastAsia="Times New Roman"/>
        </w:rPr>
      </w:pPr>
      <w:r>
        <w:rPr>
          <w:rFonts w:eastAsia="Times New Roman"/>
          <w:color w:val="000000"/>
          <w:sz w:val="20"/>
          <w:szCs w:val="20"/>
        </w:rPr>
        <w:t>•they do not reflect changes in, or cash requirements for, our working capital needs;</w:t>
      </w:r>
    </w:p>
    <w:p w:rsidR="00000000" w:rsidRDefault="0039134F">
      <w:pPr>
        <w:ind w:hanging="360"/>
        <w:jc w:val="both"/>
        <w:rPr>
          <w:rFonts w:eastAsia="Times New Roman"/>
        </w:rPr>
      </w:pPr>
      <w:r>
        <w:rPr>
          <w:rFonts w:eastAsia="Times New Roman"/>
          <w:color w:val="000000"/>
          <w:sz w:val="20"/>
          <w:szCs w:val="20"/>
        </w:rPr>
        <w:t xml:space="preserve">•EBITDA, Adjusted EBITDA and </w:t>
      </w:r>
      <w:r>
        <w:rPr>
          <w:rFonts w:eastAsia="Times New Roman"/>
          <w:color w:val="000000"/>
          <w:sz w:val="20"/>
          <w:szCs w:val="20"/>
        </w:rPr>
        <w:t>Adjusted Operating Income do not reflect the interest expense, or the cash requirements necessary to service interest or principal payments, on our debt;</w:t>
      </w:r>
    </w:p>
    <w:p w:rsidR="00000000" w:rsidRDefault="0039134F">
      <w:pPr>
        <w:ind w:hanging="360"/>
        <w:jc w:val="both"/>
        <w:rPr>
          <w:rFonts w:eastAsia="Times New Roman"/>
        </w:rPr>
      </w:pPr>
      <w:r>
        <w:rPr>
          <w:rFonts w:eastAsia="Times New Roman"/>
          <w:color w:val="000000"/>
          <w:sz w:val="20"/>
          <w:szCs w:val="20"/>
        </w:rPr>
        <w:t>•EBITDA, Adjusted EBITDA and Adjusted Operating Income do not reflect period to period changes in taxe</w:t>
      </w:r>
      <w:r>
        <w:rPr>
          <w:rFonts w:eastAsia="Times New Roman"/>
          <w:color w:val="000000"/>
          <w:sz w:val="20"/>
          <w:szCs w:val="20"/>
        </w:rPr>
        <w:t>s, income tax expense or the cash necessary to pay income taxes;</w:t>
      </w:r>
    </w:p>
    <w:p w:rsidR="00000000" w:rsidRDefault="0039134F">
      <w:pPr>
        <w:ind w:hanging="360"/>
        <w:jc w:val="both"/>
        <w:rPr>
          <w:rFonts w:eastAsia="Times New Roman"/>
        </w:rPr>
      </w:pPr>
      <w:r>
        <w:rPr>
          <w:rFonts w:eastAsia="Times New Roman"/>
          <w:color w:val="000000"/>
          <w:sz w:val="20"/>
          <w:szCs w:val="20"/>
        </w:rPr>
        <w:t>•they do not reflect the impact of earnings or charges resulting from matters we consider not to be indicative of our ongoing operations;</w:t>
      </w:r>
    </w:p>
    <w:p w:rsidR="00000000" w:rsidRDefault="0039134F">
      <w:pPr>
        <w:ind w:hanging="360"/>
        <w:jc w:val="both"/>
        <w:rPr>
          <w:rFonts w:eastAsia="Times New Roman"/>
        </w:rPr>
      </w:pPr>
      <w:r>
        <w:rPr>
          <w:rFonts w:eastAsia="Times New Roman"/>
          <w:color w:val="000000"/>
          <w:sz w:val="20"/>
          <w:szCs w:val="20"/>
        </w:rPr>
        <w:t xml:space="preserve">•although depreciation and amortization are non-cash </w:t>
      </w:r>
      <w:r>
        <w:rPr>
          <w:rFonts w:eastAsia="Times New Roman"/>
          <w:color w:val="000000"/>
          <w:sz w:val="20"/>
          <w:szCs w:val="20"/>
        </w:rPr>
        <w:t>charges, the assets being depreciated and amortized will often have to be replaced in the future, and EBITDA and Adjusted EBITDA do not reflect cash requirements for such replacements; and</w:t>
      </w:r>
    </w:p>
    <w:p w:rsidR="00000000" w:rsidRDefault="0039134F">
      <w:pPr>
        <w:ind w:hanging="360"/>
        <w:jc w:val="both"/>
        <w:divId w:val="13264674"/>
        <w:rPr>
          <w:rFonts w:eastAsia="Times New Roman"/>
        </w:rPr>
      </w:pPr>
      <w:r>
        <w:rPr>
          <w:rFonts w:eastAsia="Times New Roman"/>
          <w:color w:val="000000"/>
          <w:sz w:val="20"/>
          <w:szCs w:val="20"/>
        </w:rPr>
        <w:t>•other companies in our industry may calculate these measures diffe</w:t>
      </w:r>
      <w:r>
        <w:rPr>
          <w:rFonts w:eastAsia="Times New Roman"/>
          <w:color w:val="000000"/>
          <w:sz w:val="20"/>
          <w:szCs w:val="20"/>
        </w:rPr>
        <w:t>rently than we do, limiting their usefulness as comparative measures.</w:t>
      </w:r>
    </w:p>
    <w:p w:rsidR="00000000" w:rsidRDefault="0039134F">
      <w:pPr>
        <w:jc w:val="both"/>
        <w:divId w:val="388697425"/>
        <w:rPr>
          <w:rFonts w:eastAsia="Times New Roman"/>
        </w:rPr>
      </w:pPr>
      <w:r>
        <w:rPr>
          <w:rFonts w:eastAsia="Times New Roman"/>
          <w:color w:val="000000"/>
          <w:sz w:val="20"/>
          <w:szCs w:val="20"/>
        </w:rPr>
        <w:t>Because of these limitations, EBITDA and the Company Non-GAAP Measures should not be considered as measures of discretionary cash available to invest in business growth or to reduce inde</w:t>
      </w:r>
      <w:r>
        <w:rPr>
          <w:rFonts w:eastAsia="Times New Roman"/>
          <w:color w:val="000000"/>
          <w:sz w:val="20"/>
          <w:szCs w:val="20"/>
        </w:rPr>
        <w:t>btedness.</w:t>
      </w:r>
    </w:p>
    <w:p w:rsidR="00000000" w:rsidRDefault="0039134F">
      <w:pPr>
        <w:divId w:val="1848250539"/>
        <w:rPr>
          <w:rFonts w:eastAsia="Times New Roman"/>
        </w:rPr>
      </w:pPr>
      <w:r>
        <w:rPr>
          <w:rFonts w:eastAsia="Times New Roman"/>
          <w:color w:val="000000"/>
          <w:sz w:val="20"/>
          <w:szCs w:val="20"/>
        </w:rPr>
        <w:t>The following table reconciles our Adjusted Operating Income and Adjusted Operating Margin to net income; and EBITDA, Adjusted EBITDA, Adjusted EBITDA Margin and Adjusted Diluted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559"/>
        <w:gridCol w:w="38"/>
        <w:gridCol w:w="120"/>
        <w:gridCol w:w="606"/>
        <w:gridCol w:w="36"/>
        <w:gridCol w:w="57"/>
        <w:gridCol w:w="383"/>
        <w:gridCol w:w="187"/>
        <w:gridCol w:w="36"/>
        <w:gridCol w:w="36"/>
        <w:gridCol w:w="36"/>
        <w:gridCol w:w="120"/>
        <w:gridCol w:w="600"/>
        <w:gridCol w:w="36"/>
        <w:gridCol w:w="60"/>
        <w:gridCol w:w="344"/>
        <w:gridCol w:w="187"/>
        <w:gridCol w:w="36"/>
        <w:gridCol w:w="36"/>
        <w:gridCol w:w="36"/>
        <w:gridCol w:w="120"/>
        <w:gridCol w:w="600"/>
        <w:gridCol w:w="36"/>
        <w:gridCol w:w="55"/>
        <w:gridCol w:w="349"/>
        <w:gridCol w:w="187"/>
        <w:gridCol w:w="36"/>
        <w:gridCol w:w="36"/>
        <w:gridCol w:w="36"/>
        <w:gridCol w:w="120"/>
        <w:gridCol w:w="600"/>
        <w:gridCol w:w="36"/>
        <w:gridCol w:w="47"/>
        <w:gridCol w:w="273"/>
        <w:gridCol w:w="187"/>
      </w:tblGrid>
      <w:tr w:rsidR="00000000">
        <w:trPr>
          <w:divId w:val="441220766"/>
        </w:trPr>
        <w:tc>
          <w:tcPr>
            <w:tcW w:w="50" w:type="pct"/>
            <w:vAlign w:val="center"/>
            <w:hideMark/>
          </w:tcPr>
          <w:p w:rsidR="00000000" w:rsidRDefault="0039134F">
            <w:pPr>
              <w:rPr>
                <w:rFonts w:eastAsia="Times New Roman"/>
              </w:rPr>
            </w:pPr>
          </w:p>
        </w:tc>
        <w:tc>
          <w:tcPr>
            <w:tcW w:w="161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2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2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8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0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2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3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9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441220766"/>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441220766"/>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44122076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7,873 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25,902 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(7,739)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(6,655)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divId w:val="1951938524"/>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2,890 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8,335 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10,840 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20" w:type="dxa"/>
              <w:bottom w:w="30" w:type="dxa"/>
              <w:right w:w="20" w:type="dxa"/>
            </w:tcMar>
            <w:vAlign w:val="bottom"/>
            <w:hideMark/>
          </w:tcPr>
          <w:p w:rsidR="00000000" w:rsidRDefault="0039134F">
            <w:pPr>
              <w:divId w:val="268123886"/>
              <w:rPr>
                <w:rFonts w:eastAsia="Times New Roman"/>
              </w:rPr>
            </w:pPr>
            <w:r>
              <w:rPr>
                <w:rFonts w:eastAsia="Times New Roman"/>
                <w:color w:val="000000"/>
                <w:sz w:val="20"/>
                <w:szCs w:val="20"/>
              </w:rPr>
              <w:t>Loss on extinguishment of debt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divId w:val="1308781098"/>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7,387 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20" w:type="dxa"/>
              <w:bottom w:w="30" w:type="dxa"/>
              <w:right w:w="20" w:type="dxa"/>
            </w:tcMar>
            <w:hideMark/>
          </w:tcPr>
          <w:p w:rsidR="00000000" w:rsidRDefault="0039134F">
            <w:pPr>
              <w:divId w:val="1720932844"/>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divId w:val="1362317258"/>
              <w:rPr>
                <w:rFonts w:eastAsia="Times New Roman"/>
              </w:rPr>
            </w:pPr>
            <w:r>
              <w:rPr>
                <w:rFonts w:eastAsia="Times New Roman"/>
                <w:color w:val="000000"/>
                <w:sz w:val="20"/>
                <w:szCs w:val="20"/>
              </w:rPr>
              <w:t>Secondary offering expenses</w:t>
            </w:r>
            <w:r>
              <w:rPr>
                <w:rFonts w:eastAsia="Times New Roman"/>
                <w:color w:val="000000"/>
                <w:sz w:val="20"/>
                <w:szCs w:val="20"/>
              </w:rPr>
              <w:t xml:space="preserve"> </w:t>
            </w:r>
            <w:r>
              <w:rPr>
                <w:rFonts w:eastAsia="Times New Roman"/>
                <w:color w:val="000000"/>
                <w:sz w:val="13"/>
                <w:szCs w:val="13"/>
              </w:rPr>
              <w:t>(e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20" w:type="dxa"/>
              <w:bottom w:w="30" w:type="dxa"/>
              <w:right w:w="20" w:type="dxa"/>
            </w:tcMar>
            <w:vAlign w:val="bottom"/>
            <w:hideMark/>
          </w:tcPr>
          <w:p w:rsidR="00000000" w:rsidRDefault="0039134F">
            <w:pPr>
              <w:divId w:val="492600720"/>
              <w:rPr>
                <w:rFonts w:eastAsia="Times New Roman"/>
              </w:rPr>
            </w:pPr>
            <w:r>
              <w:rPr>
                <w:rFonts w:eastAsia="Times New Roman"/>
                <w:color w:val="000000"/>
                <w:sz w:val="20"/>
                <w:szCs w:val="20"/>
              </w:rPr>
              <w:t>Management realignment expenses</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2,155 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divId w:val="817234380"/>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1,830 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20" w:type="dxa"/>
              <w:bottom w:w="30" w:type="dxa"/>
              <w:right w:w="20" w:type="dxa"/>
            </w:tcMar>
            <w:vAlign w:val="bottom"/>
            <w:hideMark/>
          </w:tcPr>
          <w:p w:rsidR="00000000" w:rsidRDefault="0039134F">
            <w:pPr>
              <w:divId w:val="2026052370"/>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1,851 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1,851 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5,554 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5,553 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FFFFFF"/>
            <w:tcMar>
              <w:top w:w="30" w:type="dxa"/>
              <w:left w:w="20" w:type="dxa"/>
              <w:bottom w:w="30" w:type="dxa"/>
              <w:right w:w="20" w:type="dxa"/>
            </w:tcMar>
            <w:vAlign w:val="bottom"/>
            <w:hideMark/>
          </w:tcPr>
          <w:p w:rsidR="00000000" w:rsidRDefault="0039134F">
            <w:pPr>
              <w:divId w:val="12466390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(k</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2,180 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67,742 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441220766"/>
        </w:trPr>
        <w:tc>
          <w:tcPr>
            <w:tcW w:w="0" w:type="auto"/>
            <w:gridSpan w:val="36"/>
            <w:shd w:val="clear" w:color="auto" w:fill="FFFFFF"/>
            <w:tcMar>
              <w:top w:w="30" w:type="dxa"/>
              <w:left w:w="20" w:type="dxa"/>
              <w:bottom w:w="30" w:type="dxa"/>
              <w:right w:w="20" w:type="dxa"/>
            </w:tcMar>
            <w:hideMark/>
          </w:tcPr>
          <w:p w:rsidR="00000000" w:rsidRDefault="0039134F">
            <w:pPr>
              <w:divId w:val="1271819545"/>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rsidR="00000000" w:rsidRDefault="0039134F">
            <w:pPr>
              <w:divId w:val="43602315"/>
              <w:rPr>
                <w:rFonts w:eastAsia="Times New Roman"/>
              </w:rPr>
            </w:pPr>
            <w:r>
              <w:rPr>
                <w:rFonts w:eastAsia="Times New Roman"/>
                <w:color w:val="000000"/>
                <w:sz w:val="16"/>
                <w:szCs w:val="16"/>
              </w:rPr>
              <w:t> Some of the percentage totals in the table above do not foot due to rounding differences</w:t>
            </w:r>
          </w:p>
          <w:p w:rsidR="00000000" w:rsidRDefault="0039134F">
            <w:pPr>
              <w:divId w:val="1537738787"/>
              <w:rPr>
                <w:rFonts w:eastAsia="Times New Roman"/>
              </w:rPr>
            </w:pPr>
          </w:p>
        </w:tc>
      </w:tr>
      <w:tr w:rsidR="00000000">
        <w:trPr>
          <w:divId w:val="441220766"/>
          <w:trHeight w:val="300"/>
        </w:trPr>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r>
    </w:tbl>
    <w:p w:rsidR="00000000" w:rsidRDefault="0039134F">
      <w:pPr>
        <w:jc w:val="center"/>
        <w:divId w:val="769938011"/>
        <w:rPr>
          <w:rFonts w:eastAsia="Times New Roman"/>
        </w:rPr>
      </w:pPr>
      <w:r>
        <w:rPr>
          <w:rFonts w:eastAsia="Times New Roman"/>
          <w:color w:val="000000"/>
          <w:sz w:val="20"/>
          <w:szCs w:val="20"/>
        </w:rPr>
        <w:t>45</w:t>
      </w:r>
    </w:p>
    <w:p w:rsidR="00000000" w:rsidRDefault="0039134F">
      <w:pPr>
        <w:rPr>
          <w:rFonts w:eastAsia="Times New Roman"/>
        </w:rPr>
      </w:pPr>
      <w:r>
        <w:rPr>
          <w:rFonts w:eastAsia="Times New Roman"/>
        </w:rPr>
        <w:pict>
          <v:rect id="_x0000_i1069" style="width:0;height:1.5pt" o:hralign="center" o:hrstd="t" o:hr="t" fillcolor="#a0a0a0" stroked="f"/>
        </w:pict>
      </w:r>
    </w:p>
    <w:p w:rsidR="00000000" w:rsidRDefault="0039134F">
      <w:pPr>
        <w:divId w:val="1611206364"/>
        <w:rPr>
          <w:rFonts w:eastAsia="Times New Roman"/>
        </w:rPr>
      </w:pPr>
      <w:hyperlink w:anchor="i50336ee56f43460a9be6f65c8cd49c0c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251"/>
        <w:gridCol w:w="39"/>
        <w:gridCol w:w="120"/>
        <w:gridCol w:w="600"/>
        <w:gridCol w:w="36"/>
        <w:gridCol w:w="58"/>
        <w:gridCol w:w="362"/>
        <w:gridCol w:w="187"/>
        <w:gridCol w:w="36"/>
        <w:gridCol w:w="36"/>
        <w:gridCol w:w="36"/>
        <w:gridCol w:w="120"/>
        <w:gridCol w:w="600"/>
        <w:gridCol w:w="36"/>
        <w:gridCol w:w="60"/>
        <w:gridCol w:w="360"/>
        <w:gridCol w:w="187"/>
        <w:gridCol w:w="36"/>
        <w:gridCol w:w="36"/>
        <w:gridCol w:w="36"/>
        <w:gridCol w:w="120"/>
        <w:gridCol w:w="700"/>
        <w:gridCol w:w="36"/>
        <w:gridCol w:w="60"/>
        <w:gridCol w:w="360"/>
        <w:gridCol w:w="187"/>
        <w:gridCol w:w="36"/>
        <w:gridCol w:w="36"/>
        <w:gridCol w:w="36"/>
        <w:gridCol w:w="120"/>
        <w:gridCol w:w="700"/>
        <w:gridCol w:w="36"/>
        <w:gridCol w:w="61"/>
        <w:gridCol w:w="359"/>
        <w:gridCol w:w="187"/>
      </w:tblGrid>
      <w:tr w:rsidR="00000000">
        <w:trPr>
          <w:divId w:val="16928359"/>
        </w:trPr>
        <w:tc>
          <w:tcPr>
            <w:tcW w:w="50" w:type="pct"/>
            <w:vAlign w:val="center"/>
            <w:hideMark/>
          </w:tcPr>
          <w:p w:rsidR="00000000" w:rsidRDefault="0039134F">
            <w:pPr>
              <w:rPr>
                <w:rFonts w:eastAsia="Times New Roman"/>
              </w:rPr>
            </w:pPr>
          </w:p>
        </w:tc>
        <w:tc>
          <w:tcPr>
            <w:tcW w:w="164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8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13"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6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0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8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0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37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9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6928359"/>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16928359"/>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16928359"/>
        </w:trPr>
        <w:tc>
          <w:tcPr>
            <w:tcW w:w="0" w:type="auto"/>
            <w:gridSpan w:val="3"/>
            <w:vAlign w:val="center"/>
            <w:hideMark/>
          </w:tcPr>
          <w:p w:rsidR="00000000" w:rsidRDefault="0039134F">
            <w:pPr>
              <w:jc w:val="center"/>
              <w:rPr>
                <w:rFonts w:eastAsia="Times New Roman"/>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16928359"/>
        </w:trPr>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c>
          <w:tcPr>
            <w:tcW w:w="0" w:type="auto"/>
            <w:gridSpan w:val="3"/>
            <w:vAlign w:val="center"/>
            <w:hideMark/>
          </w:tcPr>
          <w:p w:rsidR="00000000" w:rsidRDefault="0039134F">
            <w:pPr>
              <w:rPr>
                <w:rFonts w:eastAsia="Times New Roman"/>
                <w:sz w:val="20"/>
                <w:szCs w:val="20"/>
              </w:rPr>
            </w:pP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12,475 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7,873 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35,432 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25,902 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(7,739)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(6,655)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22,236 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22,336 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68,970 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63,570 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98,945 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118,998 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Height w:val="300"/>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divId w:val="977879915"/>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2,890 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6,123 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8,335 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10,840 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vAlign w:val="bottom"/>
            <w:hideMark/>
          </w:tcPr>
          <w:p w:rsidR="00000000" w:rsidRDefault="0039134F">
            <w:pPr>
              <w:divId w:val="238055180"/>
              <w:rPr>
                <w:rFonts w:eastAsia="Times New Roman"/>
              </w:rPr>
            </w:pPr>
            <w:r>
              <w:rPr>
                <w:rFonts w:eastAsia="Times New Roman"/>
                <w:color w:val="000000"/>
                <w:sz w:val="20"/>
                <w:szCs w:val="20"/>
              </w:rPr>
              <w:t>Loss on extinguishment of debt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9,786 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divId w:val="1503668438"/>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7,150 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3,516 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20,916 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7,387 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hideMark/>
          </w:tcPr>
          <w:p w:rsidR="00000000" w:rsidRDefault="0039134F">
            <w:pPr>
              <w:divId w:val="557980352"/>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(d</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divId w:val="1104810038"/>
              <w:rPr>
                <w:rFonts w:eastAsia="Times New Roman"/>
              </w:rPr>
            </w:pPr>
            <w:r>
              <w:rPr>
                <w:rFonts w:eastAsia="Times New Roman"/>
                <w:color w:val="000000"/>
                <w:sz w:val="20"/>
                <w:szCs w:val="20"/>
              </w:rPr>
              <w:t>Secondary offering expenses</w:t>
            </w:r>
            <w:r>
              <w:rPr>
                <w:rFonts w:eastAsia="Times New Roman"/>
                <w:color w:val="000000"/>
                <w:sz w:val="20"/>
                <w:szCs w:val="20"/>
              </w:rPr>
              <w:t xml:space="preserve"> </w:t>
            </w:r>
            <w:r>
              <w:rPr>
                <w:rFonts w:eastAsia="Times New Roman"/>
                <w:color w:val="000000"/>
                <w:sz w:val="13"/>
                <w:szCs w:val="13"/>
              </w:rPr>
              <w:t>(e</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vAlign w:val="bottom"/>
            <w:hideMark/>
          </w:tcPr>
          <w:p w:rsidR="00000000" w:rsidRDefault="0039134F">
            <w:pPr>
              <w:divId w:val="82453278"/>
              <w:rPr>
                <w:rFonts w:eastAsia="Times New Roman"/>
              </w:rPr>
            </w:pPr>
            <w:r>
              <w:rPr>
                <w:rFonts w:eastAsia="Times New Roman"/>
                <w:color w:val="000000"/>
                <w:sz w:val="20"/>
                <w:szCs w:val="20"/>
              </w:rPr>
              <w:t>Management realignment expense</w:t>
            </w:r>
            <w:r>
              <w:rPr>
                <w:rFonts w:eastAsia="Times New Roman"/>
                <w:color w:val="000000"/>
                <w:sz w:val="20"/>
                <w:szCs w:val="20"/>
              </w:rPr>
              <w:t>s</w:t>
            </w:r>
            <w:r>
              <w:rPr>
                <w:rFonts w:eastAsia="Times New Roman"/>
                <w:color w:val="000000"/>
                <w:sz w:val="13"/>
                <w:szCs w:val="13"/>
              </w:rPr>
              <w:t xml:space="preserve"> (f</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2,155 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20" w:type="dxa"/>
              <w:bottom w:w="30" w:type="dxa"/>
              <w:right w:w="20" w:type="dxa"/>
            </w:tcMar>
            <w:vAlign w:val="bottom"/>
            <w:hideMark/>
          </w:tcPr>
          <w:p w:rsidR="00000000" w:rsidRDefault="0039134F">
            <w:pPr>
              <w:divId w:val="1456484486"/>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1,830 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FFFFFF"/>
            <w:tcMar>
              <w:top w:w="30" w:type="dxa"/>
              <w:left w:w="20" w:type="dxa"/>
              <w:bottom w:w="30" w:type="dxa"/>
              <w:right w:w="20" w:type="dxa"/>
            </w:tcMar>
            <w:vAlign w:val="bottom"/>
            <w:hideMark/>
          </w:tcPr>
          <w:p w:rsidR="00000000" w:rsidRDefault="0039134F">
            <w:pPr>
              <w:divId w:val="399333130"/>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(k</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2,180 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4,423 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88,127 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46,552 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134,797 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155,825 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r>
              <w:rPr>
                <w:rFonts w:eastAsia="Times New Roman"/>
                <w:color w:val="000000"/>
                <w:sz w:val="20"/>
                <w:szCs w:val="20"/>
              </w:rPr>
              <w:t>%</w:t>
            </w:r>
          </w:p>
        </w:tc>
      </w:tr>
      <w:tr w:rsidR="00000000">
        <w:trPr>
          <w:divId w:val="16928359"/>
        </w:trPr>
        <w:tc>
          <w:tcPr>
            <w:tcW w:w="0" w:type="auto"/>
            <w:gridSpan w:val="36"/>
            <w:tcMar>
              <w:top w:w="30" w:type="dxa"/>
              <w:left w:w="135" w:type="dxa"/>
              <w:bottom w:w="30" w:type="dxa"/>
              <w:right w:w="20" w:type="dxa"/>
            </w:tcMar>
            <w:hideMark/>
          </w:tcPr>
          <w:p w:rsidR="00000000" w:rsidRDefault="0039134F">
            <w:pPr>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t>Some of the percentage totals in the table above do not foot due to rounding differences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927"/>
        <w:gridCol w:w="144"/>
        <w:gridCol w:w="144"/>
        <w:gridCol w:w="931"/>
        <w:gridCol w:w="144"/>
        <w:gridCol w:w="144"/>
        <w:gridCol w:w="144"/>
        <w:gridCol w:w="144"/>
        <w:gridCol w:w="144"/>
        <w:gridCol w:w="931"/>
        <w:gridCol w:w="144"/>
        <w:gridCol w:w="144"/>
        <w:gridCol w:w="144"/>
        <w:gridCol w:w="144"/>
        <w:gridCol w:w="144"/>
        <w:gridCol w:w="931"/>
        <w:gridCol w:w="144"/>
        <w:gridCol w:w="144"/>
        <w:gridCol w:w="144"/>
        <w:gridCol w:w="144"/>
        <w:gridCol w:w="144"/>
        <w:gridCol w:w="933"/>
        <w:gridCol w:w="144"/>
      </w:tblGrid>
      <w:tr w:rsidR="00000000">
        <w:trPr>
          <w:jc w:val="center"/>
        </w:trPr>
        <w:tc>
          <w:tcPr>
            <w:tcW w:w="50" w:type="pct"/>
            <w:vAlign w:val="center"/>
            <w:hideMark/>
          </w:tcPr>
          <w:p w:rsidR="00000000" w:rsidRDefault="0039134F">
            <w:pPr>
              <w:rPr>
                <w:rFonts w:eastAsia="Times New Roman"/>
              </w:rPr>
            </w:pPr>
          </w:p>
        </w:tc>
        <w:tc>
          <w:tcPr>
            <w:tcW w:w="236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6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6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61"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56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c>
          <w:tcPr>
            <w:tcW w:w="0" w:type="auto"/>
            <w:gridSpan w:val="3"/>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89858949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588737366"/>
              <w:rPr>
                <w:rFonts w:eastAsia="Times New Roman"/>
              </w:rPr>
            </w:pPr>
            <w:r>
              <w:rPr>
                <w:rFonts w:eastAsia="Times New Roman"/>
                <w:color w:val="000000"/>
                <w:sz w:val="20"/>
                <w:szCs w:val="20"/>
              </w:rPr>
              <w:t>Loss on extinguishment of debt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698970241"/>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0.25 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2069185859"/>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903221632"/>
              <w:rPr>
                <w:rFonts w:eastAsia="Times New Roman"/>
              </w:rPr>
            </w:pPr>
            <w:r>
              <w:rPr>
                <w:rFonts w:eastAsia="Times New Roman"/>
                <w:color w:val="000000"/>
                <w:sz w:val="20"/>
                <w:szCs w:val="20"/>
              </w:rPr>
              <w:t>Secondary offering expenses</w:t>
            </w:r>
            <w:r>
              <w:rPr>
                <w:rFonts w:eastAsia="Times New Roman"/>
                <w:color w:val="000000"/>
                <w:sz w:val="20"/>
                <w:szCs w:val="20"/>
              </w:rPr>
              <w:t xml:space="preserve"> </w:t>
            </w:r>
            <w:r>
              <w:rPr>
                <w:rFonts w:eastAsia="Times New Roman"/>
                <w:color w:val="000000"/>
                <w:sz w:val="13"/>
                <w:szCs w:val="13"/>
              </w:rPr>
              <w:t>(e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730031485"/>
              <w:rPr>
                <w:rFonts w:eastAsia="Times New Roman"/>
              </w:rPr>
            </w:pPr>
            <w:r>
              <w:rPr>
                <w:rFonts w:eastAsia="Times New Roman"/>
                <w:color w:val="000000"/>
                <w:sz w:val="20"/>
                <w:szCs w:val="20"/>
              </w:rPr>
              <w:t>Management realignment expenses</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998654584"/>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457798518"/>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747070533"/>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(i</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703554526"/>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(j</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564292222"/>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(k</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9134F">
            <w:pPr>
              <w:divId w:val="1659455099"/>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(l</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(0.09)</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9134F">
            <w:pPr>
              <w:divId w:val="1806963937"/>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(m</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Weighted average diluted shares outstanding</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83,795 </w:t>
            </w:r>
          </w:p>
        </w:tc>
        <w:tc>
          <w:tcPr>
            <w:tcW w:w="0" w:type="auto"/>
            <w:tcBorders>
              <w:bottom w:val="single" w:sz="8" w:space="0" w:color="000000"/>
            </w:tcBorders>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81,561 </w:t>
            </w:r>
          </w:p>
        </w:tc>
        <w:tc>
          <w:tcPr>
            <w:tcW w:w="0" w:type="auto"/>
            <w:tcBorders>
              <w:bottom w:val="single" w:sz="8" w:space="0" w:color="000000"/>
            </w:tcBorders>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82,718 </w:t>
            </w:r>
          </w:p>
        </w:tc>
        <w:tc>
          <w:tcPr>
            <w:tcW w:w="0" w:type="auto"/>
            <w:tcBorders>
              <w:bottom w:val="single" w:sz="8" w:space="0" w:color="000000"/>
            </w:tcBorders>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81,510 </w:t>
            </w:r>
          </w:p>
        </w:tc>
        <w:tc>
          <w:tcPr>
            <w:tcW w:w="0" w:type="auto"/>
            <w:tcBorders>
              <w:bottom w:val="single" w:sz="8" w:space="0" w:color="000000"/>
            </w:tcBorders>
            <w:tcMar>
              <w:top w:w="30" w:type="dxa"/>
              <w:left w:w="0" w:type="dxa"/>
              <w:bottom w:w="30" w:type="dxa"/>
              <w:right w:w="20" w:type="dxa"/>
            </w:tcMar>
            <w:vAlign w:val="bottom"/>
            <w:hideMark/>
          </w:tcPr>
          <w:p w:rsidR="00000000" w:rsidRDefault="0039134F">
            <w:pPr>
              <w:jc w:val="right"/>
              <w:rPr>
                <w:rFonts w:eastAsia="Times New Roman"/>
              </w:rPr>
            </w:pPr>
          </w:p>
        </w:tc>
      </w:tr>
      <w:tr w:rsidR="00000000">
        <w:trPr>
          <w:jc w:val="center"/>
        </w:trPr>
        <w:tc>
          <w:tcPr>
            <w:tcW w:w="0" w:type="auto"/>
            <w:gridSpan w:val="24"/>
            <w:tcMar>
              <w:top w:w="30" w:type="dxa"/>
              <w:left w:w="20" w:type="dxa"/>
              <w:bottom w:w="30" w:type="dxa"/>
              <w:right w:w="20" w:type="dxa"/>
            </w:tcMar>
            <w:vAlign w:val="bottom"/>
            <w:hideMark/>
          </w:tcPr>
          <w:p w:rsidR="00000000" w:rsidRDefault="0039134F">
            <w:pPr>
              <w:ind w:firstLine="90"/>
              <w:divId w:val="11693213"/>
              <w:rPr>
                <w:rFonts w:eastAsia="Times New Roman"/>
              </w:rPr>
            </w:pPr>
            <w:r>
              <w:rPr>
                <w:rFonts w:eastAsia="Times New Roman"/>
                <w:color w:val="000000"/>
                <w:sz w:val="16"/>
                <w:szCs w:val="16"/>
              </w:rPr>
              <w:t>Note: Some of the totals in the table above do not foot due to rounding differences</w:t>
            </w:r>
          </w:p>
        </w:tc>
      </w:tr>
    </w:tbl>
    <w:p w:rsidR="00000000" w:rsidRDefault="0039134F">
      <w:pPr>
        <w:ind w:hanging="360"/>
        <w:jc w:val="both"/>
        <w:rPr>
          <w:rFonts w:eastAsia="Times New Roman"/>
        </w:rPr>
      </w:pPr>
      <w:r>
        <w:rPr>
          <w:rFonts w:eastAsia="Times New Roman"/>
          <w:color w:val="000000"/>
          <w:sz w:val="16"/>
          <w:szCs w:val="16"/>
        </w:rPr>
        <w:t>(a)Non-cash charges related to stock-based compensation programs, which vary from period to period depending on the timing of awards and performance vesting conditions.</w:t>
      </w:r>
    </w:p>
    <w:p w:rsidR="00000000" w:rsidRDefault="0039134F">
      <w:pPr>
        <w:ind w:hanging="360"/>
        <w:jc w:val="both"/>
        <w:rPr>
          <w:rFonts w:eastAsia="Times New Roman"/>
        </w:rPr>
      </w:pPr>
      <w:r>
        <w:rPr>
          <w:rFonts w:eastAsia="Times New Roman"/>
          <w:color w:val="000000"/>
          <w:sz w:val="16"/>
          <w:szCs w:val="16"/>
        </w:rPr>
        <w:t>(b)Reflects write-off of deferred financing fees related to the extinguish</w:t>
      </w:r>
      <w:r>
        <w:rPr>
          <w:rFonts w:eastAsia="Times New Roman"/>
          <w:color w:val="000000"/>
          <w:sz w:val="16"/>
          <w:szCs w:val="16"/>
        </w:rPr>
        <w:t>ment of debt.</w:t>
      </w:r>
    </w:p>
    <w:p w:rsidR="00000000" w:rsidRDefault="0039134F">
      <w:pPr>
        <w:ind w:hanging="360"/>
        <w:jc w:val="both"/>
        <w:rPr>
          <w:rFonts w:eastAsia="Times New Roman"/>
        </w:rPr>
      </w:pPr>
      <w:r>
        <w:rPr>
          <w:rFonts w:eastAsia="Times New Roman"/>
          <w:color w:val="000000"/>
          <w:sz w:val="16"/>
          <w:szCs w:val="16"/>
        </w:rPr>
        <w:t>(c)</w:t>
      </w:r>
      <w:r>
        <w:rPr>
          <w:rFonts w:eastAsia="Times New Roman"/>
          <w:color w:val="000000"/>
          <w:sz w:val="16"/>
          <w:szCs w:val="16"/>
        </w:rPr>
        <w:t>Reflects write-off of property, equipment and lease related assets on closed or underperforming stores for the three and nine months ended September 26, 2020 and September 28, 2019.</w:t>
      </w:r>
    </w:p>
    <w:p w:rsidR="00000000" w:rsidRDefault="0039134F">
      <w:pPr>
        <w:ind w:hanging="360"/>
        <w:jc w:val="both"/>
        <w:rPr>
          <w:rFonts w:eastAsia="Times New Roman"/>
        </w:rPr>
      </w:pPr>
      <w:r>
        <w:rPr>
          <w:rFonts w:eastAsia="Times New Roman"/>
          <w:color w:val="000000"/>
          <w:sz w:val="16"/>
          <w:szCs w:val="16"/>
        </w:rPr>
        <w:t>(d)Expenses associated with settlement of litigation. See Note 10. “Commit</w:t>
      </w:r>
      <w:r>
        <w:rPr>
          <w:rFonts w:eastAsia="Times New Roman"/>
          <w:color w:val="000000"/>
          <w:sz w:val="16"/>
          <w:szCs w:val="16"/>
        </w:rPr>
        <w:t>ments and Contingencies” for further details.</w:t>
      </w:r>
    </w:p>
    <w:p w:rsidR="00000000" w:rsidRDefault="0039134F">
      <w:pPr>
        <w:ind w:hanging="360"/>
        <w:jc w:val="both"/>
        <w:rPr>
          <w:rFonts w:eastAsia="Times New Roman"/>
        </w:rPr>
      </w:pPr>
      <w:r>
        <w:rPr>
          <w:rFonts w:eastAsia="Times New Roman"/>
          <w:color w:val="000000"/>
          <w:sz w:val="16"/>
          <w:szCs w:val="16"/>
        </w:rPr>
        <w:t>(e)Expenses related to our secondary public offerings.</w:t>
      </w:r>
    </w:p>
    <w:p w:rsidR="00000000" w:rsidRDefault="0039134F">
      <w:pPr>
        <w:jc w:val="center"/>
        <w:divId w:val="1104957569"/>
        <w:rPr>
          <w:rFonts w:eastAsia="Times New Roman"/>
        </w:rPr>
      </w:pPr>
      <w:r>
        <w:rPr>
          <w:rFonts w:eastAsia="Times New Roman"/>
          <w:color w:val="000000"/>
          <w:sz w:val="20"/>
          <w:szCs w:val="20"/>
        </w:rPr>
        <w:t>46</w:t>
      </w:r>
    </w:p>
    <w:p w:rsidR="00000000" w:rsidRDefault="0039134F">
      <w:pPr>
        <w:rPr>
          <w:rFonts w:eastAsia="Times New Roman"/>
        </w:rPr>
      </w:pPr>
      <w:r>
        <w:rPr>
          <w:rFonts w:eastAsia="Times New Roman"/>
        </w:rPr>
        <w:pict>
          <v:rect id="_x0000_i1070" style="width:0;height:1.5pt" o:hralign="center" o:hrstd="t" o:hr="t" fillcolor="#a0a0a0" stroked="f"/>
        </w:pict>
      </w:r>
    </w:p>
    <w:p w:rsidR="00000000" w:rsidRDefault="0039134F">
      <w:pPr>
        <w:divId w:val="247925303"/>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ind w:hanging="360"/>
        <w:jc w:val="both"/>
        <w:rPr>
          <w:rFonts w:eastAsia="Times New Roman"/>
        </w:rPr>
      </w:pPr>
      <w:r>
        <w:rPr>
          <w:rFonts w:eastAsia="Times New Roman"/>
          <w:color w:val="000000"/>
          <w:sz w:val="16"/>
          <w:szCs w:val="16"/>
        </w:rPr>
        <w:t>(f)Expenses related to a non-recurring management realignment described in our Current Report on Form 8-K filed with the SEC on January 10, 2019</w:t>
      </w:r>
      <w:r>
        <w:rPr>
          <w:rFonts w:eastAsia="Times New Roman"/>
          <w:color w:val="000000"/>
          <w:sz w:val="16"/>
          <w:szCs w:val="16"/>
        </w:rPr>
        <w:t>.</w:t>
      </w:r>
    </w:p>
    <w:p w:rsidR="00000000" w:rsidRDefault="0039134F">
      <w:pPr>
        <w:ind w:hanging="360"/>
        <w:jc w:val="both"/>
        <w:rPr>
          <w:rFonts w:eastAsia="Times New Roman"/>
        </w:rPr>
      </w:pPr>
      <w:r>
        <w:rPr>
          <w:rFonts w:eastAsia="Times New Roman"/>
          <w:color w:val="000000"/>
          <w:sz w:val="16"/>
          <w:szCs w:val="16"/>
        </w:rPr>
        <w:t>(g)Expenses pursuant to a long-term incentive plan for non-executive employees who were not participants in the management equity plan for fiscal year 2019. This plan was effective in 2014 following the acquisition of the Company by affiliates of KKR &amp; C</w:t>
      </w:r>
      <w:r>
        <w:rPr>
          <w:rFonts w:eastAsia="Times New Roman"/>
          <w:color w:val="000000"/>
          <w:sz w:val="16"/>
          <w:szCs w:val="16"/>
        </w:rPr>
        <w:t>o. Inc. (the "KKR Acquisition”).</w:t>
      </w:r>
    </w:p>
    <w:p w:rsidR="00000000" w:rsidRDefault="0039134F">
      <w:pPr>
        <w:ind w:hanging="360"/>
        <w:jc w:val="both"/>
        <w:rPr>
          <w:rFonts w:eastAsia="Times New Roman"/>
        </w:rPr>
      </w:pPr>
      <w:r>
        <w:rPr>
          <w:rFonts w:eastAsia="Times New Roman"/>
          <w:color w:val="000000"/>
          <w:sz w:val="16"/>
          <w:szCs w:val="16"/>
        </w:rPr>
        <w:t>(h)Amortization of the increase in carrying values of finite-lived intangible assets resulting from the application of purchase accounting to the KKR Acquisition.</w:t>
      </w:r>
    </w:p>
    <w:p w:rsidR="00000000" w:rsidRDefault="0039134F">
      <w:pPr>
        <w:ind w:hanging="360"/>
        <w:jc w:val="both"/>
        <w:rPr>
          <w:rFonts w:eastAsia="Times New Roman"/>
        </w:rPr>
      </w:pPr>
      <w:r>
        <w:rPr>
          <w:rFonts w:eastAsia="Times New Roman"/>
          <w:color w:val="000000"/>
          <w:sz w:val="16"/>
          <w:szCs w:val="16"/>
        </w:rPr>
        <w:t>(i)Amortization of debt discount is associated with the amor</w:t>
      </w:r>
      <w:r>
        <w:rPr>
          <w:rFonts w:eastAsia="Times New Roman"/>
          <w:color w:val="000000"/>
          <w:sz w:val="16"/>
          <w:szCs w:val="16"/>
        </w:rPr>
        <w:t xml:space="preserve">tization of the conversion feature related to the convertible note and amortization of deferred financing costs relate to the convertible notes, term loan and revolving credit facility borrowings. Amortization of debt discount and deferred financing costs </w:t>
      </w:r>
      <w:r>
        <w:rPr>
          <w:rFonts w:eastAsia="Times New Roman"/>
          <w:color w:val="000000"/>
          <w:sz w:val="16"/>
          <w:szCs w:val="16"/>
        </w:rPr>
        <w:t>in aggregate total $4.5 million and $0.2 million for the three months ended September 26, 2020 and September 28, 2019, respectively, and $7.2 million and $1.1 million for the nine months ended September 26, 2020 and September 28, 2019, respectively.</w:t>
      </w:r>
    </w:p>
    <w:p w:rsidR="00000000" w:rsidRDefault="0039134F">
      <w:pPr>
        <w:ind w:hanging="360"/>
        <w:jc w:val="both"/>
        <w:rPr>
          <w:rFonts w:eastAsia="Times New Roman"/>
        </w:rPr>
      </w:pPr>
      <w:r>
        <w:rPr>
          <w:rFonts w:eastAsia="Times New Roman"/>
          <w:color w:val="000000"/>
          <w:sz w:val="16"/>
          <w:szCs w:val="16"/>
        </w:rPr>
        <w:t>(j)Ref</w:t>
      </w:r>
      <w:r>
        <w:rPr>
          <w:rFonts w:eastAsia="Times New Roman"/>
          <w:color w:val="000000"/>
          <w:sz w:val="16"/>
          <w:szCs w:val="16"/>
        </w:rPr>
        <w:t>lects $0.3 million of gains recognized in interest expense on change in fair value of de-designated hedges for the three months ended September 26, 2020 and $4.6 million of losses for the nine months ended September 26, 2020.</w:t>
      </w:r>
    </w:p>
    <w:p w:rsidR="00000000" w:rsidRDefault="0039134F">
      <w:pPr>
        <w:ind w:hanging="360"/>
        <w:jc w:val="both"/>
        <w:rPr>
          <w:rFonts w:eastAsia="Times New Roman"/>
        </w:rPr>
      </w:pPr>
      <w:r>
        <w:rPr>
          <w:rFonts w:eastAsia="Times New Roman"/>
          <w:color w:val="000000"/>
          <w:sz w:val="16"/>
          <w:szCs w:val="16"/>
        </w:rPr>
        <w:t>(k)Other adjustments include a</w:t>
      </w:r>
      <w:r>
        <w:rPr>
          <w:rFonts w:eastAsia="Times New Roman"/>
          <w:color w:val="000000"/>
          <w:sz w:val="16"/>
          <w:szCs w:val="16"/>
        </w:rPr>
        <w:t>mounts that management believes are not representative of our operating performance (amounts in brackets represent reductions in Adjusted Operating Income, Adjusted Diluted EPS and Adjusted EBITDA), including our share of losses on equity method investment</w:t>
      </w:r>
      <w:r>
        <w:rPr>
          <w:rFonts w:eastAsia="Times New Roman"/>
          <w:color w:val="000000"/>
          <w:sz w:val="16"/>
          <w:szCs w:val="16"/>
        </w:rPr>
        <w:t xml:space="preserve">s of $0.2 million for the three months ended September 28, 2019 and $1.2 million for the nine months ended September 28, 2019; the amortization impact of adjustments related to the KKR Acquisition, (e.g., fair value of leasehold interests) of $0.1 million </w:t>
      </w:r>
      <w:r>
        <w:rPr>
          <w:rFonts w:eastAsia="Times New Roman"/>
          <w:color w:val="000000"/>
          <w:sz w:val="16"/>
          <w:szCs w:val="16"/>
        </w:rPr>
        <w:t>for each of the three months ended September 26, 2020 and September 28, 2019, respectively and $0.4 million and $0.3 million for the nine months ended September 26, 2020 and September 28, 2019, respectively; costs of severance and relocation of $0.6 millio</w:t>
      </w:r>
      <w:r>
        <w:rPr>
          <w:rFonts w:eastAsia="Times New Roman"/>
          <w:color w:val="000000"/>
          <w:sz w:val="16"/>
          <w:szCs w:val="16"/>
        </w:rPr>
        <w:t>n and $1.0 million for the three months ended September 26, 2020 and September 28, 2019, respectively, and $1.1 million and $1.8 million for the nine months ended September 26, 2020 and September 28, 2019, respectively; excess payroll taxes related to stoc</w:t>
      </w:r>
      <w:r>
        <w:rPr>
          <w:rFonts w:eastAsia="Times New Roman"/>
          <w:color w:val="000000"/>
          <w:sz w:val="16"/>
          <w:szCs w:val="16"/>
        </w:rPr>
        <w:t>k option exercises of $0.2 million and $0.5 million for the three months ended September 26, 2020 and September 28, 2019, respectively, and $0.6 million for each of the nine months ended September 26, 2020 and September 28, 2019; incremental costs directly</w:t>
      </w:r>
      <w:r>
        <w:rPr>
          <w:rFonts w:eastAsia="Times New Roman"/>
          <w:color w:val="000000"/>
          <w:sz w:val="16"/>
          <w:szCs w:val="16"/>
        </w:rPr>
        <w:t xml:space="preserve"> related to adapting the Company’s operations during the COVID-19 pandemic of $0.6 million for the nine months ended September 26, 2020; and other expenses and adjustments totaling $0.1 million and $0.2 million for the three months ended September 26, 2020</w:t>
      </w:r>
      <w:r>
        <w:rPr>
          <w:rFonts w:eastAsia="Times New Roman"/>
          <w:color w:val="000000"/>
          <w:sz w:val="16"/>
          <w:szCs w:val="16"/>
        </w:rPr>
        <w:t xml:space="preserve"> and September 28, 2019, respectively, and $(0.5) million and $0.5 million for the nine months ended September 26, 2020 and September 28, 2019, respectively. </w:t>
      </w:r>
    </w:p>
    <w:p w:rsidR="00000000" w:rsidRDefault="0039134F">
      <w:pPr>
        <w:ind w:hanging="360"/>
        <w:jc w:val="both"/>
        <w:rPr>
          <w:rFonts w:eastAsia="Times New Roman"/>
        </w:rPr>
      </w:pPr>
      <w:r>
        <w:rPr>
          <w:rFonts w:eastAsia="Times New Roman"/>
          <w:color w:val="000000"/>
          <w:sz w:val="16"/>
          <w:szCs w:val="16"/>
        </w:rPr>
        <w:t>(l)Tax benefit associated with accounting guidance requiring excess tax benefits related to stock</w:t>
      </w:r>
      <w:r>
        <w:rPr>
          <w:rFonts w:eastAsia="Times New Roman"/>
          <w:color w:val="000000"/>
          <w:sz w:val="16"/>
          <w:szCs w:val="16"/>
        </w:rPr>
        <w:t xml:space="preserve"> option exercises to be recorded in earnings as discrete items in the reporting period in which they occur.</w:t>
      </w:r>
    </w:p>
    <w:p w:rsidR="00000000" w:rsidRDefault="0039134F">
      <w:pPr>
        <w:ind w:hanging="360"/>
        <w:jc w:val="both"/>
        <w:rPr>
          <w:rFonts w:eastAsia="Times New Roman"/>
        </w:rPr>
      </w:pPr>
      <w:r>
        <w:rPr>
          <w:rFonts w:eastAsia="Times New Roman"/>
          <w:color w:val="000000"/>
          <w:sz w:val="16"/>
          <w:szCs w:val="16"/>
        </w:rPr>
        <w:t>(m)Represents the income tax effect of the total adjustments at our combined statutory federal and state income tax rates.</w:t>
      </w:r>
    </w:p>
    <w:p w:rsidR="00000000" w:rsidRDefault="0039134F">
      <w:pPr>
        <w:jc w:val="both"/>
        <w:rPr>
          <w:rFonts w:eastAsia="Times New Roman"/>
        </w:rPr>
      </w:pPr>
    </w:p>
    <w:p w:rsidR="00000000" w:rsidRDefault="0039134F">
      <w:pPr>
        <w:jc w:val="both"/>
        <w:divId w:val="2090731627"/>
        <w:rPr>
          <w:rFonts w:eastAsia="Times New Roman"/>
        </w:rPr>
      </w:pPr>
      <w:r>
        <w:rPr>
          <w:rFonts w:eastAsia="Times New Roman"/>
          <w:b/>
          <w:bCs/>
          <w:color w:val="000000"/>
          <w:sz w:val="20"/>
          <w:szCs w:val="20"/>
        </w:rPr>
        <w:t>Liquidity and Capital R</w:t>
      </w:r>
      <w:r>
        <w:rPr>
          <w:rFonts w:eastAsia="Times New Roman"/>
          <w:b/>
          <w:bCs/>
          <w:color w:val="000000"/>
          <w:sz w:val="20"/>
          <w:szCs w:val="20"/>
        </w:rPr>
        <w:t>esources</w:t>
      </w:r>
    </w:p>
    <w:p w:rsidR="00000000" w:rsidRDefault="0039134F">
      <w:pPr>
        <w:jc w:val="both"/>
        <w:divId w:val="1837767252"/>
        <w:rPr>
          <w:rFonts w:eastAsia="Times New Roman"/>
        </w:rPr>
      </w:pPr>
      <w:r>
        <w:rPr>
          <w:rFonts w:eastAsia="Times New Roman"/>
          <w:color w:val="000000"/>
          <w:sz w:val="20"/>
          <w:szCs w:val="20"/>
          <w:shd w:val="clear" w:color="auto" w:fill="FFFFFF"/>
        </w:rPr>
        <w:t>As described in more detail below, on May 5, 2020, we entered into the Credit Agreement Amendment with the lenders under our credit facility in order to prevent the effects of the COVID-19 pandemic, including the temporary closure of our stores, f</w:t>
      </w:r>
      <w:r>
        <w:rPr>
          <w:rFonts w:eastAsia="Times New Roman"/>
          <w:color w:val="000000"/>
          <w:sz w:val="20"/>
          <w:szCs w:val="20"/>
          <w:shd w:val="clear" w:color="auto" w:fill="FFFFFF"/>
        </w:rPr>
        <w:t>rom creating uncertainty relative to our ability to comply with certain financial covenants and allow the Company to focus on prudent management of the business over</w:t>
      </w:r>
      <w:r>
        <w:rPr>
          <w:rFonts w:eastAsia="Times New Roman"/>
          <w:color w:val="000000"/>
          <w:sz w:val="20"/>
          <w:szCs w:val="20"/>
        </w:rPr>
        <w:t xml:space="preserve"> the quarters ahead. In addition, on May 12, 2020, we completed the issuance of the 2025 No</w:t>
      </w:r>
      <w:r>
        <w:rPr>
          <w:rFonts w:eastAsia="Times New Roman"/>
          <w:color w:val="000000"/>
          <w:sz w:val="20"/>
          <w:szCs w:val="20"/>
        </w:rPr>
        <w:t>tes and we used the net proceeds of this offering to repay a portion of the outstanding borrowings on our term loan and revolving credit facility. Our primary cash needs are for inventory, payroll, store rent, capital expenditures associated with new store</w:t>
      </w:r>
      <w:r>
        <w:rPr>
          <w:rFonts w:eastAsia="Times New Roman"/>
          <w:color w:val="000000"/>
          <w:sz w:val="20"/>
          <w:szCs w:val="20"/>
        </w:rPr>
        <w:t>s and updating existing stores, as well as information technology and infrastructure, including our corporate office, distribution centers, and laboratories. We continue to prioritize cash conservation and prudent use of cash, while safely conducting norma</w:t>
      </w:r>
      <w:r>
        <w:rPr>
          <w:rFonts w:eastAsia="Times New Roman"/>
          <w:color w:val="000000"/>
          <w:sz w:val="20"/>
          <w:szCs w:val="20"/>
        </w:rPr>
        <w:t>l operations. The most significant components of our operating assets and liabilities are inventories, accounts receivable, prepaid expenses and other assets, accounts payable, deferred and unearned revenue and other payables and accrued expenses. We belie</w:t>
      </w:r>
      <w:r>
        <w:rPr>
          <w:rFonts w:eastAsia="Times New Roman"/>
          <w:color w:val="000000"/>
          <w:sz w:val="20"/>
          <w:szCs w:val="20"/>
        </w:rPr>
        <w:t>ve that cash on hand, cash expected to be generated from operations and the cash available through our revolving credit facility will be sufficient to fund our working capital requirements, liquidity obligations, anticipated capital expenditures, and payme</w:t>
      </w:r>
      <w:r>
        <w:rPr>
          <w:rFonts w:eastAsia="Times New Roman"/>
          <w:color w:val="000000"/>
          <w:sz w:val="20"/>
          <w:szCs w:val="20"/>
        </w:rPr>
        <w:t>nts due under our existing credit facilities for at least the next 12 months. The Company is continuing to evaluate additional measures that it may elect to take as it continues to respond to the impact of COVID-19 on its business. There can be no assuranc</w:t>
      </w:r>
      <w:r>
        <w:rPr>
          <w:rFonts w:eastAsia="Times New Roman"/>
          <w:color w:val="000000"/>
          <w:sz w:val="20"/>
          <w:szCs w:val="20"/>
        </w:rPr>
        <w:t>e whether or when any such measures will be adopted.</w:t>
      </w:r>
    </w:p>
    <w:p w:rsidR="00000000" w:rsidRDefault="0039134F">
      <w:pPr>
        <w:jc w:val="both"/>
        <w:divId w:val="518470271"/>
        <w:rPr>
          <w:rFonts w:eastAsia="Times New Roman"/>
        </w:rPr>
      </w:pPr>
      <w:r>
        <w:rPr>
          <w:rFonts w:eastAsia="Times New Roman"/>
          <w:color w:val="000000"/>
          <w:sz w:val="20"/>
          <w:szCs w:val="20"/>
        </w:rPr>
        <w:t xml:space="preserve">As of September 26, 2020, we had $377.0 million in cash and cash equivalents and $294.3 million of availability under our revolving credit facility, which includes $5.7 million in outstanding letters of </w:t>
      </w:r>
      <w:r>
        <w:rPr>
          <w:rFonts w:eastAsia="Times New Roman"/>
          <w:color w:val="000000"/>
          <w:sz w:val="20"/>
          <w:szCs w:val="20"/>
        </w:rPr>
        <w:t>credit.</w:t>
      </w:r>
    </w:p>
    <w:p w:rsidR="00000000" w:rsidRDefault="0039134F">
      <w:pPr>
        <w:jc w:val="both"/>
        <w:divId w:val="707492499"/>
        <w:rPr>
          <w:rFonts w:eastAsia="Times New Roman"/>
        </w:rPr>
      </w:pPr>
      <w:r>
        <w:rPr>
          <w:rFonts w:eastAsia="Times New Roman"/>
          <w:color w:val="000000"/>
          <w:sz w:val="20"/>
          <w:szCs w:val="20"/>
        </w:rPr>
        <w:t>We purchased $40.8 million in capital items in the nine months ended September 26, 2020. Approximately 80% of our capital spend is related to our expected growth (i.e., new stores, optometric equipment, additional capacity in our optical laboratori</w:t>
      </w:r>
      <w:r>
        <w:rPr>
          <w:rFonts w:eastAsia="Times New Roman"/>
          <w:color w:val="000000"/>
          <w:sz w:val="20"/>
          <w:szCs w:val="20"/>
        </w:rPr>
        <w:t>es and distribution centers, and our IT infrastructure, including omni-channel platform related investments). Our working capital requirements for inventory will increase as we continue to open additional stores. We primarily fund our working capital needs</w:t>
      </w:r>
      <w:r>
        <w:rPr>
          <w:rFonts w:eastAsia="Times New Roman"/>
          <w:color w:val="000000"/>
          <w:sz w:val="20"/>
          <w:szCs w:val="20"/>
        </w:rPr>
        <w:t xml:space="preserve"> using cash provided by operations.</w:t>
      </w:r>
    </w:p>
    <w:p w:rsidR="00000000" w:rsidRDefault="0039134F">
      <w:pPr>
        <w:jc w:val="center"/>
        <w:divId w:val="398596438"/>
        <w:rPr>
          <w:rFonts w:eastAsia="Times New Roman"/>
        </w:rPr>
      </w:pPr>
      <w:r>
        <w:rPr>
          <w:rFonts w:eastAsia="Times New Roman"/>
          <w:color w:val="000000"/>
          <w:sz w:val="20"/>
          <w:szCs w:val="20"/>
        </w:rPr>
        <w:t>47</w:t>
      </w:r>
    </w:p>
    <w:p w:rsidR="00000000" w:rsidRDefault="0039134F">
      <w:pPr>
        <w:rPr>
          <w:rFonts w:eastAsia="Times New Roman"/>
        </w:rPr>
      </w:pPr>
      <w:r>
        <w:rPr>
          <w:rFonts w:eastAsia="Times New Roman"/>
        </w:rPr>
        <w:pict>
          <v:rect id="_x0000_i1071" style="width:0;height:1.5pt" o:hralign="center" o:hrstd="t" o:hr="t" fillcolor="#a0a0a0" stroked="f"/>
        </w:pict>
      </w:r>
    </w:p>
    <w:p w:rsidR="00000000" w:rsidRDefault="0039134F">
      <w:pPr>
        <w:divId w:val="1146243438"/>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366954492"/>
        <w:rPr>
          <w:rFonts w:eastAsia="Times New Roman"/>
        </w:rPr>
      </w:pPr>
      <w:r>
        <w:rPr>
          <w:rFonts w:eastAsia="Times New Roman"/>
          <w:color w:val="000000"/>
          <w:sz w:val="20"/>
          <w:szCs w:val="20"/>
        </w:rPr>
        <w:t>The following table summarizes cash flows provided by (used for) operating activities, investing activit</w:t>
      </w:r>
      <w:r>
        <w:rPr>
          <w:rFonts w:eastAsia="Times New Roman"/>
          <w:color w:val="000000"/>
          <w:sz w:val="20"/>
          <w:szCs w:val="20"/>
        </w:rPr>
        <w: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1"/>
        <w:gridCol w:w="1289"/>
        <w:gridCol w:w="36"/>
        <w:gridCol w:w="36"/>
        <w:gridCol w:w="36"/>
        <w:gridCol w:w="36"/>
        <w:gridCol w:w="121"/>
        <w:gridCol w:w="1260"/>
        <w:gridCol w:w="36"/>
      </w:tblGrid>
      <w:tr w:rsidR="00000000">
        <w:trPr>
          <w:divId w:val="898588737"/>
        </w:trPr>
        <w:tc>
          <w:tcPr>
            <w:tcW w:w="50" w:type="pct"/>
            <w:vAlign w:val="center"/>
            <w:hideMark/>
          </w:tcPr>
          <w:p w:rsidR="00000000" w:rsidRDefault="0039134F">
            <w:pPr>
              <w:jc w:val="both"/>
              <w:rPr>
                <w:rFonts w:eastAsia="Times New Roman"/>
              </w:rPr>
            </w:pPr>
          </w:p>
        </w:tc>
        <w:tc>
          <w:tcPr>
            <w:tcW w:w="31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0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3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80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898588737"/>
        </w:trPr>
        <w:tc>
          <w:tcPr>
            <w:tcW w:w="0" w:type="auto"/>
            <w:gridSpan w:val="3"/>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Nine Months Ended</w:t>
            </w:r>
          </w:p>
        </w:tc>
      </w:tr>
      <w:tr w:rsidR="00000000">
        <w:trPr>
          <w:divId w:val="898588737"/>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134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jc w:val="center"/>
              <w:rPr>
                <w:rFonts w:eastAsia="Times New Roman"/>
              </w:rPr>
            </w:pPr>
            <w:r>
              <w:rPr>
                <w:rFonts w:eastAsia="Times New Roman"/>
                <w:color w:val="000000"/>
                <w:sz w:val="20"/>
                <w:szCs w:val="20"/>
              </w:rPr>
              <w:t>September 28, 2019</w:t>
            </w:r>
          </w:p>
        </w:tc>
      </w:tr>
      <w:tr w:rsidR="00000000">
        <w:trPr>
          <w:divId w:val="89858873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134F">
            <w:pPr>
              <w:rPr>
                <w:rFonts w:eastAsia="Times New Roman"/>
                <w:sz w:val="20"/>
                <w:szCs w:val="20"/>
              </w:rPr>
            </w:pPr>
          </w:p>
        </w:tc>
      </w:tr>
      <w:tr w:rsidR="00000000">
        <w:trPr>
          <w:divId w:val="898588737"/>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203,716 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170,938 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898588737"/>
        </w:trPr>
        <w:tc>
          <w:tcPr>
            <w:tcW w:w="0" w:type="auto"/>
            <w:gridSpan w:val="3"/>
            <w:shd w:val="clear" w:color="auto" w:fill="CCEE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(40,514)</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(75,908)</w:t>
            </w:r>
          </w:p>
        </w:tc>
        <w:tc>
          <w:tcPr>
            <w:tcW w:w="0" w:type="auto"/>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898588737"/>
        </w:trPr>
        <w:tc>
          <w:tcPr>
            <w:tcW w:w="0" w:type="auto"/>
            <w:gridSpan w:val="3"/>
            <w:shd w:val="clear" w:color="auto" w:fill="FFFFFF"/>
            <w:tcMar>
              <w:top w:w="30" w:type="dxa"/>
              <w:left w:w="135" w:type="dxa"/>
              <w:bottom w:w="30" w:type="dxa"/>
              <w:right w:w="20" w:type="dxa"/>
            </w:tcMar>
            <w:vAlign w:val="bottom"/>
            <w:hideMark/>
          </w:tcPr>
          <w:p w:rsidR="00000000" w:rsidRDefault="0039134F">
            <w:pPr>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174,906 </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(17,742)</w:t>
            </w:r>
          </w:p>
        </w:tc>
        <w:tc>
          <w:tcPr>
            <w:tcW w:w="0" w:type="auto"/>
            <w:shd w:val="clear" w:color="auto" w:fill="FFFFFF"/>
            <w:tcMar>
              <w:top w:w="30" w:type="dxa"/>
              <w:left w:w="0" w:type="dxa"/>
              <w:bottom w:w="30" w:type="dxa"/>
              <w:right w:w="20" w:type="dxa"/>
            </w:tcMar>
            <w:vAlign w:val="bottom"/>
            <w:hideMark/>
          </w:tcPr>
          <w:p w:rsidR="00000000" w:rsidRDefault="0039134F">
            <w:pPr>
              <w:jc w:val="right"/>
              <w:rPr>
                <w:rFonts w:eastAsia="Times New Roman"/>
              </w:rPr>
            </w:pPr>
          </w:p>
        </w:tc>
      </w:tr>
      <w:tr w:rsidR="00000000">
        <w:trPr>
          <w:divId w:val="898588737"/>
        </w:trPr>
        <w:tc>
          <w:tcPr>
            <w:tcW w:w="0" w:type="auto"/>
            <w:gridSpan w:val="3"/>
            <w:shd w:val="clear" w:color="auto" w:fill="CCEEFF"/>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Net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338,108 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134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134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134F">
            <w:pPr>
              <w:jc w:val="right"/>
              <w:rPr>
                <w:rFonts w:eastAsia="Times New Roman"/>
              </w:rPr>
            </w:pPr>
            <w:r>
              <w:rPr>
                <w:rFonts w:eastAsia="Times New Roman"/>
                <w:color w:val="000000"/>
                <w:sz w:val="20"/>
                <w:szCs w:val="20"/>
              </w:rPr>
              <w:t>77,288 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134F">
            <w:pPr>
              <w:jc w:val="right"/>
              <w:rPr>
                <w:rFonts w:eastAsia="Times New Roman"/>
              </w:rPr>
            </w:pPr>
          </w:p>
        </w:tc>
      </w:tr>
    </w:tbl>
    <w:p w:rsidR="00000000" w:rsidRDefault="0039134F">
      <w:pPr>
        <w:divId w:val="1077896429"/>
        <w:rPr>
          <w:rFonts w:eastAsia="Times New Roman"/>
        </w:rPr>
      </w:pPr>
      <w:r>
        <w:rPr>
          <w:rFonts w:eastAsia="Times New Roman"/>
          <w:i/>
          <w:iCs/>
          <w:color w:val="000000"/>
          <w:sz w:val="20"/>
          <w:szCs w:val="20"/>
        </w:rPr>
        <w:t>Net Cash Provided by Operating Activities</w:t>
      </w:r>
    </w:p>
    <w:p w:rsidR="00000000" w:rsidRDefault="0039134F">
      <w:pPr>
        <w:jc w:val="both"/>
        <w:divId w:val="1823505774"/>
        <w:rPr>
          <w:rFonts w:eastAsia="Times New Roman"/>
        </w:rPr>
      </w:pPr>
      <w:r>
        <w:rPr>
          <w:rFonts w:eastAsia="Times New Roman"/>
          <w:color w:val="000000"/>
          <w:sz w:val="20"/>
          <w:szCs w:val="20"/>
        </w:rPr>
        <w:t>Cash flows provided by operating activities increased $32.8 million from $170.9 million during the nine months ended September 28, 2019 to $203.7 million for the nine months ended September 26, 2020. The increase i</w:t>
      </w:r>
      <w:r>
        <w:rPr>
          <w:rFonts w:eastAsia="Times New Roman"/>
          <w:color w:val="000000"/>
          <w:sz w:val="20"/>
          <w:szCs w:val="20"/>
        </w:rPr>
        <w:t>n cash provided by operating activities consisted of a decrease in net income of $27.7 million, due primarily to the temporary closure of our stores to the public as a result of the COVID-19 pandemic, and an increase of non-cash expense items of $4.4 milli</w:t>
      </w:r>
      <w:r>
        <w:rPr>
          <w:rFonts w:eastAsia="Times New Roman"/>
          <w:color w:val="000000"/>
          <w:sz w:val="20"/>
          <w:szCs w:val="20"/>
        </w:rPr>
        <w:t>on driven by asset impairment charges of $13.5 million, amortization of loan costs of $6.2 million, depreciation and amortization of $5.4 million, losses recognized for the changes in the fair values of derivatives of $4.6 million, partially offset by decr</w:t>
      </w:r>
      <w:r>
        <w:rPr>
          <w:rFonts w:eastAsia="Times New Roman"/>
          <w:color w:val="000000"/>
          <w:sz w:val="20"/>
          <w:szCs w:val="20"/>
        </w:rPr>
        <w:t>eases in loss on extinguishment of debt of $9.8 million, deferred income tax expense of $7.4 million and credit loss expense of $5.8 million.</w:t>
      </w:r>
    </w:p>
    <w:p w:rsidR="00000000" w:rsidRDefault="0039134F">
      <w:pPr>
        <w:jc w:val="both"/>
        <w:divId w:val="315456261"/>
        <w:rPr>
          <w:rFonts w:eastAsia="Times New Roman"/>
        </w:rPr>
      </w:pPr>
      <w:r>
        <w:rPr>
          <w:rFonts w:eastAsia="Times New Roman"/>
          <w:color w:val="000000"/>
          <w:sz w:val="20"/>
          <w:szCs w:val="20"/>
        </w:rPr>
        <w:t>Changes in net working capital and other assets and liabilities contributed $56.1 million in cash compared to the nine months ended September 28, 2019. Increases in other liabilities during the nine months ended September 26, 2020 contributed $34.0 million</w:t>
      </w:r>
      <w:r>
        <w:rPr>
          <w:rFonts w:eastAsia="Times New Roman"/>
          <w:color w:val="000000"/>
          <w:sz w:val="20"/>
          <w:szCs w:val="20"/>
        </w:rPr>
        <w:t xml:space="preserve"> in year-over-year cash, which was driven by a $14.8 million increase in year-over-year cash due to timing of unearned revenue during the nine months ended September 26, 2020, as well as increases in accrued capital expenditures of $8.3 million due to incr</w:t>
      </w:r>
      <w:r>
        <w:rPr>
          <w:rFonts w:eastAsia="Times New Roman"/>
          <w:color w:val="000000"/>
          <w:sz w:val="20"/>
          <w:szCs w:val="20"/>
        </w:rPr>
        <w:t>eases in new store accruals and increases of $6.3 million due to lease concessions and deferrals. Increases in accounts payable during the nine months ended September 26, 2020 contributed $26.2 million in year-over-year cash, primarily due to timing of pay</w:t>
      </w:r>
      <w:r>
        <w:rPr>
          <w:rFonts w:eastAsia="Times New Roman"/>
          <w:color w:val="000000"/>
          <w:sz w:val="20"/>
          <w:szCs w:val="20"/>
        </w:rPr>
        <w:t>ments.</w:t>
      </w:r>
    </w:p>
    <w:p w:rsidR="00000000" w:rsidRDefault="0039134F">
      <w:pPr>
        <w:jc w:val="both"/>
        <w:divId w:val="325520400"/>
        <w:rPr>
          <w:rFonts w:eastAsia="Times New Roman"/>
        </w:rPr>
      </w:pPr>
      <w:r>
        <w:rPr>
          <w:rFonts w:eastAsia="Times New Roman"/>
          <w:color w:val="000000"/>
          <w:sz w:val="20"/>
          <w:szCs w:val="20"/>
        </w:rPr>
        <w:t>Decreases in inventory contributed $11.3 million in year-over-year cash, due to no forward buys occurring after the first quarter of 2020, offset by increases in other assets which used $8.8 million in year-over-year cash driven by cloud hosted soft</w:t>
      </w:r>
      <w:r>
        <w:rPr>
          <w:rFonts w:eastAsia="Times New Roman"/>
          <w:color w:val="000000"/>
          <w:sz w:val="20"/>
          <w:szCs w:val="20"/>
        </w:rPr>
        <w:t>ware assets of $4.2 million and smaller decreases in rent-related items during the nine months ended September 26, 2020 when compared with the nine months ended September 28, 2019. Changes in deferred revenue used $6.8 million in year-over-year cash driven</w:t>
      </w:r>
      <w:r>
        <w:rPr>
          <w:rFonts w:eastAsia="Times New Roman"/>
          <w:color w:val="000000"/>
          <w:sz w:val="20"/>
          <w:szCs w:val="20"/>
        </w:rPr>
        <w:t xml:space="preserve"> by decreased sales of our eye care club membership and purchase protection plan.</w:t>
      </w:r>
    </w:p>
    <w:p w:rsidR="00000000" w:rsidRDefault="0039134F">
      <w:pPr>
        <w:jc w:val="both"/>
        <w:divId w:val="1163740621"/>
        <w:rPr>
          <w:rFonts w:eastAsia="Times New Roman"/>
        </w:rPr>
      </w:pPr>
      <w:r>
        <w:rPr>
          <w:rFonts w:eastAsia="Times New Roman"/>
          <w:i/>
          <w:iCs/>
          <w:color w:val="000000"/>
          <w:sz w:val="20"/>
          <w:szCs w:val="20"/>
        </w:rPr>
        <w:t>Net Cash Used for Investing Activities</w:t>
      </w:r>
    </w:p>
    <w:p w:rsidR="00000000" w:rsidRDefault="0039134F">
      <w:pPr>
        <w:jc w:val="both"/>
        <w:divId w:val="1646350680"/>
        <w:rPr>
          <w:rFonts w:eastAsia="Times New Roman"/>
        </w:rPr>
      </w:pPr>
      <w:r>
        <w:rPr>
          <w:rFonts w:eastAsia="Times New Roman"/>
          <w:color w:val="000000"/>
          <w:sz w:val="20"/>
          <w:szCs w:val="20"/>
        </w:rPr>
        <w:t>Net cash used for investing activities decreased by $35.4 million, to $40.5 million, during the nine months ended September 26, 2020 fr</w:t>
      </w:r>
      <w:r>
        <w:rPr>
          <w:rFonts w:eastAsia="Times New Roman"/>
          <w:color w:val="000000"/>
          <w:sz w:val="20"/>
          <w:szCs w:val="20"/>
        </w:rPr>
        <w:t>om $75.9 million during the nine months ended September 28, 2019. The decrease was primarily due to reduced new store openings.</w:t>
      </w:r>
    </w:p>
    <w:p w:rsidR="00000000" w:rsidRDefault="0039134F">
      <w:pPr>
        <w:jc w:val="both"/>
        <w:divId w:val="1016813104"/>
        <w:rPr>
          <w:rFonts w:eastAsia="Times New Roman"/>
        </w:rPr>
      </w:pPr>
      <w:r>
        <w:rPr>
          <w:rFonts w:eastAsia="Times New Roman"/>
          <w:i/>
          <w:iCs/>
          <w:color w:val="000000"/>
          <w:sz w:val="20"/>
          <w:szCs w:val="20"/>
        </w:rPr>
        <w:t>Net Cash Provided By (Used For) Financing Activities</w:t>
      </w:r>
    </w:p>
    <w:p w:rsidR="00000000" w:rsidRDefault="0039134F">
      <w:pPr>
        <w:jc w:val="both"/>
        <w:divId w:val="203369666"/>
        <w:rPr>
          <w:rFonts w:eastAsia="Times New Roman"/>
        </w:rPr>
      </w:pPr>
      <w:r>
        <w:rPr>
          <w:rFonts w:eastAsia="Times New Roman"/>
          <w:color w:val="000000"/>
          <w:sz w:val="20"/>
          <w:szCs w:val="20"/>
        </w:rPr>
        <w:t>Net cash provided by (used for) financing activities increased $192.6 milli</w:t>
      </w:r>
      <w:r>
        <w:rPr>
          <w:rFonts w:eastAsia="Times New Roman"/>
          <w:color w:val="000000"/>
          <w:sz w:val="20"/>
          <w:szCs w:val="20"/>
        </w:rPr>
        <w:t xml:space="preserve">on, from $17.7 million use of cash during the nine months ended September 28, 2019 to $174.9 million provision of cash during the nine months ended September 26, 2020. The increase in cash provided by financing activities was primarily related to proceeds </w:t>
      </w:r>
      <w:r>
        <w:rPr>
          <w:rFonts w:eastAsia="Times New Roman"/>
          <w:color w:val="000000"/>
          <w:sz w:val="20"/>
          <w:szCs w:val="20"/>
        </w:rPr>
        <w:t>of $548.8 million from the issuance of the 2025 Notes and borrowings on our revolving credit facility, partially offset by principal payments on our revolving credit facility and term loan debt of $369.3 million during the nine months ended September 26, 2</w:t>
      </w:r>
      <w:r>
        <w:rPr>
          <w:rFonts w:eastAsia="Times New Roman"/>
          <w:color w:val="000000"/>
          <w:sz w:val="20"/>
          <w:szCs w:val="20"/>
        </w:rPr>
        <w:t>020.</w:t>
      </w:r>
    </w:p>
    <w:p w:rsidR="00000000" w:rsidRDefault="0039134F">
      <w:pPr>
        <w:jc w:val="both"/>
        <w:divId w:val="878125818"/>
        <w:rPr>
          <w:rFonts w:eastAsia="Times New Roman"/>
        </w:rPr>
      </w:pPr>
      <w:r>
        <w:rPr>
          <w:rFonts w:eastAsia="Times New Roman"/>
          <w:color w:val="000000"/>
          <w:sz w:val="20"/>
          <w:szCs w:val="20"/>
          <w:u w:val="single"/>
        </w:rPr>
        <w:t>Term Loan and Revolving Credit Facility</w:t>
      </w:r>
    </w:p>
    <w:p w:rsidR="00000000" w:rsidRDefault="0039134F">
      <w:pPr>
        <w:jc w:val="both"/>
        <w:divId w:val="1487091896"/>
        <w:rPr>
          <w:rFonts w:eastAsia="Times New Roman"/>
        </w:rPr>
      </w:pPr>
      <w:r>
        <w:rPr>
          <w:rFonts w:eastAsia="Times New Roman"/>
          <w:color w:val="000000"/>
          <w:sz w:val="20"/>
          <w:szCs w:val="20"/>
        </w:rPr>
        <w:t>As of September 26, 2020, we had $317.4 million of first lien term loan outstanding under our credit agreement. As of September 26, 2020, we also had $294.3 million of availability under our $300.0 million Revol</w:t>
      </w:r>
      <w:r>
        <w:rPr>
          <w:rFonts w:eastAsia="Times New Roman"/>
          <w:color w:val="000000"/>
          <w:sz w:val="20"/>
          <w:szCs w:val="20"/>
        </w:rPr>
        <w:t>ving Credit Facility which includes $5.7 million in outstanding letters of credit.</w:t>
      </w:r>
    </w:p>
    <w:p w:rsidR="00000000" w:rsidRDefault="0039134F">
      <w:pPr>
        <w:jc w:val="both"/>
        <w:divId w:val="259068949"/>
        <w:rPr>
          <w:rFonts w:eastAsia="Times New Roman"/>
        </w:rPr>
      </w:pPr>
      <w:r>
        <w:rPr>
          <w:rFonts w:eastAsia="Times New Roman"/>
          <w:color w:val="000000"/>
          <w:sz w:val="20"/>
          <w:szCs w:val="20"/>
        </w:rPr>
        <w:t>The interest rate payable on the first lien term loan is based on either LIBOR or an alternative borrowing rate plus an additional margin that varies dependent on NVI’s cons</w:t>
      </w:r>
      <w:r>
        <w:rPr>
          <w:rFonts w:eastAsia="Times New Roman"/>
          <w:color w:val="000000"/>
          <w:sz w:val="20"/>
          <w:szCs w:val="20"/>
        </w:rPr>
        <w:t xml:space="preserve">olidated first lien leverage ratio. The first lien term loan will amortize in quarterly installments equal to 2.50% per annum in the first three years of the loan and 5.00% per annum </w:t>
      </w:r>
    </w:p>
    <w:p w:rsidR="00000000" w:rsidRDefault="0039134F">
      <w:pPr>
        <w:jc w:val="center"/>
        <w:divId w:val="1821455594"/>
        <w:rPr>
          <w:rFonts w:eastAsia="Times New Roman"/>
        </w:rPr>
      </w:pPr>
      <w:r>
        <w:rPr>
          <w:rFonts w:eastAsia="Times New Roman"/>
          <w:color w:val="000000"/>
          <w:sz w:val="20"/>
          <w:szCs w:val="20"/>
        </w:rPr>
        <w:t>48</w:t>
      </w:r>
    </w:p>
    <w:p w:rsidR="00000000" w:rsidRDefault="0039134F">
      <w:pPr>
        <w:rPr>
          <w:rFonts w:eastAsia="Times New Roman"/>
        </w:rPr>
      </w:pPr>
      <w:r>
        <w:rPr>
          <w:rFonts w:eastAsia="Times New Roman"/>
        </w:rPr>
        <w:pict>
          <v:rect id="_x0000_i1072" style="width:0;height:1.5pt" o:hralign="center" o:hrstd="t" o:hr="t" fillcolor="#a0a0a0" stroked="f"/>
        </w:pict>
      </w:r>
    </w:p>
    <w:p w:rsidR="00000000" w:rsidRDefault="0039134F">
      <w:pPr>
        <w:divId w:val="595603670"/>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both"/>
        <w:divId w:val="997534143"/>
        <w:rPr>
          <w:rFonts w:eastAsia="Times New Roman"/>
        </w:rPr>
      </w:pPr>
      <w:r>
        <w:rPr>
          <w:rFonts w:eastAsia="Times New Roman"/>
          <w:color w:val="000000"/>
          <w:sz w:val="20"/>
          <w:szCs w:val="20"/>
        </w:rPr>
        <w:t>thereafter. As a result of the $75.0 million pay down of the term loan and the $25.0 million principal prepayment in 2019; we have no additional mandatory principal payments on the</w:t>
      </w:r>
      <w:r>
        <w:rPr>
          <w:rFonts w:eastAsia="Times New Roman"/>
          <w:color w:val="000000"/>
          <w:sz w:val="20"/>
          <w:szCs w:val="20"/>
        </w:rPr>
        <w:t xml:space="preserve"> term loan until maturity on July 18, 2024.</w:t>
      </w:r>
    </w:p>
    <w:p w:rsidR="00000000" w:rsidRDefault="0039134F">
      <w:pPr>
        <w:jc w:val="both"/>
        <w:divId w:val="159390868"/>
        <w:rPr>
          <w:rFonts w:eastAsia="Times New Roman"/>
        </w:rPr>
      </w:pPr>
      <w:r>
        <w:rPr>
          <w:rFonts w:eastAsia="Times New Roman"/>
          <w:color w:val="000000"/>
          <w:sz w:val="20"/>
          <w:szCs w:val="20"/>
        </w:rPr>
        <w:t>In addition, under our credit agreement we must maintain certain covenants based on our financial results. Our credit agreement also contains covenants that, among other things, limit NVI’s ability to incur addit</w:t>
      </w:r>
      <w:r>
        <w:rPr>
          <w:rFonts w:eastAsia="Times New Roman"/>
          <w:color w:val="000000"/>
          <w:sz w:val="20"/>
          <w:szCs w:val="20"/>
        </w:rPr>
        <w:t>ional debt, create liens against assets, make acquisitions, pay dividends or distributions on its stock, merge or consolidate with another entity and transfer or sell assets. As of September 26, 2020, we were in compliance with all of our debt covenants un</w:t>
      </w:r>
      <w:r>
        <w:rPr>
          <w:rFonts w:eastAsia="Times New Roman"/>
          <w:color w:val="000000"/>
          <w:sz w:val="20"/>
          <w:szCs w:val="20"/>
        </w:rPr>
        <w:t>der our credit agreement.</w:t>
      </w:r>
    </w:p>
    <w:p w:rsidR="00000000" w:rsidRDefault="0039134F">
      <w:pPr>
        <w:jc w:val="both"/>
        <w:divId w:val="1828788809"/>
        <w:rPr>
          <w:rFonts w:eastAsia="Times New Roman"/>
        </w:rPr>
      </w:pPr>
      <w:r>
        <w:rPr>
          <w:rFonts w:eastAsia="Times New Roman"/>
          <w:color w:val="000000"/>
          <w:sz w:val="20"/>
          <w:szCs w:val="20"/>
          <w:u w:val="single"/>
        </w:rPr>
        <w:t>May 2020 Amendment to Credit Agreement</w:t>
      </w:r>
    </w:p>
    <w:p w:rsidR="00000000" w:rsidRDefault="0039134F">
      <w:pPr>
        <w:jc w:val="both"/>
        <w:divId w:val="26756679"/>
        <w:rPr>
          <w:rFonts w:eastAsia="Times New Roman"/>
        </w:rPr>
      </w:pPr>
      <w:r>
        <w:rPr>
          <w:rFonts w:eastAsia="Times New Roman"/>
          <w:color w:val="000000"/>
          <w:sz w:val="20"/>
          <w:szCs w:val="20"/>
        </w:rPr>
        <w:t>On May 5, 2020, we entered into the Credit Agreement Amendment with the lenders under our credit facility in order to amend certain provisions of the Credit Agreement. As set forth in greater</w:t>
      </w:r>
      <w:r>
        <w:rPr>
          <w:rFonts w:eastAsia="Times New Roman"/>
          <w:color w:val="000000"/>
          <w:sz w:val="20"/>
          <w:szCs w:val="20"/>
        </w:rPr>
        <w:t xml:space="preserve"> detail below, the principal purpose of the Credit Agreement Amendment was to suspend certain financial maintenance covenants contained in the Credit Agreement until testing at the end of the second fiscal quarter of 2021. Capitalized terms used but not de</w:t>
      </w:r>
      <w:r>
        <w:rPr>
          <w:rFonts w:eastAsia="Times New Roman"/>
          <w:color w:val="000000"/>
          <w:sz w:val="20"/>
          <w:szCs w:val="20"/>
        </w:rPr>
        <w:t>fined herein shall have the meanings assigned to such terms in the Credit Agreement and Amendment, as applicable.</w:t>
      </w:r>
    </w:p>
    <w:p w:rsidR="00000000" w:rsidRDefault="0039134F">
      <w:pPr>
        <w:jc w:val="both"/>
        <w:divId w:val="1088501080"/>
        <w:rPr>
          <w:rFonts w:eastAsia="Times New Roman"/>
        </w:rPr>
      </w:pPr>
      <w:r>
        <w:rPr>
          <w:rFonts w:eastAsia="Times New Roman"/>
          <w:color w:val="000000"/>
          <w:sz w:val="20"/>
          <w:szCs w:val="20"/>
        </w:rPr>
        <w:t>Pursuant to the Credit Agreement Amendment, the financial covenants relating to maintenance of a maximum Consolidated Total Debt to Consolidat</w:t>
      </w:r>
      <w:r>
        <w:rPr>
          <w:rFonts w:eastAsia="Times New Roman"/>
          <w:color w:val="000000"/>
          <w:sz w:val="20"/>
          <w:szCs w:val="20"/>
        </w:rPr>
        <w:t>ed EBITDA Ratio and a minimum Consolidated Interest Coverage Ratio are suspended until testing at the end of the second fiscal quarter of 2021. From and after such time, such covenants will be reinstated on a modified basis so that, subject to certain exce</w:t>
      </w:r>
      <w:r>
        <w:rPr>
          <w:rFonts w:eastAsia="Times New Roman"/>
          <w:color w:val="000000"/>
          <w:sz w:val="20"/>
          <w:szCs w:val="20"/>
        </w:rPr>
        <w:t xml:space="preserve">ptions and limitations as described in the Credit Agreement Amendment, (i) with respect to the second and third fiscal quarters of 2021, the Consolidated Total Debt to Consolidated EBITDA Ratio shall not exceed 4.50 to 1.00 and, with respect to the fourth </w:t>
      </w:r>
      <w:r>
        <w:rPr>
          <w:rFonts w:eastAsia="Times New Roman"/>
          <w:color w:val="000000"/>
          <w:sz w:val="20"/>
          <w:szCs w:val="20"/>
        </w:rPr>
        <w:t>fiscal quarter of fiscal 2021 and thereafter, the Consolidated Total Debt to Consolidated EBITDA Ratio shall not exceed 4.00 to 1.00, in each case with NVI being able to elect to annualize certain quarterly periods so that quarterly performance from fiscal</w:t>
      </w:r>
      <w:r>
        <w:rPr>
          <w:rFonts w:eastAsia="Times New Roman"/>
          <w:color w:val="000000"/>
          <w:sz w:val="20"/>
          <w:szCs w:val="20"/>
        </w:rPr>
        <w:t xml:space="preserve"> 2020 is excluded and (ii) with respect to the second fiscal quarter of 2021 and thereafter, the Consolidated Interest Coverage Ratio shall not be less than 3.00 to 1.00. In lieu of such financial covenants, pursuant to the Credit Agreement Amendment NVI h</w:t>
      </w:r>
      <w:r>
        <w:rPr>
          <w:rFonts w:eastAsia="Times New Roman"/>
          <w:color w:val="000000"/>
          <w:sz w:val="20"/>
          <w:szCs w:val="20"/>
        </w:rPr>
        <w:t>as agreed during the suspension period, (i) not to have Consolidated EBITDA for any six fiscal quarter period be less than $0, with the second fiscal quarter of 2020 permitted to be excluded in certain circumstances, and (ii) to have a minimum level of liq</w:t>
      </w:r>
      <w:r>
        <w:rPr>
          <w:rFonts w:eastAsia="Times New Roman"/>
          <w:color w:val="000000"/>
          <w:sz w:val="20"/>
          <w:szCs w:val="20"/>
        </w:rPr>
        <w:t>uidity (defined as cash and cash equivalents plus the unused portion of the revolving credit facility) equal to the lesser of (x) $100,000,000 and (y) $40,000,000 plus the amount of any net proceeds from capital markets financings during such period in exc</w:t>
      </w:r>
      <w:r>
        <w:rPr>
          <w:rFonts w:eastAsia="Times New Roman"/>
          <w:color w:val="000000"/>
          <w:sz w:val="20"/>
          <w:szCs w:val="20"/>
        </w:rPr>
        <w:t>ess of $75,000,000.</w:t>
      </w:r>
    </w:p>
    <w:p w:rsidR="00000000" w:rsidRDefault="0039134F">
      <w:pPr>
        <w:jc w:val="both"/>
        <w:divId w:val="345207516"/>
        <w:rPr>
          <w:rFonts w:eastAsia="Times New Roman"/>
        </w:rPr>
      </w:pPr>
      <w:r>
        <w:rPr>
          <w:rFonts w:eastAsia="Times New Roman"/>
          <w:color w:val="000000"/>
          <w:sz w:val="20"/>
          <w:szCs w:val="20"/>
        </w:rPr>
        <w:t>In addition, the Credit Agreement was amended pursuant to the Credit Agreement Amendment to, among other things, (i) limit the flexibility of NVI and Holdings with respect to certain transactions during the covenant suspension period, i</w:t>
      </w:r>
      <w:r>
        <w:rPr>
          <w:rFonts w:eastAsia="Times New Roman"/>
          <w:color w:val="000000"/>
          <w:sz w:val="20"/>
          <w:szCs w:val="20"/>
        </w:rPr>
        <w:t>ncluding the ability to declare or pay dividends, incur debt and make investments and dispositions, (ii) require prepayments of the term loans under certain circumstances during the covenant suspension period from the net proceeds from debt or equity capit</w:t>
      </w:r>
      <w:r>
        <w:rPr>
          <w:rFonts w:eastAsia="Times New Roman"/>
          <w:color w:val="000000"/>
          <w:sz w:val="20"/>
          <w:szCs w:val="20"/>
        </w:rPr>
        <w:t>al markets transactions by the Company (with the amount of the term loans to be paid down equal to $75 million from the first $400 million of capital raised and 50% of any proceeds above such amount) and (iii) restrict NVI’s ability to borrow under the rev</w:t>
      </w:r>
      <w:r>
        <w:rPr>
          <w:rFonts w:eastAsia="Times New Roman"/>
          <w:color w:val="000000"/>
          <w:sz w:val="20"/>
          <w:szCs w:val="20"/>
        </w:rPr>
        <w:t xml:space="preserve">olving credit facility if unrestricted cash and cash equivalents exceeds $50 million (and, in the event of any such excess, to require a mandatory prepayment of such amount). Also pursuant to the Credit Agreement Amendment, the margins upon which interest </w:t>
      </w:r>
      <w:r>
        <w:rPr>
          <w:rFonts w:eastAsia="Times New Roman"/>
          <w:color w:val="000000"/>
          <w:sz w:val="20"/>
          <w:szCs w:val="20"/>
        </w:rPr>
        <w:t>is calculated for the term loans were amended to a range of 1.75% to 2.75% (for LIBOR Loans) and 0.75% to 1.75% (for ABR Loans), in each case based on NVI’s Consolidated First Lien Secured Debt to Consolidated EBITDA Ratio at such time, with such margins s</w:t>
      </w:r>
      <w:r>
        <w:rPr>
          <w:rFonts w:eastAsia="Times New Roman"/>
          <w:color w:val="000000"/>
          <w:sz w:val="20"/>
          <w:szCs w:val="20"/>
        </w:rPr>
        <w:t>ubject to an increase of 50 basis points in the event that either (i) the Company has not raised at least $135 million in additional proceeds from certain capital markets transactions within 30 days of the date of the Credit Agreement Amendment or (ii) Con</w:t>
      </w:r>
      <w:r>
        <w:rPr>
          <w:rFonts w:eastAsia="Times New Roman"/>
          <w:color w:val="000000"/>
          <w:sz w:val="20"/>
          <w:szCs w:val="20"/>
        </w:rPr>
        <w:t>solidated EBITDA for the most recently ended four quarters is less than $0.</w:t>
      </w:r>
    </w:p>
    <w:p w:rsidR="00000000" w:rsidRDefault="0039134F">
      <w:pPr>
        <w:jc w:val="both"/>
        <w:divId w:val="2096591314"/>
        <w:rPr>
          <w:rFonts w:eastAsia="Times New Roman"/>
        </w:rPr>
      </w:pPr>
      <w:r>
        <w:rPr>
          <w:rFonts w:eastAsia="Times New Roman"/>
          <w:color w:val="000000"/>
          <w:sz w:val="20"/>
          <w:szCs w:val="20"/>
          <w:u w:val="single"/>
        </w:rPr>
        <w:t>2025 Notes</w:t>
      </w:r>
    </w:p>
    <w:p w:rsidR="00000000" w:rsidRDefault="0039134F">
      <w:pPr>
        <w:jc w:val="both"/>
        <w:divId w:val="860633059"/>
        <w:rPr>
          <w:rFonts w:eastAsia="Times New Roman"/>
        </w:rPr>
      </w:pPr>
      <w:r>
        <w:rPr>
          <w:rFonts w:eastAsia="Times New Roman"/>
          <w:color w:val="000000"/>
          <w:sz w:val="20"/>
          <w:szCs w:val="20"/>
        </w:rPr>
        <w:t>In May 2020, we completed the issuance of the 2025 Notes. The 2025 Notes were sold only to persons reasonably believed to be qualified institutional buyers in reliance o</w:t>
      </w:r>
      <w:r>
        <w:rPr>
          <w:rFonts w:eastAsia="Times New Roman"/>
          <w:color w:val="000000"/>
          <w:sz w:val="20"/>
          <w:szCs w:val="20"/>
        </w:rPr>
        <w:t>n Rule 144A under the Securities Act of 1933, as amended (the “Securities Act”). The 2025 Notes will pay interest semi-annually in arrears on May 15 and November 15 of each year, commencing on November 15, 2020, at an annual rate of 2.50% and will be conve</w:t>
      </w:r>
      <w:r>
        <w:rPr>
          <w:rFonts w:eastAsia="Times New Roman"/>
          <w:color w:val="000000"/>
          <w:sz w:val="20"/>
          <w:szCs w:val="20"/>
        </w:rPr>
        <w:t xml:space="preserve">rtible into cash, shares of common stock or a combination of cash and shares of common stock, at our election, based on the applicable conversion rate at such time. The 2025 Notes have a maturity date of May 15, 2025. Refer to Note 4. “Long-term Debt” for </w:t>
      </w:r>
      <w:r>
        <w:rPr>
          <w:rFonts w:eastAsia="Times New Roman"/>
          <w:color w:val="000000"/>
          <w:sz w:val="20"/>
          <w:szCs w:val="20"/>
        </w:rPr>
        <w:t>more information.</w:t>
      </w:r>
    </w:p>
    <w:p w:rsidR="00000000" w:rsidRDefault="0039134F">
      <w:pPr>
        <w:jc w:val="both"/>
        <w:divId w:val="507989729"/>
        <w:rPr>
          <w:rFonts w:eastAsia="Times New Roman"/>
        </w:rPr>
      </w:pPr>
      <w:r>
        <w:rPr>
          <w:rFonts w:eastAsia="Times New Roman"/>
          <w:color w:val="000000"/>
          <w:sz w:val="20"/>
          <w:szCs w:val="20"/>
          <w:shd w:val="clear" w:color="auto" w:fill="FFFFFF"/>
        </w:rPr>
        <w:t>We received proce</w:t>
      </w:r>
      <w:r>
        <w:rPr>
          <w:rFonts w:eastAsia="Times New Roman"/>
          <w:color w:val="000000"/>
          <w:sz w:val="20"/>
          <w:szCs w:val="20"/>
        </w:rPr>
        <w:t>eds from the offering of $390.9 million, net of $11.6 million in underwriter fees and other issuance costs.</w:t>
      </w:r>
    </w:p>
    <w:p w:rsidR="00000000" w:rsidRDefault="0039134F">
      <w:pPr>
        <w:jc w:val="both"/>
        <w:divId w:val="499738227"/>
        <w:rPr>
          <w:rFonts w:eastAsia="Times New Roman"/>
        </w:rPr>
      </w:pPr>
    </w:p>
    <w:p w:rsidR="00000000" w:rsidRDefault="0039134F">
      <w:pPr>
        <w:jc w:val="center"/>
        <w:divId w:val="1707635687"/>
        <w:rPr>
          <w:rFonts w:eastAsia="Times New Roman"/>
        </w:rPr>
      </w:pPr>
      <w:r>
        <w:rPr>
          <w:rFonts w:eastAsia="Times New Roman"/>
          <w:color w:val="000000"/>
          <w:sz w:val="20"/>
          <w:szCs w:val="20"/>
        </w:rPr>
        <w:t>49</w:t>
      </w:r>
    </w:p>
    <w:p w:rsidR="00000000" w:rsidRDefault="0039134F">
      <w:pPr>
        <w:rPr>
          <w:rFonts w:eastAsia="Times New Roman"/>
        </w:rPr>
      </w:pPr>
      <w:r>
        <w:rPr>
          <w:rFonts w:eastAsia="Times New Roman"/>
        </w:rPr>
        <w:pict>
          <v:rect id="_x0000_i1073" style="width:0;height:1.5pt" o:hralign="center" o:hrstd="t" o:hr="t" fillcolor="#a0a0a0" stroked="f"/>
        </w:pict>
      </w:r>
    </w:p>
    <w:p w:rsidR="00000000" w:rsidRDefault="0039134F">
      <w:pPr>
        <w:divId w:val="709112770"/>
        <w:rPr>
          <w:rFonts w:eastAsia="Times New Roman"/>
        </w:rPr>
      </w:pPr>
      <w:hyperlink w:anchor="i50336ee56f43460a9be6f65c8cd49c0c_7" w:history="1">
        <w:r>
          <w:rPr>
            <w:rStyle w:val="a3"/>
            <w:rFonts w:eastAsia="Times New Roman"/>
            <w:sz w:val="20"/>
            <w:szCs w:val="20"/>
          </w:rPr>
          <w:t>Table of Conte</w:t>
        </w:r>
        <w:r>
          <w:rPr>
            <w:rStyle w:val="a3"/>
            <w:rFonts w:eastAsia="Times New Roman"/>
            <w:sz w:val="20"/>
            <w:szCs w:val="20"/>
          </w:rPr>
          <w:t>nts</w:t>
        </w:r>
      </w:hyperlink>
    </w:p>
    <w:p w:rsidR="00000000" w:rsidRDefault="0039134F">
      <w:pPr>
        <w:jc w:val="both"/>
        <w:divId w:val="1288849887"/>
        <w:rPr>
          <w:rFonts w:eastAsia="Times New Roman"/>
        </w:rPr>
      </w:pPr>
      <w:r>
        <w:rPr>
          <w:rFonts w:eastAsia="Times New Roman"/>
          <w:i/>
          <w:iCs/>
          <w:color w:val="000000"/>
          <w:sz w:val="20"/>
          <w:szCs w:val="20"/>
        </w:rPr>
        <w:t>Future cash requirements and sources of cash</w:t>
      </w:r>
    </w:p>
    <w:p w:rsidR="00000000" w:rsidRDefault="0039134F">
      <w:pPr>
        <w:jc w:val="both"/>
        <w:divId w:val="205918265"/>
        <w:rPr>
          <w:rFonts w:eastAsia="Times New Roman"/>
        </w:rPr>
      </w:pPr>
      <w:r>
        <w:rPr>
          <w:rFonts w:eastAsia="Times New Roman"/>
          <w:color w:val="000000"/>
          <w:sz w:val="20"/>
          <w:szCs w:val="20"/>
        </w:rPr>
        <w:t>The Company’s capital allocation strategy, priorities and investments are reviewed by the Company’s Board of Directors considering both liquidity and severity of impacts to the business resulting from COVID-</w:t>
      </w:r>
      <w:r>
        <w:rPr>
          <w:rFonts w:eastAsia="Times New Roman"/>
          <w:color w:val="000000"/>
          <w:sz w:val="20"/>
          <w:szCs w:val="20"/>
        </w:rPr>
        <w:t>19.</w:t>
      </w:r>
    </w:p>
    <w:p w:rsidR="00000000" w:rsidRDefault="0039134F">
      <w:pPr>
        <w:jc w:val="both"/>
        <w:divId w:val="1689986141"/>
        <w:rPr>
          <w:rFonts w:eastAsia="Times New Roman"/>
        </w:rPr>
      </w:pPr>
      <w:r>
        <w:rPr>
          <w:rFonts w:eastAsia="Times New Roman"/>
          <w:color w:val="000000"/>
          <w:sz w:val="20"/>
          <w:szCs w:val="20"/>
          <w:u w:val="single"/>
        </w:rPr>
        <w:t>Primary sources of cash</w:t>
      </w:r>
    </w:p>
    <w:p w:rsidR="00000000" w:rsidRDefault="0039134F">
      <w:pPr>
        <w:jc w:val="both"/>
        <w:divId w:val="578365775"/>
        <w:rPr>
          <w:rFonts w:eastAsia="Times New Roman"/>
        </w:rPr>
      </w:pPr>
      <w:r>
        <w:rPr>
          <w:rFonts w:eastAsia="Times New Roman"/>
          <w:color w:val="000000"/>
          <w:sz w:val="20"/>
          <w:szCs w:val="20"/>
        </w:rPr>
        <w:t>The Company’</w:t>
      </w:r>
      <w:r>
        <w:rPr>
          <w:rFonts w:eastAsia="Times New Roman"/>
          <w:color w:val="000000"/>
          <w:sz w:val="20"/>
          <w:szCs w:val="20"/>
        </w:rPr>
        <w:t>s primary source of cash to execute its growth strategy is its operating cash flows, used to fund operations throughout the fiscal year and to support future growth. The Company continues to operate in this period of COVID-19 uncertainty with a healthy liq</w:t>
      </w:r>
      <w:r>
        <w:rPr>
          <w:rFonts w:eastAsia="Times New Roman"/>
          <w:color w:val="000000"/>
          <w:sz w:val="20"/>
          <w:szCs w:val="20"/>
        </w:rPr>
        <w:t>uidity position and remains focused on prudently enhancing the Company’s ability to meet its short-term liquidity needs in order to best position the business for its key stakeholders, including the Company’s associates, customers and shareholders.</w:t>
      </w:r>
    </w:p>
    <w:p w:rsidR="00000000" w:rsidRDefault="0039134F">
      <w:pPr>
        <w:jc w:val="both"/>
        <w:divId w:val="1222330222"/>
        <w:rPr>
          <w:rFonts w:eastAsia="Times New Roman"/>
        </w:rPr>
      </w:pPr>
      <w:r>
        <w:rPr>
          <w:rFonts w:eastAsia="Times New Roman"/>
          <w:color w:val="000000"/>
          <w:sz w:val="20"/>
          <w:szCs w:val="20"/>
          <w:u w:val="single"/>
        </w:rPr>
        <w:t>Primary</w:t>
      </w:r>
      <w:r>
        <w:rPr>
          <w:rFonts w:eastAsia="Times New Roman"/>
          <w:color w:val="000000"/>
          <w:sz w:val="20"/>
          <w:szCs w:val="20"/>
          <w:u w:val="single"/>
        </w:rPr>
        <w:t xml:space="preserve"> uses of cash</w:t>
      </w:r>
    </w:p>
    <w:p w:rsidR="00000000" w:rsidRDefault="0039134F">
      <w:pPr>
        <w:jc w:val="both"/>
        <w:divId w:val="1767726636"/>
        <w:rPr>
          <w:rFonts w:eastAsia="Times New Roman"/>
        </w:rPr>
      </w:pPr>
      <w:r>
        <w:rPr>
          <w:rFonts w:eastAsia="Times New Roman"/>
          <w:color w:val="000000"/>
          <w:sz w:val="20"/>
          <w:szCs w:val="20"/>
        </w:rPr>
        <w:t>The Company’s current capital allocation strategy is to prioritize effectively managing the near-term uncertainties that COVID-19 presents and continuing to fund operating activities. As a result, over the next twelve months, the Company expe</w:t>
      </w:r>
      <w:r>
        <w:rPr>
          <w:rFonts w:eastAsia="Times New Roman"/>
          <w:color w:val="000000"/>
          <w:sz w:val="20"/>
          <w:szCs w:val="20"/>
        </w:rPr>
        <w:t>cts its primary cash requirements to be towards funding operating activities, including the acquisition of inventory, and obligations related to compensation, leasing arrangements, taxes and other operating activities.</w:t>
      </w:r>
    </w:p>
    <w:p w:rsidR="00000000" w:rsidRDefault="0039134F">
      <w:pPr>
        <w:jc w:val="both"/>
        <w:divId w:val="1786533478"/>
        <w:rPr>
          <w:rFonts w:eastAsia="Times New Roman"/>
        </w:rPr>
      </w:pPr>
      <w:r>
        <w:rPr>
          <w:rFonts w:eastAsia="Times New Roman"/>
          <w:color w:val="000000"/>
          <w:sz w:val="20"/>
          <w:szCs w:val="20"/>
        </w:rPr>
        <w:t>The Company also evaluates opportunit</w:t>
      </w:r>
      <w:r>
        <w:rPr>
          <w:rFonts w:eastAsia="Times New Roman"/>
          <w:color w:val="000000"/>
          <w:sz w:val="20"/>
          <w:szCs w:val="20"/>
        </w:rPr>
        <w:t>ies for investments in line with our key initiatives that position the business for sustainable long-term growth. These improvements may include opening new stores, improving store experiences or investments in its omni-channel initiatives or other technol</w:t>
      </w:r>
      <w:r>
        <w:rPr>
          <w:rFonts w:eastAsia="Times New Roman"/>
          <w:color w:val="000000"/>
          <w:sz w:val="20"/>
          <w:szCs w:val="20"/>
        </w:rPr>
        <w:t>ogy opportunities. In addition, the Company evaluates store closures, including options to terminate store leases early at certain underperforming locations. Historically, the Company has utilized free cash flow generated from operations to fund any discre</w:t>
      </w:r>
      <w:r>
        <w:rPr>
          <w:rFonts w:eastAsia="Times New Roman"/>
          <w:color w:val="000000"/>
          <w:sz w:val="20"/>
          <w:szCs w:val="20"/>
        </w:rPr>
        <w:t>tionary capital expenditures, which have been prioritized towards new store openings, as well as digital and omni-channel investments, information technology, and other projects.</w:t>
      </w:r>
    </w:p>
    <w:p w:rsidR="00000000" w:rsidRDefault="0039134F">
      <w:pPr>
        <w:jc w:val="both"/>
        <w:divId w:val="545528668"/>
        <w:rPr>
          <w:rFonts w:eastAsia="Times New Roman"/>
        </w:rPr>
      </w:pPr>
      <w:r>
        <w:rPr>
          <w:rFonts w:eastAsia="Times New Roman"/>
          <w:color w:val="000000"/>
          <w:sz w:val="20"/>
          <w:szCs w:val="20"/>
        </w:rPr>
        <w:t>When appropriate, the Company may utilize excess liquidity, towards debt serv</w:t>
      </w:r>
      <w:r>
        <w:rPr>
          <w:rFonts w:eastAsia="Times New Roman"/>
          <w:color w:val="000000"/>
          <w:sz w:val="20"/>
          <w:szCs w:val="20"/>
        </w:rPr>
        <w:t>ice requirements, including voluntary debt prepayments, or required interest and principal payments, if any, based on excess cash flows.</w:t>
      </w:r>
    </w:p>
    <w:p w:rsidR="00000000" w:rsidRDefault="0039134F">
      <w:pPr>
        <w:jc w:val="both"/>
        <w:divId w:val="700861525"/>
        <w:rPr>
          <w:rFonts w:eastAsia="Times New Roman"/>
        </w:rPr>
      </w:pPr>
      <w:r>
        <w:rPr>
          <w:rFonts w:eastAsia="Times New Roman"/>
          <w:b/>
          <w:bCs/>
          <w:color w:val="000000"/>
          <w:sz w:val="20"/>
          <w:szCs w:val="20"/>
        </w:rPr>
        <w:t>Off-balance Sheet Arrangements</w:t>
      </w:r>
    </w:p>
    <w:p w:rsidR="00000000" w:rsidRDefault="0039134F">
      <w:pPr>
        <w:jc w:val="both"/>
        <w:divId w:val="2140372937"/>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with current accounting guidance, we do not record an asset or liability associated with long-te</w:t>
      </w:r>
      <w:r>
        <w:rPr>
          <w:rFonts w:eastAsia="Times New Roman"/>
          <w:color w:val="000000"/>
          <w:sz w:val="20"/>
          <w:szCs w:val="20"/>
        </w:rPr>
        <w:t>rm purchase, marketing and promotional commitments, or commitments to philanthropic endeavors. We have disclosed the amount of future commitments associated with these items in our fiscal year 2019 annual consolidated financial statements filed on the Form</w:t>
      </w:r>
      <w:r>
        <w:rPr>
          <w:rFonts w:eastAsia="Times New Roman"/>
          <w:color w:val="000000"/>
          <w:sz w:val="20"/>
          <w:szCs w:val="20"/>
        </w:rPr>
        <w:t xml:space="preserve"> 10-K. We were not a party to any other off-balance sheet arrangements.</w:t>
      </w:r>
    </w:p>
    <w:p w:rsidR="00000000" w:rsidRDefault="0039134F">
      <w:pPr>
        <w:jc w:val="both"/>
        <w:divId w:val="1591308502"/>
        <w:rPr>
          <w:rFonts w:eastAsia="Times New Roman"/>
        </w:rPr>
      </w:pPr>
      <w:r>
        <w:rPr>
          <w:rFonts w:eastAsia="Times New Roman"/>
          <w:b/>
          <w:bCs/>
          <w:color w:val="000000"/>
          <w:sz w:val="20"/>
          <w:szCs w:val="20"/>
        </w:rPr>
        <w:t>Contractual Obligations</w:t>
      </w:r>
    </w:p>
    <w:p w:rsidR="00000000" w:rsidRDefault="0039134F">
      <w:pPr>
        <w:jc w:val="both"/>
        <w:divId w:val="1783766741"/>
        <w:rPr>
          <w:rFonts w:eastAsia="Times New Roman"/>
        </w:rPr>
      </w:pPr>
      <w:r>
        <w:rPr>
          <w:rFonts w:eastAsia="Times New Roman"/>
          <w:color w:val="000000"/>
          <w:sz w:val="20"/>
          <w:szCs w:val="20"/>
        </w:rPr>
        <w:t>As a result of the $75 million prepayment of debt principal during the second quarter of 2020, the Company does not owe principal payments on its term loan unti</w:t>
      </w:r>
      <w:r>
        <w:rPr>
          <w:rFonts w:eastAsia="Times New Roman"/>
          <w:color w:val="000000"/>
          <w:sz w:val="20"/>
          <w:szCs w:val="20"/>
        </w:rPr>
        <w:t>l 2024. There were no other material changes outside the ordinary course of business in our contractual obligations and commercial commitments from those reported as of December 28, 2019 in the 2019 Annual Report on Form 10-K, except for the 2025 Notes iss</w:t>
      </w:r>
      <w:r>
        <w:rPr>
          <w:rFonts w:eastAsia="Times New Roman"/>
          <w:color w:val="000000"/>
          <w:sz w:val="20"/>
          <w:szCs w:val="20"/>
        </w:rPr>
        <w:t>ued in the second quarter of 2020 and due on May 15, 2025.</w:t>
      </w:r>
    </w:p>
    <w:p w:rsidR="00000000" w:rsidRDefault="0039134F">
      <w:pPr>
        <w:jc w:val="both"/>
        <w:divId w:val="1881891864"/>
        <w:rPr>
          <w:rFonts w:eastAsia="Times New Roman"/>
        </w:rPr>
      </w:pPr>
      <w:r>
        <w:rPr>
          <w:rFonts w:eastAsia="Times New Roman"/>
          <w:b/>
          <w:bCs/>
          <w:color w:val="000000"/>
          <w:sz w:val="20"/>
          <w:szCs w:val="20"/>
        </w:rPr>
        <w:t xml:space="preserve">Critical Accounting Policies and Estimates </w:t>
      </w:r>
    </w:p>
    <w:p w:rsidR="00000000" w:rsidRDefault="0039134F">
      <w:pPr>
        <w:jc w:val="both"/>
        <w:divId w:val="572274649"/>
        <w:rPr>
          <w:rFonts w:eastAsia="Times New Roman"/>
        </w:rPr>
      </w:pPr>
      <w:r>
        <w:rPr>
          <w:rFonts w:eastAsia="Times New Roman"/>
          <w:color w:val="000000"/>
          <w:sz w:val="20"/>
          <w:szCs w:val="20"/>
        </w:rPr>
        <w:t>Management has evaluated the accounting policies used in the preparation of the Company’s unaudited condensed consolidated financial statements and relat</w:t>
      </w:r>
      <w:r>
        <w:rPr>
          <w:rFonts w:eastAsia="Times New Roman"/>
          <w:color w:val="000000"/>
          <w:sz w:val="20"/>
          <w:szCs w:val="20"/>
        </w:rPr>
        <w:t>ed notes and believes those policies to be reasonable and appropriate. Certain of these accounting policies require the application of significant judgment by management in selecting appropriate assumptions for calculating financial estimates. By their nat</w:t>
      </w:r>
      <w:r>
        <w:rPr>
          <w:rFonts w:eastAsia="Times New Roman"/>
          <w:color w:val="000000"/>
          <w:sz w:val="20"/>
          <w:szCs w:val="20"/>
        </w:rPr>
        <w:t>ure, these judgments are subject to an inherent degree of uncertainty. These judgments are based on historical experience, trends in the industry, information provided by customers and information available from other outside sources, as appropriate. The m</w:t>
      </w:r>
      <w:r>
        <w:rPr>
          <w:rFonts w:eastAsia="Times New Roman"/>
          <w:color w:val="000000"/>
          <w:sz w:val="20"/>
          <w:szCs w:val="20"/>
        </w:rPr>
        <w:t xml:space="preserve">ost significant areas involving management judgments and estimates may be found in the 2019 Annual Report on Form 10-K, in the “Critical Accounting Policies and Estimates” section of “Management’s Discussion and Analysis of Financial Condition and Results </w:t>
      </w:r>
      <w:r>
        <w:rPr>
          <w:rFonts w:eastAsia="Times New Roman"/>
          <w:color w:val="000000"/>
          <w:sz w:val="20"/>
          <w:szCs w:val="20"/>
        </w:rPr>
        <w:t>of Operations.” There have been no material changes to our critical accounting policies as compared to the critical accounting policies described in the 2019 Annual Report on Form 10-K, except for the adoption of Accounting Standards Update (“ASU”) No. 201</w:t>
      </w:r>
      <w:r>
        <w:rPr>
          <w:rFonts w:eastAsia="Times New Roman"/>
          <w:color w:val="000000"/>
          <w:sz w:val="20"/>
          <w:szCs w:val="20"/>
        </w:rPr>
        <w:t xml:space="preserve">6-13, </w:t>
      </w:r>
      <w:r>
        <w:rPr>
          <w:rFonts w:eastAsia="Times New Roman"/>
          <w:i/>
          <w:iCs/>
          <w:color w:val="000000"/>
          <w:sz w:val="20"/>
          <w:szCs w:val="20"/>
        </w:rPr>
        <w:t xml:space="preserve">Measurement of Credit Losses on Financial Instruments, </w:t>
      </w:r>
      <w:r>
        <w:rPr>
          <w:rFonts w:eastAsia="Times New Roman"/>
          <w:color w:val="000000"/>
          <w:sz w:val="20"/>
          <w:szCs w:val="20"/>
        </w:rPr>
        <w:t>and</w:t>
      </w:r>
      <w:r>
        <w:rPr>
          <w:rFonts w:eastAsia="Times New Roman"/>
          <w:i/>
          <w:iCs/>
          <w:color w:val="000000"/>
          <w:sz w:val="20"/>
          <w:szCs w:val="20"/>
        </w:rPr>
        <w:t xml:space="preserve"> </w:t>
      </w:r>
      <w:r>
        <w:rPr>
          <w:rFonts w:eastAsia="Times New Roman"/>
          <w:color w:val="000000"/>
          <w:sz w:val="20"/>
          <w:szCs w:val="20"/>
        </w:rPr>
        <w:t xml:space="preserve">ASU No. 2018-15, </w:t>
      </w:r>
      <w:r>
        <w:rPr>
          <w:rFonts w:eastAsia="Times New Roman"/>
          <w:i/>
          <w:iCs/>
          <w:color w:val="000000"/>
          <w:sz w:val="20"/>
          <w:szCs w:val="20"/>
        </w:rPr>
        <w:t>Customer’s Accounting for Implementation Costs Incurred in a Cloud Computing Arrangement That Is a Service Contract</w:t>
      </w:r>
      <w:r>
        <w:rPr>
          <w:rFonts w:eastAsia="Times New Roman"/>
          <w:color w:val="000000"/>
          <w:sz w:val="20"/>
          <w:szCs w:val="20"/>
        </w:rPr>
        <w:t>. These changes are discussed in Note 1</w:t>
      </w:r>
      <w:r>
        <w:rPr>
          <w:rFonts w:eastAsia="Times New Roman"/>
          <w:i/>
          <w:iCs/>
          <w:color w:val="000000"/>
          <w:sz w:val="20"/>
          <w:szCs w:val="20"/>
        </w:rPr>
        <w:t xml:space="preserve">. </w:t>
      </w:r>
      <w:r>
        <w:rPr>
          <w:rFonts w:eastAsia="Times New Roman"/>
          <w:color w:val="000000"/>
          <w:sz w:val="20"/>
          <w:szCs w:val="20"/>
        </w:rPr>
        <w:t>“Description of Bu</w:t>
      </w:r>
      <w:r>
        <w:rPr>
          <w:rFonts w:eastAsia="Times New Roman"/>
          <w:color w:val="000000"/>
          <w:sz w:val="20"/>
          <w:szCs w:val="20"/>
        </w:rPr>
        <w:t>siness and Basis of Presentation” of our unaudited condensed consolidated financial statements included in Part I. Item 1. of this Form 10-Q.</w:t>
      </w:r>
    </w:p>
    <w:p w:rsidR="00000000" w:rsidRDefault="0039134F">
      <w:pPr>
        <w:jc w:val="center"/>
        <w:divId w:val="276261699"/>
        <w:rPr>
          <w:rFonts w:eastAsia="Times New Roman"/>
        </w:rPr>
      </w:pPr>
      <w:r>
        <w:rPr>
          <w:rFonts w:eastAsia="Times New Roman"/>
          <w:color w:val="000000"/>
          <w:sz w:val="20"/>
          <w:szCs w:val="20"/>
        </w:rPr>
        <w:t>50</w:t>
      </w:r>
    </w:p>
    <w:p w:rsidR="00000000" w:rsidRDefault="0039134F">
      <w:pPr>
        <w:rPr>
          <w:rFonts w:eastAsia="Times New Roman"/>
        </w:rPr>
      </w:pPr>
      <w:r>
        <w:rPr>
          <w:rFonts w:eastAsia="Times New Roman"/>
        </w:rPr>
        <w:pict>
          <v:rect id="_x0000_i1074" style="width:0;height:1.5pt" o:hralign="center" o:hrstd="t" o:hr="t" fillcolor="#a0a0a0" stroked="f"/>
        </w:pict>
      </w:r>
    </w:p>
    <w:p w:rsidR="00000000" w:rsidRDefault="0039134F">
      <w:pPr>
        <w:divId w:val="373579796"/>
        <w:rPr>
          <w:rFonts w:eastAsia="Times New Roman"/>
        </w:rPr>
      </w:pPr>
      <w:hyperlink w:anchor="i50336ee56f43460a9be6f65c8cd49c0c_7" w:history="1">
        <w:r>
          <w:rPr>
            <w:rStyle w:val="a3"/>
            <w:rFonts w:eastAsia="Times New Roman"/>
            <w:sz w:val="20"/>
            <w:szCs w:val="20"/>
          </w:rPr>
          <w:t>Table of Content</w:t>
        </w:r>
        <w:r>
          <w:rPr>
            <w:rStyle w:val="a3"/>
            <w:rFonts w:eastAsia="Times New Roman"/>
            <w:sz w:val="20"/>
            <w:szCs w:val="20"/>
          </w:rPr>
          <w:t>s</w:t>
        </w:r>
      </w:hyperlink>
    </w:p>
    <w:p w:rsidR="00000000" w:rsidRDefault="0039134F">
      <w:pPr>
        <w:jc w:val="both"/>
        <w:divId w:val="687104388"/>
        <w:rPr>
          <w:rFonts w:eastAsia="Times New Roman"/>
        </w:rPr>
      </w:pPr>
      <w:r>
        <w:rPr>
          <w:rFonts w:eastAsia="Times New Roman"/>
          <w:b/>
          <w:bCs/>
          <w:color w:val="000000"/>
          <w:sz w:val="20"/>
          <w:szCs w:val="20"/>
        </w:rPr>
        <w:t>Adoption of New Accounting Pronouncements</w:t>
      </w:r>
    </w:p>
    <w:p w:rsidR="00000000" w:rsidRDefault="0039134F">
      <w:pPr>
        <w:jc w:val="both"/>
        <w:divId w:val="657686082"/>
        <w:rPr>
          <w:rFonts w:eastAsia="Times New Roman"/>
        </w:rPr>
      </w:pPr>
      <w:r>
        <w:rPr>
          <w:rFonts w:eastAsia="Times New Roman"/>
          <w:color w:val="000000"/>
          <w:sz w:val="20"/>
          <w:szCs w:val="20"/>
        </w:rPr>
        <w:t>The information set forth in Note 1. “Description of Business and Basis of Presentation” to our unaudited condensed consolidated financial statements under Part I. Item 1. under the heading “</w:t>
      </w:r>
      <w:r>
        <w:rPr>
          <w:rFonts w:eastAsia="Times New Roman"/>
          <w:i/>
          <w:iCs/>
          <w:color w:val="000000"/>
          <w:sz w:val="20"/>
          <w:szCs w:val="20"/>
        </w:rPr>
        <w:t>Adoption of New Accou</w:t>
      </w:r>
      <w:r>
        <w:rPr>
          <w:rFonts w:eastAsia="Times New Roman"/>
          <w:i/>
          <w:iCs/>
          <w:color w:val="000000"/>
          <w:sz w:val="20"/>
          <w:szCs w:val="20"/>
        </w:rPr>
        <w:t>nting Pronouncements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of this Form 10-Q is incorporated herein by reference.</w:t>
      </w:r>
    </w:p>
    <w:p w:rsidR="00000000" w:rsidRDefault="0039134F">
      <w:pPr>
        <w:jc w:val="center"/>
        <w:divId w:val="1443838796"/>
        <w:rPr>
          <w:rFonts w:eastAsia="Times New Roman"/>
        </w:rPr>
      </w:pPr>
      <w:r>
        <w:rPr>
          <w:rFonts w:eastAsia="Times New Roman"/>
          <w:color w:val="000000"/>
          <w:sz w:val="20"/>
          <w:szCs w:val="20"/>
        </w:rPr>
        <w:t>51</w:t>
      </w:r>
    </w:p>
    <w:p w:rsidR="00000000" w:rsidRDefault="0039134F">
      <w:pPr>
        <w:rPr>
          <w:rFonts w:eastAsia="Times New Roman"/>
        </w:rPr>
      </w:pPr>
      <w:r>
        <w:rPr>
          <w:rFonts w:eastAsia="Times New Roman"/>
        </w:rPr>
        <w:pict>
          <v:rect id="_x0000_i1075" style="width:0;height:1.5pt" o:hralign="center" o:hrstd="t" o:hr="t" fillcolor="#a0a0a0" stroked="f"/>
        </w:pict>
      </w:r>
    </w:p>
    <w:p w:rsidR="00000000" w:rsidRDefault="0039134F">
      <w:pPr>
        <w:divId w:val="719208240"/>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481241272"/>
        <w:rPr>
          <w:rFonts w:eastAsia="Times New Roman"/>
        </w:rPr>
      </w:pPr>
    </w:p>
    <w:p w:rsidR="00000000" w:rsidRDefault="0039134F">
      <w:pPr>
        <w:divId w:val="1131824904"/>
        <w:rPr>
          <w:rFonts w:eastAsia="Times New Roman"/>
        </w:rPr>
      </w:pPr>
      <w:r>
        <w:rPr>
          <w:rFonts w:eastAsia="Times New Roman"/>
          <w:b/>
          <w:bCs/>
          <w:color w:val="000000"/>
          <w:sz w:val="20"/>
          <w:szCs w:val="20"/>
        </w:rPr>
        <w:t xml:space="preserve">Item 3. Quantitative and Qualitative Disclosures About Market </w:t>
      </w:r>
      <w:r>
        <w:rPr>
          <w:rFonts w:eastAsia="Times New Roman"/>
          <w:b/>
          <w:bCs/>
          <w:color w:val="000000"/>
          <w:sz w:val="20"/>
          <w:szCs w:val="20"/>
        </w:rPr>
        <w:t>Risk</w:t>
      </w:r>
    </w:p>
    <w:p w:rsidR="00000000" w:rsidRDefault="0039134F">
      <w:pPr>
        <w:jc w:val="both"/>
        <w:divId w:val="445463768"/>
        <w:rPr>
          <w:rFonts w:eastAsia="Times New Roman"/>
        </w:rPr>
      </w:pPr>
      <w:r>
        <w:rPr>
          <w:rFonts w:eastAsia="Times New Roman"/>
          <w:color w:val="000000"/>
          <w:sz w:val="20"/>
          <w:szCs w:val="20"/>
        </w:rPr>
        <w:t>We have market risk exposure from changes in interest rates. When appropriate, we use derivative financial instruments to mitigate the risk from such exposure. A discussion of our accounting policies for derivative financial instruments is included in</w:t>
      </w:r>
      <w:r>
        <w:rPr>
          <w:rFonts w:eastAsia="Times New Roman"/>
          <w:color w:val="000000"/>
          <w:sz w:val="20"/>
          <w:szCs w:val="20"/>
        </w:rPr>
        <w:t xml:space="preserve"> Note 3. “Fair Value Measurement of Financial Assets and Liabilities,” to our unaudited condensed consolidated financial statements included in Part I. Item 1. of this Form 10-Q.</w:t>
      </w:r>
    </w:p>
    <w:p w:rsidR="00000000" w:rsidRDefault="0039134F">
      <w:pPr>
        <w:jc w:val="both"/>
        <w:divId w:val="1327978929"/>
        <w:rPr>
          <w:rFonts w:eastAsia="Times New Roman"/>
        </w:rPr>
      </w:pPr>
      <w:r>
        <w:rPr>
          <w:rFonts w:eastAsia="Times New Roman"/>
          <w:color w:val="000000"/>
          <w:sz w:val="20"/>
          <w:szCs w:val="20"/>
        </w:rPr>
        <w:t>A substantial portion of our debt bears interest at variable rates. If market</w:t>
      </w:r>
      <w:r>
        <w:rPr>
          <w:rFonts w:eastAsia="Times New Roman"/>
          <w:color w:val="000000"/>
          <w:sz w:val="20"/>
          <w:szCs w:val="20"/>
        </w:rPr>
        <w:t xml:space="preserve"> interest rates increase, the interest rate on our variable rate debt will increase and will create higher debt service requirements, which would adversely affect our cash flow and could adversely impact our results of operations. We also have a revolving </w:t>
      </w:r>
      <w:r>
        <w:rPr>
          <w:rFonts w:eastAsia="Times New Roman"/>
          <w:color w:val="000000"/>
          <w:sz w:val="20"/>
          <w:szCs w:val="20"/>
        </w:rPr>
        <w:t>line of credit at variable interest rates. The general levels of LIBOR affect interest expense. We periodically use interest rate derivative contracts to manage such risk. For contracts that are designated, and highly effective, as cash flow hedges, the ne</w:t>
      </w:r>
      <w:r>
        <w:rPr>
          <w:rFonts w:eastAsia="Times New Roman"/>
          <w:color w:val="000000"/>
          <w:sz w:val="20"/>
          <w:szCs w:val="20"/>
        </w:rPr>
        <w:t>t amounts to be paid or received are accrued as interest rates change, and are recognized over the life of the contracts as an adjustment to interest expense from the underlying debt to which the contracts are designated. For contracts that are not designa</w:t>
      </w:r>
      <w:r>
        <w:rPr>
          <w:rFonts w:eastAsia="Times New Roman"/>
          <w:color w:val="000000"/>
          <w:sz w:val="20"/>
          <w:szCs w:val="20"/>
        </w:rPr>
        <w:t>ted as cash flow hedges, the gains or losses from changes in fair value are recognized in interest expense, net. The related amounts payable to, or receivable from, the contract counterparties are included in accrued liabilities or accounts receivable in t</w:t>
      </w:r>
      <w:r>
        <w:rPr>
          <w:rFonts w:eastAsia="Times New Roman"/>
          <w:color w:val="000000"/>
          <w:sz w:val="20"/>
          <w:szCs w:val="20"/>
        </w:rPr>
        <w:t>he unaudited condensed consolidated balance sheets.</w:t>
      </w:r>
    </w:p>
    <w:p w:rsidR="00000000" w:rsidRDefault="0039134F">
      <w:pPr>
        <w:jc w:val="both"/>
        <w:divId w:val="2141651766"/>
        <w:rPr>
          <w:rFonts w:eastAsia="Times New Roman"/>
        </w:rPr>
      </w:pPr>
      <w:r>
        <w:rPr>
          <w:rFonts w:eastAsia="Times New Roman"/>
          <w:color w:val="000000"/>
          <w:sz w:val="20"/>
          <w:szCs w:val="20"/>
        </w:rPr>
        <w:t>As of September 26, 2020, $317.4 million of term loan borrowings was subject to variable interest rates, with a weighted average borrowing rate of 5.7%. After inclusion of the notional amount of $317.0 mi</w:t>
      </w:r>
      <w:r>
        <w:rPr>
          <w:rFonts w:eastAsia="Times New Roman"/>
          <w:color w:val="000000"/>
          <w:sz w:val="20"/>
          <w:szCs w:val="20"/>
        </w:rPr>
        <w:t>llion of interest rate swaps fixing a portion of the variable rate debt, $0.4 million, or 0.1% of our debt, is subject to variable interest rates. Assuming an increase to market rates of 1.0% as of September 26, 2020, the resulting impact to interest expen</w:t>
      </w:r>
      <w:r>
        <w:rPr>
          <w:rFonts w:eastAsia="Times New Roman"/>
          <w:color w:val="000000"/>
          <w:sz w:val="20"/>
          <w:szCs w:val="20"/>
        </w:rPr>
        <w:t>se related to debt subject to variable rates would be immaterial. Assuming a decrease to market rates of 1.0% as of September 26, 2020, the resulting impact to interest expense related to the interest rate collar would be approximately $12 million.</w:t>
      </w:r>
    </w:p>
    <w:p w:rsidR="00000000" w:rsidRDefault="0039134F">
      <w:pPr>
        <w:jc w:val="both"/>
        <w:divId w:val="725227176"/>
        <w:rPr>
          <w:rFonts w:eastAsia="Times New Roman"/>
        </w:rPr>
      </w:pPr>
    </w:p>
    <w:p w:rsidR="00000000" w:rsidRDefault="0039134F">
      <w:pPr>
        <w:divId w:val="1070035614"/>
        <w:rPr>
          <w:rFonts w:eastAsia="Times New Roman"/>
        </w:rPr>
      </w:pPr>
      <w:r>
        <w:rPr>
          <w:rFonts w:eastAsia="Times New Roman"/>
          <w:b/>
          <w:bCs/>
          <w:color w:val="000000"/>
          <w:sz w:val="20"/>
          <w:szCs w:val="20"/>
        </w:rPr>
        <w:t>Item </w:t>
      </w:r>
      <w:r>
        <w:rPr>
          <w:rFonts w:eastAsia="Times New Roman"/>
          <w:b/>
          <w:bCs/>
          <w:color w:val="000000"/>
          <w:sz w:val="20"/>
          <w:szCs w:val="20"/>
        </w:rPr>
        <w:t>4. Controls and Procedures</w:t>
      </w:r>
    </w:p>
    <w:p w:rsidR="00000000" w:rsidRDefault="0039134F">
      <w:pPr>
        <w:divId w:val="1298300386"/>
        <w:rPr>
          <w:rFonts w:eastAsia="Times New Roman"/>
        </w:rPr>
      </w:pPr>
      <w:r>
        <w:rPr>
          <w:rFonts w:eastAsia="Times New Roman"/>
          <w:b/>
          <w:bCs/>
          <w:color w:val="000000"/>
          <w:sz w:val="20"/>
          <w:szCs w:val="20"/>
        </w:rPr>
        <w:t>Evaluation of Disclosure Controls and Procedures</w:t>
      </w:r>
    </w:p>
    <w:p w:rsidR="00000000" w:rsidRDefault="0039134F">
      <w:pPr>
        <w:jc w:val="both"/>
        <w:divId w:val="66147974"/>
        <w:rPr>
          <w:rFonts w:eastAsia="Times New Roman"/>
        </w:rPr>
      </w:pPr>
      <w:r>
        <w:rPr>
          <w:rFonts w:eastAsia="Times New Roman"/>
          <w:color w:val="000000"/>
          <w:sz w:val="20"/>
          <w:szCs w:val="20"/>
        </w:rPr>
        <w:t>We maintain disclosure controls and procedures (as that term is defined in Rules 13a-15(e) and 15d-15(e) of the Securities Exchange Act of 1934, as amended (the “Exchange Act”)) th</w:t>
      </w:r>
      <w:r>
        <w:rPr>
          <w:rFonts w:eastAsia="Times New Roman"/>
          <w:color w:val="000000"/>
          <w:sz w:val="20"/>
          <w:szCs w:val="20"/>
        </w:rPr>
        <w:t>at are designed to ensure that information required to be disclosed in our reports under the Exchange Act, is recorded, processed, summarized and reported within the time periods specified in the SEC’s rules and forms, and that such information is accumula</w:t>
      </w:r>
      <w:r>
        <w:rPr>
          <w:rFonts w:eastAsia="Times New Roman"/>
          <w:color w:val="000000"/>
          <w:sz w:val="20"/>
          <w:szCs w:val="20"/>
        </w:rPr>
        <w:t>ted and communicated to our management, including our Chief Executive Officer (“CEO”) and our Chief Financial Officer (“CFO”), as appropriate, to allow timely decisions regarding required disclosures. Any controls and procedures, no matter how well designe</w:t>
      </w:r>
      <w:r>
        <w:rPr>
          <w:rFonts w:eastAsia="Times New Roman"/>
          <w:color w:val="000000"/>
          <w:sz w:val="20"/>
          <w:szCs w:val="20"/>
        </w:rPr>
        <w:t>d and operated, can provide only reasonable assurance of achieving the desired control objectives.</w:t>
      </w:r>
    </w:p>
    <w:p w:rsidR="00000000" w:rsidRDefault="0039134F">
      <w:pPr>
        <w:jc w:val="both"/>
        <w:divId w:val="58746640"/>
        <w:rPr>
          <w:rFonts w:eastAsia="Times New Roman"/>
        </w:rPr>
      </w:pPr>
      <w:r>
        <w:rPr>
          <w:rFonts w:eastAsia="Times New Roman"/>
          <w:color w:val="000000"/>
          <w:sz w:val="20"/>
          <w:szCs w:val="20"/>
        </w:rPr>
        <w:t>In accordance with Rule 13a-15(b) of the Exchange Act, the Company carried out an evaluation, under the supervision and with the participation of its management, including its CEO and CFO, of the effectiveness of the design and operation of the Company's d</w:t>
      </w:r>
      <w:r>
        <w:rPr>
          <w:rFonts w:eastAsia="Times New Roman"/>
          <w:color w:val="000000"/>
          <w:sz w:val="20"/>
          <w:szCs w:val="20"/>
        </w:rPr>
        <w:t>isclosure controls and procedures as of September 26, 2020. Based on that evaluation, the CEO and the CFO have concluded that the Company's current disclosure controls and procedures are effective in ensuring that material information relating to the Compa</w:t>
      </w:r>
      <w:r>
        <w:rPr>
          <w:rFonts w:eastAsia="Times New Roman"/>
          <w:color w:val="000000"/>
          <w:sz w:val="20"/>
          <w:szCs w:val="20"/>
        </w:rPr>
        <w:t>ny required to be disclosed in the Company's periodic filings with the U.S. Securities and Exchange Commission (“SEC”) is made known to them in a timely manner.</w:t>
      </w:r>
    </w:p>
    <w:p w:rsidR="00000000" w:rsidRDefault="0039134F">
      <w:pPr>
        <w:jc w:val="both"/>
        <w:divId w:val="1792239818"/>
        <w:rPr>
          <w:rFonts w:eastAsia="Times New Roman"/>
        </w:rPr>
      </w:pPr>
      <w:r>
        <w:rPr>
          <w:rFonts w:eastAsia="Times New Roman"/>
          <w:b/>
          <w:bCs/>
          <w:color w:val="000000"/>
          <w:sz w:val="20"/>
          <w:szCs w:val="20"/>
        </w:rPr>
        <w:t>Changes in Internal Control over Financial Reporting</w:t>
      </w:r>
    </w:p>
    <w:p w:rsidR="00000000" w:rsidRDefault="0039134F">
      <w:pPr>
        <w:jc w:val="both"/>
        <w:divId w:val="726102742"/>
        <w:rPr>
          <w:rFonts w:eastAsia="Times New Roman"/>
        </w:rPr>
      </w:pPr>
      <w:r>
        <w:rPr>
          <w:rFonts w:eastAsia="Times New Roman"/>
          <w:color w:val="000000"/>
          <w:sz w:val="20"/>
          <w:szCs w:val="20"/>
        </w:rPr>
        <w:t>There were no changes in our internal control over financial reporting as defined in Exchange Act Rules 13a-15(f) and 15d-15(f) that occurred during the third quarter of fiscal year 2020 that have materially affected, or are reasonably likely to materially</w:t>
      </w:r>
      <w:r>
        <w:rPr>
          <w:rFonts w:eastAsia="Times New Roman"/>
          <w:color w:val="000000"/>
          <w:sz w:val="20"/>
          <w:szCs w:val="20"/>
        </w:rPr>
        <w:t xml:space="preserve"> affect, our internal control over financial reporting. We have not experienced any material impact to our internal controls over financial reporting despite the fact that most corporate employees of the Company began working remotely due to the COVID-19 p</w:t>
      </w:r>
      <w:r>
        <w:rPr>
          <w:rFonts w:eastAsia="Times New Roman"/>
          <w:color w:val="000000"/>
          <w:sz w:val="20"/>
          <w:szCs w:val="20"/>
        </w:rPr>
        <w:t>andemic, though we will continue to assess the impact on the design and operating effectiveness of our internal controls.</w:t>
      </w:r>
    </w:p>
    <w:p w:rsidR="00000000" w:rsidRDefault="0039134F">
      <w:pPr>
        <w:jc w:val="both"/>
        <w:divId w:val="474951829"/>
        <w:rPr>
          <w:rFonts w:eastAsia="Times New Roman"/>
        </w:rPr>
      </w:pPr>
    </w:p>
    <w:p w:rsidR="00000000" w:rsidRDefault="0039134F">
      <w:pPr>
        <w:jc w:val="center"/>
        <w:divId w:val="1217470104"/>
        <w:rPr>
          <w:rFonts w:eastAsia="Times New Roman"/>
        </w:rPr>
      </w:pPr>
      <w:r>
        <w:rPr>
          <w:rFonts w:eastAsia="Times New Roman"/>
          <w:color w:val="000000"/>
          <w:sz w:val="20"/>
          <w:szCs w:val="20"/>
        </w:rPr>
        <w:t>52</w:t>
      </w:r>
    </w:p>
    <w:p w:rsidR="00000000" w:rsidRDefault="0039134F">
      <w:pPr>
        <w:rPr>
          <w:rFonts w:eastAsia="Times New Roman"/>
        </w:rPr>
      </w:pPr>
      <w:r>
        <w:rPr>
          <w:rFonts w:eastAsia="Times New Roman"/>
        </w:rPr>
        <w:pict>
          <v:rect id="_x0000_i1076" style="width:0;height:1.5pt" o:hralign="center" o:hrstd="t" o:hr="t" fillcolor="#a0a0a0" stroked="f"/>
        </w:pict>
      </w:r>
    </w:p>
    <w:p w:rsidR="00000000" w:rsidRDefault="0039134F">
      <w:pPr>
        <w:divId w:val="227349191"/>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1738477665"/>
        <w:rPr>
          <w:rFonts w:eastAsia="Times New Roman"/>
        </w:rPr>
      </w:pPr>
    </w:p>
    <w:p w:rsidR="00000000" w:rsidRDefault="0039134F">
      <w:pPr>
        <w:divId w:val="1878666335"/>
        <w:rPr>
          <w:rFonts w:eastAsia="Times New Roman"/>
        </w:rPr>
      </w:pPr>
      <w:r>
        <w:rPr>
          <w:rFonts w:eastAsia="Times New Roman"/>
          <w:b/>
          <w:bCs/>
          <w:color w:val="000000"/>
          <w:sz w:val="20"/>
          <w:szCs w:val="20"/>
        </w:rPr>
        <w:t>PART II - OTHE</w:t>
      </w:r>
      <w:r>
        <w:rPr>
          <w:rFonts w:eastAsia="Times New Roman"/>
          <w:b/>
          <w:bCs/>
          <w:color w:val="000000"/>
          <w:sz w:val="20"/>
          <w:szCs w:val="20"/>
        </w:rPr>
        <w:t>R INFORMATION</w:t>
      </w:r>
    </w:p>
    <w:p w:rsidR="00000000" w:rsidRDefault="0039134F">
      <w:pPr>
        <w:divId w:val="1065448789"/>
        <w:rPr>
          <w:rFonts w:eastAsia="Times New Roman"/>
        </w:rPr>
      </w:pPr>
    </w:p>
    <w:p w:rsidR="00000000" w:rsidRDefault="0039134F">
      <w:pPr>
        <w:divId w:val="1846088282"/>
        <w:rPr>
          <w:rFonts w:eastAsia="Times New Roman"/>
        </w:rPr>
      </w:pPr>
      <w:r>
        <w:rPr>
          <w:rFonts w:eastAsia="Times New Roman"/>
          <w:b/>
          <w:bCs/>
          <w:color w:val="000000"/>
          <w:sz w:val="20"/>
          <w:szCs w:val="20"/>
        </w:rPr>
        <w:t>Item 1. Legal Proceedings</w:t>
      </w:r>
    </w:p>
    <w:p w:rsidR="00000000" w:rsidRDefault="0039134F">
      <w:pPr>
        <w:divId w:val="250504078"/>
        <w:rPr>
          <w:rFonts w:eastAsia="Times New Roman"/>
        </w:rPr>
      </w:pPr>
      <w:r>
        <w:rPr>
          <w:rFonts w:eastAsia="Times New Roman"/>
          <w:color w:val="000000"/>
          <w:sz w:val="20"/>
          <w:szCs w:val="20"/>
        </w:rPr>
        <w:t>See Note 10. “Commitments and Contingencies” in our condensed consolidated financial statements included in Part I. Item 1. of this Form 10-Q for information regarding certain legal proceedings in which we are invo</w:t>
      </w:r>
      <w:r>
        <w:rPr>
          <w:rFonts w:eastAsia="Times New Roman"/>
          <w:color w:val="000000"/>
          <w:sz w:val="20"/>
          <w:szCs w:val="20"/>
        </w:rPr>
        <w:t>lved, which discussion is incorporated herein by reference.</w:t>
      </w:r>
    </w:p>
    <w:p w:rsidR="00000000" w:rsidRDefault="0039134F">
      <w:pPr>
        <w:jc w:val="both"/>
        <w:divId w:val="1903059230"/>
        <w:rPr>
          <w:rFonts w:eastAsia="Times New Roman"/>
        </w:rPr>
      </w:pPr>
    </w:p>
    <w:p w:rsidR="00000000" w:rsidRDefault="0039134F">
      <w:pPr>
        <w:divId w:val="1346900903"/>
        <w:rPr>
          <w:rFonts w:eastAsia="Times New Roman"/>
        </w:rPr>
      </w:pPr>
      <w:r>
        <w:rPr>
          <w:rFonts w:eastAsia="Times New Roman"/>
          <w:b/>
          <w:bCs/>
          <w:color w:val="000000"/>
          <w:sz w:val="20"/>
          <w:szCs w:val="20"/>
        </w:rPr>
        <w:t>Item 1A. Risk Factors</w:t>
      </w:r>
    </w:p>
    <w:p w:rsidR="00000000" w:rsidRDefault="0039134F">
      <w:pPr>
        <w:jc w:val="both"/>
        <w:divId w:val="157306487"/>
        <w:rPr>
          <w:rFonts w:eastAsia="Times New Roman"/>
        </w:rPr>
      </w:pPr>
      <w:r>
        <w:rPr>
          <w:rFonts w:eastAsia="Times New Roman"/>
          <w:color w:val="212529"/>
          <w:sz w:val="20"/>
          <w:szCs w:val="20"/>
        </w:rPr>
        <w:t xml:space="preserve">For information regarding factors that could affect the Company's results of operations, financial condition and liquidity, see the risk factors discussed </w:t>
      </w:r>
      <w:r>
        <w:rPr>
          <w:rFonts w:eastAsia="Times New Roman"/>
          <w:color w:val="000000"/>
          <w:sz w:val="20"/>
          <w:szCs w:val="20"/>
        </w:rPr>
        <w:t>in Part I. Item 1</w:t>
      </w:r>
      <w:r>
        <w:rPr>
          <w:rFonts w:eastAsia="Times New Roman"/>
          <w:color w:val="000000"/>
          <w:sz w:val="20"/>
          <w:szCs w:val="20"/>
        </w:rPr>
        <w:t xml:space="preserve">A. “Risk Factors” in our 2019 Annual Report on Form 10-K </w:t>
      </w:r>
      <w:r>
        <w:rPr>
          <w:rFonts w:eastAsia="Times New Roman"/>
          <w:color w:val="212529"/>
          <w:sz w:val="20"/>
          <w:szCs w:val="20"/>
        </w:rPr>
        <w:t>and the additional risk factor supplemented in our Quarterly Report on Form 10-Q filed on May 7, 2020 (“Q1 Form 10-Q”), our Quarterly Report on Form 10-Q filed on August 6, 2020 (“Q2 Form 10-Q”), and</w:t>
      </w:r>
      <w:r>
        <w:rPr>
          <w:rFonts w:eastAsia="Times New Roman"/>
          <w:color w:val="212529"/>
          <w:sz w:val="20"/>
          <w:szCs w:val="20"/>
        </w:rPr>
        <w:t xml:space="preserve"> our Current Report on Form 8-K filed on March 19, 2020 (the “March 2020 Form 8-K”), except as described below, there have been no material changes to the risk factors described in our 2019 Annual Report on Form 10-K, Q1 Form 10-Q, Q2 Form 10-Q, and March </w:t>
      </w:r>
      <w:r>
        <w:rPr>
          <w:rFonts w:eastAsia="Times New Roman"/>
          <w:color w:val="212529"/>
          <w:sz w:val="20"/>
          <w:szCs w:val="20"/>
        </w:rPr>
        <w:t>2020 Form 8-K.</w:t>
      </w:r>
    </w:p>
    <w:p w:rsidR="00000000" w:rsidRDefault="0039134F">
      <w:pPr>
        <w:jc w:val="both"/>
        <w:divId w:val="1421369797"/>
        <w:rPr>
          <w:rFonts w:eastAsia="Times New Roman"/>
        </w:rPr>
      </w:pPr>
      <w:r>
        <w:rPr>
          <w:rFonts w:eastAsia="Times New Roman"/>
          <w:b/>
          <w:bCs/>
          <w:i/>
          <w:iCs/>
          <w:color w:val="212529"/>
          <w:sz w:val="20"/>
          <w:szCs w:val="20"/>
        </w:rPr>
        <w:t>The scale and scope of the recent COVID-19 outbreak and resulting pandemic is unknown, has had a material adverse impact on our business and may continue to adversely impact our business at least for the near term.</w:t>
      </w:r>
    </w:p>
    <w:p w:rsidR="00000000" w:rsidRDefault="0039134F">
      <w:pPr>
        <w:jc w:val="both"/>
        <w:divId w:val="1686590816"/>
        <w:rPr>
          <w:rFonts w:eastAsia="Times New Roman"/>
        </w:rPr>
      </w:pPr>
      <w:r>
        <w:rPr>
          <w:rFonts w:eastAsia="Times New Roman"/>
          <w:color w:val="212529"/>
          <w:sz w:val="20"/>
          <w:szCs w:val="20"/>
        </w:rPr>
        <w:t>In December 2019, the COVI</w:t>
      </w:r>
      <w:r>
        <w:rPr>
          <w:rFonts w:eastAsia="Times New Roman"/>
          <w:color w:val="212529"/>
          <w:sz w:val="20"/>
          <w:szCs w:val="20"/>
        </w:rPr>
        <w:t xml:space="preserve">D-19 disease was reported and in January 2020, the World Health Organization (“WHO”) declared COVID-19 a Public Health Emergency of International Concern. On February 28, 2020, the WHO raised its assessment of the COVID-19 threat from high to very high at </w:t>
      </w:r>
      <w:r>
        <w:rPr>
          <w:rFonts w:eastAsia="Times New Roman"/>
          <w:color w:val="212529"/>
          <w:sz w:val="20"/>
          <w:szCs w:val="20"/>
        </w:rPr>
        <w:t>a global level due to the continued increase in the number of cases and affected countries, and on March 11, 2020, the WHO characterized COVID-19 as a pandemic. The COVID-19 pandemic has adversely affected global economies, financial markets and the overal</w:t>
      </w:r>
      <w:r>
        <w:rPr>
          <w:rFonts w:eastAsia="Times New Roman"/>
          <w:color w:val="212529"/>
          <w:sz w:val="20"/>
          <w:szCs w:val="20"/>
        </w:rPr>
        <w:t>l environment for our business, and the extent to which it may impact our future results of operations and overall financial performance remains uncertain.</w:t>
      </w:r>
    </w:p>
    <w:p w:rsidR="00000000" w:rsidRDefault="0039134F">
      <w:pPr>
        <w:jc w:val="both"/>
        <w:divId w:val="1676112525"/>
        <w:rPr>
          <w:rFonts w:eastAsia="Times New Roman"/>
        </w:rPr>
      </w:pPr>
      <w:r>
        <w:rPr>
          <w:rFonts w:eastAsia="Times New Roman"/>
          <w:color w:val="212529"/>
          <w:sz w:val="20"/>
          <w:szCs w:val="20"/>
        </w:rPr>
        <w:t>The Company is following the recommendations of U.S. government and health authorities to minimize e</w:t>
      </w:r>
      <w:r>
        <w:rPr>
          <w:rFonts w:eastAsia="Times New Roman"/>
          <w:color w:val="212529"/>
          <w:sz w:val="20"/>
          <w:szCs w:val="20"/>
        </w:rPr>
        <w:t>xposure risk for its associates, doctors, customers and patients. As a result, the Company announced on March 18, 2020, a temporary closure of its retail stores to the public. On April 27, 2020, the Company began the gradual reopening of retail locations t</w:t>
      </w:r>
      <w:r>
        <w:rPr>
          <w:rFonts w:eastAsia="Times New Roman"/>
          <w:color w:val="212529"/>
          <w:sz w:val="20"/>
          <w:szCs w:val="20"/>
        </w:rPr>
        <w:t xml:space="preserve">o the public with enhanced safety protocols and a focus on meeting the urgent and emergency eye health needs of patients and customers. </w:t>
      </w:r>
      <w:r>
        <w:rPr>
          <w:rFonts w:eastAsia="Times New Roman"/>
          <w:color w:val="000000"/>
          <w:sz w:val="20"/>
          <w:szCs w:val="20"/>
          <w:shd w:val="clear" w:color="auto" w:fill="FFFFFF"/>
        </w:rPr>
        <w:t>On June 8, 2020, the Company announced the successful completion of the reopening process.</w:t>
      </w:r>
      <w:r>
        <w:rPr>
          <w:rFonts w:eastAsia="Times New Roman"/>
          <w:color w:val="212529"/>
          <w:sz w:val="20"/>
          <w:szCs w:val="20"/>
        </w:rPr>
        <w:t xml:space="preserve"> The Company is closely monito</w:t>
      </w:r>
      <w:r>
        <w:rPr>
          <w:rFonts w:eastAsia="Times New Roman"/>
          <w:color w:val="212529"/>
          <w:sz w:val="20"/>
          <w:szCs w:val="20"/>
        </w:rPr>
        <w:t>ring this global health crisis and will continue to reassess its strategy and operational structure on a regular, ongoing basis as the situation evolves.</w:t>
      </w:r>
    </w:p>
    <w:p w:rsidR="00000000" w:rsidRDefault="0039134F">
      <w:pPr>
        <w:jc w:val="both"/>
        <w:divId w:val="770319334"/>
        <w:rPr>
          <w:rFonts w:eastAsia="Times New Roman"/>
        </w:rPr>
      </w:pPr>
      <w:r>
        <w:rPr>
          <w:rFonts w:eastAsia="Times New Roman"/>
          <w:color w:val="212529"/>
          <w:sz w:val="20"/>
          <w:szCs w:val="20"/>
        </w:rPr>
        <w:t>The scale and scope of the COVID-19 pandemic has heightened and may continue to heighten the potential</w:t>
      </w:r>
      <w:r>
        <w:rPr>
          <w:rFonts w:eastAsia="Times New Roman"/>
          <w:color w:val="212529"/>
          <w:sz w:val="20"/>
          <w:szCs w:val="20"/>
        </w:rPr>
        <w:t xml:space="preserve"> adverse effects on our business, operating results, cash flows and/or financial condition described in certain risk factors contained in our 2019 Annual Report on Form 10-K, Q1 Form 10-Q, Q2 Form 10-Q, and March 2020 Form 8-K, including the impact of:</w:t>
      </w:r>
    </w:p>
    <w:p w:rsidR="00000000" w:rsidRDefault="0039134F">
      <w:pPr>
        <w:ind w:hanging="360"/>
        <w:jc w:val="both"/>
        <w:divId w:val="867329620"/>
        <w:rPr>
          <w:rFonts w:eastAsia="Times New Roman"/>
        </w:rPr>
      </w:pPr>
      <w:r>
        <w:rPr>
          <w:rFonts w:eastAsia="Times New Roman"/>
          <w:color w:val="000000"/>
          <w:sz w:val="20"/>
          <w:szCs w:val="20"/>
        </w:rPr>
        <w:t>•</w:t>
      </w:r>
      <w:r>
        <w:rPr>
          <w:rFonts w:eastAsia="Times New Roman"/>
          <w:color w:val="212529"/>
          <w:sz w:val="20"/>
          <w:szCs w:val="20"/>
        </w:rPr>
        <w:t xml:space="preserve">a </w:t>
      </w:r>
      <w:r>
        <w:rPr>
          <w:rFonts w:eastAsia="Times New Roman"/>
          <w:color w:val="212529"/>
          <w:sz w:val="20"/>
          <w:szCs w:val="20"/>
        </w:rPr>
        <w:t>disruption to our growth strategy of opening new stores and expanding our operations, including as a result of temporarily pausing new store openings;</w:t>
      </w:r>
    </w:p>
    <w:p w:rsidR="00000000" w:rsidRDefault="0039134F">
      <w:pPr>
        <w:ind w:hanging="360"/>
        <w:jc w:val="both"/>
        <w:divId w:val="1087775497"/>
        <w:rPr>
          <w:rFonts w:eastAsia="Times New Roman"/>
        </w:rPr>
      </w:pPr>
      <w:r>
        <w:rPr>
          <w:rFonts w:eastAsia="Times New Roman"/>
          <w:color w:val="000000"/>
          <w:sz w:val="20"/>
          <w:szCs w:val="20"/>
        </w:rPr>
        <w:t>•</w:t>
      </w:r>
      <w:r>
        <w:rPr>
          <w:rFonts w:eastAsia="Times New Roman"/>
          <w:color w:val="212529"/>
          <w:sz w:val="20"/>
          <w:szCs w:val="20"/>
        </w:rPr>
        <w:t>our failure to recruit and retain vision care professionals for our stores in general and in light of th</w:t>
      </w:r>
      <w:r>
        <w:rPr>
          <w:rFonts w:eastAsia="Times New Roman"/>
          <w:color w:val="212529"/>
          <w:sz w:val="20"/>
          <w:szCs w:val="20"/>
        </w:rPr>
        <w:t>e pandemic;</w:t>
      </w:r>
    </w:p>
    <w:p w:rsidR="00000000" w:rsidRDefault="0039134F">
      <w:pPr>
        <w:ind w:hanging="360"/>
        <w:jc w:val="both"/>
        <w:divId w:val="307829418"/>
        <w:rPr>
          <w:rFonts w:eastAsia="Times New Roman"/>
        </w:rPr>
      </w:pPr>
      <w:r>
        <w:rPr>
          <w:rFonts w:eastAsia="Times New Roman"/>
          <w:color w:val="212529"/>
          <w:sz w:val="20"/>
          <w:szCs w:val="20"/>
        </w:rPr>
        <w:t>•an inability to staff stores in areas of the country where the population is acutely affected by the COVID-19 pandemic, including the possibility that we may limit hours at, or temporarily close, stores that we are unable to staff sufficiently</w:t>
      </w:r>
      <w:r>
        <w:rPr>
          <w:rFonts w:eastAsia="Times New Roman"/>
          <w:color w:val="212529"/>
          <w:sz w:val="20"/>
          <w:szCs w:val="20"/>
        </w:rPr>
        <w:t>;</w:t>
      </w:r>
    </w:p>
    <w:p w:rsidR="00000000" w:rsidRDefault="0039134F">
      <w:pPr>
        <w:ind w:hanging="360"/>
        <w:jc w:val="both"/>
        <w:divId w:val="1855336269"/>
        <w:rPr>
          <w:rFonts w:eastAsia="Times New Roman"/>
        </w:rPr>
      </w:pPr>
      <w:r>
        <w:rPr>
          <w:rFonts w:eastAsia="Times New Roman"/>
          <w:color w:val="000000"/>
          <w:sz w:val="20"/>
          <w:szCs w:val="20"/>
        </w:rPr>
        <w:t>•</w:t>
      </w:r>
      <w:r>
        <w:rPr>
          <w:rFonts w:eastAsia="Times New Roman"/>
          <w:color w:val="212529"/>
          <w:sz w:val="20"/>
          <w:szCs w:val="20"/>
        </w:rPr>
        <w:t>a failure to adhere to existing laws and regulations or newly enacted state, local and federal vision care or healthcare laws and regulations in response to COVID-19 and exposure to potential lawsuits as a result of any associate or doctor deaths or ill</w:t>
      </w:r>
      <w:r>
        <w:rPr>
          <w:rFonts w:eastAsia="Times New Roman"/>
          <w:color w:val="212529"/>
          <w:sz w:val="20"/>
          <w:szCs w:val="20"/>
        </w:rPr>
        <w:t>ness;</w:t>
      </w:r>
    </w:p>
    <w:p w:rsidR="00000000" w:rsidRDefault="0039134F">
      <w:pPr>
        <w:ind w:hanging="360"/>
        <w:jc w:val="both"/>
        <w:divId w:val="634944160"/>
        <w:rPr>
          <w:rFonts w:eastAsia="Times New Roman"/>
        </w:rPr>
      </w:pPr>
      <w:r>
        <w:rPr>
          <w:rFonts w:eastAsia="Times New Roman"/>
          <w:color w:val="000000"/>
          <w:sz w:val="20"/>
          <w:szCs w:val="20"/>
        </w:rPr>
        <w:t>•</w:t>
      </w:r>
      <w:r>
        <w:rPr>
          <w:rFonts w:eastAsia="Times New Roman"/>
          <w:color w:val="212529"/>
          <w:sz w:val="20"/>
          <w:szCs w:val="20"/>
        </w:rPr>
        <w:t>an inability to maintain sufficient levels of cash flow from our operations to fund our business and growth strategy and the diminished availability of credit, higher cost of borrowing and lack of confidence in equity markets could make it more diff</w:t>
      </w:r>
      <w:r>
        <w:rPr>
          <w:rFonts w:eastAsia="Times New Roman"/>
          <w:color w:val="212529"/>
          <w:sz w:val="20"/>
          <w:szCs w:val="20"/>
        </w:rPr>
        <w:t>icult for us to obtain additional financing on terms that are favorable to us;</w:t>
      </w:r>
    </w:p>
    <w:p w:rsidR="00000000" w:rsidRDefault="0039134F">
      <w:pPr>
        <w:ind w:hanging="360"/>
        <w:jc w:val="both"/>
        <w:divId w:val="175850380"/>
        <w:rPr>
          <w:rFonts w:eastAsia="Times New Roman"/>
        </w:rPr>
      </w:pPr>
      <w:r>
        <w:rPr>
          <w:rFonts w:eastAsia="Times New Roman"/>
          <w:color w:val="000000"/>
          <w:sz w:val="20"/>
          <w:szCs w:val="20"/>
        </w:rPr>
        <w:t>•</w:t>
      </w:r>
      <w:r>
        <w:rPr>
          <w:rFonts w:eastAsia="Times New Roman"/>
          <w:color w:val="212529"/>
          <w:sz w:val="20"/>
          <w:szCs w:val="20"/>
        </w:rPr>
        <w:t>a disruption to our distribution centers or optical laboratories, including those of our suppliers, could result in delays in the receipt of inventory and the delivery of merch</w:t>
      </w:r>
      <w:r>
        <w:rPr>
          <w:rFonts w:eastAsia="Times New Roman"/>
          <w:color w:val="212529"/>
          <w:sz w:val="20"/>
          <w:szCs w:val="20"/>
        </w:rPr>
        <w:t>andise, higher costs, longer lead times and impact the ability to fulfill customer orders;</w:t>
      </w:r>
    </w:p>
    <w:p w:rsidR="00000000" w:rsidRDefault="0039134F">
      <w:pPr>
        <w:ind w:hanging="360"/>
        <w:jc w:val="both"/>
        <w:divId w:val="1824661820"/>
        <w:rPr>
          <w:rFonts w:eastAsia="Times New Roman"/>
        </w:rPr>
      </w:pPr>
      <w:r>
        <w:rPr>
          <w:rFonts w:eastAsia="Times New Roman"/>
          <w:color w:val="000000"/>
          <w:sz w:val="20"/>
          <w:szCs w:val="20"/>
        </w:rPr>
        <w:t>•</w:t>
      </w:r>
      <w:r>
        <w:rPr>
          <w:rFonts w:eastAsia="Times New Roman"/>
          <w:color w:val="212529"/>
          <w:sz w:val="20"/>
          <w:szCs w:val="20"/>
        </w:rPr>
        <w:t>travel restrictions and the shutdown of certain businesses on our suppliers and their sourcing operations and pricing practices;</w:t>
      </w:r>
    </w:p>
    <w:p w:rsidR="00000000" w:rsidRDefault="0039134F">
      <w:pPr>
        <w:jc w:val="center"/>
        <w:divId w:val="74011638"/>
        <w:rPr>
          <w:rFonts w:eastAsia="Times New Roman"/>
        </w:rPr>
      </w:pPr>
      <w:r>
        <w:rPr>
          <w:rFonts w:eastAsia="Times New Roman"/>
          <w:color w:val="000000"/>
          <w:sz w:val="20"/>
          <w:szCs w:val="20"/>
        </w:rPr>
        <w:t>53</w:t>
      </w:r>
    </w:p>
    <w:p w:rsidR="00000000" w:rsidRDefault="0039134F">
      <w:pPr>
        <w:rPr>
          <w:rFonts w:eastAsia="Times New Roman"/>
        </w:rPr>
      </w:pPr>
      <w:r>
        <w:rPr>
          <w:rFonts w:eastAsia="Times New Roman"/>
        </w:rPr>
        <w:pict>
          <v:rect id="_x0000_i1077" style="width:0;height:1.5pt" o:hralign="center" o:hrstd="t" o:hr="t" fillcolor="#a0a0a0" stroked="f"/>
        </w:pict>
      </w:r>
    </w:p>
    <w:p w:rsidR="00000000" w:rsidRDefault="0039134F">
      <w:pPr>
        <w:divId w:val="91698280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1815442894"/>
        <w:rPr>
          <w:rFonts w:eastAsia="Times New Roman"/>
        </w:rPr>
      </w:pPr>
    </w:p>
    <w:p w:rsidR="00000000" w:rsidRDefault="0039134F">
      <w:pPr>
        <w:ind w:hanging="360"/>
        <w:jc w:val="both"/>
        <w:divId w:val="204297353"/>
        <w:rPr>
          <w:rFonts w:eastAsia="Times New Roman"/>
        </w:rPr>
      </w:pPr>
      <w:r>
        <w:rPr>
          <w:rFonts w:eastAsia="Times New Roman"/>
          <w:color w:val="000000"/>
          <w:sz w:val="20"/>
          <w:szCs w:val="20"/>
        </w:rPr>
        <w:t>•</w:t>
      </w:r>
      <w:r>
        <w:rPr>
          <w:rFonts w:eastAsia="Times New Roman"/>
          <w:color w:val="212529"/>
          <w:sz w:val="20"/>
          <w:szCs w:val="20"/>
        </w:rPr>
        <w:t>the temporary reduction in our marketing, advertising and promotional efforts as part of cost management could cause us to have difficulty in</w:t>
      </w:r>
      <w:r>
        <w:rPr>
          <w:rFonts w:eastAsia="Times New Roman"/>
          <w:color w:val="212529"/>
          <w:sz w:val="20"/>
          <w:szCs w:val="20"/>
        </w:rPr>
        <w:t xml:space="preserve"> retaining existing customers and attracting new customers;</w:t>
      </w:r>
    </w:p>
    <w:p w:rsidR="00000000" w:rsidRDefault="0039134F">
      <w:pPr>
        <w:ind w:hanging="360"/>
        <w:jc w:val="both"/>
        <w:divId w:val="507214011"/>
        <w:rPr>
          <w:rFonts w:eastAsia="Times New Roman"/>
        </w:rPr>
      </w:pPr>
      <w:r>
        <w:rPr>
          <w:rFonts w:eastAsia="Times New Roman"/>
          <w:color w:val="000000"/>
          <w:sz w:val="20"/>
          <w:szCs w:val="20"/>
        </w:rPr>
        <w:t>•</w:t>
      </w:r>
      <w:r>
        <w:rPr>
          <w:rFonts w:eastAsia="Times New Roman"/>
          <w:color w:val="212529"/>
          <w:sz w:val="20"/>
          <w:szCs w:val="20"/>
        </w:rPr>
        <w:t>any significant failure, inadequacy, interruption or security breach on our information technology systems, as well as those of our vendors;</w:t>
      </w:r>
    </w:p>
    <w:p w:rsidR="00000000" w:rsidRDefault="0039134F">
      <w:pPr>
        <w:ind w:hanging="360"/>
        <w:jc w:val="both"/>
        <w:divId w:val="956525127"/>
        <w:rPr>
          <w:rFonts w:eastAsia="Times New Roman"/>
        </w:rPr>
      </w:pPr>
      <w:r>
        <w:rPr>
          <w:rFonts w:eastAsia="Times New Roman"/>
          <w:color w:val="000000"/>
          <w:sz w:val="20"/>
          <w:szCs w:val="20"/>
        </w:rPr>
        <w:t>•</w:t>
      </w:r>
      <w:r>
        <w:rPr>
          <w:rFonts w:eastAsia="Times New Roman"/>
          <w:color w:val="212529"/>
          <w:sz w:val="20"/>
          <w:szCs w:val="20"/>
        </w:rPr>
        <w:t>the impact of our substantial lease obligations, incl</w:t>
      </w:r>
      <w:r>
        <w:rPr>
          <w:rFonts w:eastAsia="Times New Roman"/>
          <w:color w:val="212529"/>
          <w:sz w:val="20"/>
          <w:szCs w:val="20"/>
        </w:rPr>
        <w:t>uding negotiations with landlords during our temporary store closings, and our high occupancy costs reducing cash available for other purposes and limiting our flexibility;</w:t>
      </w:r>
    </w:p>
    <w:p w:rsidR="00000000" w:rsidRDefault="0039134F">
      <w:pPr>
        <w:ind w:hanging="360"/>
        <w:jc w:val="both"/>
        <w:divId w:val="1020741447"/>
        <w:rPr>
          <w:rFonts w:eastAsia="Times New Roman"/>
        </w:rPr>
      </w:pPr>
      <w:r>
        <w:rPr>
          <w:rFonts w:eastAsia="Times New Roman"/>
          <w:color w:val="000000"/>
          <w:sz w:val="20"/>
          <w:szCs w:val="20"/>
        </w:rPr>
        <w:t>•</w:t>
      </w:r>
      <w:r>
        <w:rPr>
          <w:rFonts w:eastAsia="Times New Roman"/>
          <w:color w:val="212529"/>
          <w:sz w:val="20"/>
          <w:szCs w:val="20"/>
        </w:rPr>
        <w:t>any significant future reductions or volatility in consumer demand for one or more</w:t>
      </w:r>
      <w:r>
        <w:rPr>
          <w:rFonts w:eastAsia="Times New Roman"/>
          <w:color w:val="212529"/>
          <w:sz w:val="20"/>
          <w:szCs w:val="20"/>
        </w:rPr>
        <w:t xml:space="preserve"> of our products, which may be caused by, among other things, the temporary inability of consumers to purchase our products due to illness, quarantine or other travel restrictions, financial hardship, or a shift in customer behavior toward purchasing the p</w:t>
      </w:r>
      <w:r>
        <w:rPr>
          <w:rFonts w:eastAsia="Times New Roman"/>
          <w:color w:val="212529"/>
          <w:sz w:val="20"/>
          <w:szCs w:val="20"/>
        </w:rPr>
        <w:t>roducts we offer from competitors who may have not closed their stores to the public or who may focus entirely on selling their products online</w:t>
      </w:r>
      <w:r>
        <w:rPr>
          <w:rFonts w:eastAsia="Times New Roman"/>
          <w:color w:val="212529"/>
          <w:sz w:val="20"/>
          <w:szCs w:val="20"/>
        </w:rPr>
        <w:t>;</w:t>
      </w:r>
    </w:p>
    <w:p w:rsidR="00000000" w:rsidRDefault="0039134F">
      <w:pPr>
        <w:ind w:hanging="360"/>
        <w:jc w:val="both"/>
        <w:divId w:val="2041007147"/>
        <w:rPr>
          <w:rFonts w:eastAsia="Times New Roman"/>
        </w:rPr>
      </w:pPr>
      <w:r>
        <w:rPr>
          <w:rFonts w:eastAsia="Times New Roman"/>
          <w:color w:val="000000"/>
          <w:sz w:val="20"/>
          <w:szCs w:val="20"/>
        </w:rPr>
        <w:t>•</w:t>
      </w:r>
      <w:r>
        <w:rPr>
          <w:rFonts w:eastAsia="Times New Roman"/>
          <w:color w:val="212529"/>
          <w:sz w:val="20"/>
          <w:szCs w:val="20"/>
        </w:rPr>
        <w:t>the impact on our peak shopping quarters in the first half of the year and resulting impact on our annual oper</w:t>
      </w:r>
      <w:r>
        <w:rPr>
          <w:rFonts w:eastAsia="Times New Roman"/>
          <w:color w:val="212529"/>
          <w:sz w:val="20"/>
          <w:szCs w:val="20"/>
        </w:rPr>
        <w:t>ating results;</w:t>
      </w:r>
    </w:p>
    <w:p w:rsidR="00000000" w:rsidRDefault="0039134F">
      <w:pPr>
        <w:ind w:hanging="360"/>
        <w:jc w:val="both"/>
        <w:divId w:val="575359373"/>
        <w:rPr>
          <w:rFonts w:eastAsia="Times New Roman"/>
        </w:rPr>
      </w:pPr>
      <w:r>
        <w:rPr>
          <w:rFonts w:eastAsia="Times New Roman"/>
          <w:color w:val="000000"/>
          <w:sz w:val="20"/>
          <w:szCs w:val="20"/>
        </w:rPr>
        <w:t>•</w:t>
      </w:r>
      <w:r>
        <w:rPr>
          <w:rFonts w:eastAsia="Times New Roman"/>
          <w:color w:val="212529"/>
          <w:sz w:val="20"/>
          <w:szCs w:val="20"/>
        </w:rPr>
        <w:t>the distinct risks our e-commerce business faces, including changes in consumer behavior during the COVID-19 pandemic; and</w:t>
      </w:r>
    </w:p>
    <w:p w:rsidR="00000000" w:rsidRDefault="0039134F">
      <w:pPr>
        <w:ind w:hanging="360"/>
        <w:jc w:val="both"/>
        <w:divId w:val="1170369541"/>
        <w:rPr>
          <w:rFonts w:eastAsia="Times New Roman"/>
        </w:rPr>
      </w:pPr>
      <w:r>
        <w:rPr>
          <w:rFonts w:eastAsia="Times New Roman"/>
          <w:color w:val="000000"/>
          <w:sz w:val="20"/>
          <w:szCs w:val="20"/>
        </w:rPr>
        <w:t xml:space="preserve">•significant operating and financial restrictions, including financial maintenance and restrictive covenants, in our </w:t>
      </w:r>
      <w:r>
        <w:rPr>
          <w:rFonts w:eastAsia="Times New Roman"/>
          <w:color w:val="000000"/>
          <w:sz w:val="20"/>
          <w:szCs w:val="20"/>
        </w:rPr>
        <w:t>recently amended credit agreement and restrictions in the indenture governing our outstanding convertible notes, that may limit the ability of us and our subsidiaries, under certain circumstances, to, among other things, engage in certain fundamental chang</w:t>
      </w:r>
      <w:r>
        <w:rPr>
          <w:rFonts w:eastAsia="Times New Roman"/>
          <w:color w:val="000000"/>
          <w:sz w:val="20"/>
          <w:szCs w:val="20"/>
        </w:rPr>
        <w:t>es, including mergers or consolidations; make acquisitions, investments, loans or advances; pay or modify the terms of certain indebtedness; limitations in how we conduct our business; and our ability to raise additional debt or equity financing</w:t>
      </w:r>
      <w:r>
        <w:rPr>
          <w:rFonts w:ascii="Arial" w:eastAsia="Times New Roman" w:hAnsi="Arial" w:cs="Arial"/>
          <w:color w:val="000000"/>
          <w:sz w:val="20"/>
          <w:szCs w:val="20"/>
        </w:rPr>
        <w:t>.</w:t>
      </w:r>
    </w:p>
    <w:p w:rsidR="00000000" w:rsidRDefault="0039134F">
      <w:pPr>
        <w:jc w:val="both"/>
        <w:divId w:val="302270632"/>
        <w:rPr>
          <w:rFonts w:eastAsia="Times New Roman"/>
        </w:rPr>
      </w:pPr>
      <w:r>
        <w:rPr>
          <w:rFonts w:eastAsia="Times New Roman"/>
          <w:color w:val="212529"/>
          <w:sz w:val="20"/>
          <w:szCs w:val="20"/>
        </w:rPr>
        <w:t>In additi</w:t>
      </w:r>
      <w:r>
        <w:rPr>
          <w:rFonts w:eastAsia="Times New Roman"/>
          <w:color w:val="212529"/>
          <w:sz w:val="20"/>
          <w:szCs w:val="20"/>
        </w:rPr>
        <w:t>on, the COVID-19 pandemic may adversely impact our business and financial condition in other areas, including:</w:t>
      </w:r>
    </w:p>
    <w:p w:rsidR="00000000" w:rsidRDefault="0039134F">
      <w:pPr>
        <w:ind w:firstLine="720"/>
        <w:jc w:val="both"/>
        <w:divId w:val="2100827364"/>
        <w:rPr>
          <w:rFonts w:eastAsia="Times New Roman"/>
        </w:rPr>
      </w:pPr>
      <w:r>
        <w:rPr>
          <w:rFonts w:eastAsia="Times New Roman"/>
          <w:color w:val="212529"/>
          <w:sz w:val="20"/>
          <w:szCs w:val="20"/>
          <w:u w:val="single"/>
        </w:rPr>
        <w:t>Operational Impacts</w:t>
      </w:r>
    </w:p>
    <w:p w:rsidR="00000000" w:rsidRDefault="0039134F">
      <w:pPr>
        <w:ind w:hanging="360"/>
        <w:jc w:val="both"/>
        <w:divId w:val="2128960080"/>
        <w:rPr>
          <w:rFonts w:eastAsia="Times New Roman"/>
        </w:rPr>
      </w:pPr>
      <w:r>
        <w:rPr>
          <w:rFonts w:eastAsia="Times New Roman"/>
          <w:color w:val="000000"/>
          <w:sz w:val="20"/>
          <w:szCs w:val="20"/>
        </w:rPr>
        <w:t>•</w:t>
      </w:r>
      <w:r>
        <w:rPr>
          <w:rFonts w:eastAsia="Times New Roman"/>
          <w:color w:val="212529"/>
          <w:sz w:val="20"/>
          <w:szCs w:val="20"/>
        </w:rPr>
        <w:t xml:space="preserve">new or escalated government or regulatory responses in markets where we manufacture, sell or distribute our products, or in </w:t>
      </w:r>
      <w:r>
        <w:rPr>
          <w:rFonts w:eastAsia="Times New Roman"/>
          <w:color w:val="212529"/>
          <w:sz w:val="20"/>
          <w:szCs w:val="20"/>
        </w:rPr>
        <w:t>the markets of third parties on which we rely, could prevent or disrupt our business operations</w:t>
      </w:r>
      <w:r>
        <w:rPr>
          <w:rFonts w:eastAsia="Times New Roman"/>
          <w:color w:val="212529"/>
          <w:sz w:val="20"/>
          <w:szCs w:val="20"/>
        </w:rPr>
        <w:t>;</w:t>
      </w:r>
    </w:p>
    <w:p w:rsidR="00000000" w:rsidRDefault="0039134F">
      <w:pPr>
        <w:ind w:hanging="360"/>
        <w:jc w:val="both"/>
        <w:divId w:val="1603029345"/>
        <w:rPr>
          <w:rFonts w:eastAsia="Times New Roman"/>
        </w:rPr>
      </w:pPr>
      <w:r>
        <w:rPr>
          <w:rFonts w:eastAsia="Times New Roman"/>
          <w:color w:val="000000"/>
          <w:sz w:val="20"/>
          <w:szCs w:val="20"/>
        </w:rPr>
        <w:t>•</w:t>
      </w:r>
      <w:r>
        <w:rPr>
          <w:rFonts w:eastAsia="Times New Roman"/>
          <w:color w:val="212529"/>
          <w:sz w:val="20"/>
          <w:szCs w:val="20"/>
        </w:rPr>
        <w:t>a future shutdown of one or more retail operations, distribution or laboratory facilities as a result of illness, government restrictions or other workforce d</w:t>
      </w:r>
      <w:r>
        <w:rPr>
          <w:rFonts w:eastAsia="Times New Roman"/>
          <w:color w:val="212529"/>
          <w:sz w:val="20"/>
          <w:szCs w:val="20"/>
        </w:rPr>
        <w:t>isruptions;</w:t>
      </w:r>
    </w:p>
    <w:p w:rsidR="00000000" w:rsidRDefault="0039134F">
      <w:pPr>
        <w:ind w:hanging="360"/>
        <w:jc w:val="both"/>
        <w:divId w:val="625703404"/>
        <w:rPr>
          <w:rFonts w:eastAsia="Times New Roman"/>
        </w:rPr>
      </w:pPr>
      <w:r>
        <w:rPr>
          <w:rFonts w:eastAsia="Times New Roman"/>
          <w:color w:val="000000"/>
          <w:sz w:val="20"/>
          <w:szCs w:val="20"/>
        </w:rPr>
        <w:t>•</w:t>
      </w:r>
      <w:r>
        <w:rPr>
          <w:rFonts w:eastAsia="Times New Roman"/>
          <w:color w:val="212529"/>
          <w:sz w:val="20"/>
          <w:szCs w:val="20"/>
        </w:rPr>
        <w:t>continued higher costs in certain areas such as distribution, employee compensation, as well as incremental costs associated with newly added health screenings, temperature check, and enhanced cleaning and sanitation protocols to protect our a</w:t>
      </w:r>
      <w:r>
        <w:rPr>
          <w:rFonts w:eastAsia="Times New Roman"/>
          <w:color w:val="212529"/>
          <w:sz w:val="20"/>
          <w:szCs w:val="20"/>
        </w:rPr>
        <w:t>ssociates, optometrists and customers; and</w:t>
      </w:r>
    </w:p>
    <w:p w:rsidR="00000000" w:rsidRDefault="0039134F">
      <w:pPr>
        <w:ind w:hanging="360"/>
        <w:jc w:val="both"/>
        <w:divId w:val="253243971"/>
        <w:rPr>
          <w:rFonts w:eastAsia="Times New Roman"/>
        </w:rPr>
      </w:pPr>
      <w:r>
        <w:rPr>
          <w:rFonts w:eastAsia="Times New Roman"/>
          <w:color w:val="212529"/>
          <w:sz w:val="20"/>
          <w:szCs w:val="20"/>
        </w:rPr>
        <w:t>•</w:t>
      </w:r>
      <w:r>
        <w:rPr>
          <w:rFonts w:eastAsia="Times New Roman"/>
          <w:color w:val="333333"/>
          <w:sz w:val="20"/>
          <w:szCs w:val="20"/>
        </w:rPr>
        <w:t>our operations could be disrupted if key members of our senior management or a significant percentage of our workforce or the workforce of our outsourced laboratories or suppliers are unable to continue to work b</w:t>
      </w:r>
      <w:r>
        <w:rPr>
          <w:rFonts w:eastAsia="Times New Roman"/>
          <w:color w:val="333333"/>
          <w:sz w:val="20"/>
          <w:szCs w:val="20"/>
        </w:rPr>
        <w:t>ecause of illness, government directives or otherwise. In addition, the interruption of our or their system capabilities </w:t>
      </w:r>
      <w:r>
        <w:rPr>
          <w:rFonts w:eastAsia="Times New Roman"/>
          <w:color w:val="212529"/>
          <w:sz w:val="20"/>
          <w:szCs w:val="20"/>
        </w:rPr>
        <w:t>could result in a deterioration of our ability to fulfill and sell our products and services, provide customer service or perform other</w:t>
      </w:r>
      <w:r>
        <w:rPr>
          <w:rFonts w:eastAsia="Times New Roman"/>
          <w:color w:val="212529"/>
          <w:sz w:val="20"/>
          <w:szCs w:val="20"/>
        </w:rPr>
        <w:t xml:space="preserve"> necessary business functions. </w:t>
      </w:r>
      <w:r>
        <w:rPr>
          <w:rFonts w:eastAsia="Times New Roman"/>
          <w:color w:val="333333"/>
          <w:sz w:val="20"/>
          <w:szCs w:val="20"/>
        </w:rPr>
        <w:t>Having shifted to remote working arrangements, we also face a heightened risk of cybersecurity attacks or data security incidents and are more dependent on internet and telecommunications access and capabilities that are less</w:t>
      </w:r>
      <w:r>
        <w:rPr>
          <w:rFonts w:eastAsia="Times New Roman"/>
          <w:color w:val="333333"/>
          <w:sz w:val="20"/>
          <w:szCs w:val="20"/>
        </w:rPr>
        <w:t xml:space="preserve"> uniform than in our dedicated workspaces.</w:t>
      </w:r>
    </w:p>
    <w:p w:rsidR="00000000" w:rsidRDefault="0039134F">
      <w:pPr>
        <w:ind w:firstLine="720"/>
        <w:jc w:val="both"/>
        <w:divId w:val="1353871780"/>
        <w:rPr>
          <w:rFonts w:eastAsia="Times New Roman"/>
        </w:rPr>
      </w:pPr>
      <w:r>
        <w:rPr>
          <w:rFonts w:eastAsia="Times New Roman"/>
          <w:color w:val="212529"/>
          <w:sz w:val="20"/>
          <w:szCs w:val="20"/>
          <w:u w:val="single"/>
        </w:rPr>
        <w:t>Financial Impacts</w:t>
      </w:r>
    </w:p>
    <w:p w:rsidR="00000000" w:rsidRDefault="0039134F">
      <w:pPr>
        <w:ind w:hanging="360"/>
        <w:jc w:val="both"/>
        <w:divId w:val="1379429508"/>
        <w:rPr>
          <w:rFonts w:eastAsia="Times New Roman"/>
        </w:rPr>
      </w:pPr>
      <w:r>
        <w:rPr>
          <w:rFonts w:eastAsia="Times New Roman"/>
          <w:color w:val="000000"/>
          <w:sz w:val="20"/>
          <w:szCs w:val="20"/>
        </w:rPr>
        <w:t>•As described below, the COVID-19 pandemic has materially impacted our financial results; our future financial results may also be impacted by the pandemic. While we believe that the long-term fu</w:t>
      </w:r>
      <w:r>
        <w:rPr>
          <w:rFonts w:eastAsia="Times New Roman"/>
          <w:color w:val="000000"/>
          <w:sz w:val="20"/>
          <w:szCs w:val="20"/>
        </w:rPr>
        <w:t>ndamentals of our business are largely unchanged, and anticipate that our operating results in future fiscal years will begin to reflect a more normal operating environment, the current economic and public health climate has created a high degree of uncert</w:t>
      </w:r>
      <w:r>
        <w:rPr>
          <w:rFonts w:eastAsia="Times New Roman"/>
          <w:color w:val="000000"/>
          <w:sz w:val="20"/>
          <w:szCs w:val="20"/>
        </w:rPr>
        <w:t>ainty.</w:t>
      </w:r>
    </w:p>
    <w:p w:rsidR="00000000" w:rsidRDefault="0039134F">
      <w:pPr>
        <w:jc w:val="center"/>
        <w:divId w:val="1032613105"/>
        <w:rPr>
          <w:rFonts w:eastAsia="Times New Roman"/>
        </w:rPr>
      </w:pPr>
      <w:r>
        <w:rPr>
          <w:rFonts w:eastAsia="Times New Roman"/>
          <w:color w:val="000000"/>
          <w:sz w:val="20"/>
          <w:szCs w:val="20"/>
        </w:rPr>
        <w:t>54</w:t>
      </w:r>
    </w:p>
    <w:p w:rsidR="00000000" w:rsidRDefault="0039134F">
      <w:pPr>
        <w:divId w:val="505247117"/>
        <w:rPr>
          <w:rFonts w:eastAsia="Times New Roman"/>
        </w:rPr>
      </w:pPr>
    </w:p>
    <w:p w:rsidR="00000000" w:rsidRDefault="0039134F">
      <w:pPr>
        <w:rPr>
          <w:rFonts w:eastAsia="Times New Roman"/>
        </w:rPr>
      </w:pPr>
      <w:r>
        <w:rPr>
          <w:rFonts w:eastAsia="Times New Roman"/>
        </w:rPr>
        <w:pict>
          <v:rect id="_x0000_i1078" style="width:0;height:1.5pt" o:hralign="center" o:hrstd="t" o:hr="t" fillcolor="#a0a0a0" stroked="f"/>
        </w:pict>
      </w:r>
    </w:p>
    <w:p w:rsidR="00000000" w:rsidRDefault="0039134F">
      <w:pPr>
        <w:divId w:val="1039625297"/>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210313964"/>
        <w:rPr>
          <w:rFonts w:eastAsia="Times New Roman"/>
        </w:rPr>
      </w:pPr>
    </w:p>
    <w:p w:rsidR="00000000" w:rsidRDefault="0039134F">
      <w:pPr>
        <w:ind w:hanging="360"/>
        <w:jc w:val="both"/>
        <w:divId w:val="72435897"/>
        <w:rPr>
          <w:rFonts w:eastAsia="Times New Roman"/>
        </w:rPr>
      </w:pPr>
      <w:r>
        <w:rPr>
          <w:rFonts w:eastAsia="Times New Roman"/>
          <w:i/>
          <w:iCs/>
          <w:color w:val="333333"/>
          <w:sz w:val="20"/>
          <w:szCs w:val="20"/>
        </w:rPr>
        <w:t>•Revenues</w:t>
      </w:r>
      <w:r>
        <w:rPr>
          <w:rFonts w:eastAsia="Times New Roman"/>
          <w:color w:val="333333"/>
          <w:sz w:val="20"/>
          <w:szCs w:val="20"/>
        </w:rPr>
        <w:t>. We expect that the impact of COVID-19 on general economic activity will negatively affect our Owned &amp; Host and Legacy segment total</w:t>
      </w:r>
      <w:r>
        <w:rPr>
          <w:rFonts w:eastAsia="Times New Roman"/>
          <w:color w:val="333333"/>
          <w:sz w:val="20"/>
          <w:szCs w:val="20"/>
        </w:rPr>
        <w:t xml:space="preserve"> revenues. We </w:t>
      </w:r>
      <w:r>
        <w:rPr>
          <w:rFonts w:eastAsia="Times New Roman"/>
          <w:color w:val="212529"/>
          <w:sz w:val="20"/>
          <w:szCs w:val="20"/>
        </w:rPr>
        <w:t>began to experience this impact in March 2020 and more significantly in the second quarter of 2020. We also expect this impact could further persist for the remainder of 2020 and possibly beyond, but the degree of the impact will depend on th</w:t>
      </w:r>
      <w:r>
        <w:rPr>
          <w:rFonts w:eastAsia="Times New Roman"/>
          <w:color w:val="212529"/>
          <w:sz w:val="20"/>
          <w:szCs w:val="20"/>
        </w:rPr>
        <w:t>e extent and duration of the pandemic and the resulting economic contraction. As a result of the anticipated impact of the pandemic on our total revenues, we expect a decrease in our comparable store sales and adjusted comparable store sales figures for th</w:t>
      </w:r>
      <w:r>
        <w:rPr>
          <w:rFonts w:eastAsia="Times New Roman"/>
          <w:color w:val="212529"/>
          <w:sz w:val="20"/>
          <w:szCs w:val="20"/>
        </w:rPr>
        <w:t>e fiscal year 2020.</w:t>
      </w:r>
    </w:p>
    <w:p w:rsidR="00000000" w:rsidRDefault="0039134F">
      <w:pPr>
        <w:ind w:hanging="360"/>
        <w:jc w:val="both"/>
        <w:divId w:val="19281731"/>
        <w:rPr>
          <w:rFonts w:eastAsia="Times New Roman"/>
        </w:rPr>
      </w:pPr>
      <w:r>
        <w:rPr>
          <w:rFonts w:eastAsia="Times New Roman"/>
          <w:color w:val="000000"/>
          <w:sz w:val="20"/>
          <w:szCs w:val="20"/>
        </w:rPr>
        <w:t>•</w:t>
      </w:r>
      <w:r>
        <w:rPr>
          <w:rFonts w:eastAsia="Times New Roman"/>
          <w:i/>
          <w:iCs/>
          <w:color w:val="333333"/>
          <w:sz w:val="20"/>
          <w:szCs w:val="20"/>
        </w:rPr>
        <w:t xml:space="preserve">Costs applicable to revenue. </w:t>
      </w:r>
      <w:r>
        <w:rPr>
          <w:rFonts w:eastAsia="Times New Roman"/>
          <w:color w:val="333333"/>
          <w:sz w:val="20"/>
          <w:szCs w:val="20"/>
        </w:rPr>
        <w:t>As a result of COVID-19 and the temporary closing of our stores to the public, we experienced a change in our year-to-date product sales mix with an increase in the share of contact lens sales compared to e</w:t>
      </w:r>
      <w:r>
        <w:rPr>
          <w:rFonts w:eastAsia="Times New Roman"/>
          <w:color w:val="333333"/>
          <w:sz w:val="20"/>
          <w:szCs w:val="20"/>
        </w:rPr>
        <w:t xml:space="preserve">yeglasses as contact lenses tend to be easier for a customer to select and order online compared to eyeglasses. Higher contact lens sales mix results in an increase in overall cost of products as a percentage of revenues as contact lenses have higher cost </w:t>
      </w:r>
      <w:r>
        <w:rPr>
          <w:rFonts w:eastAsia="Times New Roman"/>
          <w:color w:val="333333"/>
          <w:sz w:val="20"/>
          <w:szCs w:val="20"/>
        </w:rPr>
        <w:t>of sales as a percentage of revenues compared to eyeglasses. Due to reductions in revenues expected in the current year, we also expect to recognize lower vendor rebates which will unfavorably impact cost of products as a percentage of net product sales. A</w:t>
      </w:r>
      <w:r>
        <w:rPr>
          <w:rFonts w:eastAsia="Times New Roman"/>
          <w:color w:val="333333"/>
          <w:sz w:val="20"/>
          <w:szCs w:val="20"/>
        </w:rPr>
        <w:t>dditionally, as a result of the lower production levels seen at our central laboratories and distribution centers, our costs of sales as a percentage of revenues have increased from higher allocation of fixed costs. For fiscal year 2020, we also expect our</w:t>
      </w:r>
      <w:r>
        <w:rPr>
          <w:rFonts w:eastAsia="Times New Roman"/>
          <w:color w:val="333333"/>
          <w:sz w:val="20"/>
          <w:szCs w:val="20"/>
        </w:rPr>
        <w:t xml:space="preserve"> cost of sales as a percentage of revenues to increase compared to prior years as a result of lower eye exam revenues and lower Legacy management fees earned while incurring costs for ophthalmologists, optometrists and optical technicians at a rate typical</w:t>
      </w:r>
      <w:r>
        <w:rPr>
          <w:rFonts w:eastAsia="Times New Roman"/>
          <w:color w:val="333333"/>
          <w:sz w:val="20"/>
          <w:szCs w:val="20"/>
        </w:rPr>
        <w:t>ly associated with a normal level of operations.</w:t>
      </w:r>
    </w:p>
    <w:p w:rsidR="00000000" w:rsidRDefault="0039134F">
      <w:pPr>
        <w:ind w:hanging="360"/>
        <w:jc w:val="both"/>
        <w:divId w:val="664747306"/>
        <w:rPr>
          <w:rFonts w:eastAsia="Times New Roman"/>
        </w:rPr>
      </w:pPr>
      <w:r>
        <w:rPr>
          <w:rFonts w:eastAsia="Times New Roman"/>
          <w:color w:val="333333"/>
          <w:sz w:val="20"/>
          <w:szCs w:val="20"/>
        </w:rPr>
        <w:t>•</w:t>
      </w:r>
      <w:r>
        <w:rPr>
          <w:rFonts w:eastAsia="Times New Roman"/>
          <w:i/>
          <w:iCs/>
          <w:color w:val="333333"/>
          <w:sz w:val="20"/>
          <w:szCs w:val="20"/>
        </w:rPr>
        <w:t>Selling, general and administrative</w:t>
      </w:r>
      <w:r>
        <w:rPr>
          <w:rFonts w:eastAsia="Times New Roman"/>
          <w:color w:val="333333"/>
          <w:sz w:val="20"/>
          <w:szCs w:val="20"/>
        </w:rPr>
        <w:t>. We have incurred and will continue to incur, general and administrative expenses primarily related to occupancy costs of our stores, advertising expenses, payroll relate</w:t>
      </w:r>
      <w:r>
        <w:rPr>
          <w:rFonts w:eastAsia="Times New Roman"/>
          <w:color w:val="333333"/>
          <w:sz w:val="20"/>
          <w:szCs w:val="20"/>
        </w:rPr>
        <w:t>d to store associates and unallocated corporate overhead expenses such as payroll, consulting and professional fees and incremental costs directly related to adapting the Company’s operations during the COVID-19 pandemic. We may experience elevated frequen</w:t>
      </w:r>
      <w:r>
        <w:rPr>
          <w:rFonts w:eastAsia="Times New Roman"/>
          <w:color w:val="333333"/>
          <w:sz w:val="20"/>
          <w:szCs w:val="20"/>
        </w:rPr>
        <w:t>cy and severity in our workers’ compensation </w:t>
      </w:r>
      <w:r>
        <w:rPr>
          <w:rFonts w:eastAsia="Times New Roman"/>
          <w:color w:val="212529"/>
          <w:sz w:val="20"/>
          <w:szCs w:val="20"/>
        </w:rPr>
        <w:t>claims liabilities by workers who </w:t>
      </w:r>
      <w:r>
        <w:rPr>
          <w:rFonts w:eastAsia="Times New Roman"/>
          <w:color w:val="333333"/>
          <w:sz w:val="20"/>
          <w:szCs w:val="20"/>
        </w:rPr>
        <w:t>demonstrate </w:t>
      </w:r>
      <w:r>
        <w:rPr>
          <w:rFonts w:eastAsia="Times New Roman"/>
          <w:color w:val="212529"/>
          <w:sz w:val="20"/>
          <w:szCs w:val="20"/>
        </w:rPr>
        <w:t xml:space="preserve">that the injury or illness arose both out of and in the course of their employment. </w:t>
      </w:r>
      <w:r>
        <w:rPr>
          <w:rFonts w:eastAsia="Times New Roman"/>
          <w:color w:val="333333"/>
          <w:sz w:val="20"/>
          <w:szCs w:val="20"/>
        </w:rPr>
        <w:t>We expect selling, general and administrative expenses as a percentage of revenue</w:t>
      </w:r>
      <w:r>
        <w:rPr>
          <w:rFonts w:eastAsia="Times New Roman"/>
          <w:color w:val="333333"/>
          <w:sz w:val="20"/>
          <w:szCs w:val="20"/>
        </w:rPr>
        <w:t>s to increase compared to previous years primarily due to an overall decrease in revenues for fiscal year 2020.</w:t>
      </w:r>
    </w:p>
    <w:p w:rsidR="00000000" w:rsidRDefault="0039134F">
      <w:pPr>
        <w:ind w:hanging="360"/>
        <w:jc w:val="both"/>
        <w:divId w:val="337125044"/>
        <w:rPr>
          <w:rFonts w:eastAsia="Times New Roman"/>
        </w:rPr>
      </w:pPr>
      <w:r>
        <w:rPr>
          <w:rFonts w:eastAsia="Times New Roman"/>
          <w:color w:val="000000"/>
          <w:sz w:val="20"/>
          <w:szCs w:val="20"/>
        </w:rPr>
        <w:t>•</w:t>
      </w:r>
      <w:r>
        <w:rPr>
          <w:rFonts w:eastAsia="Times New Roman"/>
          <w:i/>
          <w:iCs/>
          <w:color w:val="333333"/>
          <w:sz w:val="20"/>
          <w:szCs w:val="20"/>
        </w:rPr>
        <w:t>Asset</w:t>
      </w:r>
      <w:r>
        <w:rPr>
          <w:rFonts w:eastAsia="Times New Roman"/>
          <w:color w:val="333333"/>
          <w:sz w:val="20"/>
          <w:szCs w:val="20"/>
        </w:rPr>
        <w:t xml:space="preserve"> </w:t>
      </w:r>
      <w:r>
        <w:rPr>
          <w:rFonts w:eastAsia="Times New Roman"/>
          <w:i/>
          <w:iCs/>
          <w:color w:val="333333"/>
          <w:sz w:val="20"/>
          <w:szCs w:val="20"/>
        </w:rPr>
        <w:t>impairment</w:t>
      </w:r>
      <w:r>
        <w:rPr>
          <w:rFonts w:eastAsia="Times New Roman"/>
          <w:color w:val="333333"/>
          <w:sz w:val="20"/>
          <w:szCs w:val="20"/>
        </w:rPr>
        <w:t xml:space="preserve">. The Company considered the disruption in the economy experienced during the nine months ended September 26, 2020 and uncertainty around future conditions in recording asset impairments. </w:t>
      </w:r>
      <w:r>
        <w:rPr>
          <w:rFonts w:eastAsia="Times New Roman"/>
          <w:color w:val="212529"/>
          <w:sz w:val="20"/>
          <w:szCs w:val="20"/>
        </w:rPr>
        <w:t>We evaluate impairment of long-lived tangible and ROU store assets a</w:t>
      </w:r>
      <w:r>
        <w:rPr>
          <w:rFonts w:eastAsia="Times New Roman"/>
          <w:color w:val="212529"/>
          <w:sz w:val="20"/>
          <w:szCs w:val="20"/>
        </w:rPr>
        <w:t>t the store level and consider multiple factors including financial performance of the stores, regional and local business climates, future plans for the store operations and other qualitative factors. Asset fair values used in impairment are determined us</w:t>
      </w:r>
      <w:r>
        <w:rPr>
          <w:rFonts w:eastAsia="Times New Roman"/>
          <w:color w:val="212529"/>
          <w:sz w:val="20"/>
          <w:szCs w:val="20"/>
        </w:rPr>
        <w:t>ing an income approach based on discounted cash flows, which requires estimates and assumptions related to forecasted store revenue growth rates and store profitability. A significant decrease in the estimated cash inflows from our stores in future periods</w:t>
      </w:r>
      <w:r>
        <w:rPr>
          <w:rFonts w:eastAsia="Times New Roman"/>
          <w:color w:val="212529"/>
          <w:sz w:val="20"/>
          <w:szCs w:val="20"/>
        </w:rPr>
        <w:t xml:space="preserve"> could affect the recoverability of our store level assets as well as other intangible assets of the Company such as goodwill, trademarks and customer relationship. Lower cash flows compared to estimates would lead to a material increase in the asset impai</w:t>
      </w:r>
      <w:r>
        <w:rPr>
          <w:rFonts w:eastAsia="Times New Roman"/>
          <w:color w:val="212529"/>
          <w:sz w:val="20"/>
          <w:szCs w:val="20"/>
        </w:rPr>
        <w:t>rment expense recorded by the Company.</w:t>
      </w:r>
    </w:p>
    <w:p w:rsidR="00000000" w:rsidRDefault="0039134F">
      <w:pPr>
        <w:jc w:val="both"/>
        <w:divId w:val="1743329787"/>
        <w:rPr>
          <w:rFonts w:eastAsia="Times New Roman"/>
        </w:rPr>
      </w:pPr>
      <w:r>
        <w:rPr>
          <w:rFonts w:eastAsia="Times New Roman"/>
          <w:color w:val="212529"/>
          <w:sz w:val="20"/>
          <w:szCs w:val="20"/>
        </w:rPr>
        <w:t xml:space="preserve">During the </w:t>
      </w:r>
      <w:r>
        <w:rPr>
          <w:rFonts w:eastAsia="Times New Roman"/>
          <w:color w:val="000000"/>
          <w:sz w:val="20"/>
          <w:szCs w:val="20"/>
        </w:rPr>
        <w:t>three and nine months ended September 26, 2020</w:t>
      </w:r>
      <w:r>
        <w:rPr>
          <w:rFonts w:eastAsia="Times New Roman"/>
          <w:color w:val="212529"/>
          <w:sz w:val="20"/>
          <w:szCs w:val="20"/>
        </w:rPr>
        <w:t>, the Company evaluated whether a triggering event related to goodwill impairment had occurred because of the broad impacts of the COVID-19 pandemic. The Compan</w:t>
      </w:r>
      <w:r>
        <w:rPr>
          <w:rFonts w:eastAsia="Times New Roman"/>
          <w:color w:val="212529"/>
          <w:sz w:val="20"/>
          <w:szCs w:val="20"/>
        </w:rPr>
        <w:t xml:space="preserve">y expects the COVID-19 pandemic will continue to negatively affect its results of operations for fiscal year 2020. The Company has concluded a triggering event did not occur during the </w:t>
      </w:r>
      <w:r>
        <w:rPr>
          <w:rFonts w:eastAsia="Times New Roman"/>
          <w:color w:val="000000"/>
          <w:sz w:val="20"/>
          <w:szCs w:val="20"/>
        </w:rPr>
        <w:t>three and nine months ended September 26, 2020</w:t>
      </w:r>
      <w:r>
        <w:rPr>
          <w:rFonts w:eastAsia="Times New Roman"/>
          <w:color w:val="212529"/>
          <w:sz w:val="20"/>
          <w:szCs w:val="20"/>
        </w:rPr>
        <w:t>, and, as a result, no in</w:t>
      </w:r>
      <w:r>
        <w:rPr>
          <w:rFonts w:eastAsia="Times New Roman"/>
          <w:color w:val="212529"/>
          <w:sz w:val="20"/>
          <w:szCs w:val="20"/>
        </w:rPr>
        <w:t>terim impairment testing was required. However, as previously noted, the COVID-19 pandemic has had a material adverse effect on the Company’s business, and future conditions are highly uncertain. Future unfavorable developments may cause the Company to rec</w:t>
      </w:r>
      <w:r>
        <w:rPr>
          <w:rFonts w:eastAsia="Times New Roman"/>
          <w:color w:val="212529"/>
          <w:sz w:val="20"/>
          <w:szCs w:val="20"/>
        </w:rPr>
        <w:t>ognize an impairment of its goodwill. The Company will continue to evaluate the effects of the COVID-19 pandemic on its business.</w:t>
      </w:r>
    </w:p>
    <w:p w:rsidR="00000000" w:rsidRDefault="0039134F">
      <w:pPr>
        <w:jc w:val="center"/>
        <w:divId w:val="829904009"/>
        <w:rPr>
          <w:rFonts w:eastAsia="Times New Roman"/>
        </w:rPr>
      </w:pPr>
      <w:r>
        <w:rPr>
          <w:rFonts w:eastAsia="Times New Roman"/>
          <w:color w:val="000000"/>
          <w:sz w:val="20"/>
          <w:szCs w:val="20"/>
        </w:rPr>
        <w:t>55</w:t>
      </w:r>
    </w:p>
    <w:p w:rsidR="00000000" w:rsidRDefault="0039134F">
      <w:pPr>
        <w:divId w:val="1055852642"/>
        <w:rPr>
          <w:rFonts w:eastAsia="Times New Roman"/>
        </w:rPr>
      </w:pPr>
    </w:p>
    <w:p w:rsidR="00000000" w:rsidRDefault="0039134F">
      <w:pPr>
        <w:rPr>
          <w:rFonts w:eastAsia="Times New Roman"/>
        </w:rPr>
      </w:pPr>
      <w:r>
        <w:rPr>
          <w:rFonts w:eastAsia="Times New Roman"/>
        </w:rPr>
        <w:pict>
          <v:rect id="_x0000_i1079" style="width:0;height:1.5pt" o:hralign="center" o:hrstd="t" o:hr="t" fillcolor="#a0a0a0" stroked="f"/>
        </w:pict>
      </w:r>
    </w:p>
    <w:p w:rsidR="00000000" w:rsidRDefault="0039134F">
      <w:pPr>
        <w:divId w:val="1552299944"/>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1298071776"/>
        <w:rPr>
          <w:rFonts w:eastAsia="Times New Roman"/>
        </w:rPr>
      </w:pPr>
    </w:p>
    <w:p w:rsidR="00000000" w:rsidRDefault="0039134F">
      <w:pPr>
        <w:ind w:hanging="360"/>
        <w:jc w:val="both"/>
        <w:divId w:val="1678074561"/>
        <w:rPr>
          <w:rFonts w:eastAsia="Times New Roman"/>
        </w:rPr>
      </w:pPr>
      <w:r>
        <w:rPr>
          <w:rFonts w:eastAsia="Times New Roman"/>
          <w:i/>
          <w:iCs/>
          <w:color w:val="212529"/>
          <w:sz w:val="20"/>
          <w:szCs w:val="20"/>
        </w:rPr>
        <w:t>•Inter</w:t>
      </w:r>
      <w:r>
        <w:rPr>
          <w:rFonts w:eastAsia="Times New Roman"/>
          <w:i/>
          <w:iCs/>
          <w:color w:val="212529"/>
          <w:sz w:val="20"/>
          <w:szCs w:val="20"/>
        </w:rPr>
        <w:t>est expense</w:t>
      </w:r>
      <w:r>
        <w:rPr>
          <w:rFonts w:eastAsia="Times New Roman"/>
          <w:color w:val="212529"/>
          <w:sz w:val="20"/>
          <w:szCs w:val="20"/>
        </w:rPr>
        <w:t xml:space="preserve">. </w:t>
      </w:r>
      <w:r>
        <w:rPr>
          <w:rFonts w:eastAsia="Times New Roman"/>
          <w:color w:val="000000"/>
          <w:sz w:val="20"/>
          <w:szCs w:val="20"/>
        </w:rPr>
        <w:t>On May 5, 2020, we entered into an amendment to our credit facility in order to suspend certain financial maintenance covenants contained therein for a specified period. In connection with the amendment, margins upon which interest is calculat</w:t>
      </w:r>
      <w:r>
        <w:rPr>
          <w:rFonts w:eastAsia="Times New Roman"/>
          <w:color w:val="000000"/>
          <w:sz w:val="20"/>
          <w:szCs w:val="20"/>
        </w:rPr>
        <w:t>ed on amounts outstanding under the facility were increased and the Company agreed to limit its ability to engage in certain transactions during the covenant suspension period, including the ability to declare or pay dividends, incur additional debt and ma</w:t>
      </w:r>
      <w:r>
        <w:rPr>
          <w:rFonts w:eastAsia="Times New Roman"/>
          <w:color w:val="000000"/>
          <w:sz w:val="20"/>
          <w:szCs w:val="20"/>
        </w:rPr>
        <w:t>ke investments and dispositions. On May 12, 2020, we completed the sale of $402.5 million in aggregate principal amount of 2.50% Convertible Senior Notes due 2025 between the Company and U.S. Bank National Association, as trustee. The proceeds from the 202</w:t>
      </w:r>
      <w:r>
        <w:rPr>
          <w:rFonts w:eastAsia="Times New Roman"/>
          <w:color w:val="000000"/>
          <w:sz w:val="20"/>
          <w:szCs w:val="20"/>
        </w:rPr>
        <w:t>5 Notes offering was used to repay all outstanding amounts of the revolving credit facility and $75.0 million to partially repay the term loan. The partial repayments of our LIBOR based long-term debt obligations and margin amendments made to the term loan</w:t>
      </w:r>
      <w:r>
        <w:rPr>
          <w:rFonts w:eastAsia="Times New Roman"/>
          <w:color w:val="000000"/>
          <w:sz w:val="20"/>
          <w:szCs w:val="20"/>
        </w:rPr>
        <w:t xml:space="preserve"> resulted in a partial de-designation of one interest rate swap and the interest rate collar. All of the above noted measures impacted and are expected to continue to materially impact the Company’s interest expense in 2020 and later. Refer to Management’s</w:t>
      </w:r>
      <w:r>
        <w:rPr>
          <w:rFonts w:eastAsia="Times New Roman"/>
          <w:color w:val="000000"/>
          <w:sz w:val="20"/>
          <w:szCs w:val="20"/>
        </w:rPr>
        <w:t xml:space="preserve"> Discussion and Analysis of Financial Condition and Results of Operations, “Liquidity and Capital Resources” section above for more information. Lastly, we are continuing to evaluate additional measures that we may elect to take as we continue to respond t</w:t>
      </w:r>
      <w:r>
        <w:rPr>
          <w:rFonts w:eastAsia="Times New Roman"/>
          <w:color w:val="000000"/>
          <w:sz w:val="20"/>
          <w:szCs w:val="20"/>
        </w:rPr>
        <w:t>o the i</w:t>
      </w:r>
      <w:r>
        <w:rPr>
          <w:rFonts w:eastAsia="Times New Roman"/>
          <w:color w:val="333333"/>
          <w:sz w:val="20"/>
          <w:szCs w:val="20"/>
        </w:rPr>
        <w:t>mpact of COVID-19 on our business. There can be no assurance whether or when any such measures will be adopted.</w:t>
      </w:r>
    </w:p>
    <w:p w:rsidR="00000000" w:rsidRDefault="0039134F">
      <w:pPr>
        <w:ind w:hanging="360"/>
        <w:jc w:val="both"/>
        <w:divId w:val="897667604"/>
        <w:rPr>
          <w:rFonts w:eastAsia="Times New Roman"/>
        </w:rPr>
      </w:pPr>
      <w:r>
        <w:rPr>
          <w:rFonts w:eastAsia="Times New Roman"/>
          <w:color w:val="333333"/>
          <w:sz w:val="20"/>
          <w:szCs w:val="20"/>
        </w:rPr>
        <w:t>•</w:t>
      </w:r>
      <w:r>
        <w:rPr>
          <w:rFonts w:eastAsia="Times New Roman"/>
          <w:i/>
          <w:iCs/>
          <w:color w:val="212529"/>
          <w:sz w:val="20"/>
          <w:szCs w:val="20"/>
        </w:rPr>
        <w:t>Inflation.</w:t>
      </w:r>
      <w:r>
        <w:rPr>
          <w:rFonts w:eastAsia="Times New Roman"/>
          <w:color w:val="212529"/>
          <w:sz w:val="20"/>
          <w:szCs w:val="20"/>
        </w:rPr>
        <w:t> </w:t>
      </w:r>
      <w:r>
        <w:rPr>
          <w:rFonts w:eastAsia="Times New Roman"/>
          <w:color w:val="212529"/>
          <w:sz w:val="20"/>
          <w:szCs w:val="20"/>
        </w:rPr>
        <w:t>It is possible that changes in economic conditions and steps taken by the federal government and the Federal Reserve in response to COVID-19 could lead to higher inflation than we had anticipated, which could in turn lead to an increase in our costs of pro</w:t>
      </w:r>
      <w:r>
        <w:rPr>
          <w:rFonts w:eastAsia="Times New Roman"/>
          <w:color w:val="212529"/>
          <w:sz w:val="20"/>
          <w:szCs w:val="20"/>
        </w:rPr>
        <w:t>ducts and services and other operating expenses. To date, changes in material prices and general inflation have not materially impacted our business.</w:t>
      </w:r>
    </w:p>
    <w:p w:rsidR="00000000" w:rsidRDefault="0039134F">
      <w:pPr>
        <w:jc w:val="both"/>
        <w:divId w:val="1836258881"/>
        <w:rPr>
          <w:rFonts w:eastAsia="Times New Roman"/>
        </w:rPr>
      </w:pPr>
      <w:r>
        <w:rPr>
          <w:rFonts w:eastAsia="Times New Roman"/>
          <w:color w:val="000000"/>
          <w:sz w:val="20"/>
          <w:szCs w:val="20"/>
        </w:rPr>
        <w:t>On March 27, 2020, the CARES Act was enacted in response to the COVID-19 pandemic. The CARES Act, among ot</w:t>
      </w:r>
      <w:r>
        <w:rPr>
          <w:rFonts w:eastAsia="Times New Roman"/>
          <w:color w:val="000000"/>
          <w:sz w:val="20"/>
          <w:szCs w:val="20"/>
        </w:rPr>
        <w:t>her things, accelerates a company’s ability to recover AMT refundable credits that otherwise could have been claimed in 2020 and 2021, to 2018 and 2019, with an option to elect recovery of the full credit amount for 2018. The CARES Act also includes a tech</w:t>
      </w:r>
      <w:r>
        <w:rPr>
          <w:rFonts w:eastAsia="Times New Roman"/>
          <w:color w:val="000000"/>
          <w:sz w:val="20"/>
          <w:szCs w:val="20"/>
        </w:rPr>
        <w:t>nical correction wherein qualified improvement property placed in service in 2018 and after is eligible for 100% bonus depreciation. It also contains provisions for deferral of the employer portion of social security taxes incurred through the end of calen</w:t>
      </w:r>
      <w:r>
        <w:rPr>
          <w:rFonts w:eastAsia="Times New Roman"/>
          <w:color w:val="000000"/>
          <w:sz w:val="20"/>
          <w:szCs w:val="20"/>
        </w:rPr>
        <w:t xml:space="preserve">dar 2020 and an employee retention credit, a refundable payroll credit for 50% of wages and health benefits, up to a maximum of $10 thousand per employee, paid to employees not providing services due to the COVID-19 pandemic. As a result of the CARES Act, </w:t>
      </w:r>
      <w:r>
        <w:rPr>
          <w:rFonts w:eastAsia="Times New Roman"/>
          <w:color w:val="000000"/>
          <w:sz w:val="20"/>
          <w:szCs w:val="20"/>
        </w:rPr>
        <w:t>we deferred qualified payroll taxes and claimed the employee retention credit. Based on our preliminary analysis of the CARES Act, we recognized a benefit of $11.0 million for the nine months ended September 26, 2020 for employee retention credits. We will</w:t>
      </w:r>
      <w:r>
        <w:rPr>
          <w:rFonts w:eastAsia="Times New Roman"/>
          <w:color w:val="000000"/>
          <w:sz w:val="20"/>
          <w:szCs w:val="20"/>
        </w:rPr>
        <w:t xml:space="preserve"> continue to assess our treatment of the CARES Act to the extent additional guidance and regulations are issued, the further applicability of the CARES Act to the Company, and the potential impacts on our business. There can be no assurance that we will qu</w:t>
      </w:r>
      <w:r>
        <w:rPr>
          <w:rFonts w:eastAsia="Times New Roman"/>
          <w:color w:val="000000"/>
          <w:sz w:val="20"/>
          <w:szCs w:val="20"/>
        </w:rPr>
        <w:t>alify for additional benefits available under the CARES Act.</w:t>
      </w:r>
    </w:p>
    <w:p w:rsidR="00000000" w:rsidRDefault="0039134F">
      <w:pPr>
        <w:jc w:val="both"/>
        <w:divId w:val="1217159105"/>
        <w:rPr>
          <w:rFonts w:eastAsia="Times New Roman"/>
        </w:rPr>
      </w:pPr>
      <w:r>
        <w:rPr>
          <w:rFonts w:eastAsia="Times New Roman"/>
          <w:color w:val="212529"/>
          <w:sz w:val="20"/>
          <w:szCs w:val="20"/>
        </w:rPr>
        <w:t>The duration and extent of the impact from the COVID-19 pandemic depends on future developments that cannot be accurately predicted at this time, such as the severity and transmission rate of the</w:t>
      </w:r>
      <w:r>
        <w:rPr>
          <w:rFonts w:eastAsia="Times New Roman"/>
          <w:color w:val="212529"/>
          <w:sz w:val="20"/>
          <w:szCs w:val="20"/>
        </w:rPr>
        <w:t xml:space="preserve"> virus, the extent and effectiveness of conta</w:t>
      </w:r>
      <w:r>
        <w:rPr>
          <w:rFonts w:eastAsia="Times New Roman"/>
          <w:color w:val="000000"/>
          <w:sz w:val="20"/>
          <w:szCs w:val="20"/>
        </w:rPr>
        <w:t xml:space="preserve">inment actions and the impact of these and other factors on our associates, customers, suppliers and partners. A more prolonged crisis could negatively affect our liquidity. </w:t>
      </w:r>
      <w:r>
        <w:rPr>
          <w:rFonts w:eastAsia="Times New Roman"/>
          <w:color w:val="212529"/>
          <w:sz w:val="20"/>
          <w:szCs w:val="20"/>
        </w:rPr>
        <w:t>Such impact on our business, operatin</w:t>
      </w:r>
      <w:r>
        <w:rPr>
          <w:rFonts w:eastAsia="Times New Roman"/>
          <w:color w:val="212529"/>
          <w:sz w:val="20"/>
          <w:szCs w:val="20"/>
        </w:rPr>
        <w:t>g results, cash flows and/or financial condition may continue to be material.</w:t>
      </w:r>
    </w:p>
    <w:p w:rsidR="00000000" w:rsidRDefault="0039134F">
      <w:pPr>
        <w:jc w:val="both"/>
        <w:rPr>
          <w:rFonts w:eastAsia="Times New Roman"/>
        </w:rPr>
      </w:pPr>
      <w:r>
        <w:rPr>
          <w:rFonts w:eastAsia="Times New Roman"/>
          <w:b/>
          <w:bCs/>
          <w:i/>
          <w:iCs/>
          <w:color w:val="000000"/>
          <w:sz w:val="20"/>
          <w:szCs w:val="20"/>
        </w:rPr>
        <w:t>Conversion of the 2025 Notes could dilute the ownership interest of existing stockholders or may otherwise depress the price of our common stock.</w:t>
      </w:r>
    </w:p>
    <w:p w:rsidR="00000000" w:rsidRDefault="0039134F">
      <w:pPr>
        <w:jc w:val="both"/>
        <w:rPr>
          <w:rFonts w:eastAsia="Times New Roman"/>
        </w:rPr>
      </w:pPr>
    </w:p>
    <w:p w:rsidR="00000000" w:rsidRDefault="0039134F">
      <w:pPr>
        <w:jc w:val="both"/>
        <w:divId w:val="548421496"/>
        <w:rPr>
          <w:rFonts w:eastAsia="Times New Roman"/>
        </w:rPr>
      </w:pPr>
      <w:r>
        <w:rPr>
          <w:rFonts w:eastAsia="Times New Roman"/>
          <w:color w:val="000000"/>
          <w:sz w:val="20"/>
          <w:szCs w:val="20"/>
        </w:rPr>
        <w:t>The 2025 Notes will be convert</w:t>
      </w:r>
      <w:r>
        <w:rPr>
          <w:rFonts w:eastAsia="Times New Roman"/>
          <w:color w:val="000000"/>
          <w:sz w:val="20"/>
          <w:szCs w:val="20"/>
        </w:rPr>
        <w:t>ible into cash, shares of common stock or a combination of cash and shares of common stock at our election, based on the applicable conversion rate at such time. Prior to February 15, 2025, the 2025 Notes will be convertible at the option of the holders of</w:t>
      </w:r>
      <w:r>
        <w:rPr>
          <w:rFonts w:eastAsia="Times New Roman"/>
          <w:color w:val="000000"/>
          <w:sz w:val="20"/>
          <w:szCs w:val="20"/>
        </w:rPr>
        <w:t xml:space="preserve"> such notes under certain circumstances as provided in the governing indenture. Based on the initial conversion rate of the 2025 Notes, which is subject to adjustment, the 2025 Notes are convertible into 12.9 million shares of our common stock with a maxim</w:t>
      </w:r>
      <w:r>
        <w:rPr>
          <w:rFonts w:eastAsia="Times New Roman"/>
          <w:color w:val="000000"/>
          <w:sz w:val="20"/>
          <w:szCs w:val="20"/>
        </w:rPr>
        <w:t>um possible issuance of 16.5 million shares.</w:t>
      </w:r>
      <w:r>
        <w:rPr>
          <w:rFonts w:eastAsia="Times New Roman"/>
          <w:color w:val="000000"/>
          <w:sz w:val="20"/>
          <w:szCs w:val="20"/>
        </w:rPr>
        <w:br/>
      </w:r>
      <w:r>
        <w:rPr>
          <w:rFonts w:eastAsia="Times New Roman"/>
          <w:color w:val="000000"/>
          <w:sz w:val="20"/>
          <w:szCs w:val="20"/>
        </w:rPr>
        <w:br/>
        <w:t>The conversion of some or all of the 2025 Notes could dilute the ownership interests of existing stockholders to the extent we elect to deliver shares of our common stock upon conversion of any of the 2025 Note</w:t>
      </w:r>
      <w:r>
        <w:rPr>
          <w:rFonts w:eastAsia="Times New Roman"/>
          <w:color w:val="000000"/>
          <w:sz w:val="20"/>
          <w:szCs w:val="20"/>
        </w:rPr>
        <w:t xml:space="preserve">s. Any sales in the public market of the common stock issuable upon such conversion could adversely affect prevailing market prices of our common stock. </w:t>
      </w:r>
    </w:p>
    <w:p w:rsidR="00000000" w:rsidRDefault="0039134F">
      <w:pPr>
        <w:jc w:val="both"/>
        <w:divId w:val="139545887"/>
        <w:rPr>
          <w:rFonts w:eastAsia="Times New Roman"/>
        </w:rPr>
      </w:pPr>
    </w:p>
    <w:p w:rsidR="00000000" w:rsidRDefault="0039134F">
      <w:pPr>
        <w:jc w:val="center"/>
        <w:divId w:val="697127596"/>
        <w:rPr>
          <w:rFonts w:eastAsia="Times New Roman"/>
        </w:rPr>
      </w:pPr>
      <w:r>
        <w:rPr>
          <w:rFonts w:eastAsia="Times New Roman"/>
          <w:color w:val="000000"/>
          <w:sz w:val="20"/>
          <w:szCs w:val="20"/>
        </w:rPr>
        <w:t>56</w:t>
      </w:r>
    </w:p>
    <w:p w:rsidR="00000000" w:rsidRDefault="0039134F">
      <w:pPr>
        <w:divId w:val="1145464887"/>
        <w:rPr>
          <w:rFonts w:eastAsia="Times New Roman"/>
        </w:rPr>
      </w:pPr>
    </w:p>
    <w:p w:rsidR="00000000" w:rsidRDefault="0039134F">
      <w:pPr>
        <w:rPr>
          <w:rFonts w:eastAsia="Times New Roman"/>
        </w:rPr>
      </w:pPr>
      <w:r>
        <w:rPr>
          <w:rFonts w:eastAsia="Times New Roman"/>
        </w:rPr>
        <w:pict>
          <v:rect id="_x0000_i1080" style="width:0;height:1.5pt" o:hralign="center" o:hrstd="t" o:hr="t" fillcolor="#a0a0a0" stroked="f"/>
        </w:pict>
      </w:r>
    </w:p>
    <w:p w:rsidR="00000000" w:rsidRDefault="0039134F">
      <w:pPr>
        <w:divId w:val="874542073"/>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809983599"/>
        <w:rPr>
          <w:rFonts w:eastAsia="Times New Roman"/>
        </w:rPr>
      </w:pPr>
    </w:p>
    <w:p w:rsidR="00000000" w:rsidRDefault="0039134F">
      <w:pPr>
        <w:divId w:val="804852812"/>
        <w:rPr>
          <w:rFonts w:eastAsia="Times New Roman"/>
        </w:rPr>
      </w:pPr>
      <w:r>
        <w:rPr>
          <w:rFonts w:eastAsia="Times New Roman"/>
          <w:b/>
          <w:bCs/>
          <w:color w:val="000000"/>
          <w:sz w:val="20"/>
          <w:szCs w:val="20"/>
        </w:rPr>
        <w:t>Item 2. Unregistered Sales of Equity Securities and Use of Proceeds</w:t>
      </w:r>
    </w:p>
    <w:p w:rsidR="00000000" w:rsidRDefault="0039134F">
      <w:pPr>
        <w:divId w:val="903373098"/>
        <w:rPr>
          <w:rFonts w:eastAsia="Times New Roman"/>
        </w:rPr>
      </w:pPr>
      <w:r>
        <w:rPr>
          <w:rFonts w:eastAsia="Times New Roman"/>
          <w:color w:val="000000"/>
          <w:sz w:val="20"/>
          <w:szCs w:val="20"/>
        </w:rPr>
        <w:t>None.</w:t>
      </w:r>
    </w:p>
    <w:p w:rsidR="00000000" w:rsidRDefault="0039134F">
      <w:pPr>
        <w:divId w:val="1028221115"/>
        <w:rPr>
          <w:rFonts w:eastAsia="Times New Roman"/>
        </w:rPr>
      </w:pPr>
      <w:r>
        <w:rPr>
          <w:rFonts w:eastAsia="Times New Roman"/>
          <w:b/>
          <w:bCs/>
          <w:color w:val="000000"/>
          <w:sz w:val="20"/>
          <w:szCs w:val="20"/>
        </w:rPr>
        <w:t>Item 3. Defaults Upon Senior Securities</w:t>
      </w:r>
    </w:p>
    <w:p w:rsidR="00000000" w:rsidRDefault="0039134F">
      <w:pPr>
        <w:divId w:val="1775664213"/>
        <w:rPr>
          <w:rFonts w:eastAsia="Times New Roman"/>
        </w:rPr>
      </w:pPr>
      <w:r>
        <w:rPr>
          <w:rFonts w:eastAsia="Times New Roman"/>
          <w:color w:val="000000"/>
          <w:sz w:val="20"/>
          <w:szCs w:val="20"/>
        </w:rPr>
        <w:t>None.</w:t>
      </w:r>
    </w:p>
    <w:p w:rsidR="00000000" w:rsidRDefault="0039134F">
      <w:pPr>
        <w:divId w:val="48384862"/>
        <w:rPr>
          <w:rFonts w:eastAsia="Times New Roman"/>
        </w:rPr>
      </w:pPr>
      <w:r>
        <w:rPr>
          <w:rFonts w:eastAsia="Times New Roman"/>
          <w:b/>
          <w:bCs/>
          <w:color w:val="000000"/>
          <w:sz w:val="20"/>
          <w:szCs w:val="20"/>
        </w:rPr>
        <w:t>Item 4. Mine Safety Disclosures</w:t>
      </w:r>
    </w:p>
    <w:p w:rsidR="00000000" w:rsidRDefault="0039134F">
      <w:pPr>
        <w:divId w:val="1793595204"/>
        <w:rPr>
          <w:rFonts w:eastAsia="Times New Roman"/>
        </w:rPr>
      </w:pPr>
      <w:r>
        <w:rPr>
          <w:rFonts w:eastAsia="Times New Roman"/>
          <w:color w:val="000000"/>
          <w:sz w:val="20"/>
          <w:szCs w:val="20"/>
        </w:rPr>
        <w:t>Not applicable.</w:t>
      </w:r>
    </w:p>
    <w:p w:rsidR="00000000" w:rsidRDefault="0039134F">
      <w:pPr>
        <w:divId w:val="408773174"/>
        <w:rPr>
          <w:rFonts w:eastAsia="Times New Roman"/>
        </w:rPr>
      </w:pPr>
      <w:r>
        <w:rPr>
          <w:rFonts w:eastAsia="Times New Roman"/>
          <w:b/>
          <w:bCs/>
          <w:color w:val="000000"/>
          <w:sz w:val="20"/>
          <w:szCs w:val="20"/>
        </w:rPr>
        <w:t>Item 5. Other Information</w:t>
      </w:r>
    </w:p>
    <w:p w:rsidR="00000000" w:rsidRDefault="0039134F">
      <w:pPr>
        <w:jc w:val="both"/>
        <w:divId w:val="1458718319"/>
        <w:rPr>
          <w:rFonts w:eastAsia="Times New Roman"/>
        </w:rPr>
      </w:pPr>
      <w:r>
        <w:rPr>
          <w:rFonts w:eastAsia="Times New Roman"/>
          <w:color w:val="000000"/>
          <w:sz w:val="20"/>
          <w:szCs w:val="20"/>
        </w:rPr>
        <w:t>None.</w:t>
      </w:r>
    </w:p>
    <w:p w:rsidR="00000000" w:rsidRDefault="0039134F">
      <w:pPr>
        <w:jc w:val="both"/>
        <w:divId w:val="665591619"/>
        <w:rPr>
          <w:rFonts w:eastAsia="Times New Roman"/>
        </w:rPr>
      </w:pPr>
    </w:p>
    <w:p w:rsidR="00000000" w:rsidRDefault="0039134F">
      <w:pPr>
        <w:jc w:val="center"/>
        <w:divId w:val="1760255790"/>
        <w:rPr>
          <w:rFonts w:eastAsia="Times New Roman"/>
        </w:rPr>
      </w:pPr>
      <w:r>
        <w:rPr>
          <w:rFonts w:eastAsia="Times New Roman"/>
          <w:color w:val="000000"/>
          <w:sz w:val="20"/>
          <w:szCs w:val="20"/>
        </w:rPr>
        <w:t>57</w:t>
      </w:r>
    </w:p>
    <w:p w:rsidR="00000000" w:rsidRDefault="0039134F">
      <w:pPr>
        <w:rPr>
          <w:rFonts w:eastAsia="Times New Roman"/>
        </w:rPr>
      </w:pPr>
      <w:r>
        <w:rPr>
          <w:rFonts w:eastAsia="Times New Roman"/>
        </w:rPr>
        <w:pict>
          <v:rect id="_x0000_i1081" style="width:0;height:1.5pt" o:hralign="center" o:hrstd="t" o:hr="t" fillcolor="#a0a0a0" stroked="f"/>
        </w:pict>
      </w:r>
    </w:p>
    <w:p w:rsidR="00000000" w:rsidRDefault="0039134F">
      <w:pPr>
        <w:divId w:val="1739398429"/>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2042590176"/>
        <w:rPr>
          <w:rFonts w:eastAsia="Times New Roman"/>
        </w:rPr>
      </w:pPr>
    </w:p>
    <w:p w:rsidR="00000000" w:rsidRDefault="0039134F">
      <w:pPr>
        <w:divId w:val="491413536"/>
        <w:rPr>
          <w:rFonts w:eastAsia="Times New Roman"/>
        </w:rPr>
      </w:pPr>
      <w:r>
        <w:rPr>
          <w:rFonts w:eastAsia="Times New Roman"/>
          <w:b/>
          <w:bCs/>
          <w:color w:val="000000"/>
          <w:sz w:val="20"/>
          <w:szCs w:val="20"/>
        </w:rPr>
        <w:t>Item 6. Exhibits</w:t>
      </w:r>
    </w:p>
    <w:p w:rsidR="00000000" w:rsidRDefault="0039134F">
      <w:pPr>
        <w:jc w:val="center"/>
        <w:divId w:val="1529446016"/>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trPr>
          <w:divId w:val="226842454"/>
        </w:trPr>
        <w:tc>
          <w:tcPr>
            <w:tcW w:w="50" w:type="pct"/>
            <w:vAlign w:val="center"/>
            <w:hideMark/>
          </w:tcPr>
          <w:p w:rsidR="00000000" w:rsidRDefault="0039134F">
            <w:pPr>
              <w:jc w:val="center"/>
              <w:rPr>
                <w:rFonts w:eastAsia="Times New Roman"/>
              </w:rPr>
            </w:pPr>
          </w:p>
        </w:tc>
        <w:tc>
          <w:tcPr>
            <w:tcW w:w="562"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27"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429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b/>
                <w:bCs/>
                <w:color w:val="000000"/>
                <w:sz w:val="20"/>
                <w:szCs w:val="20"/>
              </w:rPr>
              <w:t>Exhibit Description</w:t>
            </w:r>
          </w:p>
        </w:tc>
      </w:tr>
      <w:tr w:rsidR="00000000">
        <w:trPr>
          <w:divId w:val="226842454"/>
        </w:trPr>
        <w:tc>
          <w:tcPr>
            <w:tcW w:w="0" w:type="auto"/>
            <w:gridSpan w:val="3"/>
            <w:tcBorders>
              <w:top w:val="single" w:sz="8" w:space="0" w:color="000000"/>
            </w:tcBorders>
            <w:tcMar>
              <w:top w:w="30" w:type="dxa"/>
              <w:left w:w="20" w:type="dxa"/>
              <w:bottom w:w="30" w:type="dxa"/>
              <w:right w:w="20" w:type="dxa"/>
            </w:tcMar>
            <w:hideMark/>
          </w:tcPr>
          <w:p w:rsidR="00000000" w:rsidRDefault="0039134F">
            <w:pPr>
              <w:divId w:val="729959382"/>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Second Amended and Restated Certificate of Incorporation of National Vision Holdings, Inc. -incorporated herein by reference to Exhibit 3.1 to t</w:t>
            </w:r>
            <w:r>
              <w:rPr>
                <w:rFonts w:eastAsia="Times New Roman"/>
                <w:color w:val="000000"/>
                <w:sz w:val="20"/>
                <w:szCs w:val="20"/>
              </w:rPr>
              <w:t>he Company’s Current Report on Form 8-K filed on October 31, 2017.</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1663658960"/>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Second Amended and Restated Bylaws of National Vision Holdings, Inc. -inco</w:t>
            </w:r>
            <w:r>
              <w:rPr>
                <w:rFonts w:eastAsia="Times New Roman"/>
                <w:color w:val="000000"/>
                <w:sz w:val="20"/>
                <w:szCs w:val="20"/>
              </w:rPr>
              <w:t>rporated herein by reference to Exhibit 3.2 to the Company’s Current Report on Form 8-K filed on October 31, 2017.</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829834573"/>
              <w:rPr>
                <w:rFonts w:eastAsia="Times New Roman"/>
              </w:rPr>
            </w:pPr>
            <w:hyperlink r:id="rId6" w:history="1">
              <w:r>
                <w:rPr>
                  <w:rStyle w:val="a3"/>
                  <w:rFonts w:eastAsia="Times New Roman"/>
                  <w:sz w:val="20"/>
                  <w:szCs w:val="20"/>
                </w:rPr>
                <w:t>10</w:t>
              </w:r>
            </w:hyperlink>
            <w:hyperlink r:id="rId7"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Amendment 4 to the Managem</w:t>
            </w:r>
            <w:r>
              <w:rPr>
                <w:rFonts w:eastAsia="Times New Roman"/>
                <w:color w:val="000000"/>
                <w:sz w:val="20"/>
                <w:szCs w:val="20"/>
              </w:rPr>
              <w:t>ent &amp; Services Agreement between Walmart, Inc. and National Vision, Inc. effective as of July 17, 2020 -incorporated herein by reference to Exhibit 10.1 to the Company’s Current Report on Form 8-K filed on July 20, 2020.</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878856756"/>
              <w:rPr>
                <w:rFonts w:eastAsia="Times New Roman"/>
              </w:rPr>
            </w:pPr>
            <w:hyperlink r:id="rId8"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1474902918"/>
              <w:rPr>
                <w:rFonts w:eastAsia="Times New Roman"/>
              </w:rPr>
            </w:pPr>
            <w:hyperlink r:id="rId9"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Certification of Periodic Report by Chief Financial Officer under Section 302 of the Sarbanes-Oxley Act of 2002 (filed herewith).</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780685272"/>
              <w:rPr>
                <w:rFonts w:eastAsia="Times New Roman"/>
              </w:rPr>
            </w:pPr>
            <w:hyperlink r:id="rId10"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Certification of Chief Executive Officer Pursuant to 18 U.S.C. Section</w:t>
            </w:r>
            <w:r>
              <w:rPr>
                <w:rFonts w:eastAsia="Times New Roman"/>
                <w:color w:val="000000"/>
                <w:sz w:val="20"/>
                <w:szCs w:val="20"/>
              </w:rPr>
              <w:t xml:space="preserve"> 1350 as Adopted Pursuant to Section 906 of the Sarbanes-Oxley Act of 2002 (furnished herewith).</w:t>
            </w:r>
          </w:p>
        </w:tc>
      </w:tr>
      <w:tr w:rsidR="00000000">
        <w:trPr>
          <w:divId w:val="226842454"/>
        </w:trPr>
        <w:tc>
          <w:tcPr>
            <w:tcW w:w="0" w:type="auto"/>
            <w:gridSpan w:val="3"/>
            <w:tcMar>
              <w:top w:w="30" w:type="dxa"/>
              <w:left w:w="20" w:type="dxa"/>
              <w:bottom w:w="30" w:type="dxa"/>
              <w:right w:w="20" w:type="dxa"/>
            </w:tcMar>
            <w:hideMark/>
          </w:tcPr>
          <w:p w:rsidR="00000000" w:rsidRDefault="0039134F">
            <w:pPr>
              <w:divId w:val="917178591"/>
              <w:rPr>
                <w:rFonts w:eastAsia="Times New Roman"/>
              </w:rPr>
            </w:pPr>
            <w:hyperlink r:id="rId11"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Certification of Chief Financial Officer Pursuant to 18 U.S.C. Section 1350 as Adopted Pursuant to Sect</w:t>
            </w:r>
            <w:r>
              <w:rPr>
                <w:rFonts w:eastAsia="Times New Roman"/>
                <w:color w:val="000000"/>
                <w:sz w:val="20"/>
                <w:szCs w:val="20"/>
              </w:rPr>
              <w:t>ion 906 of the Sarbanes-Oxley Act of 2002 (furnished herewith).</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Inline XBRL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Inline XBRL Taxonomy Extension Schema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Inline XBRL Taxonomy Extension Calculation Linkbase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Inline XBRL Taxonomy Extension Definition Linkbase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Inline XBRL Taxonomy Extension Label Linkbase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Inline XBRL Taxonomy Extension Presentation Linkbase Document.</w:t>
            </w:r>
          </w:p>
        </w:tc>
      </w:tr>
      <w:tr w:rsidR="00000000">
        <w:trPr>
          <w:divId w:val="226842454"/>
        </w:trPr>
        <w:tc>
          <w:tcPr>
            <w:tcW w:w="0" w:type="auto"/>
            <w:gridSpan w:val="3"/>
            <w:tcMar>
              <w:top w:w="30" w:type="dxa"/>
              <w:left w:w="20" w:type="dxa"/>
              <w:bottom w:w="30" w:type="dxa"/>
              <w:right w:w="20" w:type="dxa"/>
            </w:tcMar>
            <w:hideMark/>
          </w:tcPr>
          <w:p w:rsidR="00000000" w:rsidRDefault="0039134F">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9134F">
            <w:pPr>
              <w:rPr>
                <w:rFonts w:eastAsia="Times New Roman"/>
              </w:rPr>
            </w:pPr>
          </w:p>
        </w:tc>
        <w:tc>
          <w:tcPr>
            <w:tcW w:w="0" w:type="auto"/>
            <w:gridSpan w:val="3"/>
            <w:tcMar>
              <w:top w:w="30" w:type="dxa"/>
              <w:left w:w="20" w:type="dxa"/>
              <w:bottom w:w="30" w:type="dxa"/>
              <w:right w:w="20" w:type="dxa"/>
            </w:tcMar>
            <w:hideMark/>
          </w:tcPr>
          <w:p w:rsidR="00000000" w:rsidRDefault="0039134F">
            <w:pPr>
              <w:jc w:val="both"/>
              <w:rPr>
                <w:rFonts w:eastAsia="Times New Roman"/>
              </w:rPr>
            </w:pPr>
            <w:r>
              <w:rPr>
                <w:rFonts w:eastAsia="Times New Roman"/>
                <w:color w:val="000000"/>
                <w:sz w:val="20"/>
                <w:szCs w:val="20"/>
              </w:rPr>
              <w:t>The cover page of the Company’s Quarterly report on Form 10-Q for the quarter ended September 26, 2020, formatted in Inline XBRL (included within the Exhibit 101 attachments)</w:t>
            </w:r>
          </w:p>
        </w:tc>
      </w:tr>
    </w:tbl>
    <w:p w:rsidR="00000000" w:rsidRDefault="0039134F">
      <w:pPr>
        <w:divId w:val="618339188"/>
        <w:rPr>
          <w:rFonts w:eastAsia="Times New Roman"/>
        </w:rPr>
      </w:pPr>
    </w:p>
    <w:p w:rsidR="00000000" w:rsidRDefault="0039134F">
      <w:pPr>
        <w:jc w:val="center"/>
        <w:divId w:val="1171413118"/>
        <w:rPr>
          <w:rFonts w:eastAsia="Times New Roman"/>
        </w:rPr>
      </w:pPr>
      <w:r>
        <w:rPr>
          <w:rFonts w:eastAsia="Times New Roman"/>
          <w:color w:val="000000"/>
          <w:sz w:val="20"/>
          <w:szCs w:val="20"/>
        </w:rPr>
        <w:t>58</w:t>
      </w:r>
    </w:p>
    <w:p w:rsidR="00000000" w:rsidRDefault="0039134F">
      <w:pPr>
        <w:rPr>
          <w:rFonts w:eastAsia="Times New Roman"/>
        </w:rPr>
      </w:pPr>
      <w:r>
        <w:rPr>
          <w:rFonts w:eastAsia="Times New Roman"/>
        </w:rPr>
        <w:pict>
          <v:rect id="_x0000_i1082" style="width:0;height:1.5pt" o:hralign="center" o:hrstd="t" o:hr="t" fillcolor="#a0a0a0" stroked="f"/>
        </w:pict>
      </w:r>
    </w:p>
    <w:p w:rsidR="00000000" w:rsidRDefault="0039134F">
      <w:pPr>
        <w:divId w:val="618806398"/>
        <w:rPr>
          <w:rFonts w:eastAsia="Times New Roman"/>
        </w:rPr>
      </w:pPr>
      <w:hyperlink w:anchor="i50336ee56f43460a9be6f65c8cd49c0c_7" w:history="1">
        <w:r>
          <w:rPr>
            <w:rStyle w:val="a3"/>
            <w:rFonts w:eastAsia="Times New Roman"/>
            <w:sz w:val="20"/>
            <w:szCs w:val="20"/>
          </w:rPr>
          <w:t>Table of Contents</w:t>
        </w:r>
      </w:hyperlink>
    </w:p>
    <w:p w:rsidR="00000000" w:rsidRDefault="0039134F">
      <w:pPr>
        <w:jc w:val="center"/>
        <w:divId w:val="1152602249"/>
        <w:rPr>
          <w:rFonts w:eastAsia="Times New Roman"/>
        </w:rPr>
      </w:pPr>
    </w:p>
    <w:p w:rsidR="00000000" w:rsidRDefault="0039134F">
      <w:pPr>
        <w:jc w:val="center"/>
        <w:divId w:val="1900047863"/>
        <w:rPr>
          <w:rFonts w:eastAsia="Times New Roman"/>
        </w:rPr>
      </w:pPr>
      <w:r>
        <w:rPr>
          <w:rFonts w:eastAsia="Times New Roman"/>
          <w:b/>
          <w:bCs/>
          <w:color w:val="000000"/>
          <w:sz w:val="20"/>
          <w:szCs w:val="20"/>
        </w:rPr>
        <w:t>Signatures</w:t>
      </w:r>
    </w:p>
    <w:p w:rsidR="00000000" w:rsidRDefault="0039134F">
      <w:pPr>
        <w:divId w:val="1369641087"/>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trPr>
          <w:divId w:val="1275097582"/>
        </w:trPr>
        <w:tc>
          <w:tcPr>
            <w:tcW w:w="50" w:type="pct"/>
            <w:vAlign w:val="center"/>
            <w:hideMark/>
          </w:tcPr>
          <w:p w:rsidR="00000000" w:rsidRDefault="0039134F">
            <w:pPr>
              <w:rPr>
                <w:rFonts w:eastAsia="Times New Roman"/>
              </w:rPr>
            </w:pPr>
          </w:p>
        </w:tc>
        <w:tc>
          <w:tcPr>
            <w:tcW w:w="2404"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169"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c>
          <w:tcPr>
            <w:tcW w:w="50" w:type="pct"/>
            <w:vAlign w:val="center"/>
            <w:hideMark/>
          </w:tcPr>
          <w:p w:rsidR="00000000" w:rsidRDefault="0039134F">
            <w:pPr>
              <w:rPr>
                <w:rFonts w:eastAsia="Times New Roman"/>
                <w:sz w:val="20"/>
                <w:szCs w:val="20"/>
              </w:rPr>
            </w:pPr>
          </w:p>
        </w:tc>
        <w:tc>
          <w:tcPr>
            <w:tcW w:w="2260" w:type="pct"/>
            <w:vAlign w:val="center"/>
            <w:hideMark/>
          </w:tcPr>
          <w:p w:rsidR="00000000" w:rsidRDefault="0039134F">
            <w:pPr>
              <w:rPr>
                <w:rFonts w:eastAsia="Times New Roman"/>
                <w:sz w:val="20"/>
                <w:szCs w:val="20"/>
              </w:rPr>
            </w:pPr>
          </w:p>
        </w:tc>
        <w:tc>
          <w:tcPr>
            <w:tcW w:w="5" w:type="pct"/>
            <w:vAlign w:val="center"/>
            <w:hideMark/>
          </w:tcPr>
          <w:p w:rsidR="00000000" w:rsidRDefault="0039134F">
            <w:pPr>
              <w:rPr>
                <w:rFonts w:eastAsia="Times New Roman"/>
                <w:sz w:val="20"/>
                <w:szCs w:val="20"/>
              </w:rPr>
            </w:pP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National Vision Holdings, Inc.</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Dated: November 5, 2020</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 L. Reade Fahs</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Chief Executive Officer and Director</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(Principal Executive Officer)</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Dated: November 5, 2020</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/s/ Patrick R. Moore</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134F">
            <w:pPr>
              <w:rPr>
                <w:rFonts w:eastAsia="Times New Roman"/>
              </w:rPr>
            </w:pPr>
            <w:r>
              <w:rPr>
                <w:rFonts w:eastAsia="Times New Roman"/>
                <w:b/>
                <w:bCs/>
                <w:color w:val="000000"/>
                <w:sz w:val="20"/>
                <w:szCs w:val="20"/>
              </w:rPr>
              <w:t>Senior Vice President, Chief Financial Officer</w:t>
            </w:r>
          </w:p>
        </w:tc>
      </w:tr>
      <w:tr w:rsidR="00000000">
        <w:trPr>
          <w:divId w:val="1275097582"/>
        </w:trPr>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39134F">
            <w:pPr>
              <w:rPr>
                <w:rFonts w:eastAsia="Times New Roman"/>
              </w:rPr>
            </w:pPr>
            <w:r>
              <w:rPr>
                <w:rFonts w:eastAsia="Times New Roman"/>
                <w:i/>
                <w:iCs/>
                <w:color w:val="000000"/>
                <w:sz w:val="20"/>
                <w:szCs w:val="20"/>
              </w:rPr>
              <w:t xml:space="preserve">(Principal Financial Officer) </w:t>
            </w:r>
          </w:p>
        </w:tc>
      </w:tr>
    </w:tbl>
    <w:p w:rsidR="00000000" w:rsidRDefault="0039134F">
      <w:pPr>
        <w:divId w:val="1433549280"/>
        <w:rPr>
          <w:rFonts w:eastAsia="Times New Roman"/>
        </w:rPr>
      </w:pPr>
    </w:p>
    <w:p w:rsidR="0039134F" w:rsidRDefault="0039134F">
      <w:pPr>
        <w:jc w:val="center"/>
        <w:divId w:val="1440098594"/>
        <w:rPr>
          <w:rFonts w:eastAsia="Times New Roman"/>
        </w:rPr>
      </w:pPr>
      <w:r>
        <w:rPr>
          <w:rFonts w:eastAsia="Times New Roman"/>
          <w:color w:val="000000"/>
          <w:sz w:val="20"/>
          <w:szCs w:val="20"/>
        </w:rPr>
        <w:t>59</w:t>
      </w:r>
    </w:p>
    <w:sectPr w:rsidR="0039134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134F"/>
    <w:rsid w:val="0039134F"/>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linkbase"/>
  <w:attachedSchema w:val="http://www.nationalvision.com/20200926"/>
  <w:attachedSchema w:val="http://www.xbrl.org/inlineXBRL/transformation/2015-02-26"/>
  <w:attachedSchema w:val="http://xbrl.sec.gov/dei/2020-01-31"/>
  <w:attachedSchema w:val="http://www.xbrl.org/2003/instance"/>
  <w:attachedSchema w:val="http://www.sec.gov/inlineXBRL/transformation/2015-08-31"/>
  <w:attachedSchema w:val="http://www.xbrl.org/2013/inlineXBRL"/>
  <w:attachedSchema w:val="http://fasb.org/us-gaap/2020-01-31"/>
  <w:attachedSchema w:val="http://www.w3.org/1999/xlink"/>
  <w:attachedSchema w:val="http://xbrl.org/2006/xbrldi"/>
  <w:attachedSchema w:val="http://fasb.org/srt/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1">
      <w:marLeft w:val="0"/>
      <w:marRight w:val="0"/>
      <w:marTop w:val="0"/>
      <w:marBottom w:val="120"/>
      <w:divBdr>
        <w:top w:val="none" w:sz="0" w:space="0" w:color="auto"/>
        <w:left w:val="none" w:sz="0" w:space="0" w:color="auto"/>
        <w:bottom w:val="none" w:sz="0" w:space="0" w:color="auto"/>
        <w:right w:val="none" w:sz="0" w:space="0" w:color="auto"/>
      </w:divBdr>
    </w:div>
    <w:div w:id="2365133">
      <w:marLeft w:val="0"/>
      <w:marRight w:val="0"/>
      <w:marTop w:val="0"/>
      <w:marBottom w:val="0"/>
      <w:divBdr>
        <w:top w:val="none" w:sz="0" w:space="0" w:color="auto"/>
        <w:left w:val="none" w:sz="0" w:space="0" w:color="auto"/>
        <w:bottom w:val="none" w:sz="0" w:space="0" w:color="auto"/>
        <w:right w:val="none" w:sz="0" w:space="0" w:color="auto"/>
      </w:divBdr>
      <w:divsChild>
        <w:div w:id="2006399807">
          <w:marLeft w:val="0"/>
          <w:marRight w:val="0"/>
          <w:marTop w:val="0"/>
          <w:marBottom w:val="0"/>
          <w:divBdr>
            <w:top w:val="none" w:sz="0" w:space="0" w:color="auto"/>
            <w:left w:val="none" w:sz="0" w:space="0" w:color="auto"/>
            <w:bottom w:val="none" w:sz="0" w:space="0" w:color="auto"/>
            <w:right w:val="none" w:sz="0" w:space="0" w:color="auto"/>
          </w:divBdr>
        </w:div>
      </w:divsChild>
    </w:div>
    <w:div w:id="2974234">
      <w:marLeft w:val="0"/>
      <w:marRight w:val="0"/>
      <w:marTop w:val="0"/>
      <w:marBottom w:val="0"/>
      <w:divBdr>
        <w:top w:val="none" w:sz="0" w:space="0" w:color="auto"/>
        <w:left w:val="none" w:sz="0" w:space="0" w:color="auto"/>
        <w:bottom w:val="none" w:sz="0" w:space="0" w:color="auto"/>
        <w:right w:val="none" w:sz="0" w:space="0" w:color="auto"/>
      </w:divBdr>
      <w:divsChild>
        <w:div w:id="1739398429">
          <w:marLeft w:val="0"/>
          <w:marRight w:val="0"/>
          <w:marTop w:val="0"/>
          <w:marBottom w:val="0"/>
          <w:divBdr>
            <w:top w:val="none" w:sz="0" w:space="0" w:color="auto"/>
            <w:left w:val="none" w:sz="0" w:space="0" w:color="auto"/>
            <w:bottom w:val="none" w:sz="0" w:space="0" w:color="auto"/>
            <w:right w:val="none" w:sz="0" w:space="0" w:color="auto"/>
          </w:divBdr>
        </w:div>
        <w:div w:id="2042590176">
          <w:marLeft w:val="0"/>
          <w:marRight w:val="0"/>
          <w:marTop w:val="0"/>
          <w:marBottom w:val="120"/>
          <w:divBdr>
            <w:top w:val="none" w:sz="0" w:space="0" w:color="auto"/>
            <w:left w:val="none" w:sz="0" w:space="0" w:color="auto"/>
            <w:bottom w:val="none" w:sz="0" w:space="0" w:color="auto"/>
            <w:right w:val="none" w:sz="0" w:space="0" w:color="auto"/>
          </w:divBdr>
        </w:div>
      </w:divsChild>
    </w:div>
    <w:div w:id="11693213">
      <w:marLeft w:val="0"/>
      <w:marRight w:val="0"/>
      <w:marTop w:val="0"/>
      <w:marBottom w:val="0"/>
      <w:divBdr>
        <w:top w:val="none" w:sz="0" w:space="0" w:color="auto"/>
        <w:left w:val="none" w:sz="0" w:space="0" w:color="auto"/>
        <w:bottom w:val="none" w:sz="0" w:space="0" w:color="auto"/>
        <w:right w:val="none" w:sz="0" w:space="0" w:color="auto"/>
      </w:divBdr>
    </w:div>
    <w:div w:id="13264674">
      <w:marLeft w:val="0"/>
      <w:marRight w:val="0"/>
      <w:marTop w:val="0"/>
      <w:marBottom w:val="120"/>
      <w:divBdr>
        <w:top w:val="none" w:sz="0" w:space="0" w:color="auto"/>
        <w:left w:val="none" w:sz="0" w:space="0" w:color="auto"/>
        <w:bottom w:val="none" w:sz="0" w:space="0" w:color="auto"/>
        <w:right w:val="none" w:sz="0" w:space="0" w:color="auto"/>
      </w:divBdr>
    </w:div>
    <w:div w:id="14887382">
      <w:marLeft w:val="0"/>
      <w:marRight w:val="0"/>
      <w:marTop w:val="0"/>
      <w:marBottom w:val="0"/>
      <w:divBdr>
        <w:top w:val="none" w:sz="0" w:space="0" w:color="auto"/>
        <w:left w:val="none" w:sz="0" w:space="0" w:color="auto"/>
        <w:bottom w:val="none" w:sz="0" w:space="0" w:color="auto"/>
        <w:right w:val="none" w:sz="0" w:space="0" w:color="auto"/>
      </w:divBdr>
      <w:divsChild>
        <w:div w:id="276261699">
          <w:marLeft w:val="0"/>
          <w:marRight w:val="0"/>
          <w:marTop w:val="0"/>
          <w:marBottom w:val="0"/>
          <w:divBdr>
            <w:top w:val="none" w:sz="0" w:space="0" w:color="auto"/>
            <w:left w:val="none" w:sz="0" w:space="0" w:color="auto"/>
            <w:bottom w:val="none" w:sz="0" w:space="0" w:color="auto"/>
            <w:right w:val="none" w:sz="0" w:space="0" w:color="auto"/>
          </w:divBdr>
        </w:div>
      </w:divsChild>
    </w:div>
    <w:div w:id="16928359">
      <w:marLeft w:val="0"/>
      <w:marRight w:val="0"/>
      <w:marTop w:val="100"/>
      <w:marBottom w:val="220"/>
      <w:divBdr>
        <w:top w:val="none" w:sz="0" w:space="0" w:color="auto"/>
        <w:left w:val="none" w:sz="0" w:space="0" w:color="auto"/>
        <w:bottom w:val="none" w:sz="0" w:space="0" w:color="auto"/>
        <w:right w:val="none" w:sz="0" w:space="0" w:color="auto"/>
      </w:divBdr>
      <w:divsChild>
        <w:div w:id="977879915">
          <w:marLeft w:val="0"/>
          <w:marRight w:val="0"/>
          <w:marTop w:val="0"/>
          <w:marBottom w:val="0"/>
          <w:divBdr>
            <w:top w:val="none" w:sz="0" w:space="0" w:color="auto"/>
            <w:left w:val="none" w:sz="0" w:space="0" w:color="auto"/>
            <w:bottom w:val="none" w:sz="0" w:space="0" w:color="auto"/>
            <w:right w:val="none" w:sz="0" w:space="0" w:color="auto"/>
          </w:divBdr>
        </w:div>
        <w:div w:id="238055180">
          <w:marLeft w:val="0"/>
          <w:marRight w:val="0"/>
          <w:marTop w:val="0"/>
          <w:marBottom w:val="0"/>
          <w:divBdr>
            <w:top w:val="none" w:sz="0" w:space="0" w:color="auto"/>
            <w:left w:val="none" w:sz="0" w:space="0" w:color="auto"/>
            <w:bottom w:val="none" w:sz="0" w:space="0" w:color="auto"/>
            <w:right w:val="none" w:sz="0" w:space="0" w:color="auto"/>
          </w:divBdr>
        </w:div>
        <w:div w:id="1503668438">
          <w:marLeft w:val="0"/>
          <w:marRight w:val="0"/>
          <w:marTop w:val="0"/>
          <w:marBottom w:val="0"/>
          <w:divBdr>
            <w:top w:val="none" w:sz="0" w:space="0" w:color="auto"/>
            <w:left w:val="none" w:sz="0" w:space="0" w:color="auto"/>
            <w:bottom w:val="none" w:sz="0" w:space="0" w:color="auto"/>
            <w:right w:val="none" w:sz="0" w:space="0" w:color="auto"/>
          </w:divBdr>
        </w:div>
        <w:div w:id="557980352">
          <w:marLeft w:val="0"/>
          <w:marRight w:val="0"/>
          <w:marTop w:val="0"/>
          <w:marBottom w:val="0"/>
          <w:divBdr>
            <w:top w:val="none" w:sz="0" w:space="0" w:color="auto"/>
            <w:left w:val="none" w:sz="0" w:space="0" w:color="auto"/>
            <w:bottom w:val="none" w:sz="0" w:space="0" w:color="auto"/>
            <w:right w:val="none" w:sz="0" w:space="0" w:color="auto"/>
          </w:divBdr>
        </w:div>
        <w:div w:id="1104810038">
          <w:marLeft w:val="0"/>
          <w:marRight w:val="0"/>
          <w:marTop w:val="0"/>
          <w:marBottom w:val="0"/>
          <w:divBdr>
            <w:top w:val="none" w:sz="0" w:space="0" w:color="auto"/>
            <w:left w:val="none" w:sz="0" w:space="0" w:color="auto"/>
            <w:bottom w:val="none" w:sz="0" w:space="0" w:color="auto"/>
            <w:right w:val="none" w:sz="0" w:space="0" w:color="auto"/>
          </w:divBdr>
        </w:div>
        <w:div w:id="82453278">
          <w:marLeft w:val="0"/>
          <w:marRight w:val="0"/>
          <w:marTop w:val="0"/>
          <w:marBottom w:val="0"/>
          <w:divBdr>
            <w:top w:val="none" w:sz="0" w:space="0" w:color="auto"/>
            <w:left w:val="none" w:sz="0" w:space="0" w:color="auto"/>
            <w:bottom w:val="none" w:sz="0" w:space="0" w:color="auto"/>
            <w:right w:val="none" w:sz="0" w:space="0" w:color="auto"/>
          </w:divBdr>
        </w:div>
        <w:div w:id="1456484486">
          <w:marLeft w:val="0"/>
          <w:marRight w:val="0"/>
          <w:marTop w:val="0"/>
          <w:marBottom w:val="0"/>
          <w:divBdr>
            <w:top w:val="none" w:sz="0" w:space="0" w:color="auto"/>
            <w:left w:val="none" w:sz="0" w:space="0" w:color="auto"/>
            <w:bottom w:val="none" w:sz="0" w:space="0" w:color="auto"/>
            <w:right w:val="none" w:sz="0" w:space="0" w:color="auto"/>
          </w:divBdr>
        </w:div>
        <w:div w:id="399333130">
          <w:marLeft w:val="0"/>
          <w:marRight w:val="0"/>
          <w:marTop w:val="0"/>
          <w:marBottom w:val="0"/>
          <w:divBdr>
            <w:top w:val="none" w:sz="0" w:space="0" w:color="auto"/>
            <w:left w:val="none" w:sz="0" w:space="0" w:color="auto"/>
            <w:bottom w:val="none" w:sz="0" w:space="0" w:color="auto"/>
            <w:right w:val="none" w:sz="0" w:space="0" w:color="auto"/>
          </w:divBdr>
        </w:div>
      </w:divsChild>
    </w:div>
    <w:div w:id="17195459">
      <w:marLeft w:val="0"/>
      <w:marRight w:val="0"/>
      <w:marTop w:val="0"/>
      <w:marBottom w:val="120"/>
      <w:divBdr>
        <w:top w:val="none" w:sz="0" w:space="0" w:color="auto"/>
        <w:left w:val="none" w:sz="0" w:space="0" w:color="auto"/>
        <w:bottom w:val="none" w:sz="0" w:space="0" w:color="auto"/>
        <w:right w:val="none" w:sz="0" w:space="0" w:color="auto"/>
      </w:divBdr>
    </w:div>
    <w:div w:id="19281731">
      <w:marLeft w:val="0"/>
      <w:marRight w:val="0"/>
      <w:marTop w:val="0"/>
      <w:marBottom w:val="120"/>
      <w:divBdr>
        <w:top w:val="none" w:sz="0" w:space="0" w:color="auto"/>
        <w:left w:val="none" w:sz="0" w:space="0" w:color="auto"/>
        <w:bottom w:val="none" w:sz="0" w:space="0" w:color="auto"/>
        <w:right w:val="none" w:sz="0" w:space="0" w:color="auto"/>
      </w:divBdr>
    </w:div>
    <w:div w:id="20084605">
      <w:marLeft w:val="0"/>
      <w:marRight w:val="0"/>
      <w:marTop w:val="0"/>
      <w:marBottom w:val="120"/>
      <w:divBdr>
        <w:top w:val="none" w:sz="0" w:space="0" w:color="auto"/>
        <w:left w:val="none" w:sz="0" w:space="0" w:color="auto"/>
        <w:bottom w:val="none" w:sz="0" w:space="0" w:color="auto"/>
        <w:right w:val="none" w:sz="0" w:space="0" w:color="auto"/>
      </w:divBdr>
    </w:div>
    <w:div w:id="26756679">
      <w:marLeft w:val="0"/>
      <w:marRight w:val="0"/>
      <w:marTop w:val="0"/>
      <w:marBottom w:val="120"/>
      <w:divBdr>
        <w:top w:val="none" w:sz="0" w:space="0" w:color="auto"/>
        <w:left w:val="none" w:sz="0" w:space="0" w:color="auto"/>
        <w:bottom w:val="none" w:sz="0" w:space="0" w:color="auto"/>
        <w:right w:val="none" w:sz="0" w:space="0" w:color="auto"/>
      </w:divBdr>
    </w:div>
    <w:div w:id="28796435">
      <w:marLeft w:val="0"/>
      <w:marRight w:val="0"/>
      <w:marTop w:val="0"/>
      <w:marBottom w:val="120"/>
      <w:divBdr>
        <w:top w:val="none" w:sz="0" w:space="0" w:color="auto"/>
        <w:left w:val="none" w:sz="0" w:space="0" w:color="auto"/>
        <w:bottom w:val="none" w:sz="0" w:space="0" w:color="auto"/>
        <w:right w:val="none" w:sz="0" w:space="0" w:color="auto"/>
      </w:divBdr>
    </w:div>
    <w:div w:id="29647862">
      <w:marLeft w:val="0"/>
      <w:marRight w:val="0"/>
      <w:marTop w:val="0"/>
      <w:marBottom w:val="120"/>
      <w:divBdr>
        <w:top w:val="none" w:sz="0" w:space="0" w:color="auto"/>
        <w:left w:val="none" w:sz="0" w:space="0" w:color="auto"/>
        <w:bottom w:val="none" w:sz="0" w:space="0" w:color="auto"/>
        <w:right w:val="none" w:sz="0" w:space="0" w:color="auto"/>
      </w:divBdr>
    </w:div>
    <w:div w:id="32580692">
      <w:marLeft w:val="0"/>
      <w:marRight w:val="0"/>
      <w:marTop w:val="0"/>
      <w:marBottom w:val="0"/>
      <w:divBdr>
        <w:top w:val="none" w:sz="0" w:space="0" w:color="auto"/>
        <w:left w:val="none" w:sz="0" w:space="0" w:color="auto"/>
        <w:bottom w:val="none" w:sz="0" w:space="0" w:color="auto"/>
        <w:right w:val="none" w:sz="0" w:space="0" w:color="auto"/>
      </w:divBdr>
      <w:divsChild>
        <w:div w:id="1032613105">
          <w:marLeft w:val="0"/>
          <w:marRight w:val="0"/>
          <w:marTop w:val="0"/>
          <w:marBottom w:val="0"/>
          <w:divBdr>
            <w:top w:val="none" w:sz="0" w:space="0" w:color="auto"/>
            <w:left w:val="none" w:sz="0" w:space="0" w:color="auto"/>
            <w:bottom w:val="none" w:sz="0" w:space="0" w:color="auto"/>
            <w:right w:val="none" w:sz="0" w:space="0" w:color="auto"/>
          </w:divBdr>
          <w:divsChild>
            <w:div w:id="5052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499">
      <w:marLeft w:val="0"/>
      <w:marRight w:val="0"/>
      <w:marTop w:val="0"/>
      <w:marBottom w:val="120"/>
      <w:divBdr>
        <w:top w:val="none" w:sz="0" w:space="0" w:color="auto"/>
        <w:left w:val="none" w:sz="0" w:space="0" w:color="auto"/>
        <w:bottom w:val="none" w:sz="0" w:space="0" w:color="auto"/>
        <w:right w:val="none" w:sz="0" w:space="0" w:color="auto"/>
      </w:divBdr>
    </w:div>
    <w:div w:id="41835319">
      <w:marLeft w:val="0"/>
      <w:marRight w:val="0"/>
      <w:marTop w:val="0"/>
      <w:marBottom w:val="100"/>
      <w:divBdr>
        <w:top w:val="none" w:sz="0" w:space="0" w:color="auto"/>
        <w:left w:val="none" w:sz="0" w:space="0" w:color="auto"/>
        <w:bottom w:val="none" w:sz="0" w:space="0" w:color="auto"/>
        <w:right w:val="none" w:sz="0" w:space="0" w:color="auto"/>
      </w:divBdr>
    </w:div>
    <w:div w:id="42020039">
      <w:marLeft w:val="0"/>
      <w:marRight w:val="0"/>
      <w:marTop w:val="0"/>
      <w:marBottom w:val="0"/>
      <w:divBdr>
        <w:top w:val="none" w:sz="0" w:space="0" w:color="auto"/>
        <w:left w:val="none" w:sz="0" w:space="0" w:color="auto"/>
        <w:bottom w:val="none" w:sz="0" w:space="0" w:color="auto"/>
        <w:right w:val="none" w:sz="0" w:space="0" w:color="auto"/>
      </w:divBdr>
      <w:divsChild>
        <w:div w:id="1160342515">
          <w:marLeft w:val="0"/>
          <w:marRight w:val="0"/>
          <w:marTop w:val="0"/>
          <w:marBottom w:val="0"/>
          <w:divBdr>
            <w:top w:val="none" w:sz="0" w:space="0" w:color="auto"/>
            <w:left w:val="none" w:sz="0" w:space="0" w:color="auto"/>
            <w:bottom w:val="none" w:sz="0" w:space="0" w:color="auto"/>
            <w:right w:val="none" w:sz="0" w:space="0" w:color="auto"/>
          </w:divBdr>
        </w:div>
      </w:divsChild>
    </w:div>
    <w:div w:id="43800938">
      <w:marLeft w:val="0"/>
      <w:marRight w:val="0"/>
      <w:marTop w:val="0"/>
      <w:marBottom w:val="120"/>
      <w:divBdr>
        <w:top w:val="none" w:sz="0" w:space="0" w:color="auto"/>
        <w:left w:val="none" w:sz="0" w:space="0" w:color="auto"/>
        <w:bottom w:val="none" w:sz="0" w:space="0" w:color="auto"/>
        <w:right w:val="none" w:sz="0" w:space="0" w:color="auto"/>
      </w:divBdr>
    </w:div>
    <w:div w:id="48384862">
      <w:marLeft w:val="0"/>
      <w:marRight w:val="0"/>
      <w:marTop w:val="0"/>
      <w:marBottom w:val="120"/>
      <w:divBdr>
        <w:top w:val="none" w:sz="0" w:space="0" w:color="auto"/>
        <w:left w:val="none" w:sz="0" w:space="0" w:color="auto"/>
        <w:bottom w:val="none" w:sz="0" w:space="0" w:color="auto"/>
        <w:right w:val="none" w:sz="0" w:space="0" w:color="auto"/>
      </w:divBdr>
    </w:div>
    <w:div w:id="51466223">
      <w:marLeft w:val="0"/>
      <w:marRight w:val="0"/>
      <w:marTop w:val="0"/>
      <w:marBottom w:val="120"/>
      <w:divBdr>
        <w:top w:val="none" w:sz="0" w:space="0" w:color="auto"/>
        <w:left w:val="none" w:sz="0" w:space="0" w:color="auto"/>
        <w:bottom w:val="none" w:sz="0" w:space="0" w:color="auto"/>
        <w:right w:val="none" w:sz="0" w:space="0" w:color="auto"/>
      </w:divBdr>
    </w:div>
    <w:div w:id="52773955">
      <w:marLeft w:val="0"/>
      <w:marRight w:val="0"/>
      <w:marTop w:val="0"/>
      <w:marBottom w:val="120"/>
      <w:divBdr>
        <w:top w:val="none" w:sz="0" w:space="0" w:color="auto"/>
        <w:left w:val="none" w:sz="0" w:space="0" w:color="auto"/>
        <w:bottom w:val="none" w:sz="0" w:space="0" w:color="auto"/>
        <w:right w:val="none" w:sz="0" w:space="0" w:color="auto"/>
      </w:divBdr>
    </w:div>
    <w:div w:id="53311764">
      <w:marLeft w:val="0"/>
      <w:marRight w:val="0"/>
      <w:marTop w:val="0"/>
      <w:marBottom w:val="120"/>
      <w:divBdr>
        <w:top w:val="none" w:sz="0" w:space="0" w:color="auto"/>
        <w:left w:val="none" w:sz="0" w:space="0" w:color="auto"/>
        <w:bottom w:val="none" w:sz="0" w:space="0" w:color="auto"/>
        <w:right w:val="none" w:sz="0" w:space="0" w:color="auto"/>
      </w:divBdr>
    </w:div>
    <w:div w:id="58746640">
      <w:marLeft w:val="0"/>
      <w:marRight w:val="0"/>
      <w:marTop w:val="0"/>
      <w:marBottom w:val="120"/>
      <w:divBdr>
        <w:top w:val="none" w:sz="0" w:space="0" w:color="auto"/>
        <w:left w:val="none" w:sz="0" w:space="0" w:color="auto"/>
        <w:bottom w:val="none" w:sz="0" w:space="0" w:color="auto"/>
        <w:right w:val="none" w:sz="0" w:space="0" w:color="auto"/>
      </w:divBdr>
    </w:div>
    <w:div w:id="59643140">
      <w:marLeft w:val="0"/>
      <w:marRight w:val="0"/>
      <w:marTop w:val="0"/>
      <w:marBottom w:val="0"/>
      <w:divBdr>
        <w:top w:val="none" w:sz="0" w:space="0" w:color="auto"/>
        <w:left w:val="none" w:sz="0" w:space="0" w:color="auto"/>
        <w:bottom w:val="none" w:sz="0" w:space="0" w:color="auto"/>
        <w:right w:val="none" w:sz="0" w:space="0" w:color="auto"/>
      </w:divBdr>
    </w:div>
    <w:div w:id="60178076">
      <w:marLeft w:val="0"/>
      <w:marRight w:val="0"/>
      <w:marTop w:val="0"/>
      <w:marBottom w:val="120"/>
      <w:divBdr>
        <w:top w:val="none" w:sz="0" w:space="0" w:color="auto"/>
        <w:left w:val="none" w:sz="0" w:space="0" w:color="auto"/>
        <w:bottom w:val="none" w:sz="0" w:space="0" w:color="auto"/>
        <w:right w:val="none" w:sz="0" w:space="0" w:color="auto"/>
      </w:divBdr>
    </w:div>
    <w:div w:id="66147974">
      <w:marLeft w:val="0"/>
      <w:marRight w:val="0"/>
      <w:marTop w:val="0"/>
      <w:marBottom w:val="120"/>
      <w:divBdr>
        <w:top w:val="none" w:sz="0" w:space="0" w:color="auto"/>
        <w:left w:val="none" w:sz="0" w:space="0" w:color="auto"/>
        <w:bottom w:val="none" w:sz="0" w:space="0" w:color="auto"/>
        <w:right w:val="none" w:sz="0" w:space="0" w:color="auto"/>
      </w:divBdr>
    </w:div>
    <w:div w:id="67769216">
      <w:marLeft w:val="0"/>
      <w:marRight w:val="0"/>
      <w:marTop w:val="0"/>
      <w:marBottom w:val="120"/>
      <w:divBdr>
        <w:top w:val="none" w:sz="0" w:space="0" w:color="auto"/>
        <w:left w:val="none" w:sz="0" w:space="0" w:color="auto"/>
        <w:bottom w:val="none" w:sz="0" w:space="0" w:color="auto"/>
        <w:right w:val="none" w:sz="0" w:space="0" w:color="auto"/>
      </w:divBdr>
    </w:div>
    <w:div w:id="72435897">
      <w:marLeft w:val="0"/>
      <w:marRight w:val="0"/>
      <w:marTop w:val="0"/>
      <w:marBottom w:val="120"/>
      <w:divBdr>
        <w:top w:val="none" w:sz="0" w:space="0" w:color="auto"/>
        <w:left w:val="none" w:sz="0" w:space="0" w:color="auto"/>
        <w:bottom w:val="none" w:sz="0" w:space="0" w:color="auto"/>
        <w:right w:val="none" w:sz="0" w:space="0" w:color="auto"/>
      </w:divBdr>
    </w:div>
    <w:div w:id="74399996">
      <w:marLeft w:val="0"/>
      <w:marRight w:val="0"/>
      <w:marTop w:val="0"/>
      <w:marBottom w:val="0"/>
      <w:divBdr>
        <w:top w:val="none" w:sz="0" w:space="0" w:color="auto"/>
        <w:left w:val="none" w:sz="0" w:space="0" w:color="auto"/>
        <w:bottom w:val="none" w:sz="0" w:space="0" w:color="auto"/>
        <w:right w:val="none" w:sz="0" w:space="0" w:color="auto"/>
      </w:divBdr>
      <w:divsChild>
        <w:div w:id="373579796">
          <w:marLeft w:val="0"/>
          <w:marRight w:val="0"/>
          <w:marTop w:val="0"/>
          <w:marBottom w:val="0"/>
          <w:divBdr>
            <w:top w:val="none" w:sz="0" w:space="0" w:color="auto"/>
            <w:left w:val="none" w:sz="0" w:space="0" w:color="auto"/>
            <w:bottom w:val="none" w:sz="0" w:space="0" w:color="auto"/>
            <w:right w:val="none" w:sz="0" w:space="0" w:color="auto"/>
          </w:divBdr>
        </w:div>
      </w:divsChild>
    </w:div>
    <w:div w:id="75440336">
      <w:marLeft w:val="0"/>
      <w:marRight w:val="0"/>
      <w:marTop w:val="0"/>
      <w:marBottom w:val="0"/>
      <w:divBdr>
        <w:top w:val="none" w:sz="0" w:space="0" w:color="auto"/>
        <w:left w:val="none" w:sz="0" w:space="0" w:color="auto"/>
        <w:bottom w:val="none" w:sz="0" w:space="0" w:color="auto"/>
        <w:right w:val="none" w:sz="0" w:space="0" w:color="auto"/>
      </w:divBdr>
    </w:div>
    <w:div w:id="75590624">
      <w:marLeft w:val="0"/>
      <w:marRight w:val="0"/>
      <w:marTop w:val="0"/>
      <w:marBottom w:val="120"/>
      <w:divBdr>
        <w:top w:val="none" w:sz="0" w:space="0" w:color="auto"/>
        <w:left w:val="none" w:sz="0" w:space="0" w:color="auto"/>
        <w:bottom w:val="none" w:sz="0" w:space="0" w:color="auto"/>
        <w:right w:val="none" w:sz="0" w:space="0" w:color="auto"/>
      </w:divBdr>
    </w:div>
    <w:div w:id="76945245">
      <w:marLeft w:val="0"/>
      <w:marRight w:val="0"/>
      <w:marTop w:val="0"/>
      <w:marBottom w:val="120"/>
      <w:divBdr>
        <w:top w:val="none" w:sz="0" w:space="0" w:color="auto"/>
        <w:left w:val="none" w:sz="0" w:space="0" w:color="auto"/>
        <w:bottom w:val="none" w:sz="0" w:space="0" w:color="auto"/>
        <w:right w:val="none" w:sz="0" w:space="0" w:color="auto"/>
      </w:divBdr>
    </w:div>
    <w:div w:id="78723255">
      <w:marLeft w:val="0"/>
      <w:marRight w:val="0"/>
      <w:marTop w:val="0"/>
      <w:marBottom w:val="120"/>
      <w:divBdr>
        <w:top w:val="none" w:sz="0" w:space="0" w:color="auto"/>
        <w:left w:val="none" w:sz="0" w:space="0" w:color="auto"/>
        <w:bottom w:val="none" w:sz="0" w:space="0" w:color="auto"/>
        <w:right w:val="none" w:sz="0" w:space="0" w:color="auto"/>
      </w:divBdr>
    </w:div>
    <w:div w:id="78866949">
      <w:marLeft w:val="0"/>
      <w:marRight w:val="0"/>
      <w:marTop w:val="0"/>
      <w:marBottom w:val="120"/>
      <w:divBdr>
        <w:top w:val="none" w:sz="0" w:space="0" w:color="auto"/>
        <w:left w:val="none" w:sz="0" w:space="0" w:color="auto"/>
        <w:bottom w:val="none" w:sz="0" w:space="0" w:color="auto"/>
        <w:right w:val="none" w:sz="0" w:space="0" w:color="auto"/>
      </w:divBdr>
    </w:div>
    <w:div w:id="79910820">
      <w:marLeft w:val="0"/>
      <w:marRight w:val="0"/>
      <w:marTop w:val="0"/>
      <w:marBottom w:val="120"/>
      <w:divBdr>
        <w:top w:val="none" w:sz="0" w:space="0" w:color="auto"/>
        <w:left w:val="none" w:sz="0" w:space="0" w:color="auto"/>
        <w:bottom w:val="none" w:sz="0" w:space="0" w:color="auto"/>
        <w:right w:val="none" w:sz="0" w:space="0" w:color="auto"/>
      </w:divBdr>
    </w:div>
    <w:div w:id="85153889">
      <w:marLeft w:val="0"/>
      <w:marRight w:val="0"/>
      <w:marTop w:val="0"/>
      <w:marBottom w:val="120"/>
      <w:divBdr>
        <w:top w:val="none" w:sz="0" w:space="0" w:color="auto"/>
        <w:left w:val="none" w:sz="0" w:space="0" w:color="auto"/>
        <w:bottom w:val="none" w:sz="0" w:space="0" w:color="auto"/>
        <w:right w:val="none" w:sz="0" w:space="0" w:color="auto"/>
      </w:divBdr>
    </w:div>
    <w:div w:id="87313648">
      <w:marLeft w:val="0"/>
      <w:marRight w:val="0"/>
      <w:marTop w:val="0"/>
      <w:marBottom w:val="120"/>
      <w:divBdr>
        <w:top w:val="none" w:sz="0" w:space="0" w:color="auto"/>
        <w:left w:val="none" w:sz="0" w:space="0" w:color="auto"/>
        <w:bottom w:val="none" w:sz="0" w:space="0" w:color="auto"/>
        <w:right w:val="none" w:sz="0" w:space="0" w:color="auto"/>
      </w:divBdr>
    </w:div>
    <w:div w:id="88549278">
      <w:marLeft w:val="0"/>
      <w:marRight w:val="0"/>
      <w:marTop w:val="0"/>
      <w:marBottom w:val="120"/>
      <w:divBdr>
        <w:top w:val="none" w:sz="0" w:space="0" w:color="auto"/>
        <w:left w:val="none" w:sz="0" w:space="0" w:color="auto"/>
        <w:bottom w:val="none" w:sz="0" w:space="0" w:color="auto"/>
        <w:right w:val="none" w:sz="0" w:space="0" w:color="auto"/>
      </w:divBdr>
    </w:div>
    <w:div w:id="88893291">
      <w:marLeft w:val="0"/>
      <w:marRight w:val="0"/>
      <w:marTop w:val="0"/>
      <w:marBottom w:val="120"/>
      <w:divBdr>
        <w:top w:val="none" w:sz="0" w:space="0" w:color="auto"/>
        <w:left w:val="none" w:sz="0" w:space="0" w:color="auto"/>
        <w:bottom w:val="none" w:sz="0" w:space="0" w:color="auto"/>
        <w:right w:val="none" w:sz="0" w:space="0" w:color="auto"/>
      </w:divBdr>
    </w:div>
    <w:div w:id="90317211">
      <w:marLeft w:val="0"/>
      <w:marRight w:val="0"/>
      <w:marTop w:val="0"/>
      <w:marBottom w:val="120"/>
      <w:divBdr>
        <w:top w:val="none" w:sz="0" w:space="0" w:color="auto"/>
        <w:left w:val="none" w:sz="0" w:space="0" w:color="auto"/>
        <w:bottom w:val="none" w:sz="0" w:space="0" w:color="auto"/>
        <w:right w:val="none" w:sz="0" w:space="0" w:color="auto"/>
      </w:divBdr>
    </w:div>
    <w:div w:id="92167510">
      <w:marLeft w:val="0"/>
      <w:marRight w:val="0"/>
      <w:marTop w:val="100"/>
      <w:marBottom w:val="0"/>
      <w:divBdr>
        <w:top w:val="none" w:sz="0" w:space="0" w:color="auto"/>
        <w:left w:val="none" w:sz="0" w:space="0" w:color="auto"/>
        <w:bottom w:val="none" w:sz="0" w:space="0" w:color="auto"/>
        <w:right w:val="none" w:sz="0" w:space="0" w:color="auto"/>
      </w:divBdr>
    </w:div>
    <w:div w:id="93790390">
      <w:marLeft w:val="0"/>
      <w:marRight w:val="0"/>
      <w:marTop w:val="0"/>
      <w:marBottom w:val="120"/>
      <w:divBdr>
        <w:top w:val="none" w:sz="0" w:space="0" w:color="auto"/>
        <w:left w:val="none" w:sz="0" w:space="0" w:color="auto"/>
        <w:bottom w:val="none" w:sz="0" w:space="0" w:color="auto"/>
        <w:right w:val="none" w:sz="0" w:space="0" w:color="auto"/>
      </w:divBdr>
    </w:div>
    <w:div w:id="95292443">
      <w:marLeft w:val="0"/>
      <w:marRight w:val="0"/>
      <w:marTop w:val="0"/>
      <w:marBottom w:val="0"/>
      <w:divBdr>
        <w:top w:val="none" w:sz="0" w:space="0" w:color="auto"/>
        <w:left w:val="none" w:sz="0" w:space="0" w:color="auto"/>
        <w:bottom w:val="none" w:sz="0" w:space="0" w:color="auto"/>
        <w:right w:val="none" w:sz="0" w:space="0" w:color="auto"/>
      </w:divBdr>
      <w:divsChild>
        <w:div w:id="2072848961">
          <w:marLeft w:val="0"/>
          <w:marRight w:val="0"/>
          <w:marTop w:val="0"/>
          <w:marBottom w:val="120"/>
          <w:divBdr>
            <w:top w:val="none" w:sz="0" w:space="0" w:color="auto"/>
            <w:left w:val="none" w:sz="0" w:space="0" w:color="auto"/>
            <w:bottom w:val="none" w:sz="0" w:space="0" w:color="auto"/>
            <w:right w:val="none" w:sz="0" w:space="0" w:color="auto"/>
          </w:divBdr>
        </w:div>
      </w:divsChild>
    </w:div>
    <w:div w:id="98069500">
      <w:marLeft w:val="0"/>
      <w:marRight w:val="0"/>
      <w:marTop w:val="0"/>
      <w:marBottom w:val="120"/>
      <w:divBdr>
        <w:top w:val="none" w:sz="0" w:space="0" w:color="auto"/>
        <w:left w:val="none" w:sz="0" w:space="0" w:color="auto"/>
        <w:bottom w:val="none" w:sz="0" w:space="0" w:color="auto"/>
        <w:right w:val="none" w:sz="0" w:space="0" w:color="auto"/>
      </w:divBdr>
    </w:div>
    <w:div w:id="101608182">
      <w:marLeft w:val="0"/>
      <w:marRight w:val="0"/>
      <w:marTop w:val="180"/>
      <w:marBottom w:val="0"/>
      <w:divBdr>
        <w:top w:val="none" w:sz="0" w:space="0" w:color="auto"/>
        <w:left w:val="none" w:sz="0" w:space="0" w:color="auto"/>
        <w:bottom w:val="none" w:sz="0" w:space="0" w:color="auto"/>
        <w:right w:val="none" w:sz="0" w:space="0" w:color="auto"/>
      </w:divBdr>
    </w:div>
    <w:div w:id="101848024">
      <w:marLeft w:val="0"/>
      <w:marRight w:val="0"/>
      <w:marTop w:val="0"/>
      <w:marBottom w:val="0"/>
      <w:divBdr>
        <w:top w:val="none" w:sz="0" w:space="0" w:color="auto"/>
        <w:left w:val="none" w:sz="0" w:space="0" w:color="auto"/>
        <w:bottom w:val="none" w:sz="0" w:space="0" w:color="auto"/>
        <w:right w:val="none" w:sz="0" w:space="0" w:color="auto"/>
      </w:divBdr>
      <w:divsChild>
        <w:div w:id="763720145">
          <w:marLeft w:val="0"/>
          <w:marRight w:val="0"/>
          <w:marTop w:val="0"/>
          <w:marBottom w:val="0"/>
          <w:divBdr>
            <w:top w:val="none" w:sz="0" w:space="0" w:color="auto"/>
            <w:left w:val="none" w:sz="0" w:space="0" w:color="auto"/>
            <w:bottom w:val="none" w:sz="0" w:space="0" w:color="auto"/>
            <w:right w:val="none" w:sz="0" w:space="0" w:color="auto"/>
          </w:divBdr>
        </w:div>
      </w:divsChild>
    </w:div>
    <w:div w:id="116418683">
      <w:marLeft w:val="0"/>
      <w:marRight w:val="0"/>
      <w:marTop w:val="0"/>
      <w:marBottom w:val="120"/>
      <w:divBdr>
        <w:top w:val="none" w:sz="0" w:space="0" w:color="auto"/>
        <w:left w:val="none" w:sz="0" w:space="0" w:color="auto"/>
        <w:bottom w:val="none" w:sz="0" w:space="0" w:color="auto"/>
        <w:right w:val="none" w:sz="0" w:space="0" w:color="auto"/>
      </w:divBdr>
    </w:div>
    <w:div w:id="124546556">
      <w:marLeft w:val="0"/>
      <w:marRight w:val="0"/>
      <w:marTop w:val="100"/>
      <w:marBottom w:val="220"/>
      <w:divBdr>
        <w:top w:val="none" w:sz="0" w:space="0" w:color="auto"/>
        <w:left w:val="none" w:sz="0" w:space="0" w:color="auto"/>
        <w:bottom w:val="none" w:sz="0" w:space="0" w:color="auto"/>
        <w:right w:val="none" w:sz="0" w:space="0" w:color="auto"/>
      </w:divBdr>
      <w:divsChild>
        <w:div w:id="326176702">
          <w:marLeft w:val="0"/>
          <w:marRight w:val="0"/>
          <w:marTop w:val="0"/>
          <w:marBottom w:val="0"/>
          <w:divBdr>
            <w:top w:val="none" w:sz="0" w:space="0" w:color="auto"/>
            <w:left w:val="none" w:sz="0" w:space="0" w:color="auto"/>
            <w:bottom w:val="none" w:sz="0" w:space="0" w:color="auto"/>
            <w:right w:val="none" w:sz="0" w:space="0" w:color="auto"/>
          </w:divBdr>
        </w:div>
      </w:divsChild>
    </w:div>
    <w:div w:id="127743701">
      <w:marLeft w:val="0"/>
      <w:marRight w:val="0"/>
      <w:marTop w:val="0"/>
      <w:marBottom w:val="0"/>
      <w:divBdr>
        <w:top w:val="none" w:sz="0" w:space="0" w:color="auto"/>
        <w:left w:val="none" w:sz="0" w:space="0" w:color="auto"/>
        <w:bottom w:val="none" w:sz="0" w:space="0" w:color="auto"/>
        <w:right w:val="none" w:sz="0" w:space="0" w:color="auto"/>
      </w:divBdr>
      <w:divsChild>
        <w:div w:id="1171413118">
          <w:marLeft w:val="0"/>
          <w:marRight w:val="0"/>
          <w:marTop w:val="0"/>
          <w:marBottom w:val="0"/>
          <w:divBdr>
            <w:top w:val="none" w:sz="0" w:space="0" w:color="auto"/>
            <w:left w:val="none" w:sz="0" w:space="0" w:color="auto"/>
            <w:bottom w:val="none" w:sz="0" w:space="0" w:color="auto"/>
            <w:right w:val="none" w:sz="0" w:space="0" w:color="auto"/>
          </w:divBdr>
        </w:div>
      </w:divsChild>
    </w:div>
    <w:div w:id="128940840">
      <w:marLeft w:val="0"/>
      <w:marRight w:val="0"/>
      <w:marTop w:val="0"/>
      <w:marBottom w:val="120"/>
      <w:divBdr>
        <w:top w:val="none" w:sz="0" w:space="0" w:color="auto"/>
        <w:left w:val="none" w:sz="0" w:space="0" w:color="auto"/>
        <w:bottom w:val="none" w:sz="0" w:space="0" w:color="auto"/>
        <w:right w:val="none" w:sz="0" w:space="0" w:color="auto"/>
      </w:divBdr>
    </w:div>
    <w:div w:id="129246563">
      <w:marLeft w:val="0"/>
      <w:marRight w:val="0"/>
      <w:marTop w:val="0"/>
      <w:marBottom w:val="0"/>
      <w:divBdr>
        <w:top w:val="none" w:sz="0" w:space="0" w:color="auto"/>
        <w:left w:val="none" w:sz="0" w:space="0" w:color="auto"/>
        <w:bottom w:val="none" w:sz="0" w:space="0" w:color="auto"/>
        <w:right w:val="none" w:sz="0" w:space="0" w:color="auto"/>
      </w:divBdr>
      <w:divsChild>
        <w:div w:id="1552299944">
          <w:marLeft w:val="0"/>
          <w:marRight w:val="0"/>
          <w:marTop w:val="0"/>
          <w:marBottom w:val="0"/>
          <w:divBdr>
            <w:top w:val="none" w:sz="0" w:space="0" w:color="auto"/>
            <w:left w:val="none" w:sz="0" w:space="0" w:color="auto"/>
            <w:bottom w:val="none" w:sz="0" w:space="0" w:color="auto"/>
            <w:right w:val="none" w:sz="0" w:space="0" w:color="auto"/>
          </w:divBdr>
        </w:div>
        <w:div w:id="1298071776">
          <w:marLeft w:val="0"/>
          <w:marRight w:val="0"/>
          <w:marTop w:val="0"/>
          <w:marBottom w:val="120"/>
          <w:divBdr>
            <w:top w:val="none" w:sz="0" w:space="0" w:color="auto"/>
            <w:left w:val="none" w:sz="0" w:space="0" w:color="auto"/>
            <w:bottom w:val="none" w:sz="0" w:space="0" w:color="auto"/>
            <w:right w:val="none" w:sz="0" w:space="0" w:color="auto"/>
          </w:divBdr>
        </w:div>
      </w:divsChild>
    </w:div>
    <w:div w:id="129712638">
      <w:marLeft w:val="0"/>
      <w:marRight w:val="0"/>
      <w:marTop w:val="0"/>
      <w:marBottom w:val="120"/>
      <w:divBdr>
        <w:top w:val="none" w:sz="0" w:space="0" w:color="auto"/>
        <w:left w:val="none" w:sz="0" w:space="0" w:color="auto"/>
        <w:bottom w:val="none" w:sz="0" w:space="0" w:color="auto"/>
        <w:right w:val="none" w:sz="0" w:space="0" w:color="auto"/>
      </w:divBdr>
    </w:div>
    <w:div w:id="139545887">
      <w:marLeft w:val="0"/>
      <w:marRight w:val="0"/>
      <w:marTop w:val="0"/>
      <w:marBottom w:val="120"/>
      <w:divBdr>
        <w:top w:val="none" w:sz="0" w:space="0" w:color="auto"/>
        <w:left w:val="none" w:sz="0" w:space="0" w:color="auto"/>
        <w:bottom w:val="none" w:sz="0" w:space="0" w:color="auto"/>
        <w:right w:val="none" w:sz="0" w:space="0" w:color="auto"/>
      </w:divBdr>
    </w:div>
    <w:div w:id="143082730">
      <w:marLeft w:val="0"/>
      <w:marRight w:val="0"/>
      <w:marTop w:val="0"/>
      <w:marBottom w:val="0"/>
      <w:divBdr>
        <w:top w:val="none" w:sz="0" w:space="0" w:color="auto"/>
        <w:left w:val="none" w:sz="0" w:space="0" w:color="auto"/>
        <w:bottom w:val="none" w:sz="0" w:space="0" w:color="auto"/>
        <w:right w:val="none" w:sz="0" w:space="0" w:color="auto"/>
      </w:divBdr>
      <w:divsChild>
        <w:div w:id="769938011">
          <w:marLeft w:val="0"/>
          <w:marRight w:val="0"/>
          <w:marTop w:val="0"/>
          <w:marBottom w:val="0"/>
          <w:divBdr>
            <w:top w:val="none" w:sz="0" w:space="0" w:color="auto"/>
            <w:left w:val="none" w:sz="0" w:space="0" w:color="auto"/>
            <w:bottom w:val="none" w:sz="0" w:space="0" w:color="auto"/>
            <w:right w:val="none" w:sz="0" w:space="0" w:color="auto"/>
          </w:divBdr>
        </w:div>
      </w:divsChild>
    </w:div>
    <w:div w:id="151878288">
      <w:marLeft w:val="0"/>
      <w:marRight w:val="0"/>
      <w:marTop w:val="100"/>
      <w:marBottom w:val="100"/>
      <w:divBdr>
        <w:top w:val="none" w:sz="0" w:space="0" w:color="auto"/>
        <w:left w:val="none" w:sz="0" w:space="0" w:color="auto"/>
        <w:bottom w:val="none" w:sz="0" w:space="0" w:color="auto"/>
        <w:right w:val="none" w:sz="0" w:space="0" w:color="auto"/>
      </w:divBdr>
      <w:divsChild>
        <w:div w:id="1310017691">
          <w:marLeft w:val="0"/>
          <w:marRight w:val="0"/>
          <w:marTop w:val="0"/>
          <w:marBottom w:val="0"/>
          <w:divBdr>
            <w:top w:val="none" w:sz="0" w:space="0" w:color="auto"/>
            <w:left w:val="none" w:sz="0" w:space="0" w:color="auto"/>
            <w:bottom w:val="none" w:sz="0" w:space="0" w:color="auto"/>
            <w:right w:val="none" w:sz="0" w:space="0" w:color="auto"/>
          </w:divBdr>
        </w:div>
        <w:div w:id="2067797629">
          <w:marLeft w:val="0"/>
          <w:marRight w:val="0"/>
          <w:marTop w:val="0"/>
          <w:marBottom w:val="0"/>
          <w:divBdr>
            <w:top w:val="none" w:sz="0" w:space="0" w:color="auto"/>
            <w:left w:val="none" w:sz="0" w:space="0" w:color="auto"/>
            <w:bottom w:val="none" w:sz="0" w:space="0" w:color="auto"/>
            <w:right w:val="none" w:sz="0" w:space="0" w:color="auto"/>
          </w:divBdr>
        </w:div>
        <w:div w:id="1421752228">
          <w:marLeft w:val="0"/>
          <w:marRight w:val="0"/>
          <w:marTop w:val="0"/>
          <w:marBottom w:val="0"/>
          <w:divBdr>
            <w:top w:val="none" w:sz="0" w:space="0" w:color="auto"/>
            <w:left w:val="none" w:sz="0" w:space="0" w:color="auto"/>
            <w:bottom w:val="none" w:sz="0" w:space="0" w:color="auto"/>
            <w:right w:val="none" w:sz="0" w:space="0" w:color="auto"/>
          </w:divBdr>
        </w:div>
        <w:div w:id="969288620">
          <w:marLeft w:val="0"/>
          <w:marRight w:val="0"/>
          <w:marTop w:val="0"/>
          <w:marBottom w:val="0"/>
          <w:divBdr>
            <w:top w:val="none" w:sz="0" w:space="0" w:color="auto"/>
            <w:left w:val="none" w:sz="0" w:space="0" w:color="auto"/>
            <w:bottom w:val="none" w:sz="0" w:space="0" w:color="auto"/>
            <w:right w:val="none" w:sz="0" w:space="0" w:color="auto"/>
          </w:divBdr>
        </w:div>
        <w:div w:id="123889906">
          <w:marLeft w:val="0"/>
          <w:marRight w:val="0"/>
          <w:marTop w:val="0"/>
          <w:marBottom w:val="0"/>
          <w:divBdr>
            <w:top w:val="none" w:sz="0" w:space="0" w:color="auto"/>
            <w:left w:val="none" w:sz="0" w:space="0" w:color="auto"/>
            <w:bottom w:val="none" w:sz="0" w:space="0" w:color="auto"/>
            <w:right w:val="none" w:sz="0" w:space="0" w:color="auto"/>
          </w:divBdr>
        </w:div>
        <w:div w:id="702049928">
          <w:marLeft w:val="0"/>
          <w:marRight w:val="0"/>
          <w:marTop w:val="0"/>
          <w:marBottom w:val="0"/>
          <w:divBdr>
            <w:top w:val="none" w:sz="0" w:space="0" w:color="auto"/>
            <w:left w:val="none" w:sz="0" w:space="0" w:color="auto"/>
            <w:bottom w:val="none" w:sz="0" w:space="0" w:color="auto"/>
            <w:right w:val="none" w:sz="0" w:space="0" w:color="auto"/>
          </w:divBdr>
        </w:div>
        <w:div w:id="148593003">
          <w:marLeft w:val="0"/>
          <w:marRight w:val="0"/>
          <w:marTop w:val="0"/>
          <w:marBottom w:val="0"/>
          <w:divBdr>
            <w:top w:val="none" w:sz="0" w:space="0" w:color="auto"/>
            <w:left w:val="none" w:sz="0" w:space="0" w:color="auto"/>
            <w:bottom w:val="none" w:sz="0" w:space="0" w:color="auto"/>
            <w:right w:val="none" w:sz="0" w:space="0" w:color="auto"/>
          </w:divBdr>
        </w:div>
        <w:div w:id="2054192252">
          <w:marLeft w:val="0"/>
          <w:marRight w:val="0"/>
          <w:marTop w:val="0"/>
          <w:marBottom w:val="0"/>
          <w:divBdr>
            <w:top w:val="none" w:sz="0" w:space="0" w:color="auto"/>
            <w:left w:val="none" w:sz="0" w:space="0" w:color="auto"/>
            <w:bottom w:val="none" w:sz="0" w:space="0" w:color="auto"/>
            <w:right w:val="none" w:sz="0" w:space="0" w:color="auto"/>
          </w:divBdr>
        </w:div>
        <w:div w:id="1245532219">
          <w:marLeft w:val="0"/>
          <w:marRight w:val="0"/>
          <w:marTop w:val="0"/>
          <w:marBottom w:val="0"/>
          <w:divBdr>
            <w:top w:val="none" w:sz="0" w:space="0" w:color="auto"/>
            <w:left w:val="none" w:sz="0" w:space="0" w:color="auto"/>
            <w:bottom w:val="none" w:sz="0" w:space="0" w:color="auto"/>
            <w:right w:val="none" w:sz="0" w:space="0" w:color="auto"/>
          </w:divBdr>
        </w:div>
        <w:div w:id="1960449830">
          <w:marLeft w:val="0"/>
          <w:marRight w:val="0"/>
          <w:marTop w:val="0"/>
          <w:marBottom w:val="0"/>
          <w:divBdr>
            <w:top w:val="none" w:sz="0" w:space="0" w:color="auto"/>
            <w:left w:val="none" w:sz="0" w:space="0" w:color="auto"/>
            <w:bottom w:val="none" w:sz="0" w:space="0" w:color="auto"/>
            <w:right w:val="none" w:sz="0" w:space="0" w:color="auto"/>
          </w:divBdr>
        </w:div>
        <w:div w:id="470052134">
          <w:marLeft w:val="0"/>
          <w:marRight w:val="0"/>
          <w:marTop w:val="0"/>
          <w:marBottom w:val="0"/>
          <w:divBdr>
            <w:top w:val="none" w:sz="0" w:space="0" w:color="auto"/>
            <w:left w:val="none" w:sz="0" w:space="0" w:color="auto"/>
            <w:bottom w:val="none" w:sz="0" w:space="0" w:color="auto"/>
            <w:right w:val="none" w:sz="0" w:space="0" w:color="auto"/>
          </w:divBdr>
        </w:div>
        <w:div w:id="2053573902">
          <w:marLeft w:val="0"/>
          <w:marRight w:val="0"/>
          <w:marTop w:val="0"/>
          <w:marBottom w:val="0"/>
          <w:divBdr>
            <w:top w:val="none" w:sz="0" w:space="0" w:color="auto"/>
            <w:left w:val="none" w:sz="0" w:space="0" w:color="auto"/>
            <w:bottom w:val="none" w:sz="0" w:space="0" w:color="auto"/>
            <w:right w:val="none" w:sz="0" w:space="0" w:color="auto"/>
          </w:divBdr>
        </w:div>
        <w:div w:id="1471821828">
          <w:marLeft w:val="0"/>
          <w:marRight w:val="0"/>
          <w:marTop w:val="0"/>
          <w:marBottom w:val="0"/>
          <w:divBdr>
            <w:top w:val="none" w:sz="0" w:space="0" w:color="auto"/>
            <w:left w:val="none" w:sz="0" w:space="0" w:color="auto"/>
            <w:bottom w:val="none" w:sz="0" w:space="0" w:color="auto"/>
            <w:right w:val="none" w:sz="0" w:space="0" w:color="auto"/>
          </w:divBdr>
        </w:div>
        <w:div w:id="207034348">
          <w:marLeft w:val="0"/>
          <w:marRight w:val="0"/>
          <w:marTop w:val="0"/>
          <w:marBottom w:val="0"/>
          <w:divBdr>
            <w:top w:val="none" w:sz="0" w:space="0" w:color="auto"/>
            <w:left w:val="none" w:sz="0" w:space="0" w:color="auto"/>
            <w:bottom w:val="none" w:sz="0" w:space="0" w:color="auto"/>
            <w:right w:val="none" w:sz="0" w:space="0" w:color="auto"/>
          </w:divBdr>
        </w:div>
        <w:div w:id="1121152050">
          <w:marLeft w:val="0"/>
          <w:marRight w:val="0"/>
          <w:marTop w:val="0"/>
          <w:marBottom w:val="0"/>
          <w:divBdr>
            <w:top w:val="none" w:sz="0" w:space="0" w:color="auto"/>
            <w:left w:val="none" w:sz="0" w:space="0" w:color="auto"/>
            <w:bottom w:val="none" w:sz="0" w:space="0" w:color="auto"/>
            <w:right w:val="none" w:sz="0" w:space="0" w:color="auto"/>
          </w:divBdr>
        </w:div>
        <w:div w:id="1811166637">
          <w:marLeft w:val="0"/>
          <w:marRight w:val="0"/>
          <w:marTop w:val="0"/>
          <w:marBottom w:val="0"/>
          <w:divBdr>
            <w:top w:val="none" w:sz="0" w:space="0" w:color="auto"/>
            <w:left w:val="none" w:sz="0" w:space="0" w:color="auto"/>
            <w:bottom w:val="none" w:sz="0" w:space="0" w:color="auto"/>
            <w:right w:val="none" w:sz="0" w:space="0" w:color="auto"/>
          </w:divBdr>
        </w:div>
        <w:div w:id="1004551143">
          <w:marLeft w:val="0"/>
          <w:marRight w:val="0"/>
          <w:marTop w:val="0"/>
          <w:marBottom w:val="0"/>
          <w:divBdr>
            <w:top w:val="none" w:sz="0" w:space="0" w:color="auto"/>
            <w:left w:val="none" w:sz="0" w:space="0" w:color="auto"/>
            <w:bottom w:val="none" w:sz="0" w:space="0" w:color="auto"/>
            <w:right w:val="none" w:sz="0" w:space="0" w:color="auto"/>
          </w:divBdr>
        </w:div>
        <w:div w:id="426080228">
          <w:marLeft w:val="0"/>
          <w:marRight w:val="0"/>
          <w:marTop w:val="0"/>
          <w:marBottom w:val="0"/>
          <w:divBdr>
            <w:top w:val="none" w:sz="0" w:space="0" w:color="auto"/>
            <w:left w:val="none" w:sz="0" w:space="0" w:color="auto"/>
            <w:bottom w:val="none" w:sz="0" w:space="0" w:color="auto"/>
            <w:right w:val="none" w:sz="0" w:space="0" w:color="auto"/>
          </w:divBdr>
        </w:div>
        <w:div w:id="259267335">
          <w:marLeft w:val="0"/>
          <w:marRight w:val="0"/>
          <w:marTop w:val="0"/>
          <w:marBottom w:val="0"/>
          <w:divBdr>
            <w:top w:val="none" w:sz="0" w:space="0" w:color="auto"/>
            <w:left w:val="none" w:sz="0" w:space="0" w:color="auto"/>
            <w:bottom w:val="none" w:sz="0" w:space="0" w:color="auto"/>
            <w:right w:val="none" w:sz="0" w:space="0" w:color="auto"/>
          </w:divBdr>
        </w:div>
        <w:div w:id="1666203071">
          <w:marLeft w:val="0"/>
          <w:marRight w:val="0"/>
          <w:marTop w:val="0"/>
          <w:marBottom w:val="0"/>
          <w:divBdr>
            <w:top w:val="none" w:sz="0" w:space="0" w:color="auto"/>
            <w:left w:val="none" w:sz="0" w:space="0" w:color="auto"/>
            <w:bottom w:val="none" w:sz="0" w:space="0" w:color="auto"/>
            <w:right w:val="none" w:sz="0" w:space="0" w:color="auto"/>
          </w:divBdr>
        </w:div>
        <w:div w:id="1444763930">
          <w:marLeft w:val="0"/>
          <w:marRight w:val="0"/>
          <w:marTop w:val="0"/>
          <w:marBottom w:val="0"/>
          <w:divBdr>
            <w:top w:val="none" w:sz="0" w:space="0" w:color="auto"/>
            <w:left w:val="none" w:sz="0" w:space="0" w:color="auto"/>
            <w:bottom w:val="none" w:sz="0" w:space="0" w:color="auto"/>
            <w:right w:val="none" w:sz="0" w:space="0" w:color="auto"/>
          </w:divBdr>
        </w:div>
        <w:div w:id="1807619907">
          <w:marLeft w:val="0"/>
          <w:marRight w:val="0"/>
          <w:marTop w:val="0"/>
          <w:marBottom w:val="0"/>
          <w:divBdr>
            <w:top w:val="none" w:sz="0" w:space="0" w:color="auto"/>
            <w:left w:val="none" w:sz="0" w:space="0" w:color="auto"/>
            <w:bottom w:val="none" w:sz="0" w:space="0" w:color="auto"/>
            <w:right w:val="none" w:sz="0" w:space="0" w:color="auto"/>
          </w:divBdr>
        </w:div>
        <w:div w:id="1874994825">
          <w:marLeft w:val="0"/>
          <w:marRight w:val="0"/>
          <w:marTop w:val="0"/>
          <w:marBottom w:val="0"/>
          <w:divBdr>
            <w:top w:val="none" w:sz="0" w:space="0" w:color="auto"/>
            <w:left w:val="none" w:sz="0" w:space="0" w:color="auto"/>
            <w:bottom w:val="none" w:sz="0" w:space="0" w:color="auto"/>
            <w:right w:val="none" w:sz="0" w:space="0" w:color="auto"/>
          </w:divBdr>
        </w:div>
        <w:div w:id="1854758553">
          <w:marLeft w:val="0"/>
          <w:marRight w:val="0"/>
          <w:marTop w:val="0"/>
          <w:marBottom w:val="0"/>
          <w:divBdr>
            <w:top w:val="none" w:sz="0" w:space="0" w:color="auto"/>
            <w:left w:val="none" w:sz="0" w:space="0" w:color="auto"/>
            <w:bottom w:val="none" w:sz="0" w:space="0" w:color="auto"/>
            <w:right w:val="none" w:sz="0" w:space="0" w:color="auto"/>
          </w:divBdr>
        </w:div>
        <w:div w:id="732122571">
          <w:marLeft w:val="0"/>
          <w:marRight w:val="0"/>
          <w:marTop w:val="0"/>
          <w:marBottom w:val="0"/>
          <w:divBdr>
            <w:top w:val="none" w:sz="0" w:space="0" w:color="auto"/>
            <w:left w:val="none" w:sz="0" w:space="0" w:color="auto"/>
            <w:bottom w:val="none" w:sz="0" w:space="0" w:color="auto"/>
            <w:right w:val="none" w:sz="0" w:space="0" w:color="auto"/>
          </w:divBdr>
        </w:div>
        <w:div w:id="1962491598">
          <w:marLeft w:val="0"/>
          <w:marRight w:val="0"/>
          <w:marTop w:val="0"/>
          <w:marBottom w:val="0"/>
          <w:divBdr>
            <w:top w:val="none" w:sz="0" w:space="0" w:color="auto"/>
            <w:left w:val="none" w:sz="0" w:space="0" w:color="auto"/>
            <w:bottom w:val="none" w:sz="0" w:space="0" w:color="auto"/>
            <w:right w:val="none" w:sz="0" w:space="0" w:color="auto"/>
          </w:divBdr>
        </w:div>
        <w:div w:id="2124884128">
          <w:marLeft w:val="0"/>
          <w:marRight w:val="0"/>
          <w:marTop w:val="0"/>
          <w:marBottom w:val="0"/>
          <w:divBdr>
            <w:top w:val="none" w:sz="0" w:space="0" w:color="auto"/>
            <w:left w:val="none" w:sz="0" w:space="0" w:color="auto"/>
            <w:bottom w:val="none" w:sz="0" w:space="0" w:color="auto"/>
            <w:right w:val="none" w:sz="0" w:space="0" w:color="auto"/>
          </w:divBdr>
        </w:div>
        <w:div w:id="236744164">
          <w:marLeft w:val="0"/>
          <w:marRight w:val="0"/>
          <w:marTop w:val="0"/>
          <w:marBottom w:val="0"/>
          <w:divBdr>
            <w:top w:val="none" w:sz="0" w:space="0" w:color="auto"/>
            <w:left w:val="none" w:sz="0" w:space="0" w:color="auto"/>
            <w:bottom w:val="none" w:sz="0" w:space="0" w:color="auto"/>
            <w:right w:val="none" w:sz="0" w:space="0" w:color="auto"/>
          </w:divBdr>
        </w:div>
        <w:div w:id="1782796031">
          <w:marLeft w:val="0"/>
          <w:marRight w:val="0"/>
          <w:marTop w:val="0"/>
          <w:marBottom w:val="0"/>
          <w:divBdr>
            <w:top w:val="none" w:sz="0" w:space="0" w:color="auto"/>
            <w:left w:val="none" w:sz="0" w:space="0" w:color="auto"/>
            <w:bottom w:val="none" w:sz="0" w:space="0" w:color="auto"/>
            <w:right w:val="none" w:sz="0" w:space="0" w:color="auto"/>
          </w:divBdr>
        </w:div>
        <w:div w:id="685716029">
          <w:marLeft w:val="0"/>
          <w:marRight w:val="0"/>
          <w:marTop w:val="0"/>
          <w:marBottom w:val="0"/>
          <w:divBdr>
            <w:top w:val="none" w:sz="0" w:space="0" w:color="auto"/>
            <w:left w:val="none" w:sz="0" w:space="0" w:color="auto"/>
            <w:bottom w:val="none" w:sz="0" w:space="0" w:color="auto"/>
            <w:right w:val="none" w:sz="0" w:space="0" w:color="auto"/>
          </w:divBdr>
        </w:div>
        <w:div w:id="1690256136">
          <w:marLeft w:val="0"/>
          <w:marRight w:val="0"/>
          <w:marTop w:val="0"/>
          <w:marBottom w:val="0"/>
          <w:divBdr>
            <w:top w:val="none" w:sz="0" w:space="0" w:color="auto"/>
            <w:left w:val="none" w:sz="0" w:space="0" w:color="auto"/>
            <w:bottom w:val="none" w:sz="0" w:space="0" w:color="auto"/>
            <w:right w:val="none" w:sz="0" w:space="0" w:color="auto"/>
          </w:divBdr>
        </w:div>
        <w:div w:id="416832506">
          <w:marLeft w:val="0"/>
          <w:marRight w:val="0"/>
          <w:marTop w:val="0"/>
          <w:marBottom w:val="0"/>
          <w:divBdr>
            <w:top w:val="none" w:sz="0" w:space="0" w:color="auto"/>
            <w:left w:val="none" w:sz="0" w:space="0" w:color="auto"/>
            <w:bottom w:val="none" w:sz="0" w:space="0" w:color="auto"/>
            <w:right w:val="none" w:sz="0" w:space="0" w:color="auto"/>
          </w:divBdr>
        </w:div>
        <w:div w:id="801920795">
          <w:marLeft w:val="0"/>
          <w:marRight w:val="0"/>
          <w:marTop w:val="0"/>
          <w:marBottom w:val="0"/>
          <w:divBdr>
            <w:top w:val="none" w:sz="0" w:space="0" w:color="auto"/>
            <w:left w:val="none" w:sz="0" w:space="0" w:color="auto"/>
            <w:bottom w:val="none" w:sz="0" w:space="0" w:color="auto"/>
            <w:right w:val="none" w:sz="0" w:space="0" w:color="auto"/>
          </w:divBdr>
        </w:div>
        <w:div w:id="1540821015">
          <w:marLeft w:val="0"/>
          <w:marRight w:val="0"/>
          <w:marTop w:val="0"/>
          <w:marBottom w:val="0"/>
          <w:divBdr>
            <w:top w:val="none" w:sz="0" w:space="0" w:color="auto"/>
            <w:left w:val="none" w:sz="0" w:space="0" w:color="auto"/>
            <w:bottom w:val="none" w:sz="0" w:space="0" w:color="auto"/>
            <w:right w:val="none" w:sz="0" w:space="0" w:color="auto"/>
          </w:divBdr>
        </w:div>
        <w:div w:id="1455365184">
          <w:marLeft w:val="0"/>
          <w:marRight w:val="0"/>
          <w:marTop w:val="0"/>
          <w:marBottom w:val="0"/>
          <w:divBdr>
            <w:top w:val="none" w:sz="0" w:space="0" w:color="auto"/>
            <w:left w:val="none" w:sz="0" w:space="0" w:color="auto"/>
            <w:bottom w:val="none" w:sz="0" w:space="0" w:color="auto"/>
            <w:right w:val="none" w:sz="0" w:space="0" w:color="auto"/>
          </w:divBdr>
        </w:div>
        <w:div w:id="1227228967">
          <w:marLeft w:val="0"/>
          <w:marRight w:val="0"/>
          <w:marTop w:val="0"/>
          <w:marBottom w:val="0"/>
          <w:divBdr>
            <w:top w:val="none" w:sz="0" w:space="0" w:color="auto"/>
            <w:left w:val="none" w:sz="0" w:space="0" w:color="auto"/>
            <w:bottom w:val="none" w:sz="0" w:space="0" w:color="auto"/>
            <w:right w:val="none" w:sz="0" w:space="0" w:color="auto"/>
          </w:divBdr>
        </w:div>
        <w:div w:id="2023975047">
          <w:marLeft w:val="0"/>
          <w:marRight w:val="0"/>
          <w:marTop w:val="0"/>
          <w:marBottom w:val="0"/>
          <w:divBdr>
            <w:top w:val="none" w:sz="0" w:space="0" w:color="auto"/>
            <w:left w:val="none" w:sz="0" w:space="0" w:color="auto"/>
            <w:bottom w:val="none" w:sz="0" w:space="0" w:color="auto"/>
            <w:right w:val="none" w:sz="0" w:space="0" w:color="auto"/>
          </w:divBdr>
        </w:div>
        <w:div w:id="462429352">
          <w:marLeft w:val="0"/>
          <w:marRight w:val="0"/>
          <w:marTop w:val="0"/>
          <w:marBottom w:val="0"/>
          <w:divBdr>
            <w:top w:val="none" w:sz="0" w:space="0" w:color="auto"/>
            <w:left w:val="none" w:sz="0" w:space="0" w:color="auto"/>
            <w:bottom w:val="none" w:sz="0" w:space="0" w:color="auto"/>
            <w:right w:val="none" w:sz="0" w:space="0" w:color="auto"/>
          </w:divBdr>
        </w:div>
        <w:div w:id="1590306591">
          <w:marLeft w:val="0"/>
          <w:marRight w:val="0"/>
          <w:marTop w:val="0"/>
          <w:marBottom w:val="0"/>
          <w:divBdr>
            <w:top w:val="none" w:sz="0" w:space="0" w:color="auto"/>
            <w:left w:val="none" w:sz="0" w:space="0" w:color="auto"/>
            <w:bottom w:val="none" w:sz="0" w:space="0" w:color="auto"/>
            <w:right w:val="none" w:sz="0" w:space="0" w:color="auto"/>
          </w:divBdr>
        </w:div>
        <w:div w:id="1827821022">
          <w:marLeft w:val="0"/>
          <w:marRight w:val="0"/>
          <w:marTop w:val="0"/>
          <w:marBottom w:val="0"/>
          <w:divBdr>
            <w:top w:val="none" w:sz="0" w:space="0" w:color="auto"/>
            <w:left w:val="none" w:sz="0" w:space="0" w:color="auto"/>
            <w:bottom w:val="none" w:sz="0" w:space="0" w:color="auto"/>
            <w:right w:val="none" w:sz="0" w:space="0" w:color="auto"/>
          </w:divBdr>
        </w:div>
        <w:div w:id="922490165">
          <w:marLeft w:val="0"/>
          <w:marRight w:val="0"/>
          <w:marTop w:val="0"/>
          <w:marBottom w:val="0"/>
          <w:divBdr>
            <w:top w:val="none" w:sz="0" w:space="0" w:color="auto"/>
            <w:left w:val="none" w:sz="0" w:space="0" w:color="auto"/>
            <w:bottom w:val="none" w:sz="0" w:space="0" w:color="auto"/>
            <w:right w:val="none" w:sz="0" w:space="0" w:color="auto"/>
          </w:divBdr>
        </w:div>
        <w:div w:id="796073578">
          <w:marLeft w:val="0"/>
          <w:marRight w:val="0"/>
          <w:marTop w:val="0"/>
          <w:marBottom w:val="0"/>
          <w:divBdr>
            <w:top w:val="none" w:sz="0" w:space="0" w:color="auto"/>
            <w:left w:val="none" w:sz="0" w:space="0" w:color="auto"/>
            <w:bottom w:val="none" w:sz="0" w:space="0" w:color="auto"/>
            <w:right w:val="none" w:sz="0" w:space="0" w:color="auto"/>
          </w:divBdr>
        </w:div>
        <w:div w:id="1300644072">
          <w:marLeft w:val="0"/>
          <w:marRight w:val="0"/>
          <w:marTop w:val="0"/>
          <w:marBottom w:val="0"/>
          <w:divBdr>
            <w:top w:val="none" w:sz="0" w:space="0" w:color="auto"/>
            <w:left w:val="none" w:sz="0" w:space="0" w:color="auto"/>
            <w:bottom w:val="none" w:sz="0" w:space="0" w:color="auto"/>
            <w:right w:val="none" w:sz="0" w:space="0" w:color="auto"/>
          </w:divBdr>
        </w:div>
        <w:div w:id="760373571">
          <w:marLeft w:val="0"/>
          <w:marRight w:val="0"/>
          <w:marTop w:val="0"/>
          <w:marBottom w:val="0"/>
          <w:divBdr>
            <w:top w:val="none" w:sz="0" w:space="0" w:color="auto"/>
            <w:left w:val="none" w:sz="0" w:space="0" w:color="auto"/>
            <w:bottom w:val="none" w:sz="0" w:space="0" w:color="auto"/>
            <w:right w:val="none" w:sz="0" w:space="0" w:color="auto"/>
          </w:divBdr>
        </w:div>
        <w:div w:id="1959527511">
          <w:marLeft w:val="0"/>
          <w:marRight w:val="0"/>
          <w:marTop w:val="0"/>
          <w:marBottom w:val="0"/>
          <w:divBdr>
            <w:top w:val="none" w:sz="0" w:space="0" w:color="auto"/>
            <w:left w:val="none" w:sz="0" w:space="0" w:color="auto"/>
            <w:bottom w:val="none" w:sz="0" w:space="0" w:color="auto"/>
            <w:right w:val="none" w:sz="0" w:space="0" w:color="auto"/>
          </w:divBdr>
        </w:div>
        <w:div w:id="40635854">
          <w:marLeft w:val="0"/>
          <w:marRight w:val="0"/>
          <w:marTop w:val="0"/>
          <w:marBottom w:val="0"/>
          <w:divBdr>
            <w:top w:val="none" w:sz="0" w:space="0" w:color="auto"/>
            <w:left w:val="none" w:sz="0" w:space="0" w:color="auto"/>
            <w:bottom w:val="none" w:sz="0" w:space="0" w:color="auto"/>
            <w:right w:val="none" w:sz="0" w:space="0" w:color="auto"/>
          </w:divBdr>
        </w:div>
        <w:div w:id="885802729">
          <w:marLeft w:val="0"/>
          <w:marRight w:val="0"/>
          <w:marTop w:val="0"/>
          <w:marBottom w:val="0"/>
          <w:divBdr>
            <w:top w:val="none" w:sz="0" w:space="0" w:color="auto"/>
            <w:left w:val="none" w:sz="0" w:space="0" w:color="auto"/>
            <w:bottom w:val="none" w:sz="0" w:space="0" w:color="auto"/>
            <w:right w:val="none" w:sz="0" w:space="0" w:color="auto"/>
          </w:divBdr>
        </w:div>
        <w:div w:id="129980723">
          <w:marLeft w:val="0"/>
          <w:marRight w:val="0"/>
          <w:marTop w:val="0"/>
          <w:marBottom w:val="0"/>
          <w:divBdr>
            <w:top w:val="none" w:sz="0" w:space="0" w:color="auto"/>
            <w:left w:val="none" w:sz="0" w:space="0" w:color="auto"/>
            <w:bottom w:val="none" w:sz="0" w:space="0" w:color="auto"/>
            <w:right w:val="none" w:sz="0" w:space="0" w:color="auto"/>
          </w:divBdr>
        </w:div>
        <w:div w:id="547837249">
          <w:marLeft w:val="0"/>
          <w:marRight w:val="0"/>
          <w:marTop w:val="0"/>
          <w:marBottom w:val="0"/>
          <w:divBdr>
            <w:top w:val="none" w:sz="0" w:space="0" w:color="auto"/>
            <w:left w:val="none" w:sz="0" w:space="0" w:color="auto"/>
            <w:bottom w:val="none" w:sz="0" w:space="0" w:color="auto"/>
            <w:right w:val="none" w:sz="0" w:space="0" w:color="auto"/>
          </w:divBdr>
        </w:div>
        <w:div w:id="1326127214">
          <w:marLeft w:val="0"/>
          <w:marRight w:val="0"/>
          <w:marTop w:val="0"/>
          <w:marBottom w:val="0"/>
          <w:divBdr>
            <w:top w:val="none" w:sz="0" w:space="0" w:color="auto"/>
            <w:left w:val="none" w:sz="0" w:space="0" w:color="auto"/>
            <w:bottom w:val="none" w:sz="0" w:space="0" w:color="auto"/>
            <w:right w:val="none" w:sz="0" w:space="0" w:color="auto"/>
          </w:divBdr>
        </w:div>
        <w:div w:id="829175031">
          <w:marLeft w:val="0"/>
          <w:marRight w:val="0"/>
          <w:marTop w:val="0"/>
          <w:marBottom w:val="0"/>
          <w:divBdr>
            <w:top w:val="none" w:sz="0" w:space="0" w:color="auto"/>
            <w:left w:val="none" w:sz="0" w:space="0" w:color="auto"/>
            <w:bottom w:val="none" w:sz="0" w:space="0" w:color="auto"/>
            <w:right w:val="none" w:sz="0" w:space="0" w:color="auto"/>
          </w:divBdr>
        </w:div>
        <w:div w:id="89787056">
          <w:marLeft w:val="0"/>
          <w:marRight w:val="0"/>
          <w:marTop w:val="0"/>
          <w:marBottom w:val="0"/>
          <w:divBdr>
            <w:top w:val="none" w:sz="0" w:space="0" w:color="auto"/>
            <w:left w:val="none" w:sz="0" w:space="0" w:color="auto"/>
            <w:bottom w:val="none" w:sz="0" w:space="0" w:color="auto"/>
            <w:right w:val="none" w:sz="0" w:space="0" w:color="auto"/>
          </w:divBdr>
        </w:div>
      </w:divsChild>
    </w:div>
    <w:div w:id="153448985">
      <w:marLeft w:val="0"/>
      <w:marRight w:val="0"/>
      <w:marTop w:val="0"/>
      <w:marBottom w:val="0"/>
      <w:divBdr>
        <w:top w:val="none" w:sz="0" w:space="0" w:color="auto"/>
        <w:left w:val="none" w:sz="0" w:space="0" w:color="auto"/>
        <w:bottom w:val="none" w:sz="0" w:space="0" w:color="auto"/>
        <w:right w:val="none" w:sz="0" w:space="0" w:color="auto"/>
      </w:divBdr>
      <w:divsChild>
        <w:div w:id="609632397">
          <w:marLeft w:val="0"/>
          <w:marRight w:val="0"/>
          <w:marTop w:val="0"/>
          <w:marBottom w:val="0"/>
          <w:divBdr>
            <w:top w:val="none" w:sz="0" w:space="0" w:color="auto"/>
            <w:left w:val="none" w:sz="0" w:space="0" w:color="auto"/>
            <w:bottom w:val="none" w:sz="0" w:space="0" w:color="auto"/>
            <w:right w:val="none" w:sz="0" w:space="0" w:color="auto"/>
          </w:divBdr>
        </w:div>
      </w:divsChild>
    </w:div>
    <w:div w:id="154877829">
      <w:marLeft w:val="0"/>
      <w:marRight w:val="0"/>
      <w:marTop w:val="0"/>
      <w:marBottom w:val="0"/>
      <w:divBdr>
        <w:top w:val="none" w:sz="0" w:space="0" w:color="auto"/>
        <w:left w:val="none" w:sz="0" w:space="0" w:color="auto"/>
        <w:bottom w:val="none" w:sz="0" w:space="0" w:color="auto"/>
        <w:right w:val="none" w:sz="0" w:space="0" w:color="auto"/>
      </w:divBdr>
      <w:divsChild>
        <w:div w:id="498471350">
          <w:marLeft w:val="0"/>
          <w:marRight w:val="0"/>
          <w:marTop w:val="0"/>
          <w:marBottom w:val="0"/>
          <w:divBdr>
            <w:top w:val="none" w:sz="0" w:space="0" w:color="auto"/>
            <w:left w:val="none" w:sz="0" w:space="0" w:color="auto"/>
            <w:bottom w:val="none" w:sz="0" w:space="0" w:color="auto"/>
            <w:right w:val="none" w:sz="0" w:space="0" w:color="auto"/>
          </w:divBdr>
        </w:div>
      </w:divsChild>
    </w:div>
    <w:div w:id="157306487">
      <w:marLeft w:val="0"/>
      <w:marRight w:val="0"/>
      <w:marTop w:val="0"/>
      <w:marBottom w:val="120"/>
      <w:divBdr>
        <w:top w:val="none" w:sz="0" w:space="0" w:color="auto"/>
        <w:left w:val="none" w:sz="0" w:space="0" w:color="auto"/>
        <w:bottom w:val="none" w:sz="0" w:space="0" w:color="auto"/>
        <w:right w:val="none" w:sz="0" w:space="0" w:color="auto"/>
      </w:divBdr>
    </w:div>
    <w:div w:id="159390868">
      <w:marLeft w:val="0"/>
      <w:marRight w:val="0"/>
      <w:marTop w:val="0"/>
      <w:marBottom w:val="120"/>
      <w:divBdr>
        <w:top w:val="none" w:sz="0" w:space="0" w:color="auto"/>
        <w:left w:val="none" w:sz="0" w:space="0" w:color="auto"/>
        <w:bottom w:val="none" w:sz="0" w:space="0" w:color="auto"/>
        <w:right w:val="none" w:sz="0" w:space="0" w:color="auto"/>
      </w:divBdr>
    </w:div>
    <w:div w:id="170217742">
      <w:marLeft w:val="0"/>
      <w:marRight w:val="0"/>
      <w:marTop w:val="0"/>
      <w:marBottom w:val="120"/>
      <w:divBdr>
        <w:top w:val="none" w:sz="0" w:space="0" w:color="auto"/>
        <w:left w:val="none" w:sz="0" w:space="0" w:color="auto"/>
        <w:bottom w:val="none" w:sz="0" w:space="0" w:color="auto"/>
        <w:right w:val="none" w:sz="0" w:space="0" w:color="auto"/>
      </w:divBdr>
    </w:div>
    <w:div w:id="170609416">
      <w:marLeft w:val="0"/>
      <w:marRight w:val="0"/>
      <w:marTop w:val="0"/>
      <w:marBottom w:val="120"/>
      <w:divBdr>
        <w:top w:val="none" w:sz="0" w:space="0" w:color="auto"/>
        <w:left w:val="none" w:sz="0" w:space="0" w:color="auto"/>
        <w:bottom w:val="none" w:sz="0" w:space="0" w:color="auto"/>
        <w:right w:val="none" w:sz="0" w:space="0" w:color="auto"/>
      </w:divBdr>
    </w:div>
    <w:div w:id="175850380">
      <w:marLeft w:val="0"/>
      <w:marRight w:val="0"/>
      <w:marTop w:val="0"/>
      <w:marBottom w:val="120"/>
      <w:divBdr>
        <w:top w:val="none" w:sz="0" w:space="0" w:color="auto"/>
        <w:left w:val="none" w:sz="0" w:space="0" w:color="auto"/>
        <w:bottom w:val="none" w:sz="0" w:space="0" w:color="auto"/>
        <w:right w:val="none" w:sz="0" w:space="0" w:color="auto"/>
      </w:divBdr>
    </w:div>
    <w:div w:id="176891283">
      <w:marLeft w:val="0"/>
      <w:marRight w:val="0"/>
      <w:marTop w:val="0"/>
      <w:marBottom w:val="0"/>
      <w:divBdr>
        <w:top w:val="none" w:sz="0" w:space="0" w:color="auto"/>
        <w:left w:val="none" w:sz="0" w:space="0" w:color="auto"/>
        <w:bottom w:val="none" w:sz="0" w:space="0" w:color="auto"/>
        <w:right w:val="none" w:sz="0" w:space="0" w:color="auto"/>
      </w:divBdr>
      <w:divsChild>
        <w:div w:id="44523313">
          <w:marLeft w:val="0"/>
          <w:marRight w:val="0"/>
          <w:marTop w:val="0"/>
          <w:marBottom w:val="0"/>
          <w:divBdr>
            <w:top w:val="none" w:sz="0" w:space="0" w:color="auto"/>
            <w:left w:val="none" w:sz="0" w:space="0" w:color="auto"/>
            <w:bottom w:val="none" w:sz="0" w:space="0" w:color="auto"/>
            <w:right w:val="none" w:sz="0" w:space="0" w:color="auto"/>
          </w:divBdr>
        </w:div>
      </w:divsChild>
    </w:div>
    <w:div w:id="177741866">
      <w:marLeft w:val="0"/>
      <w:marRight w:val="0"/>
      <w:marTop w:val="0"/>
      <w:marBottom w:val="120"/>
      <w:divBdr>
        <w:top w:val="none" w:sz="0" w:space="0" w:color="auto"/>
        <w:left w:val="none" w:sz="0" w:space="0" w:color="auto"/>
        <w:bottom w:val="none" w:sz="0" w:space="0" w:color="auto"/>
        <w:right w:val="none" w:sz="0" w:space="0" w:color="auto"/>
      </w:divBdr>
    </w:div>
    <w:div w:id="191958690">
      <w:marLeft w:val="0"/>
      <w:marRight w:val="0"/>
      <w:marTop w:val="0"/>
      <w:marBottom w:val="0"/>
      <w:divBdr>
        <w:top w:val="none" w:sz="0" w:space="0" w:color="auto"/>
        <w:left w:val="none" w:sz="0" w:space="0" w:color="auto"/>
        <w:bottom w:val="none" w:sz="0" w:space="0" w:color="auto"/>
        <w:right w:val="none" w:sz="0" w:space="0" w:color="auto"/>
      </w:divBdr>
    </w:div>
    <w:div w:id="195703889">
      <w:marLeft w:val="0"/>
      <w:marRight w:val="0"/>
      <w:marTop w:val="0"/>
      <w:marBottom w:val="100"/>
      <w:divBdr>
        <w:top w:val="none" w:sz="0" w:space="0" w:color="auto"/>
        <w:left w:val="none" w:sz="0" w:space="0" w:color="auto"/>
        <w:bottom w:val="none" w:sz="0" w:space="0" w:color="auto"/>
        <w:right w:val="none" w:sz="0" w:space="0" w:color="auto"/>
      </w:divBdr>
    </w:div>
    <w:div w:id="198402622">
      <w:marLeft w:val="0"/>
      <w:marRight w:val="0"/>
      <w:marTop w:val="0"/>
      <w:marBottom w:val="0"/>
      <w:divBdr>
        <w:top w:val="none" w:sz="0" w:space="0" w:color="auto"/>
        <w:left w:val="none" w:sz="0" w:space="0" w:color="auto"/>
        <w:bottom w:val="none" w:sz="0" w:space="0" w:color="auto"/>
        <w:right w:val="none" w:sz="0" w:space="0" w:color="auto"/>
      </w:divBdr>
      <w:divsChild>
        <w:div w:id="916982804">
          <w:marLeft w:val="0"/>
          <w:marRight w:val="0"/>
          <w:marTop w:val="0"/>
          <w:marBottom w:val="0"/>
          <w:divBdr>
            <w:top w:val="none" w:sz="0" w:space="0" w:color="auto"/>
            <w:left w:val="none" w:sz="0" w:space="0" w:color="auto"/>
            <w:bottom w:val="none" w:sz="0" w:space="0" w:color="auto"/>
            <w:right w:val="none" w:sz="0" w:space="0" w:color="auto"/>
          </w:divBdr>
        </w:div>
        <w:div w:id="1815442894">
          <w:marLeft w:val="0"/>
          <w:marRight w:val="0"/>
          <w:marTop w:val="0"/>
          <w:marBottom w:val="120"/>
          <w:divBdr>
            <w:top w:val="none" w:sz="0" w:space="0" w:color="auto"/>
            <w:left w:val="none" w:sz="0" w:space="0" w:color="auto"/>
            <w:bottom w:val="none" w:sz="0" w:space="0" w:color="auto"/>
            <w:right w:val="none" w:sz="0" w:space="0" w:color="auto"/>
          </w:divBdr>
        </w:div>
      </w:divsChild>
    </w:div>
    <w:div w:id="198518492">
      <w:marLeft w:val="0"/>
      <w:marRight w:val="0"/>
      <w:marTop w:val="0"/>
      <w:marBottom w:val="120"/>
      <w:divBdr>
        <w:top w:val="none" w:sz="0" w:space="0" w:color="auto"/>
        <w:left w:val="none" w:sz="0" w:space="0" w:color="auto"/>
        <w:bottom w:val="none" w:sz="0" w:space="0" w:color="auto"/>
        <w:right w:val="none" w:sz="0" w:space="0" w:color="auto"/>
      </w:divBdr>
    </w:div>
    <w:div w:id="200362115">
      <w:marLeft w:val="0"/>
      <w:marRight w:val="0"/>
      <w:marTop w:val="0"/>
      <w:marBottom w:val="120"/>
      <w:divBdr>
        <w:top w:val="none" w:sz="0" w:space="0" w:color="auto"/>
        <w:left w:val="none" w:sz="0" w:space="0" w:color="auto"/>
        <w:bottom w:val="none" w:sz="0" w:space="0" w:color="auto"/>
        <w:right w:val="none" w:sz="0" w:space="0" w:color="auto"/>
      </w:divBdr>
    </w:div>
    <w:div w:id="203369666">
      <w:marLeft w:val="0"/>
      <w:marRight w:val="0"/>
      <w:marTop w:val="0"/>
      <w:marBottom w:val="120"/>
      <w:divBdr>
        <w:top w:val="none" w:sz="0" w:space="0" w:color="auto"/>
        <w:left w:val="none" w:sz="0" w:space="0" w:color="auto"/>
        <w:bottom w:val="none" w:sz="0" w:space="0" w:color="auto"/>
        <w:right w:val="none" w:sz="0" w:space="0" w:color="auto"/>
      </w:divBdr>
    </w:div>
    <w:div w:id="203373329">
      <w:marLeft w:val="0"/>
      <w:marRight w:val="0"/>
      <w:marTop w:val="0"/>
      <w:marBottom w:val="120"/>
      <w:divBdr>
        <w:top w:val="none" w:sz="0" w:space="0" w:color="auto"/>
        <w:left w:val="none" w:sz="0" w:space="0" w:color="auto"/>
        <w:bottom w:val="none" w:sz="0" w:space="0" w:color="auto"/>
        <w:right w:val="none" w:sz="0" w:space="0" w:color="auto"/>
      </w:divBdr>
    </w:div>
    <w:div w:id="204297353">
      <w:marLeft w:val="0"/>
      <w:marRight w:val="0"/>
      <w:marTop w:val="0"/>
      <w:marBottom w:val="120"/>
      <w:divBdr>
        <w:top w:val="none" w:sz="0" w:space="0" w:color="auto"/>
        <w:left w:val="none" w:sz="0" w:space="0" w:color="auto"/>
        <w:bottom w:val="none" w:sz="0" w:space="0" w:color="auto"/>
        <w:right w:val="none" w:sz="0" w:space="0" w:color="auto"/>
      </w:divBdr>
    </w:div>
    <w:div w:id="205918265">
      <w:marLeft w:val="0"/>
      <w:marRight w:val="0"/>
      <w:marTop w:val="0"/>
      <w:marBottom w:val="120"/>
      <w:divBdr>
        <w:top w:val="none" w:sz="0" w:space="0" w:color="auto"/>
        <w:left w:val="none" w:sz="0" w:space="0" w:color="auto"/>
        <w:bottom w:val="none" w:sz="0" w:space="0" w:color="auto"/>
        <w:right w:val="none" w:sz="0" w:space="0" w:color="auto"/>
      </w:divBdr>
    </w:div>
    <w:div w:id="207256876">
      <w:marLeft w:val="0"/>
      <w:marRight w:val="0"/>
      <w:marTop w:val="100"/>
      <w:marBottom w:val="100"/>
      <w:divBdr>
        <w:top w:val="none" w:sz="0" w:space="0" w:color="auto"/>
        <w:left w:val="none" w:sz="0" w:space="0" w:color="auto"/>
        <w:bottom w:val="none" w:sz="0" w:space="0" w:color="auto"/>
        <w:right w:val="none" w:sz="0" w:space="0" w:color="auto"/>
      </w:divBdr>
      <w:divsChild>
        <w:div w:id="300117655">
          <w:marLeft w:val="0"/>
          <w:marRight w:val="0"/>
          <w:marTop w:val="0"/>
          <w:marBottom w:val="0"/>
          <w:divBdr>
            <w:top w:val="none" w:sz="0" w:space="0" w:color="auto"/>
            <w:left w:val="none" w:sz="0" w:space="0" w:color="auto"/>
            <w:bottom w:val="none" w:sz="0" w:space="0" w:color="auto"/>
            <w:right w:val="none" w:sz="0" w:space="0" w:color="auto"/>
          </w:divBdr>
        </w:div>
        <w:div w:id="1124083272">
          <w:marLeft w:val="0"/>
          <w:marRight w:val="0"/>
          <w:marTop w:val="0"/>
          <w:marBottom w:val="0"/>
          <w:divBdr>
            <w:top w:val="none" w:sz="0" w:space="0" w:color="auto"/>
            <w:left w:val="none" w:sz="0" w:space="0" w:color="auto"/>
            <w:bottom w:val="none" w:sz="0" w:space="0" w:color="auto"/>
            <w:right w:val="none" w:sz="0" w:space="0" w:color="auto"/>
          </w:divBdr>
        </w:div>
        <w:div w:id="735395532">
          <w:marLeft w:val="0"/>
          <w:marRight w:val="0"/>
          <w:marTop w:val="0"/>
          <w:marBottom w:val="0"/>
          <w:divBdr>
            <w:top w:val="none" w:sz="0" w:space="0" w:color="auto"/>
            <w:left w:val="none" w:sz="0" w:space="0" w:color="auto"/>
            <w:bottom w:val="none" w:sz="0" w:space="0" w:color="auto"/>
            <w:right w:val="none" w:sz="0" w:space="0" w:color="auto"/>
          </w:divBdr>
        </w:div>
        <w:div w:id="713969722">
          <w:marLeft w:val="0"/>
          <w:marRight w:val="0"/>
          <w:marTop w:val="40"/>
          <w:marBottom w:val="40"/>
          <w:divBdr>
            <w:top w:val="none" w:sz="0" w:space="0" w:color="auto"/>
            <w:left w:val="none" w:sz="0" w:space="0" w:color="auto"/>
            <w:bottom w:val="none" w:sz="0" w:space="0" w:color="auto"/>
            <w:right w:val="none" w:sz="0" w:space="0" w:color="auto"/>
          </w:divBdr>
        </w:div>
      </w:divsChild>
    </w:div>
    <w:div w:id="213662003">
      <w:marLeft w:val="0"/>
      <w:marRight w:val="0"/>
      <w:marTop w:val="0"/>
      <w:marBottom w:val="0"/>
      <w:divBdr>
        <w:top w:val="none" w:sz="0" w:space="0" w:color="auto"/>
        <w:left w:val="none" w:sz="0" w:space="0" w:color="auto"/>
        <w:bottom w:val="none" w:sz="0" w:space="0" w:color="auto"/>
        <w:right w:val="none" w:sz="0" w:space="0" w:color="auto"/>
      </w:divBdr>
      <w:divsChild>
        <w:div w:id="1760255790">
          <w:marLeft w:val="0"/>
          <w:marRight w:val="0"/>
          <w:marTop w:val="0"/>
          <w:marBottom w:val="0"/>
          <w:divBdr>
            <w:top w:val="none" w:sz="0" w:space="0" w:color="auto"/>
            <w:left w:val="none" w:sz="0" w:space="0" w:color="auto"/>
            <w:bottom w:val="none" w:sz="0" w:space="0" w:color="auto"/>
            <w:right w:val="none" w:sz="0" w:space="0" w:color="auto"/>
          </w:divBdr>
        </w:div>
      </w:divsChild>
    </w:div>
    <w:div w:id="213808508">
      <w:marLeft w:val="0"/>
      <w:marRight w:val="0"/>
      <w:marTop w:val="0"/>
      <w:marBottom w:val="120"/>
      <w:divBdr>
        <w:top w:val="none" w:sz="0" w:space="0" w:color="auto"/>
        <w:left w:val="none" w:sz="0" w:space="0" w:color="auto"/>
        <w:bottom w:val="none" w:sz="0" w:space="0" w:color="auto"/>
        <w:right w:val="none" w:sz="0" w:space="0" w:color="auto"/>
      </w:divBdr>
    </w:div>
    <w:div w:id="216477629">
      <w:marLeft w:val="0"/>
      <w:marRight w:val="0"/>
      <w:marTop w:val="0"/>
      <w:marBottom w:val="0"/>
      <w:divBdr>
        <w:top w:val="none" w:sz="0" w:space="0" w:color="auto"/>
        <w:left w:val="none" w:sz="0" w:space="0" w:color="auto"/>
        <w:bottom w:val="none" w:sz="0" w:space="0" w:color="auto"/>
        <w:right w:val="none" w:sz="0" w:space="0" w:color="auto"/>
      </w:divBdr>
      <w:divsChild>
        <w:div w:id="514806043">
          <w:marLeft w:val="0"/>
          <w:marRight w:val="0"/>
          <w:marTop w:val="0"/>
          <w:marBottom w:val="0"/>
          <w:divBdr>
            <w:top w:val="none" w:sz="0" w:space="0" w:color="auto"/>
            <w:left w:val="none" w:sz="0" w:space="0" w:color="auto"/>
            <w:bottom w:val="none" w:sz="0" w:space="0" w:color="auto"/>
            <w:right w:val="none" w:sz="0" w:space="0" w:color="auto"/>
          </w:divBdr>
        </w:div>
      </w:divsChild>
    </w:div>
    <w:div w:id="225647849">
      <w:marLeft w:val="0"/>
      <w:marRight w:val="0"/>
      <w:marTop w:val="0"/>
      <w:marBottom w:val="120"/>
      <w:divBdr>
        <w:top w:val="none" w:sz="0" w:space="0" w:color="auto"/>
        <w:left w:val="none" w:sz="0" w:space="0" w:color="auto"/>
        <w:bottom w:val="none" w:sz="0" w:space="0" w:color="auto"/>
        <w:right w:val="none" w:sz="0" w:space="0" w:color="auto"/>
      </w:divBdr>
    </w:div>
    <w:div w:id="225995617">
      <w:marLeft w:val="0"/>
      <w:marRight w:val="0"/>
      <w:marTop w:val="0"/>
      <w:marBottom w:val="0"/>
      <w:divBdr>
        <w:top w:val="none" w:sz="0" w:space="0" w:color="auto"/>
        <w:left w:val="none" w:sz="0" w:space="0" w:color="auto"/>
        <w:bottom w:val="none" w:sz="0" w:space="0" w:color="auto"/>
        <w:right w:val="none" w:sz="0" w:space="0" w:color="auto"/>
      </w:divBdr>
      <w:divsChild>
        <w:div w:id="373311176">
          <w:marLeft w:val="0"/>
          <w:marRight w:val="0"/>
          <w:marTop w:val="0"/>
          <w:marBottom w:val="0"/>
          <w:divBdr>
            <w:top w:val="none" w:sz="0" w:space="0" w:color="auto"/>
            <w:left w:val="none" w:sz="0" w:space="0" w:color="auto"/>
            <w:bottom w:val="none" w:sz="0" w:space="0" w:color="auto"/>
            <w:right w:val="none" w:sz="0" w:space="0" w:color="auto"/>
          </w:divBdr>
        </w:div>
        <w:div w:id="1904556780">
          <w:marLeft w:val="0"/>
          <w:marRight w:val="0"/>
          <w:marTop w:val="0"/>
          <w:marBottom w:val="0"/>
          <w:divBdr>
            <w:top w:val="none" w:sz="0" w:space="0" w:color="auto"/>
            <w:left w:val="none" w:sz="0" w:space="0" w:color="auto"/>
            <w:bottom w:val="none" w:sz="0" w:space="0" w:color="auto"/>
            <w:right w:val="none" w:sz="0" w:space="0" w:color="auto"/>
          </w:divBdr>
        </w:div>
        <w:div w:id="95906517">
          <w:marLeft w:val="0"/>
          <w:marRight w:val="0"/>
          <w:marTop w:val="0"/>
          <w:marBottom w:val="0"/>
          <w:divBdr>
            <w:top w:val="none" w:sz="0" w:space="0" w:color="auto"/>
            <w:left w:val="none" w:sz="0" w:space="0" w:color="auto"/>
            <w:bottom w:val="none" w:sz="0" w:space="0" w:color="auto"/>
            <w:right w:val="none" w:sz="0" w:space="0" w:color="auto"/>
          </w:divBdr>
        </w:div>
      </w:divsChild>
    </w:div>
    <w:div w:id="226842454">
      <w:marLeft w:val="0"/>
      <w:marRight w:val="0"/>
      <w:marTop w:val="100"/>
      <w:marBottom w:val="220"/>
      <w:divBdr>
        <w:top w:val="none" w:sz="0" w:space="0" w:color="auto"/>
        <w:left w:val="none" w:sz="0" w:space="0" w:color="auto"/>
        <w:bottom w:val="none" w:sz="0" w:space="0" w:color="auto"/>
        <w:right w:val="none" w:sz="0" w:space="0" w:color="auto"/>
      </w:divBdr>
      <w:divsChild>
        <w:div w:id="729959382">
          <w:marLeft w:val="0"/>
          <w:marRight w:val="0"/>
          <w:marTop w:val="0"/>
          <w:marBottom w:val="0"/>
          <w:divBdr>
            <w:top w:val="none" w:sz="0" w:space="0" w:color="auto"/>
            <w:left w:val="none" w:sz="0" w:space="0" w:color="auto"/>
            <w:bottom w:val="none" w:sz="0" w:space="0" w:color="auto"/>
            <w:right w:val="none" w:sz="0" w:space="0" w:color="auto"/>
          </w:divBdr>
        </w:div>
        <w:div w:id="1663658960">
          <w:marLeft w:val="0"/>
          <w:marRight w:val="0"/>
          <w:marTop w:val="0"/>
          <w:marBottom w:val="0"/>
          <w:divBdr>
            <w:top w:val="none" w:sz="0" w:space="0" w:color="auto"/>
            <w:left w:val="none" w:sz="0" w:space="0" w:color="auto"/>
            <w:bottom w:val="none" w:sz="0" w:space="0" w:color="auto"/>
            <w:right w:val="none" w:sz="0" w:space="0" w:color="auto"/>
          </w:divBdr>
        </w:div>
        <w:div w:id="829834573">
          <w:marLeft w:val="0"/>
          <w:marRight w:val="0"/>
          <w:marTop w:val="0"/>
          <w:marBottom w:val="0"/>
          <w:divBdr>
            <w:top w:val="none" w:sz="0" w:space="0" w:color="auto"/>
            <w:left w:val="none" w:sz="0" w:space="0" w:color="auto"/>
            <w:bottom w:val="none" w:sz="0" w:space="0" w:color="auto"/>
            <w:right w:val="none" w:sz="0" w:space="0" w:color="auto"/>
          </w:divBdr>
        </w:div>
        <w:div w:id="878856756">
          <w:marLeft w:val="0"/>
          <w:marRight w:val="0"/>
          <w:marTop w:val="0"/>
          <w:marBottom w:val="0"/>
          <w:divBdr>
            <w:top w:val="none" w:sz="0" w:space="0" w:color="auto"/>
            <w:left w:val="none" w:sz="0" w:space="0" w:color="auto"/>
            <w:bottom w:val="none" w:sz="0" w:space="0" w:color="auto"/>
            <w:right w:val="none" w:sz="0" w:space="0" w:color="auto"/>
          </w:divBdr>
        </w:div>
        <w:div w:id="1474902918">
          <w:marLeft w:val="0"/>
          <w:marRight w:val="0"/>
          <w:marTop w:val="0"/>
          <w:marBottom w:val="0"/>
          <w:divBdr>
            <w:top w:val="none" w:sz="0" w:space="0" w:color="auto"/>
            <w:left w:val="none" w:sz="0" w:space="0" w:color="auto"/>
            <w:bottom w:val="none" w:sz="0" w:space="0" w:color="auto"/>
            <w:right w:val="none" w:sz="0" w:space="0" w:color="auto"/>
          </w:divBdr>
        </w:div>
        <w:div w:id="780685272">
          <w:marLeft w:val="0"/>
          <w:marRight w:val="0"/>
          <w:marTop w:val="0"/>
          <w:marBottom w:val="0"/>
          <w:divBdr>
            <w:top w:val="none" w:sz="0" w:space="0" w:color="auto"/>
            <w:left w:val="none" w:sz="0" w:space="0" w:color="auto"/>
            <w:bottom w:val="none" w:sz="0" w:space="0" w:color="auto"/>
            <w:right w:val="none" w:sz="0" w:space="0" w:color="auto"/>
          </w:divBdr>
        </w:div>
        <w:div w:id="917178591">
          <w:marLeft w:val="0"/>
          <w:marRight w:val="0"/>
          <w:marTop w:val="0"/>
          <w:marBottom w:val="0"/>
          <w:divBdr>
            <w:top w:val="none" w:sz="0" w:space="0" w:color="auto"/>
            <w:left w:val="none" w:sz="0" w:space="0" w:color="auto"/>
            <w:bottom w:val="none" w:sz="0" w:space="0" w:color="auto"/>
            <w:right w:val="none" w:sz="0" w:space="0" w:color="auto"/>
          </w:divBdr>
        </w:div>
      </w:divsChild>
    </w:div>
    <w:div w:id="231964323">
      <w:marLeft w:val="0"/>
      <w:marRight w:val="0"/>
      <w:marTop w:val="0"/>
      <w:marBottom w:val="0"/>
      <w:divBdr>
        <w:top w:val="none" w:sz="0" w:space="0" w:color="auto"/>
        <w:left w:val="none" w:sz="0" w:space="0" w:color="auto"/>
        <w:bottom w:val="none" w:sz="0" w:space="0" w:color="auto"/>
        <w:right w:val="none" w:sz="0" w:space="0" w:color="auto"/>
      </w:divBdr>
      <w:divsChild>
        <w:div w:id="1923491056">
          <w:marLeft w:val="0"/>
          <w:marRight w:val="0"/>
          <w:marTop w:val="0"/>
          <w:marBottom w:val="0"/>
          <w:divBdr>
            <w:top w:val="none" w:sz="0" w:space="0" w:color="auto"/>
            <w:left w:val="none" w:sz="0" w:space="0" w:color="auto"/>
            <w:bottom w:val="none" w:sz="0" w:space="0" w:color="auto"/>
            <w:right w:val="none" w:sz="0" w:space="0" w:color="auto"/>
          </w:divBdr>
        </w:div>
      </w:divsChild>
    </w:div>
    <w:div w:id="243876039">
      <w:marLeft w:val="0"/>
      <w:marRight w:val="0"/>
      <w:marTop w:val="0"/>
      <w:marBottom w:val="120"/>
      <w:divBdr>
        <w:top w:val="none" w:sz="0" w:space="0" w:color="auto"/>
        <w:left w:val="none" w:sz="0" w:space="0" w:color="auto"/>
        <w:bottom w:val="none" w:sz="0" w:space="0" w:color="auto"/>
        <w:right w:val="none" w:sz="0" w:space="0" w:color="auto"/>
      </w:divBdr>
    </w:div>
    <w:div w:id="244652681">
      <w:marLeft w:val="0"/>
      <w:marRight w:val="0"/>
      <w:marTop w:val="0"/>
      <w:marBottom w:val="120"/>
      <w:divBdr>
        <w:top w:val="none" w:sz="0" w:space="0" w:color="auto"/>
        <w:left w:val="none" w:sz="0" w:space="0" w:color="auto"/>
        <w:bottom w:val="none" w:sz="0" w:space="0" w:color="auto"/>
        <w:right w:val="none" w:sz="0" w:space="0" w:color="auto"/>
      </w:divBdr>
    </w:div>
    <w:div w:id="250504078">
      <w:marLeft w:val="0"/>
      <w:marRight w:val="0"/>
      <w:marTop w:val="0"/>
      <w:marBottom w:val="0"/>
      <w:divBdr>
        <w:top w:val="none" w:sz="0" w:space="0" w:color="auto"/>
        <w:left w:val="none" w:sz="0" w:space="0" w:color="auto"/>
        <w:bottom w:val="none" w:sz="0" w:space="0" w:color="auto"/>
        <w:right w:val="none" w:sz="0" w:space="0" w:color="auto"/>
      </w:divBdr>
    </w:div>
    <w:div w:id="253243971">
      <w:marLeft w:val="0"/>
      <w:marRight w:val="0"/>
      <w:marTop w:val="0"/>
      <w:marBottom w:val="120"/>
      <w:divBdr>
        <w:top w:val="none" w:sz="0" w:space="0" w:color="auto"/>
        <w:left w:val="none" w:sz="0" w:space="0" w:color="auto"/>
        <w:bottom w:val="none" w:sz="0" w:space="0" w:color="auto"/>
        <w:right w:val="none" w:sz="0" w:space="0" w:color="auto"/>
      </w:divBdr>
    </w:div>
    <w:div w:id="259068949">
      <w:marLeft w:val="0"/>
      <w:marRight w:val="0"/>
      <w:marTop w:val="0"/>
      <w:marBottom w:val="120"/>
      <w:divBdr>
        <w:top w:val="none" w:sz="0" w:space="0" w:color="auto"/>
        <w:left w:val="none" w:sz="0" w:space="0" w:color="auto"/>
        <w:bottom w:val="none" w:sz="0" w:space="0" w:color="auto"/>
        <w:right w:val="none" w:sz="0" w:space="0" w:color="auto"/>
      </w:divBdr>
    </w:div>
    <w:div w:id="262543507">
      <w:marLeft w:val="0"/>
      <w:marRight w:val="0"/>
      <w:marTop w:val="0"/>
      <w:marBottom w:val="120"/>
      <w:divBdr>
        <w:top w:val="none" w:sz="0" w:space="0" w:color="auto"/>
        <w:left w:val="none" w:sz="0" w:space="0" w:color="auto"/>
        <w:bottom w:val="none" w:sz="0" w:space="0" w:color="auto"/>
        <w:right w:val="none" w:sz="0" w:space="0" w:color="auto"/>
      </w:divBdr>
    </w:div>
    <w:div w:id="263848908">
      <w:marLeft w:val="0"/>
      <w:marRight w:val="0"/>
      <w:marTop w:val="0"/>
      <w:marBottom w:val="120"/>
      <w:divBdr>
        <w:top w:val="none" w:sz="0" w:space="0" w:color="auto"/>
        <w:left w:val="none" w:sz="0" w:space="0" w:color="auto"/>
        <w:bottom w:val="none" w:sz="0" w:space="0" w:color="auto"/>
        <w:right w:val="none" w:sz="0" w:space="0" w:color="auto"/>
      </w:divBdr>
    </w:div>
    <w:div w:id="269703224">
      <w:marLeft w:val="0"/>
      <w:marRight w:val="0"/>
      <w:marTop w:val="0"/>
      <w:marBottom w:val="0"/>
      <w:divBdr>
        <w:top w:val="none" w:sz="0" w:space="0" w:color="auto"/>
        <w:left w:val="none" w:sz="0" w:space="0" w:color="auto"/>
        <w:bottom w:val="none" w:sz="0" w:space="0" w:color="auto"/>
        <w:right w:val="none" w:sz="0" w:space="0" w:color="auto"/>
      </w:divBdr>
      <w:divsChild>
        <w:div w:id="258368546">
          <w:marLeft w:val="0"/>
          <w:marRight w:val="0"/>
          <w:marTop w:val="0"/>
          <w:marBottom w:val="120"/>
          <w:divBdr>
            <w:top w:val="none" w:sz="0" w:space="0" w:color="auto"/>
            <w:left w:val="none" w:sz="0" w:space="0" w:color="auto"/>
            <w:bottom w:val="none" w:sz="0" w:space="0" w:color="auto"/>
            <w:right w:val="none" w:sz="0" w:space="0" w:color="auto"/>
          </w:divBdr>
        </w:div>
      </w:divsChild>
    </w:div>
    <w:div w:id="273757610">
      <w:marLeft w:val="0"/>
      <w:marRight w:val="0"/>
      <w:marTop w:val="0"/>
      <w:marBottom w:val="0"/>
      <w:divBdr>
        <w:top w:val="none" w:sz="0" w:space="0" w:color="auto"/>
        <w:left w:val="none" w:sz="0" w:space="0" w:color="auto"/>
        <w:bottom w:val="none" w:sz="0" w:space="0" w:color="auto"/>
        <w:right w:val="none" w:sz="0" w:space="0" w:color="auto"/>
      </w:divBdr>
      <w:divsChild>
        <w:div w:id="822236206">
          <w:marLeft w:val="0"/>
          <w:marRight w:val="0"/>
          <w:marTop w:val="0"/>
          <w:marBottom w:val="0"/>
          <w:divBdr>
            <w:top w:val="none" w:sz="0" w:space="0" w:color="auto"/>
            <w:left w:val="none" w:sz="0" w:space="0" w:color="auto"/>
            <w:bottom w:val="none" w:sz="0" w:space="0" w:color="auto"/>
            <w:right w:val="none" w:sz="0" w:space="0" w:color="auto"/>
          </w:divBdr>
        </w:div>
      </w:divsChild>
    </w:div>
    <w:div w:id="274678766">
      <w:marLeft w:val="0"/>
      <w:marRight w:val="0"/>
      <w:marTop w:val="0"/>
      <w:marBottom w:val="120"/>
      <w:divBdr>
        <w:top w:val="none" w:sz="0" w:space="0" w:color="auto"/>
        <w:left w:val="none" w:sz="0" w:space="0" w:color="auto"/>
        <w:bottom w:val="none" w:sz="0" w:space="0" w:color="auto"/>
        <w:right w:val="none" w:sz="0" w:space="0" w:color="auto"/>
      </w:divBdr>
    </w:div>
    <w:div w:id="276378473">
      <w:marLeft w:val="0"/>
      <w:marRight w:val="0"/>
      <w:marTop w:val="120"/>
      <w:marBottom w:val="120"/>
      <w:divBdr>
        <w:top w:val="none" w:sz="0" w:space="0" w:color="auto"/>
        <w:left w:val="none" w:sz="0" w:space="0" w:color="auto"/>
        <w:bottom w:val="none" w:sz="0" w:space="0" w:color="auto"/>
        <w:right w:val="none" w:sz="0" w:space="0" w:color="auto"/>
      </w:divBdr>
    </w:div>
    <w:div w:id="282349418">
      <w:marLeft w:val="0"/>
      <w:marRight w:val="0"/>
      <w:marTop w:val="0"/>
      <w:marBottom w:val="120"/>
      <w:divBdr>
        <w:top w:val="none" w:sz="0" w:space="0" w:color="auto"/>
        <w:left w:val="none" w:sz="0" w:space="0" w:color="auto"/>
        <w:bottom w:val="none" w:sz="0" w:space="0" w:color="auto"/>
        <w:right w:val="none" w:sz="0" w:space="0" w:color="auto"/>
      </w:divBdr>
    </w:div>
    <w:div w:id="284314416">
      <w:marLeft w:val="0"/>
      <w:marRight w:val="0"/>
      <w:marTop w:val="0"/>
      <w:marBottom w:val="120"/>
      <w:divBdr>
        <w:top w:val="none" w:sz="0" w:space="0" w:color="auto"/>
        <w:left w:val="none" w:sz="0" w:space="0" w:color="auto"/>
        <w:bottom w:val="none" w:sz="0" w:space="0" w:color="auto"/>
        <w:right w:val="none" w:sz="0" w:space="0" w:color="auto"/>
      </w:divBdr>
    </w:div>
    <w:div w:id="294337370">
      <w:marLeft w:val="0"/>
      <w:marRight w:val="0"/>
      <w:marTop w:val="0"/>
      <w:marBottom w:val="0"/>
      <w:divBdr>
        <w:top w:val="none" w:sz="0" w:space="0" w:color="auto"/>
        <w:left w:val="none" w:sz="0" w:space="0" w:color="auto"/>
        <w:bottom w:val="none" w:sz="0" w:space="0" w:color="auto"/>
        <w:right w:val="none" w:sz="0" w:space="0" w:color="auto"/>
      </w:divBdr>
      <w:divsChild>
        <w:div w:id="1146243438">
          <w:marLeft w:val="0"/>
          <w:marRight w:val="0"/>
          <w:marTop w:val="0"/>
          <w:marBottom w:val="0"/>
          <w:divBdr>
            <w:top w:val="none" w:sz="0" w:space="0" w:color="auto"/>
            <w:left w:val="none" w:sz="0" w:space="0" w:color="auto"/>
            <w:bottom w:val="none" w:sz="0" w:space="0" w:color="auto"/>
            <w:right w:val="none" w:sz="0" w:space="0" w:color="auto"/>
          </w:divBdr>
        </w:div>
      </w:divsChild>
    </w:div>
    <w:div w:id="297802635">
      <w:marLeft w:val="0"/>
      <w:marRight w:val="0"/>
      <w:marTop w:val="0"/>
      <w:marBottom w:val="120"/>
      <w:divBdr>
        <w:top w:val="none" w:sz="0" w:space="0" w:color="auto"/>
        <w:left w:val="none" w:sz="0" w:space="0" w:color="auto"/>
        <w:bottom w:val="none" w:sz="0" w:space="0" w:color="auto"/>
        <w:right w:val="none" w:sz="0" w:space="0" w:color="auto"/>
      </w:divBdr>
    </w:div>
    <w:div w:id="298727288">
      <w:marLeft w:val="0"/>
      <w:marRight w:val="0"/>
      <w:marTop w:val="0"/>
      <w:marBottom w:val="0"/>
      <w:divBdr>
        <w:top w:val="none" w:sz="0" w:space="0" w:color="auto"/>
        <w:left w:val="none" w:sz="0" w:space="0" w:color="auto"/>
        <w:bottom w:val="none" w:sz="0" w:space="0" w:color="auto"/>
        <w:right w:val="none" w:sz="0" w:space="0" w:color="auto"/>
      </w:divBdr>
      <w:divsChild>
        <w:div w:id="1778599855">
          <w:marLeft w:val="0"/>
          <w:marRight w:val="0"/>
          <w:marTop w:val="0"/>
          <w:marBottom w:val="0"/>
          <w:divBdr>
            <w:top w:val="none" w:sz="0" w:space="0" w:color="auto"/>
            <w:left w:val="none" w:sz="0" w:space="0" w:color="auto"/>
            <w:bottom w:val="none" w:sz="0" w:space="0" w:color="auto"/>
            <w:right w:val="none" w:sz="0" w:space="0" w:color="auto"/>
          </w:divBdr>
        </w:div>
      </w:divsChild>
    </w:div>
    <w:div w:id="302270632">
      <w:marLeft w:val="0"/>
      <w:marRight w:val="0"/>
      <w:marTop w:val="0"/>
      <w:marBottom w:val="120"/>
      <w:divBdr>
        <w:top w:val="none" w:sz="0" w:space="0" w:color="auto"/>
        <w:left w:val="none" w:sz="0" w:space="0" w:color="auto"/>
        <w:bottom w:val="none" w:sz="0" w:space="0" w:color="auto"/>
        <w:right w:val="none" w:sz="0" w:space="0" w:color="auto"/>
      </w:divBdr>
    </w:div>
    <w:div w:id="307829418">
      <w:marLeft w:val="0"/>
      <w:marRight w:val="0"/>
      <w:marTop w:val="0"/>
      <w:marBottom w:val="120"/>
      <w:divBdr>
        <w:top w:val="none" w:sz="0" w:space="0" w:color="auto"/>
        <w:left w:val="none" w:sz="0" w:space="0" w:color="auto"/>
        <w:bottom w:val="none" w:sz="0" w:space="0" w:color="auto"/>
        <w:right w:val="none" w:sz="0" w:space="0" w:color="auto"/>
      </w:divBdr>
    </w:div>
    <w:div w:id="310015983">
      <w:marLeft w:val="0"/>
      <w:marRight w:val="0"/>
      <w:marTop w:val="0"/>
      <w:marBottom w:val="120"/>
      <w:divBdr>
        <w:top w:val="none" w:sz="0" w:space="0" w:color="auto"/>
        <w:left w:val="none" w:sz="0" w:space="0" w:color="auto"/>
        <w:bottom w:val="none" w:sz="0" w:space="0" w:color="auto"/>
        <w:right w:val="none" w:sz="0" w:space="0" w:color="auto"/>
      </w:divBdr>
    </w:div>
    <w:div w:id="312876048">
      <w:marLeft w:val="0"/>
      <w:marRight w:val="0"/>
      <w:marTop w:val="0"/>
      <w:marBottom w:val="100"/>
      <w:divBdr>
        <w:top w:val="none" w:sz="0" w:space="0" w:color="auto"/>
        <w:left w:val="none" w:sz="0" w:space="0" w:color="auto"/>
        <w:bottom w:val="none" w:sz="0" w:space="0" w:color="auto"/>
        <w:right w:val="none" w:sz="0" w:space="0" w:color="auto"/>
      </w:divBdr>
    </w:div>
    <w:div w:id="315456261">
      <w:marLeft w:val="0"/>
      <w:marRight w:val="0"/>
      <w:marTop w:val="0"/>
      <w:marBottom w:val="120"/>
      <w:divBdr>
        <w:top w:val="none" w:sz="0" w:space="0" w:color="auto"/>
        <w:left w:val="none" w:sz="0" w:space="0" w:color="auto"/>
        <w:bottom w:val="none" w:sz="0" w:space="0" w:color="auto"/>
        <w:right w:val="none" w:sz="0" w:space="0" w:color="auto"/>
      </w:divBdr>
    </w:div>
    <w:div w:id="324239347">
      <w:marLeft w:val="0"/>
      <w:marRight w:val="0"/>
      <w:marTop w:val="0"/>
      <w:marBottom w:val="120"/>
      <w:divBdr>
        <w:top w:val="none" w:sz="0" w:space="0" w:color="auto"/>
        <w:left w:val="none" w:sz="0" w:space="0" w:color="auto"/>
        <w:bottom w:val="none" w:sz="0" w:space="0" w:color="auto"/>
        <w:right w:val="none" w:sz="0" w:space="0" w:color="auto"/>
      </w:divBdr>
    </w:div>
    <w:div w:id="325520400">
      <w:marLeft w:val="0"/>
      <w:marRight w:val="0"/>
      <w:marTop w:val="0"/>
      <w:marBottom w:val="120"/>
      <w:divBdr>
        <w:top w:val="none" w:sz="0" w:space="0" w:color="auto"/>
        <w:left w:val="none" w:sz="0" w:space="0" w:color="auto"/>
        <w:bottom w:val="none" w:sz="0" w:space="0" w:color="auto"/>
        <w:right w:val="none" w:sz="0" w:space="0" w:color="auto"/>
      </w:divBdr>
    </w:div>
    <w:div w:id="325937499">
      <w:marLeft w:val="0"/>
      <w:marRight w:val="0"/>
      <w:marTop w:val="0"/>
      <w:marBottom w:val="0"/>
      <w:divBdr>
        <w:top w:val="none" w:sz="0" w:space="0" w:color="auto"/>
        <w:left w:val="none" w:sz="0" w:space="0" w:color="auto"/>
        <w:bottom w:val="none" w:sz="0" w:space="0" w:color="auto"/>
        <w:right w:val="none" w:sz="0" w:space="0" w:color="auto"/>
      </w:divBdr>
      <w:divsChild>
        <w:div w:id="1289967683">
          <w:marLeft w:val="0"/>
          <w:marRight w:val="0"/>
          <w:marTop w:val="0"/>
          <w:marBottom w:val="0"/>
          <w:divBdr>
            <w:top w:val="none" w:sz="0" w:space="0" w:color="auto"/>
            <w:left w:val="none" w:sz="0" w:space="0" w:color="auto"/>
            <w:bottom w:val="none" w:sz="0" w:space="0" w:color="auto"/>
            <w:right w:val="none" w:sz="0" w:space="0" w:color="auto"/>
          </w:divBdr>
        </w:div>
      </w:divsChild>
    </w:div>
    <w:div w:id="329187597">
      <w:marLeft w:val="0"/>
      <w:marRight w:val="0"/>
      <w:marTop w:val="100"/>
      <w:marBottom w:val="0"/>
      <w:divBdr>
        <w:top w:val="none" w:sz="0" w:space="0" w:color="auto"/>
        <w:left w:val="none" w:sz="0" w:space="0" w:color="auto"/>
        <w:bottom w:val="none" w:sz="0" w:space="0" w:color="auto"/>
        <w:right w:val="none" w:sz="0" w:space="0" w:color="auto"/>
      </w:divBdr>
    </w:div>
    <w:div w:id="333192881">
      <w:marLeft w:val="0"/>
      <w:marRight w:val="0"/>
      <w:marTop w:val="0"/>
      <w:marBottom w:val="0"/>
      <w:divBdr>
        <w:top w:val="none" w:sz="0" w:space="0" w:color="auto"/>
        <w:left w:val="none" w:sz="0" w:space="0" w:color="auto"/>
        <w:bottom w:val="none" w:sz="0" w:space="0" w:color="auto"/>
        <w:right w:val="none" w:sz="0" w:space="0" w:color="auto"/>
      </w:divBdr>
      <w:divsChild>
        <w:div w:id="171996549">
          <w:marLeft w:val="0"/>
          <w:marRight w:val="0"/>
          <w:marTop w:val="0"/>
          <w:marBottom w:val="0"/>
          <w:divBdr>
            <w:top w:val="none" w:sz="0" w:space="0" w:color="auto"/>
            <w:left w:val="none" w:sz="0" w:space="0" w:color="auto"/>
            <w:bottom w:val="none" w:sz="0" w:space="0" w:color="auto"/>
            <w:right w:val="none" w:sz="0" w:space="0" w:color="auto"/>
          </w:divBdr>
        </w:div>
        <w:div w:id="640161656">
          <w:marLeft w:val="0"/>
          <w:marRight w:val="0"/>
          <w:marTop w:val="0"/>
          <w:marBottom w:val="120"/>
          <w:divBdr>
            <w:top w:val="none" w:sz="0" w:space="0" w:color="auto"/>
            <w:left w:val="none" w:sz="0" w:space="0" w:color="auto"/>
            <w:bottom w:val="none" w:sz="0" w:space="0" w:color="auto"/>
            <w:right w:val="none" w:sz="0" w:space="0" w:color="auto"/>
          </w:divBdr>
        </w:div>
        <w:div w:id="1972704505">
          <w:marLeft w:val="0"/>
          <w:marRight w:val="0"/>
          <w:marTop w:val="0"/>
          <w:marBottom w:val="120"/>
          <w:divBdr>
            <w:top w:val="none" w:sz="0" w:space="0" w:color="auto"/>
            <w:left w:val="none" w:sz="0" w:space="0" w:color="auto"/>
            <w:bottom w:val="none" w:sz="0" w:space="0" w:color="auto"/>
            <w:right w:val="none" w:sz="0" w:space="0" w:color="auto"/>
          </w:divBdr>
        </w:div>
      </w:divsChild>
    </w:div>
    <w:div w:id="333650785">
      <w:marLeft w:val="0"/>
      <w:marRight w:val="0"/>
      <w:marTop w:val="0"/>
      <w:marBottom w:val="120"/>
      <w:divBdr>
        <w:top w:val="none" w:sz="0" w:space="0" w:color="auto"/>
        <w:left w:val="none" w:sz="0" w:space="0" w:color="auto"/>
        <w:bottom w:val="none" w:sz="0" w:space="0" w:color="auto"/>
        <w:right w:val="none" w:sz="0" w:space="0" w:color="auto"/>
      </w:divBdr>
    </w:div>
    <w:div w:id="337125044">
      <w:marLeft w:val="0"/>
      <w:marRight w:val="0"/>
      <w:marTop w:val="0"/>
      <w:marBottom w:val="120"/>
      <w:divBdr>
        <w:top w:val="none" w:sz="0" w:space="0" w:color="auto"/>
        <w:left w:val="none" w:sz="0" w:space="0" w:color="auto"/>
        <w:bottom w:val="none" w:sz="0" w:space="0" w:color="auto"/>
        <w:right w:val="none" w:sz="0" w:space="0" w:color="auto"/>
      </w:divBdr>
    </w:div>
    <w:div w:id="339939547">
      <w:marLeft w:val="0"/>
      <w:marRight w:val="0"/>
      <w:marTop w:val="0"/>
      <w:marBottom w:val="0"/>
      <w:divBdr>
        <w:top w:val="none" w:sz="0" w:space="0" w:color="auto"/>
        <w:left w:val="none" w:sz="0" w:space="0" w:color="auto"/>
        <w:bottom w:val="none" w:sz="0" w:space="0" w:color="auto"/>
        <w:right w:val="none" w:sz="0" w:space="0" w:color="auto"/>
      </w:divBdr>
      <w:divsChild>
        <w:div w:id="1611206364">
          <w:marLeft w:val="0"/>
          <w:marRight w:val="0"/>
          <w:marTop w:val="0"/>
          <w:marBottom w:val="0"/>
          <w:divBdr>
            <w:top w:val="none" w:sz="0" w:space="0" w:color="auto"/>
            <w:left w:val="none" w:sz="0" w:space="0" w:color="auto"/>
            <w:bottom w:val="none" w:sz="0" w:space="0" w:color="auto"/>
            <w:right w:val="none" w:sz="0" w:space="0" w:color="auto"/>
          </w:divBdr>
        </w:div>
      </w:divsChild>
    </w:div>
    <w:div w:id="340202699">
      <w:marLeft w:val="0"/>
      <w:marRight w:val="0"/>
      <w:marTop w:val="0"/>
      <w:marBottom w:val="0"/>
      <w:divBdr>
        <w:top w:val="none" w:sz="0" w:space="0" w:color="auto"/>
        <w:left w:val="none" w:sz="0" w:space="0" w:color="auto"/>
        <w:bottom w:val="none" w:sz="0" w:space="0" w:color="auto"/>
        <w:right w:val="none" w:sz="0" w:space="0" w:color="auto"/>
      </w:divBdr>
      <w:divsChild>
        <w:div w:id="595603670">
          <w:marLeft w:val="0"/>
          <w:marRight w:val="0"/>
          <w:marTop w:val="0"/>
          <w:marBottom w:val="0"/>
          <w:divBdr>
            <w:top w:val="none" w:sz="0" w:space="0" w:color="auto"/>
            <w:left w:val="none" w:sz="0" w:space="0" w:color="auto"/>
            <w:bottom w:val="none" w:sz="0" w:space="0" w:color="auto"/>
            <w:right w:val="none" w:sz="0" w:space="0" w:color="auto"/>
          </w:divBdr>
        </w:div>
      </w:divsChild>
    </w:div>
    <w:div w:id="341779794">
      <w:marLeft w:val="0"/>
      <w:marRight w:val="0"/>
      <w:marTop w:val="0"/>
      <w:marBottom w:val="120"/>
      <w:divBdr>
        <w:top w:val="none" w:sz="0" w:space="0" w:color="auto"/>
        <w:left w:val="none" w:sz="0" w:space="0" w:color="auto"/>
        <w:bottom w:val="none" w:sz="0" w:space="0" w:color="auto"/>
        <w:right w:val="none" w:sz="0" w:space="0" w:color="auto"/>
      </w:divBdr>
    </w:div>
    <w:div w:id="345207516">
      <w:marLeft w:val="0"/>
      <w:marRight w:val="0"/>
      <w:marTop w:val="0"/>
      <w:marBottom w:val="120"/>
      <w:divBdr>
        <w:top w:val="none" w:sz="0" w:space="0" w:color="auto"/>
        <w:left w:val="none" w:sz="0" w:space="0" w:color="auto"/>
        <w:bottom w:val="none" w:sz="0" w:space="0" w:color="auto"/>
        <w:right w:val="none" w:sz="0" w:space="0" w:color="auto"/>
      </w:divBdr>
    </w:div>
    <w:div w:id="346098856">
      <w:marLeft w:val="0"/>
      <w:marRight w:val="0"/>
      <w:marTop w:val="0"/>
      <w:marBottom w:val="0"/>
      <w:divBdr>
        <w:top w:val="none" w:sz="0" w:space="0" w:color="auto"/>
        <w:left w:val="none" w:sz="0" w:space="0" w:color="auto"/>
        <w:bottom w:val="none" w:sz="0" w:space="0" w:color="auto"/>
        <w:right w:val="none" w:sz="0" w:space="0" w:color="auto"/>
      </w:divBdr>
      <w:divsChild>
        <w:div w:id="1104957569">
          <w:marLeft w:val="0"/>
          <w:marRight w:val="0"/>
          <w:marTop w:val="0"/>
          <w:marBottom w:val="0"/>
          <w:divBdr>
            <w:top w:val="none" w:sz="0" w:space="0" w:color="auto"/>
            <w:left w:val="none" w:sz="0" w:space="0" w:color="auto"/>
            <w:bottom w:val="none" w:sz="0" w:space="0" w:color="auto"/>
            <w:right w:val="none" w:sz="0" w:space="0" w:color="auto"/>
          </w:divBdr>
        </w:div>
      </w:divsChild>
    </w:div>
    <w:div w:id="349063275">
      <w:marLeft w:val="0"/>
      <w:marRight w:val="0"/>
      <w:marTop w:val="0"/>
      <w:marBottom w:val="120"/>
      <w:divBdr>
        <w:top w:val="none" w:sz="0" w:space="0" w:color="auto"/>
        <w:left w:val="none" w:sz="0" w:space="0" w:color="auto"/>
        <w:bottom w:val="none" w:sz="0" w:space="0" w:color="auto"/>
        <w:right w:val="none" w:sz="0" w:space="0" w:color="auto"/>
      </w:divBdr>
    </w:div>
    <w:div w:id="349718682">
      <w:marLeft w:val="0"/>
      <w:marRight w:val="0"/>
      <w:marTop w:val="0"/>
      <w:marBottom w:val="0"/>
      <w:divBdr>
        <w:top w:val="none" w:sz="0" w:space="0" w:color="auto"/>
        <w:left w:val="none" w:sz="0" w:space="0" w:color="auto"/>
        <w:bottom w:val="none" w:sz="0" w:space="0" w:color="auto"/>
        <w:right w:val="none" w:sz="0" w:space="0" w:color="auto"/>
      </w:divBdr>
      <w:divsChild>
        <w:div w:id="12804457">
          <w:marLeft w:val="0"/>
          <w:marRight w:val="0"/>
          <w:marTop w:val="0"/>
          <w:marBottom w:val="0"/>
          <w:divBdr>
            <w:top w:val="none" w:sz="0" w:space="0" w:color="auto"/>
            <w:left w:val="none" w:sz="0" w:space="0" w:color="auto"/>
            <w:bottom w:val="none" w:sz="0" w:space="0" w:color="auto"/>
            <w:right w:val="none" w:sz="0" w:space="0" w:color="auto"/>
          </w:divBdr>
        </w:div>
      </w:divsChild>
    </w:div>
    <w:div w:id="360593402">
      <w:marLeft w:val="0"/>
      <w:marRight w:val="0"/>
      <w:marTop w:val="0"/>
      <w:marBottom w:val="120"/>
      <w:divBdr>
        <w:top w:val="none" w:sz="0" w:space="0" w:color="auto"/>
        <w:left w:val="none" w:sz="0" w:space="0" w:color="auto"/>
        <w:bottom w:val="none" w:sz="0" w:space="0" w:color="auto"/>
        <w:right w:val="none" w:sz="0" w:space="0" w:color="auto"/>
      </w:divBdr>
    </w:div>
    <w:div w:id="364142704">
      <w:marLeft w:val="0"/>
      <w:marRight w:val="0"/>
      <w:marTop w:val="0"/>
      <w:marBottom w:val="240"/>
      <w:divBdr>
        <w:top w:val="none" w:sz="0" w:space="0" w:color="auto"/>
        <w:left w:val="none" w:sz="0" w:space="0" w:color="auto"/>
        <w:bottom w:val="none" w:sz="0" w:space="0" w:color="auto"/>
        <w:right w:val="none" w:sz="0" w:space="0" w:color="auto"/>
      </w:divBdr>
    </w:div>
    <w:div w:id="366954492">
      <w:marLeft w:val="0"/>
      <w:marRight w:val="0"/>
      <w:marTop w:val="0"/>
      <w:marBottom w:val="120"/>
      <w:divBdr>
        <w:top w:val="none" w:sz="0" w:space="0" w:color="auto"/>
        <w:left w:val="none" w:sz="0" w:space="0" w:color="auto"/>
        <w:bottom w:val="none" w:sz="0" w:space="0" w:color="auto"/>
        <w:right w:val="none" w:sz="0" w:space="0" w:color="auto"/>
      </w:divBdr>
    </w:div>
    <w:div w:id="367609854">
      <w:marLeft w:val="0"/>
      <w:marRight w:val="0"/>
      <w:marTop w:val="0"/>
      <w:marBottom w:val="120"/>
      <w:divBdr>
        <w:top w:val="none" w:sz="0" w:space="0" w:color="auto"/>
        <w:left w:val="none" w:sz="0" w:space="0" w:color="auto"/>
        <w:bottom w:val="none" w:sz="0" w:space="0" w:color="auto"/>
        <w:right w:val="none" w:sz="0" w:space="0" w:color="auto"/>
      </w:divBdr>
    </w:div>
    <w:div w:id="367798820">
      <w:marLeft w:val="0"/>
      <w:marRight w:val="0"/>
      <w:marTop w:val="0"/>
      <w:marBottom w:val="0"/>
      <w:divBdr>
        <w:top w:val="none" w:sz="0" w:space="0" w:color="auto"/>
        <w:left w:val="none" w:sz="0" w:space="0" w:color="auto"/>
        <w:bottom w:val="none" w:sz="0" w:space="0" w:color="auto"/>
        <w:right w:val="none" w:sz="0" w:space="0" w:color="auto"/>
      </w:divBdr>
    </w:div>
    <w:div w:id="372655373">
      <w:marLeft w:val="0"/>
      <w:marRight w:val="0"/>
      <w:marTop w:val="0"/>
      <w:marBottom w:val="120"/>
      <w:divBdr>
        <w:top w:val="none" w:sz="0" w:space="0" w:color="auto"/>
        <w:left w:val="none" w:sz="0" w:space="0" w:color="auto"/>
        <w:bottom w:val="none" w:sz="0" w:space="0" w:color="auto"/>
        <w:right w:val="none" w:sz="0" w:space="0" w:color="auto"/>
      </w:divBdr>
    </w:div>
    <w:div w:id="376510133">
      <w:marLeft w:val="0"/>
      <w:marRight w:val="0"/>
      <w:marTop w:val="0"/>
      <w:marBottom w:val="120"/>
      <w:divBdr>
        <w:top w:val="none" w:sz="0" w:space="0" w:color="auto"/>
        <w:left w:val="none" w:sz="0" w:space="0" w:color="auto"/>
        <w:bottom w:val="none" w:sz="0" w:space="0" w:color="auto"/>
        <w:right w:val="none" w:sz="0" w:space="0" w:color="auto"/>
      </w:divBdr>
    </w:div>
    <w:div w:id="382951700">
      <w:marLeft w:val="0"/>
      <w:marRight w:val="0"/>
      <w:marTop w:val="0"/>
      <w:marBottom w:val="120"/>
      <w:divBdr>
        <w:top w:val="none" w:sz="0" w:space="0" w:color="auto"/>
        <w:left w:val="none" w:sz="0" w:space="0" w:color="auto"/>
        <w:bottom w:val="none" w:sz="0" w:space="0" w:color="auto"/>
        <w:right w:val="none" w:sz="0" w:space="0" w:color="auto"/>
      </w:divBdr>
    </w:div>
    <w:div w:id="384565776">
      <w:marLeft w:val="0"/>
      <w:marRight w:val="0"/>
      <w:marTop w:val="0"/>
      <w:marBottom w:val="120"/>
      <w:divBdr>
        <w:top w:val="none" w:sz="0" w:space="0" w:color="auto"/>
        <w:left w:val="none" w:sz="0" w:space="0" w:color="auto"/>
        <w:bottom w:val="none" w:sz="0" w:space="0" w:color="auto"/>
        <w:right w:val="none" w:sz="0" w:space="0" w:color="auto"/>
      </w:divBdr>
    </w:div>
    <w:div w:id="384765324">
      <w:marLeft w:val="0"/>
      <w:marRight w:val="0"/>
      <w:marTop w:val="0"/>
      <w:marBottom w:val="120"/>
      <w:divBdr>
        <w:top w:val="none" w:sz="0" w:space="0" w:color="auto"/>
        <w:left w:val="none" w:sz="0" w:space="0" w:color="auto"/>
        <w:bottom w:val="none" w:sz="0" w:space="0" w:color="auto"/>
        <w:right w:val="none" w:sz="0" w:space="0" w:color="auto"/>
      </w:divBdr>
    </w:div>
    <w:div w:id="388697425">
      <w:marLeft w:val="0"/>
      <w:marRight w:val="0"/>
      <w:marTop w:val="0"/>
      <w:marBottom w:val="120"/>
      <w:divBdr>
        <w:top w:val="none" w:sz="0" w:space="0" w:color="auto"/>
        <w:left w:val="none" w:sz="0" w:space="0" w:color="auto"/>
        <w:bottom w:val="none" w:sz="0" w:space="0" w:color="auto"/>
        <w:right w:val="none" w:sz="0" w:space="0" w:color="auto"/>
      </w:divBdr>
    </w:div>
    <w:div w:id="404650408">
      <w:marLeft w:val="0"/>
      <w:marRight w:val="0"/>
      <w:marTop w:val="0"/>
      <w:marBottom w:val="120"/>
      <w:divBdr>
        <w:top w:val="none" w:sz="0" w:space="0" w:color="auto"/>
        <w:left w:val="none" w:sz="0" w:space="0" w:color="auto"/>
        <w:bottom w:val="none" w:sz="0" w:space="0" w:color="auto"/>
        <w:right w:val="none" w:sz="0" w:space="0" w:color="auto"/>
      </w:divBdr>
    </w:div>
    <w:div w:id="405811645">
      <w:marLeft w:val="0"/>
      <w:marRight w:val="0"/>
      <w:marTop w:val="0"/>
      <w:marBottom w:val="0"/>
      <w:divBdr>
        <w:top w:val="none" w:sz="0" w:space="0" w:color="auto"/>
        <w:left w:val="none" w:sz="0" w:space="0" w:color="auto"/>
        <w:bottom w:val="none" w:sz="0" w:space="0" w:color="auto"/>
        <w:right w:val="none" w:sz="0" w:space="0" w:color="auto"/>
      </w:divBdr>
      <w:divsChild>
        <w:div w:id="74011638">
          <w:marLeft w:val="0"/>
          <w:marRight w:val="0"/>
          <w:marTop w:val="0"/>
          <w:marBottom w:val="0"/>
          <w:divBdr>
            <w:top w:val="none" w:sz="0" w:space="0" w:color="auto"/>
            <w:left w:val="none" w:sz="0" w:space="0" w:color="auto"/>
            <w:bottom w:val="none" w:sz="0" w:space="0" w:color="auto"/>
            <w:right w:val="none" w:sz="0" w:space="0" w:color="auto"/>
          </w:divBdr>
        </w:div>
      </w:divsChild>
    </w:div>
    <w:div w:id="408773174">
      <w:marLeft w:val="0"/>
      <w:marRight w:val="0"/>
      <w:marTop w:val="0"/>
      <w:marBottom w:val="120"/>
      <w:divBdr>
        <w:top w:val="none" w:sz="0" w:space="0" w:color="auto"/>
        <w:left w:val="none" w:sz="0" w:space="0" w:color="auto"/>
        <w:bottom w:val="none" w:sz="0" w:space="0" w:color="auto"/>
        <w:right w:val="none" w:sz="0" w:space="0" w:color="auto"/>
      </w:divBdr>
    </w:div>
    <w:div w:id="410128925">
      <w:marLeft w:val="0"/>
      <w:marRight w:val="0"/>
      <w:marTop w:val="0"/>
      <w:marBottom w:val="120"/>
      <w:divBdr>
        <w:top w:val="none" w:sz="0" w:space="0" w:color="auto"/>
        <w:left w:val="none" w:sz="0" w:space="0" w:color="auto"/>
        <w:bottom w:val="none" w:sz="0" w:space="0" w:color="auto"/>
        <w:right w:val="none" w:sz="0" w:space="0" w:color="auto"/>
      </w:divBdr>
    </w:div>
    <w:div w:id="413286295">
      <w:marLeft w:val="0"/>
      <w:marRight w:val="0"/>
      <w:marTop w:val="0"/>
      <w:marBottom w:val="100"/>
      <w:divBdr>
        <w:top w:val="none" w:sz="0" w:space="0" w:color="auto"/>
        <w:left w:val="none" w:sz="0" w:space="0" w:color="auto"/>
        <w:bottom w:val="none" w:sz="0" w:space="0" w:color="auto"/>
        <w:right w:val="none" w:sz="0" w:space="0" w:color="auto"/>
      </w:divBdr>
    </w:div>
    <w:div w:id="421999956">
      <w:marLeft w:val="0"/>
      <w:marRight w:val="0"/>
      <w:marTop w:val="0"/>
      <w:marBottom w:val="120"/>
      <w:divBdr>
        <w:top w:val="none" w:sz="0" w:space="0" w:color="auto"/>
        <w:left w:val="none" w:sz="0" w:space="0" w:color="auto"/>
        <w:bottom w:val="none" w:sz="0" w:space="0" w:color="auto"/>
        <w:right w:val="none" w:sz="0" w:space="0" w:color="auto"/>
      </w:divBdr>
    </w:div>
    <w:div w:id="427890599">
      <w:marLeft w:val="0"/>
      <w:marRight w:val="0"/>
      <w:marTop w:val="0"/>
      <w:marBottom w:val="120"/>
      <w:divBdr>
        <w:top w:val="none" w:sz="0" w:space="0" w:color="auto"/>
        <w:left w:val="none" w:sz="0" w:space="0" w:color="auto"/>
        <w:bottom w:val="none" w:sz="0" w:space="0" w:color="auto"/>
        <w:right w:val="none" w:sz="0" w:space="0" w:color="auto"/>
      </w:divBdr>
    </w:div>
    <w:div w:id="429205762">
      <w:marLeft w:val="0"/>
      <w:marRight w:val="0"/>
      <w:marTop w:val="100"/>
      <w:marBottom w:val="120"/>
      <w:divBdr>
        <w:top w:val="none" w:sz="0" w:space="0" w:color="auto"/>
        <w:left w:val="none" w:sz="0" w:space="0" w:color="auto"/>
        <w:bottom w:val="none" w:sz="0" w:space="0" w:color="auto"/>
        <w:right w:val="none" w:sz="0" w:space="0" w:color="auto"/>
      </w:divBdr>
      <w:divsChild>
        <w:div w:id="1775981122">
          <w:marLeft w:val="0"/>
          <w:marRight w:val="0"/>
          <w:marTop w:val="0"/>
          <w:marBottom w:val="0"/>
          <w:divBdr>
            <w:top w:val="none" w:sz="0" w:space="0" w:color="auto"/>
            <w:left w:val="none" w:sz="0" w:space="0" w:color="auto"/>
            <w:bottom w:val="none" w:sz="0" w:space="0" w:color="auto"/>
            <w:right w:val="none" w:sz="0" w:space="0" w:color="auto"/>
          </w:divBdr>
        </w:div>
        <w:div w:id="1292205443">
          <w:marLeft w:val="0"/>
          <w:marRight w:val="0"/>
          <w:marTop w:val="0"/>
          <w:marBottom w:val="0"/>
          <w:divBdr>
            <w:top w:val="none" w:sz="0" w:space="0" w:color="auto"/>
            <w:left w:val="none" w:sz="0" w:space="0" w:color="auto"/>
            <w:bottom w:val="none" w:sz="0" w:space="0" w:color="auto"/>
            <w:right w:val="none" w:sz="0" w:space="0" w:color="auto"/>
          </w:divBdr>
        </w:div>
        <w:div w:id="1128280661">
          <w:marLeft w:val="0"/>
          <w:marRight w:val="0"/>
          <w:marTop w:val="0"/>
          <w:marBottom w:val="0"/>
          <w:divBdr>
            <w:top w:val="none" w:sz="0" w:space="0" w:color="auto"/>
            <w:left w:val="none" w:sz="0" w:space="0" w:color="auto"/>
            <w:bottom w:val="none" w:sz="0" w:space="0" w:color="auto"/>
            <w:right w:val="none" w:sz="0" w:space="0" w:color="auto"/>
          </w:divBdr>
        </w:div>
        <w:div w:id="1840458317">
          <w:marLeft w:val="0"/>
          <w:marRight w:val="0"/>
          <w:marTop w:val="0"/>
          <w:marBottom w:val="0"/>
          <w:divBdr>
            <w:top w:val="none" w:sz="0" w:space="0" w:color="auto"/>
            <w:left w:val="none" w:sz="0" w:space="0" w:color="auto"/>
            <w:bottom w:val="none" w:sz="0" w:space="0" w:color="auto"/>
            <w:right w:val="none" w:sz="0" w:space="0" w:color="auto"/>
          </w:divBdr>
        </w:div>
      </w:divsChild>
    </w:div>
    <w:div w:id="429349923">
      <w:marLeft w:val="0"/>
      <w:marRight w:val="0"/>
      <w:marTop w:val="0"/>
      <w:marBottom w:val="120"/>
      <w:divBdr>
        <w:top w:val="none" w:sz="0" w:space="0" w:color="auto"/>
        <w:left w:val="none" w:sz="0" w:space="0" w:color="auto"/>
        <w:bottom w:val="none" w:sz="0" w:space="0" w:color="auto"/>
        <w:right w:val="none" w:sz="0" w:space="0" w:color="auto"/>
      </w:divBdr>
    </w:div>
    <w:div w:id="431899416">
      <w:marLeft w:val="0"/>
      <w:marRight w:val="0"/>
      <w:marTop w:val="0"/>
      <w:marBottom w:val="120"/>
      <w:divBdr>
        <w:top w:val="none" w:sz="0" w:space="0" w:color="auto"/>
        <w:left w:val="none" w:sz="0" w:space="0" w:color="auto"/>
        <w:bottom w:val="none" w:sz="0" w:space="0" w:color="auto"/>
        <w:right w:val="none" w:sz="0" w:space="0" w:color="auto"/>
      </w:divBdr>
    </w:div>
    <w:div w:id="432483071">
      <w:marLeft w:val="0"/>
      <w:marRight w:val="0"/>
      <w:marTop w:val="0"/>
      <w:marBottom w:val="0"/>
      <w:divBdr>
        <w:top w:val="none" w:sz="0" w:space="0" w:color="auto"/>
        <w:left w:val="none" w:sz="0" w:space="0" w:color="auto"/>
        <w:bottom w:val="none" w:sz="0" w:space="0" w:color="auto"/>
        <w:right w:val="none" w:sz="0" w:space="0" w:color="auto"/>
      </w:divBdr>
      <w:divsChild>
        <w:div w:id="1440098594">
          <w:marLeft w:val="0"/>
          <w:marRight w:val="0"/>
          <w:marTop w:val="0"/>
          <w:marBottom w:val="0"/>
          <w:divBdr>
            <w:top w:val="none" w:sz="0" w:space="0" w:color="auto"/>
            <w:left w:val="none" w:sz="0" w:space="0" w:color="auto"/>
            <w:bottom w:val="none" w:sz="0" w:space="0" w:color="auto"/>
            <w:right w:val="none" w:sz="0" w:space="0" w:color="auto"/>
          </w:divBdr>
        </w:div>
      </w:divsChild>
    </w:div>
    <w:div w:id="433287570">
      <w:marLeft w:val="0"/>
      <w:marRight w:val="0"/>
      <w:marTop w:val="0"/>
      <w:marBottom w:val="0"/>
      <w:divBdr>
        <w:top w:val="none" w:sz="0" w:space="0" w:color="auto"/>
        <w:left w:val="none" w:sz="0" w:space="0" w:color="auto"/>
        <w:bottom w:val="none" w:sz="0" w:space="0" w:color="auto"/>
        <w:right w:val="none" w:sz="0" w:space="0" w:color="auto"/>
      </w:divBdr>
      <w:divsChild>
        <w:div w:id="827285906">
          <w:marLeft w:val="0"/>
          <w:marRight w:val="0"/>
          <w:marTop w:val="0"/>
          <w:marBottom w:val="0"/>
          <w:divBdr>
            <w:top w:val="none" w:sz="0" w:space="0" w:color="auto"/>
            <w:left w:val="none" w:sz="0" w:space="0" w:color="auto"/>
            <w:bottom w:val="none" w:sz="0" w:space="0" w:color="auto"/>
            <w:right w:val="none" w:sz="0" w:space="0" w:color="auto"/>
          </w:divBdr>
        </w:div>
        <w:div w:id="917448040">
          <w:marLeft w:val="0"/>
          <w:marRight w:val="0"/>
          <w:marTop w:val="0"/>
          <w:marBottom w:val="120"/>
          <w:divBdr>
            <w:top w:val="none" w:sz="0" w:space="0" w:color="auto"/>
            <w:left w:val="none" w:sz="0" w:space="0" w:color="auto"/>
            <w:bottom w:val="none" w:sz="0" w:space="0" w:color="auto"/>
            <w:right w:val="none" w:sz="0" w:space="0" w:color="auto"/>
          </w:divBdr>
        </w:div>
      </w:divsChild>
    </w:div>
    <w:div w:id="433675480">
      <w:marLeft w:val="0"/>
      <w:marRight w:val="0"/>
      <w:marTop w:val="100"/>
      <w:marBottom w:val="120"/>
      <w:divBdr>
        <w:top w:val="none" w:sz="0" w:space="0" w:color="auto"/>
        <w:left w:val="none" w:sz="0" w:space="0" w:color="auto"/>
        <w:bottom w:val="none" w:sz="0" w:space="0" w:color="auto"/>
        <w:right w:val="none" w:sz="0" w:space="0" w:color="auto"/>
      </w:divBdr>
    </w:div>
    <w:div w:id="439107251">
      <w:marLeft w:val="0"/>
      <w:marRight w:val="0"/>
      <w:marTop w:val="0"/>
      <w:marBottom w:val="120"/>
      <w:divBdr>
        <w:top w:val="none" w:sz="0" w:space="0" w:color="auto"/>
        <w:left w:val="none" w:sz="0" w:space="0" w:color="auto"/>
        <w:bottom w:val="none" w:sz="0" w:space="0" w:color="auto"/>
        <w:right w:val="none" w:sz="0" w:space="0" w:color="auto"/>
      </w:divBdr>
    </w:div>
    <w:div w:id="441220766">
      <w:marLeft w:val="0"/>
      <w:marRight w:val="0"/>
      <w:marTop w:val="100"/>
      <w:marBottom w:val="220"/>
      <w:divBdr>
        <w:top w:val="none" w:sz="0" w:space="0" w:color="auto"/>
        <w:left w:val="none" w:sz="0" w:space="0" w:color="auto"/>
        <w:bottom w:val="none" w:sz="0" w:space="0" w:color="auto"/>
        <w:right w:val="none" w:sz="0" w:space="0" w:color="auto"/>
      </w:divBdr>
      <w:divsChild>
        <w:div w:id="1951938524">
          <w:marLeft w:val="0"/>
          <w:marRight w:val="0"/>
          <w:marTop w:val="0"/>
          <w:marBottom w:val="0"/>
          <w:divBdr>
            <w:top w:val="none" w:sz="0" w:space="0" w:color="auto"/>
            <w:left w:val="none" w:sz="0" w:space="0" w:color="auto"/>
            <w:bottom w:val="none" w:sz="0" w:space="0" w:color="auto"/>
            <w:right w:val="none" w:sz="0" w:space="0" w:color="auto"/>
          </w:divBdr>
        </w:div>
        <w:div w:id="268123886">
          <w:marLeft w:val="0"/>
          <w:marRight w:val="0"/>
          <w:marTop w:val="0"/>
          <w:marBottom w:val="0"/>
          <w:divBdr>
            <w:top w:val="none" w:sz="0" w:space="0" w:color="auto"/>
            <w:left w:val="none" w:sz="0" w:space="0" w:color="auto"/>
            <w:bottom w:val="none" w:sz="0" w:space="0" w:color="auto"/>
            <w:right w:val="none" w:sz="0" w:space="0" w:color="auto"/>
          </w:divBdr>
        </w:div>
        <w:div w:id="1308781098">
          <w:marLeft w:val="0"/>
          <w:marRight w:val="0"/>
          <w:marTop w:val="0"/>
          <w:marBottom w:val="0"/>
          <w:divBdr>
            <w:top w:val="none" w:sz="0" w:space="0" w:color="auto"/>
            <w:left w:val="none" w:sz="0" w:space="0" w:color="auto"/>
            <w:bottom w:val="none" w:sz="0" w:space="0" w:color="auto"/>
            <w:right w:val="none" w:sz="0" w:space="0" w:color="auto"/>
          </w:divBdr>
        </w:div>
        <w:div w:id="1720932844">
          <w:marLeft w:val="0"/>
          <w:marRight w:val="0"/>
          <w:marTop w:val="0"/>
          <w:marBottom w:val="0"/>
          <w:divBdr>
            <w:top w:val="none" w:sz="0" w:space="0" w:color="auto"/>
            <w:left w:val="none" w:sz="0" w:space="0" w:color="auto"/>
            <w:bottom w:val="none" w:sz="0" w:space="0" w:color="auto"/>
            <w:right w:val="none" w:sz="0" w:space="0" w:color="auto"/>
          </w:divBdr>
        </w:div>
        <w:div w:id="1362317258">
          <w:marLeft w:val="0"/>
          <w:marRight w:val="0"/>
          <w:marTop w:val="0"/>
          <w:marBottom w:val="0"/>
          <w:divBdr>
            <w:top w:val="none" w:sz="0" w:space="0" w:color="auto"/>
            <w:left w:val="none" w:sz="0" w:space="0" w:color="auto"/>
            <w:bottom w:val="none" w:sz="0" w:space="0" w:color="auto"/>
            <w:right w:val="none" w:sz="0" w:space="0" w:color="auto"/>
          </w:divBdr>
        </w:div>
        <w:div w:id="492600720">
          <w:marLeft w:val="0"/>
          <w:marRight w:val="0"/>
          <w:marTop w:val="0"/>
          <w:marBottom w:val="0"/>
          <w:divBdr>
            <w:top w:val="none" w:sz="0" w:space="0" w:color="auto"/>
            <w:left w:val="none" w:sz="0" w:space="0" w:color="auto"/>
            <w:bottom w:val="none" w:sz="0" w:space="0" w:color="auto"/>
            <w:right w:val="none" w:sz="0" w:space="0" w:color="auto"/>
          </w:divBdr>
        </w:div>
        <w:div w:id="817234380">
          <w:marLeft w:val="0"/>
          <w:marRight w:val="0"/>
          <w:marTop w:val="0"/>
          <w:marBottom w:val="0"/>
          <w:divBdr>
            <w:top w:val="none" w:sz="0" w:space="0" w:color="auto"/>
            <w:left w:val="none" w:sz="0" w:space="0" w:color="auto"/>
            <w:bottom w:val="none" w:sz="0" w:space="0" w:color="auto"/>
            <w:right w:val="none" w:sz="0" w:space="0" w:color="auto"/>
          </w:divBdr>
        </w:div>
        <w:div w:id="2026052370">
          <w:marLeft w:val="0"/>
          <w:marRight w:val="0"/>
          <w:marTop w:val="0"/>
          <w:marBottom w:val="0"/>
          <w:divBdr>
            <w:top w:val="none" w:sz="0" w:space="0" w:color="auto"/>
            <w:left w:val="none" w:sz="0" w:space="0" w:color="auto"/>
            <w:bottom w:val="none" w:sz="0" w:space="0" w:color="auto"/>
            <w:right w:val="none" w:sz="0" w:space="0" w:color="auto"/>
          </w:divBdr>
        </w:div>
        <w:div w:id="124663907">
          <w:marLeft w:val="0"/>
          <w:marRight w:val="0"/>
          <w:marTop w:val="0"/>
          <w:marBottom w:val="0"/>
          <w:divBdr>
            <w:top w:val="none" w:sz="0" w:space="0" w:color="auto"/>
            <w:left w:val="none" w:sz="0" w:space="0" w:color="auto"/>
            <w:bottom w:val="none" w:sz="0" w:space="0" w:color="auto"/>
            <w:right w:val="none" w:sz="0" w:space="0" w:color="auto"/>
          </w:divBdr>
        </w:div>
        <w:div w:id="1271819545">
          <w:marLeft w:val="0"/>
          <w:marRight w:val="0"/>
          <w:marTop w:val="0"/>
          <w:marBottom w:val="0"/>
          <w:divBdr>
            <w:top w:val="none" w:sz="0" w:space="0" w:color="auto"/>
            <w:left w:val="none" w:sz="0" w:space="0" w:color="auto"/>
            <w:bottom w:val="none" w:sz="0" w:space="0" w:color="auto"/>
            <w:right w:val="none" w:sz="0" w:space="0" w:color="auto"/>
          </w:divBdr>
        </w:div>
        <w:div w:id="43602315">
          <w:marLeft w:val="0"/>
          <w:marRight w:val="0"/>
          <w:marTop w:val="0"/>
          <w:marBottom w:val="0"/>
          <w:divBdr>
            <w:top w:val="none" w:sz="0" w:space="0" w:color="auto"/>
            <w:left w:val="none" w:sz="0" w:space="0" w:color="auto"/>
            <w:bottom w:val="none" w:sz="0" w:space="0" w:color="auto"/>
            <w:right w:val="none" w:sz="0" w:space="0" w:color="auto"/>
          </w:divBdr>
        </w:div>
        <w:div w:id="1537738787">
          <w:marLeft w:val="0"/>
          <w:marRight w:val="0"/>
          <w:marTop w:val="0"/>
          <w:marBottom w:val="0"/>
          <w:divBdr>
            <w:top w:val="none" w:sz="0" w:space="0" w:color="auto"/>
            <w:left w:val="none" w:sz="0" w:space="0" w:color="auto"/>
            <w:bottom w:val="none" w:sz="0" w:space="0" w:color="auto"/>
            <w:right w:val="none" w:sz="0" w:space="0" w:color="auto"/>
          </w:divBdr>
        </w:div>
      </w:divsChild>
    </w:div>
    <w:div w:id="444157611">
      <w:marLeft w:val="0"/>
      <w:marRight w:val="0"/>
      <w:marTop w:val="0"/>
      <w:marBottom w:val="0"/>
      <w:divBdr>
        <w:top w:val="none" w:sz="0" w:space="0" w:color="auto"/>
        <w:left w:val="none" w:sz="0" w:space="0" w:color="auto"/>
        <w:bottom w:val="none" w:sz="0" w:space="0" w:color="auto"/>
        <w:right w:val="none" w:sz="0" w:space="0" w:color="auto"/>
      </w:divBdr>
      <w:divsChild>
        <w:div w:id="1441222255">
          <w:marLeft w:val="0"/>
          <w:marRight w:val="0"/>
          <w:marTop w:val="0"/>
          <w:marBottom w:val="0"/>
          <w:divBdr>
            <w:top w:val="none" w:sz="0" w:space="0" w:color="auto"/>
            <w:left w:val="none" w:sz="0" w:space="0" w:color="auto"/>
            <w:bottom w:val="none" w:sz="0" w:space="0" w:color="auto"/>
            <w:right w:val="none" w:sz="0" w:space="0" w:color="auto"/>
          </w:divBdr>
        </w:div>
      </w:divsChild>
    </w:div>
    <w:div w:id="445463768">
      <w:marLeft w:val="0"/>
      <w:marRight w:val="0"/>
      <w:marTop w:val="0"/>
      <w:marBottom w:val="120"/>
      <w:divBdr>
        <w:top w:val="none" w:sz="0" w:space="0" w:color="auto"/>
        <w:left w:val="none" w:sz="0" w:space="0" w:color="auto"/>
        <w:bottom w:val="none" w:sz="0" w:space="0" w:color="auto"/>
        <w:right w:val="none" w:sz="0" w:space="0" w:color="auto"/>
      </w:divBdr>
    </w:div>
    <w:div w:id="458844558">
      <w:marLeft w:val="0"/>
      <w:marRight w:val="0"/>
      <w:marTop w:val="0"/>
      <w:marBottom w:val="0"/>
      <w:divBdr>
        <w:top w:val="none" w:sz="0" w:space="0" w:color="auto"/>
        <w:left w:val="none" w:sz="0" w:space="0" w:color="auto"/>
        <w:bottom w:val="none" w:sz="0" w:space="0" w:color="auto"/>
        <w:right w:val="none" w:sz="0" w:space="0" w:color="auto"/>
      </w:divBdr>
    </w:div>
    <w:div w:id="472984515">
      <w:marLeft w:val="0"/>
      <w:marRight w:val="0"/>
      <w:marTop w:val="0"/>
      <w:marBottom w:val="0"/>
      <w:divBdr>
        <w:top w:val="none" w:sz="0" w:space="0" w:color="auto"/>
        <w:left w:val="none" w:sz="0" w:space="0" w:color="auto"/>
        <w:bottom w:val="none" w:sz="0" w:space="0" w:color="auto"/>
        <w:right w:val="none" w:sz="0" w:space="0" w:color="auto"/>
      </w:divBdr>
      <w:divsChild>
        <w:div w:id="2111118609">
          <w:marLeft w:val="0"/>
          <w:marRight w:val="0"/>
          <w:marTop w:val="0"/>
          <w:marBottom w:val="0"/>
          <w:divBdr>
            <w:top w:val="none" w:sz="0" w:space="0" w:color="auto"/>
            <w:left w:val="none" w:sz="0" w:space="0" w:color="auto"/>
            <w:bottom w:val="none" w:sz="0" w:space="0" w:color="auto"/>
            <w:right w:val="none" w:sz="0" w:space="0" w:color="auto"/>
          </w:divBdr>
        </w:div>
      </w:divsChild>
    </w:div>
    <w:div w:id="474571316">
      <w:marLeft w:val="0"/>
      <w:marRight w:val="0"/>
      <w:marTop w:val="0"/>
      <w:marBottom w:val="0"/>
      <w:divBdr>
        <w:top w:val="none" w:sz="0" w:space="0" w:color="auto"/>
        <w:left w:val="none" w:sz="0" w:space="0" w:color="auto"/>
        <w:bottom w:val="none" w:sz="0" w:space="0" w:color="auto"/>
        <w:right w:val="none" w:sz="0" w:space="0" w:color="auto"/>
      </w:divBdr>
      <w:divsChild>
        <w:div w:id="1508669796">
          <w:marLeft w:val="0"/>
          <w:marRight w:val="0"/>
          <w:marTop w:val="0"/>
          <w:marBottom w:val="0"/>
          <w:divBdr>
            <w:top w:val="none" w:sz="0" w:space="0" w:color="auto"/>
            <w:left w:val="none" w:sz="0" w:space="0" w:color="auto"/>
            <w:bottom w:val="none" w:sz="0" w:space="0" w:color="auto"/>
            <w:right w:val="none" w:sz="0" w:space="0" w:color="auto"/>
          </w:divBdr>
        </w:div>
      </w:divsChild>
    </w:div>
    <w:div w:id="474951829">
      <w:marLeft w:val="0"/>
      <w:marRight w:val="0"/>
      <w:marTop w:val="0"/>
      <w:marBottom w:val="120"/>
      <w:divBdr>
        <w:top w:val="none" w:sz="0" w:space="0" w:color="auto"/>
        <w:left w:val="none" w:sz="0" w:space="0" w:color="auto"/>
        <w:bottom w:val="none" w:sz="0" w:space="0" w:color="auto"/>
        <w:right w:val="none" w:sz="0" w:space="0" w:color="auto"/>
      </w:divBdr>
    </w:div>
    <w:div w:id="477724614">
      <w:marLeft w:val="0"/>
      <w:marRight w:val="0"/>
      <w:marTop w:val="0"/>
      <w:marBottom w:val="120"/>
      <w:divBdr>
        <w:top w:val="none" w:sz="0" w:space="0" w:color="auto"/>
        <w:left w:val="none" w:sz="0" w:space="0" w:color="auto"/>
        <w:bottom w:val="none" w:sz="0" w:space="0" w:color="auto"/>
        <w:right w:val="none" w:sz="0" w:space="0" w:color="auto"/>
      </w:divBdr>
    </w:div>
    <w:div w:id="487476044">
      <w:marLeft w:val="0"/>
      <w:marRight w:val="0"/>
      <w:marTop w:val="0"/>
      <w:marBottom w:val="120"/>
      <w:divBdr>
        <w:top w:val="none" w:sz="0" w:space="0" w:color="auto"/>
        <w:left w:val="none" w:sz="0" w:space="0" w:color="auto"/>
        <w:bottom w:val="none" w:sz="0" w:space="0" w:color="auto"/>
        <w:right w:val="none" w:sz="0" w:space="0" w:color="auto"/>
      </w:divBdr>
    </w:div>
    <w:div w:id="491413536">
      <w:marLeft w:val="0"/>
      <w:marRight w:val="0"/>
      <w:marTop w:val="0"/>
      <w:marBottom w:val="120"/>
      <w:divBdr>
        <w:top w:val="none" w:sz="0" w:space="0" w:color="auto"/>
        <w:left w:val="none" w:sz="0" w:space="0" w:color="auto"/>
        <w:bottom w:val="none" w:sz="0" w:space="0" w:color="auto"/>
        <w:right w:val="none" w:sz="0" w:space="0" w:color="auto"/>
      </w:divBdr>
    </w:div>
    <w:div w:id="495923944">
      <w:marLeft w:val="0"/>
      <w:marRight w:val="0"/>
      <w:marTop w:val="0"/>
      <w:marBottom w:val="120"/>
      <w:divBdr>
        <w:top w:val="none" w:sz="0" w:space="0" w:color="auto"/>
        <w:left w:val="none" w:sz="0" w:space="0" w:color="auto"/>
        <w:bottom w:val="none" w:sz="0" w:space="0" w:color="auto"/>
        <w:right w:val="none" w:sz="0" w:space="0" w:color="auto"/>
      </w:divBdr>
    </w:div>
    <w:div w:id="499588929">
      <w:marLeft w:val="0"/>
      <w:marRight w:val="0"/>
      <w:marTop w:val="0"/>
      <w:marBottom w:val="0"/>
      <w:divBdr>
        <w:top w:val="none" w:sz="0" w:space="0" w:color="auto"/>
        <w:left w:val="none" w:sz="0" w:space="0" w:color="auto"/>
        <w:bottom w:val="none" w:sz="0" w:space="0" w:color="auto"/>
        <w:right w:val="none" w:sz="0" w:space="0" w:color="auto"/>
      </w:divBdr>
      <w:divsChild>
        <w:div w:id="201285569">
          <w:marLeft w:val="0"/>
          <w:marRight w:val="0"/>
          <w:marTop w:val="0"/>
          <w:marBottom w:val="0"/>
          <w:divBdr>
            <w:top w:val="none" w:sz="0" w:space="0" w:color="auto"/>
            <w:left w:val="none" w:sz="0" w:space="0" w:color="auto"/>
            <w:bottom w:val="none" w:sz="0" w:space="0" w:color="auto"/>
            <w:right w:val="none" w:sz="0" w:space="0" w:color="auto"/>
          </w:divBdr>
        </w:div>
      </w:divsChild>
    </w:div>
    <w:div w:id="499738227">
      <w:marLeft w:val="0"/>
      <w:marRight w:val="0"/>
      <w:marTop w:val="0"/>
      <w:marBottom w:val="120"/>
      <w:divBdr>
        <w:top w:val="none" w:sz="0" w:space="0" w:color="auto"/>
        <w:left w:val="none" w:sz="0" w:space="0" w:color="auto"/>
        <w:bottom w:val="none" w:sz="0" w:space="0" w:color="auto"/>
        <w:right w:val="none" w:sz="0" w:space="0" w:color="auto"/>
      </w:divBdr>
    </w:div>
    <w:div w:id="507214011">
      <w:marLeft w:val="0"/>
      <w:marRight w:val="0"/>
      <w:marTop w:val="0"/>
      <w:marBottom w:val="120"/>
      <w:divBdr>
        <w:top w:val="none" w:sz="0" w:space="0" w:color="auto"/>
        <w:left w:val="none" w:sz="0" w:space="0" w:color="auto"/>
        <w:bottom w:val="none" w:sz="0" w:space="0" w:color="auto"/>
        <w:right w:val="none" w:sz="0" w:space="0" w:color="auto"/>
      </w:divBdr>
    </w:div>
    <w:div w:id="507989729">
      <w:marLeft w:val="0"/>
      <w:marRight w:val="0"/>
      <w:marTop w:val="0"/>
      <w:marBottom w:val="120"/>
      <w:divBdr>
        <w:top w:val="none" w:sz="0" w:space="0" w:color="auto"/>
        <w:left w:val="none" w:sz="0" w:space="0" w:color="auto"/>
        <w:bottom w:val="none" w:sz="0" w:space="0" w:color="auto"/>
        <w:right w:val="none" w:sz="0" w:space="0" w:color="auto"/>
      </w:divBdr>
    </w:div>
    <w:div w:id="508100640">
      <w:marLeft w:val="0"/>
      <w:marRight w:val="0"/>
      <w:marTop w:val="0"/>
      <w:marBottom w:val="120"/>
      <w:divBdr>
        <w:top w:val="none" w:sz="0" w:space="0" w:color="auto"/>
        <w:left w:val="none" w:sz="0" w:space="0" w:color="auto"/>
        <w:bottom w:val="none" w:sz="0" w:space="0" w:color="auto"/>
        <w:right w:val="none" w:sz="0" w:space="0" w:color="auto"/>
      </w:divBdr>
    </w:div>
    <w:div w:id="517701320">
      <w:marLeft w:val="0"/>
      <w:marRight w:val="0"/>
      <w:marTop w:val="0"/>
      <w:marBottom w:val="0"/>
      <w:divBdr>
        <w:top w:val="none" w:sz="0" w:space="0" w:color="auto"/>
        <w:left w:val="none" w:sz="0" w:space="0" w:color="auto"/>
        <w:bottom w:val="none" w:sz="0" w:space="0" w:color="auto"/>
        <w:right w:val="none" w:sz="0" w:space="0" w:color="auto"/>
      </w:divBdr>
      <w:divsChild>
        <w:div w:id="575625106">
          <w:marLeft w:val="0"/>
          <w:marRight w:val="0"/>
          <w:marTop w:val="0"/>
          <w:marBottom w:val="0"/>
          <w:divBdr>
            <w:top w:val="none" w:sz="0" w:space="0" w:color="auto"/>
            <w:left w:val="none" w:sz="0" w:space="0" w:color="auto"/>
            <w:bottom w:val="none" w:sz="0" w:space="0" w:color="auto"/>
            <w:right w:val="none" w:sz="0" w:space="0" w:color="auto"/>
          </w:divBdr>
        </w:div>
      </w:divsChild>
    </w:div>
    <w:div w:id="518470271">
      <w:marLeft w:val="0"/>
      <w:marRight w:val="0"/>
      <w:marTop w:val="0"/>
      <w:marBottom w:val="120"/>
      <w:divBdr>
        <w:top w:val="none" w:sz="0" w:space="0" w:color="auto"/>
        <w:left w:val="none" w:sz="0" w:space="0" w:color="auto"/>
        <w:bottom w:val="none" w:sz="0" w:space="0" w:color="auto"/>
        <w:right w:val="none" w:sz="0" w:space="0" w:color="auto"/>
      </w:divBdr>
    </w:div>
    <w:div w:id="524293309">
      <w:marLeft w:val="0"/>
      <w:marRight w:val="0"/>
      <w:marTop w:val="0"/>
      <w:marBottom w:val="120"/>
      <w:divBdr>
        <w:top w:val="none" w:sz="0" w:space="0" w:color="auto"/>
        <w:left w:val="none" w:sz="0" w:space="0" w:color="auto"/>
        <w:bottom w:val="none" w:sz="0" w:space="0" w:color="auto"/>
        <w:right w:val="none" w:sz="0" w:space="0" w:color="auto"/>
      </w:divBdr>
    </w:div>
    <w:div w:id="527762543">
      <w:marLeft w:val="0"/>
      <w:marRight w:val="0"/>
      <w:marTop w:val="0"/>
      <w:marBottom w:val="120"/>
      <w:divBdr>
        <w:top w:val="none" w:sz="0" w:space="0" w:color="auto"/>
        <w:left w:val="none" w:sz="0" w:space="0" w:color="auto"/>
        <w:bottom w:val="none" w:sz="0" w:space="0" w:color="auto"/>
        <w:right w:val="none" w:sz="0" w:space="0" w:color="auto"/>
      </w:divBdr>
    </w:div>
    <w:div w:id="530143847">
      <w:marLeft w:val="0"/>
      <w:marRight w:val="0"/>
      <w:marTop w:val="0"/>
      <w:marBottom w:val="120"/>
      <w:divBdr>
        <w:top w:val="none" w:sz="0" w:space="0" w:color="auto"/>
        <w:left w:val="none" w:sz="0" w:space="0" w:color="auto"/>
        <w:bottom w:val="none" w:sz="0" w:space="0" w:color="auto"/>
        <w:right w:val="none" w:sz="0" w:space="0" w:color="auto"/>
      </w:divBdr>
    </w:div>
    <w:div w:id="531455700">
      <w:marLeft w:val="0"/>
      <w:marRight w:val="0"/>
      <w:marTop w:val="0"/>
      <w:marBottom w:val="120"/>
      <w:divBdr>
        <w:top w:val="none" w:sz="0" w:space="0" w:color="auto"/>
        <w:left w:val="none" w:sz="0" w:space="0" w:color="auto"/>
        <w:bottom w:val="none" w:sz="0" w:space="0" w:color="auto"/>
        <w:right w:val="none" w:sz="0" w:space="0" w:color="auto"/>
      </w:divBdr>
    </w:div>
    <w:div w:id="534120703">
      <w:marLeft w:val="0"/>
      <w:marRight w:val="0"/>
      <w:marTop w:val="0"/>
      <w:marBottom w:val="100"/>
      <w:divBdr>
        <w:top w:val="none" w:sz="0" w:space="0" w:color="auto"/>
        <w:left w:val="none" w:sz="0" w:space="0" w:color="auto"/>
        <w:bottom w:val="none" w:sz="0" w:space="0" w:color="auto"/>
        <w:right w:val="none" w:sz="0" w:space="0" w:color="auto"/>
      </w:divBdr>
    </w:div>
    <w:div w:id="539509641">
      <w:marLeft w:val="0"/>
      <w:marRight w:val="0"/>
      <w:marTop w:val="0"/>
      <w:marBottom w:val="120"/>
      <w:divBdr>
        <w:top w:val="none" w:sz="0" w:space="0" w:color="auto"/>
        <w:left w:val="none" w:sz="0" w:space="0" w:color="auto"/>
        <w:bottom w:val="none" w:sz="0" w:space="0" w:color="auto"/>
        <w:right w:val="none" w:sz="0" w:space="0" w:color="auto"/>
      </w:divBdr>
    </w:div>
    <w:div w:id="541484580">
      <w:marLeft w:val="0"/>
      <w:marRight w:val="0"/>
      <w:marTop w:val="0"/>
      <w:marBottom w:val="60"/>
      <w:divBdr>
        <w:top w:val="none" w:sz="0" w:space="0" w:color="auto"/>
        <w:left w:val="none" w:sz="0" w:space="0" w:color="auto"/>
        <w:bottom w:val="none" w:sz="0" w:space="0" w:color="auto"/>
        <w:right w:val="none" w:sz="0" w:space="0" w:color="auto"/>
      </w:divBdr>
    </w:div>
    <w:div w:id="545528668">
      <w:marLeft w:val="0"/>
      <w:marRight w:val="0"/>
      <w:marTop w:val="0"/>
      <w:marBottom w:val="120"/>
      <w:divBdr>
        <w:top w:val="none" w:sz="0" w:space="0" w:color="auto"/>
        <w:left w:val="none" w:sz="0" w:space="0" w:color="auto"/>
        <w:bottom w:val="none" w:sz="0" w:space="0" w:color="auto"/>
        <w:right w:val="none" w:sz="0" w:space="0" w:color="auto"/>
      </w:divBdr>
    </w:div>
    <w:div w:id="548421496">
      <w:marLeft w:val="0"/>
      <w:marRight w:val="0"/>
      <w:marTop w:val="0"/>
      <w:marBottom w:val="120"/>
      <w:divBdr>
        <w:top w:val="none" w:sz="0" w:space="0" w:color="auto"/>
        <w:left w:val="none" w:sz="0" w:space="0" w:color="auto"/>
        <w:bottom w:val="none" w:sz="0" w:space="0" w:color="auto"/>
        <w:right w:val="none" w:sz="0" w:space="0" w:color="auto"/>
      </w:divBdr>
    </w:div>
    <w:div w:id="560750083">
      <w:marLeft w:val="0"/>
      <w:marRight w:val="0"/>
      <w:marTop w:val="0"/>
      <w:marBottom w:val="120"/>
      <w:divBdr>
        <w:top w:val="none" w:sz="0" w:space="0" w:color="auto"/>
        <w:left w:val="none" w:sz="0" w:space="0" w:color="auto"/>
        <w:bottom w:val="none" w:sz="0" w:space="0" w:color="auto"/>
        <w:right w:val="none" w:sz="0" w:space="0" w:color="auto"/>
      </w:divBdr>
    </w:div>
    <w:div w:id="560991358">
      <w:marLeft w:val="0"/>
      <w:marRight w:val="0"/>
      <w:marTop w:val="0"/>
      <w:marBottom w:val="120"/>
      <w:divBdr>
        <w:top w:val="none" w:sz="0" w:space="0" w:color="auto"/>
        <w:left w:val="none" w:sz="0" w:space="0" w:color="auto"/>
        <w:bottom w:val="none" w:sz="0" w:space="0" w:color="auto"/>
        <w:right w:val="none" w:sz="0" w:space="0" w:color="auto"/>
      </w:divBdr>
    </w:div>
    <w:div w:id="566066580">
      <w:marLeft w:val="0"/>
      <w:marRight w:val="0"/>
      <w:marTop w:val="0"/>
      <w:marBottom w:val="0"/>
      <w:divBdr>
        <w:top w:val="none" w:sz="0" w:space="0" w:color="auto"/>
        <w:left w:val="none" w:sz="0" w:space="0" w:color="auto"/>
        <w:bottom w:val="none" w:sz="0" w:space="0" w:color="auto"/>
        <w:right w:val="none" w:sz="0" w:space="0" w:color="auto"/>
      </w:divBdr>
      <w:divsChild>
        <w:div w:id="697127596">
          <w:marLeft w:val="0"/>
          <w:marRight w:val="0"/>
          <w:marTop w:val="0"/>
          <w:marBottom w:val="0"/>
          <w:divBdr>
            <w:top w:val="none" w:sz="0" w:space="0" w:color="auto"/>
            <w:left w:val="none" w:sz="0" w:space="0" w:color="auto"/>
            <w:bottom w:val="none" w:sz="0" w:space="0" w:color="auto"/>
            <w:right w:val="none" w:sz="0" w:space="0" w:color="auto"/>
          </w:divBdr>
          <w:divsChild>
            <w:div w:id="11454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649">
      <w:marLeft w:val="0"/>
      <w:marRight w:val="0"/>
      <w:marTop w:val="0"/>
      <w:marBottom w:val="120"/>
      <w:divBdr>
        <w:top w:val="none" w:sz="0" w:space="0" w:color="auto"/>
        <w:left w:val="none" w:sz="0" w:space="0" w:color="auto"/>
        <w:bottom w:val="none" w:sz="0" w:space="0" w:color="auto"/>
        <w:right w:val="none" w:sz="0" w:space="0" w:color="auto"/>
      </w:divBdr>
    </w:div>
    <w:div w:id="575359373">
      <w:marLeft w:val="0"/>
      <w:marRight w:val="0"/>
      <w:marTop w:val="0"/>
      <w:marBottom w:val="120"/>
      <w:divBdr>
        <w:top w:val="none" w:sz="0" w:space="0" w:color="auto"/>
        <w:left w:val="none" w:sz="0" w:space="0" w:color="auto"/>
        <w:bottom w:val="none" w:sz="0" w:space="0" w:color="auto"/>
        <w:right w:val="none" w:sz="0" w:space="0" w:color="auto"/>
      </w:divBdr>
    </w:div>
    <w:div w:id="578365775">
      <w:marLeft w:val="0"/>
      <w:marRight w:val="0"/>
      <w:marTop w:val="0"/>
      <w:marBottom w:val="120"/>
      <w:divBdr>
        <w:top w:val="none" w:sz="0" w:space="0" w:color="auto"/>
        <w:left w:val="none" w:sz="0" w:space="0" w:color="auto"/>
        <w:bottom w:val="none" w:sz="0" w:space="0" w:color="auto"/>
        <w:right w:val="none" w:sz="0" w:space="0" w:color="auto"/>
      </w:divBdr>
    </w:div>
    <w:div w:id="581837809">
      <w:marLeft w:val="0"/>
      <w:marRight w:val="0"/>
      <w:marTop w:val="0"/>
      <w:marBottom w:val="120"/>
      <w:divBdr>
        <w:top w:val="none" w:sz="0" w:space="0" w:color="auto"/>
        <w:left w:val="none" w:sz="0" w:space="0" w:color="auto"/>
        <w:bottom w:val="none" w:sz="0" w:space="0" w:color="auto"/>
        <w:right w:val="none" w:sz="0" w:space="0" w:color="auto"/>
      </w:divBdr>
    </w:div>
    <w:div w:id="588737366">
      <w:marLeft w:val="0"/>
      <w:marRight w:val="0"/>
      <w:marTop w:val="0"/>
      <w:marBottom w:val="0"/>
      <w:divBdr>
        <w:top w:val="none" w:sz="0" w:space="0" w:color="auto"/>
        <w:left w:val="none" w:sz="0" w:space="0" w:color="auto"/>
        <w:bottom w:val="none" w:sz="0" w:space="0" w:color="auto"/>
        <w:right w:val="none" w:sz="0" w:space="0" w:color="auto"/>
      </w:divBdr>
    </w:div>
    <w:div w:id="596408117">
      <w:marLeft w:val="0"/>
      <w:marRight w:val="0"/>
      <w:marTop w:val="100"/>
      <w:marBottom w:val="220"/>
      <w:divBdr>
        <w:top w:val="none" w:sz="0" w:space="0" w:color="auto"/>
        <w:left w:val="none" w:sz="0" w:space="0" w:color="auto"/>
        <w:bottom w:val="none" w:sz="0" w:space="0" w:color="auto"/>
        <w:right w:val="none" w:sz="0" w:space="0" w:color="auto"/>
      </w:divBdr>
      <w:divsChild>
        <w:div w:id="1829443253">
          <w:marLeft w:val="0"/>
          <w:marRight w:val="0"/>
          <w:marTop w:val="0"/>
          <w:marBottom w:val="0"/>
          <w:divBdr>
            <w:top w:val="none" w:sz="0" w:space="0" w:color="auto"/>
            <w:left w:val="none" w:sz="0" w:space="0" w:color="auto"/>
            <w:bottom w:val="none" w:sz="0" w:space="0" w:color="auto"/>
            <w:right w:val="none" w:sz="0" w:space="0" w:color="auto"/>
          </w:divBdr>
        </w:div>
      </w:divsChild>
    </w:div>
    <w:div w:id="596602870">
      <w:marLeft w:val="0"/>
      <w:marRight w:val="0"/>
      <w:marTop w:val="0"/>
      <w:marBottom w:val="120"/>
      <w:divBdr>
        <w:top w:val="none" w:sz="0" w:space="0" w:color="auto"/>
        <w:left w:val="none" w:sz="0" w:space="0" w:color="auto"/>
        <w:bottom w:val="none" w:sz="0" w:space="0" w:color="auto"/>
        <w:right w:val="none" w:sz="0" w:space="0" w:color="auto"/>
      </w:divBdr>
    </w:div>
    <w:div w:id="599682266">
      <w:marLeft w:val="0"/>
      <w:marRight w:val="0"/>
      <w:marTop w:val="0"/>
      <w:marBottom w:val="0"/>
      <w:divBdr>
        <w:top w:val="none" w:sz="0" w:space="0" w:color="auto"/>
        <w:left w:val="none" w:sz="0" w:space="0" w:color="auto"/>
        <w:bottom w:val="none" w:sz="0" w:space="0" w:color="auto"/>
        <w:right w:val="none" w:sz="0" w:space="0" w:color="auto"/>
      </w:divBdr>
      <w:divsChild>
        <w:div w:id="1202865044">
          <w:marLeft w:val="0"/>
          <w:marRight w:val="0"/>
          <w:marTop w:val="0"/>
          <w:marBottom w:val="0"/>
          <w:divBdr>
            <w:top w:val="none" w:sz="0" w:space="0" w:color="auto"/>
            <w:left w:val="none" w:sz="0" w:space="0" w:color="auto"/>
            <w:bottom w:val="none" w:sz="0" w:space="0" w:color="auto"/>
            <w:right w:val="none" w:sz="0" w:space="0" w:color="auto"/>
          </w:divBdr>
        </w:div>
      </w:divsChild>
    </w:div>
    <w:div w:id="614288063">
      <w:marLeft w:val="0"/>
      <w:marRight w:val="0"/>
      <w:marTop w:val="0"/>
      <w:marBottom w:val="0"/>
      <w:divBdr>
        <w:top w:val="none" w:sz="0" w:space="0" w:color="auto"/>
        <w:left w:val="none" w:sz="0" w:space="0" w:color="auto"/>
        <w:bottom w:val="none" w:sz="0" w:space="0" w:color="auto"/>
        <w:right w:val="none" w:sz="0" w:space="0" w:color="auto"/>
      </w:divBdr>
    </w:div>
    <w:div w:id="618339188">
      <w:marLeft w:val="0"/>
      <w:marRight w:val="0"/>
      <w:marTop w:val="0"/>
      <w:marBottom w:val="0"/>
      <w:divBdr>
        <w:top w:val="none" w:sz="0" w:space="0" w:color="auto"/>
        <w:left w:val="none" w:sz="0" w:space="0" w:color="auto"/>
        <w:bottom w:val="none" w:sz="0" w:space="0" w:color="auto"/>
        <w:right w:val="none" w:sz="0" w:space="0" w:color="auto"/>
      </w:divBdr>
    </w:div>
    <w:div w:id="624311439">
      <w:marLeft w:val="0"/>
      <w:marRight w:val="0"/>
      <w:marTop w:val="0"/>
      <w:marBottom w:val="120"/>
      <w:divBdr>
        <w:top w:val="none" w:sz="0" w:space="0" w:color="auto"/>
        <w:left w:val="none" w:sz="0" w:space="0" w:color="auto"/>
        <w:bottom w:val="none" w:sz="0" w:space="0" w:color="auto"/>
        <w:right w:val="none" w:sz="0" w:space="0" w:color="auto"/>
      </w:divBdr>
    </w:div>
    <w:div w:id="625703404">
      <w:marLeft w:val="0"/>
      <w:marRight w:val="0"/>
      <w:marTop w:val="0"/>
      <w:marBottom w:val="120"/>
      <w:divBdr>
        <w:top w:val="none" w:sz="0" w:space="0" w:color="auto"/>
        <w:left w:val="none" w:sz="0" w:space="0" w:color="auto"/>
        <w:bottom w:val="none" w:sz="0" w:space="0" w:color="auto"/>
        <w:right w:val="none" w:sz="0" w:space="0" w:color="auto"/>
      </w:divBdr>
    </w:div>
    <w:div w:id="634944160">
      <w:marLeft w:val="0"/>
      <w:marRight w:val="0"/>
      <w:marTop w:val="0"/>
      <w:marBottom w:val="120"/>
      <w:divBdr>
        <w:top w:val="none" w:sz="0" w:space="0" w:color="auto"/>
        <w:left w:val="none" w:sz="0" w:space="0" w:color="auto"/>
        <w:bottom w:val="none" w:sz="0" w:space="0" w:color="auto"/>
        <w:right w:val="none" w:sz="0" w:space="0" w:color="auto"/>
      </w:divBdr>
    </w:div>
    <w:div w:id="636423171">
      <w:marLeft w:val="0"/>
      <w:marRight w:val="0"/>
      <w:marTop w:val="0"/>
      <w:marBottom w:val="0"/>
      <w:divBdr>
        <w:top w:val="none" w:sz="0" w:space="0" w:color="auto"/>
        <w:left w:val="none" w:sz="0" w:space="0" w:color="auto"/>
        <w:bottom w:val="none" w:sz="0" w:space="0" w:color="auto"/>
        <w:right w:val="none" w:sz="0" w:space="0" w:color="auto"/>
      </w:divBdr>
      <w:divsChild>
        <w:div w:id="1494102394">
          <w:marLeft w:val="0"/>
          <w:marRight w:val="0"/>
          <w:marTop w:val="0"/>
          <w:marBottom w:val="0"/>
          <w:divBdr>
            <w:top w:val="none" w:sz="0" w:space="0" w:color="auto"/>
            <w:left w:val="none" w:sz="0" w:space="0" w:color="auto"/>
            <w:bottom w:val="none" w:sz="0" w:space="0" w:color="auto"/>
            <w:right w:val="none" w:sz="0" w:space="0" w:color="auto"/>
          </w:divBdr>
        </w:div>
      </w:divsChild>
    </w:div>
    <w:div w:id="638221779">
      <w:marLeft w:val="0"/>
      <w:marRight w:val="0"/>
      <w:marTop w:val="0"/>
      <w:marBottom w:val="120"/>
      <w:divBdr>
        <w:top w:val="none" w:sz="0" w:space="0" w:color="auto"/>
        <w:left w:val="none" w:sz="0" w:space="0" w:color="auto"/>
        <w:bottom w:val="none" w:sz="0" w:space="0" w:color="auto"/>
        <w:right w:val="none" w:sz="0" w:space="0" w:color="auto"/>
      </w:divBdr>
    </w:div>
    <w:div w:id="638655633">
      <w:marLeft w:val="0"/>
      <w:marRight w:val="0"/>
      <w:marTop w:val="0"/>
      <w:marBottom w:val="0"/>
      <w:divBdr>
        <w:top w:val="none" w:sz="0" w:space="0" w:color="auto"/>
        <w:left w:val="none" w:sz="0" w:space="0" w:color="auto"/>
        <w:bottom w:val="none" w:sz="0" w:space="0" w:color="auto"/>
        <w:right w:val="none" w:sz="0" w:space="0" w:color="auto"/>
      </w:divBdr>
      <w:divsChild>
        <w:div w:id="682442964">
          <w:marLeft w:val="0"/>
          <w:marRight w:val="0"/>
          <w:marTop w:val="0"/>
          <w:marBottom w:val="0"/>
          <w:divBdr>
            <w:top w:val="none" w:sz="0" w:space="0" w:color="auto"/>
            <w:left w:val="none" w:sz="0" w:space="0" w:color="auto"/>
            <w:bottom w:val="none" w:sz="0" w:space="0" w:color="auto"/>
            <w:right w:val="none" w:sz="0" w:space="0" w:color="auto"/>
          </w:divBdr>
        </w:div>
      </w:divsChild>
    </w:div>
    <w:div w:id="643699229">
      <w:marLeft w:val="0"/>
      <w:marRight w:val="0"/>
      <w:marTop w:val="0"/>
      <w:marBottom w:val="120"/>
      <w:divBdr>
        <w:top w:val="none" w:sz="0" w:space="0" w:color="auto"/>
        <w:left w:val="none" w:sz="0" w:space="0" w:color="auto"/>
        <w:bottom w:val="none" w:sz="0" w:space="0" w:color="auto"/>
        <w:right w:val="none" w:sz="0" w:space="0" w:color="auto"/>
      </w:divBdr>
    </w:div>
    <w:div w:id="645203877">
      <w:marLeft w:val="0"/>
      <w:marRight w:val="0"/>
      <w:marTop w:val="0"/>
      <w:marBottom w:val="120"/>
      <w:divBdr>
        <w:top w:val="none" w:sz="0" w:space="0" w:color="auto"/>
        <w:left w:val="none" w:sz="0" w:space="0" w:color="auto"/>
        <w:bottom w:val="none" w:sz="0" w:space="0" w:color="auto"/>
        <w:right w:val="none" w:sz="0" w:space="0" w:color="auto"/>
      </w:divBdr>
    </w:div>
    <w:div w:id="645203998">
      <w:marLeft w:val="0"/>
      <w:marRight w:val="0"/>
      <w:marTop w:val="0"/>
      <w:marBottom w:val="120"/>
      <w:divBdr>
        <w:top w:val="none" w:sz="0" w:space="0" w:color="auto"/>
        <w:left w:val="none" w:sz="0" w:space="0" w:color="auto"/>
        <w:bottom w:val="none" w:sz="0" w:space="0" w:color="auto"/>
        <w:right w:val="none" w:sz="0" w:space="0" w:color="auto"/>
      </w:divBdr>
    </w:div>
    <w:div w:id="646478471">
      <w:marLeft w:val="0"/>
      <w:marRight w:val="0"/>
      <w:marTop w:val="0"/>
      <w:marBottom w:val="120"/>
      <w:divBdr>
        <w:top w:val="none" w:sz="0" w:space="0" w:color="auto"/>
        <w:left w:val="none" w:sz="0" w:space="0" w:color="auto"/>
        <w:bottom w:val="none" w:sz="0" w:space="0" w:color="auto"/>
        <w:right w:val="none" w:sz="0" w:space="0" w:color="auto"/>
      </w:divBdr>
    </w:div>
    <w:div w:id="656688796">
      <w:marLeft w:val="0"/>
      <w:marRight w:val="0"/>
      <w:marTop w:val="0"/>
      <w:marBottom w:val="120"/>
      <w:divBdr>
        <w:top w:val="none" w:sz="0" w:space="0" w:color="auto"/>
        <w:left w:val="none" w:sz="0" w:space="0" w:color="auto"/>
        <w:bottom w:val="none" w:sz="0" w:space="0" w:color="auto"/>
        <w:right w:val="none" w:sz="0" w:space="0" w:color="auto"/>
      </w:divBdr>
    </w:div>
    <w:div w:id="657686082">
      <w:marLeft w:val="0"/>
      <w:marRight w:val="0"/>
      <w:marTop w:val="0"/>
      <w:marBottom w:val="60"/>
      <w:divBdr>
        <w:top w:val="none" w:sz="0" w:space="0" w:color="auto"/>
        <w:left w:val="none" w:sz="0" w:space="0" w:color="auto"/>
        <w:bottom w:val="none" w:sz="0" w:space="0" w:color="auto"/>
        <w:right w:val="none" w:sz="0" w:space="0" w:color="auto"/>
      </w:divBdr>
    </w:div>
    <w:div w:id="662780975">
      <w:marLeft w:val="0"/>
      <w:marRight w:val="0"/>
      <w:marTop w:val="0"/>
      <w:marBottom w:val="0"/>
      <w:divBdr>
        <w:top w:val="none" w:sz="0" w:space="0" w:color="auto"/>
        <w:left w:val="none" w:sz="0" w:space="0" w:color="auto"/>
        <w:bottom w:val="none" w:sz="0" w:space="0" w:color="auto"/>
        <w:right w:val="none" w:sz="0" w:space="0" w:color="auto"/>
      </w:divBdr>
      <w:divsChild>
        <w:div w:id="1777209733">
          <w:marLeft w:val="0"/>
          <w:marRight w:val="0"/>
          <w:marTop w:val="0"/>
          <w:marBottom w:val="120"/>
          <w:divBdr>
            <w:top w:val="none" w:sz="0" w:space="0" w:color="auto"/>
            <w:left w:val="none" w:sz="0" w:space="0" w:color="auto"/>
            <w:bottom w:val="none" w:sz="0" w:space="0" w:color="auto"/>
            <w:right w:val="none" w:sz="0" w:space="0" w:color="auto"/>
          </w:divBdr>
        </w:div>
      </w:divsChild>
    </w:div>
    <w:div w:id="663630429">
      <w:marLeft w:val="0"/>
      <w:marRight w:val="0"/>
      <w:marTop w:val="0"/>
      <w:marBottom w:val="120"/>
      <w:divBdr>
        <w:top w:val="none" w:sz="0" w:space="0" w:color="auto"/>
        <w:left w:val="none" w:sz="0" w:space="0" w:color="auto"/>
        <w:bottom w:val="none" w:sz="0" w:space="0" w:color="auto"/>
        <w:right w:val="none" w:sz="0" w:space="0" w:color="auto"/>
      </w:divBdr>
    </w:div>
    <w:div w:id="664019763">
      <w:marLeft w:val="0"/>
      <w:marRight w:val="0"/>
      <w:marTop w:val="0"/>
      <w:marBottom w:val="120"/>
      <w:divBdr>
        <w:top w:val="none" w:sz="0" w:space="0" w:color="auto"/>
        <w:left w:val="none" w:sz="0" w:space="0" w:color="auto"/>
        <w:bottom w:val="none" w:sz="0" w:space="0" w:color="auto"/>
        <w:right w:val="none" w:sz="0" w:space="0" w:color="auto"/>
      </w:divBdr>
    </w:div>
    <w:div w:id="664747306">
      <w:marLeft w:val="0"/>
      <w:marRight w:val="0"/>
      <w:marTop w:val="0"/>
      <w:marBottom w:val="120"/>
      <w:divBdr>
        <w:top w:val="none" w:sz="0" w:space="0" w:color="auto"/>
        <w:left w:val="none" w:sz="0" w:space="0" w:color="auto"/>
        <w:bottom w:val="none" w:sz="0" w:space="0" w:color="auto"/>
        <w:right w:val="none" w:sz="0" w:space="0" w:color="auto"/>
      </w:divBdr>
    </w:div>
    <w:div w:id="665591619">
      <w:marLeft w:val="0"/>
      <w:marRight w:val="0"/>
      <w:marTop w:val="0"/>
      <w:marBottom w:val="240"/>
      <w:divBdr>
        <w:top w:val="none" w:sz="0" w:space="0" w:color="auto"/>
        <w:left w:val="none" w:sz="0" w:space="0" w:color="auto"/>
        <w:bottom w:val="none" w:sz="0" w:space="0" w:color="auto"/>
        <w:right w:val="none" w:sz="0" w:space="0" w:color="auto"/>
      </w:divBdr>
    </w:div>
    <w:div w:id="677200541">
      <w:marLeft w:val="0"/>
      <w:marRight w:val="0"/>
      <w:marTop w:val="0"/>
      <w:marBottom w:val="120"/>
      <w:divBdr>
        <w:top w:val="none" w:sz="0" w:space="0" w:color="auto"/>
        <w:left w:val="none" w:sz="0" w:space="0" w:color="auto"/>
        <w:bottom w:val="none" w:sz="0" w:space="0" w:color="auto"/>
        <w:right w:val="none" w:sz="0" w:space="0" w:color="auto"/>
      </w:divBdr>
    </w:div>
    <w:div w:id="677850009">
      <w:marLeft w:val="0"/>
      <w:marRight w:val="0"/>
      <w:marTop w:val="0"/>
      <w:marBottom w:val="0"/>
      <w:divBdr>
        <w:top w:val="none" w:sz="0" w:space="0" w:color="auto"/>
        <w:left w:val="none" w:sz="0" w:space="0" w:color="auto"/>
        <w:bottom w:val="none" w:sz="0" w:space="0" w:color="auto"/>
        <w:right w:val="none" w:sz="0" w:space="0" w:color="auto"/>
      </w:divBdr>
      <w:divsChild>
        <w:div w:id="1978686074">
          <w:marLeft w:val="0"/>
          <w:marRight w:val="0"/>
          <w:marTop w:val="0"/>
          <w:marBottom w:val="120"/>
          <w:divBdr>
            <w:top w:val="none" w:sz="0" w:space="0" w:color="auto"/>
            <w:left w:val="none" w:sz="0" w:space="0" w:color="auto"/>
            <w:bottom w:val="none" w:sz="0" w:space="0" w:color="auto"/>
            <w:right w:val="none" w:sz="0" w:space="0" w:color="auto"/>
          </w:divBdr>
        </w:div>
      </w:divsChild>
    </w:div>
    <w:div w:id="678972916">
      <w:marLeft w:val="0"/>
      <w:marRight w:val="0"/>
      <w:marTop w:val="0"/>
      <w:marBottom w:val="120"/>
      <w:divBdr>
        <w:top w:val="none" w:sz="0" w:space="0" w:color="auto"/>
        <w:left w:val="none" w:sz="0" w:space="0" w:color="auto"/>
        <w:bottom w:val="none" w:sz="0" w:space="0" w:color="auto"/>
        <w:right w:val="none" w:sz="0" w:space="0" w:color="auto"/>
      </w:divBdr>
    </w:div>
    <w:div w:id="687104388">
      <w:marLeft w:val="0"/>
      <w:marRight w:val="0"/>
      <w:marTop w:val="0"/>
      <w:marBottom w:val="120"/>
      <w:divBdr>
        <w:top w:val="none" w:sz="0" w:space="0" w:color="auto"/>
        <w:left w:val="none" w:sz="0" w:space="0" w:color="auto"/>
        <w:bottom w:val="none" w:sz="0" w:space="0" w:color="auto"/>
        <w:right w:val="none" w:sz="0" w:space="0" w:color="auto"/>
      </w:divBdr>
    </w:div>
    <w:div w:id="689264361">
      <w:marLeft w:val="0"/>
      <w:marRight w:val="0"/>
      <w:marTop w:val="0"/>
      <w:marBottom w:val="200"/>
      <w:divBdr>
        <w:top w:val="none" w:sz="0" w:space="0" w:color="auto"/>
        <w:left w:val="none" w:sz="0" w:space="0" w:color="auto"/>
        <w:bottom w:val="none" w:sz="0" w:space="0" w:color="auto"/>
        <w:right w:val="none" w:sz="0" w:space="0" w:color="auto"/>
      </w:divBdr>
    </w:div>
    <w:div w:id="693766764">
      <w:marLeft w:val="0"/>
      <w:marRight w:val="0"/>
      <w:marTop w:val="0"/>
      <w:marBottom w:val="120"/>
      <w:divBdr>
        <w:top w:val="none" w:sz="0" w:space="0" w:color="auto"/>
        <w:left w:val="none" w:sz="0" w:space="0" w:color="auto"/>
        <w:bottom w:val="none" w:sz="0" w:space="0" w:color="auto"/>
        <w:right w:val="none" w:sz="0" w:space="0" w:color="auto"/>
      </w:divBdr>
    </w:div>
    <w:div w:id="693919269">
      <w:marLeft w:val="0"/>
      <w:marRight w:val="0"/>
      <w:marTop w:val="0"/>
      <w:marBottom w:val="120"/>
      <w:divBdr>
        <w:top w:val="none" w:sz="0" w:space="0" w:color="auto"/>
        <w:left w:val="none" w:sz="0" w:space="0" w:color="auto"/>
        <w:bottom w:val="none" w:sz="0" w:space="0" w:color="auto"/>
        <w:right w:val="none" w:sz="0" w:space="0" w:color="auto"/>
      </w:divBdr>
    </w:div>
    <w:div w:id="700861525">
      <w:marLeft w:val="0"/>
      <w:marRight w:val="0"/>
      <w:marTop w:val="0"/>
      <w:marBottom w:val="120"/>
      <w:divBdr>
        <w:top w:val="none" w:sz="0" w:space="0" w:color="auto"/>
        <w:left w:val="none" w:sz="0" w:space="0" w:color="auto"/>
        <w:bottom w:val="none" w:sz="0" w:space="0" w:color="auto"/>
        <w:right w:val="none" w:sz="0" w:space="0" w:color="auto"/>
      </w:divBdr>
    </w:div>
    <w:div w:id="702899667">
      <w:marLeft w:val="0"/>
      <w:marRight w:val="0"/>
      <w:marTop w:val="0"/>
      <w:marBottom w:val="120"/>
      <w:divBdr>
        <w:top w:val="none" w:sz="0" w:space="0" w:color="auto"/>
        <w:left w:val="none" w:sz="0" w:space="0" w:color="auto"/>
        <w:bottom w:val="none" w:sz="0" w:space="0" w:color="auto"/>
        <w:right w:val="none" w:sz="0" w:space="0" w:color="auto"/>
      </w:divBdr>
    </w:div>
    <w:div w:id="703554526">
      <w:marLeft w:val="0"/>
      <w:marRight w:val="0"/>
      <w:marTop w:val="0"/>
      <w:marBottom w:val="0"/>
      <w:divBdr>
        <w:top w:val="none" w:sz="0" w:space="0" w:color="auto"/>
        <w:left w:val="none" w:sz="0" w:space="0" w:color="auto"/>
        <w:bottom w:val="none" w:sz="0" w:space="0" w:color="auto"/>
        <w:right w:val="none" w:sz="0" w:space="0" w:color="auto"/>
      </w:divBdr>
    </w:div>
    <w:div w:id="707218910">
      <w:marLeft w:val="0"/>
      <w:marRight w:val="0"/>
      <w:marTop w:val="0"/>
      <w:marBottom w:val="0"/>
      <w:divBdr>
        <w:top w:val="none" w:sz="0" w:space="0" w:color="auto"/>
        <w:left w:val="none" w:sz="0" w:space="0" w:color="auto"/>
        <w:bottom w:val="none" w:sz="0" w:space="0" w:color="auto"/>
        <w:right w:val="none" w:sz="0" w:space="0" w:color="auto"/>
      </w:divBdr>
    </w:div>
    <w:div w:id="707492499">
      <w:marLeft w:val="0"/>
      <w:marRight w:val="0"/>
      <w:marTop w:val="0"/>
      <w:marBottom w:val="120"/>
      <w:divBdr>
        <w:top w:val="none" w:sz="0" w:space="0" w:color="auto"/>
        <w:left w:val="none" w:sz="0" w:space="0" w:color="auto"/>
        <w:bottom w:val="none" w:sz="0" w:space="0" w:color="auto"/>
        <w:right w:val="none" w:sz="0" w:space="0" w:color="auto"/>
      </w:divBdr>
    </w:div>
    <w:div w:id="709379264">
      <w:marLeft w:val="0"/>
      <w:marRight w:val="0"/>
      <w:marTop w:val="0"/>
      <w:marBottom w:val="0"/>
      <w:divBdr>
        <w:top w:val="none" w:sz="0" w:space="0" w:color="auto"/>
        <w:left w:val="none" w:sz="0" w:space="0" w:color="auto"/>
        <w:bottom w:val="none" w:sz="0" w:space="0" w:color="auto"/>
        <w:right w:val="none" w:sz="0" w:space="0" w:color="auto"/>
      </w:divBdr>
    </w:div>
    <w:div w:id="716011262">
      <w:marLeft w:val="0"/>
      <w:marRight w:val="0"/>
      <w:marTop w:val="0"/>
      <w:marBottom w:val="120"/>
      <w:divBdr>
        <w:top w:val="none" w:sz="0" w:space="0" w:color="auto"/>
        <w:left w:val="none" w:sz="0" w:space="0" w:color="auto"/>
        <w:bottom w:val="none" w:sz="0" w:space="0" w:color="auto"/>
        <w:right w:val="none" w:sz="0" w:space="0" w:color="auto"/>
      </w:divBdr>
    </w:div>
    <w:div w:id="718869571">
      <w:marLeft w:val="0"/>
      <w:marRight w:val="0"/>
      <w:marTop w:val="0"/>
      <w:marBottom w:val="120"/>
      <w:divBdr>
        <w:top w:val="none" w:sz="0" w:space="0" w:color="auto"/>
        <w:left w:val="none" w:sz="0" w:space="0" w:color="auto"/>
        <w:bottom w:val="none" w:sz="0" w:space="0" w:color="auto"/>
        <w:right w:val="none" w:sz="0" w:space="0" w:color="auto"/>
      </w:divBdr>
    </w:div>
    <w:div w:id="719986077">
      <w:marLeft w:val="0"/>
      <w:marRight w:val="0"/>
      <w:marTop w:val="0"/>
      <w:marBottom w:val="100"/>
      <w:divBdr>
        <w:top w:val="none" w:sz="0" w:space="0" w:color="auto"/>
        <w:left w:val="none" w:sz="0" w:space="0" w:color="auto"/>
        <w:bottom w:val="none" w:sz="0" w:space="0" w:color="auto"/>
        <w:right w:val="none" w:sz="0" w:space="0" w:color="auto"/>
      </w:divBdr>
    </w:div>
    <w:div w:id="725227176">
      <w:marLeft w:val="0"/>
      <w:marRight w:val="0"/>
      <w:marTop w:val="0"/>
      <w:marBottom w:val="120"/>
      <w:divBdr>
        <w:top w:val="none" w:sz="0" w:space="0" w:color="auto"/>
        <w:left w:val="none" w:sz="0" w:space="0" w:color="auto"/>
        <w:bottom w:val="none" w:sz="0" w:space="0" w:color="auto"/>
        <w:right w:val="none" w:sz="0" w:space="0" w:color="auto"/>
      </w:divBdr>
    </w:div>
    <w:div w:id="726102742">
      <w:marLeft w:val="0"/>
      <w:marRight w:val="0"/>
      <w:marTop w:val="0"/>
      <w:marBottom w:val="120"/>
      <w:divBdr>
        <w:top w:val="none" w:sz="0" w:space="0" w:color="auto"/>
        <w:left w:val="none" w:sz="0" w:space="0" w:color="auto"/>
        <w:bottom w:val="none" w:sz="0" w:space="0" w:color="auto"/>
        <w:right w:val="none" w:sz="0" w:space="0" w:color="auto"/>
      </w:divBdr>
    </w:div>
    <w:div w:id="728109586">
      <w:marLeft w:val="0"/>
      <w:marRight w:val="0"/>
      <w:marTop w:val="0"/>
      <w:marBottom w:val="120"/>
      <w:divBdr>
        <w:top w:val="none" w:sz="0" w:space="0" w:color="auto"/>
        <w:left w:val="none" w:sz="0" w:space="0" w:color="auto"/>
        <w:bottom w:val="none" w:sz="0" w:space="0" w:color="auto"/>
        <w:right w:val="none" w:sz="0" w:space="0" w:color="auto"/>
      </w:divBdr>
    </w:div>
    <w:div w:id="737897162">
      <w:marLeft w:val="0"/>
      <w:marRight w:val="0"/>
      <w:marTop w:val="0"/>
      <w:marBottom w:val="120"/>
      <w:divBdr>
        <w:top w:val="none" w:sz="0" w:space="0" w:color="auto"/>
        <w:left w:val="none" w:sz="0" w:space="0" w:color="auto"/>
        <w:bottom w:val="none" w:sz="0" w:space="0" w:color="auto"/>
        <w:right w:val="none" w:sz="0" w:space="0" w:color="auto"/>
      </w:divBdr>
    </w:div>
    <w:div w:id="741832265">
      <w:marLeft w:val="0"/>
      <w:marRight w:val="0"/>
      <w:marTop w:val="100"/>
      <w:marBottom w:val="0"/>
      <w:divBdr>
        <w:top w:val="none" w:sz="0" w:space="0" w:color="auto"/>
        <w:left w:val="none" w:sz="0" w:space="0" w:color="auto"/>
        <w:bottom w:val="none" w:sz="0" w:space="0" w:color="auto"/>
        <w:right w:val="none" w:sz="0" w:space="0" w:color="auto"/>
      </w:divBdr>
    </w:div>
    <w:div w:id="743647312">
      <w:marLeft w:val="0"/>
      <w:marRight w:val="0"/>
      <w:marTop w:val="0"/>
      <w:marBottom w:val="120"/>
      <w:divBdr>
        <w:top w:val="none" w:sz="0" w:space="0" w:color="auto"/>
        <w:left w:val="none" w:sz="0" w:space="0" w:color="auto"/>
        <w:bottom w:val="none" w:sz="0" w:space="0" w:color="auto"/>
        <w:right w:val="none" w:sz="0" w:space="0" w:color="auto"/>
      </w:divBdr>
    </w:div>
    <w:div w:id="750203693">
      <w:marLeft w:val="0"/>
      <w:marRight w:val="0"/>
      <w:marTop w:val="0"/>
      <w:marBottom w:val="120"/>
      <w:divBdr>
        <w:top w:val="none" w:sz="0" w:space="0" w:color="auto"/>
        <w:left w:val="none" w:sz="0" w:space="0" w:color="auto"/>
        <w:bottom w:val="none" w:sz="0" w:space="0" w:color="auto"/>
        <w:right w:val="none" w:sz="0" w:space="0" w:color="auto"/>
      </w:divBdr>
    </w:div>
    <w:div w:id="751270662">
      <w:marLeft w:val="0"/>
      <w:marRight w:val="0"/>
      <w:marTop w:val="0"/>
      <w:marBottom w:val="100"/>
      <w:divBdr>
        <w:top w:val="none" w:sz="0" w:space="0" w:color="auto"/>
        <w:left w:val="none" w:sz="0" w:space="0" w:color="auto"/>
        <w:bottom w:val="none" w:sz="0" w:space="0" w:color="auto"/>
        <w:right w:val="none" w:sz="0" w:space="0" w:color="auto"/>
      </w:divBdr>
    </w:div>
    <w:div w:id="752362199">
      <w:marLeft w:val="0"/>
      <w:marRight w:val="0"/>
      <w:marTop w:val="0"/>
      <w:marBottom w:val="0"/>
      <w:divBdr>
        <w:top w:val="none" w:sz="0" w:space="0" w:color="auto"/>
        <w:left w:val="none" w:sz="0" w:space="0" w:color="auto"/>
        <w:bottom w:val="none" w:sz="0" w:space="0" w:color="auto"/>
        <w:right w:val="none" w:sz="0" w:space="0" w:color="auto"/>
      </w:divBdr>
    </w:div>
    <w:div w:id="755395598">
      <w:marLeft w:val="0"/>
      <w:marRight w:val="0"/>
      <w:marTop w:val="0"/>
      <w:marBottom w:val="120"/>
      <w:divBdr>
        <w:top w:val="none" w:sz="0" w:space="0" w:color="auto"/>
        <w:left w:val="none" w:sz="0" w:space="0" w:color="auto"/>
        <w:bottom w:val="none" w:sz="0" w:space="0" w:color="auto"/>
        <w:right w:val="none" w:sz="0" w:space="0" w:color="auto"/>
      </w:divBdr>
    </w:div>
    <w:div w:id="759987345">
      <w:marLeft w:val="0"/>
      <w:marRight w:val="0"/>
      <w:marTop w:val="0"/>
      <w:marBottom w:val="120"/>
      <w:divBdr>
        <w:top w:val="none" w:sz="0" w:space="0" w:color="auto"/>
        <w:left w:val="none" w:sz="0" w:space="0" w:color="auto"/>
        <w:bottom w:val="none" w:sz="0" w:space="0" w:color="auto"/>
        <w:right w:val="none" w:sz="0" w:space="0" w:color="auto"/>
      </w:divBdr>
    </w:div>
    <w:div w:id="761027997">
      <w:marLeft w:val="0"/>
      <w:marRight w:val="0"/>
      <w:marTop w:val="0"/>
      <w:marBottom w:val="0"/>
      <w:divBdr>
        <w:top w:val="none" w:sz="0" w:space="0" w:color="auto"/>
        <w:left w:val="none" w:sz="0" w:space="0" w:color="auto"/>
        <w:bottom w:val="none" w:sz="0" w:space="0" w:color="auto"/>
        <w:right w:val="none" w:sz="0" w:space="0" w:color="auto"/>
      </w:divBdr>
      <w:divsChild>
        <w:div w:id="1879704344">
          <w:marLeft w:val="0"/>
          <w:marRight w:val="0"/>
          <w:marTop w:val="0"/>
          <w:marBottom w:val="0"/>
          <w:divBdr>
            <w:top w:val="none" w:sz="0" w:space="0" w:color="auto"/>
            <w:left w:val="none" w:sz="0" w:space="0" w:color="auto"/>
            <w:bottom w:val="none" w:sz="0" w:space="0" w:color="auto"/>
            <w:right w:val="none" w:sz="0" w:space="0" w:color="auto"/>
          </w:divBdr>
        </w:div>
      </w:divsChild>
    </w:div>
    <w:div w:id="763458575">
      <w:marLeft w:val="0"/>
      <w:marRight w:val="0"/>
      <w:marTop w:val="0"/>
      <w:marBottom w:val="120"/>
      <w:divBdr>
        <w:top w:val="none" w:sz="0" w:space="0" w:color="auto"/>
        <w:left w:val="none" w:sz="0" w:space="0" w:color="auto"/>
        <w:bottom w:val="none" w:sz="0" w:space="0" w:color="auto"/>
        <w:right w:val="none" w:sz="0" w:space="0" w:color="auto"/>
      </w:divBdr>
    </w:div>
    <w:div w:id="770319334">
      <w:marLeft w:val="0"/>
      <w:marRight w:val="0"/>
      <w:marTop w:val="0"/>
      <w:marBottom w:val="120"/>
      <w:divBdr>
        <w:top w:val="none" w:sz="0" w:space="0" w:color="auto"/>
        <w:left w:val="none" w:sz="0" w:space="0" w:color="auto"/>
        <w:bottom w:val="none" w:sz="0" w:space="0" w:color="auto"/>
        <w:right w:val="none" w:sz="0" w:space="0" w:color="auto"/>
      </w:divBdr>
    </w:div>
    <w:div w:id="782652040">
      <w:marLeft w:val="0"/>
      <w:marRight w:val="0"/>
      <w:marTop w:val="0"/>
      <w:marBottom w:val="120"/>
      <w:divBdr>
        <w:top w:val="none" w:sz="0" w:space="0" w:color="auto"/>
        <w:left w:val="none" w:sz="0" w:space="0" w:color="auto"/>
        <w:bottom w:val="none" w:sz="0" w:space="0" w:color="auto"/>
        <w:right w:val="none" w:sz="0" w:space="0" w:color="auto"/>
      </w:divBdr>
    </w:div>
    <w:div w:id="786120411">
      <w:marLeft w:val="0"/>
      <w:marRight w:val="0"/>
      <w:marTop w:val="0"/>
      <w:marBottom w:val="0"/>
      <w:divBdr>
        <w:top w:val="none" w:sz="0" w:space="0" w:color="auto"/>
        <w:left w:val="none" w:sz="0" w:space="0" w:color="auto"/>
        <w:bottom w:val="none" w:sz="0" w:space="0" w:color="auto"/>
        <w:right w:val="none" w:sz="0" w:space="0" w:color="auto"/>
      </w:divBdr>
      <w:divsChild>
        <w:div w:id="516433523">
          <w:marLeft w:val="0"/>
          <w:marRight w:val="0"/>
          <w:marTop w:val="0"/>
          <w:marBottom w:val="0"/>
          <w:divBdr>
            <w:top w:val="none" w:sz="0" w:space="0" w:color="auto"/>
            <w:left w:val="none" w:sz="0" w:space="0" w:color="auto"/>
            <w:bottom w:val="none" w:sz="0" w:space="0" w:color="auto"/>
            <w:right w:val="none" w:sz="0" w:space="0" w:color="auto"/>
          </w:divBdr>
        </w:div>
      </w:divsChild>
    </w:div>
    <w:div w:id="788554257">
      <w:marLeft w:val="0"/>
      <w:marRight w:val="0"/>
      <w:marTop w:val="0"/>
      <w:marBottom w:val="0"/>
      <w:divBdr>
        <w:top w:val="none" w:sz="0" w:space="0" w:color="auto"/>
        <w:left w:val="none" w:sz="0" w:space="0" w:color="auto"/>
        <w:bottom w:val="none" w:sz="0" w:space="0" w:color="auto"/>
        <w:right w:val="none" w:sz="0" w:space="0" w:color="auto"/>
      </w:divBdr>
      <w:divsChild>
        <w:div w:id="331765937">
          <w:marLeft w:val="0"/>
          <w:marRight w:val="0"/>
          <w:marTop w:val="0"/>
          <w:marBottom w:val="0"/>
          <w:divBdr>
            <w:top w:val="none" w:sz="0" w:space="0" w:color="auto"/>
            <w:left w:val="none" w:sz="0" w:space="0" w:color="auto"/>
            <w:bottom w:val="none" w:sz="0" w:space="0" w:color="auto"/>
            <w:right w:val="none" w:sz="0" w:space="0" w:color="auto"/>
          </w:divBdr>
        </w:div>
      </w:divsChild>
    </w:div>
    <w:div w:id="796752387">
      <w:marLeft w:val="0"/>
      <w:marRight w:val="0"/>
      <w:marTop w:val="0"/>
      <w:marBottom w:val="120"/>
      <w:divBdr>
        <w:top w:val="none" w:sz="0" w:space="0" w:color="auto"/>
        <w:left w:val="none" w:sz="0" w:space="0" w:color="auto"/>
        <w:bottom w:val="none" w:sz="0" w:space="0" w:color="auto"/>
        <w:right w:val="none" w:sz="0" w:space="0" w:color="auto"/>
      </w:divBdr>
    </w:div>
    <w:div w:id="800073343">
      <w:marLeft w:val="0"/>
      <w:marRight w:val="0"/>
      <w:marTop w:val="0"/>
      <w:marBottom w:val="60"/>
      <w:divBdr>
        <w:top w:val="none" w:sz="0" w:space="0" w:color="auto"/>
        <w:left w:val="none" w:sz="0" w:space="0" w:color="auto"/>
        <w:bottom w:val="none" w:sz="0" w:space="0" w:color="auto"/>
        <w:right w:val="none" w:sz="0" w:space="0" w:color="auto"/>
      </w:divBdr>
    </w:div>
    <w:div w:id="803735766">
      <w:marLeft w:val="0"/>
      <w:marRight w:val="0"/>
      <w:marTop w:val="0"/>
      <w:marBottom w:val="120"/>
      <w:divBdr>
        <w:top w:val="none" w:sz="0" w:space="0" w:color="auto"/>
        <w:left w:val="none" w:sz="0" w:space="0" w:color="auto"/>
        <w:bottom w:val="none" w:sz="0" w:space="0" w:color="auto"/>
        <w:right w:val="none" w:sz="0" w:space="0" w:color="auto"/>
      </w:divBdr>
    </w:div>
    <w:div w:id="804852812">
      <w:marLeft w:val="0"/>
      <w:marRight w:val="0"/>
      <w:marTop w:val="0"/>
      <w:marBottom w:val="120"/>
      <w:divBdr>
        <w:top w:val="none" w:sz="0" w:space="0" w:color="auto"/>
        <w:left w:val="none" w:sz="0" w:space="0" w:color="auto"/>
        <w:bottom w:val="none" w:sz="0" w:space="0" w:color="auto"/>
        <w:right w:val="none" w:sz="0" w:space="0" w:color="auto"/>
      </w:divBdr>
    </w:div>
    <w:div w:id="817376643">
      <w:marLeft w:val="0"/>
      <w:marRight w:val="0"/>
      <w:marTop w:val="0"/>
      <w:marBottom w:val="120"/>
      <w:divBdr>
        <w:top w:val="none" w:sz="0" w:space="0" w:color="auto"/>
        <w:left w:val="none" w:sz="0" w:space="0" w:color="auto"/>
        <w:bottom w:val="none" w:sz="0" w:space="0" w:color="auto"/>
        <w:right w:val="none" w:sz="0" w:space="0" w:color="auto"/>
      </w:divBdr>
    </w:div>
    <w:div w:id="822164822">
      <w:marLeft w:val="0"/>
      <w:marRight w:val="0"/>
      <w:marTop w:val="0"/>
      <w:marBottom w:val="0"/>
      <w:divBdr>
        <w:top w:val="none" w:sz="0" w:space="0" w:color="auto"/>
        <w:left w:val="none" w:sz="0" w:space="0" w:color="auto"/>
        <w:bottom w:val="none" w:sz="0" w:space="0" w:color="auto"/>
        <w:right w:val="none" w:sz="0" w:space="0" w:color="auto"/>
      </w:divBdr>
      <w:divsChild>
        <w:div w:id="1990288102">
          <w:marLeft w:val="0"/>
          <w:marRight w:val="0"/>
          <w:marTop w:val="0"/>
          <w:marBottom w:val="0"/>
          <w:divBdr>
            <w:top w:val="none" w:sz="0" w:space="0" w:color="auto"/>
            <w:left w:val="none" w:sz="0" w:space="0" w:color="auto"/>
            <w:bottom w:val="none" w:sz="0" w:space="0" w:color="auto"/>
            <w:right w:val="none" w:sz="0" w:space="0" w:color="auto"/>
          </w:divBdr>
        </w:div>
      </w:divsChild>
    </w:div>
    <w:div w:id="822818296">
      <w:marLeft w:val="0"/>
      <w:marRight w:val="0"/>
      <w:marTop w:val="0"/>
      <w:marBottom w:val="0"/>
      <w:divBdr>
        <w:top w:val="none" w:sz="0" w:space="0" w:color="auto"/>
        <w:left w:val="none" w:sz="0" w:space="0" w:color="auto"/>
        <w:bottom w:val="none" w:sz="0" w:space="0" w:color="auto"/>
        <w:right w:val="none" w:sz="0" w:space="0" w:color="auto"/>
      </w:divBdr>
      <w:divsChild>
        <w:div w:id="501356727">
          <w:marLeft w:val="0"/>
          <w:marRight w:val="0"/>
          <w:marTop w:val="0"/>
          <w:marBottom w:val="0"/>
          <w:divBdr>
            <w:top w:val="none" w:sz="0" w:space="0" w:color="auto"/>
            <w:left w:val="none" w:sz="0" w:space="0" w:color="auto"/>
            <w:bottom w:val="none" w:sz="0" w:space="0" w:color="auto"/>
            <w:right w:val="none" w:sz="0" w:space="0" w:color="auto"/>
          </w:divBdr>
        </w:div>
      </w:divsChild>
    </w:div>
    <w:div w:id="831871903">
      <w:marLeft w:val="0"/>
      <w:marRight w:val="0"/>
      <w:marTop w:val="0"/>
      <w:marBottom w:val="120"/>
      <w:divBdr>
        <w:top w:val="none" w:sz="0" w:space="0" w:color="auto"/>
        <w:left w:val="none" w:sz="0" w:space="0" w:color="auto"/>
        <w:bottom w:val="none" w:sz="0" w:space="0" w:color="auto"/>
        <w:right w:val="none" w:sz="0" w:space="0" w:color="auto"/>
      </w:divBdr>
    </w:div>
    <w:div w:id="834733665">
      <w:marLeft w:val="0"/>
      <w:marRight w:val="0"/>
      <w:marTop w:val="0"/>
      <w:marBottom w:val="0"/>
      <w:divBdr>
        <w:top w:val="none" w:sz="0" w:space="0" w:color="auto"/>
        <w:left w:val="none" w:sz="0" w:space="0" w:color="auto"/>
        <w:bottom w:val="none" w:sz="0" w:space="0" w:color="auto"/>
        <w:right w:val="none" w:sz="0" w:space="0" w:color="auto"/>
      </w:divBdr>
      <w:divsChild>
        <w:div w:id="1443916839">
          <w:marLeft w:val="0"/>
          <w:marRight w:val="0"/>
          <w:marTop w:val="0"/>
          <w:marBottom w:val="0"/>
          <w:divBdr>
            <w:top w:val="none" w:sz="0" w:space="0" w:color="auto"/>
            <w:left w:val="none" w:sz="0" w:space="0" w:color="auto"/>
            <w:bottom w:val="none" w:sz="0" w:space="0" w:color="auto"/>
            <w:right w:val="none" w:sz="0" w:space="0" w:color="auto"/>
          </w:divBdr>
        </w:div>
      </w:divsChild>
    </w:div>
    <w:div w:id="842474441">
      <w:marLeft w:val="0"/>
      <w:marRight w:val="0"/>
      <w:marTop w:val="0"/>
      <w:marBottom w:val="0"/>
      <w:divBdr>
        <w:top w:val="none" w:sz="0" w:space="0" w:color="auto"/>
        <w:left w:val="none" w:sz="0" w:space="0" w:color="auto"/>
        <w:bottom w:val="none" w:sz="0" w:space="0" w:color="auto"/>
        <w:right w:val="none" w:sz="0" w:space="0" w:color="auto"/>
      </w:divBdr>
      <w:divsChild>
        <w:div w:id="657460706">
          <w:marLeft w:val="0"/>
          <w:marRight w:val="0"/>
          <w:marTop w:val="0"/>
          <w:marBottom w:val="0"/>
          <w:divBdr>
            <w:top w:val="none" w:sz="0" w:space="0" w:color="auto"/>
            <w:left w:val="none" w:sz="0" w:space="0" w:color="auto"/>
            <w:bottom w:val="none" w:sz="0" w:space="0" w:color="auto"/>
            <w:right w:val="none" w:sz="0" w:space="0" w:color="auto"/>
          </w:divBdr>
        </w:div>
      </w:divsChild>
    </w:div>
    <w:div w:id="851914983">
      <w:marLeft w:val="0"/>
      <w:marRight w:val="0"/>
      <w:marTop w:val="0"/>
      <w:marBottom w:val="120"/>
      <w:divBdr>
        <w:top w:val="none" w:sz="0" w:space="0" w:color="auto"/>
        <w:left w:val="none" w:sz="0" w:space="0" w:color="auto"/>
        <w:bottom w:val="none" w:sz="0" w:space="0" w:color="auto"/>
        <w:right w:val="none" w:sz="0" w:space="0" w:color="auto"/>
      </w:divBdr>
    </w:div>
    <w:div w:id="852261444">
      <w:marLeft w:val="0"/>
      <w:marRight w:val="0"/>
      <w:marTop w:val="0"/>
      <w:marBottom w:val="120"/>
      <w:divBdr>
        <w:top w:val="none" w:sz="0" w:space="0" w:color="auto"/>
        <w:left w:val="none" w:sz="0" w:space="0" w:color="auto"/>
        <w:bottom w:val="none" w:sz="0" w:space="0" w:color="auto"/>
        <w:right w:val="none" w:sz="0" w:space="0" w:color="auto"/>
      </w:divBdr>
    </w:div>
    <w:div w:id="857427896">
      <w:marLeft w:val="0"/>
      <w:marRight w:val="0"/>
      <w:marTop w:val="0"/>
      <w:marBottom w:val="120"/>
      <w:divBdr>
        <w:top w:val="none" w:sz="0" w:space="0" w:color="auto"/>
        <w:left w:val="none" w:sz="0" w:space="0" w:color="auto"/>
        <w:bottom w:val="none" w:sz="0" w:space="0" w:color="auto"/>
        <w:right w:val="none" w:sz="0" w:space="0" w:color="auto"/>
      </w:divBdr>
    </w:div>
    <w:div w:id="860633059">
      <w:marLeft w:val="0"/>
      <w:marRight w:val="0"/>
      <w:marTop w:val="0"/>
      <w:marBottom w:val="120"/>
      <w:divBdr>
        <w:top w:val="none" w:sz="0" w:space="0" w:color="auto"/>
        <w:left w:val="none" w:sz="0" w:space="0" w:color="auto"/>
        <w:bottom w:val="none" w:sz="0" w:space="0" w:color="auto"/>
        <w:right w:val="none" w:sz="0" w:space="0" w:color="auto"/>
      </w:divBdr>
    </w:div>
    <w:div w:id="867329620">
      <w:marLeft w:val="0"/>
      <w:marRight w:val="0"/>
      <w:marTop w:val="0"/>
      <w:marBottom w:val="120"/>
      <w:divBdr>
        <w:top w:val="none" w:sz="0" w:space="0" w:color="auto"/>
        <w:left w:val="none" w:sz="0" w:space="0" w:color="auto"/>
        <w:bottom w:val="none" w:sz="0" w:space="0" w:color="auto"/>
        <w:right w:val="none" w:sz="0" w:space="0" w:color="auto"/>
      </w:divBdr>
    </w:div>
    <w:div w:id="868294311">
      <w:marLeft w:val="0"/>
      <w:marRight w:val="0"/>
      <w:marTop w:val="0"/>
      <w:marBottom w:val="120"/>
      <w:divBdr>
        <w:top w:val="none" w:sz="0" w:space="0" w:color="auto"/>
        <w:left w:val="none" w:sz="0" w:space="0" w:color="auto"/>
        <w:bottom w:val="none" w:sz="0" w:space="0" w:color="auto"/>
        <w:right w:val="none" w:sz="0" w:space="0" w:color="auto"/>
      </w:divBdr>
    </w:div>
    <w:div w:id="872156211">
      <w:marLeft w:val="0"/>
      <w:marRight w:val="0"/>
      <w:marTop w:val="0"/>
      <w:marBottom w:val="120"/>
      <w:divBdr>
        <w:top w:val="none" w:sz="0" w:space="0" w:color="auto"/>
        <w:left w:val="none" w:sz="0" w:space="0" w:color="auto"/>
        <w:bottom w:val="none" w:sz="0" w:space="0" w:color="auto"/>
        <w:right w:val="none" w:sz="0" w:space="0" w:color="auto"/>
      </w:divBdr>
    </w:div>
    <w:div w:id="876427659">
      <w:marLeft w:val="0"/>
      <w:marRight w:val="0"/>
      <w:marTop w:val="0"/>
      <w:marBottom w:val="120"/>
      <w:divBdr>
        <w:top w:val="none" w:sz="0" w:space="0" w:color="auto"/>
        <w:left w:val="none" w:sz="0" w:space="0" w:color="auto"/>
        <w:bottom w:val="none" w:sz="0" w:space="0" w:color="auto"/>
        <w:right w:val="none" w:sz="0" w:space="0" w:color="auto"/>
      </w:divBdr>
    </w:div>
    <w:div w:id="878125818">
      <w:marLeft w:val="0"/>
      <w:marRight w:val="0"/>
      <w:marTop w:val="0"/>
      <w:marBottom w:val="120"/>
      <w:divBdr>
        <w:top w:val="none" w:sz="0" w:space="0" w:color="auto"/>
        <w:left w:val="none" w:sz="0" w:space="0" w:color="auto"/>
        <w:bottom w:val="none" w:sz="0" w:space="0" w:color="auto"/>
        <w:right w:val="none" w:sz="0" w:space="0" w:color="auto"/>
      </w:divBdr>
    </w:div>
    <w:div w:id="878401065">
      <w:marLeft w:val="0"/>
      <w:marRight w:val="0"/>
      <w:marTop w:val="0"/>
      <w:marBottom w:val="120"/>
      <w:divBdr>
        <w:top w:val="none" w:sz="0" w:space="0" w:color="auto"/>
        <w:left w:val="none" w:sz="0" w:space="0" w:color="auto"/>
        <w:bottom w:val="none" w:sz="0" w:space="0" w:color="auto"/>
        <w:right w:val="none" w:sz="0" w:space="0" w:color="auto"/>
      </w:divBdr>
    </w:div>
    <w:div w:id="882408023">
      <w:marLeft w:val="0"/>
      <w:marRight w:val="0"/>
      <w:marTop w:val="0"/>
      <w:marBottom w:val="120"/>
      <w:divBdr>
        <w:top w:val="none" w:sz="0" w:space="0" w:color="auto"/>
        <w:left w:val="none" w:sz="0" w:space="0" w:color="auto"/>
        <w:bottom w:val="none" w:sz="0" w:space="0" w:color="auto"/>
        <w:right w:val="none" w:sz="0" w:space="0" w:color="auto"/>
      </w:divBdr>
    </w:div>
    <w:div w:id="886842385">
      <w:marLeft w:val="0"/>
      <w:marRight w:val="0"/>
      <w:marTop w:val="0"/>
      <w:marBottom w:val="120"/>
      <w:divBdr>
        <w:top w:val="none" w:sz="0" w:space="0" w:color="auto"/>
        <w:left w:val="none" w:sz="0" w:space="0" w:color="auto"/>
        <w:bottom w:val="none" w:sz="0" w:space="0" w:color="auto"/>
        <w:right w:val="none" w:sz="0" w:space="0" w:color="auto"/>
      </w:divBdr>
    </w:div>
    <w:div w:id="897667604">
      <w:marLeft w:val="0"/>
      <w:marRight w:val="0"/>
      <w:marTop w:val="0"/>
      <w:marBottom w:val="120"/>
      <w:divBdr>
        <w:top w:val="none" w:sz="0" w:space="0" w:color="auto"/>
        <w:left w:val="none" w:sz="0" w:space="0" w:color="auto"/>
        <w:bottom w:val="none" w:sz="0" w:space="0" w:color="auto"/>
        <w:right w:val="none" w:sz="0" w:space="0" w:color="auto"/>
      </w:divBdr>
    </w:div>
    <w:div w:id="898588737">
      <w:marLeft w:val="0"/>
      <w:marRight w:val="0"/>
      <w:marTop w:val="0"/>
      <w:marBottom w:val="120"/>
      <w:divBdr>
        <w:top w:val="none" w:sz="0" w:space="0" w:color="auto"/>
        <w:left w:val="none" w:sz="0" w:space="0" w:color="auto"/>
        <w:bottom w:val="none" w:sz="0" w:space="0" w:color="auto"/>
        <w:right w:val="none" w:sz="0" w:space="0" w:color="auto"/>
      </w:divBdr>
    </w:div>
    <w:div w:id="901062844">
      <w:marLeft w:val="0"/>
      <w:marRight w:val="0"/>
      <w:marTop w:val="0"/>
      <w:marBottom w:val="120"/>
      <w:divBdr>
        <w:top w:val="none" w:sz="0" w:space="0" w:color="auto"/>
        <w:left w:val="none" w:sz="0" w:space="0" w:color="auto"/>
        <w:bottom w:val="none" w:sz="0" w:space="0" w:color="auto"/>
        <w:right w:val="none" w:sz="0" w:space="0" w:color="auto"/>
      </w:divBdr>
    </w:div>
    <w:div w:id="903221632">
      <w:marLeft w:val="0"/>
      <w:marRight w:val="0"/>
      <w:marTop w:val="0"/>
      <w:marBottom w:val="0"/>
      <w:divBdr>
        <w:top w:val="none" w:sz="0" w:space="0" w:color="auto"/>
        <w:left w:val="none" w:sz="0" w:space="0" w:color="auto"/>
        <w:bottom w:val="none" w:sz="0" w:space="0" w:color="auto"/>
        <w:right w:val="none" w:sz="0" w:space="0" w:color="auto"/>
      </w:divBdr>
    </w:div>
    <w:div w:id="903373098">
      <w:marLeft w:val="0"/>
      <w:marRight w:val="0"/>
      <w:marTop w:val="0"/>
      <w:marBottom w:val="60"/>
      <w:divBdr>
        <w:top w:val="none" w:sz="0" w:space="0" w:color="auto"/>
        <w:left w:val="none" w:sz="0" w:space="0" w:color="auto"/>
        <w:bottom w:val="none" w:sz="0" w:space="0" w:color="auto"/>
        <w:right w:val="none" w:sz="0" w:space="0" w:color="auto"/>
      </w:divBdr>
    </w:div>
    <w:div w:id="904071871">
      <w:marLeft w:val="0"/>
      <w:marRight w:val="0"/>
      <w:marTop w:val="0"/>
      <w:marBottom w:val="0"/>
      <w:divBdr>
        <w:top w:val="none" w:sz="0" w:space="0" w:color="auto"/>
        <w:left w:val="none" w:sz="0" w:space="0" w:color="auto"/>
        <w:bottom w:val="none" w:sz="0" w:space="0" w:color="auto"/>
        <w:right w:val="none" w:sz="0" w:space="0" w:color="auto"/>
      </w:divBdr>
      <w:divsChild>
        <w:div w:id="1516580945">
          <w:marLeft w:val="0"/>
          <w:marRight w:val="0"/>
          <w:marTop w:val="0"/>
          <w:marBottom w:val="0"/>
          <w:divBdr>
            <w:top w:val="none" w:sz="0" w:space="0" w:color="auto"/>
            <w:left w:val="none" w:sz="0" w:space="0" w:color="auto"/>
            <w:bottom w:val="none" w:sz="0" w:space="0" w:color="auto"/>
            <w:right w:val="none" w:sz="0" w:space="0" w:color="auto"/>
          </w:divBdr>
        </w:div>
      </w:divsChild>
    </w:div>
    <w:div w:id="904488989">
      <w:marLeft w:val="0"/>
      <w:marRight w:val="0"/>
      <w:marTop w:val="0"/>
      <w:marBottom w:val="0"/>
      <w:divBdr>
        <w:top w:val="none" w:sz="0" w:space="0" w:color="auto"/>
        <w:left w:val="none" w:sz="0" w:space="0" w:color="auto"/>
        <w:bottom w:val="none" w:sz="0" w:space="0" w:color="auto"/>
        <w:right w:val="none" w:sz="0" w:space="0" w:color="auto"/>
      </w:divBdr>
      <w:divsChild>
        <w:div w:id="719208240">
          <w:marLeft w:val="0"/>
          <w:marRight w:val="0"/>
          <w:marTop w:val="0"/>
          <w:marBottom w:val="0"/>
          <w:divBdr>
            <w:top w:val="none" w:sz="0" w:space="0" w:color="auto"/>
            <w:left w:val="none" w:sz="0" w:space="0" w:color="auto"/>
            <w:bottom w:val="none" w:sz="0" w:space="0" w:color="auto"/>
            <w:right w:val="none" w:sz="0" w:space="0" w:color="auto"/>
          </w:divBdr>
        </w:div>
        <w:div w:id="481241272">
          <w:marLeft w:val="0"/>
          <w:marRight w:val="0"/>
          <w:marTop w:val="0"/>
          <w:marBottom w:val="120"/>
          <w:divBdr>
            <w:top w:val="none" w:sz="0" w:space="0" w:color="auto"/>
            <w:left w:val="none" w:sz="0" w:space="0" w:color="auto"/>
            <w:bottom w:val="none" w:sz="0" w:space="0" w:color="auto"/>
            <w:right w:val="none" w:sz="0" w:space="0" w:color="auto"/>
          </w:divBdr>
        </w:div>
      </w:divsChild>
    </w:div>
    <w:div w:id="912202487">
      <w:marLeft w:val="0"/>
      <w:marRight w:val="0"/>
      <w:marTop w:val="0"/>
      <w:marBottom w:val="120"/>
      <w:divBdr>
        <w:top w:val="none" w:sz="0" w:space="0" w:color="auto"/>
        <w:left w:val="none" w:sz="0" w:space="0" w:color="auto"/>
        <w:bottom w:val="none" w:sz="0" w:space="0" w:color="auto"/>
        <w:right w:val="none" w:sz="0" w:space="0" w:color="auto"/>
      </w:divBdr>
    </w:div>
    <w:div w:id="917666560">
      <w:marLeft w:val="0"/>
      <w:marRight w:val="0"/>
      <w:marTop w:val="0"/>
      <w:marBottom w:val="120"/>
      <w:divBdr>
        <w:top w:val="none" w:sz="0" w:space="0" w:color="auto"/>
        <w:left w:val="none" w:sz="0" w:space="0" w:color="auto"/>
        <w:bottom w:val="none" w:sz="0" w:space="0" w:color="auto"/>
        <w:right w:val="none" w:sz="0" w:space="0" w:color="auto"/>
      </w:divBdr>
    </w:div>
    <w:div w:id="927926990">
      <w:marLeft w:val="0"/>
      <w:marRight w:val="0"/>
      <w:marTop w:val="0"/>
      <w:marBottom w:val="0"/>
      <w:divBdr>
        <w:top w:val="none" w:sz="0" w:space="0" w:color="auto"/>
        <w:left w:val="none" w:sz="0" w:space="0" w:color="auto"/>
        <w:bottom w:val="none" w:sz="0" w:space="0" w:color="auto"/>
        <w:right w:val="none" w:sz="0" w:space="0" w:color="auto"/>
      </w:divBdr>
    </w:div>
    <w:div w:id="937442750">
      <w:marLeft w:val="0"/>
      <w:marRight w:val="0"/>
      <w:marTop w:val="0"/>
      <w:marBottom w:val="0"/>
      <w:divBdr>
        <w:top w:val="none" w:sz="0" w:space="0" w:color="auto"/>
        <w:left w:val="none" w:sz="0" w:space="0" w:color="auto"/>
        <w:bottom w:val="none" w:sz="0" w:space="0" w:color="auto"/>
        <w:right w:val="none" w:sz="0" w:space="0" w:color="auto"/>
      </w:divBdr>
    </w:div>
    <w:div w:id="939142030">
      <w:marLeft w:val="0"/>
      <w:marRight w:val="0"/>
      <w:marTop w:val="0"/>
      <w:marBottom w:val="120"/>
      <w:divBdr>
        <w:top w:val="none" w:sz="0" w:space="0" w:color="auto"/>
        <w:left w:val="none" w:sz="0" w:space="0" w:color="auto"/>
        <w:bottom w:val="none" w:sz="0" w:space="0" w:color="auto"/>
        <w:right w:val="none" w:sz="0" w:space="0" w:color="auto"/>
      </w:divBdr>
    </w:div>
    <w:div w:id="940142929">
      <w:marLeft w:val="0"/>
      <w:marRight w:val="0"/>
      <w:marTop w:val="0"/>
      <w:marBottom w:val="120"/>
      <w:divBdr>
        <w:top w:val="none" w:sz="0" w:space="0" w:color="auto"/>
        <w:left w:val="none" w:sz="0" w:space="0" w:color="auto"/>
        <w:bottom w:val="none" w:sz="0" w:space="0" w:color="auto"/>
        <w:right w:val="none" w:sz="0" w:space="0" w:color="auto"/>
      </w:divBdr>
    </w:div>
    <w:div w:id="941843835">
      <w:marLeft w:val="0"/>
      <w:marRight w:val="0"/>
      <w:marTop w:val="0"/>
      <w:marBottom w:val="120"/>
      <w:divBdr>
        <w:top w:val="none" w:sz="0" w:space="0" w:color="auto"/>
        <w:left w:val="none" w:sz="0" w:space="0" w:color="auto"/>
        <w:bottom w:val="none" w:sz="0" w:space="0" w:color="auto"/>
        <w:right w:val="none" w:sz="0" w:space="0" w:color="auto"/>
      </w:divBdr>
    </w:div>
    <w:div w:id="952708486">
      <w:marLeft w:val="0"/>
      <w:marRight w:val="0"/>
      <w:marTop w:val="0"/>
      <w:marBottom w:val="120"/>
      <w:divBdr>
        <w:top w:val="none" w:sz="0" w:space="0" w:color="auto"/>
        <w:left w:val="none" w:sz="0" w:space="0" w:color="auto"/>
        <w:bottom w:val="none" w:sz="0" w:space="0" w:color="auto"/>
        <w:right w:val="none" w:sz="0" w:space="0" w:color="auto"/>
      </w:divBdr>
    </w:div>
    <w:div w:id="953556278">
      <w:marLeft w:val="0"/>
      <w:marRight w:val="0"/>
      <w:marTop w:val="0"/>
      <w:marBottom w:val="0"/>
      <w:divBdr>
        <w:top w:val="none" w:sz="0" w:space="0" w:color="auto"/>
        <w:left w:val="none" w:sz="0" w:space="0" w:color="auto"/>
        <w:bottom w:val="none" w:sz="0" w:space="0" w:color="auto"/>
        <w:right w:val="none" w:sz="0" w:space="0" w:color="auto"/>
      </w:divBdr>
    </w:div>
    <w:div w:id="956525127">
      <w:marLeft w:val="0"/>
      <w:marRight w:val="0"/>
      <w:marTop w:val="0"/>
      <w:marBottom w:val="120"/>
      <w:divBdr>
        <w:top w:val="none" w:sz="0" w:space="0" w:color="auto"/>
        <w:left w:val="none" w:sz="0" w:space="0" w:color="auto"/>
        <w:bottom w:val="none" w:sz="0" w:space="0" w:color="auto"/>
        <w:right w:val="none" w:sz="0" w:space="0" w:color="auto"/>
      </w:divBdr>
    </w:div>
    <w:div w:id="960653046">
      <w:marLeft w:val="0"/>
      <w:marRight w:val="0"/>
      <w:marTop w:val="0"/>
      <w:marBottom w:val="120"/>
      <w:divBdr>
        <w:top w:val="none" w:sz="0" w:space="0" w:color="auto"/>
        <w:left w:val="none" w:sz="0" w:space="0" w:color="auto"/>
        <w:bottom w:val="none" w:sz="0" w:space="0" w:color="auto"/>
        <w:right w:val="none" w:sz="0" w:space="0" w:color="auto"/>
      </w:divBdr>
    </w:div>
    <w:div w:id="962148489">
      <w:marLeft w:val="0"/>
      <w:marRight w:val="0"/>
      <w:marTop w:val="0"/>
      <w:marBottom w:val="120"/>
      <w:divBdr>
        <w:top w:val="none" w:sz="0" w:space="0" w:color="auto"/>
        <w:left w:val="none" w:sz="0" w:space="0" w:color="auto"/>
        <w:bottom w:val="none" w:sz="0" w:space="0" w:color="auto"/>
        <w:right w:val="none" w:sz="0" w:space="0" w:color="auto"/>
      </w:divBdr>
    </w:div>
    <w:div w:id="974289109">
      <w:marLeft w:val="0"/>
      <w:marRight w:val="0"/>
      <w:marTop w:val="0"/>
      <w:marBottom w:val="120"/>
      <w:divBdr>
        <w:top w:val="none" w:sz="0" w:space="0" w:color="auto"/>
        <w:left w:val="none" w:sz="0" w:space="0" w:color="auto"/>
        <w:bottom w:val="none" w:sz="0" w:space="0" w:color="auto"/>
        <w:right w:val="none" w:sz="0" w:space="0" w:color="auto"/>
      </w:divBdr>
    </w:div>
    <w:div w:id="975531010">
      <w:marLeft w:val="0"/>
      <w:marRight w:val="0"/>
      <w:marTop w:val="0"/>
      <w:marBottom w:val="120"/>
      <w:divBdr>
        <w:top w:val="none" w:sz="0" w:space="0" w:color="auto"/>
        <w:left w:val="none" w:sz="0" w:space="0" w:color="auto"/>
        <w:bottom w:val="none" w:sz="0" w:space="0" w:color="auto"/>
        <w:right w:val="none" w:sz="0" w:space="0" w:color="auto"/>
      </w:divBdr>
    </w:div>
    <w:div w:id="984049710">
      <w:marLeft w:val="0"/>
      <w:marRight w:val="0"/>
      <w:marTop w:val="0"/>
      <w:marBottom w:val="120"/>
      <w:divBdr>
        <w:top w:val="none" w:sz="0" w:space="0" w:color="auto"/>
        <w:left w:val="none" w:sz="0" w:space="0" w:color="auto"/>
        <w:bottom w:val="none" w:sz="0" w:space="0" w:color="auto"/>
        <w:right w:val="none" w:sz="0" w:space="0" w:color="auto"/>
      </w:divBdr>
    </w:div>
    <w:div w:id="985429453">
      <w:marLeft w:val="0"/>
      <w:marRight w:val="0"/>
      <w:marTop w:val="0"/>
      <w:marBottom w:val="0"/>
      <w:divBdr>
        <w:top w:val="none" w:sz="0" w:space="0" w:color="auto"/>
        <w:left w:val="none" w:sz="0" w:space="0" w:color="auto"/>
        <w:bottom w:val="none" w:sz="0" w:space="0" w:color="auto"/>
        <w:right w:val="none" w:sz="0" w:space="0" w:color="auto"/>
      </w:divBdr>
      <w:divsChild>
        <w:div w:id="829904009">
          <w:marLeft w:val="0"/>
          <w:marRight w:val="0"/>
          <w:marTop w:val="0"/>
          <w:marBottom w:val="0"/>
          <w:divBdr>
            <w:top w:val="none" w:sz="0" w:space="0" w:color="auto"/>
            <w:left w:val="none" w:sz="0" w:space="0" w:color="auto"/>
            <w:bottom w:val="none" w:sz="0" w:space="0" w:color="auto"/>
            <w:right w:val="none" w:sz="0" w:space="0" w:color="auto"/>
          </w:divBdr>
          <w:divsChild>
            <w:div w:id="1055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393">
      <w:marLeft w:val="0"/>
      <w:marRight w:val="0"/>
      <w:marTop w:val="0"/>
      <w:marBottom w:val="120"/>
      <w:divBdr>
        <w:top w:val="none" w:sz="0" w:space="0" w:color="auto"/>
        <w:left w:val="none" w:sz="0" w:space="0" w:color="auto"/>
        <w:bottom w:val="none" w:sz="0" w:space="0" w:color="auto"/>
        <w:right w:val="none" w:sz="0" w:space="0" w:color="auto"/>
      </w:divBdr>
    </w:div>
    <w:div w:id="992874584">
      <w:marLeft w:val="0"/>
      <w:marRight w:val="0"/>
      <w:marTop w:val="0"/>
      <w:marBottom w:val="120"/>
      <w:divBdr>
        <w:top w:val="none" w:sz="0" w:space="0" w:color="auto"/>
        <w:left w:val="none" w:sz="0" w:space="0" w:color="auto"/>
        <w:bottom w:val="none" w:sz="0" w:space="0" w:color="auto"/>
        <w:right w:val="none" w:sz="0" w:space="0" w:color="auto"/>
      </w:divBdr>
    </w:div>
    <w:div w:id="997148533">
      <w:marLeft w:val="0"/>
      <w:marRight w:val="0"/>
      <w:marTop w:val="0"/>
      <w:marBottom w:val="120"/>
      <w:divBdr>
        <w:top w:val="none" w:sz="0" w:space="0" w:color="auto"/>
        <w:left w:val="none" w:sz="0" w:space="0" w:color="auto"/>
        <w:bottom w:val="none" w:sz="0" w:space="0" w:color="auto"/>
        <w:right w:val="none" w:sz="0" w:space="0" w:color="auto"/>
      </w:divBdr>
    </w:div>
    <w:div w:id="997534143">
      <w:marLeft w:val="0"/>
      <w:marRight w:val="0"/>
      <w:marTop w:val="0"/>
      <w:marBottom w:val="120"/>
      <w:divBdr>
        <w:top w:val="none" w:sz="0" w:space="0" w:color="auto"/>
        <w:left w:val="none" w:sz="0" w:space="0" w:color="auto"/>
        <w:bottom w:val="none" w:sz="0" w:space="0" w:color="auto"/>
        <w:right w:val="none" w:sz="0" w:space="0" w:color="auto"/>
      </w:divBdr>
    </w:div>
    <w:div w:id="1003821541">
      <w:marLeft w:val="0"/>
      <w:marRight w:val="0"/>
      <w:marTop w:val="0"/>
      <w:marBottom w:val="0"/>
      <w:divBdr>
        <w:top w:val="none" w:sz="0" w:space="0" w:color="auto"/>
        <w:left w:val="none" w:sz="0" w:space="0" w:color="auto"/>
        <w:bottom w:val="none" w:sz="0" w:space="0" w:color="auto"/>
        <w:right w:val="none" w:sz="0" w:space="0" w:color="auto"/>
      </w:divBdr>
      <w:divsChild>
        <w:div w:id="1318924316">
          <w:marLeft w:val="0"/>
          <w:marRight w:val="0"/>
          <w:marTop w:val="0"/>
          <w:marBottom w:val="0"/>
          <w:divBdr>
            <w:top w:val="none" w:sz="0" w:space="0" w:color="auto"/>
            <w:left w:val="none" w:sz="0" w:space="0" w:color="auto"/>
            <w:bottom w:val="none" w:sz="0" w:space="0" w:color="auto"/>
            <w:right w:val="none" w:sz="0" w:space="0" w:color="auto"/>
          </w:divBdr>
        </w:div>
      </w:divsChild>
    </w:div>
    <w:div w:id="1007828162">
      <w:marLeft w:val="0"/>
      <w:marRight w:val="0"/>
      <w:marTop w:val="0"/>
      <w:marBottom w:val="100"/>
      <w:divBdr>
        <w:top w:val="none" w:sz="0" w:space="0" w:color="auto"/>
        <w:left w:val="none" w:sz="0" w:space="0" w:color="auto"/>
        <w:bottom w:val="none" w:sz="0" w:space="0" w:color="auto"/>
        <w:right w:val="none" w:sz="0" w:space="0" w:color="auto"/>
      </w:divBdr>
    </w:div>
    <w:div w:id="1016813104">
      <w:marLeft w:val="0"/>
      <w:marRight w:val="0"/>
      <w:marTop w:val="0"/>
      <w:marBottom w:val="120"/>
      <w:divBdr>
        <w:top w:val="none" w:sz="0" w:space="0" w:color="auto"/>
        <w:left w:val="none" w:sz="0" w:space="0" w:color="auto"/>
        <w:bottom w:val="none" w:sz="0" w:space="0" w:color="auto"/>
        <w:right w:val="none" w:sz="0" w:space="0" w:color="auto"/>
      </w:divBdr>
    </w:div>
    <w:div w:id="1019038704">
      <w:marLeft w:val="0"/>
      <w:marRight w:val="0"/>
      <w:marTop w:val="100"/>
      <w:marBottom w:val="220"/>
      <w:divBdr>
        <w:top w:val="none" w:sz="0" w:space="0" w:color="auto"/>
        <w:left w:val="none" w:sz="0" w:space="0" w:color="auto"/>
        <w:bottom w:val="none" w:sz="0" w:space="0" w:color="auto"/>
        <w:right w:val="none" w:sz="0" w:space="0" w:color="auto"/>
      </w:divBdr>
    </w:div>
    <w:div w:id="1020741447">
      <w:marLeft w:val="0"/>
      <w:marRight w:val="0"/>
      <w:marTop w:val="0"/>
      <w:marBottom w:val="120"/>
      <w:divBdr>
        <w:top w:val="none" w:sz="0" w:space="0" w:color="auto"/>
        <w:left w:val="none" w:sz="0" w:space="0" w:color="auto"/>
        <w:bottom w:val="none" w:sz="0" w:space="0" w:color="auto"/>
        <w:right w:val="none" w:sz="0" w:space="0" w:color="auto"/>
      </w:divBdr>
    </w:div>
    <w:div w:id="1024945392">
      <w:marLeft w:val="0"/>
      <w:marRight w:val="0"/>
      <w:marTop w:val="0"/>
      <w:marBottom w:val="0"/>
      <w:divBdr>
        <w:top w:val="none" w:sz="0" w:space="0" w:color="auto"/>
        <w:left w:val="none" w:sz="0" w:space="0" w:color="auto"/>
        <w:bottom w:val="none" w:sz="0" w:space="0" w:color="auto"/>
        <w:right w:val="none" w:sz="0" w:space="0" w:color="auto"/>
      </w:divBdr>
      <w:divsChild>
        <w:div w:id="745952777">
          <w:marLeft w:val="0"/>
          <w:marRight w:val="0"/>
          <w:marTop w:val="0"/>
          <w:marBottom w:val="0"/>
          <w:divBdr>
            <w:top w:val="none" w:sz="0" w:space="0" w:color="auto"/>
            <w:left w:val="none" w:sz="0" w:space="0" w:color="auto"/>
            <w:bottom w:val="none" w:sz="0" w:space="0" w:color="auto"/>
            <w:right w:val="none" w:sz="0" w:space="0" w:color="auto"/>
          </w:divBdr>
        </w:div>
      </w:divsChild>
    </w:div>
    <w:div w:id="1028221115">
      <w:marLeft w:val="0"/>
      <w:marRight w:val="0"/>
      <w:marTop w:val="0"/>
      <w:marBottom w:val="120"/>
      <w:divBdr>
        <w:top w:val="none" w:sz="0" w:space="0" w:color="auto"/>
        <w:left w:val="none" w:sz="0" w:space="0" w:color="auto"/>
        <w:bottom w:val="none" w:sz="0" w:space="0" w:color="auto"/>
        <w:right w:val="none" w:sz="0" w:space="0" w:color="auto"/>
      </w:divBdr>
    </w:div>
    <w:div w:id="1029918796">
      <w:marLeft w:val="0"/>
      <w:marRight w:val="0"/>
      <w:marTop w:val="0"/>
      <w:marBottom w:val="120"/>
      <w:divBdr>
        <w:top w:val="none" w:sz="0" w:space="0" w:color="auto"/>
        <w:left w:val="none" w:sz="0" w:space="0" w:color="auto"/>
        <w:bottom w:val="none" w:sz="0" w:space="0" w:color="auto"/>
        <w:right w:val="none" w:sz="0" w:space="0" w:color="auto"/>
      </w:divBdr>
    </w:div>
    <w:div w:id="1033306750">
      <w:marLeft w:val="0"/>
      <w:marRight w:val="0"/>
      <w:marTop w:val="100"/>
      <w:marBottom w:val="120"/>
      <w:divBdr>
        <w:top w:val="none" w:sz="0" w:space="0" w:color="auto"/>
        <w:left w:val="none" w:sz="0" w:space="0" w:color="auto"/>
        <w:bottom w:val="none" w:sz="0" w:space="0" w:color="auto"/>
        <w:right w:val="none" w:sz="0" w:space="0" w:color="auto"/>
      </w:divBdr>
    </w:div>
    <w:div w:id="1060985447">
      <w:marLeft w:val="0"/>
      <w:marRight w:val="0"/>
      <w:marTop w:val="0"/>
      <w:marBottom w:val="120"/>
      <w:divBdr>
        <w:top w:val="none" w:sz="0" w:space="0" w:color="auto"/>
        <w:left w:val="none" w:sz="0" w:space="0" w:color="auto"/>
        <w:bottom w:val="none" w:sz="0" w:space="0" w:color="auto"/>
        <w:right w:val="none" w:sz="0" w:space="0" w:color="auto"/>
      </w:divBdr>
    </w:div>
    <w:div w:id="1065448789">
      <w:marLeft w:val="0"/>
      <w:marRight w:val="0"/>
      <w:marTop w:val="0"/>
      <w:marBottom w:val="0"/>
      <w:divBdr>
        <w:top w:val="none" w:sz="0" w:space="0" w:color="auto"/>
        <w:left w:val="none" w:sz="0" w:space="0" w:color="auto"/>
        <w:bottom w:val="none" w:sz="0" w:space="0" w:color="auto"/>
        <w:right w:val="none" w:sz="0" w:space="0" w:color="auto"/>
      </w:divBdr>
    </w:div>
    <w:div w:id="1070035614">
      <w:marLeft w:val="0"/>
      <w:marRight w:val="0"/>
      <w:marTop w:val="0"/>
      <w:marBottom w:val="120"/>
      <w:divBdr>
        <w:top w:val="none" w:sz="0" w:space="0" w:color="auto"/>
        <w:left w:val="none" w:sz="0" w:space="0" w:color="auto"/>
        <w:bottom w:val="none" w:sz="0" w:space="0" w:color="auto"/>
        <w:right w:val="none" w:sz="0" w:space="0" w:color="auto"/>
      </w:divBdr>
    </w:div>
    <w:div w:id="1077896429">
      <w:marLeft w:val="0"/>
      <w:marRight w:val="0"/>
      <w:marTop w:val="240"/>
      <w:marBottom w:val="120"/>
      <w:divBdr>
        <w:top w:val="none" w:sz="0" w:space="0" w:color="auto"/>
        <w:left w:val="none" w:sz="0" w:space="0" w:color="auto"/>
        <w:bottom w:val="none" w:sz="0" w:space="0" w:color="auto"/>
        <w:right w:val="none" w:sz="0" w:space="0" w:color="auto"/>
      </w:divBdr>
    </w:div>
    <w:div w:id="1078402454">
      <w:marLeft w:val="0"/>
      <w:marRight w:val="0"/>
      <w:marTop w:val="0"/>
      <w:marBottom w:val="120"/>
      <w:divBdr>
        <w:top w:val="none" w:sz="0" w:space="0" w:color="auto"/>
        <w:left w:val="none" w:sz="0" w:space="0" w:color="auto"/>
        <w:bottom w:val="none" w:sz="0" w:space="0" w:color="auto"/>
        <w:right w:val="none" w:sz="0" w:space="0" w:color="auto"/>
      </w:divBdr>
    </w:div>
    <w:div w:id="1081147739">
      <w:marLeft w:val="0"/>
      <w:marRight w:val="0"/>
      <w:marTop w:val="0"/>
      <w:marBottom w:val="0"/>
      <w:divBdr>
        <w:top w:val="none" w:sz="0" w:space="0" w:color="auto"/>
        <w:left w:val="none" w:sz="0" w:space="0" w:color="auto"/>
        <w:bottom w:val="none" w:sz="0" w:space="0" w:color="auto"/>
        <w:right w:val="none" w:sz="0" w:space="0" w:color="auto"/>
      </w:divBdr>
      <w:divsChild>
        <w:div w:id="1217470104">
          <w:marLeft w:val="0"/>
          <w:marRight w:val="0"/>
          <w:marTop w:val="0"/>
          <w:marBottom w:val="0"/>
          <w:divBdr>
            <w:top w:val="none" w:sz="0" w:space="0" w:color="auto"/>
            <w:left w:val="none" w:sz="0" w:space="0" w:color="auto"/>
            <w:bottom w:val="none" w:sz="0" w:space="0" w:color="auto"/>
            <w:right w:val="none" w:sz="0" w:space="0" w:color="auto"/>
          </w:divBdr>
        </w:div>
      </w:divsChild>
    </w:div>
    <w:div w:id="1085541702">
      <w:marLeft w:val="0"/>
      <w:marRight w:val="0"/>
      <w:marTop w:val="0"/>
      <w:marBottom w:val="0"/>
      <w:divBdr>
        <w:top w:val="none" w:sz="0" w:space="0" w:color="auto"/>
        <w:left w:val="none" w:sz="0" w:space="0" w:color="auto"/>
        <w:bottom w:val="none" w:sz="0" w:space="0" w:color="auto"/>
        <w:right w:val="none" w:sz="0" w:space="0" w:color="auto"/>
      </w:divBdr>
      <w:divsChild>
        <w:div w:id="709112770">
          <w:marLeft w:val="0"/>
          <w:marRight w:val="0"/>
          <w:marTop w:val="0"/>
          <w:marBottom w:val="0"/>
          <w:divBdr>
            <w:top w:val="none" w:sz="0" w:space="0" w:color="auto"/>
            <w:left w:val="none" w:sz="0" w:space="0" w:color="auto"/>
            <w:bottom w:val="none" w:sz="0" w:space="0" w:color="auto"/>
            <w:right w:val="none" w:sz="0" w:space="0" w:color="auto"/>
          </w:divBdr>
        </w:div>
      </w:divsChild>
    </w:div>
    <w:div w:id="1085759099">
      <w:marLeft w:val="0"/>
      <w:marRight w:val="0"/>
      <w:marTop w:val="0"/>
      <w:marBottom w:val="120"/>
      <w:divBdr>
        <w:top w:val="none" w:sz="0" w:space="0" w:color="auto"/>
        <w:left w:val="none" w:sz="0" w:space="0" w:color="auto"/>
        <w:bottom w:val="none" w:sz="0" w:space="0" w:color="auto"/>
        <w:right w:val="none" w:sz="0" w:space="0" w:color="auto"/>
      </w:divBdr>
    </w:div>
    <w:div w:id="1087775497">
      <w:marLeft w:val="0"/>
      <w:marRight w:val="0"/>
      <w:marTop w:val="0"/>
      <w:marBottom w:val="120"/>
      <w:divBdr>
        <w:top w:val="none" w:sz="0" w:space="0" w:color="auto"/>
        <w:left w:val="none" w:sz="0" w:space="0" w:color="auto"/>
        <w:bottom w:val="none" w:sz="0" w:space="0" w:color="auto"/>
        <w:right w:val="none" w:sz="0" w:space="0" w:color="auto"/>
      </w:divBdr>
    </w:div>
    <w:div w:id="1088501080">
      <w:marLeft w:val="0"/>
      <w:marRight w:val="0"/>
      <w:marTop w:val="0"/>
      <w:marBottom w:val="120"/>
      <w:divBdr>
        <w:top w:val="none" w:sz="0" w:space="0" w:color="auto"/>
        <w:left w:val="none" w:sz="0" w:space="0" w:color="auto"/>
        <w:bottom w:val="none" w:sz="0" w:space="0" w:color="auto"/>
        <w:right w:val="none" w:sz="0" w:space="0" w:color="auto"/>
      </w:divBdr>
    </w:div>
    <w:div w:id="1092434051">
      <w:marLeft w:val="0"/>
      <w:marRight w:val="0"/>
      <w:marTop w:val="100"/>
      <w:marBottom w:val="220"/>
      <w:divBdr>
        <w:top w:val="none" w:sz="0" w:space="0" w:color="auto"/>
        <w:left w:val="none" w:sz="0" w:space="0" w:color="auto"/>
        <w:bottom w:val="none" w:sz="0" w:space="0" w:color="auto"/>
        <w:right w:val="none" w:sz="0" w:space="0" w:color="auto"/>
      </w:divBdr>
    </w:div>
    <w:div w:id="1093085242">
      <w:marLeft w:val="0"/>
      <w:marRight w:val="0"/>
      <w:marTop w:val="0"/>
      <w:marBottom w:val="0"/>
      <w:divBdr>
        <w:top w:val="none" w:sz="0" w:space="0" w:color="auto"/>
        <w:left w:val="none" w:sz="0" w:space="0" w:color="auto"/>
        <w:bottom w:val="none" w:sz="0" w:space="0" w:color="auto"/>
        <w:right w:val="none" w:sz="0" w:space="0" w:color="auto"/>
      </w:divBdr>
      <w:divsChild>
        <w:div w:id="1890921797">
          <w:marLeft w:val="0"/>
          <w:marRight w:val="0"/>
          <w:marTop w:val="0"/>
          <w:marBottom w:val="0"/>
          <w:divBdr>
            <w:top w:val="none" w:sz="0" w:space="0" w:color="auto"/>
            <w:left w:val="none" w:sz="0" w:space="0" w:color="auto"/>
            <w:bottom w:val="none" w:sz="0" w:space="0" w:color="auto"/>
            <w:right w:val="none" w:sz="0" w:space="0" w:color="auto"/>
          </w:divBdr>
        </w:div>
      </w:divsChild>
    </w:div>
    <w:div w:id="1098716573">
      <w:marLeft w:val="0"/>
      <w:marRight w:val="0"/>
      <w:marTop w:val="0"/>
      <w:marBottom w:val="120"/>
      <w:divBdr>
        <w:top w:val="none" w:sz="0" w:space="0" w:color="auto"/>
        <w:left w:val="none" w:sz="0" w:space="0" w:color="auto"/>
        <w:bottom w:val="none" w:sz="0" w:space="0" w:color="auto"/>
        <w:right w:val="none" w:sz="0" w:space="0" w:color="auto"/>
      </w:divBdr>
    </w:div>
    <w:div w:id="1100836421">
      <w:marLeft w:val="0"/>
      <w:marRight w:val="0"/>
      <w:marTop w:val="100"/>
      <w:marBottom w:val="220"/>
      <w:divBdr>
        <w:top w:val="none" w:sz="0" w:space="0" w:color="auto"/>
        <w:left w:val="none" w:sz="0" w:space="0" w:color="auto"/>
        <w:bottom w:val="none" w:sz="0" w:space="0" w:color="auto"/>
        <w:right w:val="none" w:sz="0" w:space="0" w:color="auto"/>
      </w:divBdr>
    </w:div>
    <w:div w:id="1107651467">
      <w:marLeft w:val="0"/>
      <w:marRight w:val="0"/>
      <w:marTop w:val="100"/>
      <w:marBottom w:val="220"/>
      <w:divBdr>
        <w:top w:val="none" w:sz="0" w:space="0" w:color="auto"/>
        <w:left w:val="none" w:sz="0" w:space="0" w:color="auto"/>
        <w:bottom w:val="none" w:sz="0" w:space="0" w:color="auto"/>
        <w:right w:val="none" w:sz="0" w:space="0" w:color="auto"/>
      </w:divBdr>
      <w:divsChild>
        <w:div w:id="1260874023">
          <w:marLeft w:val="0"/>
          <w:marRight w:val="0"/>
          <w:marTop w:val="0"/>
          <w:marBottom w:val="0"/>
          <w:divBdr>
            <w:top w:val="none" w:sz="0" w:space="0" w:color="auto"/>
            <w:left w:val="none" w:sz="0" w:space="0" w:color="auto"/>
            <w:bottom w:val="none" w:sz="0" w:space="0" w:color="auto"/>
            <w:right w:val="none" w:sz="0" w:space="0" w:color="auto"/>
          </w:divBdr>
        </w:div>
        <w:div w:id="928466834">
          <w:marLeft w:val="0"/>
          <w:marRight w:val="0"/>
          <w:marTop w:val="0"/>
          <w:marBottom w:val="0"/>
          <w:divBdr>
            <w:top w:val="none" w:sz="0" w:space="0" w:color="auto"/>
            <w:left w:val="none" w:sz="0" w:space="0" w:color="auto"/>
            <w:bottom w:val="none" w:sz="0" w:space="0" w:color="auto"/>
            <w:right w:val="none" w:sz="0" w:space="0" w:color="auto"/>
          </w:divBdr>
        </w:div>
        <w:div w:id="1152404426">
          <w:marLeft w:val="0"/>
          <w:marRight w:val="0"/>
          <w:marTop w:val="0"/>
          <w:marBottom w:val="0"/>
          <w:divBdr>
            <w:top w:val="none" w:sz="0" w:space="0" w:color="auto"/>
            <w:left w:val="none" w:sz="0" w:space="0" w:color="auto"/>
            <w:bottom w:val="none" w:sz="0" w:space="0" w:color="auto"/>
            <w:right w:val="none" w:sz="0" w:space="0" w:color="auto"/>
          </w:divBdr>
        </w:div>
      </w:divsChild>
    </w:div>
    <w:div w:id="1109659905">
      <w:marLeft w:val="0"/>
      <w:marRight w:val="0"/>
      <w:marTop w:val="0"/>
      <w:marBottom w:val="0"/>
      <w:divBdr>
        <w:top w:val="none" w:sz="0" w:space="0" w:color="auto"/>
        <w:left w:val="none" w:sz="0" w:space="0" w:color="auto"/>
        <w:bottom w:val="none" w:sz="0" w:space="0" w:color="auto"/>
        <w:right w:val="none" w:sz="0" w:space="0" w:color="auto"/>
      </w:divBdr>
      <w:divsChild>
        <w:div w:id="1021669162">
          <w:marLeft w:val="0"/>
          <w:marRight w:val="0"/>
          <w:marTop w:val="0"/>
          <w:marBottom w:val="0"/>
          <w:divBdr>
            <w:top w:val="none" w:sz="0" w:space="0" w:color="auto"/>
            <w:left w:val="none" w:sz="0" w:space="0" w:color="auto"/>
            <w:bottom w:val="none" w:sz="0" w:space="0" w:color="auto"/>
            <w:right w:val="none" w:sz="0" w:space="0" w:color="auto"/>
          </w:divBdr>
        </w:div>
      </w:divsChild>
    </w:div>
    <w:div w:id="1110663087">
      <w:marLeft w:val="0"/>
      <w:marRight w:val="0"/>
      <w:marTop w:val="100"/>
      <w:marBottom w:val="220"/>
      <w:divBdr>
        <w:top w:val="none" w:sz="0" w:space="0" w:color="auto"/>
        <w:left w:val="none" w:sz="0" w:space="0" w:color="auto"/>
        <w:bottom w:val="none" w:sz="0" w:space="0" w:color="auto"/>
        <w:right w:val="none" w:sz="0" w:space="0" w:color="auto"/>
      </w:divBdr>
    </w:div>
    <w:div w:id="1114784021">
      <w:marLeft w:val="0"/>
      <w:marRight w:val="0"/>
      <w:marTop w:val="0"/>
      <w:marBottom w:val="120"/>
      <w:divBdr>
        <w:top w:val="none" w:sz="0" w:space="0" w:color="auto"/>
        <w:left w:val="none" w:sz="0" w:space="0" w:color="auto"/>
        <w:bottom w:val="none" w:sz="0" w:space="0" w:color="auto"/>
        <w:right w:val="none" w:sz="0" w:space="0" w:color="auto"/>
      </w:divBdr>
    </w:div>
    <w:div w:id="1127696790">
      <w:marLeft w:val="0"/>
      <w:marRight w:val="0"/>
      <w:marTop w:val="100"/>
      <w:marBottom w:val="100"/>
      <w:divBdr>
        <w:top w:val="none" w:sz="0" w:space="0" w:color="auto"/>
        <w:left w:val="none" w:sz="0" w:space="0" w:color="auto"/>
        <w:bottom w:val="none" w:sz="0" w:space="0" w:color="auto"/>
        <w:right w:val="none" w:sz="0" w:space="0" w:color="auto"/>
      </w:divBdr>
    </w:div>
    <w:div w:id="1131824904">
      <w:marLeft w:val="0"/>
      <w:marRight w:val="0"/>
      <w:marTop w:val="0"/>
      <w:marBottom w:val="120"/>
      <w:divBdr>
        <w:top w:val="none" w:sz="0" w:space="0" w:color="auto"/>
        <w:left w:val="none" w:sz="0" w:space="0" w:color="auto"/>
        <w:bottom w:val="none" w:sz="0" w:space="0" w:color="auto"/>
        <w:right w:val="none" w:sz="0" w:space="0" w:color="auto"/>
      </w:divBdr>
    </w:div>
    <w:div w:id="1132409893">
      <w:marLeft w:val="0"/>
      <w:marRight w:val="0"/>
      <w:marTop w:val="0"/>
      <w:marBottom w:val="120"/>
      <w:divBdr>
        <w:top w:val="none" w:sz="0" w:space="0" w:color="auto"/>
        <w:left w:val="none" w:sz="0" w:space="0" w:color="auto"/>
        <w:bottom w:val="none" w:sz="0" w:space="0" w:color="auto"/>
        <w:right w:val="none" w:sz="0" w:space="0" w:color="auto"/>
      </w:divBdr>
    </w:div>
    <w:div w:id="1136293424">
      <w:marLeft w:val="0"/>
      <w:marRight w:val="0"/>
      <w:marTop w:val="0"/>
      <w:marBottom w:val="120"/>
      <w:divBdr>
        <w:top w:val="none" w:sz="0" w:space="0" w:color="auto"/>
        <w:left w:val="none" w:sz="0" w:space="0" w:color="auto"/>
        <w:bottom w:val="none" w:sz="0" w:space="0" w:color="auto"/>
        <w:right w:val="none" w:sz="0" w:space="0" w:color="auto"/>
      </w:divBdr>
    </w:div>
    <w:div w:id="1141312443">
      <w:marLeft w:val="0"/>
      <w:marRight w:val="0"/>
      <w:marTop w:val="0"/>
      <w:marBottom w:val="120"/>
      <w:divBdr>
        <w:top w:val="none" w:sz="0" w:space="0" w:color="auto"/>
        <w:left w:val="none" w:sz="0" w:space="0" w:color="auto"/>
        <w:bottom w:val="none" w:sz="0" w:space="0" w:color="auto"/>
        <w:right w:val="none" w:sz="0" w:space="0" w:color="auto"/>
      </w:divBdr>
    </w:div>
    <w:div w:id="1155804151">
      <w:marLeft w:val="0"/>
      <w:marRight w:val="0"/>
      <w:marTop w:val="100"/>
      <w:marBottom w:val="100"/>
      <w:divBdr>
        <w:top w:val="none" w:sz="0" w:space="0" w:color="auto"/>
        <w:left w:val="none" w:sz="0" w:space="0" w:color="auto"/>
        <w:bottom w:val="none" w:sz="0" w:space="0" w:color="auto"/>
        <w:right w:val="none" w:sz="0" w:space="0" w:color="auto"/>
      </w:divBdr>
    </w:div>
    <w:div w:id="1163740621">
      <w:marLeft w:val="0"/>
      <w:marRight w:val="0"/>
      <w:marTop w:val="0"/>
      <w:marBottom w:val="120"/>
      <w:divBdr>
        <w:top w:val="none" w:sz="0" w:space="0" w:color="auto"/>
        <w:left w:val="none" w:sz="0" w:space="0" w:color="auto"/>
        <w:bottom w:val="none" w:sz="0" w:space="0" w:color="auto"/>
        <w:right w:val="none" w:sz="0" w:space="0" w:color="auto"/>
      </w:divBdr>
    </w:div>
    <w:div w:id="1164735286">
      <w:marLeft w:val="0"/>
      <w:marRight w:val="0"/>
      <w:marTop w:val="0"/>
      <w:marBottom w:val="120"/>
      <w:divBdr>
        <w:top w:val="none" w:sz="0" w:space="0" w:color="auto"/>
        <w:left w:val="none" w:sz="0" w:space="0" w:color="auto"/>
        <w:bottom w:val="none" w:sz="0" w:space="0" w:color="auto"/>
        <w:right w:val="none" w:sz="0" w:space="0" w:color="auto"/>
      </w:divBdr>
    </w:div>
    <w:div w:id="1167205593">
      <w:marLeft w:val="0"/>
      <w:marRight w:val="0"/>
      <w:marTop w:val="0"/>
      <w:marBottom w:val="0"/>
      <w:divBdr>
        <w:top w:val="none" w:sz="0" w:space="0" w:color="auto"/>
        <w:left w:val="none" w:sz="0" w:space="0" w:color="auto"/>
        <w:bottom w:val="none" w:sz="0" w:space="0" w:color="auto"/>
        <w:right w:val="none" w:sz="0" w:space="0" w:color="auto"/>
      </w:divBdr>
    </w:div>
    <w:div w:id="1170369541">
      <w:marLeft w:val="0"/>
      <w:marRight w:val="0"/>
      <w:marTop w:val="0"/>
      <w:marBottom w:val="120"/>
      <w:divBdr>
        <w:top w:val="none" w:sz="0" w:space="0" w:color="auto"/>
        <w:left w:val="none" w:sz="0" w:space="0" w:color="auto"/>
        <w:bottom w:val="none" w:sz="0" w:space="0" w:color="auto"/>
        <w:right w:val="none" w:sz="0" w:space="0" w:color="auto"/>
      </w:divBdr>
    </w:div>
    <w:div w:id="1193689736">
      <w:marLeft w:val="0"/>
      <w:marRight w:val="0"/>
      <w:marTop w:val="0"/>
      <w:marBottom w:val="120"/>
      <w:divBdr>
        <w:top w:val="none" w:sz="0" w:space="0" w:color="auto"/>
        <w:left w:val="none" w:sz="0" w:space="0" w:color="auto"/>
        <w:bottom w:val="none" w:sz="0" w:space="0" w:color="auto"/>
        <w:right w:val="none" w:sz="0" w:space="0" w:color="auto"/>
      </w:divBdr>
    </w:div>
    <w:div w:id="1200164072">
      <w:marLeft w:val="0"/>
      <w:marRight w:val="0"/>
      <w:marTop w:val="0"/>
      <w:marBottom w:val="120"/>
      <w:divBdr>
        <w:top w:val="none" w:sz="0" w:space="0" w:color="auto"/>
        <w:left w:val="none" w:sz="0" w:space="0" w:color="auto"/>
        <w:bottom w:val="none" w:sz="0" w:space="0" w:color="auto"/>
        <w:right w:val="none" w:sz="0" w:space="0" w:color="auto"/>
      </w:divBdr>
    </w:div>
    <w:div w:id="1201361963">
      <w:marLeft w:val="0"/>
      <w:marRight w:val="0"/>
      <w:marTop w:val="0"/>
      <w:marBottom w:val="120"/>
      <w:divBdr>
        <w:top w:val="none" w:sz="0" w:space="0" w:color="auto"/>
        <w:left w:val="none" w:sz="0" w:space="0" w:color="auto"/>
        <w:bottom w:val="none" w:sz="0" w:space="0" w:color="auto"/>
        <w:right w:val="none" w:sz="0" w:space="0" w:color="auto"/>
      </w:divBdr>
    </w:div>
    <w:div w:id="1204246064">
      <w:marLeft w:val="0"/>
      <w:marRight w:val="0"/>
      <w:marTop w:val="0"/>
      <w:marBottom w:val="120"/>
      <w:divBdr>
        <w:top w:val="none" w:sz="0" w:space="0" w:color="auto"/>
        <w:left w:val="none" w:sz="0" w:space="0" w:color="auto"/>
        <w:bottom w:val="none" w:sz="0" w:space="0" w:color="auto"/>
        <w:right w:val="none" w:sz="0" w:space="0" w:color="auto"/>
      </w:divBdr>
    </w:div>
    <w:div w:id="1204559080">
      <w:marLeft w:val="0"/>
      <w:marRight w:val="0"/>
      <w:marTop w:val="100"/>
      <w:marBottom w:val="220"/>
      <w:divBdr>
        <w:top w:val="none" w:sz="0" w:space="0" w:color="auto"/>
        <w:left w:val="none" w:sz="0" w:space="0" w:color="auto"/>
        <w:bottom w:val="none" w:sz="0" w:space="0" w:color="auto"/>
        <w:right w:val="none" w:sz="0" w:space="0" w:color="auto"/>
      </w:divBdr>
      <w:divsChild>
        <w:div w:id="1147086247">
          <w:marLeft w:val="0"/>
          <w:marRight w:val="0"/>
          <w:marTop w:val="0"/>
          <w:marBottom w:val="0"/>
          <w:divBdr>
            <w:top w:val="none" w:sz="0" w:space="0" w:color="auto"/>
            <w:left w:val="none" w:sz="0" w:space="0" w:color="auto"/>
            <w:bottom w:val="none" w:sz="0" w:space="0" w:color="auto"/>
            <w:right w:val="none" w:sz="0" w:space="0" w:color="auto"/>
          </w:divBdr>
        </w:div>
        <w:div w:id="267471582">
          <w:marLeft w:val="0"/>
          <w:marRight w:val="0"/>
          <w:marTop w:val="0"/>
          <w:marBottom w:val="0"/>
          <w:divBdr>
            <w:top w:val="none" w:sz="0" w:space="0" w:color="auto"/>
            <w:left w:val="none" w:sz="0" w:space="0" w:color="auto"/>
            <w:bottom w:val="none" w:sz="0" w:space="0" w:color="auto"/>
            <w:right w:val="none" w:sz="0" w:space="0" w:color="auto"/>
          </w:divBdr>
        </w:div>
        <w:div w:id="1111129755">
          <w:marLeft w:val="0"/>
          <w:marRight w:val="0"/>
          <w:marTop w:val="0"/>
          <w:marBottom w:val="0"/>
          <w:divBdr>
            <w:top w:val="none" w:sz="0" w:space="0" w:color="auto"/>
            <w:left w:val="none" w:sz="0" w:space="0" w:color="auto"/>
            <w:bottom w:val="none" w:sz="0" w:space="0" w:color="auto"/>
            <w:right w:val="none" w:sz="0" w:space="0" w:color="auto"/>
          </w:divBdr>
        </w:div>
        <w:div w:id="740367084">
          <w:marLeft w:val="0"/>
          <w:marRight w:val="0"/>
          <w:marTop w:val="0"/>
          <w:marBottom w:val="0"/>
          <w:divBdr>
            <w:top w:val="none" w:sz="0" w:space="0" w:color="auto"/>
            <w:left w:val="none" w:sz="0" w:space="0" w:color="auto"/>
            <w:bottom w:val="none" w:sz="0" w:space="0" w:color="auto"/>
            <w:right w:val="none" w:sz="0" w:space="0" w:color="auto"/>
          </w:divBdr>
        </w:div>
      </w:divsChild>
    </w:div>
    <w:div w:id="1205097310">
      <w:marLeft w:val="0"/>
      <w:marRight w:val="0"/>
      <w:marTop w:val="0"/>
      <w:marBottom w:val="120"/>
      <w:divBdr>
        <w:top w:val="none" w:sz="0" w:space="0" w:color="auto"/>
        <w:left w:val="none" w:sz="0" w:space="0" w:color="auto"/>
        <w:bottom w:val="none" w:sz="0" w:space="0" w:color="auto"/>
        <w:right w:val="none" w:sz="0" w:space="0" w:color="auto"/>
      </w:divBdr>
    </w:div>
    <w:div w:id="1205751132">
      <w:marLeft w:val="0"/>
      <w:marRight w:val="0"/>
      <w:marTop w:val="0"/>
      <w:marBottom w:val="0"/>
      <w:divBdr>
        <w:top w:val="none" w:sz="0" w:space="0" w:color="auto"/>
        <w:left w:val="none" w:sz="0" w:space="0" w:color="auto"/>
        <w:bottom w:val="none" w:sz="0" w:space="0" w:color="auto"/>
        <w:right w:val="none" w:sz="0" w:space="0" w:color="auto"/>
      </w:divBdr>
      <w:divsChild>
        <w:div w:id="618806398">
          <w:marLeft w:val="0"/>
          <w:marRight w:val="0"/>
          <w:marTop w:val="0"/>
          <w:marBottom w:val="0"/>
          <w:divBdr>
            <w:top w:val="none" w:sz="0" w:space="0" w:color="auto"/>
            <w:left w:val="none" w:sz="0" w:space="0" w:color="auto"/>
            <w:bottom w:val="none" w:sz="0" w:space="0" w:color="auto"/>
            <w:right w:val="none" w:sz="0" w:space="0" w:color="auto"/>
          </w:divBdr>
        </w:div>
        <w:div w:id="1152602249">
          <w:marLeft w:val="0"/>
          <w:marRight w:val="0"/>
          <w:marTop w:val="0"/>
          <w:marBottom w:val="120"/>
          <w:divBdr>
            <w:top w:val="none" w:sz="0" w:space="0" w:color="auto"/>
            <w:left w:val="none" w:sz="0" w:space="0" w:color="auto"/>
            <w:bottom w:val="none" w:sz="0" w:space="0" w:color="auto"/>
            <w:right w:val="none" w:sz="0" w:space="0" w:color="auto"/>
          </w:divBdr>
        </w:div>
      </w:divsChild>
    </w:div>
    <w:div w:id="1210920281">
      <w:marLeft w:val="0"/>
      <w:marRight w:val="0"/>
      <w:marTop w:val="0"/>
      <w:marBottom w:val="0"/>
      <w:divBdr>
        <w:top w:val="none" w:sz="0" w:space="0" w:color="auto"/>
        <w:left w:val="none" w:sz="0" w:space="0" w:color="auto"/>
        <w:bottom w:val="none" w:sz="0" w:space="0" w:color="auto"/>
        <w:right w:val="none" w:sz="0" w:space="0" w:color="auto"/>
      </w:divBdr>
    </w:div>
    <w:div w:id="1211116533">
      <w:marLeft w:val="0"/>
      <w:marRight w:val="0"/>
      <w:marTop w:val="0"/>
      <w:marBottom w:val="120"/>
      <w:divBdr>
        <w:top w:val="none" w:sz="0" w:space="0" w:color="auto"/>
        <w:left w:val="none" w:sz="0" w:space="0" w:color="auto"/>
        <w:bottom w:val="none" w:sz="0" w:space="0" w:color="auto"/>
        <w:right w:val="none" w:sz="0" w:space="0" w:color="auto"/>
      </w:divBdr>
    </w:div>
    <w:div w:id="1216938905">
      <w:marLeft w:val="0"/>
      <w:marRight w:val="0"/>
      <w:marTop w:val="0"/>
      <w:marBottom w:val="120"/>
      <w:divBdr>
        <w:top w:val="none" w:sz="0" w:space="0" w:color="auto"/>
        <w:left w:val="none" w:sz="0" w:space="0" w:color="auto"/>
        <w:bottom w:val="none" w:sz="0" w:space="0" w:color="auto"/>
        <w:right w:val="none" w:sz="0" w:space="0" w:color="auto"/>
      </w:divBdr>
    </w:div>
    <w:div w:id="1217159105">
      <w:marLeft w:val="0"/>
      <w:marRight w:val="0"/>
      <w:marTop w:val="0"/>
      <w:marBottom w:val="120"/>
      <w:divBdr>
        <w:top w:val="none" w:sz="0" w:space="0" w:color="auto"/>
        <w:left w:val="none" w:sz="0" w:space="0" w:color="auto"/>
        <w:bottom w:val="none" w:sz="0" w:space="0" w:color="auto"/>
        <w:right w:val="none" w:sz="0" w:space="0" w:color="auto"/>
      </w:divBdr>
    </w:div>
    <w:div w:id="1218395206">
      <w:marLeft w:val="0"/>
      <w:marRight w:val="0"/>
      <w:marTop w:val="0"/>
      <w:marBottom w:val="0"/>
      <w:divBdr>
        <w:top w:val="none" w:sz="0" w:space="0" w:color="auto"/>
        <w:left w:val="none" w:sz="0" w:space="0" w:color="auto"/>
        <w:bottom w:val="none" w:sz="0" w:space="0" w:color="auto"/>
        <w:right w:val="none" w:sz="0" w:space="0" w:color="auto"/>
      </w:divBdr>
      <w:divsChild>
        <w:div w:id="977035513">
          <w:marLeft w:val="0"/>
          <w:marRight w:val="0"/>
          <w:marTop w:val="0"/>
          <w:marBottom w:val="120"/>
          <w:divBdr>
            <w:top w:val="none" w:sz="0" w:space="0" w:color="auto"/>
            <w:left w:val="none" w:sz="0" w:space="0" w:color="auto"/>
            <w:bottom w:val="none" w:sz="0" w:space="0" w:color="auto"/>
            <w:right w:val="none" w:sz="0" w:space="0" w:color="auto"/>
          </w:divBdr>
        </w:div>
      </w:divsChild>
    </w:div>
    <w:div w:id="1222330222">
      <w:marLeft w:val="0"/>
      <w:marRight w:val="0"/>
      <w:marTop w:val="0"/>
      <w:marBottom w:val="120"/>
      <w:divBdr>
        <w:top w:val="none" w:sz="0" w:space="0" w:color="auto"/>
        <w:left w:val="none" w:sz="0" w:space="0" w:color="auto"/>
        <w:bottom w:val="none" w:sz="0" w:space="0" w:color="auto"/>
        <w:right w:val="none" w:sz="0" w:space="0" w:color="auto"/>
      </w:divBdr>
    </w:div>
    <w:div w:id="1224414739">
      <w:marLeft w:val="0"/>
      <w:marRight w:val="0"/>
      <w:marTop w:val="0"/>
      <w:marBottom w:val="120"/>
      <w:divBdr>
        <w:top w:val="none" w:sz="0" w:space="0" w:color="auto"/>
        <w:left w:val="none" w:sz="0" w:space="0" w:color="auto"/>
        <w:bottom w:val="none" w:sz="0" w:space="0" w:color="auto"/>
        <w:right w:val="none" w:sz="0" w:space="0" w:color="auto"/>
      </w:divBdr>
    </w:div>
    <w:div w:id="1243563618">
      <w:marLeft w:val="0"/>
      <w:marRight w:val="0"/>
      <w:marTop w:val="0"/>
      <w:marBottom w:val="0"/>
      <w:divBdr>
        <w:top w:val="none" w:sz="0" w:space="0" w:color="auto"/>
        <w:left w:val="none" w:sz="0" w:space="0" w:color="auto"/>
        <w:bottom w:val="none" w:sz="0" w:space="0" w:color="auto"/>
        <w:right w:val="none" w:sz="0" w:space="0" w:color="auto"/>
      </w:divBdr>
      <w:divsChild>
        <w:div w:id="13188032">
          <w:marLeft w:val="0"/>
          <w:marRight w:val="0"/>
          <w:marTop w:val="0"/>
          <w:marBottom w:val="0"/>
          <w:divBdr>
            <w:top w:val="none" w:sz="0" w:space="0" w:color="auto"/>
            <w:left w:val="none" w:sz="0" w:space="0" w:color="auto"/>
            <w:bottom w:val="none" w:sz="0" w:space="0" w:color="auto"/>
            <w:right w:val="none" w:sz="0" w:space="0" w:color="auto"/>
          </w:divBdr>
        </w:div>
      </w:divsChild>
    </w:div>
    <w:div w:id="1248809834">
      <w:marLeft w:val="0"/>
      <w:marRight w:val="0"/>
      <w:marTop w:val="0"/>
      <w:marBottom w:val="0"/>
      <w:divBdr>
        <w:top w:val="none" w:sz="0" w:space="0" w:color="auto"/>
        <w:left w:val="none" w:sz="0" w:space="0" w:color="auto"/>
        <w:bottom w:val="none" w:sz="0" w:space="0" w:color="auto"/>
        <w:right w:val="none" w:sz="0" w:space="0" w:color="auto"/>
      </w:divBdr>
    </w:div>
    <w:div w:id="1255357470">
      <w:marLeft w:val="0"/>
      <w:marRight w:val="0"/>
      <w:marTop w:val="0"/>
      <w:marBottom w:val="120"/>
      <w:divBdr>
        <w:top w:val="none" w:sz="0" w:space="0" w:color="auto"/>
        <w:left w:val="none" w:sz="0" w:space="0" w:color="auto"/>
        <w:bottom w:val="none" w:sz="0" w:space="0" w:color="auto"/>
        <w:right w:val="none" w:sz="0" w:space="0" w:color="auto"/>
      </w:divBdr>
    </w:div>
    <w:div w:id="1257204624">
      <w:marLeft w:val="0"/>
      <w:marRight w:val="0"/>
      <w:marTop w:val="0"/>
      <w:marBottom w:val="120"/>
      <w:divBdr>
        <w:top w:val="none" w:sz="0" w:space="0" w:color="auto"/>
        <w:left w:val="none" w:sz="0" w:space="0" w:color="auto"/>
        <w:bottom w:val="none" w:sz="0" w:space="0" w:color="auto"/>
        <w:right w:val="none" w:sz="0" w:space="0" w:color="auto"/>
      </w:divBdr>
    </w:div>
    <w:div w:id="1261723887">
      <w:marLeft w:val="0"/>
      <w:marRight w:val="0"/>
      <w:marTop w:val="0"/>
      <w:marBottom w:val="0"/>
      <w:divBdr>
        <w:top w:val="none" w:sz="0" w:space="0" w:color="auto"/>
        <w:left w:val="none" w:sz="0" w:space="0" w:color="auto"/>
        <w:bottom w:val="none" w:sz="0" w:space="0" w:color="auto"/>
        <w:right w:val="none" w:sz="0" w:space="0" w:color="auto"/>
      </w:divBdr>
      <w:divsChild>
        <w:div w:id="1266621879">
          <w:marLeft w:val="0"/>
          <w:marRight w:val="0"/>
          <w:marTop w:val="0"/>
          <w:marBottom w:val="0"/>
          <w:divBdr>
            <w:top w:val="none" w:sz="0" w:space="0" w:color="auto"/>
            <w:left w:val="none" w:sz="0" w:space="0" w:color="auto"/>
            <w:bottom w:val="none" w:sz="0" w:space="0" w:color="auto"/>
            <w:right w:val="none" w:sz="0" w:space="0" w:color="auto"/>
          </w:divBdr>
        </w:div>
        <w:div w:id="1940217334">
          <w:marLeft w:val="0"/>
          <w:marRight w:val="0"/>
          <w:marTop w:val="0"/>
          <w:marBottom w:val="0"/>
          <w:divBdr>
            <w:top w:val="none" w:sz="0" w:space="0" w:color="auto"/>
            <w:left w:val="none" w:sz="0" w:space="0" w:color="auto"/>
            <w:bottom w:val="none" w:sz="0" w:space="0" w:color="auto"/>
            <w:right w:val="none" w:sz="0" w:space="0" w:color="auto"/>
          </w:divBdr>
        </w:div>
      </w:divsChild>
    </w:div>
    <w:div w:id="1265579572">
      <w:marLeft w:val="0"/>
      <w:marRight w:val="0"/>
      <w:marTop w:val="0"/>
      <w:marBottom w:val="120"/>
      <w:divBdr>
        <w:top w:val="none" w:sz="0" w:space="0" w:color="auto"/>
        <w:left w:val="none" w:sz="0" w:space="0" w:color="auto"/>
        <w:bottom w:val="none" w:sz="0" w:space="0" w:color="auto"/>
        <w:right w:val="none" w:sz="0" w:space="0" w:color="auto"/>
      </w:divBdr>
    </w:div>
    <w:div w:id="1269464226">
      <w:marLeft w:val="0"/>
      <w:marRight w:val="0"/>
      <w:marTop w:val="0"/>
      <w:marBottom w:val="120"/>
      <w:divBdr>
        <w:top w:val="none" w:sz="0" w:space="0" w:color="auto"/>
        <w:left w:val="none" w:sz="0" w:space="0" w:color="auto"/>
        <w:bottom w:val="none" w:sz="0" w:space="0" w:color="auto"/>
        <w:right w:val="none" w:sz="0" w:space="0" w:color="auto"/>
      </w:divBdr>
    </w:div>
    <w:div w:id="1269922764">
      <w:marLeft w:val="0"/>
      <w:marRight w:val="0"/>
      <w:marTop w:val="0"/>
      <w:marBottom w:val="120"/>
      <w:divBdr>
        <w:top w:val="none" w:sz="0" w:space="0" w:color="auto"/>
        <w:left w:val="none" w:sz="0" w:space="0" w:color="auto"/>
        <w:bottom w:val="none" w:sz="0" w:space="0" w:color="auto"/>
        <w:right w:val="none" w:sz="0" w:space="0" w:color="auto"/>
      </w:divBdr>
    </w:div>
    <w:div w:id="1275097582">
      <w:marLeft w:val="0"/>
      <w:marRight w:val="0"/>
      <w:marTop w:val="100"/>
      <w:marBottom w:val="220"/>
      <w:divBdr>
        <w:top w:val="none" w:sz="0" w:space="0" w:color="auto"/>
        <w:left w:val="none" w:sz="0" w:space="0" w:color="auto"/>
        <w:bottom w:val="none" w:sz="0" w:space="0" w:color="auto"/>
        <w:right w:val="none" w:sz="0" w:space="0" w:color="auto"/>
      </w:divBdr>
    </w:div>
    <w:div w:id="1287809241">
      <w:marLeft w:val="0"/>
      <w:marRight w:val="0"/>
      <w:marTop w:val="0"/>
      <w:marBottom w:val="120"/>
      <w:divBdr>
        <w:top w:val="none" w:sz="0" w:space="0" w:color="auto"/>
        <w:left w:val="none" w:sz="0" w:space="0" w:color="auto"/>
        <w:bottom w:val="none" w:sz="0" w:space="0" w:color="auto"/>
        <w:right w:val="none" w:sz="0" w:space="0" w:color="auto"/>
      </w:divBdr>
    </w:div>
    <w:div w:id="1288849887">
      <w:marLeft w:val="0"/>
      <w:marRight w:val="0"/>
      <w:marTop w:val="0"/>
      <w:marBottom w:val="120"/>
      <w:divBdr>
        <w:top w:val="none" w:sz="0" w:space="0" w:color="auto"/>
        <w:left w:val="none" w:sz="0" w:space="0" w:color="auto"/>
        <w:bottom w:val="none" w:sz="0" w:space="0" w:color="auto"/>
        <w:right w:val="none" w:sz="0" w:space="0" w:color="auto"/>
      </w:divBdr>
    </w:div>
    <w:div w:id="1298300386">
      <w:marLeft w:val="0"/>
      <w:marRight w:val="0"/>
      <w:marTop w:val="0"/>
      <w:marBottom w:val="120"/>
      <w:divBdr>
        <w:top w:val="none" w:sz="0" w:space="0" w:color="auto"/>
        <w:left w:val="none" w:sz="0" w:space="0" w:color="auto"/>
        <w:bottom w:val="none" w:sz="0" w:space="0" w:color="auto"/>
        <w:right w:val="none" w:sz="0" w:space="0" w:color="auto"/>
      </w:divBdr>
    </w:div>
    <w:div w:id="1299920587">
      <w:marLeft w:val="0"/>
      <w:marRight w:val="0"/>
      <w:marTop w:val="100"/>
      <w:marBottom w:val="120"/>
      <w:divBdr>
        <w:top w:val="none" w:sz="0" w:space="0" w:color="auto"/>
        <w:left w:val="none" w:sz="0" w:space="0" w:color="auto"/>
        <w:bottom w:val="none" w:sz="0" w:space="0" w:color="auto"/>
        <w:right w:val="none" w:sz="0" w:space="0" w:color="auto"/>
      </w:divBdr>
    </w:div>
    <w:div w:id="1301963750">
      <w:marLeft w:val="0"/>
      <w:marRight w:val="0"/>
      <w:marTop w:val="0"/>
      <w:marBottom w:val="120"/>
      <w:divBdr>
        <w:top w:val="none" w:sz="0" w:space="0" w:color="auto"/>
        <w:left w:val="none" w:sz="0" w:space="0" w:color="auto"/>
        <w:bottom w:val="none" w:sz="0" w:space="0" w:color="auto"/>
        <w:right w:val="none" w:sz="0" w:space="0" w:color="auto"/>
      </w:divBdr>
    </w:div>
    <w:div w:id="1306467104">
      <w:marLeft w:val="0"/>
      <w:marRight w:val="0"/>
      <w:marTop w:val="0"/>
      <w:marBottom w:val="120"/>
      <w:divBdr>
        <w:top w:val="none" w:sz="0" w:space="0" w:color="auto"/>
        <w:left w:val="none" w:sz="0" w:space="0" w:color="auto"/>
        <w:bottom w:val="none" w:sz="0" w:space="0" w:color="auto"/>
        <w:right w:val="none" w:sz="0" w:space="0" w:color="auto"/>
      </w:divBdr>
    </w:div>
    <w:div w:id="1306549222">
      <w:marLeft w:val="0"/>
      <w:marRight w:val="0"/>
      <w:marTop w:val="0"/>
      <w:marBottom w:val="120"/>
      <w:divBdr>
        <w:top w:val="none" w:sz="0" w:space="0" w:color="auto"/>
        <w:left w:val="none" w:sz="0" w:space="0" w:color="auto"/>
        <w:bottom w:val="none" w:sz="0" w:space="0" w:color="auto"/>
        <w:right w:val="none" w:sz="0" w:space="0" w:color="auto"/>
      </w:divBdr>
    </w:div>
    <w:div w:id="1327902636">
      <w:marLeft w:val="0"/>
      <w:marRight w:val="0"/>
      <w:marTop w:val="0"/>
      <w:marBottom w:val="0"/>
      <w:divBdr>
        <w:top w:val="none" w:sz="0" w:space="0" w:color="auto"/>
        <w:left w:val="none" w:sz="0" w:space="0" w:color="auto"/>
        <w:bottom w:val="none" w:sz="0" w:space="0" w:color="auto"/>
        <w:right w:val="none" w:sz="0" w:space="0" w:color="auto"/>
      </w:divBdr>
      <w:divsChild>
        <w:div w:id="1089084990">
          <w:marLeft w:val="0"/>
          <w:marRight w:val="0"/>
          <w:marTop w:val="0"/>
          <w:marBottom w:val="0"/>
          <w:divBdr>
            <w:top w:val="none" w:sz="0" w:space="0" w:color="auto"/>
            <w:left w:val="none" w:sz="0" w:space="0" w:color="auto"/>
            <w:bottom w:val="none" w:sz="0" w:space="0" w:color="auto"/>
            <w:right w:val="none" w:sz="0" w:space="0" w:color="auto"/>
          </w:divBdr>
        </w:div>
      </w:divsChild>
    </w:div>
    <w:div w:id="1327978929">
      <w:marLeft w:val="0"/>
      <w:marRight w:val="0"/>
      <w:marTop w:val="0"/>
      <w:marBottom w:val="120"/>
      <w:divBdr>
        <w:top w:val="none" w:sz="0" w:space="0" w:color="auto"/>
        <w:left w:val="none" w:sz="0" w:space="0" w:color="auto"/>
        <w:bottom w:val="none" w:sz="0" w:space="0" w:color="auto"/>
        <w:right w:val="none" w:sz="0" w:space="0" w:color="auto"/>
      </w:divBdr>
    </w:div>
    <w:div w:id="1328509680">
      <w:marLeft w:val="0"/>
      <w:marRight w:val="0"/>
      <w:marTop w:val="0"/>
      <w:marBottom w:val="120"/>
      <w:divBdr>
        <w:top w:val="none" w:sz="0" w:space="0" w:color="auto"/>
        <w:left w:val="none" w:sz="0" w:space="0" w:color="auto"/>
        <w:bottom w:val="none" w:sz="0" w:space="0" w:color="auto"/>
        <w:right w:val="none" w:sz="0" w:space="0" w:color="auto"/>
      </w:divBdr>
    </w:div>
    <w:div w:id="1329168046">
      <w:marLeft w:val="0"/>
      <w:marRight w:val="0"/>
      <w:marTop w:val="0"/>
      <w:marBottom w:val="0"/>
      <w:divBdr>
        <w:top w:val="none" w:sz="0" w:space="0" w:color="auto"/>
        <w:left w:val="none" w:sz="0" w:space="0" w:color="auto"/>
        <w:bottom w:val="none" w:sz="0" w:space="0" w:color="auto"/>
        <w:right w:val="none" w:sz="0" w:space="0" w:color="auto"/>
      </w:divBdr>
    </w:div>
    <w:div w:id="1341397804">
      <w:marLeft w:val="0"/>
      <w:marRight w:val="0"/>
      <w:marTop w:val="0"/>
      <w:marBottom w:val="120"/>
      <w:divBdr>
        <w:top w:val="none" w:sz="0" w:space="0" w:color="auto"/>
        <w:left w:val="none" w:sz="0" w:space="0" w:color="auto"/>
        <w:bottom w:val="none" w:sz="0" w:space="0" w:color="auto"/>
        <w:right w:val="none" w:sz="0" w:space="0" w:color="auto"/>
      </w:divBdr>
    </w:div>
    <w:div w:id="1346900903">
      <w:marLeft w:val="0"/>
      <w:marRight w:val="0"/>
      <w:marTop w:val="0"/>
      <w:marBottom w:val="120"/>
      <w:divBdr>
        <w:top w:val="none" w:sz="0" w:space="0" w:color="auto"/>
        <w:left w:val="none" w:sz="0" w:space="0" w:color="auto"/>
        <w:bottom w:val="none" w:sz="0" w:space="0" w:color="auto"/>
        <w:right w:val="none" w:sz="0" w:space="0" w:color="auto"/>
      </w:divBdr>
    </w:div>
    <w:div w:id="1347632582">
      <w:marLeft w:val="0"/>
      <w:marRight w:val="0"/>
      <w:marTop w:val="0"/>
      <w:marBottom w:val="120"/>
      <w:divBdr>
        <w:top w:val="none" w:sz="0" w:space="0" w:color="auto"/>
        <w:left w:val="none" w:sz="0" w:space="0" w:color="auto"/>
        <w:bottom w:val="none" w:sz="0" w:space="0" w:color="auto"/>
        <w:right w:val="none" w:sz="0" w:space="0" w:color="auto"/>
      </w:divBdr>
    </w:div>
    <w:div w:id="1348756743">
      <w:marLeft w:val="0"/>
      <w:marRight w:val="0"/>
      <w:marTop w:val="0"/>
      <w:marBottom w:val="240"/>
      <w:divBdr>
        <w:top w:val="none" w:sz="0" w:space="0" w:color="auto"/>
        <w:left w:val="none" w:sz="0" w:space="0" w:color="auto"/>
        <w:bottom w:val="none" w:sz="0" w:space="0" w:color="auto"/>
        <w:right w:val="none" w:sz="0" w:space="0" w:color="auto"/>
      </w:divBdr>
    </w:div>
    <w:div w:id="1351839019">
      <w:marLeft w:val="0"/>
      <w:marRight w:val="0"/>
      <w:marTop w:val="0"/>
      <w:marBottom w:val="120"/>
      <w:divBdr>
        <w:top w:val="none" w:sz="0" w:space="0" w:color="auto"/>
        <w:left w:val="none" w:sz="0" w:space="0" w:color="auto"/>
        <w:bottom w:val="none" w:sz="0" w:space="0" w:color="auto"/>
        <w:right w:val="none" w:sz="0" w:space="0" w:color="auto"/>
      </w:divBdr>
    </w:div>
    <w:div w:id="1353871780">
      <w:marLeft w:val="0"/>
      <w:marRight w:val="0"/>
      <w:marTop w:val="0"/>
      <w:marBottom w:val="120"/>
      <w:divBdr>
        <w:top w:val="none" w:sz="0" w:space="0" w:color="auto"/>
        <w:left w:val="none" w:sz="0" w:space="0" w:color="auto"/>
        <w:bottom w:val="none" w:sz="0" w:space="0" w:color="auto"/>
        <w:right w:val="none" w:sz="0" w:space="0" w:color="auto"/>
      </w:divBdr>
    </w:div>
    <w:div w:id="1354696090">
      <w:marLeft w:val="0"/>
      <w:marRight w:val="0"/>
      <w:marTop w:val="0"/>
      <w:marBottom w:val="0"/>
      <w:divBdr>
        <w:top w:val="none" w:sz="0" w:space="0" w:color="auto"/>
        <w:left w:val="none" w:sz="0" w:space="0" w:color="auto"/>
        <w:bottom w:val="none" w:sz="0" w:space="0" w:color="auto"/>
        <w:right w:val="none" w:sz="0" w:space="0" w:color="auto"/>
      </w:divBdr>
      <w:divsChild>
        <w:div w:id="972489153">
          <w:marLeft w:val="0"/>
          <w:marRight w:val="0"/>
          <w:marTop w:val="0"/>
          <w:marBottom w:val="120"/>
          <w:divBdr>
            <w:top w:val="none" w:sz="0" w:space="0" w:color="auto"/>
            <w:left w:val="none" w:sz="0" w:space="0" w:color="auto"/>
            <w:bottom w:val="none" w:sz="0" w:space="0" w:color="auto"/>
            <w:right w:val="none" w:sz="0" w:space="0" w:color="auto"/>
          </w:divBdr>
        </w:div>
      </w:divsChild>
    </w:div>
    <w:div w:id="1360666813">
      <w:marLeft w:val="0"/>
      <w:marRight w:val="0"/>
      <w:marTop w:val="0"/>
      <w:marBottom w:val="240"/>
      <w:divBdr>
        <w:top w:val="none" w:sz="0" w:space="0" w:color="auto"/>
        <w:left w:val="none" w:sz="0" w:space="0" w:color="auto"/>
        <w:bottom w:val="none" w:sz="0" w:space="0" w:color="auto"/>
        <w:right w:val="none" w:sz="0" w:space="0" w:color="auto"/>
      </w:divBdr>
    </w:div>
    <w:div w:id="1364014327">
      <w:marLeft w:val="0"/>
      <w:marRight w:val="0"/>
      <w:marTop w:val="180"/>
      <w:marBottom w:val="0"/>
      <w:divBdr>
        <w:top w:val="none" w:sz="0" w:space="0" w:color="auto"/>
        <w:left w:val="none" w:sz="0" w:space="0" w:color="auto"/>
        <w:bottom w:val="none" w:sz="0" w:space="0" w:color="auto"/>
        <w:right w:val="none" w:sz="0" w:space="0" w:color="auto"/>
      </w:divBdr>
    </w:div>
    <w:div w:id="1364751775">
      <w:marLeft w:val="0"/>
      <w:marRight w:val="0"/>
      <w:marTop w:val="0"/>
      <w:marBottom w:val="120"/>
      <w:divBdr>
        <w:top w:val="none" w:sz="0" w:space="0" w:color="auto"/>
        <w:left w:val="none" w:sz="0" w:space="0" w:color="auto"/>
        <w:bottom w:val="none" w:sz="0" w:space="0" w:color="auto"/>
        <w:right w:val="none" w:sz="0" w:space="0" w:color="auto"/>
      </w:divBdr>
    </w:div>
    <w:div w:id="1369641087">
      <w:marLeft w:val="0"/>
      <w:marRight w:val="0"/>
      <w:marTop w:val="0"/>
      <w:marBottom w:val="120"/>
      <w:divBdr>
        <w:top w:val="none" w:sz="0" w:space="0" w:color="auto"/>
        <w:left w:val="none" w:sz="0" w:space="0" w:color="auto"/>
        <w:bottom w:val="none" w:sz="0" w:space="0" w:color="auto"/>
        <w:right w:val="none" w:sz="0" w:space="0" w:color="auto"/>
      </w:divBdr>
    </w:div>
    <w:div w:id="1371102330">
      <w:marLeft w:val="0"/>
      <w:marRight w:val="0"/>
      <w:marTop w:val="0"/>
      <w:marBottom w:val="0"/>
      <w:divBdr>
        <w:top w:val="none" w:sz="0" w:space="0" w:color="auto"/>
        <w:left w:val="none" w:sz="0" w:space="0" w:color="auto"/>
        <w:bottom w:val="none" w:sz="0" w:space="0" w:color="auto"/>
        <w:right w:val="none" w:sz="0" w:space="0" w:color="auto"/>
      </w:divBdr>
      <w:divsChild>
        <w:div w:id="1043481160">
          <w:marLeft w:val="0"/>
          <w:marRight w:val="0"/>
          <w:marTop w:val="0"/>
          <w:marBottom w:val="0"/>
          <w:divBdr>
            <w:top w:val="none" w:sz="0" w:space="0" w:color="auto"/>
            <w:left w:val="none" w:sz="0" w:space="0" w:color="auto"/>
            <w:bottom w:val="none" w:sz="0" w:space="0" w:color="auto"/>
            <w:right w:val="none" w:sz="0" w:space="0" w:color="auto"/>
          </w:divBdr>
        </w:div>
      </w:divsChild>
    </w:div>
    <w:div w:id="1379429508">
      <w:marLeft w:val="0"/>
      <w:marRight w:val="0"/>
      <w:marTop w:val="0"/>
      <w:marBottom w:val="120"/>
      <w:divBdr>
        <w:top w:val="none" w:sz="0" w:space="0" w:color="auto"/>
        <w:left w:val="none" w:sz="0" w:space="0" w:color="auto"/>
        <w:bottom w:val="none" w:sz="0" w:space="0" w:color="auto"/>
        <w:right w:val="none" w:sz="0" w:space="0" w:color="auto"/>
      </w:divBdr>
    </w:div>
    <w:div w:id="1389920137">
      <w:marLeft w:val="0"/>
      <w:marRight w:val="0"/>
      <w:marTop w:val="0"/>
      <w:marBottom w:val="120"/>
      <w:divBdr>
        <w:top w:val="none" w:sz="0" w:space="0" w:color="auto"/>
        <w:left w:val="none" w:sz="0" w:space="0" w:color="auto"/>
        <w:bottom w:val="none" w:sz="0" w:space="0" w:color="auto"/>
        <w:right w:val="none" w:sz="0" w:space="0" w:color="auto"/>
      </w:divBdr>
    </w:div>
    <w:div w:id="1399278938">
      <w:marLeft w:val="0"/>
      <w:marRight w:val="0"/>
      <w:marTop w:val="0"/>
      <w:marBottom w:val="0"/>
      <w:divBdr>
        <w:top w:val="none" w:sz="0" w:space="0" w:color="auto"/>
        <w:left w:val="none" w:sz="0" w:space="0" w:color="auto"/>
        <w:bottom w:val="none" w:sz="0" w:space="0" w:color="auto"/>
        <w:right w:val="none" w:sz="0" w:space="0" w:color="auto"/>
      </w:divBdr>
      <w:divsChild>
        <w:div w:id="710614574">
          <w:marLeft w:val="0"/>
          <w:marRight w:val="0"/>
          <w:marTop w:val="0"/>
          <w:marBottom w:val="0"/>
          <w:divBdr>
            <w:top w:val="none" w:sz="0" w:space="0" w:color="auto"/>
            <w:left w:val="none" w:sz="0" w:space="0" w:color="auto"/>
            <w:bottom w:val="none" w:sz="0" w:space="0" w:color="auto"/>
            <w:right w:val="none" w:sz="0" w:space="0" w:color="auto"/>
          </w:divBdr>
        </w:div>
      </w:divsChild>
    </w:div>
    <w:div w:id="1400051885">
      <w:marLeft w:val="0"/>
      <w:marRight w:val="0"/>
      <w:marTop w:val="0"/>
      <w:marBottom w:val="0"/>
      <w:divBdr>
        <w:top w:val="none" w:sz="0" w:space="0" w:color="auto"/>
        <w:left w:val="none" w:sz="0" w:space="0" w:color="auto"/>
        <w:bottom w:val="none" w:sz="0" w:space="0" w:color="auto"/>
        <w:right w:val="none" w:sz="0" w:space="0" w:color="auto"/>
      </w:divBdr>
      <w:divsChild>
        <w:div w:id="1838223340">
          <w:marLeft w:val="0"/>
          <w:marRight w:val="0"/>
          <w:marTop w:val="0"/>
          <w:marBottom w:val="0"/>
          <w:divBdr>
            <w:top w:val="none" w:sz="0" w:space="0" w:color="auto"/>
            <w:left w:val="none" w:sz="0" w:space="0" w:color="auto"/>
            <w:bottom w:val="none" w:sz="0" w:space="0" w:color="auto"/>
            <w:right w:val="none" w:sz="0" w:space="0" w:color="auto"/>
          </w:divBdr>
        </w:div>
      </w:divsChild>
    </w:div>
    <w:div w:id="1402870086">
      <w:marLeft w:val="0"/>
      <w:marRight w:val="0"/>
      <w:marTop w:val="0"/>
      <w:marBottom w:val="0"/>
      <w:divBdr>
        <w:top w:val="none" w:sz="0" w:space="0" w:color="auto"/>
        <w:left w:val="none" w:sz="0" w:space="0" w:color="auto"/>
        <w:bottom w:val="none" w:sz="0" w:space="0" w:color="auto"/>
        <w:right w:val="none" w:sz="0" w:space="0" w:color="auto"/>
      </w:divBdr>
      <w:divsChild>
        <w:div w:id="1716192956">
          <w:marLeft w:val="0"/>
          <w:marRight w:val="0"/>
          <w:marTop w:val="0"/>
          <w:marBottom w:val="0"/>
          <w:divBdr>
            <w:top w:val="none" w:sz="0" w:space="0" w:color="auto"/>
            <w:left w:val="none" w:sz="0" w:space="0" w:color="auto"/>
            <w:bottom w:val="none" w:sz="0" w:space="0" w:color="auto"/>
            <w:right w:val="none" w:sz="0" w:space="0" w:color="auto"/>
          </w:divBdr>
        </w:div>
      </w:divsChild>
    </w:div>
    <w:div w:id="1404838510">
      <w:marLeft w:val="0"/>
      <w:marRight w:val="0"/>
      <w:marTop w:val="0"/>
      <w:marBottom w:val="120"/>
      <w:divBdr>
        <w:top w:val="none" w:sz="0" w:space="0" w:color="auto"/>
        <w:left w:val="none" w:sz="0" w:space="0" w:color="auto"/>
        <w:bottom w:val="none" w:sz="0" w:space="0" w:color="auto"/>
        <w:right w:val="none" w:sz="0" w:space="0" w:color="auto"/>
      </w:divBdr>
    </w:div>
    <w:div w:id="1410465821">
      <w:marLeft w:val="0"/>
      <w:marRight w:val="0"/>
      <w:marTop w:val="0"/>
      <w:marBottom w:val="120"/>
      <w:divBdr>
        <w:top w:val="none" w:sz="0" w:space="0" w:color="auto"/>
        <w:left w:val="none" w:sz="0" w:space="0" w:color="auto"/>
        <w:bottom w:val="none" w:sz="0" w:space="0" w:color="auto"/>
        <w:right w:val="none" w:sz="0" w:space="0" w:color="auto"/>
      </w:divBdr>
    </w:div>
    <w:div w:id="1411122488">
      <w:marLeft w:val="0"/>
      <w:marRight w:val="0"/>
      <w:marTop w:val="0"/>
      <w:marBottom w:val="0"/>
      <w:divBdr>
        <w:top w:val="none" w:sz="0" w:space="0" w:color="auto"/>
        <w:left w:val="none" w:sz="0" w:space="0" w:color="auto"/>
        <w:bottom w:val="none" w:sz="0" w:space="0" w:color="auto"/>
        <w:right w:val="none" w:sz="0" w:space="0" w:color="auto"/>
      </w:divBdr>
      <w:divsChild>
        <w:div w:id="1496990386">
          <w:marLeft w:val="0"/>
          <w:marRight w:val="0"/>
          <w:marTop w:val="0"/>
          <w:marBottom w:val="120"/>
          <w:divBdr>
            <w:top w:val="none" w:sz="0" w:space="0" w:color="auto"/>
            <w:left w:val="none" w:sz="0" w:space="0" w:color="auto"/>
            <w:bottom w:val="none" w:sz="0" w:space="0" w:color="auto"/>
            <w:right w:val="none" w:sz="0" w:space="0" w:color="auto"/>
          </w:divBdr>
        </w:div>
      </w:divsChild>
    </w:div>
    <w:div w:id="1415780702">
      <w:marLeft w:val="0"/>
      <w:marRight w:val="0"/>
      <w:marTop w:val="0"/>
      <w:marBottom w:val="120"/>
      <w:divBdr>
        <w:top w:val="none" w:sz="0" w:space="0" w:color="auto"/>
        <w:left w:val="none" w:sz="0" w:space="0" w:color="auto"/>
        <w:bottom w:val="none" w:sz="0" w:space="0" w:color="auto"/>
        <w:right w:val="none" w:sz="0" w:space="0" w:color="auto"/>
      </w:divBdr>
    </w:div>
    <w:div w:id="1418558609">
      <w:marLeft w:val="0"/>
      <w:marRight w:val="0"/>
      <w:marTop w:val="0"/>
      <w:marBottom w:val="120"/>
      <w:divBdr>
        <w:top w:val="none" w:sz="0" w:space="0" w:color="auto"/>
        <w:left w:val="none" w:sz="0" w:space="0" w:color="auto"/>
        <w:bottom w:val="none" w:sz="0" w:space="0" w:color="auto"/>
        <w:right w:val="none" w:sz="0" w:space="0" w:color="auto"/>
      </w:divBdr>
    </w:div>
    <w:div w:id="1418937984">
      <w:marLeft w:val="0"/>
      <w:marRight w:val="0"/>
      <w:marTop w:val="0"/>
      <w:marBottom w:val="120"/>
      <w:divBdr>
        <w:top w:val="none" w:sz="0" w:space="0" w:color="auto"/>
        <w:left w:val="none" w:sz="0" w:space="0" w:color="auto"/>
        <w:bottom w:val="none" w:sz="0" w:space="0" w:color="auto"/>
        <w:right w:val="none" w:sz="0" w:space="0" w:color="auto"/>
      </w:divBdr>
    </w:div>
    <w:div w:id="1421369797">
      <w:marLeft w:val="0"/>
      <w:marRight w:val="0"/>
      <w:marTop w:val="0"/>
      <w:marBottom w:val="12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441408903">
      <w:marLeft w:val="0"/>
      <w:marRight w:val="0"/>
      <w:marTop w:val="0"/>
      <w:marBottom w:val="120"/>
      <w:divBdr>
        <w:top w:val="none" w:sz="0" w:space="0" w:color="auto"/>
        <w:left w:val="none" w:sz="0" w:space="0" w:color="auto"/>
        <w:bottom w:val="none" w:sz="0" w:space="0" w:color="auto"/>
        <w:right w:val="none" w:sz="0" w:space="0" w:color="auto"/>
      </w:divBdr>
    </w:div>
    <w:div w:id="1445659744">
      <w:marLeft w:val="0"/>
      <w:marRight w:val="0"/>
      <w:marTop w:val="0"/>
      <w:marBottom w:val="120"/>
      <w:divBdr>
        <w:top w:val="none" w:sz="0" w:space="0" w:color="auto"/>
        <w:left w:val="none" w:sz="0" w:space="0" w:color="auto"/>
        <w:bottom w:val="none" w:sz="0" w:space="0" w:color="auto"/>
        <w:right w:val="none" w:sz="0" w:space="0" w:color="auto"/>
      </w:divBdr>
    </w:div>
    <w:div w:id="1447583478">
      <w:marLeft w:val="0"/>
      <w:marRight w:val="0"/>
      <w:marTop w:val="0"/>
      <w:marBottom w:val="120"/>
      <w:divBdr>
        <w:top w:val="none" w:sz="0" w:space="0" w:color="auto"/>
        <w:left w:val="none" w:sz="0" w:space="0" w:color="auto"/>
        <w:bottom w:val="none" w:sz="0" w:space="0" w:color="auto"/>
        <w:right w:val="none" w:sz="0" w:space="0" w:color="auto"/>
      </w:divBdr>
    </w:div>
    <w:div w:id="1451819188">
      <w:marLeft w:val="0"/>
      <w:marRight w:val="0"/>
      <w:marTop w:val="0"/>
      <w:marBottom w:val="120"/>
      <w:divBdr>
        <w:top w:val="none" w:sz="0" w:space="0" w:color="auto"/>
        <w:left w:val="none" w:sz="0" w:space="0" w:color="auto"/>
        <w:bottom w:val="none" w:sz="0" w:space="0" w:color="auto"/>
        <w:right w:val="none" w:sz="0" w:space="0" w:color="auto"/>
      </w:divBdr>
    </w:div>
    <w:div w:id="1452868146">
      <w:marLeft w:val="0"/>
      <w:marRight w:val="0"/>
      <w:marTop w:val="100"/>
      <w:marBottom w:val="220"/>
      <w:divBdr>
        <w:top w:val="none" w:sz="0" w:space="0" w:color="auto"/>
        <w:left w:val="none" w:sz="0" w:space="0" w:color="auto"/>
        <w:bottom w:val="none" w:sz="0" w:space="0" w:color="auto"/>
        <w:right w:val="none" w:sz="0" w:space="0" w:color="auto"/>
      </w:divBdr>
      <w:divsChild>
        <w:div w:id="729620995">
          <w:marLeft w:val="0"/>
          <w:marRight w:val="0"/>
          <w:marTop w:val="0"/>
          <w:marBottom w:val="0"/>
          <w:divBdr>
            <w:top w:val="none" w:sz="0" w:space="0" w:color="auto"/>
            <w:left w:val="none" w:sz="0" w:space="0" w:color="auto"/>
            <w:bottom w:val="none" w:sz="0" w:space="0" w:color="auto"/>
            <w:right w:val="none" w:sz="0" w:space="0" w:color="auto"/>
          </w:divBdr>
        </w:div>
        <w:div w:id="1305089466">
          <w:marLeft w:val="0"/>
          <w:marRight w:val="0"/>
          <w:marTop w:val="0"/>
          <w:marBottom w:val="0"/>
          <w:divBdr>
            <w:top w:val="none" w:sz="0" w:space="0" w:color="auto"/>
            <w:left w:val="none" w:sz="0" w:space="0" w:color="auto"/>
            <w:bottom w:val="none" w:sz="0" w:space="0" w:color="auto"/>
            <w:right w:val="none" w:sz="0" w:space="0" w:color="auto"/>
          </w:divBdr>
        </w:div>
        <w:div w:id="360206503">
          <w:marLeft w:val="0"/>
          <w:marRight w:val="0"/>
          <w:marTop w:val="0"/>
          <w:marBottom w:val="0"/>
          <w:divBdr>
            <w:top w:val="none" w:sz="0" w:space="0" w:color="auto"/>
            <w:left w:val="none" w:sz="0" w:space="0" w:color="auto"/>
            <w:bottom w:val="none" w:sz="0" w:space="0" w:color="auto"/>
            <w:right w:val="none" w:sz="0" w:space="0" w:color="auto"/>
          </w:divBdr>
        </w:div>
      </w:divsChild>
    </w:div>
    <w:div w:id="1457798518">
      <w:marLeft w:val="0"/>
      <w:marRight w:val="0"/>
      <w:marTop w:val="0"/>
      <w:marBottom w:val="0"/>
      <w:divBdr>
        <w:top w:val="none" w:sz="0" w:space="0" w:color="auto"/>
        <w:left w:val="none" w:sz="0" w:space="0" w:color="auto"/>
        <w:bottom w:val="none" w:sz="0" w:space="0" w:color="auto"/>
        <w:right w:val="none" w:sz="0" w:space="0" w:color="auto"/>
      </w:divBdr>
    </w:div>
    <w:div w:id="1457944978">
      <w:marLeft w:val="0"/>
      <w:marRight w:val="0"/>
      <w:marTop w:val="0"/>
      <w:marBottom w:val="120"/>
      <w:divBdr>
        <w:top w:val="none" w:sz="0" w:space="0" w:color="auto"/>
        <w:left w:val="none" w:sz="0" w:space="0" w:color="auto"/>
        <w:bottom w:val="none" w:sz="0" w:space="0" w:color="auto"/>
        <w:right w:val="none" w:sz="0" w:space="0" w:color="auto"/>
      </w:divBdr>
    </w:div>
    <w:div w:id="1458718319">
      <w:marLeft w:val="0"/>
      <w:marRight w:val="0"/>
      <w:marTop w:val="0"/>
      <w:marBottom w:val="120"/>
      <w:divBdr>
        <w:top w:val="none" w:sz="0" w:space="0" w:color="auto"/>
        <w:left w:val="none" w:sz="0" w:space="0" w:color="auto"/>
        <w:bottom w:val="none" w:sz="0" w:space="0" w:color="auto"/>
        <w:right w:val="none" w:sz="0" w:space="0" w:color="auto"/>
      </w:divBdr>
    </w:div>
    <w:div w:id="1459179336">
      <w:marLeft w:val="0"/>
      <w:marRight w:val="0"/>
      <w:marTop w:val="0"/>
      <w:marBottom w:val="0"/>
      <w:divBdr>
        <w:top w:val="none" w:sz="0" w:space="0" w:color="auto"/>
        <w:left w:val="none" w:sz="0" w:space="0" w:color="auto"/>
        <w:bottom w:val="none" w:sz="0" w:space="0" w:color="auto"/>
        <w:right w:val="none" w:sz="0" w:space="0" w:color="auto"/>
      </w:divBdr>
      <w:divsChild>
        <w:div w:id="415981393">
          <w:marLeft w:val="0"/>
          <w:marRight w:val="0"/>
          <w:marTop w:val="0"/>
          <w:marBottom w:val="0"/>
          <w:divBdr>
            <w:top w:val="none" w:sz="0" w:space="0" w:color="auto"/>
            <w:left w:val="none" w:sz="0" w:space="0" w:color="auto"/>
            <w:bottom w:val="none" w:sz="0" w:space="0" w:color="auto"/>
            <w:right w:val="none" w:sz="0" w:space="0" w:color="auto"/>
          </w:divBdr>
        </w:div>
      </w:divsChild>
    </w:div>
    <w:div w:id="1472210950">
      <w:marLeft w:val="0"/>
      <w:marRight w:val="0"/>
      <w:marTop w:val="0"/>
      <w:marBottom w:val="120"/>
      <w:divBdr>
        <w:top w:val="none" w:sz="0" w:space="0" w:color="auto"/>
        <w:left w:val="none" w:sz="0" w:space="0" w:color="auto"/>
        <w:bottom w:val="none" w:sz="0" w:space="0" w:color="auto"/>
        <w:right w:val="none" w:sz="0" w:space="0" w:color="auto"/>
      </w:divBdr>
    </w:div>
    <w:div w:id="1480682388">
      <w:marLeft w:val="0"/>
      <w:marRight w:val="0"/>
      <w:marTop w:val="0"/>
      <w:marBottom w:val="120"/>
      <w:divBdr>
        <w:top w:val="none" w:sz="0" w:space="0" w:color="auto"/>
        <w:left w:val="none" w:sz="0" w:space="0" w:color="auto"/>
        <w:bottom w:val="none" w:sz="0" w:space="0" w:color="auto"/>
        <w:right w:val="none" w:sz="0" w:space="0" w:color="auto"/>
      </w:divBdr>
    </w:div>
    <w:div w:id="1485000941">
      <w:marLeft w:val="0"/>
      <w:marRight w:val="0"/>
      <w:marTop w:val="100"/>
      <w:marBottom w:val="220"/>
      <w:divBdr>
        <w:top w:val="none" w:sz="0" w:space="0" w:color="auto"/>
        <w:left w:val="none" w:sz="0" w:space="0" w:color="auto"/>
        <w:bottom w:val="none" w:sz="0" w:space="0" w:color="auto"/>
        <w:right w:val="none" w:sz="0" w:space="0" w:color="auto"/>
      </w:divBdr>
    </w:div>
    <w:div w:id="1487091896">
      <w:marLeft w:val="0"/>
      <w:marRight w:val="0"/>
      <w:marTop w:val="0"/>
      <w:marBottom w:val="120"/>
      <w:divBdr>
        <w:top w:val="none" w:sz="0" w:space="0" w:color="auto"/>
        <w:left w:val="none" w:sz="0" w:space="0" w:color="auto"/>
        <w:bottom w:val="none" w:sz="0" w:space="0" w:color="auto"/>
        <w:right w:val="none" w:sz="0" w:space="0" w:color="auto"/>
      </w:divBdr>
    </w:div>
    <w:div w:id="1492679499">
      <w:marLeft w:val="0"/>
      <w:marRight w:val="0"/>
      <w:marTop w:val="0"/>
      <w:marBottom w:val="120"/>
      <w:divBdr>
        <w:top w:val="none" w:sz="0" w:space="0" w:color="auto"/>
        <w:left w:val="none" w:sz="0" w:space="0" w:color="auto"/>
        <w:bottom w:val="none" w:sz="0" w:space="0" w:color="auto"/>
        <w:right w:val="none" w:sz="0" w:space="0" w:color="auto"/>
      </w:divBdr>
    </w:div>
    <w:div w:id="1498691628">
      <w:marLeft w:val="0"/>
      <w:marRight w:val="0"/>
      <w:marTop w:val="0"/>
      <w:marBottom w:val="120"/>
      <w:divBdr>
        <w:top w:val="none" w:sz="0" w:space="0" w:color="auto"/>
        <w:left w:val="none" w:sz="0" w:space="0" w:color="auto"/>
        <w:bottom w:val="none" w:sz="0" w:space="0" w:color="auto"/>
        <w:right w:val="none" w:sz="0" w:space="0" w:color="auto"/>
      </w:divBdr>
    </w:div>
    <w:div w:id="1502508714">
      <w:marLeft w:val="0"/>
      <w:marRight w:val="0"/>
      <w:marTop w:val="0"/>
      <w:marBottom w:val="0"/>
      <w:divBdr>
        <w:top w:val="none" w:sz="0" w:space="0" w:color="auto"/>
        <w:left w:val="none" w:sz="0" w:space="0" w:color="auto"/>
        <w:bottom w:val="none" w:sz="0" w:space="0" w:color="auto"/>
        <w:right w:val="none" w:sz="0" w:space="0" w:color="auto"/>
      </w:divBdr>
      <w:divsChild>
        <w:div w:id="755442332">
          <w:marLeft w:val="0"/>
          <w:marRight w:val="0"/>
          <w:marTop w:val="0"/>
          <w:marBottom w:val="0"/>
          <w:divBdr>
            <w:top w:val="none" w:sz="0" w:space="0" w:color="auto"/>
            <w:left w:val="none" w:sz="0" w:space="0" w:color="auto"/>
            <w:bottom w:val="none" w:sz="0" w:space="0" w:color="auto"/>
            <w:right w:val="none" w:sz="0" w:space="0" w:color="auto"/>
          </w:divBdr>
        </w:div>
      </w:divsChild>
    </w:div>
    <w:div w:id="1506750853">
      <w:marLeft w:val="0"/>
      <w:marRight w:val="0"/>
      <w:marTop w:val="0"/>
      <w:marBottom w:val="0"/>
      <w:divBdr>
        <w:top w:val="none" w:sz="0" w:space="0" w:color="auto"/>
        <w:left w:val="none" w:sz="0" w:space="0" w:color="auto"/>
        <w:bottom w:val="none" w:sz="0" w:space="0" w:color="auto"/>
        <w:right w:val="none" w:sz="0" w:space="0" w:color="auto"/>
      </w:divBdr>
      <w:divsChild>
        <w:div w:id="1537504713">
          <w:marLeft w:val="0"/>
          <w:marRight w:val="0"/>
          <w:marTop w:val="0"/>
          <w:marBottom w:val="0"/>
          <w:divBdr>
            <w:top w:val="none" w:sz="0" w:space="0" w:color="auto"/>
            <w:left w:val="none" w:sz="0" w:space="0" w:color="auto"/>
            <w:bottom w:val="none" w:sz="0" w:space="0" w:color="auto"/>
            <w:right w:val="none" w:sz="0" w:space="0" w:color="auto"/>
          </w:divBdr>
        </w:div>
      </w:divsChild>
    </w:div>
    <w:div w:id="1511093398">
      <w:marLeft w:val="0"/>
      <w:marRight w:val="0"/>
      <w:marTop w:val="0"/>
      <w:marBottom w:val="120"/>
      <w:divBdr>
        <w:top w:val="none" w:sz="0" w:space="0" w:color="auto"/>
        <w:left w:val="none" w:sz="0" w:space="0" w:color="auto"/>
        <w:bottom w:val="none" w:sz="0" w:space="0" w:color="auto"/>
        <w:right w:val="none" w:sz="0" w:space="0" w:color="auto"/>
      </w:divBdr>
    </w:div>
    <w:div w:id="1514033918">
      <w:marLeft w:val="0"/>
      <w:marRight w:val="0"/>
      <w:marTop w:val="0"/>
      <w:marBottom w:val="120"/>
      <w:divBdr>
        <w:top w:val="none" w:sz="0" w:space="0" w:color="auto"/>
        <w:left w:val="none" w:sz="0" w:space="0" w:color="auto"/>
        <w:bottom w:val="none" w:sz="0" w:space="0" w:color="auto"/>
        <w:right w:val="none" w:sz="0" w:space="0" w:color="auto"/>
      </w:divBdr>
    </w:div>
    <w:div w:id="1518614242">
      <w:marLeft w:val="0"/>
      <w:marRight w:val="0"/>
      <w:marTop w:val="0"/>
      <w:marBottom w:val="120"/>
      <w:divBdr>
        <w:top w:val="none" w:sz="0" w:space="0" w:color="auto"/>
        <w:left w:val="none" w:sz="0" w:space="0" w:color="auto"/>
        <w:bottom w:val="none" w:sz="0" w:space="0" w:color="auto"/>
        <w:right w:val="none" w:sz="0" w:space="0" w:color="auto"/>
      </w:divBdr>
    </w:div>
    <w:div w:id="1519001579">
      <w:marLeft w:val="0"/>
      <w:marRight w:val="0"/>
      <w:marTop w:val="0"/>
      <w:marBottom w:val="0"/>
      <w:divBdr>
        <w:top w:val="none" w:sz="0" w:space="0" w:color="auto"/>
        <w:left w:val="none" w:sz="0" w:space="0" w:color="auto"/>
        <w:bottom w:val="none" w:sz="0" w:space="0" w:color="auto"/>
        <w:right w:val="none" w:sz="0" w:space="0" w:color="auto"/>
      </w:divBdr>
      <w:divsChild>
        <w:div w:id="357437077">
          <w:marLeft w:val="0"/>
          <w:marRight w:val="0"/>
          <w:marTop w:val="0"/>
          <w:marBottom w:val="0"/>
          <w:divBdr>
            <w:top w:val="none" w:sz="0" w:space="0" w:color="auto"/>
            <w:left w:val="none" w:sz="0" w:space="0" w:color="auto"/>
            <w:bottom w:val="none" w:sz="0" w:space="0" w:color="auto"/>
            <w:right w:val="none" w:sz="0" w:space="0" w:color="auto"/>
          </w:divBdr>
        </w:div>
        <w:div w:id="1933732287">
          <w:marLeft w:val="0"/>
          <w:marRight w:val="0"/>
          <w:marTop w:val="0"/>
          <w:marBottom w:val="0"/>
          <w:divBdr>
            <w:top w:val="none" w:sz="0" w:space="0" w:color="auto"/>
            <w:left w:val="none" w:sz="0" w:space="0" w:color="auto"/>
            <w:bottom w:val="none" w:sz="0" w:space="0" w:color="auto"/>
            <w:right w:val="none" w:sz="0" w:space="0" w:color="auto"/>
          </w:divBdr>
        </w:div>
      </w:divsChild>
    </w:div>
    <w:div w:id="1519267915">
      <w:marLeft w:val="0"/>
      <w:marRight w:val="0"/>
      <w:marTop w:val="100"/>
      <w:marBottom w:val="100"/>
      <w:divBdr>
        <w:top w:val="none" w:sz="0" w:space="0" w:color="auto"/>
        <w:left w:val="none" w:sz="0" w:space="0" w:color="auto"/>
        <w:bottom w:val="none" w:sz="0" w:space="0" w:color="auto"/>
        <w:right w:val="none" w:sz="0" w:space="0" w:color="auto"/>
      </w:divBdr>
    </w:div>
    <w:div w:id="1519388931">
      <w:marLeft w:val="0"/>
      <w:marRight w:val="0"/>
      <w:marTop w:val="0"/>
      <w:marBottom w:val="120"/>
      <w:divBdr>
        <w:top w:val="none" w:sz="0" w:space="0" w:color="auto"/>
        <w:left w:val="none" w:sz="0" w:space="0" w:color="auto"/>
        <w:bottom w:val="none" w:sz="0" w:space="0" w:color="auto"/>
        <w:right w:val="none" w:sz="0" w:space="0" w:color="auto"/>
      </w:divBdr>
    </w:div>
    <w:div w:id="1525360299">
      <w:marLeft w:val="0"/>
      <w:marRight w:val="0"/>
      <w:marTop w:val="0"/>
      <w:marBottom w:val="0"/>
      <w:divBdr>
        <w:top w:val="none" w:sz="0" w:space="0" w:color="auto"/>
        <w:left w:val="none" w:sz="0" w:space="0" w:color="auto"/>
        <w:bottom w:val="none" w:sz="0" w:space="0" w:color="auto"/>
        <w:right w:val="none" w:sz="0" w:space="0" w:color="auto"/>
      </w:divBdr>
      <w:divsChild>
        <w:div w:id="95441594">
          <w:marLeft w:val="0"/>
          <w:marRight w:val="0"/>
          <w:marTop w:val="0"/>
          <w:marBottom w:val="0"/>
          <w:divBdr>
            <w:top w:val="none" w:sz="0" w:space="0" w:color="auto"/>
            <w:left w:val="none" w:sz="0" w:space="0" w:color="auto"/>
            <w:bottom w:val="none" w:sz="0" w:space="0" w:color="auto"/>
            <w:right w:val="none" w:sz="0" w:space="0" w:color="auto"/>
          </w:divBdr>
        </w:div>
      </w:divsChild>
    </w:div>
    <w:div w:id="1525635879">
      <w:marLeft w:val="0"/>
      <w:marRight w:val="0"/>
      <w:marTop w:val="0"/>
      <w:marBottom w:val="0"/>
      <w:divBdr>
        <w:top w:val="none" w:sz="0" w:space="0" w:color="auto"/>
        <w:left w:val="none" w:sz="0" w:space="0" w:color="auto"/>
        <w:bottom w:val="none" w:sz="0" w:space="0" w:color="auto"/>
        <w:right w:val="none" w:sz="0" w:space="0" w:color="auto"/>
      </w:divBdr>
      <w:divsChild>
        <w:div w:id="1039625297">
          <w:marLeft w:val="0"/>
          <w:marRight w:val="0"/>
          <w:marTop w:val="0"/>
          <w:marBottom w:val="0"/>
          <w:divBdr>
            <w:top w:val="none" w:sz="0" w:space="0" w:color="auto"/>
            <w:left w:val="none" w:sz="0" w:space="0" w:color="auto"/>
            <w:bottom w:val="none" w:sz="0" w:space="0" w:color="auto"/>
            <w:right w:val="none" w:sz="0" w:space="0" w:color="auto"/>
          </w:divBdr>
        </w:div>
        <w:div w:id="210313964">
          <w:marLeft w:val="0"/>
          <w:marRight w:val="0"/>
          <w:marTop w:val="0"/>
          <w:marBottom w:val="120"/>
          <w:divBdr>
            <w:top w:val="none" w:sz="0" w:space="0" w:color="auto"/>
            <w:left w:val="none" w:sz="0" w:space="0" w:color="auto"/>
            <w:bottom w:val="none" w:sz="0" w:space="0" w:color="auto"/>
            <w:right w:val="none" w:sz="0" w:space="0" w:color="auto"/>
          </w:divBdr>
        </w:div>
      </w:divsChild>
    </w:div>
    <w:div w:id="1529446016">
      <w:marLeft w:val="0"/>
      <w:marRight w:val="0"/>
      <w:marTop w:val="0"/>
      <w:marBottom w:val="120"/>
      <w:divBdr>
        <w:top w:val="none" w:sz="0" w:space="0" w:color="auto"/>
        <w:left w:val="none" w:sz="0" w:space="0" w:color="auto"/>
        <w:bottom w:val="none" w:sz="0" w:space="0" w:color="auto"/>
        <w:right w:val="none" w:sz="0" w:space="0" w:color="auto"/>
      </w:divBdr>
    </w:div>
    <w:div w:id="1529681848">
      <w:marLeft w:val="0"/>
      <w:marRight w:val="0"/>
      <w:marTop w:val="0"/>
      <w:marBottom w:val="120"/>
      <w:divBdr>
        <w:top w:val="none" w:sz="0" w:space="0" w:color="auto"/>
        <w:left w:val="none" w:sz="0" w:space="0" w:color="auto"/>
        <w:bottom w:val="none" w:sz="0" w:space="0" w:color="auto"/>
        <w:right w:val="none" w:sz="0" w:space="0" w:color="auto"/>
      </w:divBdr>
    </w:div>
    <w:div w:id="1530751651">
      <w:marLeft w:val="0"/>
      <w:marRight w:val="0"/>
      <w:marTop w:val="0"/>
      <w:marBottom w:val="0"/>
      <w:divBdr>
        <w:top w:val="none" w:sz="0" w:space="0" w:color="auto"/>
        <w:left w:val="none" w:sz="0" w:space="0" w:color="auto"/>
        <w:bottom w:val="none" w:sz="0" w:space="0" w:color="auto"/>
        <w:right w:val="none" w:sz="0" w:space="0" w:color="auto"/>
      </w:divBdr>
      <w:divsChild>
        <w:div w:id="473913262">
          <w:marLeft w:val="0"/>
          <w:marRight w:val="0"/>
          <w:marTop w:val="0"/>
          <w:marBottom w:val="0"/>
          <w:divBdr>
            <w:top w:val="none" w:sz="0" w:space="0" w:color="auto"/>
            <w:left w:val="none" w:sz="0" w:space="0" w:color="auto"/>
            <w:bottom w:val="none" w:sz="0" w:space="0" w:color="auto"/>
            <w:right w:val="none" w:sz="0" w:space="0" w:color="auto"/>
          </w:divBdr>
        </w:div>
      </w:divsChild>
    </w:div>
    <w:div w:id="1534885111">
      <w:marLeft w:val="0"/>
      <w:marRight w:val="0"/>
      <w:marTop w:val="0"/>
      <w:marBottom w:val="120"/>
      <w:divBdr>
        <w:top w:val="none" w:sz="0" w:space="0" w:color="auto"/>
        <w:left w:val="none" w:sz="0" w:space="0" w:color="auto"/>
        <w:bottom w:val="none" w:sz="0" w:space="0" w:color="auto"/>
        <w:right w:val="none" w:sz="0" w:space="0" w:color="auto"/>
      </w:divBdr>
    </w:div>
    <w:div w:id="1540774641">
      <w:marLeft w:val="0"/>
      <w:marRight w:val="0"/>
      <w:marTop w:val="0"/>
      <w:marBottom w:val="120"/>
      <w:divBdr>
        <w:top w:val="none" w:sz="0" w:space="0" w:color="auto"/>
        <w:left w:val="none" w:sz="0" w:space="0" w:color="auto"/>
        <w:bottom w:val="none" w:sz="0" w:space="0" w:color="auto"/>
        <w:right w:val="none" w:sz="0" w:space="0" w:color="auto"/>
      </w:divBdr>
    </w:div>
    <w:div w:id="1547375410">
      <w:marLeft w:val="0"/>
      <w:marRight w:val="0"/>
      <w:marTop w:val="0"/>
      <w:marBottom w:val="60"/>
      <w:divBdr>
        <w:top w:val="none" w:sz="0" w:space="0" w:color="auto"/>
        <w:left w:val="none" w:sz="0" w:space="0" w:color="auto"/>
        <w:bottom w:val="none" w:sz="0" w:space="0" w:color="auto"/>
        <w:right w:val="none" w:sz="0" w:space="0" w:color="auto"/>
      </w:divBdr>
    </w:div>
    <w:div w:id="1552040987">
      <w:marLeft w:val="0"/>
      <w:marRight w:val="0"/>
      <w:marTop w:val="0"/>
      <w:marBottom w:val="120"/>
      <w:divBdr>
        <w:top w:val="none" w:sz="0" w:space="0" w:color="auto"/>
        <w:left w:val="none" w:sz="0" w:space="0" w:color="auto"/>
        <w:bottom w:val="none" w:sz="0" w:space="0" w:color="auto"/>
        <w:right w:val="none" w:sz="0" w:space="0" w:color="auto"/>
      </w:divBdr>
    </w:div>
    <w:div w:id="1563521274">
      <w:marLeft w:val="0"/>
      <w:marRight w:val="0"/>
      <w:marTop w:val="0"/>
      <w:marBottom w:val="120"/>
      <w:divBdr>
        <w:top w:val="none" w:sz="0" w:space="0" w:color="auto"/>
        <w:left w:val="none" w:sz="0" w:space="0" w:color="auto"/>
        <w:bottom w:val="none" w:sz="0" w:space="0" w:color="auto"/>
        <w:right w:val="none" w:sz="0" w:space="0" w:color="auto"/>
      </w:divBdr>
    </w:div>
    <w:div w:id="1564292222">
      <w:marLeft w:val="0"/>
      <w:marRight w:val="0"/>
      <w:marTop w:val="0"/>
      <w:marBottom w:val="0"/>
      <w:divBdr>
        <w:top w:val="none" w:sz="0" w:space="0" w:color="auto"/>
        <w:left w:val="none" w:sz="0" w:space="0" w:color="auto"/>
        <w:bottom w:val="none" w:sz="0" w:space="0" w:color="auto"/>
        <w:right w:val="none" w:sz="0" w:space="0" w:color="auto"/>
      </w:divBdr>
    </w:div>
    <w:div w:id="1568490363">
      <w:marLeft w:val="0"/>
      <w:marRight w:val="0"/>
      <w:marTop w:val="0"/>
      <w:marBottom w:val="120"/>
      <w:divBdr>
        <w:top w:val="none" w:sz="0" w:space="0" w:color="auto"/>
        <w:left w:val="none" w:sz="0" w:space="0" w:color="auto"/>
        <w:bottom w:val="none" w:sz="0" w:space="0" w:color="auto"/>
        <w:right w:val="none" w:sz="0" w:space="0" w:color="auto"/>
      </w:divBdr>
    </w:div>
    <w:div w:id="1575818004">
      <w:marLeft w:val="0"/>
      <w:marRight w:val="0"/>
      <w:marTop w:val="0"/>
      <w:marBottom w:val="120"/>
      <w:divBdr>
        <w:top w:val="none" w:sz="0" w:space="0" w:color="auto"/>
        <w:left w:val="none" w:sz="0" w:space="0" w:color="auto"/>
        <w:bottom w:val="none" w:sz="0" w:space="0" w:color="auto"/>
        <w:right w:val="none" w:sz="0" w:space="0" w:color="auto"/>
      </w:divBdr>
    </w:div>
    <w:div w:id="1576889364">
      <w:marLeft w:val="0"/>
      <w:marRight w:val="0"/>
      <w:marTop w:val="0"/>
      <w:marBottom w:val="120"/>
      <w:divBdr>
        <w:top w:val="none" w:sz="0" w:space="0" w:color="auto"/>
        <w:left w:val="none" w:sz="0" w:space="0" w:color="auto"/>
        <w:bottom w:val="none" w:sz="0" w:space="0" w:color="auto"/>
        <w:right w:val="none" w:sz="0" w:space="0" w:color="auto"/>
      </w:divBdr>
    </w:div>
    <w:div w:id="1578589944">
      <w:marLeft w:val="0"/>
      <w:marRight w:val="0"/>
      <w:marTop w:val="0"/>
      <w:marBottom w:val="120"/>
      <w:divBdr>
        <w:top w:val="none" w:sz="0" w:space="0" w:color="auto"/>
        <w:left w:val="none" w:sz="0" w:space="0" w:color="auto"/>
        <w:bottom w:val="none" w:sz="0" w:space="0" w:color="auto"/>
        <w:right w:val="none" w:sz="0" w:space="0" w:color="auto"/>
      </w:divBdr>
    </w:div>
    <w:div w:id="1579437765">
      <w:marLeft w:val="0"/>
      <w:marRight w:val="0"/>
      <w:marTop w:val="0"/>
      <w:marBottom w:val="0"/>
      <w:divBdr>
        <w:top w:val="none" w:sz="0" w:space="0" w:color="auto"/>
        <w:left w:val="none" w:sz="0" w:space="0" w:color="auto"/>
        <w:bottom w:val="none" w:sz="0" w:space="0" w:color="auto"/>
        <w:right w:val="none" w:sz="0" w:space="0" w:color="auto"/>
      </w:divBdr>
      <w:divsChild>
        <w:div w:id="1272395842">
          <w:marLeft w:val="0"/>
          <w:marRight w:val="0"/>
          <w:marTop w:val="0"/>
          <w:marBottom w:val="0"/>
          <w:divBdr>
            <w:top w:val="none" w:sz="0" w:space="0" w:color="auto"/>
            <w:left w:val="none" w:sz="0" w:space="0" w:color="auto"/>
            <w:bottom w:val="none" w:sz="0" w:space="0" w:color="auto"/>
            <w:right w:val="none" w:sz="0" w:space="0" w:color="auto"/>
          </w:divBdr>
        </w:div>
      </w:divsChild>
    </w:div>
    <w:div w:id="1586499467">
      <w:marLeft w:val="0"/>
      <w:marRight w:val="0"/>
      <w:marTop w:val="0"/>
      <w:marBottom w:val="120"/>
      <w:divBdr>
        <w:top w:val="none" w:sz="0" w:space="0" w:color="auto"/>
        <w:left w:val="none" w:sz="0" w:space="0" w:color="auto"/>
        <w:bottom w:val="none" w:sz="0" w:space="0" w:color="auto"/>
        <w:right w:val="none" w:sz="0" w:space="0" w:color="auto"/>
      </w:divBdr>
    </w:div>
    <w:div w:id="1586919268">
      <w:marLeft w:val="0"/>
      <w:marRight w:val="0"/>
      <w:marTop w:val="0"/>
      <w:marBottom w:val="120"/>
      <w:divBdr>
        <w:top w:val="none" w:sz="0" w:space="0" w:color="auto"/>
        <w:left w:val="none" w:sz="0" w:space="0" w:color="auto"/>
        <w:bottom w:val="none" w:sz="0" w:space="0" w:color="auto"/>
        <w:right w:val="none" w:sz="0" w:space="0" w:color="auto"/>
      </w:divBdr>
    </w:div>
    <w:div w:id="1587423098">
      <w:marLeft w:val="0"/>
      <w:marRight w:val="0"/>
      <w:marTop w:val="0"/>
      <w:marBottom w:val="120"/>
      <w:divBdr>
        <w:top w:val="none" w:sz="0" w:space="0" w:color="auto"/>
        <w:left w:val="none" w:sz="0" w:space="0" w:color="auto"/>
        <w:bottom w:val="none" w:sz="0" w:space="0" w:color="auto"/>
        <w:right w:val="none" w:sz="0" w:space="0" w:color="auto"/>
      </w:divBdr>
    </w:div>
    <w:div w:id="1591308502">
      <w:marLeft w:val="0"/>
      <w:marRight w:val="0"/>
      <w:marTop w:val="0"/>
      <w:marBottom w:val="120"/>
      <w:divBdr>
        <w:top w:val="none" w:sz="0" w:space="0" w:color="auto"/>
        <w:left w:val="none" w:sz="0" w:space="0" w:color="auto"/>
        <w:bottom w:val="none" w:sz="0" w:space="0" w:color="auto"/>
        <w:right w:val="none" w:sz="0" w:space="0" w:color="auto"/>
      </w:divBdr>
    </w:div>
    <w:div w:id="1591967053">
      <w:marLeft w:val="0"/>
      <w:marRight w:val="0"/>
      <w:marTop w:val="0"/>
      <w:marBottom w:val="120"/>
      <w:divBdr>
        <w:top w:val="none" w:sz="0" w:space="0" w:color="auto"/>
        <w:left w:val="none" w:sz="0" w:space="0" w:color="auto"/>
        <w:bottom w:val="none" w:sz="0" w:space="0" w:color="auto"/>
        <w:right w:val="none" w:sz="0" w:space="0" w:color="auto"/>
      </w:divBdr>
    </w:div>
    <w:div w:id="1598903854">
      <w:marLeft w:val="0"/>
      <w:marRight w:val="0"/>
      <w:marTop w:val="0"/>
      <w:marBottom w:val="120"/>
      <w:divBdr>
        <w:top w:val="none" w:sz="0" w:space="0" w:color="auto"/>
        <w:left w:val="none" w:sz="0" w:space="0" w:color="auto"/>
        <w:bottom w:val="none" w:sz="0" w:space="0" w:color="auto"/>
        <w:right w:val="none" w:sz="0" w:space="0" w:color="auto"/>
      </w:divBdr>
    </w:div>
    <w:div w:id="1599219663">
      <w:marLeft w:val="0"/>
      <w:marRight w:val="0"/>
      <w:marTop w:val="100"/>
      <w:marBottom w:val="120"/>
      <w:divBdr>
        <w:top w:val="none" w:sz="0" w:space="0" w:color="auto"/>
        <w:left w:val="none" w:sz="0" w:space="0" w:color="auto"/>
        <w:bottom w:val="none" w:sz="0" w:space="0" w:color="auto"/>
        <w:right w:val="none" w:sz="0" w:space="0" w:color="auto"/>
      </w:divBdr>
    </w:div>
    <w:div w:id="1600917533">
      <w:marLeft w:val="0"/>
      <w:marRight w:val="0"/>
      <w:marTop w:val="180"/>
      <w:marBottom w:val="0"/>
      <w:divBdr>
        <w:top w:val="none" w:sz="0" w:space="0" w:color="auto"/>
        <w:left w:val="none" w:sz="0" w:space="0" w:color="auto"/>
        <w:bottom w:val="none" w:sz="0" w:space="0" w:color="auto"/>
        <w:right w:val="none" w:sz="0" w:space="0" w:color="auto"/>
      </w:divBdr>
    </w:div>
    <w:div w:id="1603029345">
      <w:marLeft w:val="0"/>
      <w:marRight w:val="0"/>
      <w:marTop w:val="0"/>
      <w:marBottom w:val="120"/>
      <w:divBdr>
        <w:top w:val="none" w:sz="0" w:space="0" w:color="auto"/>
        <w:left w:val="none" w:sz="0" w:space="0" w:color="auto"/>
        <w:bottom w:val="none" w:sz="0" w:space="0" w:color="auto"/>
        <w:right w:val="none" w:sz="0" w:space="0" w:color="auto"/>
      </w:divBdr>
    </w:div>
    <w:div w:id="1607888765">
      <w:marLeft w:val="0"/>
      <w:marRight w:val="0"/>
      <w:marTop w:val="0"/>
      <w:marBottom w:val="0"/>
      <w:divBdr>
        <w:top w:val="none" w:sz="0" w:space="0" w:color="auto"/>
        <w:left w:val="none" w:sz="0" w:space="0" w:color="auto"/>
        <w:bottom w:val="none" w:sz="0" w:space="0" w:color="auto"/>
        <w:right w:val="none" w:sz="0" w:space="0" w:color="auto"/>
      </w:divBdr>
    </w:div>
    <w:div w:id="1610772743">
      <w:marLeft w:val="0"/>
      <w:marRight w:val="0"/>
      <w:marTop w:val="0"/>
      <w:marBottom w:val="120"/>
      <w:divBdr>
        <w:top w:val="none" w:sz="0" w:space="0" w:color="auto"/>
        <w:left w:val="none" w:sz="0" w:space="0" w:color="auto"/>
        <w:bottom w:val="none" w:sz="0" w:space="0" w:color="auto"/>
        <w:right w:val="none" w:sz="0" w:space="0" w:color="auto"/>
      </w:divBdr>
    </w:div>
    <w:div w:id="1622613050">
      <w:marLeft w:val="0"/>
      <w:marRight w:val="0"/>
      <w:marTop w:val="0"/>
      <w:marBottom w:val="60"/>
      <w:divBdr>
        <w:top w:val="none" w:sz="0" w:space="0" w:color="auto"/>
        <w:left w:val="none" w:sz="0" w:space="0" w:color="auto"/>
        <w:bottom w:val="none" w:sz="0" w:space="0" w:color="auto"/>
        <w:right w:val="none" w:sz="0" w:space="0" w:color="auto"/>
      </w:divBdr>
    </w:div>
    <w:div w:id="1624383879">
      <w:marLeft w:val="0"/>
      <w:marRight w:val="0"/>
      <w:marTop w:val="0"/>
      <w:marBottom w:val="120"/>
      <w:divBdr>
        <w:top w:val="none" w:sz="0" w:space="0" w:color="auto"/>
        <w:left w:val="none" w:sz="0" w:space="0" w:color="auto"/>
        <w:bottom w:val="none" w:sz="0" w:space="0" w:color="auto"/>
        <w:right w:val="none" w:sz="0" w:space="0" w:color="auto"/>
      </w:divBdr>
    </w:div>
    <w:div w:id="1626694664">
      <w:marLeft w:val="0"/>
      <w:marRight w:val="0"/>
      <w:marTop w:val="0"/>
      <w:marBottom w:val="120"/>
      <w:divBdr>
        <w:top w:val="none" w:sz="0" w:space="0" w:color="auto"/>
        <w:left w:val="none" w:sz="0" w:space="0" w:color="auto"/>
        <w:bottom w:val="none" w:sz="0" w:space="0" w:color="auto"/>
        <w:right w:val="none" w:sz="0" w:space="0" w:color="auto"/>
      </w:divBdr>
    </w:div>
    <w:div w:id="1627155445">
      <w:marLeft w:val="0"/>
      <w:marRight w:val="0"/>
      <w:marTop w:val="0"/>
      <w:marBottom w:val="0"/>
      <w:divBdr>
        <w:top w:val="none" w:sz="0" w:space="0" w:color="auto"/>
        <w:left w:val="none" w:sz="0" w:space="0" w:color="auto"/>
        <w:bottom w:val="none" w:sz="0" w:space="0" w:color="auto"/>
        <w:right w:val="none" w:sz="0" w:space="0" w:color="auto"/>
      </w:divBdr>
    </w:div>
    <w:div w:id="1628855307">
      <w:marLeft w:val="0"/>
      <w:marRight w:val="0"/>
      <w:marTop w:val="0"/>
      <w:marBottom w:val="120"/>
      <w:divBdr>
        <w:top w:val="none" w:sz="0" w:space="0" w:color="auto"/>
        <w:left w:val="none" w:sz="0" w:space="0" w:color="auto"/>
        <w:bottom w:val="none" w:sz="0" w:space="0" w:color="auto"/>
        <w:right w:val="none" w:sz="0" w:space="0" w:color="auto"/>
      </w:divBdr>
    </w:div>
    <w:div w:id="1638875363">
      <w:marLeft w:val="0"/>
      <w:marRight w:val="0"/>
      <w:marTop w:val="0"/>
      <w:marBottom w:val="0"/>
      <w:divBdr>
        <w:top w:val="none" w:sz="0" w:space="0" w:color="auto"/>
        <w:left w:val="none" w:sz="0" w:space="0" w:color="auto"/>
        <w:bottom w:val="none" w:sz="0" w:space="0" w:color="auto"/>
        <w:right w:val="none" w:sz="0" w:space="0" w:color="auto"/>
      </w:divBdr>
      <w:divsChild>
        <w:div w:id="796029369">
          <w:marLeft w:val="0"/>
          <w:marRight w:val="0"/>
          <w:marTop w:val="0"/>
          <w:marBottom w:val="0"/>
          <w:divBdr>
            <w:top w:val="none" w:sz="0" w:space="0" w:color="auto"/>
            <w:left w:val="none" w:sz="0" w:space="0" w:color="auto"/>
            <w:bottom w:val="none" w:sz="0" w:space="0" w:color="auto"/>
            <w:right w:val="none" w:sz="0" w:space="0" w:color="auto"/>
          </w:divBdr>
        </w:div>
      </w:divsChild>
    </w:div>
    <w:div w:id="1639264537">
      <w:marLeft w:val="0"/>
      <w:marRight w:val="0"/>
      <w:marTop w:val="0"/>
      <w:marBottom w:val="120"/>
      <w:divBdr>
        <w:top w:val="none" w:sz="0" w:space="0" w:color="auto"/>
        <w:left w:val="none" w:sz="0" w:space="0" w:color="auto"/>
        <w:bottom w:val="none" w:sz="0" w:space="0" w:color="auto"/>
        <w:right w:val="none" w:sz="0" w:space="0" w:color="auto"/>
      </w:divBdr>
    </w:div>
    <w:div w:id="1642808081">
      <w:marLeft w:val="0"/>
      <w:marRight w:val="0"/>
      <w:marTop w:val="0"/>
      <w:marBottom w:val="120"/>
      <w:divBdr>
        <w:top w:val="none" w:sz="0" w:space="0" w:color="auto"/>
        <w:left w:val="none" w:sz="0" w:space="0" w:color="auto"/>
        <w:bottom w:val="none" w:sz="0" w:space="0" w:color="auto"/>
        <w:right w:val="none" w:sz="0" w:space="0" w:color="auto"/>
      </w:divBdr>
    </w:div>
    <w:div w:id="1646350680">
      <w:marLeft w:val="0"/>
      <w:marRight w:val="0"/>
      <w:marTop w:val="0"/>
      <w:marBottom w:val="120"/>
      <w:divBdr>
        <w:top w:val="none" w:sz="0" w:space="0" w:color="auto"/>
        <w:left w:val="none" w:sz="0" w:space="0" w:color="auto"/>
        <w:bottom w:val="none" w:sz="0" w:space="0" w:color="auto"/>
        <w:right w:val="none" w:sz="0" w:space="0" w:color="auto"/>
      </w:divBdr>
    </w:div>
    <w:div w:id="1654331390">
      <w:marLeft w:val="0"/>
      <w:marRight w:val="0"/>
      <w:marTop w:val="0"/>
      <w:marBottom w:val="0"/>
      <w:divBdr>
        <w:top w:val="none" w:sz="0" w:space="0" w:color="auto"/>
        <w:left w:val="none" w:sz="0" w:space="0" w:color="auto"/>
        <w:bottom w:val="none" w:sz="0" w:space="0" w:color="auto"/>
        <w:right w:val="none" w:sz="0" w:space="0" w:color="auto"/>
      </w:divBdr>
      <w:divsChild>
        <w:div w:id="1922254305">
          <w:marLeft w:val="0"/>
          <w:marRight w:val="0"/>
          <w:marTop w:val="0"/>
          <w:marBottom w:val="0"/>
          <w:divBdr>
            <w:top w:val="none" w:sz="0" w:space="0" w:color="auto"/>
            <w:left w:val="none" w:sz="0" w:space="0" w:color="auto"/>
            <w:bottom w:val="none" w:sz="0" w:space="0" w:color="auto"/>
            <w:right w:val="none" w:sz="0" w:space="0" w:color="auto"/>
          </w:divBdr>
        </w:div>
      </w:divsChild>
    </w:div>
    <w:div w:id="1658654065">
      <w:marLeft w:val="0"/>
      <w:marRight w:val="0"/>
      <w:marTop w:val="0"/>
      <w:marBottom w:val="120"/>
      <w:divBdr>
        <w:top w:val="none" w:sz="0" w:space="0" w:color="auto"/>
        <w:left w:val="none" w:sz="0" w:space="0" w:color="auto"/>
        <w:bottom w:val="none" w:sz="0" w:space="0" w:color="auto"/>
        <w:right w:val="none" w:sz="0" w:space="0" w:color="auto"/>
      </w:divBdr>
    </w:div>
    <w:div w:id="1659455099">
      <w:marLeft w:val="0"/>
      <w:marRight w:val="0"/>
      <w:marTop w:val="0"/>
      <w:marBottom w:val="0"/>
      <w:divBdr>
        <w:top w:val="none" w:sz="0" w:space="0" w:color="auto"/>
        <w:left w:val="none" w:sz="0" w:space="0" w:color="auto"/>
        <w:bottom w:val="none" w:sz="0" w:space="0" w:color="auto"/>
        <w:right w:val="none" w:sz="0" w:space="0" w:color="auto"/>
      </w:divBdr>
    </w:div>
    <w:div w:id="1665818143">
      <w:marLeft w:val="0"/>
      <w:marRight w:val="0"/>
      <w:marTop w:val="0"/>
      <w:marBottom w:val="0"/>
      <w:divBdr>
        <w:top w:val="none" w:sz="0" w:space="0" w:color="auto"/>
        <w:left w:val="none" w:sz="0" w:space="0" w:color="auto"/>
        <w:bottom w:val="none" w:sz="0" w:space="0" w:color="auto"/>
        <w:right w:val="none" w:sz="0" w:space="0" w:color="auto"/>
      </w:divBdr>
      <w:divsChild>
        <w:div w:id="966282865">
          <w:marLeft w:val="0"/>
          <w:marRight w:val="0"/>
          <w:marTop w:val="0"/>
          <w:marBottom w:val="0"/>
          <w:divBdr>
            <w:top w:val="none" w:sz="0" w:space="0" w:color="auto"/>
            <w:left w:val="none" w:sz="0" w:space="0" w:color="auto"/>
            <w:bottom w:val="none" w:sz="0" w:space="0" w:color="auto"/>
            <w:right w:val="none" w:sz="0" w:space="0" w:color="auto"/>
          </w:divBdr>
        </w:div>
      </w:divsChild>
    </w:div>
    <w:div w:id="1666082804">
      <w:marLeft w:val="0"/>
      <w:marRight w:val="0"/>
      <w:marTop w:val="0"/>
      <w:marBottom w:val="120"/>
      <w:divBdr>
        <w:top w:val="none" w:sz="0" w:space="0" w:color="auto"/>
        <w:left w:val="none" w:sz="0" w:space="0" w:color="auto"/>
        <w:bottom w:val="none" w:sz="0" w:space="0" w:color="auto"/>
        <w:right w:val="none" w:sz="0" w:space="0" w:color="auto"/>
      </w:divBdr>
    </w:div>
    <w:div w:id="1676112525">
      <w:marLeft w:val="0"/>
      <w:marRight w:val="0"/>
      <w:marTop w:val="0"/>
      <w:marBottom w:val="120"/>
      <w:divBdr>
        <w:top w:val="none" w:sz="0" w:space="0" w:color="auto"/>
        <w:left w:val="none" w:sz="0" w:space="0" w:color="auto"/>
        <w:bottom w:val="none" w:sz="0" w:space="0" w:color="auto"/>
        <w:right w:val="none" w:sz="0" w:space="0" w:color="auto"/>
      </w:divBdr>
    </w:div>
    <w:div w:id="1677076408">
      <w:marLeft w:val="0"/>
      <w:marRight w:val="0"/>
      <w:marTop w:val="0"/>
      <w:marBottom w:val="0"/>
      <w:divBdr>
        <w:top w:val="none" w:sz="0" w:space="0" w:color="auto"/>
        <w:left w:val="none" w:sz="0" w:space="0" w:color="auto"/>
        <w:bottom w:val="none" w:sz="0" w:space="0" w:color="auto"/>
        <w:right w:val="none" w:sz="0" w:space="0" w:color="auto"/>
      </w:divBdr>
      <w:divsChild>
        <w:div w:id="377514738">
          <w:marLeft w:val="0"/>
          <w:marRight w:val="0"/>
          <w:marTop w:val="0"/>
          <w:marBottom w:val="0"/>
          <w:divBdr>
            <w:top w:val="none" w:sz="0" w:space="0" w:color="auto"/>
            <w:left w:val="none" w:sz="0" w:space="0" w:color="auto"/>
            <w:bottom w:val="none" w:sz="0" w:space="0" w:color="auto"/>
            <w:right w:val="none" w:sz="0" w:space="0" w:color="auto"/>
          </w:divBdr>
        </w:div>
        <w:div w:id="1944655172">
          <w:marLeft w:val="0"/>
          <w:marRight w:val="0"/>
          <w:marTop w:val="0"/>
          <w:marBottom w:val="0"/>
          <w:divBdr>
            <w:top w:val="none" w:sz="0" w:space="0" w:color="auto"/>
            <w:left w:val="none" w:sz="0" w:space="0" w:color="auto"/>
            <w:bottom w:val="none" w:sz="0" w:space="0" w:color="auto"/>
            <w:right w:val="none" w:sz="0" w:space="0" w:color="auto"/>
          </w:divBdr>
        </w:div>
      </w:divsChild>
    </w:div>
    <w:div w:id="1678074561">
      <w:marLeft w:val="0"/>
      <w:marRight w:val="0"/>
      <w:marTop w:val="0"/>
      <w:marBottom w:val="120"/>
      <w:divBdr>
        <w:top w:val="none" w:sz="0" w:space="0" w:color="auto"/>
        <w:left w:val="none" w:sz="0" w:space="0" w:color="auto"/>
        <w:bottom w:val="none" w:sz="0" w:space="0" w:color="auto"/>
        <w:right w:val="none" w:sz="0" w:space="0" w:color="auto"/>
      </w:divBdr>
    </w:div>
    <w:div w:id="1680965518">
      <w:marLeft w:val="0"/>
      <w:marRight w:val="0"/>
      <w:marTop w:val="0"/>
      <w:marBottom w:val="0"/>
      <w:divBdr>
        <w:top w:val="none" w:sz="0" w:space="0" w:color="auto"/>
        <w:left w:val="none" w:sz="0" w:space="0" w:color="auto"/>
        <w:bottom w:val="none" w:sz="0" w:space="0" w:color="auto"/>
        <w:right w:val="none" w:sz="0" w:space="0" w:color="auto"/>
      </w:divBdr>
      <w:divsChild>
        <w:div w:id="1290284124">
          <w:marLeft w:val="0"/>
          <w:marRight w:val="0"/>
          <w:marTop w:val="0"/>
          <w:marBottom w:val="0"/>
          <w:divBdr>
            <w:top w:val="none" w:sz="0" w:space="0" w:color="auto"/>
            <w:left w:val="none" w:sz="0" w:space="0" w:color="auto"/>
            <w:bottom w:val="none" w:sz="0" w:space="0" w:color="auto"/>
            <w:right w:val="none" w:sz="0" w:space="0" w:color="auto"/>
          </w:divBdr>
        </w:div>
      </w:divsChild>
    </w:div>
    <w:div w:id="1681614581">
      <w:marLeft w:val="0"/>
      <w:marRight w:val="0"/>
      <w:marTop w:val="0"/>
      <w:marBottom w:val="120"/>
      <w:divBdr>
        <w:top w:val="none" w:sz="0" w:space="0" w:color="auto"/>
        <w:left w:val="none" w:sz="0" w:space="0" w:color="auto"/>
        <w:bottom w:val="none" w:sz="0" w:space="0" w:color="auto"/>
        <w:right w:val="none" w:sz="0" w:space="0" w:color="auto"/>
      </w:divBdr>
    </w:div>
    <w:div w:id="1686590816">
      <w:marLeft w:val="0"/>
      <w:marRight w:val="0"/>
      <w:marTop w:val="0"/>
      <w:marBottom w:val="120"/>
      <w:divBdr>
        <w:top w:val="none" w:sz="0" w:space="0" w:color="auto"/>
        <w:left w:val="none" w:sz="0" w:space="0" w:color="auto"/>
        <w:bottom w:val="none" w:sz="0" w:space="0" w:color="auto"/>
        <w:right w:val="none" w:sz="0" w:space="0" w:color="auto"/>
      </w:divBdr>
    </w:div>
    <w:div w:id="1689986141">
      <w:marLeft w:val="0"/>
      <w:marRight w:val="0"/>
      <w:marTop w:val="0"/>
      <w:marBottom w:val="120"/>
      <w:divBdr>
        <w:top w:val="none" w:sz="0" w:space="0" w:color="auto"/>
        <w:left w:val="none" w:sz="0" w:space="0" w:color="auto"/>
        <w:bottom w:val="none" w:sz="0" w:space="0" w:color="auto"/>
        <w:right w:val="none" w:sz="0" w:space="0" w:color="auto"/>
      </w:divBdr>
    </w:div>
    <w:div w:id="1693529033">
      <w:marLeft w:val="0"/>
      <w:marRight w:val="0"/>
      <w:marTop w:val="0"/>
      <w:marBottom w:val="0"/>
      <w:divBdr>
        <w:top w:val="none" w:sz="0" w:space="0" w:color="auto"/>
        <w:left w:val="none" w:sz="0" w:space="0" w:color="auto"/>
        <w:bottom w:val="none" w:sz="0" w:space="0" w:color="auto"/>
        <w:right w:val="none" w:sz="0" w:space="0" w:color="auto"/>
      </w:divBdr>
      <w:divsChild>
        <w:div w:id="720175430">
          <w:marLeft w:val="0"/>
          <w:marRight w:val="0"/>
          <w:marTop w:val="0"/>
          <w:marBottom w:val="0"/>
          <w:divBdr>
            <w:top w:val="none" w:sz="0" w:space="0" w:color="auto"/>
            <w:left w:val="none" w:sz="0" w:space="0" w:color="auto"/>
            <w:bottom w:val="none" w:sz="0" w:space="0" w:color="auto"/>
            <w:right w:val="none" w:sz="0" w:space="0" w:color="auto"/>
          </w:divBdr>
        </w:div>
      </w:divsChild>
    </w:div>
    <w:div w:id="1696425352">
      <w:marLeft w:val="0"/>
      <w:marRight w:val="0"/>
      <w:marTop w:val="0"/>
      <w:marBottom w:val="120"/>
      <w:divBdr>
        <w:top w:val="none" w:sz="0" w:space="0" w:color="auto"/>
        <w:left w:val="none" w:sz="0" w:space="0" w:color="auto"/>
        <w:bottom w:val="none" w:sz="0" w:space="0" w:color="auto"/>
        <w:right w:val="none" w:sz="0" w:space="0" w:color="auto"/>
      </w:divBdr>
    </w:div>
    <w:div w:id="1697076433">
      <w:marLeft w:val="0"/>
      <w:marRight w:val="0"/>
      <w:marTop w:val="0"/>
      <w:marBottom w:val="120"/>
      <w:divBdr>
        <w:top w:val="none" w:sz="0" w:space="0" w:color="auto"/>
        <w:left w:val="none" w:sz="0" w:space="0" w:color="auto"/>
        <w:bottom w:val="none" w:sz="0" w:space="0" w:color="auto"/>
        <w:right w:val="none" w:sz="0" w:space="0" w:color="auto"/>
      </w:divBdr>
    </w:div>
    <w:div w:id="1698970241">
      <w:marLeft w:val="0"/>
      <w:marRight w:val="0"/>
      <w:marTop w:val="0"/>
      <w:marBottom w:val="0"/>
      <w:divBdr>
        <w:top w:val="none" w:sz="0" w:space="0" w:color="auto"/>
        <w:left w:val="none" w:sz="0" w:space="0" w:color="auto"/>
        <w:bottom w:val="none" w:sz="0" w:space="0" w:color="auto"/>
        <w:right w:val="none" w:sz="0" w:space="0" w:color="auto"/>
      </w:divBdr>
    </w:div>
    <w:div w:id="1703700933">
      <w:marLeft w:val="0"/>
      <w:marRight w:val="0"/>
      <w:marTop w:val="0"/>
      <w:marBottom w:val="120"/>
      <w:divBdr>
        <w:top w:val="none" w:sz="0" w:space="0" w:color="auto"/>
        <w:left w:val="none" w:sz="0" w:space="0" w:color="auto"/>
        <w:bottom w:val="none" w:sz="0" w:space="0" w:color="auto"/>
        <w:right w:val="none" w:sz="0" w:space="0" w:color="auto"/>
      </w:divBdr>
    </w:div>
    <w:div w:id="1707023640">
      <w:marLeft w:val="0"/>
      <w:marRight w:val="0"/>
      <w:marTop w:val="100"/>
      <w:marBottom w:val="220"/>
      <w:divBdr>
        <w:top w:val="none" w:sz="0" w:space="0" w:color="auto"/>
        <w:left w:val="none" w:sz="0" w:space="0" w:color="auto"/>
        <w:bottom w:val="none" w:sz="0" w:space="0" w:color="auto"/>
        <w:right w:val="none" w:sz="0" w:space="0" w:color="auto"/>
      </w:divBdr>
    </w:div>
    <w:div w:id="1719041065">
      <w:marLeft w:val="0"/>
      <w:marRight w:val="0"/>
      <w:marTop w:val="0"/>
      <w:marBottom w:val="0"/>
      <w:divBdr>
        <w:top w:val="none" w:sz="0" w:space="0" w:color="auto"/>
        <w:left w:val="none" w:sz="0" w:space="0" w:color="auto"/>
        <w:bottom w:val="none" w:sz="0" w:space="0" w:color="auto"/>
        <w:right w:val="none" w:sz="0" w:space="0" w:color="auto"/>
      </w:divBdr>
      <w:divsChild>
        <w:div w:id="7484462">
          <w:marLeft w:val="0"/>
          <w:marRight w:val="0"/>
          <w:marTop w:val="0"/>
          <w:marBottom w:val="0"/>
          <w:divBdr>
            <w:top w:val="none" w:sz="0" w:space="0" w:color="auto"/>
            <w:left w:val="none" w:sz="0" w:space="0" w:color="auto"/>
            <w:bottom w:val="none" w:sz="0" w:space="0" w:color="auto"/>
            <w:right w:val="none" w:sz="0" w:space="0" w:color="auto"/>
          </w:divBdr>
        </w:div>
      </w:divsChild>
    </w:div>
    <w:div w:id="1721904241">
      <w:marLeft w:val="0"/>
      <w:marRight w:val="0"/>
      <w:marTop w:val="0"/>
      <w:marBottom w:val="0"/>
      <w:divBdr>
        <w:top w:val="none" w:sz="0" w:space="0" w:color="auto"/>
        <w:left w:val="none" w:sz="0" w:space="0" w:color="auto"/>
        <w:bottom w:val="none" w:sz="0" w:space="0" w:color="auto"/>
        <w:right w:val="none" w:sz="0" w:space="0" w:color="auto"/>
      </w:divBdr>
      <w:divsChild>
        <w:div w:id="1592739904">
          <w:marLeft w:val="0"/>
          <w:marRight w:val="0"/>
          <w:marTop w:val="0"/>
          <w:marBottom w:val="0"/>
          <w:divBdr>
            <w:top w:val="none" w:sz="0" w:space="0" w:color="auto"/>
            <w:left w:val="none" w:sz="0" w:space="0" w:color="auto"/>
            <w:bottom w:val="none" w:sz="0" w:space="0" w:color="auto"/>
            <w:right w:val="none" w:sz="0" w:space="0" w:color="auto"/>
          </w:divBdr>
        </w:div>
      </w:divsChild>
    </w:div>
    <w:div w:id="1723868811">
      <w:marLeft w:val="0"/>
      <w:marRight w:val="0"/>
      <w:marTop w:val="0"/>
      <w:marBottom w:val="120"/>
      <w:divBdr>
        <w:top w:val="none" w:sz="0" w:space="0" w:color="auto"/>
        <w:left w:val="none" w:sz="0" w:space="0" w:color="auto"/>
        <w:bottom w:val="none" w:sz="0" w:space="0" w:color="auto"/>
        <w:right w:val="none" w:sz="0" w:space="0" w:color="auto"/>
      </w:divBdr>
    </w:div>
    <w:div w:id="1730031485">
      <w:marLeft w:val="0"/>
      <w:marRight w:val="0"/>
      <w:marTop w:val="0"/>
      <w:marBottom w:val="0"/>
      <w:divBdr>
        <w:top w:val="none" w:sz="0" w:space="0" w:color="auto"/>
        <w:left w:val="none" w:sz="0" w:space="0" w:color="auto"/>
        <w:bottom w:val="none" w:sz="0" w:space="0" w:color="auto"/>
        <w:right w:val="none" w:sz="0" w:space="0" w:color="auto"/>
      </w:divBdr>
    </w:div>
    <w:div w:id="1743327462">
      <w:marLeft w:val="0"/>
      <w:marRight w:val="0"/>
      <w:marTop w:val="100"/>
      <w:marBottom w:val="220"/>
      <w:divBdr>
        <w:top w:val="none" w:sz="0" w:space="0" w:color="auto"/>
        <w:left w:val="none" w:sz="0" w:space="0" w:color="auto"/>
        <w:bottom w:val="none" w:sz="0" w:space="0" w:color="auto"/>
        <w:right w:val="none" w:sz="0" w:space="0" w:color="auto"/>
      </w:divBdr>
    </w:div>
    <w:div w:id="1743329787">
      <w:marLeft w:val="0"/>
      <w:marRight w:val="0"/>
      <w:marTop w:val="0"/>
      <w:marBottom w:val="120"/>
      <w:divBdr>
        <w:top w:val="none" w:sz="0" w:space="0" w:color="auto"/>
        <w:left w:val="none" w:sz="0" w:space="0" w:color="auto"/>
        <w:bottom w:val="none" w:sz="0" w:space="0" w:color="auto"/>
        <w:right w:val="none" w:sz="0" w:space="0" w:color="auto"/>
      </w:divBdr>
    </w:div>
    <w:div w:id="1744451548">
      <w:marLeft w:val="0"/>
      <w:marRight w:val="0"/>
      <w:marTop w:val="120"/>
      <w:marBottom w:val="120"/>
      <w:divBdr>
        <w:top w:val="none" w:sz="0" w:space="0" w:color="auto"/>
        <w:left w:val="none" w:sz="0" w:space="0" w:color="auto"/>
        <w:bottom w:val="none" w:sz="0" w:space="0" w:color="auto"/>
        <w:right w:val="none" w:sz="0" w:space="0" w:color="auto"/>
      </w:divBdr>
    </w:div>
    <w:div w:id="1747070533">
      <w:marLeft w:val="0"/>
      <w:marRight w:val="0"/>
      <w:marTop w:val="0"/>
      <w:marBottom w:val="0"/>
      <w:divBdr>
        <w:top w:val="none" w:sz="0" w:space="0" w:color="auto"/>
        <w:left w:val="none" w:sz="0" w:space="0" w:color="auto"/>
        <w:bottom w:val="none" w:sz="0" w:space="0" w:color="auto"/>
        <w:right w:val="none" w:sz="0" w:space="0" w:color="auto"/>
      </w:divBdr>
    </w:div>
    <w:div w:id="1747416370">
      <w:marLeft w:val="0"/>
      <w:marRight w:val="0"/>
      <w:marTop w:val="0"/>
      <w:marBottom w:val="120"/>
      <w:divBdr>
        <w:top w:val="none" w:sz="0" w:space="0" w:color="auto"/>
        <w:left w:val="none" w:sz="0" w:space="0" w:color="auto"/>
        <w:bottom w:val="none" w:sz="0" w:space="0" w:color="auto"/>
        <w:right w:val="none" w:sz="0" w:space="0" w:color="auto"/>
      </w:divBdr>
    </w:div>
    <w:div w:id="1749116076">
      <w:marLeft w:val="0"/>
      <w:marRight w:val="0"/>
      <w:marTop w:val="0"/>
      <w:marBottom w:val="120"/>
      <w:divBdr>
        <w:top w:val="none" w:sz="0" w:space="0" w:color="auto"/>
        <w:left w:val="none" w:sz="0" w:space="0" w:color="auto"/>
        <w:bottom w:val="none" w:sz="0" w:space="0" w:color="auto"/>
        <w:right w:val="none" w:sz="0" w:space="0" w:color="auto"/>
      </w:divBdr>
    </w:div>
    <w:div w:id="1750467311">
      <w:marLeft w:val="0"/>
      <w:marRight w:val="0"/>
      <w:marTop w:val="0"/>
      <w:marBottom w:val="120"/>
      <w:divBdr>
        <w:top w:val="none" w:sz="0" w:space="0" w:color="auto"/>
        <w:left w:val="none" w:sz="0" w:space="0" w:color="auto"/>
        <w:bottom w:val="none" w:sz="0" w:space="0" w:color="auto"/>
        <w:right w:val="none" w:sz="0" w:space="0" w:color="auto"/>
      </w:divBdr>
    </w:div>
    <w:div w:id="1763525120">
      <w:marLeft w:val="0"/>
      <w:marRight w:val="0"/>
      <w:marTop w:val="120"/>
      <w:marBottom w:val="120"/>
      <w:divBdr>
        <w:top w:val="none" w:sz="0" w:space="0" w:color="auto"/>
        <w:left w:val="none" w:sz="0" w:space="0" w:color="auto"/>
        <w:bottom w:val="none" w:sz="0" w:space="0" w:color="auto"/>
        <w:right w:val="none" w:sz="0" w:space="0" w:color="auto"/>
      </w:divBdr>
    </w:div>
    <w:div w:id="1763648225">
      <w:marLeft w:val="0"/>
      <w:marRight w:val="0"/>
      <w:marTop w:val="0"/>
      <w:marBottom w:val="0"/>
      <w:divBdr>
        <w:top w:val="none" w:sz="0" w:space="0" w:color="auto"/>
        <w:left w:val="none" w:sz="0" w:space="0" w:color="auto"/>
        <w:bottom w:val="none" w:sz="0" w:space="0" w:color="auto"/>
        <w:right w:val="none" w:sz="0" w:space="0" w:color="auto"/>
      </w:divBdr>
      <w:divsChild>
        <w:div w:id="992103806">
          <w:marLeft w:val="0"/>
          <w:marRight w:val="0"/>
          <w:marTop w:val="0"/>
          <w:marBottom w:val="0"/>
          <w:divBdr>
            <w:top w:val="none" w:sz="0" w:space="0" w:color="auto"/>
            <w:left w:val="none" w:sz="0" w:space="0" w:color="auto"/>
            <w:bottom w:val="none" w:sz="0" w:space="0" w:color="auto"/>
            <w:right w:val="none" w:sz="0" w:space="0" w:color="auto"/>
          </w:divBdr>
        </w:div>
      </w:divsChild>
    </w:div>
    <w:div w:id="1767726636">
      <w:marLeft w:val="0"/>
      <w:marRight w:val="0"/>
      <w:marTop w:val="0"/>
      <w:marBottom w:val="120"/>
      <w:divBdr>
        <w:top w:val="none" w:sz="0" w:space="0" w:color="auto"/>
        <w:left w:val="none" w:sz="0" w:space="0" w:color="auto"/>
        <w:bottom w:val="none" w:sz="0" w:space="0" w:color="auto"/>
        <w:right w:val="none" w:sz="0" w:space="0" w:color="auto"/>
      </w:divBdr>
    </w:div>
    <w:div w:id="1769279108">
      <w:marLeft w:val="0"/>
      <w:marRight w:val="0"/>
      <w:marTop w:val="0"/>
      <w:marBottom w:val="120"/>
      <w:divBdr>
        <w:top w:val="none" w:sz="0" w:space="0" w:color="auto"/>
        <w:left w:val="none" w:sz="0" w:space="0" w:color="auto"/>
        <w:bottom w:val="none" w:sz="0" w:space="0" w:color="auto"/>
        <w:right w:val="none" w:sz="0" w:space="0" w:color="auto"/>
      </w:divBdr>
    </w:div>
    <w:div w:id="1770586400">
      <w:marLeft w:val="0"/>
      <w:marRight w:val="0"/>
      <w:marTop w:val="0"/>
      <w:marBottom w:val="0"/>
      <w:divBdr>
        <w:top w:val="none" w:sz="0" w:space="0" w:color="auto"/>
        <w:left w:val="none" w:sz="0" w:space="0" w:color="auto"/>
        <w:bottom w:val="none" w:sz="0" w:space="0" w:color="auto"/>
        <w:right w:val="none" w:sz="0" w:space="0" w:color="auto"/>
      </w:divBdr>
      <w:divsChild>
        <w:div w:id="156380609">
          <w:marLeft w:val="0"/>
          <w:marRight w:val="0"/>
          <w:marTop w:val="0"/>
          <w:marBottom w:val="0"/>
          <w:divBdr>
            <w:top w:val="none" w:sz="0" w:space="0" w:color="auto"/>
            <w:left w:val="none" w:sz="0" w:space="0" w:color="auto"/>
            <w:bottom w:val="none" w:sz="0" w:space="0" w:color="auto"/>
            <w:right w:val="none" w:sz="0" w:space="0" w:color="auto"/>
          </w:divBdr>
        </w:div>
      </w:divsChild>
    </w:div>
    <w:div w:id="1771193883">
      <w:marLeft w:val="0"/>
      <w:marRight w:val="0"/>
      <w:marTop w:val="0"/>
      <w:marBottom w:val="0"/>
      <w:divBdr>
        <w:top w:val="none" w:sz="0" w:space="0" w:color="auto"/>
        <w:left w:val="none" w:sz="0" w:space="0" w:color="auto"/>
        <w:bottom w:val="none" w:sz="0" w:space="0" w:color="auto"/>
        <w:right w:val="none" w:sz="0" w:space="0" w:color="auto"/>
      </w:divBdr>
      <w:divsChild>
        <w:div w:id="1598706720">
          <w:marLeft w:val="0"/>
          <w:marRight w:val="0"/>
          <w:marTop w:val="0"/>
          <w:marBottom w:val="0"/>
          <w:divBdr>
            <w:top w:val="none" w:sz="0" w:space="0" w:color="auto"/>
            <w:left w:val="none" w:sz="0" w:space="0" w:color="auto"/>
            <w:bottom w:val="none" w:sz="0" w:space="0" w:color="auto"/>
            <w:right w:val="none" w:sz="0" w:space="0" w:color="auto"/>
          </w:divBdr>
        </w:div>
      </w:divsChild>
    </w:div>
    <w:div w:id="1775007572">
      <w:marLeft w:val="0"/>
      <w:marRight w:val="0"/>
      <w:marTop w:val="0"/>
      <w:marBottom w:val="0"/>
      <w:divBdr>
        <w:top w:val="none" w:sz="0" w:space="0" w:color="auto"/>
        <w:left w:val="none" w:sz="0" w:space="0" w:color="auto"/>
        <w:bottom w:val="none" w:sz="0" w:space="0" w:color="auto"/>
        <w:right w:val="none" w:sz="0" w:space="0" w:color="auto"/>
      </w:divBdr>
      <w:divsChild>
        <w:div w:id="227349191">
          <w:marLeft w:val="0"/>
          <w:marRight w:val="0"/>
          <w:marTop w:val="0"/>
          <w:marBottom w:val="0"/>
          <w:divBdr>
            <w:top w:val="none" w:sz="0" w:space="0" w:color="auto"/>
            <w:left w:val="none" w:sz="0" w:space="0" w:color="auto"/>
            <w:bottom w:val="none" w:sz="0" w:space="0" w:color="auto"/>
            <w:right w:val="none" w:sz="0" w:space="0" w:color="auto"/>
          </w:divBdr>
        </w:div>
        <w:div w:id="1738477665">
          <w:marLeft w:val="0"/>
          <w:marRight w:val="0"/>
          <w:marTop w:val="0"/>
          <w:marBottom w:val="120"/>
          <w:divBdr>
            <w:top w:val="none" w:sz="0" w:space="0" w:color="auto"/>
            <w:left w:val="none" w:sz="0" w:space="0" w:color="auto"/>
            <w:bottom w:val="none" w:sz="0" w:space="0" w:color="auto"/>
            <w:right w:val="none" w:sz="0" w:space="0" w:color="auto"/>
          </w:divBdr>
        </w:div>
      </w:divsChild>
    </w:div>
    <w:div w:id="1775664213">
      <w:marLeft w:val="0"/>
      <w:marRight w:val="0"/>
      <w:marTop w:val="0"/>
      <w:marBottom w:val="60"/>
      <w:divBdr>
        <w:top w:val="none" w:sz="0" w:space="0" w:color="auto"/>
        <w:left w:val="none" w:sz="0" w:space="0" w:color="auto"/>
        <w:bottom w:val="none" w:sz="0" w:space="0" w:color="auto"/>
        <w:right w:val="none" w:sz="0" w:space="0" w:color="auto"/>
      </w:divBdr>
    </w:div>
    <w:div w:id="1777479352">
      <w:marLeft w:val="0"/>
      <w:marRight w:val="0"/>
      <w:marTop w:val="0"/>
      <w:marBottom w:val="120"/>
      <w:divBdr>
        <w:top w:val="none" w:sz="0" w:space="0" w:color="auto"/>
        <w:left w:val="none" w:sz="0" w:space="0" w:color="auto"/>
        <w:bottom w:val="none" w:sz="0" w:space="0" w:color="auto"/>
        <w:right w:val="none" w:sz="0" w:space="0" w:color="auto"/>
      </w:divBdr>
    </w:div>
    <w:div w:id="1779400590">
      <w:marLeft w:val="0"/>
      <w:marRight w:val="0"/>
      <w:marTop w:val="0"/>
      <w:marBottom w:val="0"/>
      <w:divBdr>
        <w:top w:val="none" w:sz="0" w:space="0" w:color="auto"/>
        <w:left w:val="none" w:sz="0" w:space="0" w:color="auto"/>
        <w:bottom w:val="none" w:sz="0" w:space="0" w:color="auto"/>
        <w:right w:val="none" w:sz="0" w:space="0" w:color="auto"/>
      </w:divBdr>
      <w:divsChild>
        <w:div w:id="1512722">
          <w:marLeft w:val="0"/>
          <w:marRight w:val="0"/>
          <w:marTop w:val="0"/>
          <w:marBottom w:val="0"/>
          <w:divBdr>
            <w:top w:val="none" w:sz="0" w:space="0" w:color="auto"/>
            <w:left w:val="none" w:sz="0" w:space="0" w:color="auto"/>
            <w:bottom w:val="none" w:sz="0" w:space="0" w:color="auto"/>
            <w:right w:val="none" w:sz="0" w:space="0" w:color="auto"/>
          </w:divBdr>
        </w:div>
      </w:divsChild>
    </w:div>
    <w:div w:id="1779638224">
      <w:marLeft w:val="0"/>
      <w:marRight w:val="0"/>
      <w:marTop w:val="0"/>
      <w:marBottom w:val="0"/>
      <w:divBdr>
        <w:top w:val="none" w:sz="0" w:space="0" w:color="auto"/>
        <w:left w:val="none" w:sz="0" w:space="0" w:color="auto"/>
        <w:bottom w:val="none" w:sz="0" w:space="0" w:color="auto"/>
        <w:right w:val="none" w:sz="0" w:space="0" w:color="auto"/>
      </w:divBdr>
      <w:divsChild>
        <w:div w:id="1870026207">
          <w:marLeft w:val="0"/>
          <w:marRight w:val="0"/>
          <w:marTop w:val="0"/>
          <w:marBottom w:val="0"/>
          <w:divBdr>
            <w:top w:val="none" w:sz="0" w:space="0" w:color="auto"/>
            <w:left w:val="none" w:sz="0" w:space="0" w:color="auto"/>
            <w:bottom w:val="none" w:sz="0" w:space="0" w:color="auto"/>
            <w:right w:val="none" w:sz="0" w:space="0" w:color="auto"/>
          </w:divBdr>
        </w:div>
      </w:divsChild>
    </w:div>
    <w:div w:id="1779640273">
      <w:marLeft w:val="0"/>
      <w:marRight w:val="0"/>
      <w:marTop w:val="0"/>
      <w:marBottom w:val="120"/>
      <w:divBdr>
        <w:top w:val="none" w:sz="0" w:space="0" w:color="auto"/>
        <w:left w:val="none" w:sz="0" w:space="0" w:color="auto"/>
        <w:bottom w:val="none" w:sz="0" w:space="0" w:color="auto"/>
        <w:right w:val="none" w:sz="0" w:space="0" w:color="auto"/>
      </w:divBdr>
    </w:div>
    <w:div w:id="1783766741">
      <w:marLeft w:val="0"/>
      <w:marRight w:val="0"/>
      <w:marTop w:val="0"/>
      <w:marBottom w:val="120"/>
      <w:divBdr>
        <w:top w:val="none" w:sz="0" w:space="0" w:color="auto"/>
        <w:left w:val="none" w:sz="0" w:space="0" w:color="auto"/>
        <w:bottom w:val="none" w:sz="0" w:space="0" w:color="auto"/>
        <w:right w:val="none" w:sz="0" w:space="0" w:color="auto"/>
      </w:divBdr>
    </w:div>
    <w:div w:id="1786461990">
      <w:marLeft w:val="0"/>
      <w:marRight w:val="0"/>
      <w:marTop w:val="0"/>
      <w:marBottom w:val="0"/>
      <w:divBdr>
        <w:top w:val="none" w:sz="0" w:space="0" w:color="auto"/>
        <w:left w:val="none" w:sz="0" w:space="0" w:color="auto"/>
        <w:bottom w:val="none" w:sz="0" w:space="0" w:color="auto"/>
        <w:right w:val="none" w:sz="0" w:space="0" w:color="auto"/>
      </w:divBdr>
      <w:divsChild>
        <w:div w:id="458037316">
          <w:marLeft w:val="0"/>
          <w:marRight w:val="0"/>
          <w:marTop w:val="0"/>
          <w:marBottom w:val="0"/>
          <w:divBdr>
            <w:top w:val="none" w:sz="0" w:space="0" w:color="auto"/>
            <w:left w:val="none" w:sz="0" w:space="0" w:color="auto"/>
            <w:bottom w:val="none" w:sz="0" w:space="0" w:color="auto"/>
            <w:right w:val="none" w:sz="0" w:space="0" w:color="auto"/>
          </w:divBdr>
        </w:div>
      </w:divsChild>
    </w:div>
    <w:div w:id="1786533478">
      <w:marLeft w:val="0"/>
      <w:marRight w:val="0"/>
      <w:marTop w:val="0"/>
      <w:marBottom w:val="120"/>
      <w:divBdr>
        <w:top w:val="none" w:sz="0" w:space="0" w:color="auto"/>
        <w:left w:val="none" w:sz="0" w:space="0" w:color="auto"/>
        <w:bottom w:val="none" w:sz="0" w:space="0" w:color="auto"/>
        <w:right w:val="none" w:sz="0" w:space="0" w:color="auto"/>
      </w:divBdr>
    </w:div>
    <w:div w:id="1788691743">
      <w:marLeft w:val="0"/>
      <w:marRight w:val="0"/>
      <w:marTop w:val="0"/>
      <w:marBottom w:val="120"/>
      <w:divBdr>
        <w:top w:val="none" w:sz="0" w:space="0" w:color="auto"/>
        <w:left w:val="none" w:sz="0" w:space="0" w:color="auto"/>
        <w:bottom w:val="none" w:sz="0" w:space="0" w:color="auto"/>
        <w:right w:val="none" w:sz="0" w:space="0" w:color="auto"/>
      </w:divBdr>
    </w:div>
    <w:div w:id="1792239818">
      <w:marLeft w:val="0"/>
      <w:marRight w:val="0"/>
      <w:marTop w:val="0"/>
      <w:marBottom w:val="120"/>
      <w:divBdr>
        <w:top w:val="none" w:sz="0" w:space="0" w:color="auto"/>
        <w:left w:val="none" w:sz="0" w:space="0" w:color="auto"/>
        <w:bottom w:val="none" w:sz="0" w:space="0" w:color="auto"/>
        <w:right w:val="none" w:sz="0" w:space="0" w:color="auto"/>
      </w:divBdr>
    </w:div>
    <w:div w:id="1793595204">
      <w:marLeft w:val="0"/>
      <w:marRight w:val="0"/>
      <w:marTop w:val="0"/>
      <w:marBottom w:val="60"/>
      <w:divBdr>
        <w:top w:val="none" w:sz="0" w:space="0" w:color="auto"/>
        <w:left w:val="none" w:sz="0" w:space="0" w:color="auto"/>
        <w:bottom w:val="none" w:sz="0" w:space="0" w:color="auto"/>
        <w:right w:val="none" w:sz="0" w:space="0" w:color="auto"/>
      </w:divBdr>
    </w:div>
    <w:div w:id="1805537797">
      <w:marLeft w:val="0"/>
      <w:marRight w:val="0"/>
      <w:marTop w:val="0"/>
      <w:marBottom w:val="120"/>
      <w:divBdr>
        <w:top w:val="none" w:sz="0" w:space="0" w:color="auto"/>
        <w:left w:val="none" w:sz="0" w:space="0" w:color="auto"/>
        <w:bottom w:val="none" w:sz="0" w:space="0" w:color="auto"/>
        <w:right w:val="none" w:sz="0" w:space="0" w:color="auto"/>
      </w:divBdr>
    </w:div>
    <w:div w:id="1806700156">
      <w:marLeft w:val="0"/>
      <w:marRight w:val="0"/>
      <w:marTop w:val="0"/>
      <w:marBottom w:val="120"/>
      <w:divBdr>
        <w:top w:val="none" w:sz="0" w:space="0" w:color="auto"/>
        <w:left w:val="none" w:sz="0" w:space="0" w:color="auto"/>
        <w:bottom w:val="none" w:sz="0" w:space="0" w:color="auto"/>
        <w:right w:val="none" w:sz="0" w:space="0" w:color="auto"/>
      </w:divBdr>
    </w:div>
    <w:div w:id="1806963937">
      <w:marLeft w:val="0"/>
      <w:marRight w:val="0"/>
      <w:marTop w:val="0"/>
      <w:marBottom w:val="0"/>
      <w:divBdr>
        <w:top w:val="none" w:sz="0" w:space="0" w:color="auto"/>
        <w:left w:val="none" w:sz="0" w:space="0" w:color="auto"/>
        <w:bottom w:val="none" w:sz="0" w:space="0" w:color="auto"/>
        <w:right w:val="none" w:sz="0" w:space="0" w:color="auto"/>
      </w:divBdr>
    </w:div>
    <w:div w:id="1813207029">
      <w:marLeft w:val="0"/>
      <w:marRight w:val="0"/>
      <w:marTop w:val="0"/>
      <w:marBottom w:val="120"/>
      <w:divBdr>
        <w:top w:val="none" w:sz="0" w:space="0" w:color="auto"/>
        <w:left w:val="none" w:sz="0" w:space="0" w:color="auto"/>
        <w:bottom w:val="none" w:sz="0" w:space="0" w:color="auto"/>
        <w:right w:val="none" w:sz="0" w:space="0" w:color="auto"/>
      </w:divBdr>
    </w:div>
    <w:div w:id="1813937410">
      <w:marLeft w:val="0"/>
      <w:marRight w:val="0"/>
      <w:marTop w:val="0"/>
      <w:marBottom w:val="120"/>
      <w:divBdr>
        <w:top w:val="none" w:sz="0" w:space="0" w:color="auto"/>
        <w:left w:val="none" w:sz="0" w:space="0" w:color="auto"/>
        <w:bottom w:val="none" w:sz="0" w:space="0" w:color="auto"/>
        <w:right w:val="none" w:sz="0" w:space="0" w:color="auto"/>
      </w:divBdr>
    </w:div>
    <w:div w:id="1814709100">
      <w:marLeft w:val="0"/>
      <w:marRight w:val="0"/>
      <w:marTop w:val="0"/>
      <w:marBottom w:val="0"/>
      <w:divBdr>
        <w:top w:val="none" w:sz="0" w:space="0" w:color="auto"/>
        <w:left w:val="none" w:sz="0" w:space="0" w:color="auto"/>
        <w:bottom w:val="none" w:sz="0" w:space="0" w:color="auto"/>
        <w:right w:val="none" w:sz="0" w:space="0" w:color="auto"/>
      </w:divBdr>
      <w:divsChild>
        <w:div w:id="1683509747">
          <w:marLeft w:val="0"/>
          <w:marRight w:val="0"/>
          <w:marTop w:val="0"/>
          <w:marBottom w:val="0"/>
          <w:divBdr>
            <w:top w:val="none" w:sz="0" w:space="0" w:color="auto"/>
            <w:left w:val="none" w:sz="0" w:space="0" w:color="auto"/>
            <w:bottom w:val="none" w:sz="0" w:space="0" w:color="auto"/>
            <w:right w:val="none" w:sz="0" w:space="0" w:color="auto"/>
          </w:divBdr>
          <w:divsChild>
            <w:div w:id="3069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9480">
      <w:marLeft w:val="0"/>
      <w:marRight w:val="0"/>
      <w:marTop w:val="0"/>
      <w:marBottom w:val="120"/>
      <w:divBdr>
        <w:top w:val="none" w:sz="0" w:space="0" w:color="auto"/>
        <w:left w:val="none" w:sz="0" w:space="0" w:color="auto"/>
        <w:bottom w:val="none" w:sz="0" w:space="0" w:color="auto"/>
        <w:right w:val="none" w:sz="0" w:space="0" w:color="auto"/>
      </w:divBdr>
    </w:div>
    <w:div w:id="1823505774">
      <w:marLeft w:val="0"/>
      <w:marRight w:val="0"/>
      <w:marTop w:val="0"/>
      <w:marBottom w:val="120"/>
      <w:divBdr>
        <w:top w:val="none" w:sz="0" w:space="0" w:color="auto"/>
        <w:left w:val="none" w:sz="0" w:space="0" w:color="auto"/>
        <w:bottom w:val="none" w:sz="0" w:space="0" w:color="auto"/>
        <w:right w:val="none" w:sz="0" w:space="0" w:color="auto"/>
      </w:divBdr>
    </w:div>
    <w:div w:id="1823934909">
      <w:marLeft w:val="0"/>
      <w:marRight w:val="0"/>
      <w:marTop w:val="0"/>
      <w:marBottom w:val="0"/>
      <w:divBdr>
        <w:top w:val="none" w:sz="0" w:space="0" w:color="auto"/>
        <w:left w:val="none" w:sz="0" w:space="0" w:color="auto"/>
        <w:bottom w:val="none" w:sz="0" w:space="0" w:color="auto"/>
        <w:right w:val="none" w:sz="0" w:space="0" w:color="auto"/>
      </w:divBdr>
    </w:div>
    <w:div w:id="1824661820">
      <w:marLeft w:val="0"/>
      <w:marRight w:val="0"/>
      <w:marTop w:val="0"/>
      <w:marBottom w:val="120"/>
      <w:divBdr>
        <w:top w:val="none" w:sz="0" w:space="0" w:color="auto"/>
        <w:left w:val="none" w:sz="0" w:space="0" w:color="auto"/>
        <w:bottom w:val="none" w:sz="0" w:space="0" w:color="auto"/>
        <w:right w:val="none" w:sz="0" w:space="0" w:color="auto"/>
      </w:divBdr>
    </w:div>
    <w:div w:id="1828326932">
      <w:marLeft w:val="0"/>
      <w:marRight w:val="0"/>
      <w:marTop w:val="0"/>
      <w:marBottom w:val="0"/>
      <w:divBdr>
        <w:top w:val="none" w:sz="0" w:space="0" w:color="auto"/>
        <w:left w:val="none" w:sz="0" w:space="0" w:color="auto"/>
        <w:bottom w:val="none" w:sz="0" w:space="0" w:color="auto"/>
        <w:right w:val="none" w:sz="0" w:space="0" w:color="auto"/>
      </w:divBdr>
      <w:divsChild>
        <w:div w:id="1396900090">
          <w:marLeft w:val="0"/>
          <w:marRight w:val="0"/>
          <w:marTop w:val="0"/>
          <w:marBottom w:val="120"/>
          <w:divBdr>
            <w:top w:val="none" w:sz="0" w:space="0" w:color="auto"/>
            <w:left w:val="none" w:sz="0" w:space="0" w:color="auto"/>
            <w:bottom w:val="none" w:sz="0" w:space="0" w:color="auto"/>
            <w:right w:val="none" w:sz="0" w:space="0" w:color="auto"/>
          </w:divBdr>
        </w:div>
      </w:divsChild>
    </w:div>
    <w:div w:id="1828788809">
      <w:marLeft w:val="0"/>
      <w:marRight w:val="0"/>
      <w:marTop w:val="0"/>
      <w:marBottom w:val="120"/>
      <w:divBdr>
        <w:top w:val="none" w:sz="0" w:space="0" w:color="auto"/>
        <w:left w:val="none" w:sz="0" w:space="0" w:color="auto"/>
        <w:bottom w:val="none" w:sz="0" w:space="0" w:color="auto"/>
        <w:right w:val="none" w:sz="0" w:space="0" w:color="auto"/>
      </w:divBdr>
    </w:div>
    <w:div w:id="1829788297">
      <w:marLeft w:val="0"/>
      <w:marRight w:val="0"/>
      <w:marTop w:val="120"/>
      <w:marBottom w:val="120"/>
      <w:divBdr>
        <w:top w:val="none" w:sz="0" w:space="0" w:color="auto"/>
        <w:left w:val="none" w:sz="0" w:space="0" w:color="auto"/>
        <w:bottom w:val="none" w:sz="0" w:space="0" w:color="auto"/>
        <w:right w:val="none" w:sz="0" w:space="0" w:color="auto"/>
      </w:divBdr>
    </w:div>
    <w:div w:id="1836258881">
      <w:marLeft w:val="0"/>
      <w:marRight w:val="0"/>
      <w:marTop w:val="0"/>
      <w:marBottom w:val="120"/>
      <w:divBdr>
        <w:top w:val="none" w:sz="0" w:space="0" w:color="auto"/>
        <w:left w:val="none" w:sz="0" w:space="0" w:color="auto"/>
        <w:bottom w:val="none" w:sz="0" w:space="0" w:color="auto"/>
        <w:right w:val="none" w:sz="0" w:space="0" w:color="auto"/>
      </w:divBdr>
    </w:div>
    <w:div w:id="1837767252">
      <w:marLeft w:val="0"/>
      <w:marRight w:val="0"/>
      <w:marTop w:val="0"/>
      <w:marBottom w:val="120"/>
      <w:divBdr>
        <w:top w:val="none" w:sz="0" w:space="0" w:color="auto"/>
        <w:left w:val="none" w:sz="0" w:space="0" w:color="auto"/>
        <w:bottom w:val="none" w:sz="0" w:space="0" w:color="auto"/>
        <w:right w:val="none" w:sz="0" w:space="0" w:color="auto"/>
      </w:divBdr>
    </w:div>
    <w:div w:id="1839347959">
      <w:marLeft w:val="0"/>
      <w:marRight w:val="0"/>
      <w:marTop w:val="0"/>
      <w:marBottom w:val="120"/>
      <w:divBdr>
        <w:top w:val="none" w:sz="0" w:space="0" w:color="auto"/>
        <w:left w:val="none" w:sz="0" w:space="0" w:color="auto"/>
        <w:bottom w:val="none" w:sz="0" w:space="0" w:color="auto"/>
        <w:right w:val="none" w:sz="0" w:space="0" w:color="auto"/>
      </w:divBdr>
    </w:div>
    <w:div w:id="1844583297">
      <w:marLeft w:val="0"/>
      <w:marRight w:val="0"/>
      <w:marTop w:val="0"/>
      <w:marBottom w:val="0"/>
      <w:divBdr>
        <w:top w:val="none" w:sz="0" w:space="0" w:color="auto"/>
        <w:left w:val="none" w:sz="0" w:space="0" w:color="auto"/>
        <w:bottom w:val="none" w:sz="0" w:space="0" w:color="auto"/>
        <w:right w:val="none" w:sz="0" w:space="0" w:color="auto"/>
      </w:divBdr>
    </w:div>
    <w:div w:id="1846088282">
      <w:marLeft w:val="0"/>
      <w:marRight w:val="0"/>
      <w:marTop w:val="0"/>
      <w:marBottom w:val="120"/>
      <w:divBdr>
        <w:top w:val="none" w:sz="0" w:space="0" w:color="auto"/>
        <w:left w:val="none" w:sz="0" w:space="0" w:color="auto"/>
        <w:bottom w:val="none" w:sz="0" w:space="0" w:color="auto"/>
        <w:right w:val="none" w:sz="0" w:space="0" w:color="auto"/>
      </w:divBdr>
    </w:div>
    <w:div w:id="1848250539">
      <w:marLeft w:val="0"/>
      <w:marRight w:val="0"/>
      <w:marTop w:val="0"/>
      <w:marBottom w:val="120"/>
      <w:divBdr>
        <w:top w:val="none" w:sz="0" w:space="0" w:color="auto"/>
        <w:left w:val="none" w:sz="0" w:space="0" w:color="auto"/>
        <w:bottom w:val="none" w:sz="0" w:space="0" w:color="auto"/>
        <w:right w:val="none" w:sz="0" w:space="0" w:color="auto"/>
      </w:divBdr>
    </w:div>
    <w:div w:id="1849759177">
      <w:marLeft w:val="0"/>
      <w:marRight w:val="0"/>
      <w:marTop w:val="0"/>
      <w:marBottom w:val="120"/>
      <w:divBdr>
        <w:top w:val="none" w:sz="0" w:space="0" w:color="auto"/>
        <w:left w:val="none" w:sz="0" w:space="0" w:color="auto"/>
        <w:bottom w:val="none" w:sz="0" w:space="0" w:color="auto"/>
        <w:right w:val="none" w:sz="0" w:space="0" w:color="auto"/>
      </w:divBdr>
    </w:div>
    <w:div w:id="1855336269">
      <w:marLeft w:val="0"/>
      <w:marRight w:val="0"/>
      <w:marTop w:val="0"/>
      <w:marBottom w:val="120"/>
      <w:divBdr>
        <w:top w:val="none" w:sz="0" w:space="0" w:color="auto"/>
        <w:left w:val="none" w:sz="0" w:space="0" w:color="auto"/>
        <w:bottom w:val="none" w:sz="0" w:space="0" w:color="auto"/>
        <w:right w:val="none" w:sz="0" w:space="0" w:color="auto"/>
      </w:divBdr>
    </w:div>
    <w:div w:id="1877811836">
      <w:marLeft w:val="0"/>
      <w:marRight w:val="0"/>
      <w:marTop w:val="0"/>
      <w:marBottom w:val="120"/>
      <w:divBdr>
        <w:top w:val="none" w:sz="0" w:space="0" w:color="auto"/>
        <w:left w:val="none" w:sz="0" w:space="0" w:color="auto"/>
        <w:bottom w:val="none" w:sz="0" w:space="0" w:color="auto"/>
        <w:right w:val="none" w:sz="0" w:space="0" w:color="auto"/>
      </w:divBdr>
    </w:div>
    <w:div w:id="1878666335">
      <w:marLeft w:val="0"/>
      <w:marRight w:val="0"/>
      <w:marTop w:val="0"/>
      <w:marBottom w:val="0"/>
      <w:divBdr>
        <w:top w:val="none" w:sz="0" w:space="0" w:color="auto"/>
        <w:left w:val="none" w:sz="0" w:space="0" w:color="auto"/>
        <w:bottom w:val="none" w:sz="0" w:space="0" w:color="auto"/>
        <w:right w:val="none" w:sz="0" w:space="0" w:color="auto"/>
      </w:divBdr>
    </w:div>
    <w:div w:id="1878739786">
      <w:marLeft w:val="0"/>
      <w:marRight w:val="0"/>
      <w:marTop w:val="0"/>
      <w:marBottom w:val="0"/>
      <w:divBdr>
        <w:top w:val="none" w:sz="0" w:space="0" w:color="auto"/>
        <w:left w:val="none" w:sz="0" w:space="0" w:color="auto"/>
        <w:bottom w:val="none" w:sz="0" w:space="0" w:color="auto"/>
        <w:right w:val="none" w:sz="0" w:space="0" w:color="auto"/>
      </w:divBdr>
      <w:divsChild>
        <w:div w:id="288317793">
          <w:marLeft w:val="0"/>
          <w:marRight w:val="0"/>
          <w:marTop w:val="0"/>
          <w:marBottom w:val="0"/>
          <w:divBdr>
            <w:top w:val="none" w:sz="0" w:space="0" w:color="auto"/>
            <w:left w:val="none" w:sz="0" w:space="0" w:color="auto"/>
            <w:bottom w:val="none" w:sz="0" w:space="0" w:color="auto"/>
            <w:right w:val="none" w:sz="0" w:space="0" w:color="auto"/>
          </w:divBdr>
        </w:div>
      </w:divsChild>
    </w:div>
    <w:div w:id="1881891864">
      <w:marLeft w:val="0"/>
      <w:marRight w:val="0"/>
      <w:marTop w:val="0"/>
      <w:marBottom w:val="120"/>
      <w:divBdr>
        <w:top w:val="none" w:sz="0" w:space="0" w:color="auto"/>
        <w:left w:val="none" w:sz="0" w:space="0" w:color="auto"/>
        <w:bottom w:val="none" w:sz="0" w:space="0" w:color="auto"/>
        <w:right w:val="none" w:sz="0" w:space="0" w:color="auto"/>
      </w:divBdr>
    </w:div>
    <w:div w:id="1882012356">
      <w:marLeft w:val="0"/>
      <w:marRight w:val="0"/>
      <w:marTop w:val="0"/>
      <w:marBottom w:val="120"/>
      <w:divBdr>
        <w:top w:val="none" w:sz="0" w:space="0" w:color="auto"/>
        <w:left w:val="none" w:sz="0" w:space="0" w:color="auto"/>
        <w:bottom w:val="none" w:sz="0" w:space="0" w:color="auto"/>
        <w:right w:val="none" w:sz="0" w:space="0" w:color="auto"/>
      </w:divBdr>
    </w:div>
    <w:div w:id="1889411408">
      <w:marLeft w:val="0"/>
      <w:marRight w:val="0"/>
      <w:marTop w:val="100"/>
      <w:marBottom w:val="120"/>
      <w:divBdr>
        <w:top w:val="none" w:sz="0" w:space="0" w:color="auto"/>
        <w:left w:val="none" w:sz="0" w:space="0" w:color="auto"/>
        <w:bottom w:val="none" w:sz="0" w:space="0" w:color="auto"/>
        <w:right w:val="none" w:sz="0" w:space="0" w:color="auto"/>
      </w:divBdr>
    </w:div>
    <w:div w:id="1898589491">
      <w:marLeft w:val="0"/>
      <w:marRight w:val="0"/>
      <w:marTop w:val="0"/>
      <w:marBottom w:val="0"/>
      <w:divBdr>
        <w:top w:val="none" w:sz="0" w:space="0" w:color="auto"/>
        <w:left w:val="none" w:sz="0" w:space="0" w:color="auto"/>
        <w:bottom w:val="none" w:sz="0" w:space="0" w:color="auto"/>
        <w:right w:val="none" w:sz="0" w:space="0" w:color="auto"/>
      </w:divBdr>
    </w:div>
    <w:div w:id="1900020047">
      <w:marLeft w:val="0"/>
      <w:marRight w:val="0"/>
      <w:marTop w:val="0"/>
      <w:marBottom w:val="0"/>
      <w:divBdr>
        <w:top w:val="none" w:sz="0" w:space="0" w:color="auto"/>
        <w:left w:val="none" w:sz="0" w:space="0" w:color="auto"/>
        <w:bottom w:val="none" w:sz="0" w:space="0" w:color="auto"/>
        <w:right w:val="none" w:sz="0" w:space="0" w:color="auto"/>
      </w:divBdr>
      <w:divsChild>
        <w:div w:id="1497259444">
          <w:marLeft w:val="0"/>
          <w:marRight w:val="0"/>
          <w:marTop w:val="0"/>
          <w:marBottom w:val="0"/>
          <w:divBdr>
            <w:top w:val="none" w:sz="0" w:space="0" w:color="auto"/>
            <w:left w:val="none" w:sz="0" w:space="0" w:color="auto"/>
            <w:bottom w:val="none" w:sz="0" w:space="0" w:color="auto"/>
            <w:right w:val="none" w:sz="0" w:space="0" w:color="auto"/>
          </w:divBdr>
          <w:divsChild>
            <w:div w:id="6295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863">
      <w:marLeft w:val="0"/>
      <w:marRight w:val="0"/>
      <w:marTop w:val="0"/>
      <w:marBottom w:val="120"/>
      <w:divBdr>
        <w:top w:val="none" w:sz="0" w:space="0" w:color="auto"/>
        <w:left w:val="none" w:sz="0" w:space="0" w:color="auto"/>
        <w:bottom w:val="none" w:sz="0" w:space="0" w:color="auto"/>
        <w:right w:val="none" w:sz="0" w:space="0" w:color="auto"/>
      </w:divBdr>
    </w:div>
    <w:div w:id="1903059230">
      <w:marLeft w:val="0"/>
      <w:marRight w:val="0"/>
      <w:marTop w:val="0"/>
      <w:marBottom w:val="120"/>
      <w:divBdr>
        <w:top w:val="none" w:sz="0" w:space="0" w:color="auto"/>
        <w:left w:val="none" w:sz="0" w:space="0" w:color="auto"/>
        <w:bottom w:val="none" w:sz="0" w:space="0" w:color="auto"/>
        <w:right w:val="none" w:sz="0" w:space="0" w:color="auto"/>
      </w:divBdr>
    </w:div>
    <w:div w:id="1904216771">
      <w:marLeft w:val="0"/>
      <w:marRight w:val="0"/>
      <w:marTop w:val="0"/>
      <w:marBottom w:val="120"/>
      <w:divBdr>
        <w:top w:val="none" w:sz="0" w:space="0" w:color="auto"/>
        <w:left w:val="none" w:sz="0" w:space="0" w:color="auto"/>
        <w:bottom w:val="none" w:sz="0" w:space="0" w:color="auto"/>
        <w:right w:val="none" w:sz="0" w:space="0" w:color="auto"/>
      </w:divBdr>
    </w:div>
    <w:div w:id="1905220385">
      <w:marLeft w:val="0"/>
      <w:marRight w:val="0"/>
      <w:marTop w:val="0"/>
      <w:marBottom w:val="120"/>
      <w:divBdr>
        <w:top w:val="none" w:sz="0" w:space="0" w:color="auto"/>
        <w:left w:val="none" w:sz="0" w:space="0" w:color="auto"/>
        <w:bottom w:val="none" w:sz="0" w:space="0" w:color="auto"/>
        <w:right w:val="none" w:sz="0" w:space="0" w:color="auto"/>
      </w:divBdr>
    </w:div>
    <w:div w:id="1908030008">
      <w:marLeft w:val="0"/>
      <w:marRight w:val="0"/>
      <w:marTop w:val="0"/>
      <w:marBottom w:val="0"/>
      <w:divBdr>
        <w:top w:val="none" w:sz="0" w:space="0" w:color="auto"/>
        <w:left w:val="none" w:sz="0" w:space="0" w:color="auto"/>
        <w:bottom w:val="none" w:sz="0" w:space="0" w:color="auto"/>
        <w:right w:val="none" w:sz="0" w:space="0" w:color="auto"/>
      </w:divBdr>
    </w:div>
    <w:div w:id="1909656863">
      <w:marLeft w:val="0"/>
      <w:marRight w:val="0"/>
      <w:marTop w:val="0"/>
      <w:marBottom w:val="0"/>
      <w:divBdr>
        <w:top w:val="none" w:sz="0" w:space="0" w:color="auto"/>
        <w:left w:val="none" w:sz="0" w:space="0" w:color="auto"/>
        <w:bottom w:val="none" w:sz="0" w:space="0" w:color="auto"/>
        <w:right w:val="none" w:sz="0" w:space="0" w:color="auto"/>
      </w:divBdr>
      <w:divsChild>
        <w:div w:id="290793284">
          <w:marLeft w:val="0"/>
          <w:marRight w:val="0"/>
          <w:marTop w:val="0"/>
          <w:marBottom w:val="0"/>
          <w:divBdr>
            <w:top w:val="none" w:sz="0" w:space="0" w:color="auto"/>
            <w:left w:val="none" w:sz="0" w:space="0" w:color="auto"/>
            <w:bottom w:val="none" w:sz="0" w:space="0" w:color="auto"/>
            <w:right w:val="none" w:sz="0" w:space="0" w:color="auto"/>
          </w:divBdr>
        </w:div>
      </w:divsChild>
    </w:div>
    <w:div w:id="1911960700">
      <w:marLeft w:val="0"/>
      <w:marRight w:val="0"/>
      <w:marTop w:val="0"/>
      <w:marBottom w:val="120"/>
      <w:divBdr>
        <w:top w:val="none" w:sz="0" w:space="0" w:color="auto"/>
        <w:left w:val="none" w:sz="0" w:space="0" w:color="auto"/>
        <w:bottom w:val="none" w:sz="0" w:space="0" w:color="auto"/>
        <w:right w:val="none" w:sz="0" w:space="0" w:color="auto"/>
      </w:divBdr>
    </w:div>
    <w:div w:id="1918173389">
      <w:marLeft w:val="0"/>
      <w:marRight w:val="0"/>
      <w:marTop w:val="0"/>
      <w:marBottom w:val="0"/>
      <w:divBdr>
        <w:top w:val="none" w:sz="0" w:space="0" w:color="auto"/>
        <w:left w:val="none" w:sz="0" w:space="0" w:color="auto"/>
        <w:bottom w:val="none" w:sz="0" w:space="0" w:color="auto"/>
        <w:right w:val="none" w:sz="0" w:space="0" w:color="auto"/>
      </w:divBdr>
      <w:divsChild>
        <w:div w:id="874542073">
          <w:marLeft w:val="0"/>
          <w:marRight w:val="0"/>
          <w:marTop w:val="0"/>
          <w:marBottom w:val="0"/>
          <w:divBdr>
            <w:top w:val="none" w:sz="0" w:space="0" w:color="auto"/>
            <w:left w:val="none" w:sz="0" w:space="0" w:color="auto"/>
            <w:bottom w:val="none" w:sz="0" w:space="0" w:color="auto"/>
            <w:right w:val="none" w:sz="0" w:space="0" w:color="auto"/>
          </w:divBdr>
        </w:div>
        <w:div w:id="809983599">
          <w:marLeft w:val="0"/>
          <w:marRight w:val="0"/>
          <w:marTop w:val="0"/>
          <w:marBottom w:val="120"/>
          <w:divBdr>
            <w:top w:val="none" w:sz="0" w:space="0" w:color="auto"/>
            <w:left w:val="none" w:sz="0" w:space="0" w:color="auto"/>
            <w:bottom w:val="none" w:sz="0" w:space="0" w:color="auto"/>
            <w:right w:val="none" w:sz="0" w:space="0" w:color="auto"/>
          </w:divBdr>
        </w:div>
      </w:divsChild>
    </w:div>
    <w:div w:id="1918898357">
      <w:marLeft w:val="0"/>
      <w:marRight w:val="0"/>
      <w:marTop w:val="0"/>
      <w:marBottom w:val="120"/>
      <w:divBdr>
        <w:top w:val="none" w:sz="0" w:space="0" w:color="auto"/>
        <w:left w:val="none" w:sz="0" w:space="0" w:color="auto"/>
        <w:bottom w:val="none" w:sz="0" w:space="0" w:color="auto"/>
        <w:right w:val="none" w:sz="0" w:space="0" w:color="auto"/>
      </w:divBdr>
    </w:div>
    <w:div w:id="1919049408">
      <w:marLeft w:val="0"/>
      <w:marRight w:val="0"/>
      <w:marTop w:val="0"/>
      <w:marBottom w:val="0"/>
      <w:divBdr>
        <w:top w:val="none" w:sz="0" w:space="0" w:color="auto"/>
        <w:left w:val="none" w:sz="0" w:space="0" w:color="auto"/>
        <w:bottom w:val="none" w:sz="0" w:space="0" w:color="auto"/>
        <w:right w:val="none" w:sz="0" w:space="0" w:color="auto"/>
      </w:divBdr>
      <w:divsChild>
        <w:div w:id="1477339967">
          <w:marLeft w:val="0"/>
          <w:marRight w:val="0"/>
          <w:marTop w:val="0"/>
          <w:marBottom w:val="0"/>
          <w:divBdr>
            <w:top w:val="none" w:sz="0" w:space="0" w:color="auto"/>
            <w:left w:val="none" w:sz="0" w:space="0" w:color="auto"/>
            <w:bottom w:val="none" w:sz="0" w:space="0" w:color="auto"/>
            <w:right w:val="none" w:sz="0" w:space="0" w:color="auto"/>
          </w:divBdr>
        </w:div>
      </w:divsChild>
    </w:div>
    <w:div w:id="1919168452">
      <w:marLeft w:val="0"/>
      <w:marRight w:val="0"/>
      <w:marTop w:val="0"/>
      <w:marBottom w:val="120"/>
      <w:divBdr>
        <w:top w:val="none" w:sz="0" w:space="0" w:color="auto"/>
        <w:left w:val="none" w:sz="0" w:space="0" w:color="auto"/>
        <w:bottom w:val="none" w:sz="0" w:space="0" w:color="auto"/>
        <w:right w:val="none" w:sz="0" w:space="0" w:color="auto"/>
      </w:divBdr>
    </w:div>
    <w:div w:id="1921602425">
      <w:marLeft w:val="0"/>
      <w:marRight w:val="0"/>
      <w:marTop w:val="180"/>
      <w:marBottom w:val="0"/>
      <w:divBdr>
        <w:top w:val="none" w:sz="0" w:space="0" w:color="auto"/>
        <w:left w:val="none" w:sz="0" w:space="0" w:color="auto"/>
        <w:bottom w:val="none" w:sz="0" w:space="0" w:color="auto"/>
        <w:right w:val="none" w:sz="0" w:space="0" w:color="auto"/>
      </w:divBdr>
    </w:div>
    <w:div w:id="1926302767">
      <w:marLeft w:val="0"/>
      <w:marRight w:val="0"/>
      <w:marTop w:val="0"/>
      <w:marBottom w:val="120"/>
      <w:divBdr>
        <w:top w:val="none" w:sz="0" w:space="0" w:color="auto"/>
        <w:left w:val="none" w:sz="0" w:space="0" w:color="auto"/>
        <w:bottom w:val="none" w:sz="0" w:space="0" w:color="auto"/>
        <w:right w:val="none" w:sz="0" w:space="0" w:color="auto"/>
      </w:divBdr>
    </w:div>
    <w:div w:id="1926572051">
      <w:marLeft w:val="0"/>
      <w:marRight w:val="0"/>
      <w:marTop w:val="100"/>
      <w:marBottom w:val="220"/>
      <w:divBdr>
        <w:top w:val="none" w:sz="0" w:space="0" w:color="auto"/>
        <w:left w:val="none" w:sz="0" w:space="0" w:color="auto"/>
        <w:bottom w:val="none" w:sz="0" w:space="0" w:color="auto"/>
        <w:right w:val="none" w:sz="0" w:space="0" w:color="auto"/>
      </w:divBdr>
    </w:div>
    <w:div w:id="1932812839">
      <w:marLeft w:val="0"/>
      <w:marRight w:val="0"/>
      <w:marTop w:val="0"/>
      <w:marBottom w:val="120"/>
      <w:divBdr>
        <w:top w:val="none" w:sz="0" w:space="0" w:color="auto"/>
        <w:left w:val="none" w:sz="0" w:space="0" w:color="auto"/>
        <w:bottom w:val="none" w:sz="0" w:space="0" w:color="auto"/>
        <w:right w:val="none" w:sz="0" w:space="0" w:color="auto"/>
      </w:divBdr>
    </w:div>
    <w:div w:id="1935817781">
      <w:marLeft w:val="0"/>
      <w:marRight w:val="0"/>
      <w:marTop w:val="0"/>
      <w:marBottom w:val="100"/>
      <w:divBdr>
        <w:top w:val="none" w:sz="0" w:space="0" w:color="auto"/>
        <w:left w:val="none" w:sz="0" w:space="0" w:color="auto"/>
        <w:bottom w:val="none" w:sz="0" w:space="0" w:color="auto"/>
        <w:right w:val="none" w:sz="0" w:space="0" w:color="auto"/>
      </w:divBdr>
    </w:div>
    <w:div w:id="1935823792">
      <w:marLeft w:val="0"/>
      <w:marRight w:val="0"/>
      <w:marTop w:val="0"/>
      <w:marBottom w:val="0"/>
      <w:divBdr>
        <w:top w:val="none" w:sz="0" w:space="0" w:color="auto"/>
        <w:left w:val="none" w:sz="0" w:space="0" w:color="auto"/>
        <w:bottom w:val="none" w:sz="0" w:space="0" w:color="auto"/>
        <w:right w:val="none" w:sz="0" w:space="0" w:color="auto"/>
      </w:divBdr>
      <w:divsChild>
        <w:div w:id="125436758">
          <w:marLeft w:val="0"/>
          <w:marRight w:val="0"/>
          <w:marTop w:val="0"/>
          <w:marBottom w:val="0"/>
          <w:divBdr>
            <w:top w:val="none" w:sz="0" w:space="0" w:color="auto"/>
            <w:left w:val="none" w:sz="0" w:space="0" w:color="auto"/>
            <w:bottom w:val="none" w:sz="0" w:space="0" w:color="auto"/>
            <w:right w:val="none" w:sz="0" w:space="0" w:color="auto"/>
          </w:divBdr>
        </w:div>
      </w:divsChild>
    </w:div>
    <w:div w:id="1939093311">
      <w:marLeft w:val="0"/>
      <w:marRight w:val="0"/>
      <w:marTop w:val="0"/>
      <w:marBottom w:val="120"/>
      <w:divBdr>
        <w:top w:val="none" w:sz="0" w:space="0" w:color="auto"/>
        <w:left w:val="none" w:sz="0" w:space="0" w:color="auto"/>
        <w:bottom w:val="none" w:sz="0" w:space="0" w:color="auto"/>
        <w:right w:val="none" w:sz="0" w:space="0" w:color="auto"/>
      </w:divBdr>
    </w:div>
    <w:div w:id="1955669074">
      <w:marLeft w:val="0"/>
      <w:marRight w:val="0"/>
      <w:marTop w:val="120"/>
      <w:marBottom w:val="120"/>
      <w:divBdr>
        <w:top w:val="none" w:sz="0" w:space="0" w:color="auto"/>
        <w:left w:val="none" w:sz="0" w:space="0" w:color="auto"/>
        <w:bottom w:val="none" w:sz="0" w:space="0" w:color="auto"/>
        <w:right w:val="none" w:sz="0" w:space="0" w:color="auto"/>
      </w:divBdr>
    </w:div>
    <w:div w:id="1960794207">
      <w:marLeft w:val="0"/>
      <w:marRight w:val="0"/>
      <w:marTop w:val="0"/>
      <w:marBottom w:val="100"/>
      <w:divBdr>
        <w:top w:val="none" w:sz="0" w:space="0" w:color="auto"/>
        <w:left w:val="none" w:sz="0" w:space="0" w:color="auto"/>
        <w:bottom w:val="none" w:sz="0" w:space="0" w:color="auto"/>
        <w:right w:val="none" w:sz="0" w:space="0" w:color="auto"/>
      </w:divBdr>
    </w:div>
    <w:div w:id="1964462404">
      <w:marLeft w:val="0"/>
      <w:marRight w:val="0"/>
      <w:marTop w:val="0"/>
      <w:marBottom w:val="0"/>
      <w:divBdr>
        <w:top w:val="none" w:sz="0" w:space="0" w:color="auto"/>
        <w:left w:val="none" w:sz="0" w:space="0" w:color="auto"/>
        <w:bottom w:val="none" w:sz="0" w:space="0" w:color="auto"/>
        <w:right w:val="none" w:sz="0" w:space="0" w:color="auto"/>
      </w:divBdr>
      <w:divsChild>
        <w:div w:id="2059863964">
          <w:marLeft w:val="0"/>
          <w:marRight w:val="0"/>
          <w:marTop w:val="0"/>
          <w:marBottom w:val="0"/>
          <w:divBdr>
            <w:top w:val="none" w:sz="0" w:space="0" w:color="auto"/>
            <w:left w:val="none" w:sz="0" w:space="0" w:color="auto"/>
            <w:bottom w:val="none" w:sz="0" w:space="0" w:color="auto"/>
            <w:right w:val="none" w:sz="0" w:space="0" w:color="auto"/>
          </w:divBdr>
        </w:div>
      </w:divsChild>
    </w:div>
    <w:div w:id="1982297585">
      <w:marLeft w:val="0"/>
      <w:marRight w:val="0"/>
      <w:marTop w:val="0"/>
      <w:marBottom w:val="120"/>
      <w:divBdr>
        <w:top w:val="none" w:sz="0" w:space="0" w:color="auto"/>
        <w:left w:val="none" w:sz="0" w:space="0" w:color="auto"/>
        <w:bottom w:val="none" w:sz="0" w:space="0" w:color="auto"/>
        <w:right w:val="none" w:sz="0" w:space="0" w:color="auto"/>
      </w:divBdr>
    </w:div>
    <w:div w:id="1982928149">
      <w:marLeft w:val="0"/>
      <w:marRight w:val="0"/>
      <w:marTop w:val="0"/>
      <w:marBottom w:val="120"/>
      <w:divBdr>
        <w:top w:val="none" w:sz="0" w:space="0" w:color="auto"/>
        <w:left w:val="none" w:sz="0" w:space="0" w:color="auto"/>
        <w:bottom w:val="none" w:sz="0" w:space="0" w:color="auto"/>
        <w:right w:val="none" w:sz="0" w:space="0" w:color="auto"/>
      </w:divBdr>
    </w:div>
    <w:div w:id="1988047021">
      <w:marLeft w:val="0"/>
      <w:marRight w:val="0"/>
      <w:marTop w:val="0"/>
      <w:marBottom w:val="120"/>
      <w:divBdr>
        <w:top w:val="none" w:sz="0" w:space="0" w:color="auto"/>
        <w:left w:val="none" w:sz="0" w:space="0" w:color="auto"/>
        <w:bottom w:val="none" w:sz="0" w:space="0" w:color="auto"/>
        <w:right w:val="none" w:sz="0" w:space="0" w:color="auto"/>
      </w:divBdr>
    </w:div>
    <w:div w:id="1992446515">
      <w:marLeft w:val="0"/>
      <w:marRight w:val="0"/>
      <w:marTop w:val="0"/>
      <w:marBottom w:val="0"/>
      <w:divBdr>
        <w:top w:val="none" w:sz="0" w:space="0" w:color="auto"/>
        <w:left w:val="none" w:sz="0" w:space="0" w:color="auto"/>
        <w:bottom w:val="none" w:sz="0" w:space="0" w:color="auto"/>
        <w:right w:val="none" w:sz="0" w:space="0" w:color="auto"/>
      </w:divBdr>
      <w:divsChild>
        <w:div w:id="1969506999">
          <w:marLeft w:val="0"/>
          <w:marRight w:val="0"/>
          <w:marTop w:val="0"/>
          <w:marBottom w:val="0"/>
          <w:divBdr>
            <w:top w:val="none" w:sz="0" w:space="0" w:color="auto"/>
            <w:left w:val="none" w:sz="0" w:space="0" w:color="auto"/>
            <w:bottom w:val="none" w:sz="0" w:space="0" w:color="auto"/>
            <w:right w:val="none" w:sz="0" w:space="0" w:color="auto"/>
          </w:divBdr>
        </w:div>
      </w:divsChild>
    </w:div>
    <w:div w:id="1998654584">
      <w:marLeft w:val="0"/>
      <w:marRight w:val="0"/>
      <w:marTop w:val="0"/>
      <w:marBottom w:val="0"/>
      <w:divBdr>
        <w:top w:val="none" w:sz="0" w:space="0" w:color="auto"/>
        <w:left w:val="none" w:sz="0" w:space="0" w:color="auto"/>
        <w:bottom w:val="none" w:sz="0" w:space="0" w:color="auto"/>
        <w:right w:val="none" w:sz="0" w:space="0" w:color="auto"/>
      </w:divBdr>
    </w:div>
    <w:div w:id="2000036156">
      <w:marLeft w:val="0"/>
      <w:marRight w:val="0"/>
      <w:marTop w:val="0"/>
      <w:marBottom w:val="120"/>
      <w:divBdr>
        <w:top w:val="none" w:sz="0" w:space="0" w:color="auto"/>
        <w:left w:val="none" w:sz="0" w:space="0" w:color="auto"/>
        <w:bottom w:val="none" w:sz="0" w:space="0" w:color="auto"/>
        <w:right w:val="none" w:sz="0" w:space="0" w:color="auto"/>
      </w:divBdr>
    </w:div>
    <w:div w:id="2003269403">
      <w:marLeft w:val="0"/>
      <w:marRight w:val="0"/>
      <w:marTop w:val="0"/>
      <w:marBottom w:val="120"/>
      <w:divBdr>
        <w:top w:val="none" w:sz="0" w:space="0" w:color="auto"/>
        <w:left w:val="none" w:sz="0" w:space="0" w:color="auto"/>
        <w:bottom w:val="none" w:sz="0" w:space="0" w:color="auto"/>
        <w:right w:val="none" w:sz="0" w:space="0" w:color="auto"/>
      </w:divBdr>
    </w:div>
    <w:div w:id="2006277928">
      <w:marLeft w:val="0"/>
      <w:marRight w:val="0"/>
      <w:marTop w:val="0"/>
      <w:marBottom w:val="120"/>
      <w:divBdr>
        <w:top w:val="none" w:sz="0" w:space="0" w:color="auto"/>
        <w:left w:val="none" w:sz="0" w:space="0" w:color="auto"/>
        <w:bottom w:val="none" w:sz="0" w:space="0" w:color="auto"/>
        <w:right w:val="none" w:sz="0" w:space="0" w:color="auto"/>
      </w:divBdr>
    </w:div>
    <w:div w:id="2013947228">
      <w:marLeft w:val="0"/>
      <w:marRight w:val="0"/>
      <w:marTop w:val="0"/>
      <w:marBottom w:val="120"/>
      <w:divBdr>
        <w:top w:val="none" w:sz="0" w:space="0" w:color="auto"/>
        <w:left w:val="none" w:sz="0" w:space="0" w:color="auto"/>
        <w:bottom w:val="none" w:sz="0" w:space="0" w:color="auto"/>
        <w:right w:val="none" w:sz="0" w:space="0" w:color="auto"/>
      </w:divBdr>
    </w:div>
    <w:div w:id="2013951639">
      <w:marLeft w:val="0"/>
      <w:marRight w:val="0"/>
      <w:marTop w:val="0"/>
      <w:marBottom w:val="120"/>
      <w:divBdr>
        <w:top w:val="none" w:sz="0" w:space="0" w:color="auto"/>
        <w:left w:val="none" w:sz="0" w:space="0" w:color="auto"/>
        <w:bottom w:val="none" w:sz="0" w:space="0" w:color="auto"/>
        <w:right w:val="none" w:sz="0" w:space="0" w:color="auto"/>
      </w:divBdr>
    </w:div>
    <w:div w:id="2015107598">
      <w:marLeft w:val="0"/>
      <w:marRight w:val="0"/>
      <w:marTop w:val="0"/>
      <w:marBottom w:val="0"/>
      <w:divBdr>
        <w:top w:val="none" w:sz="0" w:space="0" w:color="auto"/>
        <w:left w:val="none" w:sz="0" w:space="0" w:color="auto"/>
        <w:bottom w:val="none" w:sz="0" w:space="0" w:color="auto"/>
        <w:right w:val="none" w:sz="0" w:space="0" w:color="auto"/>
      </w:divBdr>
    </w:div>
    <w:div w:id="2017228456">
      <w:marLeft w:val="0"/>
      <w:marRight w:val="0"/>
      <w:marTop w:val="0"/>
      <w:marBottom w:val="0"/>
      <w:divBdr>
        <w:top w:val="none" w:sz="0" w:space="0" w:color="auto"/>
        <w:left w:val="none" w:sz="0" w:space="0" w:color="auto"/>
        <w:bottom w:val="none" w:sz="0" w:space="0" w:color="auto"/>
        <w:right w:val="none" w:sz="0" w:space="0" w:color="auto"/>
      </w:divBdr>
      <w:divsChild>
        <w:div w:id="1895311496">
          <w:marLeft w:val="0"/>
          <w:marRight w:val="0"/>
          <w:marTop w:val="0"/>
          <w:marBottom w:val="0"/>
          <w:divBdr>
            <w:top w:val="none" w:sz="0" w:space="0" w:color="auto"/>
            <w:left w:val="none" w:sz="0" w:space="0" w:color="auto"/>
            <w:bottom w:val="none" w:sz="0" w:space="0" w:color="auto"/>
            <w:right w:val="none" w:sz="0" w:space="0" w:color="auto"/>
          </w:divBdr>
        </w:div>
      </w:divsChild>
    </w:div>
    <w:div w:id="2021739821">
      <w:marLeft w:val="0"/>
      <w:marRight w:val="0"/>
      <w:marTop w:val="0"/>
      <w:marBottom w:val="0"/>
      <w:divBdr>
        <w:top w:val="none" w:sz="0" w:space="0" w:color="auto"/>
        <w:left w:val="none" w:sz="0" w:space="0" w:color="auto"/>
        <w:bottom w:val="none" w:sz="0" w:space="0" w:color="auto"/>
        <w:right w:val="none" w:sz="0" w:space="0" w:color="auto"/>
      </w:divBdr>
      <w:divsChild>
        <w:div w:id="1343119510">
          <w:marLeft w:val="0"/>
          <w:marRight w:val="0"/>
          <w:marTop w:val="0"/>
          <w:marBottom w:val="0"/>
          <w:divBdr>
            <w:top w:val="none" w:sz="0" w:space="0" w:color="auto"/>
            <w:left w:val="none" w:sz="0" w:space="0" w:color="auto"/>
            <w:bottom w:val="none" w:sz="0" w:space="0" w:color="auto"/>
            <w:right w:val="none" w:sz="0" w:space="0" w:color="auto"/>
          </w:divBdr>
        </w:div>
      </w:divsChild>
    </w:div>
    <w:div w:id="2022051698">
      <w:marLeft w:val="0"/>
      <w:marRight w:val="0"/>
      <w:marTop w:val="0"/>
      <w:marBottom w:val="120"/>
      <w:divBdr>
        <w:top w:val="none" w:sz="0" w:space="0" w:color="auto"/>
        <w:left w:val="none" w:sz="0" w:space="0" w:color="auto"/>
        <w:bottom w:val="none" w:sz="0" w:space="0" w:color="auto"/>
        <w:right w:val="none" w:sz="0" w:space="0" w:color="auto"/>
      </w:divBdr>
    </w:div>
    <w:div w:id="2025475507">
      <w:marLeft w:val="0"/>
      <w:marRight w:val="0"/>
      <w:marTop w:val="0"/>
      <w:marBottom w:val="0"/>
      <w:divBdr>
        <w:top w:val="none" w:sz="0" w:space="0" w:color="auto"/>
        <w:left w:val="none" w:sz="0" w:space="0" w:color="auto"/>
        <w:bottom w:val="none" w:sz="0" w:space="0" w:color="auto"/>
        <w:right w:val="none" w:sz="0" w:space="0" w:color="auto"/>
      </w:divBdr>
      <w:divsChild>
        <w:div w:id="1276711874">
          <w:marLeft w:val="0"/>
          <w:marRight w:val="0"/>
          <w:marTop w:val="0"/>
          <w:marBottom w:val="0"/>
          <w:divBdr>
            <w:top w:val="none" w:sz="0" w:space="0" w:color="auto"/>
            <w:left w:val="none" w:sz="0" w:space="0" w:color="auto"/>
            <w:bottom w:val="none" w:sz="0" w:space="0" w:color="auto"/>
            <w:right w:val="none" w:sz="0" w:space="0" w:color="auto"/>
          </w:divBdr>
        </w:div>
      </w:divsChild>
    </w:div>
    <w:div w:id="2027901339">
      <w:marLeft w:val="0"/>
      <w:marRight w:val="0"/>
      <w:marTop w:val="0"/>
      <w:marBottom w:val="0"/>
      <w:divBdr>
        <w:top w:val="none" w:sz="0" w:space="0" w:color="auto"/>
        <w:left w:val="none" w:sz="0" w:space="0" w:color="auto"/>
        <w:bottom w:val="none" w:sz="0" w:space="0" w:color="auto"/>
        <w:right w:val="none" w:sz="0" w:space="0" w:color="auto"/>
      </w:divBdr>
      <w:divsChild>
        <w:div w:id="398596438">
          <w:marLeft w:val="0"/>
          <w:marRight w:val="0"/>
          <w:marTop w:val="0"/>
          <w:marBottom w:val="0"/>
          <w:divBdr>
            <w:top w:val="none" w:sz="0" w:space="0" w:color="auto"/>
            <w:left w:val="none" w:sz="0" w:space="0" w:color="auto"/>
            <w:bottom w:val="none" w:sz="0" w:space="0" w:color="auto"/>
            <w:right w:val="none" w:sz="0" w:space="0" w:color="auto"/>
          </w:divBdr>
        </w:div>
      </w:divsChild>
    </w:div>
    <w:div w:id="2031754634">
      <w:marLeft w:val="0"/>
      <w:marRight w:val="0"/>
      <w:marTop w:val="0"/>
      <w:marBottom w:val="120"/>
      <w:divBdr>
        <w:top w:val="none" w:sz="0" w:space="0" w:color="auto"/>
        <w:left w:val="none" w:sz="0" w:space="0" w:color="auto"/>
        <w:bottom w:val="none" w:sz="0" w:space="0" w:color="auto"/>
        <w:right w:val="none" w:sz="0" w:space="0" w:color="auto"/>
      </w:divBdr>
    </w:div>
    <w:div w:id="2041007147">
      <w:marLeft w:val="0"/>
      <w:marRight w:val="0"/>
      <w:marTop w:val="0"/>
      <w:marBottom w:val="120"/>
      <w:divBdr>
        <w:top w:val="none" w:sz="0" w:space="0" w:color="auto"/>
        <w:left w:val="none" w:sz="0" w:space="0" w:color="auto"/>
        <w:bottom w:val="none" w:sz="0" w:space="0" w:color="auto"/>
        <w:right w:val="none" w:sz="0" w:space="0" w:color="auto"/>
      </w:divBdr>
    </w:div>
    <w:div w:id="2041859286">
      <w:marLeft w:val="0"/>
      <w:marRight w:val="0"/>
      <w:marTop w:val="0"/>
      <w:marBottom w:val="0"/>
      <w:divBdr>
        <w:top w:val="none" w:sz="0" w:space="0" w:color="auto"/>
        <w:left w:val="none" w:sz="0" w:space="0" w:color="auto"/>
        <w:bottom w:val="none" w:sz="0" w:space="0" w:color="auto"/>
        <w:right w:val="none" w:sz="0" w:space="0" w:color="auto"/>
      </w:divBdr>
      <w:divsChild>
        <w:div w:id="1898324486">
          <w:marLeft w:val="0"/>
          <w:marRight w:val="0"/>
          <w:marTop w:val="120"/>
          <w:marBottom w:val="0"/>
          <w:divBdr>
            <w:top w:val="none" w:sz="0" w:space="0" w:color="auto"/>
            <w:left w:val="none" w:sz="0" w:space="0" w:color="auto"/>
            <w:bottom w:val="none" w:sz="0" w:space="0" w:color="auto"/>
            <w:right w:val="none" w:sz="0" w:space="0" w:color="auto"/>
          </w:divBdr>
        </w:div>
        <w:div w:id="1458573369">
          <w:marLeft w:val="0"/>
          <w:marRight w:val="0"/>
          <w:marTop w:val="0"/>
          <w:marBottom w:val="0"/>
          <w:divBdr>
            <w:top w:val="none" w:sz="0" w:space="0" w:color="auto"/>
            <w:left w:val="none" w:sz="0" w:space="0" w:color="auto"/>
            <w:bottom w:val="none" w:sz="0" w:space="0" w:color="auto"/>
            <w:right w:val="none" w:sz="0" w:space="0" w:color="auto"/>
          </w:divBdr>
        </w:div>
      </w:divsChild>
    </w:div>
    <w:div w:id="2043630011">
      <w:marLeft w:val="0"/>
      <w:marRight w:val="0"/>
      <w:marTop w:val="0"/>
      <w:marBottom w:val="120"/>
      <w:divBdr>
        <w:top w:val="none" w:sz="0" w:space="0" w:color="auto"/>
        <w:left w:val="none" w:sz="0" w:space="0" w:color="auto"/>
        <w:bottom w:val="none" w:sz="0" w:space="0" w:color="auto"/>
        <w:right w:val="none" w:sz="0" w:space="0" w:color="auto"/>
      </w:divBdr>
    </w:div>
    <w:div w:id="2045666809">
      <w:marLeft w:val="0"/>
      <w:marRight w:val="0"/>
      <w:marTop w:val="0"/>
      <w:marBottom w:val="120"/>
      <w:divBdr>
        <w:top w:val="none" w:sz="0" w:space="0" w:color="auto"/>
        <w:left w:val="none" w:sz="0" w:space="0" w:color="auto"/>
        <w:bottom w:val="none" w:sz="0" w:space="0" w:color="auto"/>
        <w:right w:val="none" w:sz="0" w:space="0" w:color="auto"/>
      </w:divBdr>
    </w:div>
    <w:div w:id="2048524902">
      <w:marLeft w:val="0"/>
      <w:marRight w:val="0"/>
      <w:marTop w:val="0"/>
      <w:marBottom w:val="0"/>
      <w:divBdr>
        <w:top w:val="none" w:sz="0" w:space="0" w:color="auto"/>
        <w:left w:val="none" w:sz="0" w:space="0" w:color="auto"/>
        <w:bottom w:val="none" w:sz="0" w:space="0" w:color="auto"/>
        <w:right w:val="none" w:sz="0" w:space="0" w:color="auto"/>
      </w:divBdr>
      <w:divsChild>
        <w:div w:id="2116517343">
          <w:marLeft w:val="0"/>
          <w:marRight w:val="0"/>
          <w:marTop w:val="0"/>
          <w:marBottom w:val="0"/>
          <w:divBdr>
            <w:top w:val="none" w:sz="0" w:space="0" w:color="auto"/>
            <w:left w:val="none" w:sz="0" w:space="0" w:color="auto"/>
            <w:bottom w:val="none" w:sz="0" w:space="0" w:color="auto"/>
            <w:right w:val="none" w:sz="0" w:space="0" w:color="auto"/>
          </w:divBdr>
          <w:divsChild>
            <w:div w:id="751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061">
      <w:marLeft w:val="0"/>
      <w:marRight w:val="0"/>
      <w:marTop w:val="0"/>
      <w:marBottom w:val="120"/>
      <w:divBdr>
        <w:top w:val="none" w:sz="0" w:space="0" w:color="auto"/>
        <w:left w:val="none" w:sz="0" w:space="0" w:color="auto"/>
        <w:bottom w:val="none" w:sz="0" w:space="0" w:color="auto"/>
        <w:right w:val="none" w:sz="0" w:space="0" w:color="auto"/>
      </w:divBdr>
    </w:div>
    <w:div w:id="2058165592">
      <w:marLeft w:val="0"/>
      <w:marRight w:val="0"/>
      <w:marTop w:val="0"/>
      <w:marBottom w:val="0"/>
      <w:divBdr>
        <w:top w:val="none" w:sz="0" w:space="0" w:color="auto"/>
        <w:left w:val="none" w:sz="0" w:space="0" w:color="auto"/>
        <w:bottom w:val="none" w:sz="0" w:space="0" w:color="auto"/>
        <w:right w:val="none" w:sz="0" w:space="0" w:color="auto"/>
      </w:divBdr>
      <w:divsChild>
        <w:div w:id="254830779">
          <w:marLeft w:val="0"/>
          <w:marRight w:val="0"/>
          <w:marTop w:val="0"/>
          <w:marBottom w:val="0"/>
          <w:divBdr>
            <w:top w:val="none" w:sz="0" w:space="0" w:color="auto"/>
            <w:left w:val="none" w:sz="0" w:space="0" w:color="auto"/>
            <w:bottom w:val="none" w:sz="0" w:space="0" w:color="auto"/>
            <w:right w:val="none" w:sz="0" w:space="0" w:color="auto"/>
          </w:divBdr>
        </w:div>
      </w:divsChild>
    </w:div>
    <w:div w:id="2062706670">
      <w:marLeft w:val="0"/>
      <w:marRight w:val="0"/>
      <w:marTop w:val="180"/>
      <w:marBottom w:val="0"/>
      <w:divBdr>
        <w:top w:val="none" w:sz="0" w:space="0" w:color="auto"/>
        <w:left w:val="none" w:sz="0" w:space="0" w:color="auto"/>
        <w:bottom w:val="none" w:sz="0" w:space="0" w:color="auto"/>
        <w:right w:val="none" w:sz="0" w:space="0" w:color="auto"/>
      </w:divBdr>
    </w:div>
    <w:div w:id="2063602555">
      <w:marLeft w:val="0"/>
      <w:marRight w:val="0"/>
      <w:marTop w:val="0"/>
      <w:marBottom w:val="120"/>
      <w:divBdr>
        <w:top w:val="none" w:sz="0" w:space="0" w:color="auto"/>
        <w:left w:val="none" w:sz="0" w:space="0" w:color="auto"/>
        <w:bottom w:val="none" w:sz="0" w:space="0" w:color="auto"/>
        <w:right w:val="none" w:sz="0" w:space="0" w:color="auto"/>
      </w:divBdr>
    </w:div>
    <w:div w:id="2067531545">
      <w:marLeft w:val="0"/>
      <w:marRight w:val="0"/>
      <w:marTop w:val="0"/>
      <w:marBottom w:val="0"/>
      <w:divBdr>
        <w:top w:val="none" w:sz="0" w:space="0" w:color="auto"/>
        <w:left w:val="none" w:sz="0" w:space="0" w:color="auto"/>
        <w:bottom w:val="none" w:sz="0" w:space="0" w:color="auto"/>
        <w:right w:val="none" w:sz="0" w:space="0" w:color="auto"/>
      </w:divBdr>
    </w:div>
    <w:div w:id="2068607140">
      <w:marLeft w:val="0"/>
      <w:marRight w:val="0"/>
      <w:marTop w:val="0"/>
      <w:marBottom w:val="120"/>
      <w:divBdr>
        <w:top w:val="none" w:sz="0" w:space="0" w:color="auto"/>
        <w:left w:val="none" w:sz="0" w:space="0" w:color="auto"/>
        <w:bottom w:val="none" w:sz="0" w:space="0" w:color="auto"/>
        <w:right w:val="none" w:sz="0" w:space="0" w:color="auto"/>
      </w:divBdr>
    </w:div>
    <w:div w:id="2068650503">
      <w:marLeft w:val="0"/>
      <w:marRight w:val="0"/>
      <w:marTop w:val="0"/>
      <w:marBottom w:val="0"/>
      <w:divBdr>
        <w:top w:val="none" w:sz="0" w:space="0" w:color="auto"/>
        <w:left w:val="none" w:sz="0" w:space="0" w:color="auto"/>
        <w:bottom w:val="none" w:sz="0" w:space="0" w:color="auto"/>
        <w:right w:val="none" w:sz="0" w:space="0" w:color="auto"/>
      </w:divBdr>
      <w:divsChild>
        <w:div w:id="247925303">
          <w:marLeft w:val="0"/>
          <w:marRight w:val="0"/>
          <w:marTop w:val="0"/>
          <w:marBottom w:val="0"/>
          <w:divBdr>
            <w:top w:val="none" w:sz="0" w:space="0" w:color="auto"/>
            <w:left w:val="none" w:sz="0" w:space="0" w:color="auto"/>
            <w:bottom w:val="none" w:sz="0" w:space="0" w:color="auto"/>
            <w:right w:val="none" w:sz="0" w:space="0" w:color="auto"/>
          </w:divBdr>
        </w:div>
      </w:divsChild>
    </w:div>
    <w:div w:id="2069185859">
      <w:marLeft w:val="0"/>
      <w:marRight w:val="0"/>
      <w:marTop w:val="0"/>
      <w:marBottom w:val="0"/>
      <w:divBdr>
        <w:top w:val="none" w:sz="0" w:space="0" w:color="auto"/>
        <w:left w:val="none" w:sz="0" w:space="0" w:color="auto"/>
        <w:bottom w:val="none" w:sz="0" w:space="0" w:color="auto"/>
        <w:right w:val="none" w:sz="0" w:space="0" w:color="auto"/>
      </w:divBdr>
    </w:div>
    <w:div w:id="2073190331">
      <w:marLeft w:val="0"/>
      <w:marRight w:val="0"/>
      <w:marTop w:val="0"/>
      <w:marBottom w:val="0"/>
      <w:divBdr>
        <w:top w:val="none" w:sz="0" w:space="0" w:color="auto"/>
        <w:left w:val="none" w:sz="0" w:space="0" w:color="auto"/>
        <w:bottom w:val="none" w:sz="0" w:space="0" w:color="auto"/>
        <w:right w:val="none" w:sz="0" w:space="0" w:color="auto"/>
      </w:divBdr>
      <w:divsChild>
        <w:div w:id="1681397671">
          <w:marLeft w:val="0"/>
          <w:marRight w:val="0"/>
          <w:marTop w:val="0"/>
          <w:marBottom w:val="0"/>
          <w:divBdr>
            <w:top w:val="none" w:sz="0" w:space="0" w:color="auto"/>
            <w:left w:val="none" w:sz="0" w:space="0" w:color="auto"/>
            <w:bottom w:val="none" w:sz="0" w:space="0" w:color="auto"/>
            <w:right w:val="none" w:sz="0" w:space="0" w:color="auto"/>
          </w:divBdr>
        </w:div>
      </w:divsChild>
    </w:div>
    <w:div w:id="2075468227">
      <w:marLeft w:val="0"/>
      <w:marRight w:val="0"/>
      <w:marTop w:val="0"/>
      <w:marBottom w:val="120"/>
      <w:divBdr>
        <w:top w:val="none" w:sz="0" w:space="0" w:color="auto"/>
        <w:left w:val="none" w:sz="0" w:space="0" w:color="auto"/>
        <w:bottom w:val="none" w:sz="0" w:space="0" w:color="auto"/>
        <w:right w:val="none" w:sz="0" w:space="0" w:color="auto"/>
      </w:divBdr>
    </w:div>
    <w:div w:id="2078044143">
      <w:marLeft w:val="0"/>
      <w:marRight w:val="0"/>
      <w:marTop w:val="0"/>
      <w:marBottom w:val="240"/>
      <w:divBdr>
        <w:top w:val="none" w:sz="0" w:space="0" w:color="auto"/>
        <w:left w:val="none" w:sz="0" w:space="0" w:color="auto"/>
        <w:bottom w:val="none" w:sz="0" w:space="0" w:color="auto"/>
        <w:right w:val="none" w:sz="0" w:space="0" w:color="auto"/>
      </w:divBdr>
    </w:div>
    <w:div w:id="2078242919">
      <w:marLeft w:val="0"/>
      <w:marRight w:val="0"/>
      <w:marTop w:val="0"/>
      <w:marBottom w:val="0"/>
      <w:divBdr>
        <w:top w:val="none" w:sz="0" w:space="0" w:color="auto"/>
        <w:left w:val="none" w:sz="0" w:space="0" w:color="auto"/>
        <w:bottom w:val="none" w:sz="0" w:space="0" w:color="auto"/>
        <w:right w:val="none" w:sz="0" w:space="0" w:color="auto"/>
      </w:divBdr>
      <w:divsChild>
        <w:div w:id="1821455594">
          <w:marLeft w:val="0"/>
          <w:marRight w:val="0"/>
          <w:marTop w:val="0"/>
          <w:marBottom w:val="0"/>
          <w:divBdr>
            <w:top w:val="none" w:sz="0" w:space="0" w:color="auto"/>
            <w:left w:val="none" w:sz="0" w:space="0" w:color="auto"/>
            <w:bottom w:val="none" w:sz="0" w:space="0" w:color="auto"/>
            <w:right w:val="none" w:sz="0" w:space="0" w:color="auto"/>
          </w:divBdr>
        </w:div>
      </w:divsChild>
    </w:div>
    <w:div w:id="2082754440">
      <w:marLeft w:val="0"/>
      <w:marRight w:val="0"/>
      <w:marTop w:val="0"/>
      <w:marBottom w:val="120"/>
      <w:divBdr>
        <w:top w:val="none" w:sz="0" w:space="0" w:color="auto"/>
        <w:left w:val="none" w:sz="0" w:space="0" w:color="auto"/>
        <w:bottom w:val="none" w:sz="0" w:space="0" w:color="auto"/>
        <w:right w:val="none" w:sz="0" w:space="0" w:color="auto"/>
      </w:divBdr>
    </w:div>
    <w:div w:id="2090731627">
      <w:marLeft w:val="0"/>
      <w:marRight w:val="0"/>
      <w:marTop w:val="120"/>
      <w:marBottom w:val="120"/>
      <w:divBdr>
        <w:top w:val="none" w:sz="0" w:space="0" w:color="auto"/>
        <w:left w:val="none" w:sz="0" w:space="0" w:color="auto"/>
        <w:bottom w:val="none" w:sz="0" w:space="0" w:color="auto"/>
        <w:right w:val="none" w:sz="0" w:space="0" w:color="auto"/>
      </w:divBdr>
    </w:div>
    <w:div w:id="2091460717">
      <w:marLeft w:val="0"/>
      <w:marRight w:val="0"/>
      <w:marTop w:val="100"/>
      <w:marBottom w:val="100"/>
      <w:divBdr>
        <w:top w:val="none" w:sz="0" w:space="0" w:color="auto"/>
        <w:left w:val="none" w:sz="0" w:space="0" w:color="auto"/>
        <w:bottom w:val="none" w:sz="0" w:space="0" w:color="auto"/>
        <w:right w:val="none" w:sz="0" w:space="0" w:color="auto"/>
      </w:divBdr>
    </w:div>
    <w:div w:id="2092963341">
      <w:marLeft w:val="0"/>
      <w:marRight w:val="0"/>
      <w:marTop w:val="0"/>
      <w:marBottom w:val="120"/>
      <w:divBdr>
        <w:top w:val="none" w:sz="0" w:space="0" w:color="auto"/>
        <w:left w:val="none" w:sz="0" w:space="0" w:color="auto"/>
        <w:bottom w:val="none" w:sz="0" w:space="0" w:color="auto"/>
        <w:right w:val="none" w:sz="0" w:space="0" w:color="auto"/>
      </w:divBdr>
    </w:div>
    <w:div w:id="2094083058">
      <w:marLeft w:val="0"/>
      <w:marRight w:val="0"/>
      <w:marTop w:val="0"/>
      <w:marBottom w:val="120"/>
      <w:divBdr>
        <w:top w:val="none" w:sz="0" w:space="0" w:color="auto"/>
        <w:left w:val="none" w:sz="0" w:space="0" w:color="auto"/>
        <w:bottom w:val="none" w:sz="0" w:space="0" w:color="auto"/>
        <w:right w:val="none" w:sz="0" w:space="0" w:color="auto"/>
      </w:divBdr>
    </w:div>
    <w:div w:id="2096240442">
      <w:marLeft w:val="0"/>
      <w:marRight w:val="0"/>
      <w:marTop w:val="0"/>
      <w:marBottom w:val="120"/>
      <w:divBdr>
        <w:top w:val="none" w:sz="0" w:space="0" w:color="auto"/>
        <w:left w:val="none" w:sz="0" w:space="0" w:color="auto"/>
        <w:bottom w:val="none" w:sz="0" w:space="0" w:color="auto"/>
        <w:right w:val="none" w:sz="0" w:space="0" w:color="auto"/>
      </w:divBdr>
    </w:div>
    <w:div w:id="2096591314">
      <w:marLeft w:val="0"/>
      <w:marRight w:val="0"/>
      <w:marTop w:val="0"/>
      <w:marBottom w:val="120"/>
      <w:divBdr>
        <w:top w:val="none" w:sz="0" w:space="0" w:color="auto"/>
        <w:left w:val="none" w:sz="0" w:space="0" w:color="auto"/>
        <w:bottom w:val="none" w:sz="0" w:space="0" w:color="auto"/>
        <w:right w:val="none" w:sz="0" w:space="0" w:color="auto"/>
      </w:divBdr>
    </w:div>
    <w:div w:id="2100827364">
      <w:marLeft w:val="0"/>
      <w:marRight w:val="0"/>
      <w:marTop w:val="0"/>
      <w:marBottom w:val="120"/>
      <w:divBdr>
        <w:top w:val="none" w:sz="0" w:space="0" w:color="auto"/>
        <w:left w:val="none" w:sz="0" w:space="0" w:color="auto"/>
        <w:bottom w:val="none" w:sz="0" w:space="0" w:color="auto"/>
        <w:right w:val="none" w:sz="0" w:space="0" w:color="auto"/>
      </w:divBdr>
    </w:div>
    <w:div w:id="2101481343">
      <w:marLeft w:val="0"/>
      <w:marRight w:val="0"/>
      <w:marTop w:val="0"/>
      <w:marBottom w:val="120"/>
      <w:divBdr>
        <w:top w:val="none" w:sz="0" w:space="0" w:color="auto"/>
        <w:left w:val="none" w:sz="0" w:space="0" w:color="auto"/>
        <w:bottom w:val="none" w:sz="0" w:space="0" w:color="auto"/>
        <w:right w:val="none" w:sz="0" w:space="0" w:color="auto"/>
      </w:divBdr>
    </w:div>
    <w:div w:id="2106220632">
      <w:marLeft w:val="0"/>
      <w:marRight w:val="0"/>
      <w:marTop w:val="0"/>
      <w:marBottom w:val="120"/>
      <w:divBdr>
        <w:top w:val="none" w:sz="0" w:space="0" w:color="auto"/>
        <w:left w:val="none" w:sz="0" w:space="0" w:color="auto"/>
        <w:bottom w:val="none" w:sz="0" w:space="0" w:color="auto"/>
        <w:right w:val="none" w:sz="0" w:space="0" w:color="auto"/>
      </w:divBdr>
    </w:div>
    <w:div w:id="2109697625">
      <w:marLeft w:val="0"/>
      <w:marRight w:val="0"/>
      <w:marTop w:val="0"/>
      <w:marBottom w:val="120"/>
      <w:divBdr>
        <w:top w:val="none" w:sz="0" w:space="0" w:color="auto"/>
        <w:left w:val="none" w:sz="0" w:space="0" w:color="auto"/>
        <w:bottom w:val="none" w:sz="0" w:space="0" w:color="auto"/>
        <w:right w:val="none" w:sz="0" w:space="0" w:color="auto"/>
      </w:divBdr>
    </w:div>
    <w:div w:id="2111315722">
      <w:marLeft w:val="0"/>
      <w:marRight w:val="0"/>
      <w:marTop w:val="0"/>
      <w:marBottom w:val="0"/>
      <w:divBdr>
        <w:top w:val="none" w:sz="0" w:space="0" w:color="auto"/>
        <w:left w:val="none" w:sz="0" w:space="0" w:color="auto"/>
        <w:bottom w:val="none" w:sz="0" w:space="0" w:color="auto"/>
        <w:right w:val="none" w:sz="0" w:space="0" w:color="auto"/>
      </w:divBdr>
      <w:divsChild>
        <w:div w:id="1187984694">
          <w:marLeft w:val="0"/>
          <w:marRight w:val="0"/>
          <w:marTop w:val="0"/>
          <w:marBottom w:val="0"/>
          <w:divBdr>
            <w:top w:val="none" w:sz="0" w:space="0" w:color="auto"/>
            <w:left w:val="none" w:sz="0" w:space="0" w:color="auto"/>
            <w:bottom w:val="none" w:sz="0" w:space="0" w:color="auto"/>
            <w:right w:val="none" w:sz="0" w:space="0" w:color="auto"/>
          </w:divBdr>
        </w:div>
      </w:divsChild>
    </w:div>
    <w:div w:id="2112699249">
      <w:marLeft w:val="0"/>
      <w:marRight w:val="0"/>
      <w:marTop w:val="0"/>
      <w:marBottom w:val="120"/>
      <w:divBdr>
        <w:top w:val="none" w:sz="0" w:space="0" w:color="auto"/>
        <w:left w:val="none" w:sz="0" w:space="0" w:color="auto"/>
        <w:bottom w:val="none" w:sz="0" w:space="0" w:color="auto"/>
        <w:right w:val="none" w:sz="0" w:space="0" w:color="auto"/>
      </w:divBdr>
    </w:div>
    <w:div w:id="2115320074">
      <w:marLeft w:val="0"/>
      <w:marRight w:val="0"/>
      <w:marTop w:val="0"/>
      <w:marBottom w:val="120"/>
      <w:divBdr>
        <w:top w:val="none" w:sz="0" w:space="0" w:color="auto"/>
        <w:left w:val="none" w:sz="0" w:space="0" w:color="auto"/>
        <w:bottom w:val="none" w:sz="0" w:space="0" w:color="auto"/>
        <w:right w:val="none" w:sz="0" w:space="0" w:color="auto"/>
      </w:divBdr>
    </w:div>
    <w:div w:id="2123529379">
      <w:marLeft w:val="0"/>
      <w:marRight w:val="0"/>
      <w:marTop w:val="0"/>
      <w:marBottom w:val="120"/>
      <w:divBdr>
        <w:top w:val="none" w:sz="0" w:space="0" w:color="auto"/>
        <w:left w:val="none" w:sz="0" w:space="0" w:color="auto"/>
        <w:bottom w:val="none" w:sz="0" w:space="0" w:color="auto"/>
        <w:right w:val="none" w:sz="0" w:space="0" w:color="auto"/>
      </w:divBdr>
    </w:div>
    <w:div w:id="2125072915">
      <w:marLeft w:val="0"/>
      <w:marRight w:val="0"/>
      <w:marTop w:val="0"/>
      <w:marBottom w:val="120"/>
      <w:divBdr>
        <w:top w:val="none" w:sz="0" w:space="0" w:color="auto"/>
        <w:left w:val="none" w:sz="0" w:space="0" w:color="auto"/>
        <w:bottom w:val="none" w:sz="0" w:space="0" w:color="auto"/>
        <w:right w:val="none" w:sz="0" w:space="0" w:color="auto"/>
      </w:divBdr>
    </w:div>
    <w:div w:id="2127194110">
      <w:marLeft w:val="0"/>
      <w:marRight w:val="0"/>
      <w:marTop w:val="0"/>
      <w:marBottom w:val="240"/>
      <w:divBdr>
        <w:top w:val="none" w:sz="0" w:space="0" w:color="auto"/>
        <w:left w:val="none" w:sz="0" w:space="0" w:color="auto"/>
        <w:bottom w:val="none" w:sz="0" w:space="0" w:color="auto"/>
        <w:right w:val="none" w:sz="0" w:space="0" w:color="auto"/>
      </w:divBdr>
    </w:div>
    <w:div w:id="2128156844">
      <w:marLeft w:val="0"/>
      <w:marRight w:val="0"/>
      <w:marTop w:val="0"/>
      <w:marBottom w:val="0"/>
      <w:divBdr>
        <w:top w:val="none" w:sz="0" w:space="0" w:color="auto"/>
        <w:left w:val="none" w:sz="0" w:space="0" w:color="auto"/>
        <w:bottom w:val="none" w:sz="0" w:space="0" w:color="auto"/>
        <w:right w:val="none" w:sz="0" w:space="0" w:color="auto"/>
      </w:divBdr>
      <w:divsChild>
        <w:div w:id="39978838">
          <w:marLeft w:val="0"/>
          <w:marRight w:val="0"/>
          <w:marTop w:val="0"/>
          <w:marBottom w:val="0"/>
          <w:divBdr>
            <w:top w:val="none" w:sz="0" w:space="0" w:color="auto"/>
            <w:left w:val="none" w:sz="0" w:space="0" w:color="auto"/>
            <w:bottom w:val="none" w:sz="0" w:space="0" w:color="auto"/>
            <w:right w:val="none" w:sz="0" w:space="0" w:color="auto"/>
          </w:divBdr>
        </w:div>
      </w:divsChild>
    </w:div>
    <w:div w:id="2128624822">
      <w:marLeft w:val="0"/>
      <w:marRight w:val="0"/>
      <w:marTop w:val="0"/>
      <w:marBottom w:val="0"/>
      <w:divBdr>
        <w:top w:val="none" w:sz="0" w:space="0" w:color="auto"/>
        <w:left w:val="none" w:sz="0" w:space="0" w:color="auto"/>
        <w:bottom w:val="none" w:sz="0" w:space="0" w:color="auto"/>
        <w:right w:val="none" w:sz="0" w:space="0" w:color="auto"/>
      </w:divBdr>
      <w:divsChild>
        <w:div w:id="1707635687">
          <w:marLeft w:val="0"/>
          <w:marRight w:val="0"/>
          <w:marTop w:val="0"/>
          <w:marBottom w:val="0"/>
          <w:divBdr>
            <w:top w:val="none" w:sz="0" w:space="0" w:color="auto"/>
            <w:left w:val="none" w:sz="0" w:space="0" w:color="auto"/>
            <w:bottom w:val="none" w:sz="0" w:space="0" w:color="auto"/>
            <w:right w:val="none" w:sz="0" w:space="0" w:color="auto"/>
          </w:divBdr>
        </w:div>
      </w:divsChild>
    </w:div>
    <w:div w:id="2128960080">
      <w:marLeft w:val="0"/>
      <w:marRight w:val="0"/>
      <w:marTop w:val="0"/>
      <w:marBottom w:val="120"/>
      <w:divBdr>
        <w:top w:val="none" w:sz="0" w:space="0" w:color="auto"/>
        <w:left w:val="none" w:sz="0" w:space="0" w:color="auto"/>
        <w:bottom w:val="none" w:sz="0" w:space="0" w:color="auto"/>
        <w:right w:val="none" w:sz="0" w:space="0" w:color="auto"/>
      </w:divBdr>
    </w:div>
    <w:div w:id="2132703495">
      <w:marLeft w:val="0"/>
      <w:marRight w:val="0"/>
      <w:marTop w:val="0"/>
      <w:marBottom w:val="120"/>
      <w:divBdr>
        <w:top w:val="none" w:sz="0" w:space="0" w:color="auto"/>
        <w:left w:val="none" w:sz="0" w:space="0" w:color="auto"/>
        <w:bottom w:val="none" w:sz="0" w:space="0" w:color="auto"/>
        <w:right w:val="none" w:sz="0" w:space="0" w:color="auto"/>
      </w:divBdr>
    </w:div>
    <w:div w:id="2134446562">
      <w:marLeft w:val="0"/>
      <w:marRight w:val="0"/>
      <w:marTop w:val="0"/>
      <w:marBottom w:val="0"/>
      <w:divBdr>
        <w:top w:val="none" w:sz="0" w:space="0" w:color="auto"/>
        <w:left w:val="none" w:sz="0" w:space="0" w:color="auto"/>
        <w:bottom w:val="none" w:sz="0" w:space="0" w:color="auto"/>
        <w:right w:val="none" w:sz="0" w:space="0" w:color="auto"/>
      </w:divBdr>
      <w:divsChild>
        <w:div w:id="1443838796">
          <w:marLeft w:val="0"/>
          <w:marRight w:val="0"/>
          <w:marTop w:val="0"/>
          <w:marBottom w:val="0"/>
          <w:divBdr>
            <w:top w:val="none" w:sz="0" w:space="0" w:color="auto"/>
            <w:left w:val="none" w:sz="0" w:space="0" w:color="auto"/>
            <w:bottom w:val="none" w:sz="0" w:space="0" w:color="auto"/>
            <w:right w:val="none" w:sz="0" w:space="0" w:color="auto"/>
          </w:divBdr>
        </w:div>
      </w:divsChild>
    </w:div>
    <w:div w:id="2135518905">
      <w:marLeft w:val="0"/>
      <w:marRight w:val="0"/>
      <w:marTop w:val="0"/>
      <w:marBottom w:val="120"/>
      <w:divBdr>
        <w:top w:val="none" w:sz="0" w:space="0" w:color="auto"/>
        <w:left w:val="none" w:sz="0" w:space="0" w:color="auto"/>
        <w:bottom w:val="none" w:sz="0" w:space="0" w:color="auto"/>
        <w:right w:val="none" w:sz="0" w:space="0" w:color="auto"/>
      </w:divBdr>
    </w:div>
    <w:div w:id="2138796442">
      <w:marLeft w:val="0"/>
      <w:marRight w:val="0"/>
      <w:marTop w:val="0"/>
      <w:marBottom w:val="0"/>
      <w:divBdr>
        <w:top w:val="none" w:sz="0" w:space="0" w:color="auto"/>
        <w:left w:val="none" w:sz="0" w:space="0" w:color="auto"/>
        <w:bottom w:val="none" w:sz="0" w:space="0" w:color="auto"/>
        <w:right w:val="none" w:sz="0" w:space="0" w:color="auto"/>
      </w:divBdr>
      <w:divsChild>
        <w:div w:id="860751128">
          <w:marLeft w:val="0"/>
          <w:marRight w:val="0"/>
          <w:marTop w:val="0"/>
          <w:marBottom w:val="0"/>
          <w:divBdr>
            <w:top w:val="none" w:sz="0" w:space="0" w:color="auto"/>
            <w:left w:val="none" w:sz="0" w:space="0" w:color="auto"/>
            <w:bottom w:val="none" w:sz="0" w:space="0" w:color="auto"/>
            <w:right w:val="none" w:sz="0" w:space="0" w:color="auto"/>
          </w:divBdr>
        </w:div>
      </w:divsChild>
    </w:div>
    <w:div w:id="2140372937">
      <w:marLeft w:val="0"/>
      <w:marRight w:val="0"/>
      <w:marTop w:val="0"/>
      <w:marBottom w:val="120"/>
      <w:divBdr>
        <w:top w:val="none" w:sz="0" w:space="0" w:color="auto"/>
        <w:left w:val="none" w:sz="0" w:space="0" w:color="auto"/>
        <w:bottom w:val="none" w:sz="0" w:space="0" w:color="auto"/>
        <w:right w:val="none" w:sz="0" w:space="0" w:color="auto"/>
      </w:divBdr>
    </w:div>
    <w:div w:id="2141651766">
      <w:marLeft w:val="0"/>
      <w:marRight w:val="0"/>
      <w:marTop w:val="0"/>
      <w:marBottom w:val="120"/>
      <w:divBdr>
        <w:top w:val="none" w:sz="0" w:space="0" w:color="auto"/>
        <w:left w:val="none" w:sz="0" w:space="0" w:color="auto"/>
        <w:bottom w:val="none" w:sz="0" w:space="0" w:color="auto"/>
        <w:right w:val="none" w:sz="0" w:space="0" w:color="auto"/>
      </w:divBdr>
    </w:div>
    <w:div w:id="2143234415">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1-nvhisoxcerts31xq3.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710155/000171015520000055/exhibit101-wmtxnvimsaa.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710155/000171015520000055/exhibit101-wmtxnvimsaa.htm" TargetMode="External"/><Relationship Id="rId11" Type="http://schemas.openxmlformats.org/officeDocument/2006/relationships/hyperlink" Target="a322-nvhisoxcerts322xq.htm" TargetMode="External"/><Relationship Id="rId5" Type="http://schemas.openxmlformats.org/officeDocument/2006/relationships/hyperlink" Target="http://www.sec.gov/Archives/edgar/data/1710155/000156761917002270/s001582x19_ex3-2.htm" TargetMode="External"/><Relationship Id="rId10" Type="http://schemas.openxmlformats.org/officeDocument/2006/relationships/hyperlink" Target="a321-nvhisoxcerts321xq.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a312-nvhisoxcerts312x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36964</Words>
  <Characters>210701</Characters>
  <Application>Microsoft Office Word</Application>
  <DocSecurity>0</DocSecurity>
  <Lines>1755</Lines>
  <Paragraphs>494</Paragraphs>
  <ScaleCrop>false</ScaleCrop>
  <Company/>
  <LinksUpToDate>false</LinksUpToDate>
  <CharactersWithSpaces>247171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eye-20200926</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